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166DC" w14:textId="77777777" w:rsidR="00C745C1" w:rsidRDefault="00C745C1" w:rsidP="00C4246B">
      <w:pPr>
        <w:jc w:val="right"/>
        <w:rPr>
          <w:rFonts w:ascii="Arial" w:hAnsi="Arial" w:cs="Arial"/>
          <w:b/>
          <w:bCs/>
          <w:sz w:val="32"/>
        </w:rPr>
      </w:pPr>
      <w:bookmarkStart w:id="0" w:name="_Hlk204438857"/>
      <w:r w:rsidRPr="00C745C1">
        <w:rPr>
          <w:rFonts w:ascii="Arial" w:hAnsi="Arial" w:cs="Arial"/>
          <w:b/>
          <w:bCs/>
          <w:sz w:val="32"/>
        </w:rPr>
        <w:t xml:space="preserve">Original Research Article </w:t>
      </w:r>
    </w:p>
    <w:p w14:paraId="6E3AD29D" w14:textId="77777777" w:rsidR="00C745C1" w:rsidRDefault="00C745C1" w:rsidP="00C4246B">
      <w:pPr>
        <w:jc w:val="right"/>
        <w:rPr>
          <w:rFonts w:ascii="Arial" w:hAnsi="Arial" w:cs="Arial"/>
          <w:b/>
          <w:bCs/>
          <w:sz w:val="32"/>
        </w:rPr>
      </w:pPr>
    </w:p>
    <w:p w14:paraId="3D59F516" w14:textId="283401EE" w:rsidR="00200157" w:rsidRPr="00C4246B" w:rsidRDefault="00200157" w:rsidP="00C4246B">
      <w:pPr>
        <w:jc w:val="right"/>
        <w:rPr>
          <w:rFonts w:ascii="Arial" w:hAnsi="Arial" w:cs="Arial"/>
          <w:b/>
          <w:bCs/>
          <w:sz w:val="32"/>
        </w:rPr>
      </w:pPr>
      <w:r w:rsidRPr="00C4246B">
        <w:rPr>
          <w:rFonts w:ascii="Arial" w:hAnsi="Arial" w:cs="Arial"/>
          <w:b/>
          <w:bCs/>
          <w:sz w:val="32"/>
        </w:rPr>
        <w:t>ASSESSING NIGERIA’S RESILIENCE TO OIL-PRICE VOLATILITY: EVIDENCE FROM A VECTOR AUTOREGRESSION OF GDP DYNAMICS AND POLICY BUFFERS</w:t>
      </w:r>
    </w:p>
    <w:p w14:paraId="391171B7" w14:textId="77777777" w:rsidR="00D61B49" w:rsidRDefault="00D61B49" w:rsidP="005E6A8B">
      <w:pPr>
        <w:jc w:val="both"/>
        <w:rPr>
          <w:rFonts w:asciiTheme="majorBidi" w:hAnsiTheme="majorBidi" w:cstheme="majorBidi"/>
          <w:b/>
          <w:bCs/>
        </w:rPr>
      </w:pPr>
      <w:bookmarkStart w:id="1" w:name="_GoBack"/>
      <w:bookmarkEnd w:id="1"/>
    </w:p>
    <w:p w14:paraId="08C26927" w14:textId="77777777" w:rsidR="00D03313" w:rsidRPr="000C2C1E" w:rsidRDefault="00D03313" w:rsidP="005E6A8B">
      <w:pPr>
        <w:jc w:val="both"/>
        <w:rPr>
          <w:rFonts w:ascii="Arial" w:hAnsi="Arial" w:cs="Arial"/>
          <w:b/>
          <w:bCs/>
        </w:rPr>
      </w:pPr>
      <w:r w:rsidRPr="000C2C1E">
        <w:rPr>
          <w:rFonts w:ascii="Arial" w:hAnsi="Arial" w:cs="Arial"/>
          <w:b/>
          <w:bCs/>
        </w:rPr>
        <w:t>ABSTRACT</w:t>
      </w:r>
    </w:p>
    <w:bookmarkEnd w:id="0"/>
    <w:p w14:paraId="2548B118" w14:textId="77777777" w:rsidR="000C2C1E" w:rsidRPr="00C4246B" w:rsidRDefault="000C2C1E" w:rsidP="00CC64AB">
      <w:pPr>
        <w:jc w:val="both"/>
        <w:rPr>
          <w:rFonts w:ascii="Arial" w:hAnsi="Arial" w:cs="Arial"/>
          <w:iCs/>
          <w:sz w:val="22"/>
          <w:szCs w:val="20"/>
        </w:rPr>
      </w:pPr>
      <w:r w:rsidRPr="00C4246B">
        <w:rPr>
          <w:rFonts w:ascii="Arial" w:hAnsi="Arial" w:cs="Arial"/>
          <w:b/>
          <w:iCs/>
          <w:sz w:val="22"/>
          <w:szCs w:val="20"/>
        </w:rPr>
        <w:t xml:space="preserve">Aim: </w:t>
      </w:r>
      <w:r w:rsidR="00CC64AB" w:rsidRPr="00C4246B">
        <w:rPr>
          <w:rFonts w:ascii="Arial" w:hAnsi="Arial" w:cs="Arial"/>
          <w:iCs/>
          <w:sz w:val="22"/>
          <w:szCs w:val="20"/>
        </w:rPr>
        <w:t xml:space="preserve">This study constructs a first-difference Vector Autoregression (VAR) model to analyze the dynamic interplay between global oil-price shocks and Nigeria’s real GDP over the period 1990–2023. </w:t>
      </w:r>
    </w:p>
    <w:p w14:paraId="70BEBAD6" w14:textId="77777777" w:rsidR="000C2C1E" w:rsidRPr="00C4246B" w:rsidRDefault="000C2C1E" w:rsidP="00CC64AB">
      <w:pPr>
        <w:jc w:val="both"/>
        <w:rPr>
          <w:rFonts w:ascii="Arial" w:hAnsi="Arial" w:cs="Arial"/>
          <w:iCs/>
          <w:sz w:val="22"/>
          <w:szCs w:val="20"/>
        </w:rPr>
      </w:pPr>
      <w:r w:rsidRPr="00C4246B">
        <w:rPr>
          <w:rFonts w:ascii="Arial" w:hAnsi="Arial" w:cs="Arial"/>
          <w:b/>
          <w:iCs/>
          <w:sz w:val="22"/>
          <w:szCs w:val="20"/>
        </w:rPr>
        <w:t>Methodology:</w:t>
      </w:r>
      <w:r w:rsidRPr="00C4246B">
        <w:rPr>
          <w:rFonts w:ascii="Arial" w:hAnsi="Arial" w:cs="Arial"/>
          <w:iCs/>
          <w:sz w:val="22"/>
          <w:szCs w:val="20"/>
        </w:rPr>
        <w:t xml:space="preserve"> </w:t>
      </w:r>
      <w:r w:rsidR="00CC64AB" w:rsidRPr="00C4246B">
        <w:rPr>
          <w:rFonts w:ascii="Arial" w:hAnsi="Arial" w:cs="Arial"/>
          <w:iCs/>
          <w:sz w:val="22"/>
          <w:szCs w:val="20"/>
        </w:rPr>
        <w:t>We begin by subjecting annual series of Brent crude prices and the World Bank’s GDP index to Augmented Dickey-Fuller and Phillips-</w:t>
      </w:r>
      <w:proofErr w:type="spellStart"/>
      <w:r w:rsidR="00CC64AB" w:rsidRPr="00C4246B">
        <w:rPr>
          <w:rFonts w:ascii="Arial" w:hAnsi="Arial" w:cs="Arial"/>
          <w:iCs/>
          <w:sz w:val="22"/>
          <w:szCs w:val="20"/>
        </w:rPr>
        <w:t>Perron</w:t>
      </w:r>
      <w:proofErr w:type="spellEnd"/>
      <w:r w:rsidR="00CC64AB" w:rsidRPr="00C4246B">
        <w:rPr>
          <w:rFonts w:ascii="Arial" w:hAnsi="Arial" w:cs="Arial"/>
          <w:iCs/>
          <w:sz w:val="22"/>
          <w:szCs w:val="20"/>
        </w:rPr>
        <w:t xml:space="preserve"> tests, confirming their integration of order one and justifying modeling in first differences. Optimal lag length is determined via Akaike, Schwarz, Hannan-Quinn, and FPE criteria, leading to a </w:t>
      </w:r>
      <w:proofErr w:type="gramStart"/>
      <w:r w:rsidR="00CC64AB" w:rsidRPr="00C4246B">
        <w:rPr>
          <w:rFonts w:ascii="Arial" w:hAnsi="Arial" w:cs="Arial"/>
          <w:iCs/>
          <w:sz w:val="22"/>
          <w:szCs w:val="20"/>
        </w:rPr>
        <w:t>VAR(</w:t>
      </w:r>
      <w:proofErr w:type="gramEnd"/>
      <w:r w:rsidR="00CC64AB" w:rsidRPr="00C4246B">
        <w:rPr>
          <w:rFonts w:ascii="Arial" w:hAnsi="Arial" w:cs="Arial"/>
          <w:iCs/>
          <w:sz w:val="22"/>
          <w:szCs w:val="20"/>
        </w:rPr>
        <w:t>3) specification. Orthogonalized impulse-response functions reveal that a one-standard-deviation oil-price innovation yields a modest, transitory GDP response-peaking at approximately +0.9% in the second year and dissipating by year five-with all 95% confidence bands encompassing zero. Forecast-error variance decomposition further shows that oil-price shocks explain no more than 13% of GDP forecast variance at horizon ten, while endogenous dynamics dominate. Conversely, GDP innovations account for roughly 30% of oil-price variance after four years, underscoring limited feedback.</w:t>
      </w:r>
    </w:p>
    <w:p w14:paraId="60128AC4" w14:textId="77777777" w:rsidR="000C2C1E" w:rsidRPr="00C4246B" w:rsidRDefault="000C2C1E" w:rsidP="00CC64AB">
      <w:pPr>
        <w:jc w:val="both"/>
        <w:rPr>
          <w:rFonts w:ascii="Arial" w:hAnsi="Arial" w:cs="Arial"/>
          <w:iCs/>
          <w:sz w:val="22"/>
          <w:szCs w:val="20"/>
        </w:rPr>
      </w:pPr>
      <w:r w:rsidRPr="00C4246B">
        <w:rPr>
          <w:rFonts w:ascii="Arial" w:hAnsi="Arial" w:cs="Arial"/>
          <w:b/>
          <w:iCs/>
          <w:sz w:val="22"/>
          <w:szCs w:val="20"/>
        </w:rPr>
        <w:t>Result:</w:t>
      </w:r>
      <w:r w:rsidR="00CC64AB" w:rsidRPr="00C4246B">
        <w:rPr>
          <w:rFonts w:ascii="Arial" w:hAnsi="Arial" w:cs="Arial"/>
          <w:iCs/>
          <w:sz w:val="22"/>
          <w:szCs w:val="20"/>
        </w:rPr>
        <w:t xml:space="preserve"> These findings corroborate rapid mean reversion documented in commodity-dependent economies and mirror evidence that oil revenues contribute marginally to output volatility. </w:t>
      </w:r>
    </w:p>
    <w:p w14:paraId="4262781D" w14:textId="77777777" w:rsidR="00CC64AB" w:rsidRPr="00C4246B" w:rsidRDefault="000C2C1E" w:rsidP="00CC64AB">
      <w:pPr>
        <w:jc w:val="both"/>
        <w:rPr>
          <w:rFonts w:ascii="Arial" w:hAnsi="Arial" w:cs="Arial"/>
          <w:iCs/>
          <w:sz w:val="22"/>
          <w:szCs w:val="20"/>
        </w:rPr>
      </w:pPr>
      <w:r w:rsidRPr="00C4246B">
        <w:rPr>
          <w:rFonts w:ascii="Arial" w:hAnsi="Arial" w:cs="Arial"/>
          <w:b/>
          <w:iCs/>
          <w:sz w:val="22"/>
          <w:szCs w:val="20"/>
        </w:rPr>
        <w:t>Conclusion:</w:t>
      </w:r>
      <w:r w:rsidRPr="00C4246B">
        <w:rPr>
          <w:rFonts w:ascii="Arial" w:hAnsi="Arial" w:cs="Arial"/>
          <w:iCs/>
          <w:sz w:val="22"/>
          <w:szCs w:val="20"/>
        </w:rPr>
        <w:t xml:space="preserve"> </w:t>
      </w:r>
      <w:r w:rsidR="00CC64AB" w:rsidRPr="00C4246B">
        <w:rPr>
          <w:rFonts w:ascii="Arial" w:hAnsi="Arial" w:cs="Arial"/>
          <w:iCs/>
          <w:sz w:val="22"/>
          <w:szCs w:val="20"/>
        </w:rPr>
        <w:t>The paper concludes with policy prescriptions for rule-based stabilization funds, automatic fiscal triggers, and accelerated diversification into agriculture, manufacturing, and services to bolster macroeconomic resilience and sustain non-oil growth.</w:t>
      </w:r>
    </w:p>
    <w:p w14:paraId="56A6D47D" w14:textId="77777777" w:rsidR="00D03313" w:rsidRPr="00EB1B4C" w:rsidRDefault="00D03313" w:rsidP="00CC64AB">
      <w:pPr>
        <w:jc w:val="both"/>
        <w:rPr>
          <w:rFonts w:ascii="Arial" w:hAnsi="Arial" w:cs="Arial"/>
          <w:i/>
          <w:sz w:val="20"/>
        </w:rPr>
      </w:pPr>
      <w:r w:rsidRPr="00EB1B4C">
        <w:rPr>
          <w:rFonts w:ascii="Arial" w:hAnsi="Arial" w:cs="Arial"/>
          <w:b/>
          <w:bCs/>
          <w:i/>
          <w:sz w:val="20"/>
        </w:rPr>
        <w:t>Key Words</w:t>
      </w:r>
      <w:r w:rsidRPr="00EB1B4C">
        <w:rPr>
          <w:rFonts w:ascii="Arial" w:hAnsi="Arial" w:cs="Arial"/>
          <w:i/>
          <w:sz w:val="20"/>
        </w:rPr>
        <w:t>: Nigeria; Gross Domestic Product; Oil</w:t>
      </w:r>
      <w:r w:rsidRPr="00EB1B4C">
        <w:rPr>
          <w:rFonts w:asciiTheme="majorBidi" w:hAnsiTheme="majorBidi" w:cs="Arial"/>
          <w:i/>
          <w:sz w:val="20"/>
        </w:rPr>
        <w:t>‐</w:t>
      </w:r>
      <w:r w:rsidRPr="00EB1B4C">
        <w:rPr>
          <w:rFonts w:ascii="Arial" w:hAnsi="Arial" w:cs="Arial"/>
          <w:i/>
          <w:sz w:val="20"/>
        </w:rPr>
        <w:t>Price Shocks; Vector Autoregression; Impulse Response Functions; Forecast</w:t>
      </w:r>
      <w:r w:rsidRPr="00EB1B4C">
        <w:rPr>
          <w:rFonts w:asciiTheme="majorBidi" w:hAnsiTheme="majorBidi" w:cs="Arial"/>
          <w:i/>
          <w:sz w:val="20"/>
        </w:rPr>
        <w:t>‐</w:t>
      </w:r>
      <w:r w:rsidRPr="00EB1B4C">
        <w:rPr>
          <w:rFonts w:ascii="Arial" w:hAnsi="Arial" w:cs="Arial"/>
          <w:i/>
          <w:sz w:val="20"/>
        </w:rPr>
        <w:t>Error Variance Decomposition; Economic Diversification</w:t>
      </w:r>
    </w:p>
    <w:p w14:paraId="5932A516" w14:textId="77777777" w:rsidR="00D03313" w:rsidRPr="007061A9" w:rsidRDefault="00D03313" w:rsidP="00D03313">
      <w:pPr>
        <w:jc w:val="both"/>
        <w:rPr>
          <w:rFonts w:asciiTheme="majorBidi" w:hAnsiTheme="majorBidi" w:cstheme="majorBidi"/>
        </w:rPr>
      </w:pPr>
      <w:r w:rsidRPr="00D03313">
        <w:rPr>
          <w:rFonts w:asciiTheme="majorBidi" w:hAnsiTheme="majorBidi" w:cstheme="majorBidi"/>
          <w:b/>
          <w:bCs/>
        </w:rPr>
        <w:t>JEL Classifications</w:t>
      </w:r>
      <w:r w:rsidRPr="00D03313">
        <w:rPr>
          <w:rFonts w:asciiTheme="majorBidi" w:hAnsiTheme="majorBidi" w:cstheme="majorBidi"/>
        </w:rPr>
        <w:t>: C22; C32; E</w:t>
      </w:r>
      <w:proofErr w:type="gramStart"/>
      <w:r w:rsidRPr="00D03313">
        <w:rPr>
          <w:rFonts w:asciiTheme="majorBidi" w:hAnsiTheme="majorBidi" w:cstheme="majorBidi"/>
        </w:rPr>
        <w:t>27;Q</w:t>
      </w:r>
      <w:proofErr w:type="gramEnd"/>
      <w:r w:rsidRPr="00D03313">
        <w:rPr>
          <w:rFonts w:asciiTheme="majorBidi" w:hAnsiTheme="majorBidi" w:cstheme="majorBidi"/>
        </w:rPr>
        <w:t>43; O55</w:t>
      </w:r>
    </w:p>
    <w:p w14:paraId="06F4297E" w14:textId="77777777" w:rsidR="0022105B" w:rsidRDefault="0022105B" w:rsidP="005E6A8B">
      <w:pPr>
        <w:jc w:val="both"/>
        <w:rPr>
          <w:rFonts w:asciiTheme="majorBidi" w:hAnsiTheme="majorBidi" w:cstheme="majorBidi"/>
          <w:b/>
          <w:bCs/>
        </w:rPr>
        <w:sectPr w:rsidR="0022105B" w:rsidSect="00226FE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bookmarkStart w:id="2" w:name="_Hlk204071759"/>
    </w:p>
    <w:p w14:paraId="325C208C" w14:textId="77777777" w:rsidR="007061A9" w:rsidRDefault="007061A9" w:rsidP="005E6A8B">
      <w:pPr>
        <w:jc w:val="both"/>
        <w:rPr>
          <w:rFonts w:asciiTheme="majorBidi" w:hAnsiTheme="majorBidi" w:cstheme="majorBidi"/>
          <w:b/>
          <w:bCs/>
        </w:rPr>
      </w:pPr>
    </w:p>
    <w:p w14:paraId="135977C6" w14:textId="77777777" w:rsidR="005E6A8B" w:rsidRPr="00C4246B" w:rsidRDefault="005E6A8B" w:rsidP="005E6A8B">
      <w:pPr>
        <w:jc w:val="both"/>
        <w:rPr>
          <w:rFonts w:ascii="Arial" w:hAnsi="Arial" w:cs="Arial"/>
          <w:b/>
          <w:bCs/>
          <w:sz w:val="20"/>
        </w:rPr>
      </w:pPr>
      <w:r w:rsidRPr="00C4246B">
        <w:rPr>
          <w:rFonts w:ascii="Arial" w:hAnsi="Arial" w:cs="Arial"/>
          <w:b/>
          <w:bCs/>
          <w:sz w:val="20"/>
        </w:rPr>
        <w:t>1.0 INTRODUCTION</w:t>
      </w:r>
    </w:p>
    <w:p w14:paraId="6A54A365" w14:textId="77777777" w:rsidR="007061A9" w:rsidRPr="00C4246B" w:rsidRDefault="00A70CD1" w:rsidP="00A70CD1">
      <w:pPr>
        <w:jc w:val="both"/>
        <w:rPr>
          <w:rFonts w:ascii="Arial" w:hAnsi="Arial" w:cs="Arial"/>
          <w:sz w:val="20"/>
        </w:rPr>
      </w:pPr>
      <w:bookmarkStart w:id="3" w:name="_Hlk204070231"/>
      <w:r w:rsidRPr="00C4246B">
        <w:rPr>
          <w:rFonts w:ascii="Arial" w:hAnsi="Arial" w:cs="Arial"/>
          <w:sz w:val="20"/>
        </w:rPr>
        <w:t>Sharp oil</w:t>
      </w:r>
      <w:r w:rsidRPr="00C4246B">
        <w:rPr>
          <w:rFonts w:asciiTheme="majorBidi" w:hAnsiTheme="majorBidi" w:cs="Arial"/>
          <w:sz w:val="20"/>
        </w:rPr>
        <w:t>‐</w:t>
      </w:r>
      <w:r w:rsidRPr="00C4246B">
        <w:rPr>
          <w:rFonts w:ascii="Arial" w:hAnsi="Arial" w:cs="Arial"/>
          <w:sz w:val="20"/>
        </w:rPr>
        <w:t>price fluctuations have precipitated large fiscal deficits, exchange</w:t>
      </w:r>
      <w:r w:rsidRPr="00C4246B">
        <w:rPr>
          <w:rFonts w:asciiTheme="majorBidi" w:hAnsiTheme="majorBidi" w:cs="Arial"/>
          <w:sz w:val="20"/>
        </w:rPr>
        <w:t>‐</w:t>
      </w:r>
      <w:r w:rsidRPr="00C4246B">
        <w:rPr>
          <w:rFonts w:ascii="Arial" w:hAnsi="Arial" w:cs="Arial"/>
          <w:sz w:val="20"/>
        </w:rPr>
        <w:t xml:space="preserve">rate misalignments, and erratic output growth, undermining macroeconomic stability and long-term development goals. While multivariate techniques such as cointegration analyses, vector </w:t>
      </w:r>
    </w:p>
    <w:p w14:paraId="4C0D49EF" w14:textId="77777777" w:rsidR="00A70CD1" w:rsidRPr="00C4246B" w:rsidRDefault="00A70CD1" w:rsidP="00A70CD1">
      <w:pPr>
        <w:jc w:val="both"/>
        <w:rPr>
          <w:rFonts w:ascii="Arial" w:hAnsi="Arial" w:cs="Arial"/>
          <w:sz w:val="20"/>
        </w:rPr>
      </w:pPr>
      <w:r w:rsidRPr="00C4246B">
        <w:rPr>
          <w:rFonts w:ascii="Arial" w:hAnsi="Arial" w:cs="Arial"/>
          <w:sz w:val="20"/>
        </w:rPr>
        <w:lastRenderedPageBreak/>
        <w:t>error</w:t>
      </w:r>
      <w:r w:rsidRPr="00C4246B">
        <w:rPr>
          <w:rFonts w:asciiTheme="majorBidi" w:hAnsiTheme="majorBidi" w:cs="Arial"/>
          <w:sz w:val="20"/>
        </w:rPr>
        <w:t>‐</w:t>
      </w:r>
      <w:r w:rsidRPr="00C4246B">
        <w:rPr>
          <w:rFonts w:ascii="Arial" w:hAnsi="Arial" w:cs="Arial"/>
          <w:sz w:val="20"/>
        </w:rPr>
        <w:t>correction models, and dynamic panel estimators have shed light on the oil-growth nexus in other settings, Nigeria’s particular combination of extreme hydrocarbon dependence, frequent policy regime shifts, and regional heterogeneity demands a dedicated, country-specific inquiry.</w:t>
      </w:r>
    </w:p>
    <w:p w14:paraId="34DA3369" w14:textId="77777777" w:rsidR="00D86A60" w:rsidRPr="00C4246B" w:rsidRDefault="00D86A60" w:rsidP="00D86A60">
      <w:pPr>
        <w:jc w:val="both"/>
        <w:rPr>
          <w:rFonts w:ascii="Arial" w:hAnsi="Arial" w:cs="Arial"/>
          <w:sz w:val="20"/>
        </w:rPr>
      </w:pPr>
      <w:r w:rsidRPr="00C4246B">
        <w:rPr>
          <w:rFonts w:ascii="Arial" w:hAnsi="Arial" w:cs="Arial"/>
          <w:sz w:val="20"/>
        </w:rPr>
        <w:t>Oil</w:t>
      </w:r>
      <w:r w:rsidRPr="00C4246B">
        <w:rPr>
          <w:rFonts w:asciiTheme="majorBidi" w:hAnsiTheme="majorBidi" w:cs="Arial"/>
          <w:sz w:val="20"/>
        </w:rPr>
        <w:t>‐</w:t>
      </w:r>
      <w:r w:rsidRPr="00C4246B">
        <w:rPr>
          <w:rFonts w:ascii="Arial" w:hAnsi="Arial" w:cs="Arial"/>
          <w:sz w:val="20"/>
        </w:rPr>
        <w:t>price changes yield asymmetric macro</w:t>
      </w:r>
      <w:r w:rsidRPr="00C4246B">
        <w:rPr>
          <w:rFonts w:asciiTheme="majorBidi" w:hAnsiTheme="majorBidi" w:cs="Arial"/>
          <w:sz w:val="20"/>
        </w:rPr>
        <w:t>‐</w:t>
      </w:r>
      <w:r w:rsidRPr="00C4246B">
        <w:rPr>
          <w:rFonts w:ascii="Arial" w:hAnsi="Arial" w:cs="Arial"/>
          <w:sz w:val="20"/>
        </w:rPr>
        <w:t>responses expansions more than contractions (</w:t>
      </w:r>
      <w:proofErr w:type="spellStart"/>
      <w:r w:rsidRPr="00C4246B">
        <w:rPr>
          <w:rFonts w:ascii="Arial" w:hAnsi="Arial" w:cs="Arial"/>
          <w:sz w:val="20"/>
        </w:rPr>
        <w:t>Gisser</w:t>
      </w:r>
      <w:proofErr w:type="spellEnd"/>
      <w:r w:rsidRPr="00C4246B">
        <w:rPr>
          <w:rFonts w:ascii="Arial" w:hAnsi="Arial" w:cs="Arial"/>
          <w:sz w:val="20"/>
        </w:rPr>
        <w:t xml:space="preserve"> &amp; Goodwin, 1986).  </w:t>
      </w:r>
      <w:proofErr w:type="spellStart"/>
      <w:r w:rsidRPr="00C4246B">
        <w:rPr>
          <w:rFonts w:ascii="Arial" w:hAnsi="Arial" w:cs="Arial"/>
          <w:sz w:val="20"/>
        </w:rPr>
        <w:t>Ayadi</w:t>
      </w:r>
      <w:proofErr w:type="spellEnd"/>
      <w:r w:rsidRPr="00C4246B">
        <w:rPr>
          <w:rFonts w:ascii="Arial" w:hAnsi="Arial" w:cs="Arial"/>
          <w:sz w:val="20"/>
        </w:rPr>
        <w:t>, Chatterjee, and Obi (2000) apply vector autoregressive (VAR) model on 1975-1994 Nigeria data, revealing that oil</w:t>
      </w:r>
      <w:r w:rsidRPr="00C4246B">
        <w:rPr>
          <w:rFonts w:asciiTheme="majorBidi" w:hAnsiTheme="majorBidi" w:cs="Arial"/>
          <w:sz w:val="20"/>
        </w:rPr>
        <w:t>‐</w:t>
      </w:r>
      <w:r w:rsidRPr="00C4246B">
        <w:rPr>
          <w:rFonts w:ascii="Arial" w:hAnsi="Arial" w:cs="Arial"/>
          <w:sz w:val="20"/>
        </w:rPr>
        <w:t>export shocks “prime” movements in the exchange rate, industrial production, inflation, money supply, and interest rates. Their forecast</w:t>
      </w:r>
      <w:r w:rsidRPr="00C4246B">
        <w:rPr>
          <w:rFonts w:asciiTheme="majorBidi" w:hAnsiTheme="majorBidi" w:cs="Arial"/>
          <w:sz w:val="20"/>
        </w:rPr>
        <w:t>‐</w:t>
      </w:r>
      <w:r w:rsidRPr="00C4246B">
        <w:rPr>
          <w:rFonts w:ascii="Arial" w:hAnsi="Arial" w:cs="Arial"/>
          <w:sz w:val="20"/>
        </w:rPr>
        <w:t>error variance</w:t>
      </w:r>
      <w:r w:rsidRPr="00C4246B">
        <w:rPr>
          <w:rFonts w:asciiTheme="majorBidi" w:hAnsiTheme="majorBidi" w:cs="Arial"/>
          <w:sz w:val="20"/>
        </w:rPr>
        <w:t>‐</w:t>
      </w:r>
      <w:r w:rsidRPr="00C4246B">
        <w:rPr>
          <w:rFonts w:ascii="Arial" w:hAnsi="Arial" w:cs="Arial"/>
          <w:sz w:val="20"/>
        </w:rPr>
        <w:t>decompositions and impulse</w:t>
      </w:r>
      <w:r w:rsidRPr="00C4246B">
        <w:rPr>
          <w:rFonts w:asciiTheme="majorBidi" w:hAnsiTheme="majorBidi" w:cs="Arial"/>
          <w:sz w:val="20"/>
        </w:rPr>
        <w:t>‐</w:t>
      </w:r>
      <w:r w:rsidRPr="00C4246B">
        <w:rPr>
          <w:rFonts w:ascii="Arial" w:hAnsi="Arial" w:cs="Arial"/>
          <w:sz w:val="20"/>
        </w:rPr>
        <w:t>response analyses show a persistent cycle: oil revenue swings erode reserves, fuel currency depreciation, and drive inflation, yet fail to anchor long</w:t>
      </w:r>
      <w:r w:rsidRPr="00C4246B">
        <w:rPr>
          <w:rFonts w:asciiTheme="majorBidi" w:hAnsiTheme="majorBidi" w:cs="Arial"/>
          <w:sz w:val="20"/>
        </w:rPr>
        <w:t>‐</w:t>
      </w:r>
      <w:r w:rsidRPr="00C4246B">
        <w:rPr>
          <w:rFonts w:ascii="Arial" w:hAnsi="Arial" w:cs="Arial"/>
          <w:sz w:val="20"/>
        </w:rPr>
        <w:t xml:space="preserve">term GDP growth, echoing </w:t>
      </w:r>
      <w:proofErr w:type="spellStart"/>
      <w:r w:rsidRPr="00C4246B">
        <w:rPr>
          <w:rFonts w:ascii="Arial" w:hAnsi="Arial" w:cs="Arial"/>
          <w:sz w:val="20"/>
        </w:rPr>
        <w:t>Aiyegoro’s</w:t>
      </w:r>
      <w:proofErr w:type="spellEnd"/>
      <w:r w:rsidRPr="00C4246B">
        <w:rPr>
          <w:rFonts w:ascii="Arial" w:hAnsi="Arial" w:cs="Arial"/>
          <w:sz w:val="20"/>
        </w:rPr>
        <w:t xml:space="preserve"> (1997) critique of windfall spending on public projects.</w:t>
      </w:r>
      <w:r w:rsidR="004E6B6A">
        <w:rPr>
          <w:rFonts w:ascii="Arial" w:hAnsi="Arial" w:cs="Arial"/>
          <w:sz w:val="20"/>
        </w:rPr>
        <w:t xml:space="preserve"> </w:t>
      </w:r>
      <w:r w:rsidRPr="00C4246B">
        <w:rPr>
          <w:rFonts w:ascii="Arial" w:hAnsi="Arial" w:cs="Arial"/>
          <w:sz w:val="20"/>
        </w:rPr>
        <w:t xml:space="preserve">Alhassan and </w:t>
      </w:r>
      <w:proofErr w:type="spellStart"/>
      <w:r w:rsidRPr="00C4246B">
        <w:rPr>
          <w:rFonts w:ascii="Arial" w:hAnsi="Arial" w:cs="Arial"/>
          <w:sz w:val="20"/>
        </w:rPr>
        <w:t>Kilishi</w:t>
      </w:r>
      <w:proofErr w:type="spellEnd"/>
      <w:r w:rsidRPr="00C4246B">
        <w:rPr>
          <w:rFonts w:ascii="Arial" w:hAnsi="Arial" w:cs="Arial"/>
          <w:sz w:val="20"/>
        </w:rPr>
        <w:t xml:space="preserve"> (2016) demonstrate that asymmetric models outperform symmetric GARCH</w:t>
      </w:r>
      <w:r w:rsidRPr="00C4246B">
        <w:rPr>
          <w:rFonts w:asciiTheme="majorBidi" w:hAnsiTheme="majorBidi" w:cs="Arial"/>
          <w:sz w:val="20"/>
        </w:rPr>
        <w:t>‐</w:t>
      </w:r>
      <w:r w:rsidRPr="00C4246B">
        <w:rPr>
          <w:rFonts w:ascii="Arial" w:hAnsi="Arial" w:cs="Arial"/>
          <w:sz w:val="20"/>
        </w:rPr>
        <w:t>M in forecasting Nigerian GDP, exchange rates, and interest rates. Their findings reinforce that oil</w:t>
      </w:r>
      <w:r w:rsidRPr="00C4246B">
        <w:rPr>
          <w:rFonts w:asciiTheme="majorBidi" w:hAnsiTheme="majorBidi" w:cs="Arial"/>
          <w:sz w:val="20"/>
        </w:rPr>
        <w:t>‐</w:t>
      </w:r>
      <w:r w:rsidRPr="00C4246B">
        <w:rPr>
          <w:rFonts w:ascii="Arial" w:hAnsi="Arial" w:cs="Arial"/>
          <w:sz w:val="20"/>
        </w:rPr>
        <w:t xml:space="preserve">price variance is the dominant source of Nigerian macroeconomic volatility. Regression based approaches provide complementary insights. </w:t>
      </w:r>
      <w:proofErr w:type="spellStart"/>
      <w:r w:rsidRPr="00C4246B">
        <w:rPr>
          <w:rFonts w:ascii="Arial" w:hAnsi="Arial" w:cs="Arial"/>
          <w:sz w:val="20"/>
        </w:rPr>
        <w:t>Awujola</w:t>
      </w:r>
      <w:proofErr w:type="spellEnd"/>
      <w:r w:rsidRPr="00C4246B">
        <w:rPr>
          <w:rFonts w:ascii="Arial" w:hAnsi="Arial" w:cs="Arial"/>
          <w:sz w:val="20"/>
        </w:rPr>
        <w:t xml:space="preserve">, </w:t>
      </w:r>
      <w:proofErr w:type="spellStart"/>
      <w:r w:rsidRPr="00C4246B">
        <w:rPr>
          <w:rFonts w:ascii="Arial" w:hAnsi="Arial" w:cs="Arial"/>
          <w:sz w:val="20"/>
        </w:rPr>
        <w:t>Iyakwari</w:t>
      </w:r>
      <w:proofErr w:type="spellEnd"/>
      <w:r w:rsidRPr="00C4246B">
        <w:rPr>
          <w:rFonts w:ascii="Arial" w:hAnsi="Arial" w:cs="Arial"/>
          <w:sz w:val="20"/>
        </w:rPr>
        <w:t>, and Bot (2020) employ OLS with Dickey</w:t>
      </w:r>
      <w:r w:rsidRPr="00C4246B">
        <w:rPr>
          <w:rFonts w:asciiTheme="majorBidi" w:hAnsiTheme="majorBidi" w:cs="Arial"/>
          <w:sz w:val="20"/>
        </w:rPr>
        <w:t>‐</w:t>
      </w:r>
      <w:r w:rsidRPr="00C4246B">
        <w:rPr>
          <w:rFonts w:ascii="Arial" w:hAnsi="Arial" w:cs="Arial"/>
          <w:sz w:val="20"/>
        </w:rPr>
        <w:t>Fuller corrections, linking oil</w:t>
      </w:r>
      <w:r w:rsidRPr="00C4246B">
        <w:rPr>
          <w:rFonts w:asciiTheme="majorBidi" w:hAnsiTheme="majorBidi" w:cs="Arial"/>
          <w:sz w:val="20"/>
        </w:rPr>
        <w:t>‐</w:t>
      </w:r>
      <w:r w:rsidRPr="00C4246B">
        <w:rPr>
          <w:rFonts w:ascii="Arial" w:hAnsi="Arial" w:cs="Arial"/>
          <w:sz w:val="20"/>
        </w:rPr>
        <w:t>price shocks to GDP growth, investment, exchange</w:t>
      </w:r>
      <w:r w:rsidRPr="00C4246B">
        <w:rPr>
          <w:rFonts w:asciiTheme="majorBidi" w:hAnsiTheme="majorBidi" w:cs="Arial"/>
          <w:sz w:val="20"/>
        </w:rPr>
        <w:t>‐</w:t>
      </w:r>
      <w:r w:rsidRPr="00C4246B">
        <w:rPr>
          <w:rFonts w:ascii="Arial" w:hAnsi="Arial" w:cs="Arial"/>
          <w:sz w:val="20"/>
        </w:rPr>
        <w:t>rate revaluation, and inflation, and find that oil</w:t>
      </w:r>
      <w:r w:rsidRPr="00C4246B">
        <w:rPr>
          <w:rFonts w:asciiTheme="majorBidi" w:hAnsiTheme="majorBidi" w:cs="Arial"/>
          <w:sz w:val="20"/>
        </w:rPr>
        <w:t>‐</w:t>
      </w:r>
      <w:r w:rsidRPr="00C4246B">
        <w:rPr>
          <w:rFonts w:ascii="Arial" w:hAnsi="Arial" w:cs="Arial"/>
          <w:sz w:val="20"/>
        </w:rPr>
        <w:t>price movements are positively correlated with growth and currency strength: contrary to inflationary expectations.</w:t>
      </w:r>
    </w:p>
    <w:p w14:paraId="31F317F7" w14:textId="77777777" w:rsidR="00A70CD1" w:rsidRPr="00C4246B" w:rsidRDefault="00A70CD1" w:rsidP="00A70CD1">
      <w:pPr>
        <w:jc w:val="both"/>
        <w:rPr>
          <w:rFonts w:ascii="Arial" w:hAnsi="Arial" w:cs="Arial"/>
          <w:sz w:val="20"/>
        </w:rPr>
      </w:pPr>
      <w:r w:rsidRPr="00C4246B">
        <w:rPr>
          <w:rFonts w:ascii="Arial" w:hAnsi="Arial" w:cs="Arial"/>
          <w:sz w:val="20"/>
        </w:rPr>
        <w:t>This study employs a first-difference vector autoregression (VAR) framework to fill that gap. Drawing on annual data from 1990 to 2023, we pursue three core objectives: (1) to investigate the causal relationship between oil prices and real GDP using orthogonalized impulse-response functions (IRFs); (2) to determine Nigeria’s resilience to oil-price shocks via forecast-error variance decomposition (FEVD); and (3) to provide empirical justification for diversification strategies by quantifying the share of output variability attributable to oil volatility. By focusing on a transparent VAR specification, rigorously tested for stationarity and optimized for lag length</w:t>
      </w:r>
      <w:r w:rsidR="00CC64AB" w:rsidRPr="00C4246B">
        <w:rPr>
          <w:rFonts w:ascii="Arial" w:hAnsi="Arial" w:cs="Arial"/>
          <w:sz w:val="20"/>
        </w:rPr>
        <w:t xml:space="preserve">, </w:t>
      </w:r>
      <w:r w:rsidRPr="00C4246B">
        <w:rPr>
          <w:rFonts w:ascii="Arial" w:hAnsi="Arial" w:cs="Arial"/>
          <w:sz w:val="20"/>
        </w:rPr>
        <w:t>this paper offers robust, policy-relevant estimates of shock transmission and persistence.</w:t>
      </w:r>
    </w:p>
    <w:p w14:paraId="55EB29E2" w14:textId="77777777" w:rsidR="00A70CD1" w:rsidRPr="00C4246B" w:rsidRDefault="00A70CD1" w:rsidP="00A70CD1">
      <w:pPr>
        <w:jc w:val="both"/>
        <w:rPr>
          <w:rFonts w:ascii="Arial" w:hAnsi="Arial" w:cs="Arial"/>
          <w:sz w:val="20"/>
        </w:rPr>
      </w:pPr>
      <w:r w:rsidRPr="00C4246B">
        <w:rPr>
          <w:rFonts w:ascii="Arial" w:hAnsi="Arial" w:cs="Arial"/>
          <w:sz w:val="20"/>
        </w:rPr>
        <w:t>The insights generated are vital for the Federal Government, the Central Bank of Nigeria, fiscal authorities, development partners, and private investors. Precise measures of how much and how long oil shocks affect output inform the design of stabilization funds, automatic fiscal rules, reserve-management strategies, and sectoral diversification programs.</w:t>
      </w:r>
    </w:p>
    <w:p w14:paraId="39B2A40F" w14:textId="77777777" w:rsidR="00A70CD1" w:rsidRPr="00C4246B" w:rsidRDefault="00A70CD1" w:rsidP="00A70CD1">
      <w:pPr>
        <w:jc w:val="both"/>
        <w:rPr>
          <w:rFonts w:ascii="Arial" w:hAnsi="Arial" w:cs="Arial"/>
          <w:sz w:val="20"/>
        </w:rPr>
      </w:pPr>
      <w:r w:rsidRPr="00C4246B">
        <w:rPr>
          <w:rFonts w:ascii="Arial" w:hAnsi="Arial" w:cs="Arial"/>
          <w:sz w:val="20"/>
        </w:rPr>
        <w:t>The remainder of the paper is organized as follows. Section 2 reviews four empirical traditions</w:t>
      </w:r>
      <w:r w:rsidR="0022105B" w:rsidRPr="00C4246B">
        <w:rPr>
          <w:rFonts w:ascii="Arial" w:hAnsi="Arial" w:cs="Arial"/>
          <w:sz w:val="20"/>
        </w:rPr>
        <w:t xml:space="preserve"> </w:t>
      </w:r>
      <w:r w:rsidRPr="00C4246B">
        <w:rPr>
          <w:rFonts w:ascii="Arial" w:hAnsi="Arial" w:cs="Arial"/>
          <w:sz w:val="20"/>
        </w:rPr>
        <w:t>cointegration and causality, error-correction and impulse responses, panel-data techniques, and stationarity/model-uncertainty tools</w:t>
      </w:r>
      <w:r w:rsidR="0022105B" w:rsidRPr="00C4246B">
        <w:rPr>
          <w:rFonts w:ascii="Arial" w:hAnsi="Arial" w:cs="Arial"/>
          <w:sz w:val="20"/>
        </w:rPr>
        <w:t xml:space="preserve"> </w:t>
      </w:r>
      <w:r w:rsidRPr="00C4246B">
        <w:rPr>
          <w:rFonts w:ascii="Arial" w:hAnsi="Arial" w:cs="Arial"/>
          <w:sz w:val="20"/>
        </w:rPr>
        <w:t>that underpin our VAR approach. Section 3 details the data sources, unit-root diagnostics, VAR specification, IRF methodology, and FEVD computations. Section 4 presents the estimation results, interprets the dynamic responses and variance decompositions, and discusses their economic and statistical significance. Finally, Section 5 concludes with targeted policy recommendations and directions for future research.</w:t>
      </w:r>
    </w:p>
    <w:bookmarkEnd w:id="2"/>
    <w:p w14:paraId="154CAEF1" w14:textId="77777777" w:rsidR="0022105B" w:rsidRDefault="0022105B" w:rsidP="006D5887">
      <w:pPr>
        <w:jc w:val="both"/>
        <w:rPr>
          <w:rFonts w:asciiTheme="majorBidi" w:hAnsiTheme="majorBidi" w:cstheme="majorBidi"/>
          <w:b/>
          <w:bCs/>
        </w:rPr>
        <w:sectPr w:rsidR="0022105B" w:rsidSect="002F7CCF">
          <w:type w:val="continuous"/>
          <w:pgSz w:w="11906" w:h="16838"/>
          <w:pgMar w:top="1440" w:right="1440" w:bottom="1440" w:left="1440" w:header="708" w:footer="708" w:gutter="0"/>
          <w:cols w:space="708"/>
          <w:docGrid w:linePitch="360"/>
        </w:sectPr>
      </w:pPr>
    </w:p>
    <w:p w14:paraId="39DFFEB6" w14:textId="77777777" w:rsidR="006D5887" w:rsidRPr="0010477F" w:rsidRDefault="006D5887" w:rsidP="006D5887">
      <w:pPr>
        <w:jc w:val="both"/>
        <w:rPr>
          <w:rFonts w:ascii="Arial" w:hAnsi="Arial" w:cs="Arial"/>
          <w:b/>
          <w:bCs/>
          <w:sz w:val="20"/>
        </w:rPr>
      </w:pPr>
      <w:r w:rsidRPr="0010477F">
        <w:rPr>
          <w:rFonts w:ascii="Arial" w:hAnsi="Arial" w:cs="Arial"/>
          <w:b/>
          <w:bCs/>
          <w:sz w:val="20"/>
        </w:rPr>
        <w:t>2.0 LITERATURE REVIEW</w:t>
      </w:r>
    </w:p>
    <w:p w14:paraId="613B5791" w14:textId="77777777" w:rsidR="006D5887" w:rsidRPr="0010477F" w:rsidRDefault="006D5887" w:rsidP="006D5887">
      <w:pPr>
        <w:jc w:val="both"/>
        <w:rPr>
          <w:rFonts w:ascii="Arial" w:hAnsi="Arial" w:cs="Arial"/>
          <w:sz w:val="20"/>
        </w:rPr>
      </w:pPr>
      <w:r w:rsidRPr="0010477F">
        <w:rPr>
          <w:rFonts w:ascii="Arial" w:hAnsi="Arial" w:cs="Arial"/>
          <w:sz w:val="20"/>
        </w:rPr>
        <w:t>To develop a Nuanced VAR for Nigeria’s Oil</w:t>
      </w:r>
      <w:r w:rsidRPr="0010477F">
        <w:rPr>
          <w:rFonts w:asciiTheme="majorBidi" w:hAnsiTheme="majorBidi" w:cs="Arial"/>
          <w:sz w:val="20"/>
        </w:rPr>
        <w:t>‐</w:t>
      </w:r>
      <w:r w:rsidRPr="0010477F">
        <w:rPr>
          <w:rFonts w:ascii="Arial" w:hAnsi="Arial" w:cs="Arial"/>
          <w:sz w:val="20"/>
        </w:rPr>
        <w:t>GDP Nexus, we draw on four core empirical traditions. Each has proven indispensable in tracing the dynamics of growth and commodity shocks, yet Nigeria’s extreme oil</w:t>
      </w:r>
      <w:r w:rsidRPr="0010477F">
        <w:rPr>
          <w:rFonts w:asciiTheme="majorBidi" w:hAnsiTheme="majorBidi" w:cs="Arial"/>
          <w:sz w:val="20"/>
        </w:rPr>
        <w:t>‐</w:t>
      </w:r>
      <w:r w:rsidRPr="0010477F">
        <w:rPr>
          <w:rFonts w:ascii="Arial" w:hAnsi="Arial" w:cs="Arial"/>
          <w:sz w:val="20"/>
        </w:rPr>
        <w:t>dependence and recurring policy shifts create an urgent need for a dedicated Vector Autoregression study:</w:t>
      </w:r>
    </w:p>
    <w:p w14:paraId="3C9B5282" w14:textId="77777777" w:rsidR="006D5887" w:rsidRPr="0010477F" w:rsidRDefault="006D5887" w:rsidP="006D5887">
      <w:pPr>
        <w:jc w:val="both"/>
        <w:rPr>
          <w:rFonts w:ascii="Arial" w:hAnsi="Arial" w:cs="Arial"/>
          <w:sz w:val="20"/>
        </w:rPr>
      </w:pPr>
      <w:r w:rsidRPr="0010477F">
        <w:rPr>
          <w:rFonts w:ascii="Arial" w:hAnsi="Arial" w:cs="Arial"/>
          <w:sz w:val="20"/>
        </w:rPr>
        <w:t>Cointegration &amp; Causality</w:t>
      </w:r>
      <w:r w:rsidR="0006180C" w:rsidRPr="0010477F">
        <w:rPr>
          <w:rFonts w:ascii="Arial" w:hAnsi="Arial" w:cs="Arial"/>
          <w:sz w:val="20"/>
        </w:rPr>
        <w:t>:</w:t>
      </w:r>
      <w:r w:rsidRPr="0010477F">
        <w:rPr>
          <w:rFonts w:ascii="Arial" w:hAnsi="Arial" w:cs="Arial"/>
          <w:sz w:val="20"/>
        </w:rPr>
        <w:t xml:space="preserve"> Johansen’s co</w:t>
      </w:r>
      <w:r w:rsidRPr="0010477F">
        <w:rPr>
          <w:rFonts w:asciiTheme="majorBidi" w:hAnsiTheme="majorBidi" w:cs="Arial"/>
          <w:sz w:val="20"/>
        </w:rPr>
        <w:t>‐</w:t>
      </w:r>
      <w:r w:rsidRPr="0010477F">
        <w:rPr>
          <w:rFonts w:ascii="Arial" w:hAnsi="Arial" w:cs="Arial"/>
          <w:sz w:val="20"/>
        </w:rPr>
        <w:t>integration framework, paired with Granger causality tests, remains the gold standard for establishing long</w:t>
      </w:r>
      <w:r w:rsidRPr="0010477F">
        <w:rPr>
          <w:rFonts w:asciiTheme="majorBidi" w:hAnsiTheme="majorBidi" w:cs="Arial"/>
          <w:sz w:val="20"/>
        </w:rPr>
        <w:t>‐</w:t>
      </w:r>
      <w:r w:rsidRPr="0010477F">
        <w:rPr>
          <w:rFonts w:ascii="Arial" w:hAnsi="Arial" w:cs="Arial"/>
          <w:sz w:val="20"/>
        </w:rPr>
        <w:t>run relationships and lead–lag effects among GDP, oil prices, and macro</w:t>
      </w:r>
      <w:r w:rsidRPr="0010477F">
        <w:rPr>
          <w:rFonts w:asciiTheme="majorBidi" w:hAnsiTheme="majorBidi" w:cs="Arial"/>
          <w:sz w:val="20"/>
        </w:rPr>
        <w:t>‐</w:t>
      </w:r>
      <w:r w:rsidRPr="0010477F">
        <w:rPr>
          <w:rFonts w:ascii="Arial" w:hAnsi="Arial" w:cs="Arial"/>
          <w:sz w:val="20"/>
        </w:rPr>
        <w:t xml:space="preserve">controls. Studies such as Bhat (1995), Chandra (2003), </w:t>
      </w:r>
      <w:proofErr w:type="spellStart"/>
      <w:r w:rsidRPr="0010477F">
        <w:rPr>
          <w:rFonts w:ascii="Arial" w:hAnsi="Arial" w:cs="Arial"/>
          <w:sz w:val="20"/>
        </w:rPr>
        <w:t>Padhan</w:t>
      </w:r>
      <w:proofErr w:type="spellEnd"/>
      <w:r w:rsidRPr="0010477F">
        <w:rPr>
          <w:rFonts w:ascii="Arial" w:hAnsi="Arial" w:cs="Arial"/>
          <w:sz w:val="20"/>
        </w:rPr>
        <w:t xml:space="preserve"> (2004), Pandey (2006), and Pradhan (2010) confirm that export</w:t>
      </w:r>
      <w:r w:rsidRPr="0010477F">
        <w:rPr>
          <w:rFonts w:asciiTheme="majorBidi" w:hAnsiTheme="majorBidi" w:cs="Arial"/>
          <w:sz w:val="20"/>
        </w:rPr>
        <w:t>‐</w:t>
      </w:r>
      <w:r w:rsidRPr="0010477F">
        <w:rPr>
          <w:rFonts w:ascii="Arial" w:hAnsi="Arial" w:cs="Arial"/>
          <w:sz w:val="20"/>
        </w:rPr>
        <w:t xml:space="preserve">led dynamics in India only yield consistent policy lessons once cointegrating equilibria and causality directions are jointly tested. Kumari and Malhotra (2014) further show how sample period or variable choice can flip causality, underscoring the </w:t>
      </w:r>
      <w:r w:rsidRPr="0010477F">
        <w:rPr>
          <w:rFonts w:ascii="Arial" w:hAnsi="Arial" w:cs="Arial"/>
          <w:sz w:val="20"/>
        </w:rPr>
        <w:lastRenderedPageBreak/>
        <w:t>necessity of embedding Nigeria’s oil–GDP VAR in a rigorous co</w:t>
      </w:r>
      <w:r w:rsidRPr="0010477F">
        <w:rPr>
          <w:rFonts w:asciiTheme="majorBidi" w:hAnsiTheme="majorBidi" w:cs="Arial"/>
          <w:sz w:val="20"/>
        </w:rPr>
        <w:t>‐</w:t>
      </w:r>
      <w:r w:rsidRPr="0010477F">
        <w:rPr>
          <w:rFonts w:ascii="Arial" w:hAnsi="Arial" w:cs="Arial"/>
          <w:sz w:val="20"/>
        </w:rPr>
        <w:t>integration setting</w:t>
      </w:r>
      <w:r w:rsidR="00577A0F">
        <w:rPr>
          <w:rFonts w:ascii="Arial" w:hAnsi="Arial" w:cs="Arial"/>
          <w:sz w:val="20"/>
        </w:rPr>
        <w:t xml:space="preserve"> </w:t>
      </w:r>
      <w:r w:rsidRPr="0010477F">
        <w:rPr>
          <w:rFonts w:ascii="Arial" w:hAnsi="Arial" w:cs="Arial"/>
          <w:sz w:val="20"/>
        </w:rPr>
        <w:t>whether Johansen or ARDL</w:t>
      </w:r>
      <w:r w:rsidR="00577A0F">
        <w:rPr>
          <w:rFonts w:ascii="Arial" w:hAnsi="Arial" w:cs="Arial"/>
          <w:sz w:val="20"/>
        </w:rPr>
        <w:t xml:space="preserve"> </w:t>
      </w:r>
      <w:r w:rsidRPr="0010477F">
        <w:rPr>
          <w:rFonts w:ascii="Arial" w:hAnsi="Arial" w:cs="Arial"/>
          <w:sz w:val="20"/>
        </w:rPr>
        <w:t>before drawing policy conclusions.</w:t>
      </w:r>
    </w:p>
    <w:p w14:paraId="2DB9103B" w14:textId="77777777" w:rsidR="006D5887" w:rsidRPr="0010477F" w:rsidRDefault="006D5887" w:rsidP="006D5887">
      <w:pPr>
        <w:jc w:val="both"/>
        <w:rPr>
          <w:rFonts w:ascii="Arial" w:hAnsi="Arial" w:cs="Arial"/>
          <w:sz w:val="20"/>
        </w:rPr>
      </w:pPr>
      <w:r w:rsidRPr="0010477F">
        <w:rPr>
          <w:rFonts w:ascii="Arial" w:hAnsi="Arial" w:cs="Arial"/>
          <w:sz w:val="20"/>
        </w:rPr>
        <w:t>Error</w:t>
      </w:r>
      <w:r w:rsidRPr="0010477F">
        <w:rPr>
          <w:rFonts w:asciiTheme="majorBidi" w:hAnsiTheme="majorBidi" w:cs="Arial"/>
          <w:sz w:val="20"/>
        </w:rPr>
        <w:t>‐</w:t>
      </w:r>
      <w:r w:rsidRPr="0010477F">
        <w:rPr>
          <w:rFonts w:ascii="Arial" w:hAnsi="Arial" w:cs="Arial"/>
          <w:sz w:val="20"/>
        </w:rPr>
        <w:t>Correction &amp; Impulse Responses</w:t>
      </w:r>
      <w:r w:rsidR="0006180C" w:rsidRPr="0010477F">
        <w:rPr>
          <w:rFonts w:ascii="Arial" w:hAnsi="Arial" w:cs="Arial"/>
          <w:sz w:val="20"/>
        </w:rPr>
        <w:t>:</w:t>
      </w:r>
      <w:r w:rsidRPr="0010477F">
        <w:rPr>
          <w:rFonts w:ascii="Arial" w:hAnsi="Arial" w:cs="Arial"/>
          <w:sz w:val="20"/>
        </w:rPr>
        <w:t xml:space="preserve"> Vector Error</w:t>
      </w:r>
      <w:r w:rsidRPr="0010477F">
        <w:rPr>
          <w:rFonts w:asciiTheme="majorBidi" w:hAnsiTheme="majorBidi" w:cs="Arial"/>
          <w:sz w:val="20"/>
        </w:rPr>
        <w:t>‐</w:t>
      </w:r>
      <w:r w:rsidRPr="0010477F">
        <w:rPr>
          <w:rFonts w:ascii="Arial" w:hAnsi="Arial" w:cs="Arial"/>
          <w:sz w:val="20"/>
        </w:rPr>
        <w:t>Correction Models (VECMs) layer short</w:t>
      </w:r>
      <w:r w:rsidRPr="0010477F">
        <w:rPr>
          <w:rFonts w:asciiTheme="majorBidi" w:hAnsiTheme="majorBidi" w:cs="Arial"/>
          <w:sz w:val="20"/>
        </w:rPr>
        <w:t>‐</w:t>
      </w:r>
      <w:r w:rsidRPr="0010477F">
        <w:rPr>
          <w:rFonts w:ascii="Arial" w:hAnsi="Arial" w:cs="Arial"/>
          <w:sz w:val="20"/>
        </w:rPr>
        <w:t>run dynamics onto co</w:t>
      </w:r>
      <w:r w:rsidRPr="0010477F">
        <w:rPr>
          <w:rFonts w:asciiTheme="majorBidi" w:hAnsiTheme="majorBidi" w:cs="Arial"/>
          <w:sz w:val="20"/>
        </w:rPr>
        <w:t>‐</w:t>
      </w:r>
      <w:r w:rsidRPr="0010477F">
        <w:rPr>
          <w:rFonts w:ascii="Arial" w:hAnsi="Arial" w:cs="Arial"/>
          <w:sz w:val="20"/>
        </w:rPr>
        <w:t>integrated systems via the Error</w:t>
      </w:r>
      <w:r w:rsidRPr="0010477F">
        <w:rPr>
          <w:rFonts w:asciiTheme="majorBidi" w:hAnsiTheme="majorBidi" w:cs="Arial"/>
          <w:sz w:val="20"/>
        </w:rPr>
        <w:t>‐</w:t>
      </w:r>
      <w:r w:rsidRPr="0010477F">
        <w:rPr>
          <w:rFonts w:ascii="Arial" w:hAnsi="Arial" w:cs="Arial"/>
          <w:sz w:val="20"/>
        </w:rPr>
        <w:t>Correction Term, which quantifies the speed of return to equilibrium after an oil shock. Impulse Response Functions then trace GDP’s projected path following a one</w:t>
      </w:r>
      <w:r w:rsidRPr="0010477F">
        <w:rPr>
          <w:rFonts w:asciiTheme="majorBidi" w:hAnsiTheme="majorBidi" w:cs="Arial"/>
          <w:sz w:val="20"/>
        </w:rPr>
        <w:t>‐</w:t>
      </w:r>
      <w:r w:rsidRPr="0010477F">
        <w:rPr>
          <w:rFonts w:ascii="Arial" w:hAnsi="Arial" w:cs="Arial"/>
          <w:sz w:val="20"/>
        </w:rPr>
        <w:t>standard</w:t>
      </w:r>
      <w:r w:rsidRPr="0010477F">
        <w:rPr>
          <w:rFonts w:asciiTheme="majorBidi" w:hAnsiTheme="majorBidi" w:cs="Arial"/>
          <w:sz w:val="20"/>
        </w:rPr>
        <w:t>‐</w:t>
      </w:r>
      <w:r w:rsidRPr="0010477F">
        <w:rPr>
          <w:rFonts w:ascii="Arial" w:hAnsi="Arial" w:cs="Arial"/>
          <w:sz w:val="20"/>
        </w:rPr>
        <w:t>deviation move in oil or exchange</w:t>
      </w:r>
      <w:r w:rsidRPr="0010477F">
        <w:rPr>
          <w:rFonts w:asciiTheme="majorBidi" w:hAnsiTheme="majorBidi" w:cs="Arial"/>
          <w:sz w:val="20"/>
        </w:rPr>
        <w:t>‐</w:t>
      </w:r>
      <w:r w:rsidRPr="0010477F">
        <w:rPr>
          <w:rFonts w:ascii="Arial" w:hAnsi="Arial" w:cs="Arial"/>
          <w:sz w:val="20"/>
        </w:rPr>
        <w:t>rate variables. Das and Das (2020) adopt a PMG</w:t>
      </w:r>
      <w:r w:rsidRPr="0010477F">
        <w:rPr>
          <w:rFonts w:asciiTheme="majorBidi" w:hAnsiTheme="majorBidi" w:cs="Arial"/>
          <w:sz w:val="20"/>
        </w:rPr>
        <w:t>‐</w:t>
      </w:r>
      <w:r w:rsidRPr="0010477F">
        <w:rPr>
          <w:rFonts w:ascii="Arial" w:hAnsi="Arial" w:cs="Arial"/>
          <w:sz w:val="20"/>
        </w:rPr>
        <w:t xml:space="preserve">ARDL approach in African panels, extracting both ECTs and IRFs to contrast regional dynamics. For Nigeria, an unrestricted VAR in </w:t>
      </w:r>
      <w:proofErr w:type="spellStart"/>
      <w:r w:rsidRPr="0010477F">
        <w:rPr>
          <w:rFonts w:ascii="Arial" w:hAnsi="Arial" w:cs="Arial"/>
          <w:sz w:val="20"/>
        </w:rPr>
        <w:t>levelsif</w:t>
      </w:r>
      <w:proofErr w:type="spellEnd"/>
      <w:r w:rsidRPr="0010477F">
        <w:rPr>
          <w:rFonts w:ascii="Arial" w:hAnsi="Arial" w:cs="Arial"/>
          <w:sz w:val="20"/>
        </w:rPr>
        <w:t xml:space="preserve"> co</w:t>
      </w:r>
      <w:r w:rsidRPr="0010477F">
        <w:rPr>
          <w:rFonts w:asciiTheme="majorBidi" w:hAnsiTheme="majorBidi" w:cs="Arial"/>
          <w:sz w:val="20"/>
        </w:rPr>
        <w:t>‐</w:t>
      </w:r>
      <w:r w:rsidRPr="0010477F">
        <w:rPr>
          <w:rFonts w:ascii="Arial" w:hAnsi="Arial" w:cs="Arial"/>
          <w:sz w:val="20"/>
        </w:rPr>
        <w:t xml:space="preserve">integration </w:t>
      </w:r>
      <w:proofErr w:type="spellStart"/>
      <w:r w:rsidRPr="0010477F">
        <w:rPr>
          <w:rFonts w:ascii="Arial" w:hAnsi="Arial" w:cs="Arial"/>
          <w:sz w:val="20"/>
        </w:rPr>
        <w:t>holdswill</w:t>
      </w:r>
      <w:proofErr w:type="spellEnd"/>
      <w:r w:rsidRPr="0010477F">
        <w:rPr>
          <w:rFonts w:ascii="Arial" w:hAnsi="Arial" w:cs="Arial"/>
          <w:sz w:val="20"/>
        </w:rPr>
        <w:t xml:space="preserve"> yield comparable ECT estimates and IRFs that directly inform stabilization and diversification policy.</w:t>
      </w:r>
    </w:p>
    <w:p w14:paraId="2FB07A75" w14:textId="77777777" w:rsidR="006D5887" w:rsidRPr="0010477F" w:rsidRDefault="006D5887" w:rsidP="006D5887">
      <w:pPr>
        <w:jc w:val="both"/>
        <w:rPr>
          <w:rFonts w:ascii="Arial" w:hAnsi="Arial" w:cs="Arial"/>
          <w:sz w:val="20"/>
        </w:rPr>
      </w:pPr>
      <w:r w:rsidRPr="0010477F">
        <w:rPr>
          <w:rFonts w:ascii="Arial" w:hAnsi="Arial" w:cs="Arial"/>
          <w:sz w:val="20"/>
        </w:rPr>
        <w:t>Panel &amp; Dynamic Panel Techniques</w:t>
      </w:r>
      <w:r w:rsidR="0006180C" w:rsidRPr="0010477F">
        <w:rPr>
          <w:rFonts w:ascii="Arial" w:hAnsi="Arial" w:cs="Arial"/>
          <w:sz w:val="20"/>
        </w:rPr>
        <w:t>:</w:t>
      </w:r>
      <w:r w:rsidRPr="0010477F">
        <w:rPr>
          <w:rFonts w:ascii="Arial" w:hAnsi="Arial" w:cs="Arial"/>
          <w:sz w:val="20"/>
        </w:rPr>
        <w:t xml:space="preserve"> System</w:t>
      </w:r>
      <w:r w:rsidRPr="0010477F">
        <w:rPr>
          <w:rFonts w:asciiTheme="majorBidi" w:hAnsiTheme="majorBidi" w:cs="Arial"/>
          <w:sz w:val="20"/>
        </w:rPr>
        <w:t>‐</w:t>
      </w:r>
      <w:r w:rsidRPr="0010477F">
        <w:rPr>
          <w:rFonts w:ascii="Arial" w:hAnsi="Arial" w:cs="Arial"/>
          <w:sz w:val="20"/>
        </w:rPr>
        <w:t>GMM (Blundell &amp; Bond, 1998) corrects for endogeneity in lagged</w:t>
      </w:r>
      <w:r w:rsidRPr="0010477F">
        <w:rPr>
          <w:rFonts w:asciiTheme="majorBidi" w:hAnsiTheme="majorBidi" w:cs="Arial"/>
          <w:sz w:val="20"/>
        </w:rPr>
        <w:t>‐</w:t>
      </w:r>
      <w:r w:rsidRPr="0010477F">
        <w:rPr>
          <w:rFonts w:ascii="Arial" w:hAnsi="Arial" w:cs="Arial"/>
          <w:sz w:val="20"/>
        </w:rPr>
        <w:t xml:space="preserve">GDP and contemporaneous regressors, as shown by </w:t>
      </w:r>
      <w:proofErr w:type="spellStart"/>
      <w:r w:rsidRPr="0010477F">
        <w:rPr>
          <w:rFonts w:ascii="Arial" w:hAnsi="Arial" w:cs="Arial"/>
          <w:sz w:val="20"/>
        </w:rPr>
        <w:t>Akinlo</w:t>
      </w:r>
      <w:proofErr w:type="spellEnd"/>
      <w:r w:rsidRPr="0010477F">
        <w:rPr>
          <w:rFonts w:ascii="Arial" w:hAnsi="Arial" w:cs="Arial"/>
          <w:sz w:val="20"/>
        </w:rPr>
        <w:t xml:space="preserve"> (</w:t>
      </w:r>
      <w:proofErr w:type="gramStart"/>
      <w:r w:rsidRPr="0010477F">
        <w:rPr>
          <w:rFonts w:ascii="Arial" w:hAnsi="Arial" w:cs="Arial"/>
          <w:sz w:val="20"/>
        </w:rPr>
        <w:t>2016)across</w:t>
      </w:r>
      <w:proofErr w:type="gramEnd"/>
      <w:r w:rsidRPr="0010477F">
        <w:rPr>
          <w:rFonts w:ascii="Arial" w:hAnsi="Arial" w:cs="Arial"/>
          <w:sz w:val="20"/>
        </w:rPr>
        <w:t xml:space="preserve"> Sub</w:t>
      </w:r>
      <w:r w:rsidRPr="0010477F">
        <w:rPr>
          <w:rFonts w:asciiTheme="majorBidi" w:hAnsiTheme="majorBidi" w:cs="Arial"/>
          <w:sz w:val="20"/>
        </w:rPr>
        <w:t>‐</w:t>
      </w:r>
      <w:r w:rsidRPr="0010477F">
        <w:rPr>
          <w:rFonts w:ascii="Arial" w:hAnsi="Arial" w:cs="Arial"/>
          <w:sz w:val="20"/>
        </w:rPr>
        <w:t>Saharan panels. The Pooled Mean Group estimator (</w:t>
      </w:r>
      <w:proofErr w:type="spellStart"/>
      <w:r w:rsidRPr="0010477F">
        <w:rPr>
          <w:rFonts w:ascii="Arial" w:hAnsi="Arial" w:cs="Arial"/>
          <w:sz w:val="20"/>
        </w:rPr>
        <w:t>Pesaran</w:t>
      </w:r>
      <w:proofErr w:type="spellEnd"/>
      <w:r w:rsidRPr="0010477F">
        <w:rPr>
          <w:rFonts w:ascii="Arial" w:hAnsi="Arial" w:cs="Arial"/>
          <w:sz w:val="20"/>
        </w:rPr>
        <w:t>, Shin, &amp; Smith, 1999) blends common long</w:t>
      </w:r>
      <w:r w:rsidRPr="0010477F">
        <w:rPr>
          <w:rFonts w:asciiTheme="majorBidi" w:hAnsiTheme="majorBidi" w:cs="Arial"/>
          <w:sz w:val="20"/>
        </w:rPr>
        <w:t>‐</w:t>
      </w:r>
      <w:r w:rsidRPr="0010477F">
        <w:rPr>
          <w:rFonts w:ascii="Arial" w:hAnsi="Arial" w:cs="Arial"/>
          <w:sz w:val="20"/>
        </w:rPr>
        <w:t>run slopes with heterogeneous short</w:t>
      </w:r>
      <w:r w:rsidRPr="0010477F">
        <w:rPr>
          <w:rFonts w:asciiTheme="majorBidi" w:hAnsiTheme="majorBidi" w:cs="Arial"/>
          <w:sz w:val="20"/>
        </w:rPr>
        <w:t>‐</w:t>
      </w:r>
      <w:r w:rsidRPr="0010477F">
        <w:rPr>
          <w:rFonts w:ascii="Arial" w:hAnsi="Arial" w:cs="Arial"/>
          <w:sz w:val="20"/>
        </w:rPr>
        <w:t xml:space="preserve">run dynamics, a technique leveraged by </w:t>
      </w:r>
      <w:proofErr w:type="spellStart"/>
      <w:r w:rsidRPr="0010477F">
        <w:rPr>
          <w:rFonts w:ascii="Arial" w:hAnsi="Arial" w:cs="Arial"/>
          <w:sz w:val="20"/>
        </w:rPr>
        <w:t>Aladejare</w:t>
      </w:r>
      <w:proofErr w:type="spellEnd"/>
      <w:r w:rsidRPr="0010477F">
        <w:rPr>
          <w:rFonts w:ascii="Arial" w:hAnsi="Arial" w:cs="Arial"/>
          <w:sz w:val="20"/>
        </w:rPr>
        <w:t xml:space="preserve"> (2020) in ECOWAS/COMESA. While our focus is time</w:t>
      </w:r>
      <w:r w:rsidRPr="0010477F">
        <w:rPr>
          <w:rFonts w:asciiTheme="majorBidi" w:hAnsiTheme="majorBidi" w:cs="Arial"/>
          <w:sz w:val="20"/>
        </w:rPr>
        <w:t>‐</w:t>
      </w:r>
      <w:r w:rsidRPr="0010477F">
        <w:rPr>
          <w:rFonts w:ascii="Arial" w:hAnsi="Arial" w:cs="Arial"/>
          <w:sz w:val="20"/>
        </w:rPr>
        <w:t>series, Nigeria’s state</w:t>
      </w:r>
      <w:r w:rsidRPr="0010477F">
        <w:rPr>
          <w:rFonts w:asciiTheme="majorBidi" w:hAnsiTheme="majorBidi" w:cs="Arial"/>
          <w:sz w:val="20"/>
        </w:rPr>
        <w:t>‐</w:t>
      </w:r>
      <w:r w:rsidRPr="0010477F">
        <w:rPr>
          <w:rFonts w:ascii="Arial" w:hAnsi="Arial" w:cs="Arial"/>
          <w:sz w:val="20"/>
        </w:rPr>
        <w:t>level oil exposures and repeated fiscal regime shifts may mimic panel</w:t>
      </w:r>
      <w:r w:rsidRPr="0010477F">
        <w:rPr>
          <w:rFonts w:asciiTheme="majorBidi" w:hAnsiTheme="majorBidi" w:cs="Arial"/>
          <w:sz w:val="20"/>
        </w:rPr>
        <w:t>‐</w:t>
      </w:r>
      <w:r w:rsidRPr="0010477F">
        <w:rPr>
          <w:rFonts w:ascii="Arial" w:hAnsi="Arial" w:cs="Arial"/>
          <w:sz w:val="20"/>
        </w:rPr>
        <w:t>type heterogeneity, arguing for robustness checks against structural breaks.</w:t>
      </w:r>
    </w:p>
    <w:p w14:paraId="205697DF" w14:textId="77777777" w:rsidR="006D5887" w:rsidRPr="0010477F" w:rsidRDefault="006D5887" w:rsidP="006D5887">
      <w:pPr>
        <w:jc w:val="both"/>
        <w:rPr>
          <w:rFonts w:ascii="Arial" w:hAnsi="Arial" w:cs="Arial"/>
          <w:sz w:val="20"/>
        </w:rPr>
      </w:pPr>
      <w:r w:rsidRPr="0010477F">
        <w:rPr>
          <w:rFonts w:ascii="Arial" w:hAnsi="Arial" w:cs="Arial"/>
          <w:sz w:val="20"/>
        </w:rPr>
        <w:t>Stationarity &amp; Model Uncertainty</w:t>
      </w:r>
      <w:r w:rsidR="0006180C" w:rsidRPr="0010477F">
        <w:rPr>
          <w:rFonts w:ascii="Arial" w:hAnsi="Arial" w:cs="Arial"/>
          <w:sz w:val="20"/>
        </w:rPr>
        <w:t>:</w:t>
      </w:r>
      <w:r w:rsidRPr="0010477F">
        <w:rPr>
          <w:rFonts w:ascii="Arial" w:hAnsi="Arial" w:cs="Arial"/>
          <w:sz w:val="20"/>
        </w:rPr>
        <w:t xml:space="preserve"> A full VAR demands pre</w:t>
      </w:r>
      <w:r w:rsidRPr="0010477F">
        <w:rPr>
          <w:rFonts w:asciiTheme="majorBidi" w:hAnsiTheme="majorBidi" w:cs="Arial"/>
          <w:sz w:val="20"/>
        </w:rPr>
        <w:t>‐</w:t>
      </w:r>
      <w:r w:rsidRPr="0010477F">
        <w:rPr>
          <w:rFonts w:ascii="Arial" w:hAnsi="Arial" w:cs="Arial"/>
          <w:sz w:val="20"/>
        </w:rPr>
        <w:t xml:space="preserve">testing stationarity with ADF, PP, LLC, </w:t>
      </w:r>
      <w:proofErr w:type="spellStart"/>
      <w:r w:rsidRPr="0010477F">
        <w:rPr>
          <w:rFonts w:ascii="Arial" w:hAnsi="Arial" w:cs="Arial"/>
          <w:sz w:val="20"/>
        </w:rPr>
        <w:t>Breitung</w:t>
      </w:r>
      <w:proofErr w:type="spellEnd"/>
      <w:r w:rsidRPr="0010477F">
        <w:rPr>
          <w:rFonts w:ascii="Arial" w:hAnsi="Arial" w:cs="Arial"/>
          <w:sz w:val="20"/>
        </w:rPr>
        <w:t xml:space="preserve">, IPS, and </w:t>
      </w:r>
      <w:proofErr w:type="spellStart"/>
      <w:r w:rsidRPr="0010477F">
        <w:rPr>
          <w:rFonts w:ascii="Arial" w:hAnsi="Arial" w:cs="Arial"/>
          <w:sz w:val="20"/>
        </w:rPr>
        <w:t>Pesaran</w:t>
      </w:r>
      <w:proofErr w:type="spellEnd"/>
      <w:r w:rsidRPr="0010477F">
        <w:rPr>
          <w:rFonts w:ascii="Arial" w:hAnsi="Arial" w:cs="Arial"/>
          <w:sz w:val="20"/>
        </w:rPr>
        <w:t xml:space="preserve"> CD tests. To address lag</w:t>
      </w:r>
      <w:r w:rsidRPr="0010477F">
        <w:rPr>
          <w:rFonts w:asciiTheme="majorBidi" w:hAnsiTheme="majorBidi" w:cs="Arial"/>
          <w:sz w:val="20"/>
        </w:rPr>
        <w:t>‐</w:t>
      </w:r>
      <w:r w:rsidRPr="0010477F">
        <w:rPr>
          <w:rFonts w:ascii="Arial" w:hAnsi="Arial" w:cs="Arial"/>
          <w:sz w:val="20"/>
        </w:rPr>
        <w:t>order and variable</w:t>
      </w:r>
      <w:r w:rsidRPr="0010477F">
        <w:rPr>
          <w:rFonts w:asciiTheme="majorBidi" w:hAnsiTheme="majorBidi" w:cs="Arial"/>
          <w:sz w:val="20"/>
        </w:rPr>
        <w:t>‐</w:t>
      </w:r>
      <w:r w:rsidRPr="0010477F">
        <w:rPr>
          <w:rFonts w:ascii="Arial" w:hAnsi="Arial" w:cs="Arial"/>
          <w:sz w:val="20"/>
        </w:rPr>
        <w:t>set ambiguities, Bayesian Model Averaging (Sala</w:t>
      </w:r>
      <w:r w:rsidRPr="0010477F">
        <w:rPr>
          <w:rFonts w:asciiTheme="majorBidi" w:hAnsiTheme="majorBidi" w:cs="Arial"/>
          <w:sz w:val="20"/>
        </w:rPr>
        <w:t>‐</w:t>
      </w:r>
      <w:proofErr w:type="spellStart"/>
      <w:r w:rsidRPr="0010477F">
        <w:rPr>
          <w:rFonts w:ascii="Arial" w:hAnsi="Arial" w:cs="Arial"/>
          <w:sz w:val="20"/>
        </w:rPr>
        <w:t>i</w:t>
      </w:r>
      <w:proofErr w:type="spellEnd"/>
      <w:r w:rsidRPr="0010477F">
        <w:rPr>
          <w:rFonts w:asciiTheme="majorBidi" w:hAnsiTheme="majorBidi" w:cs="Arial"/>
          <w:sz w:val="20"/>
        </w:rPr>
        <w:t>‐</w:t>
      </w:r>
      <w:r w:rsidRPr="0010477F">
        <w:rPr>
          <w:rFonts w:ascii="Arial" w:hAnsi="Arial" w:cs="Arial"/>
          <w:sz w:val="20"/>
        </w:rPr>
        <w:t>Martin et al., 2004; Fernandez, Ley, &amp; Steel, 2001) and its panel extension, BAMLE (Moral</w:t>
      </w:r>
      <w:r w:rsidRPr="0010477F">
        <w:rPr>
          <w:rFonts w:asciiTheme="majorBidi" w:hAnsiTheme="majorBidi" w:cs="Arial"/>
          <w:sz w:val="20"/>
        </w:rPr>
        <w:t>‐</w:t>
      </w:r>
      <w:r w:rsidRPr="0010477F">
        <w:rPr>
          <w:rFonts w:ascii="Arial" w:hAnsi="Arial" w:cs="Arial"/>
          <w:sz w:val="20"/>
        </w:rPr>
        <w:t>Benito, 2009), flag predictors robust to specification choices. In Nigeria’s oil</w:t>
      </w:r>
      <w:r w:rsidRPr="0010477F">
        <w:rPr>
          <w:rFonts w:asciiTheme="majorBidi" w:hAnsiTheme="majorBidi" w:cs="Arial"/>
          <w:sz w:val="20"/>
        </w:rPr>
        <w:t>‐</w:t>
      </w:r>
      <w:r w:rsidRPr="0010477F">
        <w:rPr>
          <w:rFonts w:ascii="Arial" w:hAnsi="Arial" w:cs="Arial"/>
          <w:sz w:val="20"/>
        </w:rPr>
        <w:t>driven context, embedding Bayesian lag</w:t>
      </w:r>
      <w:r w:rsidRPr="0010477F">
        <w:rPr>
          <w:rFonts w:asciiTheme="majorBidi" w:hAnsiTheme="majorBidi" w:cs="Arial"/>
          <w:sz w:val="20"/>
        </w:rPr>
        <w:t>‐</w:t>
      </w:r>
      <w:r w:rsidRPr="0010477F">
        <w:rPr>
          <w:rFonts w:ascii="Arial" w:hAnsi="Arial" w:cs="Arial"/>
          <w:sz w:val="20"/>
        </w:rPr>
        <w:t>space or BMA within our VAR will ensure the oil</w:t>
      </w:r>
      <w:r w:rsidRPr="0010477F">
        <w:rPr>
          <w:rFonts w:asciiTheme="majorBidi" w:hAnsiTheme="majorBidi" w:cs="Arial"/>
          <w:sz w:val="20"/>
        </w:rPr>
        <w:t>‐</w:t>
      </w:r>
      <w:r w:rsidRPr="0010477F">
        <w:rPr>
          <w:rFonts w:ascii="Arial" w:hAnsi="Arial" w:cs="Arial"/>
          <w:sz w:val="20"/>
        </w:rPr>
        <w:t>price variable’s significance withstands alternative lag structures and conditioning sets.</w:t>
      </w:r>
    </w:p>
    <w:p w14:paraId="350D16C9" w14:textId="77777777" w:rsidR="006D5887" w:rsidRPr="0010477F" w:rsidRDefault="006D5887" w:rsidP="006D5887">
      <w:pPr>
        <w:jc w:val="both"/>
        <w:rPr>
          <w:rFonts w:ascii="Arial" w:hAnsi="Arial" w:cs="Arial"/>
          <w:sz w:val="20"/>
        </w:rPr>
      </w:pPr>
      <w:r w:rsidRPr="0010477F">
        <w:rPr>
          <w:rFonts w:ascii="Arial" w:hAnsi="Arial" w:cs="Arial"/>
          <w:sz w:val="20"/>
        </w:rPr>
        <w:t>The Nigeria</w:t>
      </w:r>
      <w:r w:rsidRPr="0010477F">
        <w:rPr>
          <w:rFonts w:asciiTheme="majorBidi" w:hAnsiTheme="majorBidi" w:cs="Arial"/>
          <w:sz w:val="20"/>
        </w:rPr>
        <w:t>‐</w:t>
      </w:r>
      <w:r w:rsidRPr="0010477F">
        <w:rPr>
          <w:rFonts w:ascii="Arial" w:hAnsi="Arial" w:cs="Arial"/>
          <w:sz w:val="20"/>
        </w:rPr>
        <w:t xml:space="preserve">Specific VAR </w:t>
      </w:r>
      <w:r w:rsidR="0006180C" w:rsidRPr="0010477F">
        <w:rPr>
          <w:rFonts w:ascii="Arial" w:hAnsi="Arial" w:cs="Arial"/>
          <w:sz w:val="20"/>
        </w:rPr>
        <w:t>is i</w:t>
      </w:r>
      <w:r w:rsidRPr="0010477F">
        <w:rPr>
          <w:rFonts w:ascii="Arial" w:hAnsi="Arial" w:cs="Arial"/>
          <w:sz w:val="20"/>
        </w:rPr>
        <w:t>mperative</w:t>
      </w:r>
      <w:r w:rsidR="0006180C" w:rsidRPr="0010477F">
        <w:rPr>
          <w:rFonts w:ascii="Arial" w:hAnsi="Arial" w:cs="Arial"/>
          <w:sz w:val="20"/>
        </w:rPr>
        <w:t xml:space="preserve"> because n</w:t>
      </w:r>
      <w:r w:rsidRPr="0010477F">
        <w:rPr>
          <w:rFonts w:ascii="Arial" w:hAnsi="Arial" w:cs="Arial"/>
          <w:sz w:val="20"/>
        </w:rPr>
        <w:t>o cross</w:t>
      </w:r>
      <w:r w:rsidRPr="0010477F">
        <w:rPr>
          <w:rFonts w:asciiTheme="majorBidi" w:hAnsiTheme="majorBidi" w:cs="Arial"/>
          <w:sz w:val="20"/>
        </w:rPr>
        <w:t>‐</w:t>
      </w:r>
      <w:r w:rsidRPr="0010477F">
        <w:rPr>
          <w:rFonts w:ascii="Arial" w:hAnsi="Arial" w:cs="Arial"/>
          <w:sz w:val="20"/>
        </w:rPr>
        <w:t>country panel or foreign commodity study fully captures Nigeria’s fiscal volatility, exchange</w:t>
      </w:r>
      <w:r w:rsidRPr="0010477F">
        <w:rPr>
          <w:rFonts w:asciiTheme="majorBidi" w:hAnsiTheme="majorBidi" w:cs="Arial"/>
          <w:sz w:val="20"/>
        </w:rPr>
        <w:t>‐</w:t>
      </w:r>
      <w:r w:rsidRPr="0010477F">
        <w:rPr>
          <w:rFonts w:ascii="Arial" w:hAnsi="Arial" w:cs="Arial"/>
          <w:sz w:val="20"/>
        </w:rPr>
        <w:t>rate pass</w:t>
      </w:r>
      <w:r w:rsidRPr="0010477F">
        <w:rPr>
          <w:rFonts w:asciiTheme="majorBidi" w:hAnsiTheme="majorBidi" w:cs="Arial"/>
          <w:sz w:val="20"/>
        </w:rPr>
        <w:t>‐</w:t>
      </w:r>
      <w:r w:rsidRPr="0010477F">
        <w:rPr>
          <w:rFonts w:ascii="Arial" w:hAnsi="Arial" w:cs="Arial"/>
          <w:sz w:val="20"/>
        </w:rPr>
        <w:t>through, or asymmetric oil</w:t>
      </w:r>
      <w:r w:rsidRPr="0010477F">
        <w:rPr>
          <w:rFonts w:asciiTheme="majorBidi" w:hAnsiTheme="majorBidi" w:cs="Arial"/>
          <w:sz w:val="20"/>
        </w:rPr>
        <w:t>‐</w:t>
      </w:r>
      <w:r w:rsidRPr="0010477F">
        <w:rPr>
          <w:rFonts w:ascii="Arial" w:hAnsi="Arial" w:cs="Arial"/>
          <w:sz w:val="20"/>
        </w:rPr>
        <w:t>demand cycles. A bespoke VAR will quantify the speed of GDP adjustment after global oil</w:t>
      </w:r>
      <w:r w:rsidRPr="0010477F">
        <w:rPr>
          <w:rFonts w:asciiTheme="majorBidi" w:hAnsiTheme="majorBidi" w:cs="Arial"/>
          <w:sz w:val="20"/>
        </w:rPr>
        <w:t>‐</w:t>
      </w:r>
      <w:r w:rsidRPr="0010477F">
        <w:rPr>
          <w:rFonts w:ascii="Arial" w:hAnsi="Arial" w:cs="Arial"/>
          <w:sz w:val="20"/>
        </w:rPr>
        <w:t>price shocks, guiding stabilization fund design;</w:t>
      </w:r>
      <w:r w:rsidR="00577A0F">
        <w:rPr>
          <w:rFonts w:ascii="Arial" w:hAnsi="Arial" w:cs="Arial"/>
          <w:sz w:val="20"/>
        </w:rPr>
        <w:t xml:space="preserve"> </w:t>
      </w:r>
      <w:r w:rsidRPr="0010477F">
        <w:rPr>
          <w:rFonts w:ascii="Arial" w:hAnsi="Arial" w:cs="Arial"/>
          <w:sz w:val="20"/>
        </w:rPr>
        <w:t>Bidirectional Granger causality between oil revenues and GDP, testing whether oil drives growth or vice versa; Regional spillovers via variance decompositions, showing how foreign</w:t>
      </w:r>
      <w:r w:rsidRPr="0010477F">
        <w:rPr>
          <w:rFonts w:asciiTheme="majorBidi" w:hAnsiTheme="majorBidi" w:cs="Arial"/>
          <w:sz w:val="20"/>
        </w:rPr>
        <w:t>‐</w:t>
      </w:r>
      <w:r w:rsidRPr="0010477F">
        <w:rPr>
          <w:rFonts w:ascii="Arial" w:hAnsi="Arial" w:cs="Arial"/>
          <w:sz w:val="20"/>
        </w:rPr>
        <w:t>exchange and FDI inflows cushion or amplify oil</w:t>
      </w:r>
      <w:r w:rsidRPr="0010477F">
        <w:rPr>
          <w:rFonts w:asciiTheme="majorBidi" w:hAnsiTheme="majorBidi" w:cs="Arial"/>
          <w:sz w:val="20"/>
        </w:rPr>
        <w:t>‐</w:t>
      </w:r>
      <w:r w:rsidRPr="0010477F">
        <w:rPr>
          <w:rFonts w:ascii="Arial" w:hAnsi="Arial" w:cs="Arial"/>
          <w:sz w:val="20"/>
        </w:rPr>
        <w:t>GDP movements.</w:t>
      </w:r>
    </w:p>
    <w:p w14:paraId="522FEF84" w14:textId="77777777" w:rsidR="006D5887" w:rsidRPr="0010477F" w:rsidRDefault="006D5887" w:rsidP="006D5887">
      <w:pPr>
        <w:jc w:val="both"/>
        <w:rPr>
          <w:rFonts w:ascii="Arial" w:hAnsi="Arial" w:cs="Arial"/>
          <w:sz w:val="20"/>
        </w:rPr>
      </w:pPr>
      <w:r w:rsidRPr="0010477F">
        <w:rPr>
          <w:rFonts w:ascii="Arial" w:hAnsi="Arial" w:cs="Arial"/>
          <w:sz w:val="20"/>
        </w:rPr>
        <w:t>This VAR will fill a critical gap in Nigeria’s policy toolkit</w:t>
      </w:r>
      <w:r w:rsidR="0022105B" w:rsidRPr="0010477F">
        <w:rPr>
          <w:rFonts w:ascii="Arial" w:hAnsi="Arial" w:cs="Arial"/>
          <w:sz w:val="20"/>
        </w:rPr>
        <w:t xml:space="preserve"> </w:t>
      </w:r>
      <w:r w:rsidRPr="0010477F">
        <w:rPr>
          <w:rFonts w:ascii="Arial" w:hAnsi="Arial" w:cs="Arial"/>
          <w:sz w:val="20"/>
        </w:rPr>
        <w:t>translating global oil cycles into actionable models for fiscal, monetary, and diversification strategies.</w:t>
      </w:r>
    </w:p>
    <w:p w14:paraId="14047445" w14:textId="77777777" w:rsidR="0022105B" w:rsidRPr="0010477F" w:rsidRDefault="0022105B" w:rsidP="00676EEF">
      <w:pPr>
        <w:jc w:val="both"/>
        <w:rPr>
          <w:rFonts w:ascii="Arial" w:hAnsi="Arial" w:cs="Arial"/>
          <w:b/>
          <w:bCs/>
          <w:sz w:val="20"/>
        </w:rPr>
        <w:sectPr w:rsidR="0022105B" w:rsidRPr="0010477F" w:rsidSect="002F7CCF">
          <w:type w:val="continuous"/>
          <w:pgSz w:w="11906" w:h="16838"/>
          <w:pgMar w:top="1440" w:right="1440" w:bottom="1440" w:left="1440" w:header="708" w:footer="708" w:gutter="0"/>
          <w:cols w:space="708"/>
          <w:docGrid w:linePitch="360"/>
        </w:sectPr>
      </w:pPr>
    </w:p>
    <w:p w14:paraId="09ED4254" w14:textId="77777777" w:rsidR="0022105B" w:rsidRPr="0010477F" w:rsidRDefault="0022105B" w:rsidP="00676EEF">
      <w:pPr>
        <w:jc w:val="both"/>
        <w:rPr>
          <w:rFonts w:ascii="Arial" w:hAnsi="Arial" w:cs="Arial"/>
          <w:b/>
          <w:bCs/>
          <w:sz w:val="18"/>
        </w:rPr>
        <w:sectPr w:rsidR="0022105B" w:rsidRPr="0010477F" w:rsidSect="002F7CCF">
          <w:type w:val="continuous"/>
          <w:pgSz w:w="11906" w:h="16838"/>
          <w:pgMar w:top="1440" w:right="1440" w:bottom="1440" w:left="1440" w:header="708" w:footer="708" w:gutter="0"/>
          <w:cols w:space="708"/>
          <w:docGrid w:linePitch="360"/>
        </w:sectPr>
      </w:pPr>
    </w:p>
    <w:p w14:paraId="6E163A06" w14:textId="77777777" w:rsidR="00676EEF" w:rsidRPr="0010477F" w:rsidRDefault="0010477F" w:rsidP="00676EEF">
      <w:pPr>
        <w:jc w:val="both"/>
        <w:rPr>
          <w:rFonts w:ascii="Arial" w:hAnsi="Arial" w:cs="Arial"/>
          <w:b/>
          <w:bCs/>
          <w:sz w:val="22"/>
        </w:rPr>
      </w:pPr>
      <w:r w:rsidRPr="0010477F">
        <w:rPr>
          <w:rFonts w:ascii="Arial" w:hAnsi="Arial" w:cs="Arial"/>
          <w:b/>
          <w:bCs/>
          <w:sz w:val="22"/>
        </w:rPr>
        <w:t>3.0 MATERIALS AND METHODOLOGY</w:t>
      </w:r>
    </w:p>
    <w:p w14:paraId="65BCEA25" w14:textId="77777777" w:rsidR="00676EEF" w:rsidRPr="0010477F" w:rsidRDefault="00676EEF" w:rsidP="00676EEF">
      <w:pPr>
        <w:jc w:val="both"/>
        <w:rPr>
          <w:rFonts w:ascii="Arial" w:hAnsi="Arial" w:cs="Arial"/>
          <w:b/>
          <w:bCs/>
          <w:sz w:val="22"/>
        </w:rPr>
      </w:pPr>
      <w:r w:rsidRPr="0010477F">
        <w:rPr>
          <w:rFonts w:ascii="Arial" w:hAnsi="Arial" w:cs="Arial"/>
          <w:b/>
          <w:bCs/>
          <w:sz w:val="22"/>
        </w:rPr>
        <w:t>3.1 Data and Variables</w:t>
      </w:r>
    </w:p>
    <w:p w14:paraId="1B6F71EC" w14:textId="77777777" w:rsidR="00676EEF" w:rsidRPr="0010477F" w:rsidRDefault="00676EEF" w:rsidP="00B66C12">
      <w:pPr>
        <w:jc w:val="both"/>
        <w:rPr>
          <w:rFonts w:ascii="Arial" w:hAnsi="Arial" w:cs="Arial"/>
          <w:sz w:val="20"/>
          <w:szCs w:val="20"/>
        </w:rPr>
      </w:pPr>
      <w:r w:rsidRPr="0010477F">
        <w:rPr>
          <w:rFonts w:ascii="Arial" w:hAnsi="Arial" w:cs="Arial"/>
          <w:sz w:val="20"/>
          <w:szCs w:val="20"/>
        </w:rPr>
        <w:t xml:space="preserve">We employ annual series on Nigeria’s real GDP index and global oil prices covering 1990–2023. GDP data are drawn from the World Bank’s World Development Indicators: </w:t>
      </w:r>
      <w:hyperlink r:id="rId14" w:history="1">
        <w:r w:rsidRPr="0010477F">
          <w:rPr>
            <w:rStyle w:val="Hyperlink"/>
            <w:rFonts w:ascii="Arial" w:hAnsi="Arial" w:cs="Arial"/>
            <w:sz w:val="20"/>
            <w:szCs w:val="20"/>
          </w:rPr>
          <w:t>https://databank.worldbank.org/indicator/NY.GDP.MKTP.KD.ZG/1ff4a498/Popular-Indicators</w:t>
        </w:r>
      </w:hyperlink>
      <w:r w:rsidRPr="0010477F">
        <w:rPr>
          <w:rFonts w:ascii="Arial" w:hAnsi="Arial" w:cs="Arial"/>
          <w:sz w:val="20"/>
          <w:szCs w:val="20"/>
        </w:rPr>
        <w:t>, while oil</w:t>
      </w:r>
      <w:r w:rsidRPr="0010477F">
        <w:rPr>
          <w:rFonts w:asciiTheme="majorBidi" w:hAnsiTheme="majorBidi" w:cs="Arial"/>
          <w:sz w:val="20"/>
          <w:szCs w:val="20"/>
        </w:rPr>
        <w:t>‐</w:t>
      </w:r>
      <w:r w:rsidRPr="0010477F">
        <w:rPr>
          <w:rFonts w:ascii="Arial" w:hAnsi="Arial" w:cs="Arial"/>
          <w:sz w:val="20"/>
          <w:szCs w:val="20"/>
        </w:rPr>
        <w:t xml:space="preserve">price observations (Brent, US$/barrel) are sourced from the </w:t>
      </w:r>
      <w:hyperlink r:id="rId15" w:history="1">
        <w:r w:rsidRPr="0010477F">
          <w:rPr>
            <w:rStyle w:val="Hyperlink"/>
            <w:rFonts w:ascii="Arial" w:hAnsi="Arial" w:cs="Arial"/>
            <w:sz w:val="20"/>
            <w:szCs w:val="20"/>
          </w:rPr>
          <w:t>https://www.macrotrends.net/2480/brent-crude-oil-prices-10-year-daily-chart</w:t>
        </w:r>
      </w:hyperlink>
      <w:r w:rsidRPr="0010477F">
        <w:rPr>
          <w:rFonts w:ascii="Arial" w:hAnsi="Arial" w:cs="Arial"/>
          <w:sz w:val="20"/>
          <w:szCs w:val="20"/>
        </w:rPr>
        <w:t xml:space="preserve">. </w:t>
      </w:r>
    </w:p>
    <w:p w14:paraId="1D723477" w14:textId="77777777" w:rsidR="00676EEF" w:rsidRPr="00676EEF" w:rsidRDefault="00676EEF" w:rsidP="00676EEF">
      <w:pPr>
        <w:jc w:val="both"/>
        <w:rPr>
          <w:rFonts w:asciiTheme="majorBidi" w:hAnsiTheme="majorBidi" w:cstheme="majorBidi"/>
        </w:rPr>
      </w:pPr>
    </w:p>
    <w:p w14:paraId="415388E1" w14:textId="77777777" w:rsidR="00676EEF" w:rsidRPr="0010477F" w:rsidRDefault="00676EEF" w:rsidP="00676EEF">
      <w:pPr>
        <w:jc w:val="both"/>
        <w:rPr>
          <w:rFonts w:ascii="Arial" w:hAnsi="Arial" w:cs="Arial"/>
          <w:b/>
          <w:bCs/>
          <w:sz w:val="22"/>
          <w:szCs w:val="22"/>
        </w:rPr>
      </w:pPr>
      <w:r w:rsidRPr="0010477F">
        <w:rPr>
          <w:rFonts w:ascii="Arial" w:hAnsi="Arial" w:cs="Arial"/>
          <w:b/>
          <w:bCs/>
          <w:sz w:val="22"/>
          <w:szCs w:val="22"/>
        </w:rPr>
        <w:t>3.2 Stationarity Testing</w:t>
      </w:r>
    </w:p>
    <w:p w14:paraId="3CB6FCCD" w14:textId="77777777" w:rsidR="00676EEF" w:rsidRPr="0010477F" w:rsidRDefault="00676EEF" w:rsidP="00676EEF">
      <w:pPr>
        <w:jc w:val="both"/>
        <w:rPr>
          <w:rFonts w:ascii="Arial" w:hAnsi="Arial" w:cs="Arial"/>
          <w:sz w:val="20"/>
          <w:szCs w:val="20"/>
        </w:rPr>
      </w:pPr>
      <w:r w:rsidRPr="0010477F">
        <w:rPr>
          <w:rFonts w:ascii="Arial" w:hAnsi="Arial" w:cs="Arial"/>
          <w:sz w:val="20"/>
          <w:szCs w:val="20"/>
        </w:rPr>
        <w:t>To determine each series’ order of integration, we apply two complementary unit</w:t>
      </w:r>
      <w:r w:rsidRPr="0010477F">
        <w:rPr>
          <w:rFonts w:asciiTheme="majorBidi" w:hAnsiTheme="majorBidi" w:cs="Arial"/>
          <w:sz w:val="20"/>
          <w:szCs w:val="20"/>
        </w:rPr>
        <w:t>‐</w:t>
      </w:r>
      <w:r w:rsidRPr="0010477F">
        <w:rPr>
          <w:rFonts w:ascii="Arial" w:hAnsi="Arial" w:cs="Arial"/>
          <w:sz w:val="20"/>
          <w:szCs w:val="20"/>
        </w:rPr>
        <w:t>root tests:</w:t>
      </w:r>
    </w:p>
    <w:p w14:paraId="530D0EE0" w14:textId="77777777" w:rsidR="00676EEF" w:rsidRPr="0010477F" w:rsidRDefault="00676EEF" w:rsidP="00676EEF">
      <w:pPr>
        <w:jc w:val="both"/>
        <w:rPr>
          <w:rFonts w:ascii="Arial" w:hAnsi="Arial" w:cs="Arial"/>
          <w:sz w:val="20"/>
          <w:szCs w:val="20"/>
        </w:rPr>
      </w:pPr>
      <w:r w:rsidRPr="0010477F">
        <w:rPr>
          <w:rFonts w:ascii="Arial" w:hAnsi="Arial" w:cs="Arial"/>
          <w:sz w:val="20"/>
          <w:szCs w:val="20"/>
        </w:rPr>
        <w:t>Augmented Dickey–Fuller (ADF) tests with a constant and up to three lags selected via the Schwarz criterion.</w:t>
      </w:r>
    </w:p>
    <w:p w14:paraId="37008F60" w14:textId="77777777" w:rsidR="00676EEF" w:rsidRPr="0010477F" w:rsidRDefault="00676EEF" w:rsidP="00676EEF">
      <w:pPr>
        <w:jc w:val="both"/>
        <w:rPr>
          <w:rFonts w:ascii="Arial" w:hAnsi="Arial" w:cs="Arial"/>
          <w:sz w:val="20"/>
          <w:szCs w:val="20"/>
        </w:rPr>
      </w:pPr>
      <w:r w:rsidRPr="0010477F">
        <w:rPr>
          <w:rFonts w:ascii="Arial" w:hAnsi="Arial" w:cs="Arial"/>
          <w:sz w:val="20"/>
          <w:szCs w:val="20"/>
        </w:rPr>
        <w:lastRenderedPageBreak/>
        <w:t>Phillips–</w:t>
      </w:r>
      <w:proofErr w:type="spellStart"/>
      <w:r w:rsidRPr="0010477F">
        <w:rPr>
          <w:rFonts w:ascii="Arial" w:hAnsi="Arial" w:cs="Arial"/>
          <w:sz w:val="20"/>
          <w:szCs w:val="20"/>
        </w:rPr>
        <w:t>Perron</w:t>
      </w:r>
      <w:proofErr w:type="spellEnd"/>
      <w:r w:rsidRPr="0010477F">
        <w:rPr>
          <w:rFonts w:ascii="Arial" w:hAnsi="Arial" w:cs="Arial"/>
          <w:sz w:val="20"/>
          <w:szCs w:val="20"/>
        </w:rPr>
        <w:t xml:space="preserve"> (PP) tests employing Newey–West bandwidth selection.</w:t>
      </w:r>
    </w:p>
    <w:p w14:paraId="2B893436" w14:textId="77777777" w:rsidR="00676EEF" w:rsidRPr="0010477F" w:rsidRDefault="00676EEF" w:rsidP="00676EEF">
      <w:pPr>
        <w:jc w:val="both"/>
        <w:rPr>
          <w:rFonts w:ascii="Arial" w:hAnsi="Arial" w:cs="Arial"/>
          <w:sz w:val="20"/>
          <w:szCs w:val="20"/>
        </w:rPr>
      </w:pPr>
      <w:r w:rsidRPr="0010477F">
        <w:rPr>
          <w:rFonts w:ascii="Arial" w:hAnsi="Arial" w:cs="Arial"/>
          <w:sz w:val="20"/>
          <w:szCs w:val="20"/>
        </w:rPr>
        <w:t>Null hypotheses of non</w:t>
      </w:r>
      <w:r w:rsidRPr="0010477F">
        <w:rPr>
          <w:rFonts w:asciiTheme="majorBidi" w:hAnsiTheme="majorBidi" w:cs="Arial"/>
          <w:sz w:val="20"/>
          <w:szCs w:val="20"/>
        </w:rPr>
        <w:t>‐</w:t>
      </w:r>
      <w:r w:rsidRPr="0010477F">
        <w:rPr>
          <w:rFonts w:ascii="Arial" w:hAnsi="Arial" w:cs="Arial"/>
          <w:sz w:val="20"/>
          <w:szCs w:val="20"/>
        </w:rPr>
        <w:t>stationarity (unit root) are tested at the 5% significance level. Mixed test results prompt us to difference both series once (∆</w:t>
      </w:r>
      <w:proofErr w:type="gramStart"/>
      <w:r w:rsidRPr="0010477F">
        <w:rPr>
          <w:rFonts w:ascii="Arial" w:hAnsi="Arial" w:cs="Arial"/>
          <w:sz w:val="20"/>
          <w:szCs w:val="20"/>
        </w:rPr>
        <w:t>ln(</w:t>
      </w:r>
      <w:proofErr w:type="gramEnd"/>
      <w:r w:rsidRPr="0010477F">
        <w:rPr>
          <w:rFonts w:ascii="Arial" w:hAnsi="Arial" w:cs="Arial"/>
          <w:sz w:val="20"/>
          <w:szCs w:val="20"/>
        </w:rPr>
        <w:t>GDP) and ∆ln(</w:t>
      </w:r>
      <w:proofErr w:type="spellStart"/>
      <w:r w:rsidRPr="0010477F">
        <w:rPr>
          <w:rFonts w:ascii="Arial" w:hAnsi="Arial" w:cs="Arial"/>
          <w:sz w:val="20"/>
          <w:szCs w:val="20"/>
        </w:rPr>
        <w:t>OilPrice</w:t>
      </w:r>
      <w:proofErr w:type="spellEnd"/>
      <w:r w:rsidRPr="0010477F">
        <w:rPr>
          <w:rFonts w:ascii="Arial" w:hAnsi="Arial" w:cs="Arial"/>
          <w:sz w:val="20"/>
          <w:szCs w:val="20"/>
        </w:rPr>
        <w:t>)) to achieve covariance stationarity.</w:t>
      </w:r>
    </w:p>
    <w:p w14:paraId="49A4C964" w14:textId="77777777" w:rsidR="00676EEF" w:rsidRPr="0010477F" w:rsidRDefault="00676EEF" w:rsidP="00676EEF">
      <w:pPr>
        <w:jc w:val="both"/>
        <w:rPr>
          <w:rFonts w:ascii="Arial" w:hAnsi="Arial" w:cs="Arial"/>
          <w:b/>
          <w:bCs/>
          <w:sz w:val="22"/>
          <w:szCs w:val="22"/>
        </w:rPr>
      </w:pPr>
      <w:r w:rsidRPr="0010477F">
        <w:rPr>
          <w:rFonts w:ascii="Arial" w:hAnsi="Arial" w:cs="Arial"/>
          <w:b/>
          <w:bCs/>
          <w:sz w:val="22"/>
          <w:szCs w:val="22"/>
        </w:rPr>
        <w:t xml:space="preserve">3.3 Vector Autoregression (VAR) </w:t>
      </w:r>
      <w:r w:rsidR="00B66C12" w:rsidRPr="0010477F">
        <w:rPr>
          <w:rFonts w:ascii="Arial" w:hAnsi="Arial" w:cs="Arial"/>
          <w:b/>
          <w:bCs/>
          <w:sz w:val="22"/>
          <w:szCs w:val="22"/>
        </w:rPr>
        <w:t>Model</w:t>
      </w:r>
    </w:p>
    <w:p w14:paraId="51CEEFFF" w14:textId="77777777" w:rsidR="00676EEF" w:rsidRPr="0010477F" w:rsidRDefault="00676EEF" w:rsidP="00676EEF">
      <w:pPr>
        <w:jc w:val="both"/>
        <w:rPr>
          <w:rFonts w:ascii="Arial" w:hAnsi="Arial" w:cs="Arial"/>
          <w:sz w:val="20"/>
        </w:rPr>
      </w:pPr>
      <w:r w:rsidRPr="0010477F">
        <w:rPr>
          <w:rFonts w:ascii="Arial" w:hAnsi="Arial" w:cs="Arial"/>
          <w:sz w:val="20"/>
        </w:rPr>
        <w:t>Given the absence of a robust long</w:t>
      </w:r>
      <w:r w:rsidRPr="0010477F">
        <w:rPr>
          <w:rFonts w:asciiTheme="majorBidi" w:hAnsiTheme="majorBidi" w:cs="Arial"/>
          <w:sz w:val="20"/>
        </w:rPr>
        <w:t>‐</w:t>
      </w:r>
      <w:r w:rsidRPr="0010477F">
        <w:rPr>
          <w:rFonts w:ascii="Arial" w:hAnsi="Arial" w:cs="Arial"/>
          <w:sz w:val="20"/>
        </w:rPr>
        <w:t xml:space="preserve">run cointegration relationship between </w:t>
      </w:r>
      <w:proofErr w:type="gramStart"/>
      <w:r w:rsidRPr="0010477F">
        <w:rPr>
          <w:rFonts w:ascii="Arial" w:hAnsi="Arial" w:cs="Arial"/>
          <w:sz w:val="20"/>
        </w:rPr>
        <w:t>ln(</w:t>
      </w:r>
      <w:proofErr w:type="gramEnd"/>
      <w:r w:rsidRPr="0010477F">
        <w:rPr>
          <w:rFonts w:ascii="Arial" w:hAnsi="Arial" w:cs="Arial"/>
          <w:sz w:val="20"/>
        </w:rPr>
        <w:t>GDP) and ln(</w:t>
      </w:r>
      <w:proofErr w:type="spellStart"/>
      <w:r w:rsidRPr="0010477F">
        <w:rPr>
          <w:rFonts w:ascii="Arial" w:hAnsi="Arial" w:cs="Arial"/>
          <w:sz w:val="20"/>
        </w:rPr>
        <w:t>OilPrice</w:t>
      </w:r>
      <w:proofErr w:type="spellEnd"/>
      <w:r w:rsidRPr="0010477F">
        <w:rPr>
          <w:rFonts w:ascii="Arial" w:hAnsi="Arial" w:cs="Arial"/>
          <w:sz w:val="20"/>
        </w:rPr>
        <w:t>), we specify a VAR model in first differences:</w:t>
      </w:r>
    </w:p>
    <w:p w14:paraId="0AD9EE58" w14:textId="77777777" w:rsidR="00676EEF" w:rsidRPr="004E6B6A" w:rsidRDefault="00676EEF" w:rsidP="00676EEF">
      <w:pPr>
        <w:jc w:val="both"/>
        <w:rPr>
          <w:rFonts w:ascii="Arial" w:hAnsi="Arial" w:cs="Arial"/>
          <w:sz w:val="20"/>
          <w:szCs w:val="28"/>
        </w:rPr>
      </w:pPr>
      <w:r w:rsidRPr="004E6B6A">
        <w:rPr>
          <w:rFonts w:ascii="Arial" w:hAnsi="Arial" w:cs="Arial"/>
          <w:sz w:val="20"/>
          <w:szCs w:val="28"/>
        </w:rPr>
        <w:t>∆y</w:t>
      </w:r>
      <w:r w:rsidRPr="004E6B6A">
        <w:rPr>
          <w:rFonts w:asciiTheme="majorBidi" w:hAnsiTheme="majorBidi" w:cs="Arial"/>
          <w:sz w:val="20"/>
          <w:szCs w:val="28"/>
        </w:rPr>
        <w:t>ₜ</w:t>
      </w:r>
      <w:r w:rsidRPr="004E6B6A">
        <w:rPr>
          <w:rFonts w:ascii="Arial" w:hAnsi="Arial" w:cs="Arial"/>
          <w:sz w:val="20"/>
          <w:szCs w:val="28"/>
        </w:rPr>
        <w:t xml:space="preserve"> = A</w:t>
      </w:r>
      <w:r w:rsidRPr="004E6B6A">
        <w:rPr>
          <w:rFonts w:asciiTheme="majorBidi" w:hAnsiTheme="majorBidi" w:cs="Arial"/>
          <w:sz w:val="20"/>
          <w:szCs w:val="28"/>
        </w:rPr>
        <w:t>₁</w:t>
      </w:r>
      <w:r w:rsidRPr="004E6B6A">
        <w:rPr>
          <w:rFonts w:ascii="Arial" w:hAnsi="Arial" w:cs="Arial"/>
          <w:sz w:val="20"/>
          <w:szCs w:val="28"/>
        </w:rPr>
        <w:t xml:space="preserve"> ∆y</w:t>
      </w:r>
      <w:r w:rsidRPr="004E6B6A">
        <w:rPr>
          <w:rFonts w:asciiTheme="majorBidi" w:hAnsiTheme="majorBidi" w:cs="Arial"/>
          <w:sz w:val="20"/>
          <w:szCs w:val="28"/>
        </w:rPr>
        <w:t>ₜ₋₁</w:t>
      </w:r>
      <w:r w:rsidRPr="004E6B6A">
        <w:rPr>
          <w:rFonts w:ascii="Arial" w:hAnsi="Arial" w:cs="Arial"/>
          <w:sz w:val="20"/>
          <w:szCs w:val="28"/>
        </w:rPr>
        <w:t xml:space="preserve"> + … + A</w:t>
      </w:r>
      <w:r w:rsidRPr="004E6B6A">
        <w:rPr>
          <w:rFonts w:asciiTheme="majorBidi" w:hAnsiTheme="majorBidi" w:cs="Arial"/>
          <w:sz w:val="20"/>
          <w:szCs w:val="28"/>
        </w:rPr>
        <w:t>ₚ</w:t>
      </w:r>
      <w:r w:rsidRPr="004E6B6A">
        <w:rPr>
          <w:rFonts w:ascii="Arial" w:hAnsi="Arial" w:cs="Arial"/>
          <w:sz w:val="20"/>
          <w:szCs w:val="28"/>
        </w:rPr>
        <w:t xml:space="preserve"> ∆y</w:t>
      </w:r>
      <w:r w:rsidRPr="004E6B6A">
        <w:rPr>
          <w:rFonts w:asciiTheme="majorBidi" w:hAnsiTheme="majorBidi" w:cs="Arial"/>
          <w:sz w:val="20"/>
          <w:szCs w:val="28"/>
        </w:rPr>
        <w:t>ₜ₋ₚ</w:t>
      </w:r>
      <w:r w:rsidRPr="004E6B6A">
        <w:rPr>
          <w:rFonts w:ascii="Arial" w:hAnsi="Arial" w:cs="Arial"/>
          <w:sz w:val="20"/>
          <w:szCs w:val="28"/>
        </w:rPr>
        <w:t xml:space="preserve"> + c + ε</w:t>
      </w:r>
      <w:r w:rsidRPr="004E6B6A">
        <w:rPr>
          <w:rFonts w:asciiTheme="majorBidi" w:hAnsiTheme="majorBidi" w:cs="Arial"/>
          <w:sz w:val="20"/>
          <w:szCs w:val="28"/>
        </w:rPr>
        <w:t>ₜ</w:t>
      </w:r>
      <w:r w:rsidRPr="004E6B6A">
        <w:rPr>
          <w:rFonts w:ascii="Arial" w:hAnsi="Arial" w:cs="Arial"/>
          <w:sz w:val="20"/>
          <w:szCs w:val="28"/>
        </w:rPr>
        <w:t>,</w:t>
      </w:r>
    </w:p>
    <w:p w14:paraId="65995E3D" w14:textId="77777777" w:rsidR="00676EEF" w:rsidRPr="004E6B6A" w:rsidRDefault="00676EEF" w:rsidP="00676EEF">
      <w:pPr>
        <w:jc w:val="both"/>
        <w:rPr>
          <w:rFonts w:ascii="Arial" w:hAnsi="Arial" w:cs="Arial"/>
          <w:sz w:val="20"/>
          <w:szCs w:val="28"/>
        </w:rPr>
      </w:pPr>
      <w:r w:rsidRPr="004E6B6A">
        <w:rPr>
          <w:rFonts w:ascii="Arial" w:hAnsi="Arial" w:cs="Arial"/>
          <w:sz w:val="20"/>
          <w:szCs w:val="28"/>
        </w:rPr>
        <w:t>where ∆y</w:t>
      </w:r>
      <w:r w:rsidRPr="004E6B6A">
        <w:rPr>
          <w:rFonts w:asciiTheme="majorBidi" w:hAnsiTheme="majorBidi" w:cs="Arial"/>
          <w:sz w:val="20"/>
          <w:szCs w:val="28"/>
        </w:rPr>
        <w:t>ₜ</w:t>
      </w:r>
      <w:r w:rsidRPr="004E6B6A">
        <w:rPr>
          <w:rFonts w:ascii="Arial" w:hAnsi="Arial" w:cs="Arial"/>
          <w:sz w:val="20"/>
          <w:szCs w:val="28"/>
        </w:rPr>
        <w:t xml:space="preserve"> = [∆</w:t>
      </w:r>
      <w:proofErr w:type="gramStart"/>
      <w:r w:rsidRPr="004E6B6A">
        <w:rPr>
          <w:rFonts w:ascii="Arial" w:hAnsi="Arial" w:cs="Arial"/>
          <w:sz w:val="20"/>
          <w:szCs w:val="28"/>
        </w:rPr>
        <w:t>ln(</w:t>
      </w:r>
      <w:proofErr w:type="gramEnd"/>
      <w:r w:rsidRPr="004E6B6A">
        <w:rPr>
          <w:rFonts w:ascii="Arial" w:hAnsi="Arial" w:cs="Arial"/>
          <w:sz w:val="20"/>
          <w:szCs w:val="28"/>
        </w:rPr>
        <w:t>GDP</w:t>
      </w:r>
      <w:r w:rsidRPr="004E6B6A">
        <w:rPr>
          <w:rFonts w:asciiTheme="majorBidi" w:hAnsiTheme="majorBidi" w:cs="Arial"/>
          <w:sz w:val="20"/>
          <w:szCs w:val="28"/>
        </w:rPr>
        <w:t>ₜ</w:t>
      </w:r>
      <w:r w:rsidRPr="004E6B6A">
        <w:rPr>
          <w:rFonts w:ascii="Arial" w:hAnsi="Arial" w:cs="Arial"/>
          <w:sz w:val="20"/>
          <w:szCs w:val="28"/>
        </w:rPr>
        <w:t>), ∆ln(</w:t>
      </w:r>
      <w:proofErr w:type="spellStart"/>
      <w:r w:rsidRPr="004E6B6A">
        <w:rPr>
          <w:rFonts w:ascii="Arial" w:hAnsi="Arial" w:cs="Arial"/>
          <w:sz w:val="20"/>
          <w:szCs w:val="28"/>
        </w:rPr>
        <w:t>OilPrice</w:t>
      </w:r>
      <w:proofErr w:type="spellEnd"/>
      <w:r w:rsidRPr="004E6B6A">
        <w:rPr>
          <w:rFonts w:asciiTheme="majorBidi" w:hAnsiTheme="majorBidi" w:cs="Arial"/>
          <w:sz w:val="20"/>
          <w:szCs w:val="28"/>
        </w:rPr>
        <w:t>ₜ</w:t>
      </w:r>
      <w:r w:rsidRPr="004E6B6A">
        <w:rPr>
          <w:rFonts w:ascii="Arial" w:hAnsi="Arial" w:cs="Arial"/>
          <w:sz w:val="20"/>
          <w:szCs w:val="28"/>
        </w:rPr>
        <w:t>)]′</w:t>
      </w:r>
    </w:p>
    <w:p w14:paraId="47C133CF" w14:textId="77777777" w:rsidR="00676EEF" w:rsidRPr="004E6B6A" w:rsidRDefault="00676EEF" w:rsidP="00676EEF">
      <w:pPr>
        <w:jc w:val="both"/>
        <w:rPr>
          <w:rFonts w:ascii="Arial" w:hAnsi="Arial" w:cs="Arial"/>
          <w:sz w:val="20"/>
          <w:szCs w:val="28"/>
        </w:rPr>
      </w:pPr>
      <w:r w:rsidRPr="004E6B6A">
        <w:rPr>
          <w:rFonts w:ascii="Arial" w:hAnsi="Arial" w:cs="Arial"/>
          <w:sz w:val="20"/>
          <w:szCs w:val="28"/>
        </w:rPr>
        <w:t>Aᵢ are 2×2 coefficient matrices</w:t>
      </w:r>
    </w:p>
    <w:p w14:paraId="59ED6A62" w14:textId="77777777" w:rsidR="00676EEF" w:rsidRPr="004E6B6A" w:rsidRDefault="00676EEF" w:rsidP="00676EEF">
      <w:pPr>
        <w:jc w:val="both"/>
        <w:rPr>
          <w:rFonts w:ascii="Arial" w:hAnsi="Arial" w:cs="Arial"/>
          <w:sz w:val="20"/>
          <w:szCs w:val="28"/>
        </w:rPr>
      </w:pPr>
      <w:r w:rsidRPr="004E6B6A">
        <w:rPr>
          <w:rFonts w:ascii="Arial" w:hAnsi="Arial" w:cs="Arial"/>
          <w:sz w:val="20"/>
          <w:szCs w:val="28"/>
        </w:rPr>
        <w:t>c is a constant vector,</w:t>
      </w:r>
    </w:p>
    <w:p w14:paraId="041717CF" w14:textId="77777777" w:rsidR="00676EEF" w:rsidRPr="004E6B6A" w:rsidRDefault="00676EEF" w:rsidP="00676EEF">
      <w:pPr>
        <w:jc w:val="both"/>
        <w:rPr>
          <w:rFonts w:ascii="Arial" w:hAnsi="Arial" w:cs="Arial"/>
          <w:sz w:val="20"/>
          <w:szCs w:val="28"/>
        </w:rPr>
      </w:pPr>
      <w:r w:rsidRPr="004E6B6A">
        <w:rPr>
          <w:rFonts w:ascii="Arial" w:hAnsi="Arial" w:cs="Arial"/>
          <w:sz w:val="20"/>
          <w:szCs w:val="28"/>
        </w:rPr>
        <w:t>and ε</w:t>
      </w:r>
      <w:r w:rsidRPr="004E6B6A">
        <w:rPr>
          <w:rFonts w:asciiTheme="majorBidi" w:hAnsiTheme="majorBidi" w:cs="Arial"/>
          <w:sz w:val="20"/>
          <w:szCs w:val="28"/>
        </w:rPr>
        <w:t>ₜ</w:t>
      </w:r>
      <w:r w:rsidRPr="004E6B6A">
        <w:rPr>
          <w:rFonts w:ascii="Arial" w:hAnsi="Arial" w:cs="Arial"/>
          <w:sz w:val="20"/>
          <w:szCs w:val="28"/>
        </w:rPr>
        <w:t xml:space="preserve"> denotes innovations</w:t>
      </w:r>
    </w:p>
    <w:p w14:paraId="04F90A63" w14:textId="77777777" w:rsidR="00676EEF" w:rsidRPr="0010477F" w:rsidRDefault="00676EEF" w:rsidP="00676EEF">
      <w:pPr>
        <w:jc w:val="both"/>
        <w:rPr>
          <w:rFonts w:ascii="Arial" w:hAnsi="Arial" w:cs="Arial"/>
          <w:b/>
          <w:bCs/>
          <w:sz w:val="22"/>
        </w:rPr>
      </w:pPr>
      <w:r w:rsidRPr="0010477F">
        <w:rPr>
          <w:rFonts w:ascii="Arial" w:hAnsi="Arial" w:cs="Arial"/>
          <w:b/>
          <w:bCs/>
          <w:sz w:val="22"/>
        </w:rPr>
        <w:t>3.3.1 Lag</w:t>
      </w:r>
      <w:r w:rsidRPr="0010477F">
        <w:rPr>
          <w:rFonts w:asciiTheme="majorBidi" w:hAnsiTheme="majorBidi" w:cs="Arial"/>
          <w:b/>
          <w:bCs/>
          <w:sz w:val="22"/>
        </w:rPr>
        <w:t>‐</w:t>
      </w:r>
      <w:r w:rsidRPr="0010477F">
        <w:rPr>
          <w:rFonts w:ascii="Arial" w:hAnsi="Arial" w:cs="Arial"/>
          <w:b/>
          <w:bCs/>
          <w:sz w:val="22"/>
        </w:rPr>
        <w:t>Order Selection</w:t>
      </w:r>
    </w:p>
    <w:p w14:paraId="6110358E" w14:textId="77777777" w:rsidR="00676EEF" w:rsidRPr="0010477F" w:rsidRDefault="00676EEF" w:rsidP="00676EEF">
      <w:pPr>
        <w:jc w:val="both"/>
        <w:rPr>
          <w:rFonts w:ascii="Arial" w:hAnsi="Arial" w:cs="Arial"/>
          <w:sz w:val="20"/>
        </w:rPr>
      </w:pPr>
      <w:r w:rsidRPr="0010477F">
        <w:rPr>
          <w:rFonts w:asciiTheme="majorBidi" w:hAnsiTheme="majorBidi" w:cstheme="majorBidi"/>
          <w:sz w:val="20"/>
        </w:rPr>
        <w:t xml:space="preserve">We </w:t>
      </w:r>
      <w:r w:rsidRPr="0010477F">
        <w:rPr>
          <w:rFonts w:ascii="Arial" w:hAnsi="Arial" w:cs="Arial"/>
          <w:sz w:val="20"/>
        </w:rPr>
        <w:t xml:space="preserve">evaluate competing lag lengths (p = 1…5) using four information </w:t>
      </w:r>
      <w:proofErr w:type="spellStart"/>
      <w:r w:rsidRPr="0010477F">
        <w:rPr>
          <w:rFonts w:ascii="Arial" w:hAnsi="Arial" w:cs="Arial"/>
          <w:sz w:val="20"/>
        </w:rPr>
        <w:t>criteriaAkaike</w:t>
      </w:r>
      <w:proofErr w:type="spellEnd"/>
      <w:r w:rsidRPr="0010477F">
        <w:rPr>
          <w:rFonts w:ascii="Arial" w:hAnsi="Arial" w:cs="Arial"/>
          <w:sz w:val="20"/>
        </w:rPr>
        <w:t xml:space="preserve"> (AIC), Schwarz (SC), Hannan–Quinn (HQ), and Final Prediction Error (FPE)and select p = 3 as the optimal trade</w:t>
      </w:r>
      <w:r w:rsidRPr="0010477F">
        <w:rPr>
          <w:rFonts w:asciiTheme="majorBidi" w:hAnsiTheme="majorBidi" w:cs="Arial"/>
          <w:sz w:val="20"/>
        </w:rPr>
        <w:t>‐</w:t>
      </w:r>
      <w:r w:rsidRPr="0010477F">
        <w:rPr>
          <w:rFonts w:ascii="Arial" w:hAnsi="Arial" w:cs="Arial"/>
          <w:sz w:val="20"/>
        </w:rPr>
        <w:t>off between fit and parsimony.</w:t>
      </w:r>
    </w:p>
    <w:p w14:paraId="45E36E43" w14:textId="77777777" w:rsidR="00676EEF" w:rsidRPr="0010477F" w:rsidRDefault="00676EEF" w:rsidP="00676EEF">
      <w:pPr>
        <w:jc w:val="both"/>
        <w:rPr>
          <w:rFonts w:ascii="Arial" w:hAnsi="Arial" w:cs="Arial"/>
          <w:b/>
          <w:bCs/>
          <w:sz w:val="22"/>
        </w:rPr>
      </w:pPr>
      <w:r w:rsidRPr="0010477F">
        <w:rPr>
          <w:rFonts w:ascii="Arial" w:hAnsi="Arial" w:cs="Arial"/>
          <w:b/>
          <w:bCs/>
          <w:sz w:val="22"/>
        </w:rPr>
        <w:t>3.3.2 Parameter Estimation</w:t>
      </w:r>
    </w:p>
    <w:p w14:paraId="4109ECD6" w14:textId="77777777" w:rsidR="00676EEF" w:rsidRPr="0010477F" w:rsidRDefault="00676EEF" w:rsidP="00676EEF">
      <w:pPr>
        <w:jc w:val="both"/>
        <w:rPr>
          <w:rFonts w:ascii="Arial" w:hAnsi="Arial" w:cs="Arial"/>
          <w:sz w:val="22"/>
        </w:rPr>
      </w:pPr>
      <w:r w:rsidRPr="0010477F">
        <w:rPr>
          <w:rFonts w:ascii="Arial" w:hAnsi="Arial" w:cs="Arial"/>
          <w:sz w:val="22"/>
        </w:rPr>
        <w:t>Equation</w:t>
      </w:r>
      <w:r w:rsidRPr="0010477F">
        <w:rPr>
          <w:rFonts w:asciiTheme="majorBidi" w:hAnsiTheme="majorBidi" w:cs="Arial"/>
          <w:sz w:val="22"/>
        </w:rPr>
        <w:t>‐</w:t>
      </w:r>
      <w:r w:rsidRPr="0010477F">
        <w:rPr>
          <w:rFonts w:ascii="Arial" w:hAnsi="Arial" w:cs="Arial"/>
          <w:sz w:val="22"/>
        </w:rPr>
        <w:t>by</w:t>
      </w:r>
      <w:r w:rsidRPr="0010477F">
        <w:rPr>
          <w:rFonts w:asciiTheme="majorBidi" w:hAnsiTheme="majorBidi" w:cs="Arial"/>
          <w:sz w:val="22"/>
        </w:rPr>
        <w:t>‐</w:t>
      </w:r>
      <w:r w:rsidRPr="0010477F">
        <w:rPr>
          <w:rFonts w:ascii="Arial" w:hAnsi="Arial" w:cs="Arial"/>
          <w:sz w:val="22"/>
        </w:rPr>
        <w:t>equation OLS estimation yields consistent estimates of A</w:t>
      </w:r>
      <w:r w:rsidRPr="0010477F">
        <w:rPr>
          <w:rFonts w:asciiTheme="majorBidi" w:hAnsiTheme="majorBidi" w:cs="Arial"/>
          <w:sz w:val="22"/>
        </w:rPr>
        <w:t>₁</w:t>
      </w:r>
      <w:r w:rsidRPr="0010477F">
        <w:rPr>
          <w:rFonts w:ascii="Arial" w:hAnsi="Arial" w:cs="Arial"/>
          <w:sz w:val="22"/>
        </w:rPr>
        <w:t>…A</w:t>
      </w:r>
      <w:r w:rsidRPr="0010477F">
        <w:rPr>
          <w:rFonts w:asciiTheme="majorBidi" w:hAnsiTheme="majorBidi" w:cs="Arial"/>
          <w:sz w:val="22"/>
        </w:rPr>
        <w:t>ₚ</w:t>
      </w:r>
      <w:r w:rsidRPr="0010477F">
        <w:rPr>
          <w:rFonts w:ascii="Arial" w:hAnsi="Arial" w:cs="Arial"/>
          <w:sz w:val="22"/>
        </w:rPr>
        <w:t xml:space="preserve"> and c. Standard errors are corrected for heteroskedasticity using the Newey–West procedure.</w:t>
      </w:r>
    </w:p>
    <w:p w14:paraId="34CFA82F" w14:textId="77777777" w:rsidR="00676EEF" w:rsidRPr="0010477F" w:rsidRDefault="00676EEF" w:rsidP="00676EEF">
      <w:pPr>
        <w:jc w:val="both"/>
        <w:rPr>
          <w:rFonts w:ascii="Arial" w:hAnsi="Arial" w:cs="Arial"/>
          <w:b/>
          <w:bCs/>
          <w:sz w:val="22"/>
        </w:rPr>
      </w:pPr>
      <w:r w:rsidRPr="0010477F">
        <w:rPr>
          <w:rFonts w:ascii="Arial" w:hAnsi="Arial" w:cs="Arial"/>
          <w:b/>
          <w:bCs/>
          <w:sz w:val="22"/>
        </w:rPr>
        <w:t>3.4 Impulse Response Analysis</w:t>
      </w:r>
    </w:p>
    <w:p w14:paraId="1D73CFC5" w14:textId="77777777" w:rsidR="00676EEF" w:rsidRPr="0010477F" w:rsidRDefault="00676EEF" w:rsidP="00676EEF">
      <w:pPr>
        <w:jc w:val="both"/>
        <w:rPr>
          <w:rFonts w:ascii="Arial" w:hAnsi="Arial" w:cs="Arial"/>
          <w:sz w:val="20"/>
        </w:rPr>
      </w:pPr>
      <w:r w:rsidRPr="0010477F">
        <w:rPr>
          <w:rFonts w:ascii="Arial" w:hAnsi="Arial" w:cs="Arial"/>
          <w:sz w:val="20"/>
        </w:rPr>
        <w:t>We derive orthogonalized impulse</w:t>
      </w:r>
      <w:r w:rsidRPr="0010477F">
        <w:rPr>
          <w:rFonts w:asciiTheme="majorBidi" w:hAnsiTheme="majorBidi" w:cs="Arial"/>
          <w:sz w:val="20"/>
        </w:rPr>
        <w:t>‐</w:t>
      </w:r>
      <w:r w:rsidRPr="0010477F">
        <w:rPr>
          <w:rFonts w:ascii="Arial" w:hAnsi="Arial" w:cs="Arial"/>
          <w:sz w:val="20"/>
        </w:rPr>
        <w:t>response functions (IRFs) by applying a Cholesky decomposition to the VAR covariance matrix, ordering ∆</w:t>
      </w:r>
      <w:proofErr w:type="gramStart"/>
      <w:r w:rsidRPr="0010477F">
        <w:rPr>
          <w:rFonts w:ascii="Arial" w:hAnsi="Arial" w:cs="Arial"/>
          <w:sz w:val="20"/>
        </w:rPr>
        <w:t>ln(</w:t>
      </w:r>
      <w:proofErr w:type="spellStart"/>
      <w:proofErr w:type="gramEnd"/>
      <w:r w:rsidRPr="0010477F">
        <w:rPr>
          <w:rFonts w:ascii="Arial" w:hAnsi="Arial" w:cs="Arial"/>
          <w:sz w:val="20"/>
        </w:rPr>
        <w:t>OilPrice</w:t>
      </w:r>
      <w:proofErr w:type="spellEnd"/>
      <w:r w:rsidRPr="0010477F">
        <w:rPr>
          <w:rFonts w:ascii="Arial" w:hAnsi="Arial" w:cs="Arial"/>
          <w:sz w:val="20"/>
        </w:rPr>
        <w:t>) before ∆ln(GDP). IRFs trace each variable’s response to a one</w:t>
      </w:r>
      <w:r w:rsidRPr="0010477F">
        <w:rPr>
          <w:rFonts w:asciiTheme="majorBidi" w:hAnsiTheme="majorBidi" w:cs="Arial"/>
          <w:sz w:val="20"/>
        </w:rPr>
        <w:t>‐</w:t>
      </w:r>
      <w:r w:rsidRPr="0010477F">
        <w:rPr>
          <w:rFonts w:ascii="Arial" w:hAnsi="Arial" w:cs="Arial"/>
          <w:sz w:val="20"/>
        </w:rPr>
        <w:t>standard</w:t>
      </w:r>
      <w:r w:rsidRPr="0010477F">
        <w:rPr>
          <w:rFonts w:asciiTheme="majorBidi" w:hAnsiTheme="majorBidi" w:cs="Arial"/>
          <w:sz w:val="20"/>
        </w:rPr>
        <w:t>‐</w:t>
      </w:r>
      <w:r w:rsidRPr="0010477F">
        <w:rPr>
          <w:rFonts w:ascii="Arial" w:hAnsi="Arial" w:cs="Arial"/>
          <w:sz w:val="20"/>
        </w:rPr>
        <w:t>deviation innovation in the other over a 10</w:t>
      </w:r>
      <w:r w:rsidRPr="0010477F">
        <w:rPr>
          <w:rFonts w:asciiTheme="majorBidi" w:hAnsiTheme="majorBidi" w:cs="Arial"/>
          <w:sz w:val="20"/>
        </w:rPr>
        <w:t>‐</w:t>
      </w:r>
      <w:r w:rsidRPr="0010477F">
        <w:rPr>
          <w:rFonts w:ascii="Arial" w:hAnsi="Arial" w:cs="Arial"/>
          <w:sz w:val="20"/>
        </w:rPr>
        <w:t>period horizon. Confidence bands are constructed via 100</w:t>
      </w:r>
      <w:r w:rsidRPr="0010477F">
        <w:rPr>
          <w:rFonts w:asciiTheme="majorBidi" w:hAnsiTheme="majorBidi" w:cs="Arial"/>
          <w:sz w:val="20"/>
        </w:rPr>
        <w:t>‐</w:t>
      </w:r>
      <w:r w:rsidRPr="0010477F">
        <w:rPr>
          <w:rFonts w:ascii="Arial" w:hAnsi="Arial" w:cs="Arial"/>
          <w:sz w:val="20"/>
        </w:rPr>
        <w:t>replication percentile bootstrapping.</w:t>
      </w:r>
    </w:p>
    <w:p w14:paraId="7EF670FC" w14:textId="77777777" w:rsidR="00676EEF" w:rsidRPr="0010477F" w:rsidRDefault="00676EEF" w:rsidP="00676EEF">
      <w:pPr>
        <w:jc w:val="both"/>
        <w:rPr>
          <w:rFonts w:ascii="Arial" w:hAnsi="Arial" w:cs="Arial"/>
          <w:b/>
          <w:bCs/>
          <w:sz w:val="22"/>
        </w:rPr>
      </w:pPr>
      <w:r w:rsidRPr="0010477F">
        <w:rPr>
          <w:rFonts w:ascii="Arial" w:hAnsi="Arial" w:cs="Arial"/>
          <w:b/>
          <w:bCs/>
          <w:sz w:val="22"/>
        </w:rPr>
        <w:t>3.5 Forecast Error Variance Decomposition</w:t>
      </w:r>
    </w:p>
    <w:p w14:paraId="4F596B22" w14:textId="77777777" w:rsidR="0022105B" w:rsidRDefault="00676EEF" w:rsidP="00EB1B4C">
      <w:pPr>
        <w:jc w:val="both"/>
        <w:rPr>
          <w:rFonts w:ascii="Arial" w:hAnsi="Arial" w:cs="Arial"/>
          <w:sz w:val="20"/>
        </w:rPr>
      </w:pPr>
      <w:r w:rsidRPr="0010477F">
        <w:rPr>
          <w:rFonts w:ascii="Arial" w:hAnsi="Arial" w:cs="Arial"/>
          <w:sz w:val="20"/>
        </w:rPr>
        <w:t>Forecast error variance decomposition (FEVD) quantifies the share of each variable’s h</w:t>
      </w:r>
      <w:r w:rsidRPr="0010477F">
        <w:rPr>
          <w:rFonts w:asciiTheme="majorBidi" w:hAnsiTheme="majorBidi" w:cs="Arial"/>
          <w:sz w:val="20"/>
        </w:rPr>
        <w:t>‐</w:t>
      </w:r>
      <w:r w:rsidRPr="0010477F">
        <w:rPr>
          <w:rFonts w:ascii="Arial" w:hAnsi="Arial" w:cs="Arial"/>
          <w:sz w:val="20"/>
        </w:rPr>
        <w:t>step</w:t>
      </w:r>
      <w:r w:rsidRPr="0010477F">
        <w:rPr>
          <w:rFonts w:asciiTheme="majorBidi" w:hAnsiTheme="majorBidi" w:cs="Arial"/>
          <w:sz w:val="20"/>
        </w:rPr>
        <w:t>‐</w:t>
      </w:r>
      <w:r w:rsidRPr="0010477F">
        <w:rPr>
          <w:rFonts w:ascii="Arial" w:hAnsi="Arial" w:cs="Arial"/>
          <w:sz w:val="20"/>
        </w:rPr>
        <w:t>ahead forecast variance attributable to its own shocks versus those of the other series. We compute FEVD from the moving</w:t>
      </w:r>
      <w:r w:rsidRPr="0010477F">
        <w:rPr>
          <w:rFonts w:asciiTheme="majorBidi" w:hAnsiTheme="majorBidi" w:cs="Arial"/>
          <w:sz w:val="20"/>
        </w:rPr>
        <w:t>‐</w:t>
      </w:r>
      <w:r w:rsidRPr="0010477F">
        <w:rPr>
          <w:rFonts w:ascii="Arial" w:hAnsi="Arial" w:cs="Arial"/>
          <w:sz w:val="20"/>
        </w:rPr>
        <w:t>average representation of the estimated VAR for horizons h = 1…10, thereby assessing the dynamic exogeneity of oil prices and thei</w:t>
      </w:r>
      <w:bookmarkStart w:id="4" w:name="_Hlk204068859"/>
      <w:r w:rsidR="00EB1B4C">
        <w:rPr>
          <w:rFonts w:ascii="Arial" w:hAnsi="Arial" w:cs="Arial"/>
          <w:sz w:val="20"/>
        </w:rPr>
        <w:t>r influence on GDP fluctuations.</w:t>
      </w:r>
    </w:p>
    <w:p w14:paraId="346FCD4C" w14:textId="77777777" w:rsidR="00EB1B4C" w:rsidRDefault="00EB1B4C" w:rsidP="00EB1B4C">
      <w:pPr>
        <w:jc w:val="both"/>
        <w:rPr>
          <w:rFonts w:ascii="Arial" w:hAnsi="Arial" w:cs="Arial"/>
          <w:sz w:val="20"/>
        </w:rPr>
      </w:pPr>
    </w:p>
    <w:p w14:paraId="40239D33" w14:textId="77777777" w:rsidR="00EB1B4C" w:rsidRPr="00EB1B4C" w:rsidRDefault="00EB1B4C" w:rsidP="00EB1B4C">
      <w:pPr>
        <w:jc w:val="both"/>
        <w:rPr>
          <w:rFonts w:ascii="Arial" w:hAnsi="Arial" w:cs="Arial"/>
          <w:sz w:val="20"/>
        </w:rPr>
        <w:sectPr w:rsidR="00EB1B4C" w:rsidRPr="00EB1B4C" w:rsidSect="002F7CCF">
          <w:type w:val="continuous"/>
          <w:pgSz w:w="11906" w:h="16838"/>
          <w:pgMar w:top="1440" w:right="1440" w:bottom="1440" w:left="1440" w:header="708" w:footer="708" w:gutter="0"/>
          <w:cols w:space="708"/>
          <w:docGrid w:linePitch="360"/>
        </w:sectPr>
      </w:pPr>
    </w:p>
    <w:p w14:paraId="31527709" w14:textId="77777777" w:rsidR="002F7CCF" w:rsidRPr="0010477F" w:rsidRDefault="002F7CCF" w:rsidP="00287F6C">
      <w:pPr>
        <w:rPr>
          <w:rFonts w:ascii="Arial" w:hAnsi="Arial" w:cs="Arial"/>
        </w:rPr>
        <w:sectPr w:rsidR="002F7CCF" w:rsidRPr="0010477F" w:rsidSect="0022105B">
          <w:type w:val="continuous"/>
          <w:pgSz w:w="11906" w:h="16838"/>
          <w:pgMar w:top="1440" w:right="1440" w:bottom="1440" w:left="1440" w:header="708" w:footer="708" w:gutter="0"/>
          <w:cols w:space="708"/>
          <w:docGrid w:linePitch="360"/>
        </w:sectPr>
      </w:pPr>
    </w:p>
    <w:p w14:paraId="43AD4F03" w14:textId="77777777" w:rsidR="00287F6C" w:rsidRPr="00287F6C" w:rsidRDefault="00287F6C" w:rsidP="00287F6C"/>
    <w:p w14:paraId="6ABD0F83" w14:textId="77777777" w:rsidR="009D14C8" w:rsidRPr="0010477F" w:rsidRDefault="005B6D1F" w:rsidP="005B6D1F">
      <w:pPr>
        <w:jc w:val="both"/>
        <w:rPr>
          <w:rFonts w:ascii="Arial" w:hAnsi="Arial" w:cs="Arial"/>
          <w:b/>
          <w:bCs/>
          <w:sz w:val="20"/>
          <w:lang w:val="en-GB"/>
        </w:rPr>
      </w:pPr>
      <w:r w:rsidRPr="0010477F">
        <w:rPr>
          <w:rFonts w:ascii="Arial" w:hAnsi="Arial" w:cs="Arial"/>
          <w:b/>
          <w:bCs/>
          <w:sz w:val="20"/>
          <w:lang w:val="en-GB"/>
        </w:rPr>
        <w:t xml:space="preserve">4.1 </w:t>
      </w:r>
      <w:r w:rsidR="009D14C8" w:rsidRPr="0010477F">
        <w:rPr>
          <w:rFonts w:ascii="Arial" w:hAnsi="Arial" w:cs="Arial"/>
          <w:b/>
          <w:bCs/>
          <w:sz w:val="20"/>
          <w:lang w:val="en-GB"/>
        </w:rPr>
        <w:t>TEST FOR STATIONARITY</w:t>
      </w:r>
    </w:p>
    <w:p w14:paraId="7209043B" w14:textId="77777777" w:rsidR="00A66332" w:rsidRPr="0010477F" w:rsidRDefault="00A66332" w:rsidP="00A66332">
      <w:pPr>
        <w:jc w:val="both"/>
        <w:rPr>
          <w:rFonts w:ascii="Arial" w:hAnsi="Arial" w:cs="Arial"/>
          <w:i/>
          <w:iCs/>
          <w:sz w:val="20"/>
          <w:lang w:val="en-GB"/>
        </w:rPr>
      </w:pPr>
      <w:r w:rsidRPr="0010477F">
        <w:rPr>
          <w:rFonts w:ascii="Arial" w:hAnsi="Arial" w:cs="Arial"/>
          <w:i/>
          <w:iCs/>
          <w:sz w:val="20"/>
        </w:rPr>
        <w:t xml:space="preserve">null hypothesis: </w:t>
      </w:r>
      <w:proofErr w:type="gramStart"/>
      <w:r w:rsidRPr="0010477F">
        <w:rPr>
          <w:rFonts w:ascii="Arial" w:hAnsi="Arial" w:cs="Arial"/>
          <w:i/>
          <w:iCs/>
          <w:sz w:val="20"/>
        </w:rPr>
        <w:t>non stationary</w:t>
      </w:r>
      <w:proofErr w:type="gramEnd"/>
    </w:p>
    <w:p w14:paraId="5EF43DFF" w14:textId="77777777" w:rsidR="00A66332" w:rsidRPr="0010477F" w:rsidRDefault="00A66332" w:rsidP="00A66332">
      <w:pPr>
        <w:jc w:val="both"/>
        <w:rPr>
          <w:rFonts w:ascii="Arial" w:hAnsi="Arial" w:cs="Arial"/>
          <w:i/>
          <w:iCs/>
          <w:sz w:val="20"/>
          <w:lang w:val="en-GB"/>
        </w:rPr>
      </w:pPr>
      <w:r w:rsidRPr="0010477F">
        <w:rPr>
          <w:rFonts w:ascii="Arial" w:hAnsi="Arial" w:cs="Arial"/>
          <w:i/>
          <w:iCs/>
          <w:sz w:val="20"/>
        </w:rPr>
        <w:t>alternative hypothesis: stationary</w:t>
      </w:r>
    </w:p>
    <w:p w14:paraId="5AFB557F" w14:textId="41586723" w:rsidR="00287F6C" w:rsidRPr="0010477F" w:rsidRDefault="00497A5B" w:rsidP="005B6D1F">
      <w:pPr>
        <w:jc w:val="both"/>
        <w:rPr>
          <w:rFonts w:ascii="Arial" w:hAnsi="Arial" w:cs="Arial"/>
          <w:sz w:val="20"/>
        </w:rPr>
      </w:pPr>
      <w:r>
        <w:rPr>
          <w:rFonts w:ascii="Arial" w:hAnsi="Arial" w:cs="Arial"/>
          <w:sz w:val="20"/>
        </w:rPr>
        <w:t>List</w:t>
      </w:r>
      <w:r w:rsidR="00287F6C" w:rsidRPr="0010477F">
        <w:rPr>
          <w:rFonts w:ascii="Arial" w:hAnsi="Arial" w:cs="Arial"/>
          <w:sz w:val="20"/>
        </w:rPr>
        <w:t xml:space="preserve"> 1: Unit</w:t>
      </w:r>
      <w:r w:rsidR="00287F6C" w:rsidRPr="0010477F">
        <w:rPr>
          <w:rFonts w:asciiTheme="majorBidi" w:hAnsiTheme="majorBidi" w:cs="Arial"/>
          <w:sz w:val="20"/>
        </w:rPr>
        <w:t>‐</w:t>
      </w:r>
      <w:r w:rsidR="00287F6C" w:rsidRPr="0010477F">
        <w:rPr>
          <w:rFonts w:ascii="Arial" w:hAnsi="Arial" w:cs="Arial"/>
          <w:sz w:val="20"/>
        </w:rPr>
        <w:t>Root Test Results for Oil Price and GDP</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560"/>
        <w:gridCol w:w="1106"/>
        <w:gridCol w:w="1786"/>
        <w:gridCol w:w="1927"/>
        <w:gridCol w:w="1273"/>
        <w:gridCol w:w="1420"/>
      </w:tblGrid>
      <w:tr w:rsidR="005B6D1F" w:rsidRPr="0010477F" w14:paraId="4DD00306" w14:textId="77777777" w:rsidTr="005B6D1F">
        <w:trPr>
          <w:tblHeader/>
          <w:tblCellSpacing w:w="15" w:type="dxa"/>
        </w:trPr>
        <w:tc>
          <w:tcPr>
            <w:tcW w:w="1515" w:type="dxa"/>
            <w:vAlign w:val="center"/>
            <w:hideMark/>
          </w:tcPr>
          <w:p w14:paraId="770BDE9F" w14:textId="77777777"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lastRenderedPageBreak/>
              <w:t>Test Method</w:t>
            </w:r>
          </w:p>
        </w:tc>
        <w:tc>
          <w:tcPr>
            <w:tcW w:w="1076" w:type="dxa"/>
            <w:vAlign w:val="center"/>
            <w:hideMark/>
          </w:tcPr>
          <w:p w14:paraId="1D6872C6" w14:textId="77777777"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Variable</w:t>
            </w:r>
          </w:p>
        </w:tc>
        <w:tc>
          <w:tcPr>
            <w:tcW w:w="1756" w:type="dxa"/>
            <w:vAlign w:val="center"/>
            <w:hideMark/>
          </w:tcPr>
          <w:p w14:paraId="4B07D6E4" w14:textId="77777777"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Statistic</w:t>
            </w:r>
          </w:p>
        </w:tc>
        <w:tc>
          <w:tcPr>
            <w:tcW w:w="1897" w:type="dxa"/>
            <w:vAlign w:val="center"/>
            <w:hideMark/>
          </w:tcPr>
          <w:p w14:paraId="06CBD52E" w14:textId="77777777"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Lag/Truncation</w:t>
            </w:r>
          </w:p>
        </w:tc>
        <w:tc>
          <w:tcPr>
            <w:tcW w:w="1243" w:type="dxa"/>
            <w:vAlign w:val="center"/>
            <w:hideMark/>
          </w:tcPr>
          <w:p w14:paraId="54BDEBD9" w14:textId="77777777"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p</w:t>
            </w:r>
            <w:r w:rsidRPr="0010477F">
              <w:rPr>
                <w:rFonts w:asciiTheme="majorBidi" w:hAnsiTheme="majorBidi" w:cs="Arial"/>
                <w:b/>
                <w:bCs/>
                <w:sz w:val="20"/>
                <w:szCs w:val="20"/>
              </w:rPr>
              <w:t>‐</w:t>
            </w:r>
            <w:r w:rsidRPr="0010477F">
              <w:rPr>
                <w:rFonts w:ascii="Arial" w:hAnsi="Arial" w:cs="Arial"/>
                <w:b/>
                <w:bCs/>
                <w:sz w:val="20"/>
                <w:szCs w:val="20"/>
              </w:rPr>
              <w:t>Value</w:t>
            </w:r>
          </w:p>
        </w:tc>
        <w:tc>
          <w:tcPr>
            <w:tcW w:w="1375" w:type="dxa"/>
            <w:vAlign w:val="center"/>
            <w:hideMark/>
          </w:tcPr>
          <w:p w14:paraId="150DCF22" w14:textId="77777777" w:rsidR="00287F6C" w:rsidRPr="0010477F" w:rsidRDefault="00287F6C" w:rsidP="005B6D1F">
            <w:pPr>
              <w:jc w:val="both"/>
              <w:rPr>
                <w:rFonts w:ascii="Arial" w:hAnsi="Arial" w:cs="Arial"/>
                <w:b/>
                <w:bCs/>
                <w:sz w:val="20"/>
                <w:szCs w:val="20"/>
              </w:rPr>
            </w:pPr>
            <w:r w:rsidRPr="0010477F">
              <w:rPr>
                <w:rFonts w:ascii="Arial" w:hAnsi="Arial" w:cs="Arial"/>
                <w:b/>
                <w:bCs/>
                <w:sz w:val="20"/>
                <w:szCs w:val="20"/>
              </w:rPr>
              <w:t>Stationary?</w:t>
            </w:r>
          </w:p>
        </w:tc>
      </w:tr>
      <w:tr w:rsidR="005B6D1F" w:rsidRPr="0010477F" w14:paraId="3517143C" w14:textId="77777777" w:rsidTr="005B6D1F">
        <w:trPr>
          <w:tblCellSpacing w:w="15" w:type="dxa"/>
        </w:trPr>
        <w:tc>
          <w:tcPr>
            <w:tcW w:w="1515" w:type="dxa"/>
            <w:vAlign w:val="center"/>
            <w:hideMark/>
          </w:tcPr>
          <w:p w14:paraId="4010D572"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Augmented DF</w:t>
            </w:r>
          </w:p>
        </w:tc>
        <w:tc>
          <w:tcPr>
            <w:tcW w:w="1076" w:type="dxa"/>
            <w:vAlign w:val="center"/>
            <w:hideMark/>
          </w:tcPr>
          <w:p w14:paraId="60D94F34" w14:textId="77777777" w:rsidR="00287F6C" w:rsidRPr="0010477F" w:rsidRDefault="00287F6C" w:rsidP="005B6D1F">
            <w:pPr>
              <w:jc w:val="both"/>
              <w:rPr>
                <w:rFonts w:ascii="Arial" w:hAnsi="Arial" w:cs="Arial"/>
                <w:sz w:val="20"/>
                <w:szCs w:val="20"/>
              </w:rPr>
            </w:pPr>
            <w:proofErr w:type="spellStart"/>
            <w:r w:rsidRPr="0010477F">
              <w:rPr>
                <w:rFonts w:ascii="Arial" w:hAnsi="Arial" w:cs="Arial"/>
                <w:sz w:val="20"/>
                <w:szCs w:val="20"/>
              </w:rPr>
              <w:t>OilPrice</w:t>
            </w:r>
            <w:proofErr w:type="spellEnd"/>
          </w:p>
        </w:tc>
        <w:tc>
          <w:tcPr>
            <w:tcW w:w="1756" w:type="dxa"/>
            <w:vAlign w:val="center"/>
            <w:hideMark/>
          </w:tcPr>
          <w:p w14:paraId="0BC06119"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–2.3106</w:t>
            </w:r>
          </w:p>
        </w:tc>
        <w:tc>
          <w:tcPr>
            <w:tcW w:w="1897" w:type="dxa"/>
            <w:vAlign w:val="center"/>
            <w:hideMark/>
          </w:tcPr>
          <w:p w14:paraId="6E59C270"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3</w:t>
            </w:r>
          </w:p>
        </w:tc>
        <w:tc>
          <w:tcPr>
            <w:tcW w:w="1243" w:type="dxa"/>
            <w:vAlign w:val="center"/>
            <w:hideMark/>
          </w:tcPr>
          <w:p w14:paraId="04853209"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0.4527</w:t>
            </w:r>
          </w:p>
        </w:tc>
        <w:tc>
          <w:tcPr>
            <w:tcW w:w="1375" w:type="dxa"/>
            <w:vAlign w:val="center"/>
            <w:hideMark/>
          </w:tcPr>
          <w:p w14:paraId="04DD33C1"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No (unit root)</w:t>
            </w:r>
          </w:p>
        </w:tc>
      </w:tr>
      <w:tr w:rsidR="005B6D1F" w:rsidRPr="0010477F" w14:paraId="7E3E72A1" w14:textId="77777777" w:rsidTr="005B6D1F">
        <w:trPr>
          <w:tblCellSpacing w:w="15" w:type="dxa"/>
        </w:trPr>
        <w:tc>
          <w:tcPr>
            <w:tcW w:w="1515" w:type="dxa"/>
            <w:vAlign w:val="center"/>
            <w:hideMark/>
          </w:tcPr>
          <w:p w14:paraId="51700036"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Augmented DF</w:t>
            </w:r>
          </w:p>
        </w:tc>
        <w:tc>
          <w:tcPr>
            <w:tcW w:w="1076" w:type="dxa"/>
            <w:vAlign w:val="center"/>
            <w:hideMark/>
          </w:tcPr>
          <w:p w14:paraId="50C4FD38"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GDP</w:t>
            </w:r>
          </w:p>
        </w:tc>
        <w:tc>
          <w:tcPr>
            <w:tcW w:w="1756" w:type="dxa"/>
            <w:vAlign w:val="center"/>
            <w:hideMark/>
          </w:tcPr>
          <w:p w14:paraId="303332DF"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–1.6221</w:t>
            </w:r>
          </w:p>
        </w:tc>
        <w:tc>
          <w:tcPr>
            <w:tcW w:w="1897" w:type="dxa"/>
            <w:vAlign w:val="center"/>
            <w:hideMark/>
          </w:tcPr>
          <w:p w14:paraId="37337392"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3</w:t>
            </w:r>
          </w:p>
        </w:tc>
        <w:tc>
          <w:tcPr>
            <w:tcW w:w="1243" w:type="dxa"/>
            <w:vAlign w:val="center"/>
            <w:hideMark/>
          </w:tcPr>
          <w:p w14:paraId="4BE58AB8"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0.7194</w:t>
            </w:r>
          </w:p>
        </w:tc>
        <w:tc>
          <w:tcPr>
            <w:tcW w:w="1375" w:type="dxa"/>
            <w:vAlign w:val="center"/>
            <w:hideMark/>
          </w:tcPr>
          <w:p w14:paraId="40079726"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No (unit root)</w:t>
            </w:r>
          </w:p>
        </w:tc>
      </w:tr>
      <w:tr w:rsidR="005B6D1F" w:rsidRPr="0010477F" w14:paraId="1F1D6737" w14:textId="77777777" w:rsidTr="005B6D1F">
        <w:trPr>
          <w:tblCellSpacing w:w="15" w:type="dxa"/>
        </w:trPr>
        <w:tc>
          <w:tcPr>
            <w:tcW w:w="1515" w:type="dxa"/>
            <w:vAlign w:val="center"/>
            <w:hideMark/>
          </w:tcPr>
          <w:p w14:paraId="3CC084EC"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Phillips</w:t>
            </w:r>
            <w:r w:rsidRPr="0010477F">
              <w:rPr>
                <w:rFonts w:asciiTheme="majorBidi" w:hAnsiTheme="majorBidi" w:cs="Arial"/>
                <w:sz w:val="20"/>
                <w:szCs w:val="20"/>
              </w:rPr>
              <w:t>‐</w:t>
            </w:r>
            <w:proofErr w:type="spellStart"/>
            <w:r w:rsidRPr="0010477F">
              <w:rPr>
                <w:rFonts w:ascii="Arial" w:hAnsi="Arial" w:cs="Arial"/>
                <w:sz w:val="20"/>
                <w:szCs w:val="20"/>
              </w:rPr>
              <w:t>Perron</w:t>
            </w:r>
            <w:proofErr w:type="spellEnd"/>
          </w:p>
        </w:tc>
        <w:tc>
          <w:tcPr>
            <w:tcW w:w="1076" w:type="dxa"/>
            <w:vAlign w:val="center"/>
            <w:hideMark/>
          </w:tcPr>
          <w:p w14:paraId="40B82415" w14:textId="77777777" w:rsidR="00287F6C" w:rsidRPr="0010477F" w:rsidRDefault="00287F6C" w:rsidP="005B6D1F">
            <w:pPr>
              <w:jc w:val="both"/>
              <w:rPr>
                <w:rFonts w:ascii="Arial" w:hAnsi="Arial" w:cs="Arial"/>
                <w:sz w:val="20"/>
                <w:szCs w:val="20"/>
              </w:rPr>
            </w:pPr>
            <w:proofErr w:type="spellStart"/>
            <w:r w:rsidRPr="0010477F">
              <w:rPr>
                <w:rFonts w:ascii="Arial" w:hAnsi="Arial" w:cs="Arial"/>
                <w:sz w:val="20"/>
                <w:szCs w:val="20"/>
              </w:rPr>
              <w:t>OilPrice</w:t>
            </w:r>
            <w:proofErr w:type="spellEnd"/>
          </w:p>
        </w:tc>
        <w:tc>
          <w:tcPr>
            <w:tcW w:w="1756" w:type="dxa"/>
            <w:vAlign w:val="center"/>
            <w:hideMark/>
          </w:tcPr>
          <w:p w14:paraId="734D0501"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Z(α)= –9.8197</w:t>
            </w:r>
          </w:p>
        </w:tc>
        <w:tc>
          <w:tcPr>
            <w:tcW w:w="1897" w:type="dxa"/>
            <w:vAlign w:val="center"/>
            <w:hideMark/>
          </w:tcPr>
          <w:p w14:paraId="6CC5ED39"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3</w:t>
            </w:r>
          </w:p>
        </w:tc>
        <w:tc>
          <w:tcPr>
            <w:tcW w:w="1243" w:type="dxa"/>
            <w:vAlign w:val="center"/>
            <w:hideMark/>
          </w:tcPr>
          <w:p w14:paraId="002A9946"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0.5007</w:t>
            </w:r>
          </w:p>
        </w:tc>
        <w:tc>
          <w:tcPr>
            <w:tcW w:w="1375" w:type="dxa"/>
            <w:vAlign w:val="center"/>
            <w:hideMark/>
          </w:tcPr>
          <w:p w14:paraId="7D46C5C1"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No (unit root)</w:t>
            </w:r>
          </w:p>
        </w:tc>
      </w:tr>
      <w:tr w:rsidR="005B6D1F" w:rsidRPr="0010477F" w14:paraId="73074D63" w14:textId="77777777" w:rsidTr="005B6D1F">
        <w:trPr>
          <w:tblCellSpacing w:w="15" w:type="dxa"/>
        </w:trPr>
        <w:tc>
          <w:tcPr>
            <w:tcW w:w="1515" w:type="dxa"/>
            <w:vAlign w:val="center"/>
            <w:hideMark/>
          </w:tcPr>
          <w:p w14:paraId="460D72A3"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Phillips</w:t>
            </w:r>
            <w:r w:rsidRPr="0010477F">
              <w:rPr>
                <w:rFonts w:asciiTheme="majorBidi" w:hAnsiTheme="majorBidi" w:cs="Arial"/>
                <w:sz w:val="20"/>
                <w:szCs w:val="20"/>
              </w:rPr>
              <w:t>‐</w:t>
            </w:r>
            <w:proofErr w:type="spellStart"/>
            <w:r w:rsidRPr="0010477F">
              <w:rPr>
                <w:rFonts w:ascii="Arial" w:hAnsi="Arial" w:cs="Arial"/>
                <w:sz w:val="20"/>
                <w:szCs w:val="20"/>
              </w:rPr>
              <w:t>Perron</w:t>
            </w:r>
            <w:proofErr w:type="spellEnd"/>
          </w:p>
        </w:tc>
        <w:tc>
          <w:tcPr>
            <w:tcW w:w="1076" w:type="dxa"/>
            <w:vAlign w:val="center"/>
            <w:hideMark/>
          </w:tcPr>
          <w:p w14:paraId="0CF39FE6"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GDP</w:t>
            </w:r>
          </w:p>
        </w:tc>
        <w:tc>
          <w:tcPr>
            <w:tcW w:w="1756" w:type="dxa"/>
            <w:vAlign w:val="center"/>
            <w:hideMark/>
          </w:tcPr>
          <w:p w14:paraId="7949F55F"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Z(α)= –21.964</w:t>
            </w:r>
          </w:p>
        </w:tc>
        <w:tc>
          <w:tcPr>
            <w:tcW w:w="1897" w:type="dxa"/>
            <w:vAlign w:val="center"/>
            <w:hideMark/>
          </w:tcPr>
          <w:p w14:paraId="25572DE8"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3</w:t>
            </w:r>
          </w:p>
        </w:tc>
        <w:tc>
          <w:tcPr>
            <w:tcW w:w="1243" w:type="dxa"/>
            <w:vAlign w:val="center"/>
            <w:hideMark/>
          </w:tcPr>
          <w:p w14:paraId="1C88E271"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0.0183</w:t>
            </w:r>
          </w:p>
        </w:tc>
        <w:tc>
          <w:tcPr>
            <w:tcW w:w="1375" w:type="dxa"/>
            <w:vAlign w:val="center"/>
            <w:hideMark/>
          </w:tcPr>
          <w:p w14:paraId="4A63D5A1" w14:textId="77777777" w:rsidR="00287F6C" w:rsidRPr="0010477F" w:rsidRDefault="00287F6C" w:rsidP="005B6D1F">
            <w:pPr>
              <w:jc w:val="both"/>
              <w:rPr>
                <w:rFonts w:ascii="Arial" w:hAnsi="Arial" w:cs="Arial"/>
                <w:sz w:val="20"/>
                <w:szCs w:val="20"/>
              </w:rPr>
            </w:pPr>
            <w:r w:rsidRPr="0010477F">
              <w:rPr>
                <w:rFonts w:ascii="Arial" w:hAnsi="Arial" w:cs="Arial"/>
                <w:sz w:val="20"/>
                <w:szCs w:val="20"/>
              </w:rPr>
              <w:t>Yes (stationary)</w:t>
            </w:r>
          </w:p>
        </w:tc>
      </w:tr>
    </w:tbl>
    <w:p w14:paraId="7A30CF3D" w14:textId="77777777" w:rsidR="0022105B" w:rsidRDefault="00CF6268" w:rsidP="0010477F">
      <w:pPr>
        <w:rPr>
          <w:rFonts w:asciiTheme="majorBidi" w:hAnsiTheme="majorBidi" w:cstheme="majorBidi"/>
        </w:rPr>
        <w:sectPr w:rsidR="0022105B" w:rsidSect="0022105B">
          <w:type w:val="continuous"/>
          <w:pgSz w:w="11906" w:h="16838"/>
          <w:pgMar w:top="1440" w:right="1440" w:bottom="1440" w:left="1440" w:header="708" w:footer="708" w:gutter="0"/>
          <w:cols w:space="708"/>
          <w:docGrid w:linePitch="360"/>
        </w:sectPr>
      </w:pPr>
      <w:r>
        <w:rPr>
          <w:rFonts w:asciiTheme="majorBidi" w:hAnsiTheme="majorBidi" w:cstheme="majorBidi"/>
        </w:rPr>
        <w:t>Source: Autho</w:t>
      </w:r>
      <w:r w:rsidR="00EB1B4C">
        <w:rPr>
          <w:rFonts w:asciiTheme="majorBidi" w:hAnsiTheme="majorBidi" w:cstheme="majorBidi"/>
        </w:rPr>
        <w:t>r</w:t>
      </w:r>
    </w:p>
    <w:p w14:paraId="3D8B562A" w14:textId="77777777" w:rsidR="002F7CCF" w:rsidRDefault="002F7CCF" w:rsidP="005B6D1F">
      <w:pPr>
        <w:jc w:val="both"/>
        <w:rPr>
          <w:rFonts w:asciiTheme="majorBidi" w:hAnsiTheme="majorBidi" w:cstheme="majorBidi"/>
        </w:rPr>
        <w:sectPr w:rsidR="002F7CCF" w:rsidSect="0022105B">
          <w:type w:val="continuous"/>
          <w:pgSz w:w="11906" w:h="16838"/>
          <w:pgMar w:top="1440" w:right="1440" w:bottom="1440" w:left="1440" w:header="708" w:footer="708" w:gutter="0"/>
          <w:cols w:num="2" w:space="708"/>
          <w:docGrid w:linePitch="360"/>
        </w:sectPr>
      </w:pPr>
    </w:p>
    <w:p w14:paraId="25755E9A" w14:textId="77777777" w:rsidR="00287F6C" w:rsidRPr="00CF6268" w:rsidRDefault="0010477F" w:rsidP="005B6D1F">
      <w:pPr>
        <w:jc w:val="both"/>
        <w:rPr>
          <w:rFonts w:ascii="Arial" w:hAnsi="Arial" w:cs="Arial"/>
          <w:sz w:val="20"/>
        </w:rPr>
      </w:pPr>
      <w:r w:rsidRPr="00CF6268">
        <w:rPr>
          <w:rFonts w:ascii="Arial" w:hAnsi="Arial" w:cs="Arial"/>
          <w:sz w:val="20"/>
        </w:rPr>
        <w:t xml:space="preserve">Both </w:t>
      </w:r>
      <w:r w:rsidR="00287F6C" w:rsidRPr="00CF6268">
        <w:rPr>
          <w:rFonts w:ascii="Arial" w:hAnsi="Arial" w:cs="Arial"/>
          <w:sz w:val="20"/>
        </w:rPr>
        <w:t>Augmented Dickey</w:t>
      </w:r>
      <w:r w:rsidR="005B6D1F" w:rsidRPr="00CF6268">
        <w:rPr>
          <w:rFonts w:ascii="Arial" w:hAnsi="Arial" w:cs="Arial"/>
          <w:sz w:val="20"/>
        </w:rPr>
        <w:t>-</w:t>
      </w:r>
      <w:r w:rsidR="00287F6C" w:rsidRPr="00CF6268">
        <w:rPr>
          <w:rFonts w:ascii="Arial" w:hAnsi="Arial" w:cs="Arial"/>
          <w:sz w:val="20"/>
        </w:rPr>
        <w:t>Fuller tests fail to reject a unit root for Oil</w:t>
      </w:r>
      <w:r w:rsidR="004E6B6A">
        <w:rPr>
          <w:rFonts w:ascii="Arial" w:hAnsi="Arial" w:cs="Arial"/>
          <w:sz w:val="20"/>
        </w:rPr>
        <w:t xml:space="preserve"> </w:t>
      </w:r>
      <w:r w:rsidR="00287F6C" w:rsidRPr="00CF6268">
        <w:rPr>
          <w:rFonts w:ascii="Arial" w:hAnsi="Arial" w:cs="Arial"/>
          <w:sz w:val="20"/>
        </w:rPr>
        <w:t>Price and GDP (p </w:t>
      </w:r>
      <w:r w:rsidR="00287F6C" w:rsidRPr="00CF6268">
        <w:rPr>
          <w:rFonts w:ascii="Cambria Math" w:hAnsi="Cambria Math" w:cs="Arial"/>
          <w:sz w:val="20"/>
        </w:rPr>
        <w:t>≫</w:t>
      </w:r>
      <w:r w:rsidR="00287F6C" w:rsidRPr="00CF6268">
        <w:rPr>
          <w:rFonts w:ascii="Arial" w:hAnsi="Arial" w:cs="Arial"/>
          <w:sz w:val="20"/>
        </w:rPr>
        <w:t> 0.05), indicating non</w:t>
      </w:r>
      <w:r w:rsidR="00287F6C" w:rsidRPr="00CF6268">
        <w:rPr>
          <w:rFonts w:ascii="Times New Roman" w:hAnsi="Times New Roman" w:cs="Arial"/>
          <w:sz w:val="20"/>
        </w:rPr>
        <w:t>‐</w:t>
      </w:r>
      <w:r w:rsidR="00287F6C" w:rsidRPr="00CF6268">
        <w:rPr>
          <w:rFonts w:ascii="Arial" w:hAnsi="Arial" w:cs="Arial"/>
          <w:sz w:val="20"/>
        </w:rPr>
        <w:t>stationarity in levels. Phillips</w:t>
      </w:r>
      <w:r w:rsidR="005B6D1F" w:rsidRPr="00CF6268">
        <w:rPr>
          <w:rFonts w:ascii="Arial" w:hAnsi="Arial" w:cs="Arial"/>
          <w:sz w:val="20"/>
        </w:rPr>
        <w:t>-</w:t>
      </w:r>
      <w:proofErr w:type="spellStart"/>
      <w:r w:rsidR="00287F6C" w:rsidRPr="00CF6268">
        <w:rPr>
          <w:rFonts w:ascii="Arial" w:hAnsi="Arial" w:cs="Arial"/>
          <w:sz w:val="20"/>
        </w:rPr>
        <w:t>Perron</w:t>
      </w:r>
      <w:proofErr w:type="spellEnd"/>
      <w:r w:rsidR="00287F6C" w:rsidRPr="00CF6268">
        <w:rPr>
          <w:rFonts w:ascii="Arial" w:hAnsi="Arial" w:cs="Arial"/>
          <w:sz w:val="20"/>
        </w:rPr>
        <w:t xml:space="preserve"> also finds Oil</w:t>
      </w:r>
      <w:r w:rsidR="004E6B6A">
        <w:rPr>
          <w:rFonts w:ascii="Arial" w:hAnsi="Arial" w:cs="Arial"/>
          <w:sz w:val="20"/>
        </w:rPr>
        <w:t xml:space="preserve"> </w:t>
      </w:r>
      <w:r w:rsidR="00287F6C" w:rsidRPr="00CF6268">
        <w:rPr>
          <w:rFonts w:ascii="Arial" w:hAnsi="Arial" w:cs="Arial"/>
          <w:sz w:val="20"/>
        </w:rPr>
        <w:t>Price non</w:t>
      </w:r>
      <w:r w:rsidR="00287F6C" w:rsidRPr="00CF6268">
        <w:rPr>
          <w:rFonts w:asciiTheme="majorBidi" w:hAnsiTheme="majorBidi" w:cs="Arial"/>
          <w:sz w:val="20"/>
        </w:rPr>
        <w:t>‐</w:t>
      </w:r>
      <w:r w:rsidR="00287F6C" w:rsidRPr="00CF6268">
        <w:rPr>
          <w:rFonts w:ascii="Arial" w:hAnsi="Arial" w:cs="Arial"/>
          <w:sz w:val="20"/>
        </w:rPr>
        <w:t xml:space="preserve">stationary, while GDP passes at p &lt; 0.05. The mixed evidence suggests treating both series as </w:t>
      </w:r>
      <w:proofErr w:type="gramStart"/>
      <w:r w:rsidR="00287F6C" w:rsidRPr="00CF6268">
        <w:rPr>
          <w:rFonts w:ascii="Arial" w:hAnsi="Arial" w:cs="Arial"/>
          <w:sz w:val="20"/>
        </w:rPr>
        <w:t>I(</w:t>
      </w:r>
      <w:proofErr w:type="gramEnd"/>
      <w:r w:rsidR="00287F6C" w:rsidRPr="00CF6268">
        <w:rPr>
          <w:rFonts w:ascii="Arial" w:hAnsi="Arial" w:cs="Arial"/>
          <w:sz w:val="20"/>
        </w:rPr>
        <w:t xml:space="preserve">1): we should model their first differences or test for cointegration before estimating a </w:t>
      </w:r>
      <w:proofErr w:type="spellStart"/>
      <w:r w:rsidR="00287F6C" w:rsidRPr="00CF6268">
        <w:rPr>
          <w:rFonts w:ascii="Arial" w:hAnsi="Arial" w:cs="Arial"/>
          <w:sz w:val="20"/>
        </w:rPr>
        <w:t>VAR.Pre</w:t>
      </w:r>
      <w:proofErr w:type="spellEnd"/>
      <w:r w:rsidR="00287F6C" w:rsidRPr="00CF6268">
        <w:rPr>
          <w:rFonts w:asciiTheme="majorBidi" w:hAnsiTheme="majorBidi" w:cs="Arial"/>
          <w:sz w:val="20"/>
        </w:rPr>
        <w:t>‐</w:t>
      </w:r>
      <w:r w:rsidR="00287F6C" w:rsidRPr="00CF6268">
        <w:rPr>
          <w:rFonts w:ascii="Arial" w:hAnsi="Arial" w:cs="Arial"/>
          <w:sz w:val="20"/>
        </w:rPr>
        <w:t>estimation diagnostics reveal that neither Oil</w:t>
      </w:r>
      <w:r w:rsidR="004E6B6A">
        <w:rPr>
          <w:rFonts w:ascii="Arial" w:hAnsi="Arial" w:cs="Arial"/>
          <w:sz w:val="20"/>
        </w:rPr>
        <w:t xml:space="preserve"> </w:t>
      </w:r>
      <w:r w:rsidR="00287F6C" w:rsidRPr="00CF6268">
        <w:rPr>
          <w:rFonts w:ascii="Arial" w:hAnsi="Arial" w:cs="Arial"/>
          <w:sz w:val="20"/>
        </w:rPr>
        <w:t>Price nor GDP is convincingly stationary in levels</w:t>
      </w:r>
      <w:r w:rsidR="005B6D1F" w:rsidRPr="00CF6268">
        <w:rPr>
          <w:rFonts w:ascii="Arial" w:hAnsi="Arial" w:cs="Arial"/>
          <w:sz w:val="20"/>
        </w:rPr>
        <w:t xml:space="preserve">, </w:t>
      </w:r>
      <w:r w:rsidR="00287F6C" w:rsidRPr="00CF6268">
        <w:rPr>
          <w:rFonts w:ascii="Arial" w:hAnsi="Arial" w:cs="Arial"/>
          <w:sz w:val="20"/>
        </w:rPr>
        <w:t>only GDP under the PP test. To avoid spurious regressions and preserve valid inference, we will proceed with a VAR in first differences or incorporate an error</w:t>
      </w:r>
      <w:r w:rsidR="00287F6C" w:rsidRPr="00CF6268">
        <w:rPr>
          <w:rFonts w:asciiTheme="majorBidi" w:hAnsiTheme="majorBidi" w:cs="Arial"/>
          <w:sz w:val="20"/>
        </w:rPr>
        <w:t>‐</w:t>
      </w:r>
      <w:r w:rsidR="00287F6C" w:rsidRPr="00CF6268">
        <w:rPr>
          <w:rFonts w:ascii="Arial" w:hAnsi="Arial" w:cs="Arial"/>
          <w:sz w:val="20"/>
        </w:rPr>
        <w:t>correction framework after establishing cointegration.</w:t>
      </w:r>
      <w:r w:rsidR="004E6B6A">
        <w:rPr>
          <w:rFonts w:ascii="Arial" w:hAnsi="Arial" w:cs="Arial"/>
          <w:sz w:val="20"/>
        </w:rPr>
        <w:t xml:space="preserve"> </w:t>
      </w:r>
      <w:r w:rsidR="00287F6C" w:rsidRPr="00CF6268">
        <w:rPr>
          <w:rFonts w:ascii="Arial" w:hAnsi="Arial" w:cs="Arial"/>
          <w:sz w:val="20"/>
        </w:rPr>
        <w:t>Since Nigeria’s oil revenues and GDP levels don’t revert to a steady state, fiscal and monetary forecasts must be based on growth rates (first differences) rather than raw levels. Stabilization mechanisms</w:t>
      </w:r>
      <w:r w:rsidR="005B6D1F" w:rsidRPr="00CF6268">
        <w:rPr>
          <w:rFonts w:ascii="Arial" w:hAnsi="Arial" w:cs="Arial"/>
          <w:sz w:val="20"/>
        </w:rPr>
        <w:t xml:space="preserve">, </w:t>
      </w:r>
      <w:r w:rsidR="00287F6C" w:rsidRPr="00CF6268">
        <w:rPr>
          <w:rFonts w:ascii="Arial" w:hAnsi="Arial" w:cs="Arial"/>
          <w:sz w:val="20"/>
        </w:rPr>
        <w:t>such as an oil</w:t>
      </w:r>
      <w:r w:rsidR="00287F6C" w:rsidRPr="00CF6268">
        <w:rPr>
          <w:rFonts w:asciiTheme="majorBidi" w:hAnsiTheme="majorBidi" w:cs="Arial"/>
          <w:sz w:val="20"/>
        </w:rPr>
        <w:t>‐</w:t>
      </w:r>
      <w:r w:rsidR="00287F6C" w:rsidRPr="00CF6268">
        <w:rPr>
          <w:rFonts w:ascii="Arial" w:hAnsi="Arial" w:cs="Arial"/>
          <w:sz w:val="20"/>
        </w:rPr>
        <w:t>price smoothing fund</w:t>
      </w:r>
      <w:r w:rsidR="004E6B6A">
        <w:rPr>
          <w:rFonts w:ascii="Arial" w:hAnsi="Arial" w:cs="Arial"/>
          <w:sz w:val="20"/>
        </w:rPr>
        <w:t xml:space="preserve"> </w:t>
      </w:r>
      <w:r w:rsidR="00287F6C" w:rsidRPr="00CF6268">
        <w:rPr>
          <w:rFonts w:ascii="Arial" w:hAnsi="Arial" w:cs="Arial"/>
          <w:sz w:val="20"/>
        </w:rPr>
        <w:t xml:space="preserve">should target the volatility in </w:t>
      </w:r>
      <w:r w:rsidR="005B6D1F" w:rsidRPr="00CF6268">
        <w:rPr>
          <w:rFonts w:ascii="Arial" w:hAnsi="Arial" w:cs="Arial"/>
          <w:sz w:val="20"/>
        </w:rPr>
        <w:t>yea</w:t>
      </w:r>
      <w:r w:rsidR="00287F6C" w:rsidRPr="00CF6268">
        <w:rPr>
          <w:rFonts w:ascii="Arial" w:hAnsi="Arial" w:cs="Arial"/>
          <w:sz w:val="20"/>
        </w:rPr>
        <w:t>r</w:t>
      </w:r>
      <w:r w:rsidR="00287F6C" w:rsidRPr="00CF6268">
        <w:rPr>
          <w:rFonts w:asciiTheme="majorBidi" w:hAnsiTheme="majorBidi" w:cs="Arial"/>
          <w:sz w:val="20"/>
        </w:rPr>
        <w:t>‐</w:t>
      </w:r>
      <w:r w:rsidR="00287F6C" w:rsidRPr="00CF6268">
        <w:rPr>
          <w:rFonts w:ascii="Arial" w:hAnsi="Arial" w:cs="Arial"/>
          <w:sz w:val="20"/>
        </w:rPr>
        <w:t>to</w:t>
      </w:r>
      <w:r w:rsidR="005B6D1F" w:rsidRPr="00CF6268">
        <w:rPr>
          <w:rFonts w:ascii="Arial" w:hAnsi="Arial" w:cs="Arial"/>
          <w:sz w:val="20"/>
        </w:rPr>
        <w:t>-year</w:t>
      </w:r>
      <w:r w:rsidR="00287F6C" w:rsidRPr="00CF6268">
        <w:rPr>
          <w:rFonts w:ascii="Arial" w:hAnsi="Arial" w:cs="Arial"/>
          <w:sz w:val="20"/>
        </w:rPr>
        <w:t xml:space="preserve"> changes, not the absolute price or GDP level.</w:t>
      </w:r>
    </w:p>
    <w:p w14:paraId="22BB0F84" w14:textId="77777777" w:rsidR="0022105B" w:rsidRPr="00CF6268" w:rsidRDefault="00553BF9" w:rsidP="00EB1B4C">
      <w:pPr>
        <w:jc w:val="both"/>
        <w:rPr>
          <w:rFonts w:ascii="Arial" w:hAnsi="Arial" w:cs="Arial"/>
          <w:sz w:val="20"/>
        </w:rPr>
        <w:sectPr w:rsidR="0022105B" w:rsidRPr="00CF6268" w:rsidSect="002F7CCF">
          <w:type w:val="continuous"/>
          <w:pgSz w:w="11906" w:h="16838"/>
          <w:pgMar w:top="1440" w:right="1440" w:bottom="1440" w:left="1440" w:header="708" w:footer="708" w:gutter="0"/>
          <w:cols w:space="708"/>
          <w:docGrid w:linePitch="360"/>
        </w:sectPr>
      </w:pPr>
      <w:r w:rsidRPr="00CF6268">
        <w:rPr>
          <w:rFonts w:ascii="Arial" w:hAnsi="Arial" w:cs="Arial"/>
          <w:sz w:val="20"/>
        </w:rPr>
        <w:t>From Table 1, a</w:t>
      </w:r>
      <w:r w:rsidR="00704606" w:rsidRPr="00CF6268">
        <w:rPr>
          <w:rFonts w:ascii="Arial" w:hAnsi="Arial" w:cs="Arial"/>
          <w:sz w:val="20"/>
        </w:rPr>
        <w:t>ll four lag</w:t>
      </w:r>
      <w:r w:rsidR="00704606" w:rsidRPr="00CF6268">
        <w:rPr>
          <w:rFonts w:asciiTheme="majorBidi" w:hAnsiTheme="majorBidi" w:cs="Arial"/>
          <w:sz w:val="20"/>
        </w:rPr>
        <w:t>‐</w:t>
      </w:r>
      <w:r w:rsidR="00704606" w:rsidRPr="00CF6268">
        <w:rPr>
          <w:rFonts w:ascii="Arial" w:hAnsi="Arial" w:cs="Arial"/>
          <w:sz w:val="20"/>
        </w:rPr>
        <w:t xml:space="preserve">selection criteria (AIC, HQ, SC, FPE) reach their minimum at three lags, so our </w:t>
      </w:r>
      <w:proofErr w:type="gramStart"/>
      <w:r w:rsidR="00704606" w:rsidRPr="00CF6268">
        <w:rPr>
          <w:rFonts w:ascii="Arial" w:hAnsi="Arial" w:cs="Arial"/>
          <w:sz w:val="20"/>
        </w:rPr>
        <w:t>VAR(</w:t>
      </w:r>
      <w:proofErr w:type="gramEnd"/>
      <w:r w:rsidR="00704606" w:rsidRPr="00CF6268">
        <w:rPr>
          <w:rFonts w:ascii="Arial" w:hAnsi="Arial" w:cs="Arial"/>
          <w:sz w:val="20"/>
        </w:rPr>
        <w:t xml:space="preserve">3) </w:t>
      </w:r>
      <w:r w:rsidR="00EB1B4C">
        <w:rPr>
          <w:rFonts w:ascii="Arial" w:hAnsi="Arial" w:cs="Arial"/>
          <w:sz w:val="20"/>
        </w:rPr>
        <w:t>best balances fit and parsimony.</w:t>
      </w:r>
    </w:p>
    <w:p w14:paraId="7D4EFF0F" w14:textId="77777777" w:rsidR="002F7CCF" w:rsidRDefault="002F7CCF" w:rsidP="00287F6C">
      <w:pPr>
        <w:rPr>
          <w:rFonts w:asciiTheme="majorBidi" w:hAnsiTheme="majorBidi" w:cstheme="majorBidi"/>
        </w:rPr>
        <w:sectPr w:rsidR="002F7CCF" w:rsidSect="0022105B">
          <w:type w:val="continuous"/>
          <w:pgSz w:w="11906" w:h="16838"/>
          <w:pgMar w:top="1440" w:right="1440" w:bottom="1440" w:left="1440" w:header="708" w:footer="708" w:gutter="0"/>
          <w:cols w:space="708"/>
          <w:docGrid w:linePitch="360"/>
        </w:sectPr>
      </w:pPr>
    </w:p>
    <w:p w14:paraId="5A9BE6EC" w14:textId="77777777" w:rsidR="00287F6C" w:rsidRPr="00CF6268" w:rsidRDefault="00287F6C" w:rsidP="00287F6C">
      <w:pPr>
        <w:rPr>
          <w:rFonts w:ascii="Arial" w:hAnsi="Arial" w:cs="Arial"/>
          <w:sz w:val="22"/>
        </w:rPr>
      </w:pPr>
      <w:r w:rsidRPr="00CF6268">
        <w:rPr>
          <w:rFonts w:ascii="Arial" w:hAnsi="Arial" w:cs="Arial"/>
          <w:sz w:val="22"/>
        </w:rPr>
        <w:t>Table 1: Lag</w:t>
      </w:r>
      <w:r w:rsidRPr="00CF6268">
        <w:rPr>
          <w:rFonts w:asciiTheme="majorBidi" w:hAnsiTheme="majorBidi" w:cs="Arial"/>
          <w:sz w:val="22"/>
        </w:rPr>
        <w:t>‐</w:t>
      </w:r>
      <w:r w:rsidRPr="00CF6268">
        <w:rPr>
          <w:rFonts w:ascii="Arial" w:hAnsi="Arial" w:cs="Arial"/>
          <w:sz w:val="22"/>
        </w:rPr>
        <w:t>Order Selection for Nigeria VAR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1418"/>
        <w:gridCol w:w="1275"/>
        <w:gridCol w:w="1276"/>
        <w:gridCol w:w="1418"/>
        <w:gridCol w:w="980"/>
      </w:tblGrid>
      <w:tr w:rsidR="00287F6C" w:rsidRPr="00CF6268" w14:paraId="2FF51EED" w14:textId="77777777" w:rsidTr="005B6D1F">
        <w:trPr>
          <w:tblHeader/>
          <w:tblCellSpacing w:w="15" w:type="dxa"/>
        </w:trPr>
        <w:tc>
          <w:tcPr>
            <w:tcW w:w="1231" w:type="dxa"/>
            <w:vAlign w:val="center"/>
            <w:hideMark/>
          </w:tcPr>
          <w:p w14:paraId="29F6CAF8" w14:textId="77777777" w:rsidR="00287F6C" w:rsidRPr="00CF6268" w:rsidRDefault="00287F6C" w:rsidP="00287F6C">
            <w:pPr>
              <w:rPr>
                <w:rFonts w:ascii="Arial" w:hAnsi="Arial" w:cs="Arial"/>
                <w:b/>
                <w:bCs/>
                <w:sz w:val="22"/>
              </w:rPr>
            </w:pPr>
            <w:r w:rsidRPr="00CF6268">
              <w:rPr>
                <w:rFonts w:ascii="Arial" w:hAnsi="Arial" w:cs="Arial"/>
                <w:b/>
                <w:bCs/>
                <w:sz w:val="22"/>
              </w:rPr>
              <w:t>Lag (n)</w:t>
            </w:r>
          </w:p>
        </w:tc>
        <w:tc>
          <w:tcPr>
            <w:tcW w:w="1388" w:type="dxa"/>
            <w:vAlign w:val="center"/>
            <w:hideMark/>
          </w:tcPr>
          <w:p w14:paraId="7BD560C2" w14:textId="77777777" w:rsidR="00287F6C" w:rsidRPr="00CF6268" w:rsidRDefault="00287F6C" w:rsidP="00287F6C">
            <w:pPr>
              <w:rPr>
                <w:rFonts w:ascii="Arial" w:hAnsi="Arial" w:cs="Arial"/>
                <w:b/>
                <w:bCs/>
                <w:sz w:val="22"/>
              </w:rPr>
            </w:pPr>
            <w:r w:rsidRPr="00CF6268">
              <w:rPr>
                <w:rFonts w:ascii="Arial" w:hAnsi="Arial" w:cs="Arial"/>
                <w:b/>
                <w:bCs/>
                <w:sz w:val="22"/>
              </w:rPr>
              <w:t>AIC</w:t>
            </w:r>
          </w:p>
        </w:tc>
        <w:tc>
          <w:tcPr>
            <w:tcW w:w="1245" w:type="dxa"/>
            <w:vAlign w:val="center"/>
            <w:hideMark/>
          </w:tcPr>
          <w:p w14:paraId="43EDFC6B" w14:textId="77777777" w:rsidR="00287F6C" w:rsidRPr="00CF6268" w:rsidRDefault="00287F6C" w:rsidP="00287F6C">
            <w:pPr>
              <w:rPr>
                <w:rFonts w:ascii="Arial" w:hAnsi="Arial" w:cs="Arial"/>
                <w:b/>
                <w:bCs/>
                <w:sz w:val="22"/>
              </w:rPr>
            </w:pPr>
            <w:r w:rsidRPr="00CF6268">
              <w:rPr>
                <w:rFonts w:ascii="Arial" w:hAnsi="Arial" w:cs="Arial"/>
                <w:b/>
                <w:bCs/>
                <w:sz w:val="22"/>
              </w:rPr>
              <w:t>HQ</w:t>
            </w:r>
          </w:p>
        </w:tc>
        <w:tc>
          <w:tcPr>
            <w:tcW w:w="1246" w:type="dxa"/>
            <w:vAlign w:val="center"/>
            <w:hideMark/>
          </w:tcPr>
          <w:p w14:paraId="1BF97E26" w14:textId="77777777" w:rsidR="00287F6C" w:rsidRPr="00CF6268" w:rsidRDefault="00287F6C" w:rsidP="00287F6C">
            <w:pPr>
              <w:rPr>
                <w:rFonts w:ascii="Arial" w:hAnsi="Arial" w:cs="Arial"/>
                <w:b/>
                <w:bCs/>
                <w:sz w:val="22"/>
              </w:rPr>
            </w:pPr>
            <w:r w:rsidRPr="00CF6268">
              <w:rPr>
                <w:rFonts w:ascii="Arial" w:hAnsi="Arial" w:cs="Arial"/>
                <w:b/>
                <w:bCs/>
                <w:sz w:val="22"/>
              </w:rPr>
              <w:t>SC</w:t>
            </w:r>
          </w:p>
        </w:tc>
        <w:tc>
          <w:tcPr>
            <w:tcW w:w="1388" w:type="dxa"/>
            <w:vAlign w:val="center"/>
            <w:hideMark/>
          </w:tcPr>
          <w:p w14:paraId="4D693326" w14:textId="77777777" w:rsidR="00287F6C" w:rsidRPr="00CF6268" w:rsidRDefault="00287F6C" w:rsidP="00287F6C">
            <w:pPr>
              <w:rPr>
                <w:rFonts w:ascii="Arial" w:hAnsi="Arial" w:cs="Arial"/>
                <w:b/>
                <w:bCs/>
                <w:sz w:val="22"/>
              </w:rPr>
            </w:pPr>
            <w:r w:rsidRPr="00CF6268">
              <w:rPr>
                <w:rFonts w:ascii="Arial" w:hAnsi="Arial" w:cs="Arial"/>
                <w:b/>
                <w:bCs/>
                <w:sz w:val="22"/>
              </w:rPr>
              <w:t>FPE</w:t>
            </w:r>
          </w:p>
        </w:tc>
        <w:tc>
          <w:tcPr>
            <w:tcW w:w="0" w:type="auto"/>
            <w:vAlign w:val="center"/>
            <w:hideMark/>
          </w:tcPr>
          <w:p w14:paraId="57DC0D3F" w14:textId="77777777" w:rsidR="00287F6C" w:rsidRPr="00CF6268" w:rsidRDefault="00287F6C" w:rsidP="00287F6C">
            <w:pPr>
              <w:rPr>
                <w:rFonts w:ascii="Arial" w:hAnsi="Arial" w:cs="Arial"/>
                <w:b/>
                <w:bCs/>
                <w:sz w:val="22"/>
              </w:rPr>
            </w:pPr>
            <w:r w:rsidRPr="00CF6268">
              <w:rPr>
                <w:rFonts w:ascii="Arial" w:hAnsi="Arial" w:cs="Arial"/>
                <w:b/>
                <w:bCs/>
                <w:sz w:val="22"/>
              </w:rPr>
              <w:t>Selected</w:t>
            </w:r>
          </w:p>
        </w:tc>
      </w:tr>
      <w:tr w:rsidR="00287F6C" w:rsidRPr="00CF6268" w14:paraId="7B6A14BF" w14:textId="77777777" w:rsidTr="005B6D1F">
        <w:trPr>
          <w:tblCellSpacing w:w="15" w:type="dxa"/>
        </w:trPr>
        <w:tc>
          <w:tcPr>
            <w:tcW w:w="1231" w:type="dxa"/>
            <w:vAlign w:val="center"/>
            <w:hideMark/>
          </w:tcPr>
          <w:p w14:paraId="69B0394B" w14:textId="77777777" w:rsidR="00287F6C" w:rsidRPr="00CF6268" w:rsidRDefault="00287F6C" w:rsidP="00287F6C">
            <w:pPr>
              <w:rPr>
                <w:rFonts w:ascii="Arial" w:hAnsi="Arial" w:cs="Arial"/>
                <w:sz w:val="22"/>
              </w:rPr>
            </w:pPr>
            <w:r w:rsidRPr="00CF6268">
              <w:rPr>
                <w:rFonts w:ascii="Arial" w:hAnsi="Arial" w:cs="Arial"/>
                <w:sz w:val="22"/>
              </w:rPr>
              <w:t>1</w:t>
            </w:r>
          </w:p>
        </w:tc>
        <w:tc>
          <w:tcPr>
            <w:tcW w:w="1388" w:type="dxa"/>
            <w:vAlign w:val="center"/>
            <w:hideMark/>
          </w:tcPr>
          <w:p w14:paraId="2892F23A" w14:textId="77777777" w:rsidR="00287F6C" w:rsidRPr="00CF6268" w:rsidRDefault="00287F6C" w:rsidP="00287F6C">
            <w:pPr>
              <w:rPr>
                <w:rFonts w:ascii="Arial" w:hAnsi="Arial" w:cs="Arial"/>
                <w:sz w:val="22"/>
              </w:rPr>
            </w:pPr>
            <w:r w:rsidRPr="00CF6268">
              <w:rPr>
                <w:rFonts w:ascii="Arial" w:hAnsi="Arial" w:cs="Arial"/>
                <w:sz w:val="22"/>
              </w:rPr>
              <w:t>8.06923</w:t>
            </w:r>
          </w:p>
        </w:tc>
        <w:tc>
          <w:tcPr>
            <w:tcW w:w="1245" w:type="dxa"/>
            <w:vAlign w:val="center"/>
            <w:hideMark/>
          </w:tcPr>
          <w:p w14:paraId="286357D7" w14:textId="77777777" w:rsidR="00287F6C" w:rsidRPr="00CF6268" w:rsidRDefault="00287F6C" w:rsidP="00287F6C">
            <w:pPr>
              <w:rPr>
                <w:rFonts w:ascii="Arial" w:hAnsi="Arial" w:cs="Arial"/>
                <w:sz w:val="22"/>
              </w:rPr>
            </w:pPr>
            <w:r w:rsidRPr="00CF6268">
              <w:rPr>
                <w:rFonts w:ascii="Arial" w:hAnsi="Arial" w:cs="Arial"/>
                <w:sz w:val="22"/>
              </w:rPr>
              <w:t>8.15650</w:t>
            </w:r>
          </w:p>
        </w:tc>
        <w:tc>
          <w:tcPr>
            <w:tcW w:w="1246" w:type="dxa"/>
            <w:vAlign w:val="center"/>
            <w:hideMark/>
          </w:tcPr>
          <w:p w14:paraId="062D9280" w14:textId="77777777" w:rsidR="00287F6C" w:rsidRPr="00CF6268" w:rsidRDefault="00287F6C" w:rsidP="00287F6C">
            <w:pPr>
              <w:rPr>
                <w:rFonts w:ascii="Arial" w:hAnsi="Arial" w:cs="Arial"/>
                <w:sz w:val="22"/>
              </w:rPr>
            </w:pPr>
            <w:r w:rsidRPr="00CF6268">
              <w:rPr>
                <w:rFonts w:ascii="Arial" w:hAnsi="Arial" w:cs="Arial"/>
                <w:sz w:val="22"/>
              </w:rPr>
              <w:t>8.35470</w:t>
            </w:r>
          </w:p>
        </w:tc>
        <w:tc>
          <w:tcPr>
            <w:tcW w:w="1388" w:type="dxa"/>
            <w:vAlign w:val="center"/>
            <w:hideMark/>
          </w:tcPr>
          <w:p w14:paraId="1D59DF3E" w14:textId="77777777" w:rsidR="00287F6C" w:rsidRPr="00CF6268" w:rsidRDefault="00287F6C" w:rsidP="00287F6C">
            <w:pPr>
              <w:rPr>
                <w:rFonts w:ascii="Arial" w:hAnsi="Arial" w:cs="Arial"/>
                <w:sz w:val="22"/>
              </w:rPr>
            </w:pPr>
            <w:r w:rsidRPr="00CF6268">
              <w:rPr>
                <w:rFonts w:ascii="Arial" w:hAnsi="Arial" w:cs="Arial"/>
                <w:sz w:val="22"/>
              </w:rPr>
              <w:t>3199.92</w:t>
            </w:r>
          </w:p>
        </w:tc>
        <w:tc>
          <w:tcPr>
            <w:tcW w:w="0" w:type="auto"/>
            <w:vAlign w:val="center"/>
            <w:hideMark/>
          </w:tcPr>
          <w:p w14:paraId="1BD5FD7B" w14:textId="77777777" w:rsidR="00287F6C" w:rsidRPr="00CF6268" w:rsidRDefault="00287F6C" w:rsidP="00287F6C">
            <w:pPr>
              <w:rPr>
                <w:rFonts w:ascii="Arial" w:hAnsi="Arial" w:cs="Arial"/>
                <w:sz w:val="22"/>
              </w:rPr>
            </w:pPr>
          </w:p>
        </w:tc>
      </w:tr>
      <w:tr w:rsidR="00287F6C" w:rsidRPr="00CF6268" w14:paraId="7137BABD" w14:textId="77777777" w:rsidTr="005B6D1F">
        <w:trPr>
          <w:tblCellSpacing w:w="15" w:type="dxa"/>
        </w:trPr>
        <w:tc>
          <w:tcPr>
            <w:tcW w:w="1231" w:type="dxa"/>
            <w:vAlign w:val="center"/>
            <w:hideMark/>
          </w:tcPr>
          <w:p w14:paraId="2FAAE504" w14:textId="77777777" w:rsidR="00287F6C" w:rsidRPr="00CF6268" w:rsidRDefault="00287F6C" w:rsidP="00287F6C">
            <w:pPr>
              <w:rPr>
                <w:rFonts w:ascii="Arial" w:hAnsi="Arial" w:cs="Arial"/>
                <w:sz w:val="22"/>
              </w:rPr>
            </w:pPr>
            <w:r w:rsidRPr="00CF6268">
              <w:rPr>
                <w:rFonts w:ascii="Arial" w:hAnsi="Arial" w:cs="Arial"/>
                <w:sz w:val="22"/>
              </w:rPr>
              <w:t>2</w:t>
            </w:r>
          </w:p>
        </w:tc>
        <w:tc>
          <w:tcPr>
            <w:tcW w:w="1388" w:type="dxa"/>
            <w:vAlign w:val="center"/>
            <w:hideMark/>
          </w:tcPr>
          <w:p w14:paraId="4A208738" w14:textId="77777777" w:rsidR="00287F6C" w:rsidRPr="00CF6268" w:rsidRDefault="00287F6C" w:rsidP="00287F6C">
            <w:pPr>
              <w:rPr>
                <w:rFonts w:ascii="Arial" w:hAnsi="Arial" w:cs="Arial"/>
                <w:sz w:val="22"/>
              </w:rPr>
            </w:pPr>
            <w:r w:rsidRPr="00CF6268">
              <w:rPr>
                <w:rFonts w:ascii="Arial" w:hAnsi="Arial" w:cs="Arial"/>
                <w:sz w:val="22"/>
              </w:rPr>
              <w:t>7.91195</w:t>
            </w:r>
          </w:p>
        </w:tc>
        <w:tc>
          <w:tcPr>
            <w:tcW w:w="1245" w:type="dxa"/>
            <w:vAlign w:val="center"/>
            <w:hideMark/>
          </w:tcPr>
          <w:p w14:paraId="5CF05518" w14:textId="77777777" w:rsidR="00287F6C" w:rsidRPr="00CF6268" w:rsidRDefault="00287F6C" w:rsidP="00287F6C">
            <w:pPr>
              <w:rPr>
                <w:rFonts w:ascii="Arial" w:hAnsi="Arial" w:cs="Arial"/>
                <w:sz w:val="22"/>
              </w:rPr>
            </w:pPr>
            <w:r w:rsidRPr="00CF6268">
              <w:rPr>
                <w:rFonts w:ascii="Arial" w:hAnsi="Arial" w:cs="Arial"/>
                <w:sz w:val="22"/>
              </w:rPr>
              <w:t>8.05741</w:t>
            </w:r>
          </w:p>
        </w:tc>
        <w:tc>
          <w:tcPr>
            <w:tcW w:w="1246" w:type="dxa"/>
            <w:vAlign w:val="center"/>
            <w:hideMark/>
          </w:tcPr>
          <w:p w14:paraId="0AFD6D30" w14:textId="77777777" w:rsidR="00287F6C" w:rsidRPr="00CF6268" w:rsidRDefault="00287F6C" w:rsidP="00287F6C">
            <w:pPr>
              <w:rPr>
                <w:rFonts w:ascii="Arial" w:hAnsi="Arial" w:cs="Arial"/>
                <w:sz w:val="22"/>
              </w:rPr>
            </w:pPr>
            <w:r w:rsidRPr="00CF6268">
              <w:rPr>
                <w:rFonts w:ascii="Arial" w:hAnsi="Arial" w:cs="Arial"/>
                <w:sz w:val="22"/>
              </w:rPr>
              <w:t>8.38774</w:t>
            </w:r>
          </w:p>
        </w:tc>
        <w:tc>
          <w:tcPr>
            <w:tcW w:w="1388" w:type="dxa"/>
            <w:vAlign w:val="center"/>
            <w:hideMark/>
          </w:tcPr>
          <w:p w14:paraId="37527A64" w14:textId="77777777" w:rsidR="00287F6C" w:rsidRPr="00CF6268" w:rsidRDefault="00287F6C" w:rsidP="00287F6C">
            <w:pPr>
              <w:rPr>
                <w:rFonts w:ascii="Arial" w:hAnsi="Arial" w:cs="Arial"/>
                <w:sz w:val="22"/>
              </w:rPr>
            </w:pPr>
            <w:r w:rsidRPr="00CF6268">
              <w:rPr>
                <w:rFonts w:ascii="Arial" w:hAnsi="Arial" w:cs="Arial"/>
                <w:sz w:val="22"/>
              </w:rPr>
              <w:t>2750.93</w:t>
            </w:r>
          </w:p>
        </w:tc>
        <w:tc>
          <w:tcPr>
            <w:tcW w:w="0" w:type="auto"/>
            <w:vAlign w:val="center"/>
            <w:hideMark/>
          </w:tcPr>
          <w:p w14:paraId="722E31C1" w14:textId="77777777" w:rsidR="00287F6C" w:rsidRPr="00CF6268" w:rsidRDefault="00287F6C" w:rsidP="00287F6C">
            <w:pPr>
              <w:rPr>
                <w:rFonts w:ascii="Arial" w:hAnsi="Arial" w:cs="Arial"/>
                <w:sz w:val="22"/>
              </w:rPr>
            </w:pPr>
          </w:p>
        </w:tc>
      </w:tr>
      <w:tr w:rsidR="00287F6C" w:rsidRPr="00CF6268" w14:paraId="3C70270E" w14:textId="77777777" w:rsidTr="005B6D1F">
        <w:trPr>
          <w:tblCellSpacing w:w="15" w:type="dxa"/>
        </w:trPr>
        <w:tc>
          <w:tcPr>
            <w:tcW w:w="1231" w:type="dxa"/>
            <w:vAlign w:val="center"/>
            <w:hideMark/>
          </w:tcPr>
          <w:p w14:paraId="0203C7CB" w14:textId="77777777" w:rsidR="00287F6C" w:rsidRPr="00CF6268" w:rsidRDefault="00287F6C" w:rsidP="00287F6C">
            <w:pPr>
              <w:rPr>
                <w:rFonts w:ascii="Arial" w:hAnsi="Arial" w:cs="Arial"/>
                <w:sz w:val="22"/>
              </w:rPr>
            </w:pPr>
            <w:r w:rsidRPr="00CF6268">
              <w:rPr>
                <w:rFonts w:ascii="Arial" w:hAnsi="Arial" w:cs="Arial"/>
                <w:b/>
                <w:bCs/>
                <w:sz w:val="22"/>
              </w:rPr>
              <w:t>3</w:t>
            </w:r>
          </w:p>
        </w:tc>
        <w:tc>
          <w:tcPr>
            <w:tcW w:w="1388" w:type="dxa"/>
            <w:vAlign w:val="center"/>
            <w:hideMark/>
          </w:tcPr>
          <w:p w14:paraId="66147635" w14:textId="77777777" w:rsidR="00287F6C" w:rsidRPr="00CF6268" w:rsidRDefault="00287F6C" w:rsidP="00287F6C">
            <w:pPr>
              <w:rPr>
                <w:rFonts w:ascii="Arial" w:hAnsi="Arial" w:cs="Arial"/>
                <w:sz w:val="22"/>
              </w:rPr>
            </w:pPr>
            <w:r w:rsidRPr="00CF6268">
              <w:rPr>
                <w:rFonts w:ascii="Arial" w:hAnsi="Arial" w:cs="Arial"/>
                <w:b/>
                <w:bCs/>
                <w:sz w:val="22"/>
              </w:rPr>
              <w:t>7.50446</w:t>
            </w:r>
          </w:p>
        </w:tc>
        <w:tc>
          <w:tcPr>
            <w:tcW w:w="1245" w:type="dxa"/>
            <w:vAlign w:val="center"/>
            <w:hideMark/>
          </w:tcPr>
          <w:p w14:paraId="3A07C9B1" w14:textId="77777777" w:rsidR="00287F6C" w:rsidRPr="00CF6268" w:rsidRDefault="00287F6C" w:rsidP="00287F6C">
            <w:pPr>
              <w:rPr>
                <w:rFonts w:ascii="Arial" w:hAnsi="Arial" w:cs="Arial"/>
                <w:sz w:val="22"/>
              </w:rPr>
            </w:pPr>
            <w:r w:rsidRPr="00CF6268">
              <w:rPr>
                <w:rFonts w:ascii="Arial" w:hAnsi="Arial" w:cs="Arial"/>
                <w:b/>
                <w:bCs/>
                <w:sz w:val="22"/>
              </w:rPr>
              <w:t>7.70810</w:t>
            </w:r>
          </w:p>
        </w:tc>
        <w:tc>
          <w:tcPr>
            <w:tcW w:w="1246" w:type="dxa"/>
            <w:vAlign w:val="center"/>
            <w:hideMark/>
          </w:tcPr>
          <w:p w14:paraId="57D14E23" w14:textId="77777777" w:rsidR="00287F6C" w:rsidRPr="00CF6268" w:rsidRDefault="00287F6C" w:rsidP="00287F6C">
            <w:pPr>
              <w:rPr>
                <w:rFonts w:ascii="Arial" w:hAnsi="Arial" w:cs="Arial"/>
                <w:sz w:val="22"/>
              </w:rPr>
            </w:pPr>
            <w:r w:rsidRPr="00CF6268">
              <w:rPr>
                <w:rFonts w:ascii="Arial" w:hAnsi="Arial" w:cs="Arial"/>
                <w:b/>
                <w:bCs/>
                <w:sz w:val="22"/>
              </w:rPr>
              <w:t>8.17056</w:t>
            </w:r>
          </w:p>
        </w:tc>
        <w:tc>
          <w:tcPr>
            <w:tcW w:w="1388" w:type="dxa"/>
            <w:vAlign w:val="center"/>
            <w:hideMark/>
          </w:tcPr>
          <w:p w14:paraId="13AF6F75" w14:textId="77777777" w:rsidR="00287F6C" w:rsidRPr="00CF6268" w:rsidRDefault="00287F6C" w:rsidP="00287F6C">
            <w:pPr>
              <w:rPr>
                <w:rFonts w:ascii="Arial" w:hAnsi="Arial" w:cs="Arial"/>
                <w:sz w:val="22"/>
              </w:rPr>
            </w:pPr>
            <w:r w:rsidRPr="00CF6268">
              <w:rPr>
                <w:rFonts w:ascii="Arial" w:hAnsi="Arial" w:cs="Arial"/>
                <w:b/>
                <w:bCs/>
                <w:sz w:val="22"/>
              </w:rPr>
              <w:t>1855.88</w:t>
            </w:r>
          </w:p>
        </w:tc>
        <w:tc>
          <w:tcPr>
            <w:tcW w:w="0" w:type="auto"/>
            <w:vAlign w:val="center"/>
            <w:hideMark/>
          </w:tcPr>
          <w:p w14:paraId="4C538DB5" w14:textId="77777777" w:rsidR="00287F6C" w:rsidRPr="00CF6268" w:rsidRDefault="00287F6C" w:rsidP="00287F6C">
            <w:pPr>
              <w:rPr>
                <w:rFonts w:ascii="Arial" w:hAnsi="Arial" w:cs="Arial"/>
                <w:sz w:val="22"/>
              </w:rPr>
            </w:pPr>
            <w:r w:rsidRPr="00CF6268">
              <w:rPr>
                <w:rFonts w:ascii="Arial" w:hAnsi="Segoe UI Symbol" w:cs="Arial"/>
                <w:b/>
                <w:bCs/>
                <w:sz w:val="22"/>
              </w:rPr>
              <w:t>✓</w:t>
            </w:r>
          </w:p>
        </w:tc>
      </w:tr>
      <w:tr w:rsidR="00287F6C" w:rsidRPr="00CF6268" w14:paraId="0EE9271D" w14:textId="77777777" w:rsidTr="005B6D1F">
        <w:trPr>
          <w:tblCellSpacing w:w="15" w:type="dxa"/>
        </w:trPr>
        <w:tc>
          <w:tcPr>
            <w:tcW w:w="1231" w:type="dxa"/>
            <w:vAlign w:val="center"/>
            <w:hideMark/>
          </w:tcPr>
          <w:p w14:paraId="359716CF" w14:textId="77777777" w:rsidR="00287F6C" w:rsidRPr="00CF6268" w:rsidRDefault="00287F6C" w:rsidP="00287F6C">
            <w:pPr>
              <w:rPr>
                <w:rFonts w:ascii="Arial" w:hAnsi="Arial" w:cs="Arial"/>
                <w:sz w:val="22"/>
              </w:rPr>
            </w:pPr>
            <w:r w:rsidRPr="00CF6268">
              <w:rPr>
                <w:rFonts w:ascii="Arial" w:hAnsi="Arial" w:cs="Arial"/>
                <w:sz w:val="22"/>
              </w:rPr>
              <w:t>4</w:t>
            </w:r>
          </w:p>
        </w:tc>
        <w:tc>
          <w:tcPr>
            <w:tcW w:w="1388" w:type="dxa"/>
            <w:vAlign w:val="center"/>
            <w:hideMark/>
          </w:tcPr>
          <w:p w14:paraId="0052CB0F" w14:textId="77777777" w:rsidR="00287F6C" w:rsidRPr="00CF6268" w:rsidRDefault="00287F6C" w:rsidP="00287F6C">
            <w:pPr>
              <w:rPr>
                <w:rFonts w:ascii="Arial" w:hAnsi="Arial" w:cs="Arial"/>
                <w:sz w:val="22"/>
              </w:rPr>
            </w:pPr>
            <w:r w:rsidRPr="00CF6268">
              <w:rPr>
                <w:rFonts w:ascii="Arial" w:hAnsi="Arial" w:cs="Arial"/>
                <w:sz w:val="22"/>
              </w:rPr>
              <w:t>7.60025</w:t>
            </w:r>
          </w:p>
        </w:tc>
        <w:tc>
          <w:tcPr>
            <w:tcW w:w="1245" w:type="dxa"/>
            <w:vAlign w:val="center"/>
            <w:hideMark/>
          </w:tcPr>
          <w:p w14:paraId="0344B959" w14:textId="77777777" w:rsidR="00287F6C" w:rsidRPr="00CF6268" w:rsidRDefault="00287F6C" w:rsidP="00287F6C">
            <w:pPr>
              <w:rPr>
                <w:rFonts w:ascii="Arial" w:hAnsi="Arial" w:cs="Arial"/>
                <w:sz w:val="22"/>
              </w:rPr>
            </w:pPr>
            <w:r w:rsidRPr="00CF6268">
              <w:rPr>
                <w:rFonts w:ascii="Arial" w:hAnsi="Arial" w:cs="Arial"/>
                <w:sz w:val="22"/>
              </w:rPr>
              <w:t>7.86206</w:t>
            </w:r>
          </w:p>
        </w:tc>
        <w:tc>
          <w:tcPr>
            <w:tcW w:w="1246" w:type="dxa"/>
            <w:vAlign w:val="center"/>
            <w:hideMark/>
          </w:tcPr>
          <w:p w14:paraId="7E8735F7" w14:textId="77777777" w:rsidR="00287F6C" w:rsidRPr="00CF6268" w:rsidRDefault="00287F6C" w:rsidP="00287F6C">
            <w:pPr>
              <w:rPr>
                <w:rFonts w:ascii="Arial" w:hAnsi="Arial" w:cs="Arial"/>
                <w:sz w:val="22"/>
              </w:rPr>
            </w:pPr>
            <w:r w:rsidRPr="00CF6268">
              <w:rPr>
                <w:rFonts w:ascii="Arial" w:hAnsi="Arial" w:cs="Arial"/>
                <w:sz w:val="22"/>
              </w:rPr>
              <w:t>8.45666</w:t>
            </w:r>
          </w:p>
        </w:tc>
        <w:tc>
          <w:tcPr>
            <w:tcW w:w="1388" w:type="dxa"/>
            <w:vAlign w:val="center"/>
            <w:hideMark/>
          </w:tcPr>
          <w:p w14:paraId="242E3A82" w14:textId="77777777" w:rsidR="00287F6C" w:rsidRPr="00CF6268" w:rsidRDefault="00287F6C" w:rsidP="00287F6C">
            <w:pPr>
              <w:rPr>
                <w:rFonts w:ascii="Arial" w:hAnsi="Arial" w:cs="Arial"/>
                <w:sz w:val="22"/>
              </w:rPr>
            </w:pPr>
            <w:r w:rsidRPr="00CF6268">
              <w:rPr>
                <w:rFonts w:ascii="Arial" w:hAnsi="Arial" w:cs="Arial"/>
                <w:sz w:val="22"/>
              </w:rPr>
              <w:t>2095.38</w:t>
            </w:r>
          </w:p>
        </w:tc>
        <w:tc>
          <w:tcPr>
            <w:tcW w:w="0" w:type="auto"/>
            <w:vAlign w:val="center"/>
            <w:hideMark/>
          </w:tcPr>
          <w:p w14:paraId="1C875589" w14:textId="77777777" w:rsidR="00287F6C" w:rsidRPr="00CF6268" w:rsidRDefault="00287F6C" w:rsidP="00287F6C">
            <w:pPr>
              <w:rPr>
                <w:rFonts w:ascii="Arial" w:hAnsi="Arial" w:cs="Arial"/>
                <w:sz w:val="22"/>
              </w:rPr>
            </w:pPr>
          </w:p>
        </w:tc>
      </w:tr>
      <w:tr w:rsidR="00287F6C" w:rsidRPr="00CF6268" w14:paraId="3D27E16D" w14:textId="77777777" w:rsidTr="005B6D1F">
        <w:trPr>
          <w:tblCellSpacing w:w="15" w:type="dxa"/>
        </w:trPr>
        <w:tc>
          <w:tcPr>
            <w:tcW w:w="1231" w:type="dxa"/>
            <w:vAlign w:val="center"/>
            <w:hideMark/>
          </w:tcPr>
          <w:p w14:paraId="218E3BCF" w14:textId="77777777" w:rsidR="00287F6C" w:rsidRPr="00CF6268" w:rsidRDefault="00287F6C" w:rsidP="00287F6C">
            <w:pPr>
              <w:rPr>
                <w:rFonts w:ascii="Arial" w:hAnsi="Arial" w:cs="Arial"/>
                <w:sz w:val="22"/>
              </w:rPr>
            </w:pPr>
            <w:r w:rsidRPr="00CF6268">
              <w:rPr>
                <w:rFonts w:ascii="Arial" w:hAnsi="Arial" w:cs="Arial"/>
                <w:sz w:val="22"/>
              </w:rPr>
              <w:t>5</w:t>
            </w:r>
          </w:p>
        </w:tc>
        <w:tc>
          <w:tcPr>
            <w:tcW w:w="1388" w:type="dxa"/>
            <w:vAlign w:val="center"/>
            <w:hideMark/>
          </w:tcPr>
          <w:p w14:paraId="6899377C" w14:textId="77777777" w:rsidR="00287F6C" w:rsidRPr="00CF6268" w:rsidRDefault="00287F6C" w:rsidP="00287F6C">
            <w:pPr>
              <w:rPr>
                <w:rFonts w:ascii="Arial" w:hAnsi="Arial" w:cs="Arial"/>
                <w:sz w:val="22"/>
              </w:rPr>
            </w:pPr>
            <w:r w:rsidRPr="00CF6268">
              <w:rPr>
                <w:rFonts w:ascii="Arial" w:hAnsi="Arial" w:cs="Arial"/>
                <w:sz w:val="22"/>
              </w:rPr>
              <w:t>7.87929</w:t>
            </w:r>
          </w:p>
        </w:tc>
        <w:tc>
          <w:tcPr>
            <w:tcW w:w="1245" w:type="dxa"/>
            <w:vAlign w:val="center"/>
            <w:hideMark/>
          </w:tcPr>
          <w:p w14:paraId="58F26E3B" w14:textId="77777777" w:rsidR="00287F6C" w:rsidRPr="00CF6268" w:rsidRDefault="00287F6C" w:rsidP="00287F6C">
            <w:pPr>
              <w:rPr>
                <w:rFonts w:ascii="Arial" w:hAnsi="Arial" w:cs="Arial"/>
                <w:sz w:val="22"/>
              </w:rPr>
            </w:pPr>
            <w:r w:rsidRPr="00CF6268">
              <w:rPr>
                <w:rFonts w:ascii="Arial" w:hAnsi="Arial" w:cs="Arial"/>
                <w:sz w:val="22"/>
              </w:rPr>
              <w:t>8.19929</w:t>
            </w:r>
          </w:p>
        </w:tc>
        <w:tc>
          <w:tcPr>
            <w:tcW w:w="1246" w:type="dxa"/>
            <w:vAlign w:val="center"/>
            <w:hideMark/>
          </w:tcPr>
          <w:p w14:paraId="677BB3A2" w14:textId="77777777" w:rsidR="00287F6C" w:rsidRPr="00CF6268" w:rsidRDefault="00287F6C" w:rsidP="00287F6C">
            <w:pPr>
              <w:rPr>
                <w:rFonts w:ascii="Arial" w:hAnsi="Arial" w:cs="Arial"/>
                <w:sz w:val="22"/>
              </w:rPr>
            </w:pPr>
            <w:r w:rsidRPr="00CF6268">
              <w:rPr>
                <w:rFonts w:ascii="Arial" w:hAnsi="Arial" w:cs="Arial"/>
                <w:sz w:val="22"/>
              </w:rPr>
              <w:t>8.92602</w:t>
            </w:r>
          </w:p>
        </w:tc>
        <w:tc>
          <w:tcPr>
            <w:tcW w:w="1388" w:type="dxa"/>
            <w:vAlign w:val="center"/>
            <w:hideMark/>
          </w:tcPr>
          <w:p w14:paraId="0FA744C4" w14:textId="77777777" w:rsidR="00287F6C" w:rsidRPr="00CF6268" w:rsidRDefault="00287F6C" w:rsidP="00287F6C">
            <w:pPr>
              <w:rPr>
                <w:rFonts w:ascii="Arial" w:hAnsi="Arial" w:cs="Arial"/>
                <w:sz w:val="22"/>
              </w:rPr>
            </w:pPr>
            <w:r w:rsidRPr="00CF6268">
              <w:rPr>
                <w:rFonts w:ascii="Arial" w:hAnsi="Arial" w:cs="Arial"/>
                <w:sz w:val="22"/>
              </w:rPr>
              <w:t>2888.69</w:t>
            </w:r>
          </w:p>
        </w:tc>
        <w:tc>
          <w:tcPr>
            <w:tcW w:w="0" w:type="auto"/>
            <w:vAlign w:val="center"/>
            <w:hideMark/>
          </w:tcPr>
          <w:p w14:paraId="1F05D0CC" w14:textId="77777777" w:rsidR="00287F6C" w:rsidRPr="00CF6268" w:rsidRDefault="00287F6C" w:rsidP="00287F6C">
            <w:pPr>
              <w:rPr>
                <w:rFonts w:ascii="Arial" w:hAnsi="Arial" w:cs="Arial"/>
                <w:sz w:val="22"/>
              </w:rPr>
            </w:pPr>
          </w:p>
        </w:tc>
      </w:tr>
      <w:tr w:rsidR="008628CC" w:rsidRPr="00CF6268" w14:paraId="4DCAB68F" w14:textId="77777777" w:rsidTr="005B6D1F">
        <w:trPr>
          <w:tblCellSpacing w:w="15" w:type="dxa"/>
        </w:trPr>
        <w:tc>
          <w:tcPr>
            <w:tcW w:w="1231" w:type="dxa"/>
            <w:vAlign w:val="center"/>
          </w:tcPr>
          <w:p w14:paraId="3DFFD8BB" w14:textId="77777777" w:rsidR="008628CC" w:rsidRPr="00CF6268" w:rsidRDefault="008628CC" w:rsidP="00287F6C">
            <w:pPr>
              <w:rPr>
                <w:rFonts w:ascii="Arial" w:hAnsi="Arial" w:cs="Arial"/>
                <w:sz w:val="22"/>
              </w:rPr>
            </w:pPr>
          </w:p>
        </w:tc>
        <w:tc>
          <w:tcPr>
            <w:tcW w:w="1388" w:type="dxa"/>
            <w:vAlign w:val="center"/>
          </w:tcPr>
          <w:p w14:paraId="1B2A5860" w14:textId="77777777" w:rsidR="008628CC" w:rsidRPr="00CF6268" w:rsidRDefault="008628CC" w:rsidP="00287F6C">
            <w:pPr>
              <w:rPr>
                <w:rFonts w:ascii="Arial" w:hAnsi="Arial" w:cs="Arial"/>
                <w:sz w:val="22"/>
              </w:rPr>
            </w:pPr>
          </w:p>
        </w:tc>
        <w:tc>
          <w:tcPr>
            <w:tcW w:w="1245" w:type="dxa"/>
            <w:vAlign w:val="center"/>
          </w:tcPr>
          <w:p w14:paraId="428D1791" w14:textId="77777777" w:rsidR="008628CC" w:rsidRPr="00CF6268" w:rsidRDefault="008628CC" w:rsidP="00287F6C">
            <w:pPr>
              <w:rPr>
                <w:rFonts w:ascii="Arial" w:hAnsi="Arial" w:cs="Arial"/>
                <w:sz w:val="22"/>
              </w:rPr>
            </w:pPr>
          </w:p>
        </w:tc>
        <w:tc>
          <w:tcPr>
            <w:tcW w:w="1246" w:type="dxa"/>
            <w:vAlign w:val="center"/>
          </w:tcPr>
          <w:p w14:paraId="39CDF476" w14:textId="77777777" w:rsidR="008628CC" w:rsidRPr="00CF6268" w:rsidRDefault="008628CC" w:rsidP="00287F6C">
            <w:pPr>
              <w:rPr>
                <w:rFonts w:ascii="Arial" w:hAnsi="Arial" w:cs="Arial"/>
                <w:sz w:val="22"/>
              </w:rPr>
            </w:pPr>
          </w:p>
        </w:tc>
        <w:tc>
          <w:tcPr>
            <w:tcW w:w="1388" w:type="dxa"/>
            <w:vAlign w:val="center"/>
          </w:tcPr>
          <w:p w14:paraId="2D282417" w14:textId="77777777" w:rsidR="008628CC" w:rsidRPr="00CF6268" w:rsidRDefault="008628CC" w:rsidP="00287F6C">
            <w:pPr>
              <w:rPr>
                <w:rFonts w:ascii="Arial" w:hAnsi="Arial" w:cs="Arial"/>
                <w:sz w:val="22"/>
              </w:rPr>
            </w:pPr>
          </w:p>
        </w:tc>
        <w:tc>
          <w:tcPr>
            <w:tcW w:w="0" w:type="auto"/>
            <w:vAlign w:val="center"/>
          </w:tcPr>
          <w:p w14:paraId="77FD5C4C" w14:textId="77777777" w:rsidR="008628CC" w:rsidRPr="00CF6268" w:rsidRDefault="008628CC" w:rsidP="00287F6C">
            <w:pPr>
              <w:rPr>
                <w:rFonts w:ascii="Arial" w:hAnsi="Arial" w:cs="Arial"/>
                <w:sz w:val="22"/>
              </w:rPr>
            </w:pPr>
          </w:p>
        </w:tc>
      </w:tr>
    </w:tbl>
    <w:p w14:paraId="74CA7BF7" w14:textId="77777777" w:rsidR="008628CC" w:rsidRDefault="008628CC" w:rsidP="008628CC">
      <w:pPr>
        <w:rPr>
          <w:rFonts w:asciiTheme="majorBidi" w:hAnsiTheme="majorBidi" w:cstheme="majorBidi"/>
        </w:rPr>
      </w:pPr>
      <w:r>
        <w:rPr>
          <w:rFonts w:asciiTheme="majorBidi" w:hAnsiTheme="majorBidi" w:cstheme="majorBidi"/>
        </w:rPr>
        <w:t>Source: Authors</w:t>
      </w:r>
    </w:p>
    <w:p w14:paraId="1702A1C7" w14:textId="77777777" w:rsidR="0022105B" w:rsidRDefault="0022105B" w:rsidP="00A66332">
      <w:pPr>
        <w:jc w:val="both"/>
        <w:rPr>
          <w:rFonts w:asciiTheme="majorBidi" w:hAnsiTheme="majorBidi" w:cstheme="majorBidi"/>
          <w:b/>
          <w:bCs/>
        </w:rPr>
        <w:sectPr w:rsidR="0022105B" w:rsidSect="0022105B">
          <w:type w:val="continuous"/>
          <w:pgSz w:w="11906" w:h="16838"/>
          <w:pgMar w:top="1440" w:right="1440" w:bottom="1440" w:left="1440" w:header="708" w:footer="708" w:gutter="0"/>
          <w:cols w:space="708"/>
          <w:docGrid w:linePitch="360"/>
        </w:sectPr>
      </w:pPr>
    </w:p>
    <w:p w14:paraId="5B050A43" w14:textId="77777777" w:rsidR="00704606" w:rsidRPr="00CF6268" w:rsidRDefault="00A66332" w:rsidP="00A66332">
      <w:pPr>
        <w:jc w:val="both"/>
        <w:rPr>
          <w:rFonts w:ascii="Arial" w:hAnsi="Arial" w:cs="Arial"/>
          <w:b/>
          <w:bCs/>
          <w:sz w:val="22"/>
        </w:rPr>
      </w:pPr>
      <w:r w:rsidRPr="00CF6268">
        <w:rPr>
          <w:rFonts w:ascii="Arial" w:hAnsi="Arial" w:cs="Arial"/>
          <w:b/>
          <w:bCs/>
          <w:sz w:val="22"/>
        </w:rPr>
        <w:t xml:space="preserve">4.2 </w:t>
      </w:r>
      <w:r w:rsidR="0024547B" w:rsidRPr="00CF6268">
        <w:rPr>
          <w:rFonts w:ascii="Arial" w:hAnsi="Arial" w:cs="Arial"/>
          <w:b/>
          <w:bCs/>
          <w:sz w:val="22"/>
        </w:rPr>
        <w:t>VECTOR AUTOREGRESSION (VAR) MODEL</w:t>
      </w:r>
    </w:p>
    <w:p w14:paraId="6B67844E" w14:textId="77777777" w:rsidR="002C17EE" w:rsidRPr="00CF6268" w:rsidRDefault="002C17EE" w:rsidP="008628CC">
      <w:pPr>
        <w:jc w:val="both"/>
        <w:rPr>
          <w:rFonts w:ascii="Arial" w:hAnsi="Arial" w:cs="Arial"/>
          <w:sz w:val="20"/>
        </w:rPr>
      </w:pPr>
      <w:r w:rsidRPr="00CF6268">
        <w:rPr>
          <w:rFonts w:ascii="Arial" w:hAnsi="Arial" w:cs="Arial"/>
          <w:sz w:val="20"/>
        </w:rPr>
        <w:t xml:space="preserve">From Table 2, in the </w:t>
      </w:r>
      <w:r w:rsidR="004E6B6A" w:rsidRPr="00CF6268">
        <w:rPr>
          <w:rFonts w:ascii="Arial" w:hAnsi="Arial" w:cs="Arial"/>
          <w:sz w:val="20"/>
        </w:rPr>
        <w:t>Oil Price</w:t>
      </w:r>
      <w:r w:rsidRPr="00CF6268">
        <w:rPr>
          <w:rFonts w:ascii="Arial" w:hAnsi="Arial" w:cs="Arial"/>
          <w:sz w:val="20"/>
        </w:rPr>
        <w:t xml:space="preserve"> equation, the coefficient on </w:t>
      </w:r>
      <w:r w:rsidR="004E6B6A" w:rsidRPr="00CF6268">
        <w:rPr>
          <w:rFonts w:ascii="Arial" w:hAnsi="Arial" w:cs="Arial"/>
          <w:sz w:val="20"/>
        </w:rPr>
        <w:t>Oil Price</w:t>
      </w:r>
      <w:r w:rsidRPr="00CF6268">
        <w:rPr>
          <w:rFonts w:asciiTheme="majorBidi" w:hAnsiTheme="majorBidi" w:cs="Arial"/>
          <w:sz w:val="20"/>
        </w:rPr>
        <w:t>ₜ₋₁</w:t>
      </w:r>
      <w:r w:rsidRPr="00CF6268">
        <w:rPr>
          <w:rFonts w:ascii="Arial" w:hAnsi="Arial" w:cs="Arial"/>
          <w:sz w:val="20"/>
        </w:rPr>
        <w:t xml:space="preserve"> (0.0804) indicates modest first-order persistence: about 8 percent of last period’s oil-price deviation carries over. Negative GDP lags at t–1 (–2.1512) and t–2 (–2.0716) imply that stronger GDP growth in the previous two years exerts a </w:t>
      </w:r>
      <w:r w:rsidRPr="00CF6268">
        <w:rPr>
          <w:rFonts w:ascii="Arial" w:hAnsi="Arial" w:cs="Arial"/>
          <w:sz w:val="20"/>
        </w:rPr>
        <w:lastRenderedPageBreak/>
        <w:t xml:space="preserve">dampening effect on current oil prices. The positive </w:t>
      </w:r>
      <w:r w:rsidR="004E6B6A" w:rsidRPr="00CF6268">
        <w:rPr>
          <w:rFonts w:ascii="Arial" w:hAnsi="Arial" w:cs="Arial"/>
          <w:sz w:val="20"/>
        </w:rPr>
        <w:t>Oil Price</w:t>
      </w:r>
      <w:r w:rsidRPr="00CF6268">
        <w:rPr>
          <w:rFonts w:asciiTheme="majorBidi" w:hAnsiTheme="majorBidi" w:cs="Arial"/>
          <w:sz w:val="20"/>
        </w:rPr>
        <w:t>ₜ₋₃</w:t>
      </w:r>
      <w:r w:rsidRPr="00CF6268">
        <w:rPr>
          <w:rFonts w:ascii="Arial" w:hAnsi="Arial" w:cs="Arial"/>
          <w:sz w:val="20"/>
        </w:rPr>
        <w:t xml:space="preserve"> (0.2880) and GDP</w:t>
      </w:r>
      <w:r w:rsidRPr="00CF6268">
        <w:rPr>
          <w:rFonts w:asciiTheme="majorBidi" w:hAnsiTheme="majorBidi" w:cs="Arial"/>
          <w:sz w:val="20"/>
        </w:rPr>
        <w:t>ₜ₋₃</w:t>
      </w:r>
      <w:r w:rsidRPr="00CF6268">
        <w:rPr>
          <w:rFonts w:ascii="Arial" w:hAnsi="Arial" w:cs="Arial"/>
          <w:sz w:val="20"/>
        </w:rPr>
        <w:t xml:space="preserve"> (0.8990) terms suggest third-year momentum in both series. The constant (0.4128) captures a small upward </w:t>
      </w:r>
      <w:r w:rsidR="004E6B6A" w:rsidRPr="00CF6268">
        <w:rPr>
          <w:rFonts w:ascii="Arial" w:hAnsi="Arial" w:cs="Arial"/>
          <w:sz w:val="20"/>
        </w:rPr>
        <w:t>drift. In</w:t>
      </w:r>
      <w:r w:rsidRPr="00CF6268">
        <w:rPr>
          <w:rFonts w:ascii="Arial" w:hAnsi="Arial" w:cs="Arial"/>
          <w:sz w:val="20"/>
        </w:rPr>
        <w:t xml:space="preserve"> the GDP equation, </w:t>
      </w:r>
      <w:r w:rsidR="004E6B6A" w:rsidRPr="00CF6268">
        <w:rPr>
          <w:rFonts w:ascii="Arial" w:hAnsi="Arial" w:cs="Arial"/>
          <w:sz w:val="20"/>
        </w:rPr>
        <w:t>Oil Price</w:t>
      </w:r>
      <w:r w:rsidRPr="00CF6268">
        <w:rPr>
          <w:rFonts w:asciiTheme="majorBidi" w:hAnsiTheme="majorBidi" w:cs="Arial"/>
          <w:sz w:val="20"/>
        </w:rPr>
        <w:t>ₜ₋₁</w:t>
      </w:r>
      <w:r w:rsidRPr="00CF6268">
        <w:rPr>
          <w:rFonts w:ascii="Arial" w:hAnsi="Arial" w:cs="Arial"/>
          <w:sz w:val="20"/>
        </w:rPr>
        <w:t xml:space="preserve"> (0.0582) and </w:t>
      </w:r>
      <w:r w:rsidR="004E6B6A" w:rsidRPr="00CF6268">
        <w:rPr>
          <w:rFonts w:ascii="Arial" w:hAnsi="Arial" w:cs="Arial"/>
          <w:sz w:val="20"/>
        </w:rPr>
        <w:t>Oil Price</w:t>
      </w:r>
      <w:r w:rsidRPr="00CF6268">
        <w:rPr>
          <w:rFonts w:asciiTheme="majorBidi" w:hAnsiTheme="majorBidi" w:cs="Arial"/>
          <w:sz w:val="20"/>
        </w:rPr>
        <w:t>ₜ₋₂</w:t>
      </w:r>
      <w:r w:rsidRPr="00CF6268">
        <w:rPr>
          <w:rFonts w:ascii="Arial" w:hAnsi="Arial" w:cs="Arial"/>
          <w:sz w:val="20"/>
        </w:rPr>
        <w:t xml:space="preserve"> (0.0733) confirm that a one-unit rise in lagged oil prices raises current GDP by roughly 0.06–0.07 units, though the effect decays after two years. Negative autoregressive coefficients on GDP</w:t>
      </w:r>
      <w:r w:rsidRPr="00CF6268">
        <w:rPr>
          <w:rFonts w:asciiTheme="majorBidi" w:hAnsiTheme="majorBidi" w:cs="Arial"/>
          <w:sz w:val="20"/>
        </w:rPr>
        <w:t>ₜ₋₁</w:t>
      </w:r>
      <w:r w:rsidRPr="00CF6268">
        <w:rPr>
          <w:rFonts w:ascii="Arial" w:hAnsi="Arial" w:cs="Arial"/>
          <w:sz w:val="20"/>
        </w:rPr>
        <w:t xml:space="preserve"> (–0.5353), GDP</w:t>
      </w:r>
      <w:r w:rsidRPr="00CF6268">
        <w:rPr>
          <w:rFonts w:asciiTheme="majorBidi" w:hAnsiTheme="majorBidi" w:cs="Arial"/>
          <w:sz w:val="20"/>
        </w:rPr>
        <w:t>ₜ₋₂</w:t>
      </w:r>
      <w:r w:rsidRPr="00CF6268">
        <w:rPr>
          <w:rFonts w:ascii="Arial" w:hAnsi="Arial" w:cs="Arial"/>
          <w:sz w:val="20"/>
        </w:rPr>
        <w:t xml:space="preserve"> (–0.2594), and GDP</w:t>
      </w:r>
      <w:r w:rsidRPr="00CF6268">
        <w:rPr>
          <w:rFonts w:asciiTheme="majorBidi" w:hAnsiTheme="majorBidi" w:cs="Arial"/>
          <w:sz w:val="20"/>
        </w:rPr>
        <w:t>ₜ₋₃</w:t>
      </w:r>
      <w:r w:rsidRPr="00CF6268">
        <w:rPr>
          <w:rFonts w:ascii="Arial" w:hAnsi="Arial" w:cs="Arial"/>
          <w:sz w:val="20"/>
        </w:rPr>
        <w:t xml:space="preserve"> (–0.1772) reflect rapid mean reversion in output growth. The positive constant (0.5154) indicates an underlying growth trend.</w:t>
      </w:r>
    </w:p>
    <w:p w14:paraId="7D4B879D" w14:textId="77777777" w:rsidR="002C17EE" w:rsidRPr="00CF6268" w:rsidRDefault="002C17EE" w:rsidP="008628CC">
      <w:pPr>
        <w:jc w:val="both"/>
        <w:rPr>
          <w:rFonts w:ascii="Arial" w:hAnsi="Arial" w:cs="Arial"/>
          <w:sz w:val="20"/>
        </w:rPr>
      </w:pPr>
      <w:r w:rsidRPr="00CF6268">
        <w:rPr>
          <w:rFonts w:ascii="Arial" w:hAnsi="Arial" w:cs="Arial"/>
          <w:sz w:val="20"/>
        </w:rPr>
        <w:t>Last year’s higher oil price gives Nigeria a small lift in economic output this year, but that boost fades quickly. Conversely, when the economy grew strongly in the past two years, oil prices tend to ease now, reflecting demand feedback. Both oil prices and GDP growth show short-lived swings that revert to their long-term averages within three years.</w:t>
      </w:r>
      <w:r w:rsidR="00577A0F">
        <w:rPr>
          <w:rFonts w:ascii="Arial" w:hAnsi="Arial" w:cs="Arial"/>
          <w:sz w:val="20"/>
        </w:rPr>
        <w:t xml:space="preserve"> </w:t>
      </w:r>
      <w:r w:rsidRPr="00CF6268">
        <w:rPr>
          <w:rFonts w:ascii="Arial" w:hAnsi="Arial" w:cs="Arial"/>
          <w:sz w:val="20"/>
        </w:rPr>
        <w:t>These dynamics underscore the importance of fiscal smoothing. A stabilization fund calibrated to absorb temporary windfalls can shield the budget from short-run oil spikes. Automatic fiscal rules, saving on price peaks and releasing buffers during downturns, will help stabilize both revenue and output. Moreover, rapid mean reversion in growth highlights the need for structural diversification into non-oil sectors to sustain longer-term expansion beyond the transient effects of commodity fluctuations.</w:t>
      </w:r>
    </w:p>
    <w:p w14:paraId="559E85CC" w14:textId="77777777" w:rsidR="0022105B" w:rsidRPr="00CF6268" w:rsidRDefault="0022105B" w:rsidP="00A66332">
      <w:pPr>
        <w:jc w:val="both"/>
        <w:rPr>
          <w:rFonts w:ascii="Arial" w:hAnsi="Arial" w:cs="Arial"/>
          <w:sz w:val="20"/>
        </w:rPr>
        <w:sectPr w:rsidR="0022105B" w:rsidRPr="00CF6268" w:rsidSect="002F7CCF">
          <w:type w:val="continuous"/>
          <w:pgSz w:w="11906" w:h="16838"/>
          <w:pgMar w:top="1440" w:right="1440" w:bottom="1440" w:left="1440" w:header="708" w:footer="708" w:gutter="0"/>
          <w:cols w:space="708"/>
          <w:docGrid w:linePitch="360"/>
        </w:sectPr>
      </w:pPr>
    </w:p>
    <w:p w14:paraId="3D7FD560" w14:textId="77777777" w:rsidR="002F7CCF" w:rsidRPr="00CF6268" w:rsidRDefault="002F7CCF" w:rsidP="00A66332">
      <w:pPr>
        <w:jc w:val="both"/>
        <w:rPr>
          <w:rFonts w:ascii="Arial" w:hAnsi="Arial" w:cs="Arial"/>
          <w:sz w:val="22"/>
        </w:rPr>
        <w:sectPr w:rsidR="002F7CCF" w:rsidRPr="00CF6268" w:rsidSect="0022105B">
          <w:type w:val="continuous"/>
          <w:pgSz w:w="11906" w:h="16838"/>
          <w:pgMar w:top="1440" w:right="1440" w:bottom="1440" w:left="1440" w:header="708" w:footer="708" w:gutter="0"/>
          <w:cols w:space="708"/>
          <w:docGrid w:linePitch="360"/>
        </w:sectPr>
      </w:pPr>
    </w:p>
    <w:p w14:paraId="6C299DC9" w14:textId="77777777" w:rsidR="00844E12" w:rsidRPr="00CF6268" w:rsidRDefault="00844E12" w:rsidP="00844E12">
      <w:pPr>
        <w:rPr>
          <w:rFonts w:ascii="Arial" w:hAnsi="Arial" w:cs="Arial"/>
          <w:sz w:val="20"/>
        </w:rPr>
      </w:pPr>
      <w:r w:rsidRPr="00CF6268">
        <w:rPr>
          <w:rFonts w:ascii="Arial" w:hAnsi="Arial" w:cs="Arial"/>
          <w:sz w:val="20"/>
        </w:rPr>
        <w:t xml:space="preserve">Table </w:t>
      </w:r>
      <w:r w:rsidR="00704606" w:rsidRPr="00CF6268">
        <w:rPr>
          <w:rFonts w:ascii="Arial" w:hAnsi="Arial" w:cs="Arial"/>
          <w:sz w:val="20"/>
        </w:rPr>
        <w:t>2</w:t>
      </w:r>
      <w:r w:rsidRPr="00CF6268">
        <w:rPr>
          <w:rFonts w:ascii="Arial" w:hAnsi="Arial" w:cs="Arial"/>
          <w:sz w:val="20"/>
        </w:rPr>
        <w:t xml:space="preserve">: VAR </w:t>
      </w:r>
      <w:r w:rsidR="00C74479" w:rsidRPr="00CF6268">
        <w:rPr>
          <w:rFonts w:ascii="Arial" w:hAnsi="Arial" w:cs="Arial"/>
          <w:sz w:val="20"/>
        </w:rPr>
        <w:t>(</w:t>
      </w:r>
      <w:r w:rsidR="00F33F8B" w:rsidRPr="00CF6268">
        <w:rPr>
          <w:rFonts w:ascii="Arial" w:hAnsi="Arial" w:cs="Arial"/>
          <w:sz w:val="20"/>
        </w:rPr>
        <w:t>3</w:t>
      </w:r>
      <w:r w:rsidR="00C74479" w:rsidRPr="00CF6268">
        <w:rPr>
          <w:rFonts w:ascii="Arial" w:hAnsi="Arial" w:cs="Arial"/>
          <w:sz w:val="20"/>
        </w:rPr>
        <w:t xml:space="preserve">) </w:t>
      </w:r>
      <w:r w:rsidRPr="00CF6268">
        <w:rPr>
          <w:rFonts w:ascii="Arial" w:hAnsi="Arial" w:cs="Arial"/>
          <w:sz w:val="20"/>
        </w:rPr>
        <w:t xml:space="preserve">Estimated </w:t>
      </w:r>
      <w:proofErr w:type="gramStart"/>
      <w:r w:rsidRPr="00CF6268">
        <w:rPr>
          <w:rFonts w:ascii="Arial" w:hAnsi="Arial" w:cs="Arial"/>
          <w:sz w:val="20"/>
        </w:rPr>
        <w:t>Coefficients</w:t>
      </w:r>
      <w:r w:rsidR="00704606" w:rsidRPr="00CF6268">
        <w:rPr>
          <w:rFonts w:ascii="Arial" w:hAnsi="Arial" w:cs="Arial"/>
          <w:sz w:val="20"/>
        </w:rPr>
        <w:t>(</w:t>
      </w:r>
      <w:proofErr w:type="spellStart"/>
      <w:proofErr w:type="gramEnd"/>
      <w:r w:rsidR="00704606" w:rsidRPr="00CF6268">
        <w:rPr>
          <w:rFonts w:ascii="Arial" w:hAnsi="Arial" w:cs="Arial"/>
          <w:sz w:val="20"/>
        </w:rPr>
        <w:t>OilPrice</w:t>
      </w:r>
      <w:proofErr w:type="spellEnd"/>
      <w:r w:rsidR="00704606" w:rsidRPr="00CF6268">
        <w:rPr>
          <w:rFonts w:ascii="Arial" w:hAnsi="Arial" w:cs="Arial"/>
          <w:sz w:val="20"/>
        </w:rPr>
        <w:t>&amp; GDP Equations)</w:t>
      </w:r>
    </w:p>
    <w:tbl>
      <w:tblPr>
        <w:tblW w:w="8647" w:type="dxa"/>
        <w:tblCellSpacing w:w="15" w:type="dxa"/>
        <w:tblCellMar>
          <w:top w:w="15" w:type="dxa"/>
          <w:left w:w="15" w:type="dxa"/>
          <w:bottom w:w="15" w:type="dxa"/>
          <w:right w:w="15" w:type="dxa"/>
        </w:tblCellMar>
        <w:tblLook w:val="04A0" w:firstRow="1" w:lastRow="0" w:firstColumn="1" w:lastColumn="0" w:noHBand="0" w:noVBand="1"/>
      </w:tblPr>
      <w:tblGrid>
        <w:gridCol w:w="2994"/>
        <w:gridCol w:w="3385"/>
        <w:gridCol w:w="2268"/>
      </w:tblGrid>
      <w:tr w:rsidR="00F33F8B" w:rsidRPr="00CF6268" w14:paraId="5C09F35C" w14:textId="77777777" w:rsidTr="002C17EE">
        <w:trPr>
          <w:tblHeader/>
          <w:tblCellSpacing w:w="15" w:type="dxa"/>
        </w:trPr>
        <w:tc>
          <w:tcPr>
            <w:tcW w:w="2949" w:type="dxa"/>
            <w:vAlign w:val="center"/>
            <w:hideMark/>
          </w:tcPr>
          <w:p w14:paraId="13972707" w14:textId="77777777" w:rsidR="00F33F8B" w:rsidRPr="00CF6268" w:rsidRDefault="00F33F8B" w:rsidP="00F33F8B">
            <w:pPr>
              <w:rPr>
                <w:rFonts w:ascii="Arial" w:hAnsi="Arial" w:cs="Arial"/>
                <w:b/>
                <w:bCs/>
                <w:sz w:val="20"/>
              </w:rPr>
            </w:pPr>
            <w:r w:rsidRPr="00CF6268">
              <w:rPr>
                <w:rFonts w:ascii="Arial" w:hAnsi="Arial" w:cs="Arial"/>
                <w:b/>
                <w:bCs/>
                <w:sz w:val="20"/>
              </w:rPr>
              <w:t>Variable</w:t>
            </w:r>
          </w:p>
        </w:tc>
        <w:tc>
          <w:tcPr>
            <w:tcW w:w="3355" w:type="dxa"/>
            <w:vAlign w:val="center"/>
            <w:hideMark/>
          </w:tcPr>
          <w:p w14:paraId="28C0E686" w14:textId="77777777" w:rsidR="00F33F8B" w:rsidRPr="00CF6268" w:rsidRDefault="00F33F8B" w:rsidP="00F33F8B">
            <w:pPr>
              <w:rPr>
                <w:rFonts w:ascii="Arial" w:hAnsi="Arial" w:cs="Arial"/>
                <w:b/>
                <w:bCs/>
                <w:sz w:val="20"/>
              </w:rPr>
            </w:pPr>
            <w:proofErr w:type="spellStart"/>
            <w:r w:rsidRPr="00CF6268">
              <w:rPr>
                <w:rFonts w:ascii="Arial" w:hAnsi="Arial" w:cs="Arial"/>
                <w:b/>
                <w:bCs/>
                <w:sz w:val="20"/>
              </w:rPr>
              <w:t>OilPrice</w:t>
            </w:r>
            <w:proofErr w:type="spellEnd"/>
            <w:r w:rsidRPr="00CF6268">
              <w:rPr>
                <w:rFonts w:ascii="Arial" w:hAnsi="Arial" w:cs="Arial"/>
                <w:b/>
                <w:bCs/>
                <w:sz w:val="20"/>
              </w:rPr>
              <w:t xml:space="preserve"> Equation</w:t>
            </w:r>
          </w:p>
        </w:tc>
        <w:tc>
          <w:tcPr>
            <w:tcW w:w="2223" w:type="dxa"/>
            <w:vAlign w:val="center"/>
            <w:hideMark/>
          </w:tcPr>
          <w:p w14:paraId="0B587840" w14:textId="77777777" w:rsidR="00F33F8B" w:rsidRPr="00CF6268" w:rsidRDefault="00F33F8B" w:rsidP="00F33F8B">
            <w:pPr>
              <w:rPr>
                <w:rFonts w:ascii="Arial" w:hAnsi="Arial" w:cs="Arial"/>
                <w:b/>
                <w:bCs/>
                <w:sz w:val="20"/>
              </w:rPr>
            </w:pPr>
            <w:r w:rsidRPr="00CF6268">
              <w:rPr>
                <w:rFonts w:ascii="Arial" w:hAnsi="Arial" w:cs="Arial"/>
                <w:b/>
                <w:bCs/>
                <w:sz w:val="20"/>
              </w:rPr>
              <w:t>GDP Equation</w:t>
            </w:r>
          </w:p>
        </w:tc>
      </w:tr>
      <w:tr w:rsidR="00F33F8B" w:rsidRPr="00CF6268" w14:paraId="225A0278" w14:textId="77777777" w:rsidTr="002C17EE">
        <w:trPr>
          <w:tblCellSpacing w:w="15" w:type="dxa"/>
        </w:trPr>
        <w:tc>
          <w:tcPr>
            <w:tcW w:w="2949" w:type="dxa"/>
            <w:vAlign w:val="center"/>
            <w:hideMark/>
          </w:tcPr>
          <w:p w14:paraId="04C9EE89" w14:textId="77777777" w:rsidR="00F33F8B" w:rsidRPr="00CF6268" w:rsidRDefault="00F33F8B" w:rsidP="00F33F8B">
            <w:pPr>
              <w:rPr>
                <w:rFonts w:ascii="Arial" w:hAnsi="Arial" w:cs="Arial"/>
                <w:sz w:val="20"/>
              </w:rPr>
            </w:pPr>
            <w:proofErr w:type="spellStart"/>
            <w:r w:rsidRPr="00CF6268">
              <w:rPr>
                <w:rFonts w:ascii="Arial" w:hAnsi="Arial" w:cs="Arial"/>
                <w:sz w:val="20"/>
              </w:rPr>
              <w:t>OilPrice</w:t>
            </w:r>
            <w:proofErr w:type="spellEnd"/>
            <w:r w:rsidRPr="00CF6268">
              <w:rPr>
                <w:rFonts w:asciiTheme="majorBidi" w:hAnsiTheme="majorBidi" w:cs="Arial"/>
                <w:sz w:val="20"/>
              </w:rPr>
              <w:t>ₜ₋₁</w:t>
            </w:r>
          </w:p>
        </w:tc>
        <w:tc>
          <w:tcPr>
            <w:tcW w:w="3355" w:type="dxa"/>
            <w:vAlign w:val="center"/>
            <w:hideMark/>
          </w:tcPr>
          <w:p w14:paraId="51D0B6A4" w14:textId="77777777" w:rsidR="00F33F8B" w:rsidRPr="00CF6268" w:rsidRDefault="00F33F8B" w:rsidP="00F33F8B">
            <w:pPr>
              <w:rPr>
                <w:rFonts w:ascii="Arial" w:hAnsi="Arial" w:cs="Arial"/>
                <w:sz w:val="20"/>
              </w:rPr>
            </w:pPr>
            <w:r w:rsidRPr="00CF6268">
              <w:rPr>
                <w:rFonts w:ascii="Arial" w:hAnsi="Arial" w:cs="Arial"/>
                <w:sz w:val="20"/>
              </w:rPr>
              <w:t>0.08043626</w:t>
            </w:r>
          </w:p>
        </w:tc>
        <w:tc>
          <w:tcPr>
            <w:tcW w:w="2223" w:type="dxa"/>
            <w:vAlign w:val="center"/>
            <w:hideMark/>
          </w:tcPr>
          <w:p w14:paraId="4EFB863F" w14:textId="77777777" w:rsidR="00F33F8B" w:rsidRPr="00CF6268" w:rsidRDefault="00F33F8B" w:rsidP="00F33F8B">
            <w:pPr>
              <w:rPr>
                <w:rFonts w:ascii="Arial" w:hAnsi="Arial" w:cs="Arial"/>
                <w:sz w:val="20"/>
              </w:rPr>
            </w:pPr>
            <w:r w:rsidRPr="00CF6268">
              <w:rPr>
                <w:rFonts w:ascii="Arial" w:hAnsi="Arial" w:cs="Arial"/>
                <w:sz w:val="20"/>
              </w:rPr>
              <w:t>0.05820881</w:t>
            </w:r>
          </w:p>
        </w:tc>
      </w:tr>
      <w:tr w:rsidR="00F33F8B" w:rsidRPr="00CF6268" w14:paraId="20CB7277" w14:textId="77777777" w:rsidTr="002C17EE">
        <w:trPr>
          <w:tblCellSpacing w:w="15" w:type="dxa"/>
        </w:trPr>
        <w:tc>
          <w:tcPr>
            <w:tcW w:w="2949" w:type="dxa"/>
            <w:vAlign w:val="center"/>
            <w:hideMark/>
          </w:tcPr>
          <w:p w14:paraId="721D786D" w14:textId="77777777" w:rsidR="00F33F8B" w:rsidRPr="00CF6268" w:rsidRDefault="00F33F8B" w:rsidP="00F33F8B">
            <w:pPr>
              <w:rPr>
                <w:rFonts w:ascii="Arial" w:hAnsi="Arial" w:cs="Arial"/>
                <w:sz w:val="20"/>
              </w:rPr>
            </w:pPr>
            <w:r w:rsidRPr="00CF6268">
              <w:rPr>
                <w:rFonts w:ascii="Arial" w:hAnsi="Arial" w:cs="Arial"/>
                <w:sz w:val="20"/>
              </w:rPr>
              <w:t>GDP</w:t>
            </w:r>
            <w:r w:rsidRPr="00CF6268">
              <w:rPr>
                <w:rFonts w:asciiTheme="majorBidi" w:hAnsiTheme="majorBidi" w:cs="Arial"/>
                <w:sz w:val="20"/>
              </w:rPr>
              <w:t>ₜ₋₁</w:t>
            </w:r>
          </w:p>
        </w:tc>
        <w:tc>
          <w:tcPr>
            <w:tcW w:w="3355" w:type="dxa"/>
            <w:vAlign w:val="center"/>
            <w:hideMark/>
          </w:tcPr>
          <w:p w14:paraId="6FA1EEB2" w14:textId="77777777" w:rsidR="00F33F8B" w:rsidRPr="00CF6268" w:rsidRDefault="00F33F8B" w:rsidP="00F33F8B">
            <w:pPr>
              <w:rPr>
                <w:rFonts w:ascii="Arial" w:hAnsi="Arial" w:cs="Arial"/>
                <w:sz w:val="20"/>
              </w:rPr>
            </w:pPr>
            <w:r w:rsidRPr="00CF6268">
              <w:rPr>
                <w:rFonts w:ascii="Arial" w:hAnsi="Arial" w:cs="Arial"/>
                <w:sz w:val="20"/>
              </w:rPr>
              <w:t>–2.15115362</w:t>
            </w:r>
          </w:p>
        </w:tc>
        <w:tc>
          <w:tcPr>
            <w:tcW w:w="2223" w:type="dxa"/>
            <w:vAlign w:val="center"/>
            <w:hideMark/>
          </w:tcPr>
          <w:p w14:paraId="324F21AB" w14:textId="77777777" w:rsidR="00F33F8B" w:rsidRPr="00CF6268" w:rsidRDefault="00F33F8B" w:rsidP="00F33F8B">
            <w:pPr>
              <w:rPr>
                <w:rFonts w:ascii="Arial" w:hAnsi="Arial" w:cs="Arial"/>
                <w:sz w:val="20"/>
              </w:rPr>
            </w:pPr>
            <w:r w:rsidRPr="00CF6268">
              <w:rPr>
                <w:rFonts w:ascii="Arial" w:hAnsi="Arial" w:cs="Arial"/>
                <w:sz w:val="20"/>
              </w:rPr>
              <w:t>–0.53530967</w:t>
            </w:r>
          </w:p>
        </w:tc>
      </w:tr>
      <w:tr w:rsidR="00F33F8B" w:rsidRPr="00CF6268" w14:paraId="1F5AED65" w14:textId="77777777" w:rsidTr="002C17EE">
        <w:trPr>
          <w:tblCellSpacing w:w="15" w:type="dxa"/>
        </w:trPr>
        <w:tc>
          <w:tcPr>
            <w:tcW w:w="2949" w:type="dxa"/>
            <w:vAlign w:val="center"/>
            <w:hideMark/>
          </w:tcPr>
          <w:p w14:paraId="37F314CD" w14:textId="77777777" w:rsidR="00F33F8B" w:rsidRPr="00CF6268" w:rsidRDefault="00F33F8B" w:rsidP="00F33F8B">
            <w:pPr>
              <w:rPr>
                <w:rFonts w:ascii="Arial" w:hAnsi="Arial" w:cs="Arial"/>
                <w:sz w:val="20"/>
              </w:rPr>
            </w:pPr>
            <w:proofErr w:type="spellStart"/>
            <w:r w:rsidRPr="00CF6268">
              <w:rPr>
                <w:rFonts w:ascii="Arial" w:hAnsi="Arial" w:cs="Arial"/>
                <w:sz w:val="20"/>
              </w:rPr>
              <w:t>OilPrice</w:t>
            </w:r>
            <w:proofErr w:type="spellEnd"/>
            <w:r w:rsidRPr="00CF6268">
              <w:rPr>
                <w:rFonts w:asciiTheme="majorBidi" w:hAnsiTheme="majorBidi" w:cs="Arial"/>
                <w:sz w:val="20"/>
              </w:rPr>
              <w:t>ₜ₋₂</w:t>
            </w:r>
          </w:p>
        </w:tc>
        <w:tc>
          <w:tcPr>
            <w:tcW w:w="3355" w:type="dxa"/>
            <w:vAlign w:val="center"/>
            <w:hideMark/>
          </w:tcPr>
          <w:p w14:paraId="0371C096" w14:textId="77777777" w:rsidR="00F33F8B" w:rsidRPr="00CF6268" w:rsidRDefault="00F33F8B" w:rsidP="00F33F8B">
            <w:pPr>
              <w:rPr>
                <w:rFonts w:ascii="Arial" w:hAnsi="Arial" w:cs="Arial"/>
                <w:sz w:val="20"/>
              </w:rPr>
            </w:pPr>
            <w:r w:rsidRPr="00CF6268">
              <w:rPr>
                <w:rFonts w:ascii="Arial" w:hAnsi="Arial" w:cs="Arial"/>
                <w:sz w:val="20"/>
              </w:rPr>
              <w:t>–0.10299664</w:t>
            </w:r>
          </w:p>
        </w:tc>
        <w:tc>
          <w:tcPr>
            <w:tcW w:w="2223" w:type="dxa"/>
            <w:vAlign w:val="center"/>
            <w:hideMark/>
          </w:tcPr>
          <w:p w14:paraId="3DF5F23D" w14:textId="77777777" w:rsidR="00F33F8B" w:rsidRPr="00CF6268" w:rsidRDefault="00F33F8B" w:rsidP="00F33F8B">
            <w:pPr>
              <w:rPr>
                <w:rFonts w:ascii="Arial" w:hAnsi="Arial" w:cs="Arial"/>
                <w:sz w:val="20"/>
              </w:rPr>
            </w:pPr>
            <w:r w:rsidRPr="00CF6268">
              <w:rPr>
                <w:rFonts w:ascii="Arial" w:hAnsi="Arial" w:cs="Arial"/>
                <w:sz w:val="20"/>
              </w:rPr>
              <w:t>0.07330706</w:t>
            </w:r>
          </w:p>
        </w:tc>
      </w:tr>
      <w:tr w:rsidR="00F33F8B" w:rsidRPr="00CF6268" w14:paraId="2A232923" w14:textId="77777777" w:rsidTr="002C17EE">
        <w:trPr>
          <w:tblCellSpacing w:w="15" w:type="dxa"/>
        </w:trPr>
        <w:tc>
          <w:tcPr>
            <w:tcW w:w="2949" w:type="dxa"/>
            <w:vAlign w:val="center"/>
            <w:hideMark/>
          </w:tcPr>
          <w:p w14:paraId="7E52105B" w14:textId="77777777" w:rsidR="00F33F8B" w:rsidRPr="00CF6268" w:rsidRDefault="00F33F8B" w:rsidP="00F33F8B">
            <w:pPr>
              <w:rPr>
                <w:rFonts w:ascii="Arial" w:hAnsi="Arial" w:cs="Arial"/>
                <w:sz w:val="20"/>
              </w:rPr>
            </w:pPr>
            <w:r w:rsidRPr="00CF6268">
              <w:rPr>
                <w:rFonts w:ascii="Arial" w:hAnsi="Arial" w:cs="Arial"/>
                <w:sz w:val="20"/>
              </w:rPr>
              <w:t>GDP</w:t>
            </w:r>
            <w:r w:rsidRPr="00CF6268">
              <w:rPr>
                <w:rFonts w:asciiTheme="majorBidi" w:hAnsiTheme="majorBidi" w:cs="Arial"/>
                <w:sz w:val="20"/>
              </w:rPr>
              <w:t>ₜ₋₂</w:t>
            </w:r>
          </w:p>
        </w:tc>
        <w:tc>
          <w:tcPr>
            <w:tcW w:w="3355" w:type="dxa"/>
            <w:vAlign w:val="center"/>
            <w:hideMark/>
          </w:tcPr>
          <w:p w14:paraId="2D4A7D01" w14:textId="77777777" w:rsidR="00F33F8B" w:rsidRPr="00CF6268" w:rsidRDefault="00F33F8B" w:rsidP="00F33F8B">
            <w:pPr>
              <w:rPr>
                <w:rFonts w:ascii="Arial" w:hAnsi="Arial" w:cs="Arial"/>
                <w:sz w:val="20"/>
              </w:rPr>
            </w:pPr>
            <w:r w:rsidRPr="00CF6268">
              <w:rPr>
                <w:rFonts w:ascii="Arial" w:hAnsi="Arial" w:cs="Arial"/>
                <w:sz w:val="20"/>
              </w:rPr>
              <w:t>–2.07156566</w:t>
            </w:r>
          </w:p>
        </w:tc>
        <w:tc>
          <w:tcPr>
            <w:tcW w:w="2223" w:type="dxa"/>
            <w:vAlign w:val="center"/>
            <w:hideMark/>
          </w:tcPr>
          <w:p w14:paraId="1DAA5247" w14:textId="77777777" w:rsidR="00F33F8B" w:rsidRPr="00CF6268" w:rsidRDefault="00F33F8B" w:rsidP="00F33F8B">
            <w:pPr>
              <w:rPr>
                <w:rFonts w:ascii="Arial" w:hAnsi="Arial" w:cs="Arial"/>
                <w:sz w:val="20"/>
              </w:rPr>
            </w:pPr>
            <w:r w:rsidRPr="00CF6268">
              <w:rPr>
                <w:rFonts w:ascii="Arial" w:hAnsi="Arial" w:cs="Arial"/>
                <w:sz w:val="20"/>
              </w:rPr>
              <w:t>–0.25942468</w:t>
            </w:r>
          </w:p>
        </w:tc>
      </w:tr>
      <w:tr w:rsidR="00F33F8B" w:rsidRPr="00CF6268" w14:paraId="247D90C7" w14:textId="77777777" w:rsidTr="002C17EE">
        <w:trPr>
          <w:tblCellSpacing w:w="15" w:type="dxa"/>
        </w:trPr>
        <w:tc>
          <w:tcPr>
            <w:tcW w:w="2949" w:type="dxa"/>
            <w:vAlign w:val="center"/>
            <w:hideMark/>
          </w:tcPr>
          <w:p w14:paraId="21EDF829" w14:textId="77777777" w:rsidR="00F33F8B" w:rsidRPr="00CF6268" w:rsidRDefault="00F33F8B" w:rsidP="00F33F8B">
            <w:pPr>
              <w:rPr>
                <w:rFonts w:ascii="Arial" w:hAnsi="Arial" w:cs="Arial"/>
                <w:sz w:val="20"/>
              </w:rPr>
            </w:pPr>
            <w:proofErr w:type="spellStart"/>
            <w:r w:rsidRPr="00CF6268">
              <w:rPr>
                <w:rFonts w:ascii="Arial" w:hAnsi="Arial" w:cs="Arial"/>
                <w:sz w:val="20"/>
              </w:rPr>
              <w:t>OilPrice</w:t>
            </w:r>
            <w:proofErr w:type="spellEnd"/>
            <w:r w:rsidRPr="00CF6268">
              <w:rPr>
                <w:rFonts w:asciiTheme="majorBidi" w:hAnsiTheme="majorBidi" w:cs="Arial"/>
                <w:sz w:val="20"/>
              </w:rPr>
              <w:t>ₜ₋₃</w:t>
            </w:r>
          </w:p>
        </w:tc>
        <w:tc>
          <w:tcPr>
            <w:tcW w:w="3355" w:type="dxa"/>
            <w:vAlign w:val="center"/>
            <w:hideMark/>
          </w:tcPr>
          <w:p w14:paraId="41560B92" w14:textId="77777777" w:rsidR="00F33F8B" w:rsidRPr="00CF6268" w:rsidRDefault="00F33F8B" w:rsidP="00F33F8B">
            <w:pPr>
              <w:rPr>
                <w:rFonts w:ascii="Arial" w:hAnsi="Arial" w:cs="Arial"/>
                <w:sz w:val="20"/>
              </w:rPr>
            </w:pPr>
            <w:r w:rsidRPr="00CF6268">
              <w:rPr>
                <w:rFonts w:ascii="Arial" w:hAnsi="Arial" w:cs="Arial"/>
                <w:sz w:val="20"/>
              </w:rPr>
              <w:t>0.28797672</w:t>
            </w:r>
          </w:p>
        </w:tc>
        <w:tc>
          <w:tcPr>
            <w:tcW w:w="2223" w:type="dxa"/>
            <w:vAlign w:val="center"/>
            <w:hideMark/>
          </w:tcPr>
          <w:p w14:paraId="1D06AF3E" w14:textId="77777777" w:rsidR="00F33F8B" w:rsidRPr="00CF6268" w:rsidRDefault="00F33F8B" w:rsidP="00F33F8B">
            <w:pPr>
              <w:rPr>
                <w:rFonts w:ascii="Arial" w:hAnsi="Arial" w:cs="Arial"/>
                <w:sz w:val="20"/>
              </w:rPr>
            </w:pPr>
            <w:r w:rsidRPr="00CF6268">
              <w:rPr>
                <w:rFonts w:ascii="Arial" w:hAnsi="Arial" w:cs="Arial"/>
                <w:sz w:val="20"/>
              </w:rPr>
              <w:t>0.05980332</w:t>
            </w:r>
          </w:p>
        </w:tc>
      </w:tr>
      <w:tr w:rsidR="00F33F8B" w:rsidRPr="00CF6268" w14:paraId="7C4C37F4" w14:textId="77777777" w:rsidTr="002C17EE">
        <w:trPr>
          <w:tblCellSpacing w:w="15" w:type="dxa"/>
        </w:trPr>
        <w:tc>
          <w:tcPr>
            <w:tcW w:w="2949" w:type="dxa"/>
            <w:vAlign w:val="center"/>
            <w:hideMark/>
          </w:tcPr>
          <w:p w14:paraId="0027DF10" w14:textId="77777777" w:rsidR="00F33F8B" w:rsidRPr="00CF6268" w:rsidRDefault="00F33F8B" w:rsidP="00F33F8B">
            <w:pPr>
              <w:rPr>
                <w:rFonts w:ascii="Arial" w:hAnsi="Arial" w:cs="Arial"/>
                <w:sz w:val="20"/>
              </w:rPr>
            </w:pPr>
            <w:r w:rsidRPr="00CF6268">
              <w:rPr>
                <w:rFonts w:ascii="Arial" w:hAnsi="Arial" w:cs="Arial"/>
                <w:sz w:val="20"/>
              </w:rPr>
              <w:t>GDP</w:t>
            </w:r>
            <w:r w:rsidRPr="00CF6268">
              <w:rPr>
                <w:rFonts w:asciiTheme="majorBidi" w:hAnsiTheme="majorBidi" w:cs="Arial"/>
                <w:sz w:val="20"/>
              </w:rPr>
              <w:t>ₜ₋₃</w:t>
            </w:r>
          </w:p>
        </w:tc>
        <w:tc>
          <w:tcPr>
            <w:tcW w:w="3355" w:type="dxa"/>
            <w:vAlign w:val="center"/>
            <w:hideMark/>
          </w:tcPr>
          <w:p w14:paraId="14A52834" w14:textId="77777777" w:rsidR="00F33F8B" w:rsidRPr="00CF6268" w:rsidRDefault="00F33F8B" w:rsidP="00F33F8B">
            <w:pPr>
              <w:rPr>
                <w:rFonts w:ascii="Arial" w:hAnsi="Arial" w:cs="Arial"/>
                <w:sz w:val="20"/>
              </w:rPr>
            </w:pPr>
            <w:r w:rsidRPr="00CF6268">
              <w:rPr>
                <w:rFonts w:ascii="Arial" w:hAnsi="Arial" w:cs="Arial"/>
                <w:sz w:val="20"/>
              </w:rPr>
              <w:t>0.89901514</w:t>
            </w:r>
          </w:p>
        </w:tc>
        <w:tc>
          <w:tcPr>
            <w:tcW w:w="2223" w:type="dxa"/>
            <w:vAlign w:val="center"/>
            <w:hideMark/>
          </w:tcPr>
          <w:p w14:paraId="1F041FFF" w14:textId="77777777" w:rsidR="00F33F8B" w:rsidRPr="00CF6268" w:rsidRDefault="00F33F8B" w:rsidP="00F33F8B">
            <w:pPr>
              <w:rPr>
                <w:rFonts w:ascii="Arial" w:hAnsi="Arial" w:cs="Arial"/>
                <w:sz w:val="20"/>
              </w:rPr>
            </w:pPr>
            <w:r w:rsidRPr="00CF6268">
              <w:rPr>
                <w:rFonts w:ascii="Arial" w:hAnsi="Arial" w:cs="Arial"/>
                <w:sz w:val="20"/>
              </w:rPr>
              <w:t>–0.17722246</w:t>
            </w:r>
          </w:p>
        </w:tc>
      </w:tr>
      <w:tr w:rsidR="00F33F8B" w:rsidRPr="00CF6268" w14:paraId="4B10A916" w14:textId="77777777" w:rsidTr="002C17EE">
        <w:trPr>
          <w:tblCellSpacing w:w="15" w:type="dxa"/>
        </w:trPr>
        <w:tc>
          <w:tcPr>
            <w:tcW w:w="2949" w:type="dxa"/>
            <w:vAlign w:val="center"/>
            <w:hideMark/>
          </w:tcPr>
          <w:p w14:paraId="130B9882" w14:textId="77777777" w:rsidR="00F33F8B" w:rsidRPr="00CF6268" w:rsidRDefault="00F33F8B" w:rsidP="00F33F8B">
            <w:pPr>
              <w:rPr>
                <w:rFonts w:ascii="Arial" w:hAnsi="Arial" w:cs="Arial"/>
                <w:sz w:val="20"/>
              </w:rPr>
            </w:pPr>
            <w:r w:rsidRPr="00CF6268">
              <w:rPr>
                <w:rFonts w:ascii="Arial" w:hAnsi="Arial" w:cs="Arial"/>
                <w:sz w:val="20"/>
              </w:rPr>
              <w:t>Constant</w:t>
            </w:r>
          </w:p>
        </w:tc>
        <w:tc>
          <w:tcPr>
            <w:tcW w:w="3355" w:type="dxa"/>
            <w:vAlign w:val="center"/>
            <w:hideMark/>
          </w:tcPr>
          <w:p w14:paraId="3EE67949" w14:textId="77777777" w:rsidR="00F33F8B" w:rsidRPr="00CF6268" w:rsidRDefault="00F33F8B" w:rsidP="00F33F8B">
            <w:pPr>
              <w:rPr>
                <w:rFonts w:ascii="Arial" w:hAnsi="Arial" w:cs="Arial"/>
                <w:sz w:val="20"/>
              </w:rPr>
            </w:pPr>
            <w:r w:rsidRPr="00CF6268">
              <w:rPr>
                <w:rFonts w:ascii="Arial" w:hAnsi="Arial" w:cs="Arial"/>
                <w:sz w:val="20"/>
              </w:rPr>
              <w:t>0.41283613</w:t>
            </w:r>
          </w:p>
        </w:tc>
        <w:tc>
          <w:tcPr>
            <w:tcW w:w="2223" w:type="dxa"/>
            <w:vAlign w:val="center"/>
            <w:hideMark/>
          </w:tcPr>
          <w:p w14:paraId="2AC7B8FE" w14:textId="77777777" w:rsidR="00F33F8B" w:rsidRPr="00CF6268" w:rsidRDefault="00F33F8B" w:rsidP="00F33F8B">
            <w:pPr>
              <w:rPr>
                <w:rFonts w:ascii="Arial" w:hAnsi="Arial" w:cs="Arial"/>
                <w:sz w:val="20"/>
              </w:rPr>
            </w:pPr>
            <w:r w:rsidRPr="00CF6268">
              <w:rPr>
                <w:rFonts w:ascii="Arial" w:hAnsi="Arial" w:cs="Arial"/>
                <w:sz w:val="20"/>
              </w:rPr>
              <w:t>0.51538814</w:t>
            </w:r>
          </w:p>
        </w:tc>
      </w:tr>
    </w:tbl>
    <w:p w14:paraId="59338F67" w14:textId="77777777" w:rsidR="00F33F8B" w:rsidRPr="00CF6268" w:rsidRDefault="008628CC" w:rsidP="00844E12">
      <w:pPr>
        <w:rPr>
          <w:rFonts w:ascii="Arial" w:hAnsi="Arial" w:cs="Arial"/>
          <w:sz w:val="20"/>
        </w:rPr>
      </w:pPr>
      <w:r w:rsidRPr="00CF6268">
        <w:rPr>
          <w:rFonts w:ascii="Arial" w:hAnsi="Arial" w:cs="Arial"/>
          <w:sz w:val="20"/>
        </w:rPr>
        <w:t>Source: Authors</w:t>
      </w:r>
    </w:p>
    <w:p w14:paraId="2A11372A" w14:textId="77777777" w:rsidR="00F33F8B" w:rsidRDefault="00F33F8B" w:rsidP="00844E12">
      <w:pPr>
        <w:rPr>
          <w:rFonts w:asciiTheme="majorBidi" w:hAnsiTheme="majorBidi" w:cstheme="majorBidi"/>
        </w:rPr>
      </w:pPr>
    </w:p>
    <w:p w14:paraId="717E0A71" w14:textId="77777777" w:rsidR="00F42326" w:rsidRDefault="00F42326" w:rsidP="0024547B">
      <w:pPr>
        <w:rPr>
          <w:rFonts w:asciiTheme="majorBidi" w:hAnsiTheme="majorBidi" w:cstheme="majorBidi"/>
          <w:b/>
          <w:bCs/>
        </w:rPr>
        <w:sectPr w:rsidR="00F42326" w:rsidSect="0022105B">
          <w:type w:val="continuous"/>
          <w:pgSz w:w="11906" w:h="16838"/>
          <w:pgMar w:top="1440" w:right="1440" w:bottom="1440" w:left="1440" w:header="708" w:footer="708" w:gutter="0"/>
          <w:cols w:space="708"/>
          <w:docGrid w:linePitch="360"/>
        </w:sectPr>
      </w:pPr>
    </w:p>
    <w:p w14:paraId="0B637622" w14:textId="77777777" w:rsidR="0024547B" w:rsidRPr="00CF6268" w:rsidRDefault="00954B6D" w:rsidP="0024547B">
      <w:pPr>
        <w:rPr>
          <w:rFonts w:ascii="Arial" w:hAnsi="Arial" w:cs="Arial"/>
          <w:b/>
          <w:bCs/>
          <w:sz w:val="20"/>
        </w:rPr>
      </w:pPr>
      <w:r w:rsidRPr="00CF6268">
        <w:rPr>
          <w:rFonts w:ascii="Arial" w:hAnsi="Arial" w:cs="Arial"/>
          <w:b/>
          <w:bCs/>
          <w:sz w:val="20"/>
        </w:rPr>
        <w:t>4.3 IMPULSE RESPONSE FUNCTIONS (IRFS)</w:t>
      </w:r>
    </w:p>
    <w:p w14:paraId="01B7AB2E" w14:textId="77777777" w:rsidR="00F47B09" w:rsidRPr="00CF6268" w:rsidRDefault="00F47B09" w:rsidP="00F47B09">
      <w:pPr>
        <w:jc w:val="both"/>
        <w:rPr>
          <w:rFonts w:ascii="Arial" w:hAnsi="Arial" w:cs="Arial"/>
          <w:sz w:val="20"/>
        </w:rPr>
      </w:pPr>
      <w:r w:rsidRPr="00CF6268">
        <w:rPr>
          <w:rFonts w:ascii="Arial" w:hAnsi="Arial" w:cs="Arial"/>
          <w:sz w:val="20"/>
        </w:rPr>
        <w:t>From Table 3, the impulse</w:t>
      </w:r>
      <w:r w:rsidRPr="00CF6268">
        <w:rPr>
          <w:rFonts w:asciiTheme="majorBidi" w:hAnsiTheme="majorBidi" w:cs="Arial"/>
          <w:sz w:val="20"/>
        </w:rPr>
        <w:t>‐</w:t>
      </w:r>
      <w:r w:rsidRPr="00CF6268">
        <w:rPr>
          <w:rFonts w:ascii="Arial" w:hAnsi="Arial" w:cs="Arial"/>
          <w:sz w:val="20"/>
        </w:rPr>
        <w:t>response coefficients trace the impact of a one</w:t>
      </w:r>
      <w:r w:rsidRPr="00CF6268">
        <w:rPr>
          <w:rFonts w:asciiTheme="majorBidi" w:hAnsiTheme="majorBidi" w:cs="Arial"/>
          <w:sz w:val="20"/>
        </w:rPr>
        <w:t>‐</w:t>
      </w:r>
      <w:r w:rsidRPr="00CF6268">
        <w:rPr>
          <w:rFonts w:ascii="Arial" w:hAnsi="Arial" w:cs="Arial"/>
          <w:sz w:val="20"/>
        </w:rPr>
        <w:t>standard</w:t>
      </w:r>
      <w:r w:rsidRPr="00CF6268">
        <w:rPr>
          <w:rFonts w:asciiTheme="majorBidi" w:hAnsiTheme="majorBidi" w:cs="Arial"/>
          <w:sz w:val="20"/>
        </w:rPr>
        <w:t>‐</w:t>
      </w:r>
      <w:r w:rsidRPr="00CF6268">
        <w:rPr>
          <w:rFonts w:ascii="Arial" w:hAnsi="Arial" w:cs="Arial"/>
          <w:sz w:val="20"/>
        </w:rPr>
        <w:t>deviation positive oil</w:t>
      </w:r>
      <w:r w:rsidRPr="00CF6268">
        <w:rPr>
          <w:rFonts w:asciiTheme="majorBidi" w:hAnsiTheme="majorBidi" w:cs="Arial"/>
          <w:sz w:val="20"/>
        </w:rPr>
        <w:t>‐</w:t>
      </w:r>
      <w:r w:rsidRPr="00CF6268">
        <w:rPr>
          <w:rFonts w:ascii="Arial" w:hAnsi="Arial" w:cs="Arial"/>
          <w:sz w:val="20"/>
        </w:rPr>
        <w:t>price shock on real GDP over 11 future periods. The point estimate at horizon 1 (–0.14) suggests an initial slight contraction, followed by a peak expansion of 0.90 at year 2 and 0.67 at year 3. Thereafter, the response decays toward zero and oscillates modestly between –0.56 and +0.21 until horizon 11. However, all 95% confidence intervals straddle zero (e.g., [–0.074, 1.649] at year 2), indicating no statistically significant effect at the 5% level in any period. In sum, oil</w:t>
      </w:r>
      <w:r w:rsidRPr="00CF6268">
        <w:rPr>
          <w:rFonts w:asciiTheme="majorBidi" w:hAnsiTheme="majorBidi" w:cs="Arial"/>
          <w:sz w:val="20"/>
        </w:rPr>
        <w:t>‐</w:t>
      </w:r>
      <w:r w:rsidRPr="00CF6268">
        <w:rPr>
          <w:rFonts w:ascii="Arial" w:hAnsi="Arial" w:cs="Arial"/>
          <w:sz w:val="20"/>
        </w:rPr>
        <w:t xml:space="preserve">price shocks produce at best a transitory, economically small response in GDP that cannot be distinguished from zero with high </w:t>
      </w:r>
      <w:proofErr w:type="spellStart"/>
      <w:proofErr w:type="gramStart"/>
      <w:r w:rsidRPr="00CF6268">
        <w:rPr>
          <w:rFonts w:ascii="Arial" w:hAnsi="Arial" w:cs="Arial"/>
          <w:sz w:val="20"/>
        </w:rPr>
        <w:t>confidence.A</w:t>
      </w:r>
      <w:proofErr w:type="spellEnd"/>
      <w:proofErr w:type="gramEnd"/>
      <w:r w:rsidRPr="00CF6268">
        <w:rPr>
          <w:rFonts w:ascii="Arial" w:hAnsi="Arial" w:cs="Arial"/>
          <w:sz w:val="20"/>
        </w:rPr>
        <w:t xml:space="preserve"> sudden rise in oil prices yields, at most, a 0.9% boost to Nigeria’s GDP two years later, but this impact quickly dissipates and remains statistically indistinguishable from zero. The absence of a persistent, significant impulse implies that oil</w:t>
      </w:r>
      <w:r w:rsidRPr="00CF6268">
        <w:rPr>
          <w:rFonts w:asciiTheme="majorBidi" w:hAnsiTheme="majorBidi" w:cs="Arial"/>
          <w:sz w:val="20"/>
        </w:rPr>
        <w:t>‐</w:t>
      </w:r>
      <w:r w:rsidRPr="00CF6268">
        <w:rPr>
          <w:rFonts w:ascii="Arial" w:hAnsi="Arial" w:cs="Arial"/>
          <w:sz w:val="20"/>
        </w:rPr>
        <w:t>price volatility plays a limited and fleeting role in driving aggregate output.</w:t>
      </w:r>
    </w:p>
    <w:p w14:paraId="7E2EB95B" w14:textId="77777777" w:rsidR="00F42326" w:rsidRPr="00CF6268" w:rsidRDefault="00F47B09" w:rsidP="00954B6D">
      <w:pPr>
        <w:jc w:val="both"/>
        <w:rPr>
          <w:rFonts w:ascii="Arial" w:hAnsi="Arial" w:cs="Arial"/>
          <w:sz w:val="20"/>
        </w:rPr>
        <w:sectPr w:rsidR="00F42326" w:rsidRPr="00CF6268" w:rsidSect="002F7CCF">
          <w:type w:val="continuous"/>
          <w:pgSz w:w="11906" w:h="16838"/>
          <w:pgMar w:top="1440" w:right="1440" w:bottom="1440" w:left="1440" w:header="708" w:footer="708" w:gutter="0"/>
          <w:cols w:space="708"/>
          <w:docGrid w:linePitch="360"/>
        </w:sectPr>
      </w:pPr>
      <w:r w:rsidRPr="00CF6268">
        <w:rPr>
          <w:rFonts w:ascii="Arial" w:hAnsi="Arial" w:cs="Arial"/>
          <w:sz w:val="20"/>
        </w:rPr>
        <w:lastRenderedPageBreak/>
        <w:t>When oil prices jump, Nigeria’s economy might grow a little bit in the next couple of years, but that boost is tiny, and we can’t be sure it’s real. After a short while, the effect vanishes entirely.</w:t>
      </w:r>
      <w:r w:rsidR="00F42326" w:rsidRPr="00CF6268">
        <w:rPr>
          <w:rFonts w:ascii="Arial" w:hAnsi="Arial" w:cs="Arial"/>
          <w:sz w:val="20"/>
        </w:rPr>
        <w:t xml:space="preserve"> </w:t>
      </w:r>
      <w:r w:rsidRPr="00CF6268">
        <w:rPr>
          <w:rFonts w:ascii="Arial" w:hAnsi="Arial" w:cs="Arial"/>
          <w:sz w:val="20"/>
        </w:rPr>
        <w:t>Because oil</w:t>
      </w:r>
      <w:r w:rsidRPr="00CF6268">
        <w:rPr>
          <w:rFonts w:asciiTheme="majorBidi" w:hAnsiTheme="majorBidi" w:cs="Arial"/>
          <w:sz w:val="20"/>
        </w:rPr>
        <w:t>‐</w:t>
      </w:r>
      <w:r w:rsidRPr="00CF6268">
        <w:rPr>
          <w:rFonts w:ascii="Arial" w:hAnsi="Arial" w:cs="Arial"/>
          <w:sz w:val="20"/>
        </w:rPr>
        <w:t>price swings have only a weak and short</w:t>
      </w:r>
      <w:r w:rsidRPr="00CF6268">
        <w:rPr>
          <w:rFonts w:asciiTheme="majorBidi" w:hAnsiTheme="majorBidi" w:cs="Arial"/>
          <w:sz w:val="20"/>
        </w:rPr>
        <w:t>‐</w:t>
      </w:r>
      <w:r w:rsidRPr="00CF6268">
        <w:rPr>
          <w:rFonts w:ascii="Arial" w:hAnsi="Arial" w:cs="Arial"/>
          <w:sz w:val="20"/>
        </w:rPr>
        <w:t>lived influence on GDP, fiscal and monetary authorities should avoid over-reliance on commodity windfalls. Instead, they ought to: Establish and maintain stabilization funds to smooth out budgetary revenues when prices spike or crash. Develop automatic spending rules that save excess revenue in boom times and deploy buffers in busts. Lastly, accelerate economic diversification into agriculture, manufacturing, and services so long-term growth does not depend on transient oil shocks</w:t>
      </w:r>
      <w:r w:rsidR="002F7CCF" w:rsidRPr="00CF6268">
        <w:rPr>
          <w:rFonts w:ascii="Arial" w:hAnsi="Arial" w:cs="Arial"/>
          <w:sz w:val="20"/>
        </w:rPr>
        <w:t xml:space="preserve">. </w:t>
      </w:r>
    </w:p>
    <w:p w14:paraId="6189DA5C" w14:textId="77777777" w:rsidR="002F7CCF" w:rsidRPr="00CF6268" w:rsidRDefault="002F7CCF" w:rsidP="00954B6D">
      <w:pPr>
        <w:jc w:val="both"/>
        <w:rPr>
          <w:rFonts w:ascii="Arial" w:hAnsi="Arial" w:cs="Arial"/>
          <w:sz w:val="20"/>
        </w:rPr>
        <w:sectPr w:rsidR="002F7CCF" w:rsidRPr="00CF6268" w:rsidSect="0022105B">
          <w:type w:val="continuous"/>
          <w:pgSz w:w="11906" w:h="16838"/>
          <w:pgMar w:top="1440" w:right="1440" w:bottom="1440" w:left="1440" w:header="708" w:footer="708" w:gutter="0"/>
          <w:cols w:space="708"/>
          <w:docGrid w:linePitch="360"/>
        </w:sectPr>
      </w:pPr>
    </w:p>
    <w:p w14:paraId="008AE766" w14:textId="77777777" w:rsidR="003410C1" w:rsidRPr="00CF6268" w:rsidRDefault="003410C1" w:rsidP="003410C1">
      <w:pPr>
        <w:rPr>
          <w:rFonts w:ascii="Arial" w:hAnsi="Arial" w:cs="Arial"/>
          <w:sz w:val="20"/>
        </w:rPr>
      </w:pPr>
      <w:r w:rsidRPr="00CF6268">
        <w:rPr>
          <w:rFonts w:ascii="Arial" w:hAnsi="Arial" w:cs="Arial"/>
          <w:sz w:val="20"/>
        </w:rPr>
        <w:t xml:space="preserve">Table </w:t>
      </w:r>
      <w:r w:rsidR="0024547B" w:rsidRPr="00CF6268">
        <w:rPr>
          <w:rFonts w:ascii="Arial" w:hAnsi="Arial" w:cs="Arial"/>
          <w:sz w:val="20"/>
        </w:rPr>
        <w:t>3</w:t>
      </w:r>
      <w:r w:rsidRPr="00CF6268">
        <w:rPr>
          <w:rFonts w:ascii="Arial" w:hAnsi="Arial" w:cs="Arial"/>
          <w:sz w:val="20"/>
        </w:rPr>
        <w:t xml:space="preserve">: Impulse Response of </w:t>
      </w:r>
      <w:proofErr w:type="spellStart"/>
      <w:r w:rsidRPr="00CF6268">
        <w:rPr>
          <w:rFonts w:ascii="Arial" w:hAnsi="Arial" w:cs="Arial"/>
          <w:sz w:val="20"/>
        </w:rPr>
        <w:t>OilPrice</w:t>
      </w:r>
      <w:proofErr w:type="spellEnd"/>
      <w:r w:rsidRPr="00CF6268">
        <w:rPr>
          <w:rFonts w:ascii="Arial" w:hAnsi="Arial" w:cs="Arial"/>
          <w:sz w:val="20"/>
        </w:rPr>
        <w:t xml:space="preserve"> to a One</w:t>
      </w:r>
      <w:r w:rsidRPr="00CF6268">
        <w:rPr>
          <w:rFonts w:asciiTheme="majorBidi" w:hAnsiTheme="majorBidi" w:cs="Arial"/>
          <w:sz w:val="20"/>
        </w:rPr>
        <w:t>‐</w:t>
      </w:r>
      <w:r w:rsidRPr="00CF6268">
        <w:rPr>
          <w:rFonts w:ascii="Arial" w:hAnsi="Arial" w:cs="Arial"/>
          <w:sz w:val="20"/>
        </w:rPr>
        <w:t>Standard</w:t>
      </w:r>
      <w:r w:rsidRPr="00CF6268">
        <w:rPr>
          <w:rFonts w:asciiTheme="majorBidi" w:hAnsiTheme="majorBidi" w:cs="Arial"/>
          <w:sz w:val="20"/>
        </w:rPr>
        <w:t>‐</w:t>
      </w:r>
      <w:r w:rsidRPr="00CF6268">
        <w:rPr>
          <w:rFonts w:ascii="Arial" w:hAnsi="Arial" w:cs="Arial"/>
          <w:sz w:val="20"/>
        </w:rPr>
        <w:t>Deviation GDP Shock (Horizons 1–11, with 95% Confidence Bands)</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698"/>
        <w:gridCol w:w="3191"/>
        <w:gridCol w:w="62"/>
        <w:gridCol w:w="1980"/>
        <w:gridCol w:w="2091"/>
        <w:gridCol w:w="50"/>
      </w:tblGrid>
      <w:tr w:rsidR="00267343" w:rsidRPr="00CF6268" w14:paraId="7E5AD450" w14:textId="77777777" w:rsidTr="00267343">
        <w:trPr>
          <w:tblHeader/>
          <w:tblCellSpacing w:w="15" w:type="dxa"/>
        </w:trPr>
        <w:tc>
          <w:tcPr>
            <w:tcW w:w="1656" w:type="dxa"/>
            <w:vAlign w:val="center"/>
            <w:hideMark/>
          </w:tcPr>
          <w:p w14:paraId="6BDBDDB6" w14:textId="77777777" w:rsidR="00267343" w:rsidRPr="00CF6268" w:rsidRDefault="00267343" w:rsidP="00267343">
            <w:pPr>
              <w:rPr>
                <w:rFonts w:ascii="Arial" w:hAnsi="Arial" w:cs="Arial"/>
                <w:b/>
                <w:bCs/>
                <w:sz w:val="20"/>
              </w:rPr>
            </w:pPr>
            <w:r w:rsidRPr="00CF6268">
              <w:rPr>
                <w:rFonts w:ascii="Arial" w:hAnsi="Arial" w:cs="Arial"/>
                <w:b/>
                <w:bCs/>
                <w:sz w:val="20"/>
              </w:rPr>
              <w:t>Horizon</w:t>
            </w:r>
          </w:p>
        </w:tc>
        <w:tc>
          <w:tcPr>
            <w:tcW w:w="3231" w:type="dxa"/>
            <w:gridSpan w:val="2"/>
            <w:vAlign w:val="center"/>
            <w:hideMark/>
          </w:tcPr>
          <w:p w14:paraId="6CD58F05" w14:textId="77777777" w:rsidR="00267343" w:rsidRPr="00CF6268" w:rsidRDefault="00267343" w:rsidP="00267343">
            <w:pPr>
              <w:rPr>
                <w:rFonts w:ascii="Arial" w:hAnsi="Arial" w:cs="Arial"/>
                <w:b/>
                <w:bCs/>
                <w:sz w:val="20"/>
              </w:rPr>
            </w:pPr>
            <w:r w:rsidRPr="00CF6268">
              <w:rPr>
                <w:rFonts w:ascii="Arial" w:hAnsi="Arial" w:cs="Arial"/>
                <w:b/>
                <w:bCs/>
                <w:sz w:val="20"/>
              </w:rPr>
              <w:t>IRF (</w:t>
            </w:r>
            <w:proofErr w:type="spellStart"/>
            <w:r w:rsidRPr="00CF6268">
              <w:rPr>
                <w:rFonts w:ascii="Arial" w:hAnsi="Arial" w:cs="Arial"/>
                <w:b/>
                <w:bCs/>
                <w:sz w:val="20"/>
              </w:rPr>
              <w:t>OilPrice</w:t>
            </w:r>
            <w:proofErr w:type="spellEnd"/>
            <w:r w:rsidRPr="00CF6268">
              <w:rPr>
                <w:rFonts w:ascii="Arial" w:hAnsi="Arial" w:cs="Arial"/>
                <w:b/>
                <w:bCs/>
                <w:sz w:val="20"/>
              </w:rPr>
              <w:t xml:space="preserve"> → GDP)</w:t>
            </w:r>
          </w:p>
        </w:tc>
        <w:tc>
          <w:tcPr>
            <w:tcW w:w="1954" w:type="dxa"/>
            <w:vAlign w:val="center"/>
            <w:hideMark/>
          </w:tcPr>
          <w:p w14:paraId="57DC9A97" w14:textId="77777777" w:rsidR="00267343" w:rsidRPr="00CF6268" w:rsidRDefault="00267343" w:rsidP="00267343">
            <w:pPr>
              <w:rPr>
                <w:rFonts w:ascii="Arial" w:hAnsi="Arial" w:cs="Arial"/>
                <w:b/>
                <w:bCs/>
                <w:sz w:val="20"/>
              </w:rPr>
            </w:pPr>
            <w:r w:rsidRPr="00CF6268">
              <w:rPr>
                <w:rFonts w:ascii="Arial" w:hAnsi="Arial" w:cs="Arial"/>
                <w:b/>
                <w:bCs/>
                <w:sz w:val="20"/>
              </w:rPr>
              <w:t>Lower 95% CI</w:t>
            </w:r>
          </w:p>
        </w:tc>
        <w:tc>
          <w:tcPr>
            <w:tcW w:w="2081" w:type="dxa"/>
            <w:gridSpan w:val="2"/>
            <w:vAlign w:val="center"/>
            <w:hideMark/>
          </w:tcPr>
          <w:p w14:paraId="452382B9" w14:textId="77777777" w:rsidR="00267343" w:rsidRPr="00CF6268" w:rsidRDefault="00267343" w:rsidP="00267343">
            <w:pPr>
              <w:rPr>
                <w:rFonts w:ascii="Arial" w:hAnsi="Arial" w:cs="Arial"/>
                <w:b/>
                <w:bCs/>
                <w:sz w:val="20"/>
              </w:rPr>
            </w:pPr>
            <w:r w:rsidRPr="00CF6268">
              <w:rPr>
                <w:rFonts w:ascii="Arial" w:hAnsi="Arial" w:cs="Arial"/>
                <w:b/>
                <w:bCs/>
                <w:sz w:val="20"/>
              </w:rPr>
              <w:t>Upper 95% CI</w:t>
            </w:r>
          </w:p>
        </w:tc>
      </w:tr>
      <w:tr w:rsidR="00267343" w:rsidRPr="00CF6268" w14:paraId="507AAD22" w14:textId="77777777" w:rsidTr="00267343">
        <w:trPr>
          <w:gridAfter w:val="1"/>
          <w:wAfter w:w="5" w:type="dxa"/>
          <w:tblCellSpacing w:w="15" w:type="dxa"/>
        </w:trPr>
        <w:tc>
          <w:tcPr>
            <w:tcW w:w="1656" w:type="dxa"/>
            <w:vAlign w:val="center"/>
            <w:hideMark/>
          </w:tcPr>
          <w:p w14:paraId="7D8FEA7C" w14:textId="77777777" w:rsidR="00267343" w:rsidRPr="00CF6268" w:rsidRDefault="00267343" w:rsidP="00267343">
            <w:pPr>
              <w:rPr>
                <w:rFonts w:ascii="Arial" w:hAnsi="Arial" w:cs="Arial"/>
                <w:sz w:val="20"/>
              </w:rPr>
            </w:pPr>
            <w:r w:rsidRPr="00CF6268">
              <w:rPr>
                <w:rFonts w:ascii="Arial" w:hAnsi="Arial" w:cs="Arial"/>
                <w:sz w:val="20"/>
              </w:rPr>
              <w:t>1</w:t>
            </w:r>
          </w:p>
        </w:tc>
        <w:tc>
          <w:tcPr>
            <w:tcW w:w="3169" w:type="dxa"/>
            <w:vAlign w:val="center"/>
            <w:hideMark/>
          </w:tcPr>
          <w:p w14:paraId="152386C5" w14:textId="77777777" w:rsidR="00267343" w:rsidRPr="00CF6268" w:rsidRDefault="00267343" w:rsidP="00267343">
            <w:pPr>
              <w:rPr>
                <w:rFonts w:ascii="Arial" w:hAnsi="Arial" w:cs="Arial"/>
                <w:sz w:val="20"/>
              </w:rPr>
            </w:pPr>
            <w:r w:rsidRPr="00CF6268">
              <w:rPr>
                <w:rFonts w:ascii="Arial" w:hAnsi="Arial" w:cs="Arial"/>
                <w:sz w:val="20"/>
              </w:rPr>
              <w:t>-0.1438</w:t>
            </w:r>
          </w:p>
        </w:tc>
        <w:tc>
          <w:tcPr>
            <w:tcW w:w="2016" w:type="dxa"/>
            <w:gridSpan w:val="2"/>
            <w:vAlign w:val="center"/>
            <w:hideMark/>
          </w:tcPr>
          <w:p w14:paraId="0EF5E074" w14:textId="77777777" w:rsidR="00267343" w:rsidRPr="00CF6268" w:rsidRDefault="00267343" w:rsidP="00267343">
            <w:pPr>
              <w:rPr>
                <w:rFonts w:ascii="Arial" w:hAnsi="Arial" w:cs="Arial"/>
                <w:sz w:val="20"/>
              </w:rPr>
            </w:pPr>
            <w:r w:rsidRPr="00CF6268">
              <w:rPr>
                <w:rFonts w:ascii="Arial" w:hAnsi="Arial" w:cs="Arial"/>
                <w:sz w:val="20"/>
              </w:rPr>
              <w:t>-0.7896</w:t>
            </w:r>
          </w:p>
        </w:tc>
        <w:tc>
          <w:tcPr>
            <w:tcW w:w="2066" w:type="dxa"/>
            <w:vAlign w:val="center"/>
            <w:hideMark/>
          </w:tcPr>
          <w:p w14:paraId="09B06E0D" w14:textId="77777777" w:rsidR="00267343" w:rsidRPr="00CF6268" w:rsidRDefault="00267343" w:rsidP="00267343">
            <w:pPr>
              <w:rPr>
                <w:rFonts w:ascii="Arial" w:hAnsi="Arial" w:cs="Arial"/>
                <w:sz w:val="20"/>
              </w:rPr>
            </w:pPr>
            <w:r w:rsidRPr="00CF6268">
              <w:rPr>
                <w:rFonts w:ascii="Arial" w:hAnsi="Arial" w:cs="Arial"/>
                <w:sz w:val="20"/>
              </w:rPr>
              <w:t>0.6673</w:t>
            </w:r>
          </w:p>
        </w:tc>
      </w:tr>
      <w:tr w:rsidR="00267343" w:rsidRPr="00CF6268" w14:paraId="718AD4D0" w14:textId="77777777" w:rsidTr="00267343">
        <w:trPr>
          <w:gridAfter w:val="1"/>
          <w:wAfter w:w="5" w:type="dxa"/>
          <w:tblCellSpacing w:w="15" w:type="dxa"/>
        </w:trPr>
        <w:tc>
          <w:tcPr>
            <w:tcW w:w="1656" w:type="dxa"/>
            <w:vAlign w:val="center"/>
            <w:hideMark/>
          </w:tcPr>
          <w:p w14:paraId="0D50C4FA" w14:textId="77777777" w:rsidR="00267343" w:rsidRPr="00CF6268" w:rsidRDefault="00267343" w:rsidP="00267343">
            <w:pPr>
              <w:rPr>
                <w:rFonts w:ascii="Arial" w:hAnsi="Arial" w:cs="Arial"/>
                <w:sz w:val="20"/>
              </w:rPr>
            </w:pPr>
            <w:r w:rsidRPr="00CF6268">
              <w:rPr>
                <w:rFonts w:ascii="Arial" w:hAnsi="Arial" w:cs="Arial"/>
                <w:sz w:val="20"/>
              </w:rPr>
              <w:t>2</w:t>
            </w:r>
          </w:p>
        </w:tc>
        <w:tc>
          <w:tcPr>
            <w:tcW w:w="3169" w:type="dxa"/>
            <w:vAlign w:val="center"/>
            <w:hideMark/>
          </w:tcPr>
          <w:p w14:paraId="6EA15334" w14:textId="77777777" w:rsidR="00267343" w:rsidRPr="00CF6268" w:rsidRDefault="00267343" w:rsidP="00267343">
            <w:pPr>
              <w:rPr>
                <w:rFonts w:ascii="Arial" w:hAnsi="Arial" w:cs="Arial"/>
                <w:sz w:val="20"/>
              </w:rPr>
            </w:pPr>
            <w:r w:rsidRPr="00CF6268">
              <w:rPr>
                <w:rFonts w:ascii="Arial" w:hAnsi="Arial" w:cs="Arial"/>
                <w:sz w:val="20"/>
              </w:rPr>
              <w:t>0.8984</w:t>
            </w:r>
          </w:p>
        </w:tc>
        <w:tc>
          <w:tcPr>
            <w:tcW w:w="2016" w:type="dxa"/>
            <w:gridSpan w:val="2"/>
            <w:vAlign w:val="center"/>
            <w:hideMark/>
          </w:tcPr>
          <w:p w14:paraId="3E01EE6C" w14:textId="77777777" w:rsidR="00267343" w:rsidRPr="00CF6268" w:rsidRDefault="00267343" w:rsidP="00267343">
            <w:pPr>
              <w:rPr>
                <w:rFonts w:ascii="Arial" w:hAnsi="Arial" w:cs="Arial"/>
                <w:sz w:val="20"/>
              </w:rPr>
            </w:pPr>
            <w:r w:rsidRPr="00CF6268">
              <w:rPr>
                <w:rFonts w:ascii="Arial" w:hAnsi="Arial" w:cs="Arial"/>
                <w:sz w:val="20"/>
              </w:rPr>
              <w:t>-0.0742</w:t>
            </w:r>
          </w:p>
        </w:tc>
        <w:tc>
          <w:tcPr>
            <w:tcW w:w="2066" w:type="dxa"/>
            <w:vAlign w:val="center"/>
            <w:hideMark/>
          </w:tcPr>
          <w:p w14:paraId="6B247AE0" w14:textId="77777777" w:rsidR="00267343" w:rsidRPr="00CF6268" w:rsidRDefault="00267343" w:rsidP="00267343">
            <w:pPr>
              <w:rPr>
                <w:rFonts w:ascii="Arial" w:hAnsi="Arial" w:cs="Arial"/>
                <w:sz w:val="20"/>
              </w:rPr>
            </w:pPr>
            <w:r w:rsidRPr="00CF6268">
              <w:rPr>
                <w:rFonts w:ascii="Arial" w:hAnsi="Arial" w:cs="Arial"/>
                <w:sz w:val="20"/>
              </w:rPr>
              <w:t>1.6490</w:t>
            </w:r>
          </w:p>
        </w:tc>
      </w:tr>
      <w:tr w:rsidR="00267343" w:rsidRPr="00CF6268" w14:paraId="04CC4149" w14:textId="77777777" w:rsidTr="00267343">
        <w:trPr>
          <w:gridAfter w:val="1"/>
          <w:wAfter w:w="5" w:type="dxa"/>
          <w:tblCellSpacing w:w="15" w:type="dxa"/>
        </w:trPr>
        <w:tc>
          <w:tcPr>
            <w:tcW w:w="1656" w:type="dxa"/>
            <w:vAlign w:val="center"/>
            <w:hideMark/>
          </w:tcPr>
          <w:p w14:paraId="76133010" w14:textId="77777777" w:rsidR="00267343" w:rsidRPr="00CF6268" w:rsidRDefault="00267343" w:rsidP="00267343">
            <w:pPr>
              <w:rPr>
                <w:rFonts w:ascii="Arial" w:hAnsi="Arial" w:cs="Arial"/>
                <w:sz w:val="20"/>
              </w:rPr>
            </w:pPr>
            <w:r w:rsidRPr="00CF6268">
              <w:rPr>
                <w:rFonts w:ascii="Arial" w:hAnsi="Arial" w:cs="Arial"/>
                <w:sz w:val="20"/>
              </w:rPr>
              <w:t>3</w:t>
            </w:r>
          </w:p>
        </w:tc>
        <w:tc>
          <w:tcPr>
            <w:tcW w:w="3169" w:type="dxa"/>
            <w:vAlign w:val="center"/>
            <w:hideMark/>
          </w:tcPr>
          <w:p w14:paraId="5927C36E" w14:textId="77777777" w:rsidR="00267343" w:rsidRPr="00CF6268" w:rsidRDefault="00267343" w:rsidP="00267343">
            <w:pPr>
              <w:rPr>
                <w:rFonts w:ascii="Arial" w:hAnsi="Arial" w:cs="Arial"/>
                <w:sz w:val="20"/>
              </w:rPr>
            </w:pPr>
            <w:r w:rsidRPr="00CF6268">
              <w:rPr>
                <w:rFonts w:ascii="Arial" w:hAnsi="Arial" w:cs="Arial"/>
                <w:sz w:val="20"/>
              </w:rPr>
              <w:t>0.6749</w:t>
            </w:r>
          </w:p>
        </w:tc>
        <w:tc>
          <w:tcPr>
            <w:tcW w:w="2016" w:type="dxa"/>
            <w:gridSpan w:val="2"/>
            <w:vAlign w:val="center"/>
            <w:hideMark/>
          </w:tcPr>
          <w:p w14:paraId="65814945" w14:textId="77777777" w:rsidR="00267343" w:rsidRPr="00CF6268" w:rsidRDefault="00267343" w:rsidP="00267343">
            <w:pPr>
              <w:rPr>
                <w:rFonts w:ascii="Arial" w:hAnsi="Arial" w:cs="Arial"/>
                <w:sz w:val="20"/>
              </w:rPr>
            </w:pPr>
            <w:r w:rsidRPr="00CF6268">
              <w:rPr>
                <w:rFonts w:ascii="Arial" w:hAnsi="Arial" w:cs="Arial"/>
                <w:sz w:val="20"/>
              </w:rPr>
              <w:t>-0.3468</w:t>
            </w:r>
          </w:p>
        </w:tc>
        <w:tc>
          <w:tcPr>
            <w:tcW w:w="2066" w:type="dxa"/>
            <w:vAlign w:val="center"/>
            <w:hideMark/>
          </w:tcPr>
          <w:p w14:paraId="2BE4D501" w14:textId="77777777" w:rsidR="00267343" w:rsidRPr="00CF6268" w:rsidRDefault="00267343" w:rsidP="00267343">
            <w:pPr>
              <w:rPr>
                <w:rFonts w:ascii="Arial" w:hAnsi="Arial" w:cs="Arial"/>
                <w:sz w:val="20"/>
              </w:rPr>
            </w:pPr>
            <w:r w:rsidRPr="00CF6268">
              <w:rPr>
                <w:rFonts w:ascii="Arial" w:hAnsi="Arial" w:cs="Arial"/>
                <w:sz w:val="20"/>
              </w:rPr>
              <w:t>1.4255</w:t>
            </w:r>
          </w:p>
        </w:tc>
      </w:tr>
      <w:tr w:rsidR="00267343" w:rsidRPr="00CF6268" w14:paraId="3120CC01" w14:textId="77777777" w:rsidTr="00267343">
        <w:trPr>
          <w:gridAfter w:val="1"/>
          <w:wAfter w:w="5" w:type="dxa"/>
          <w:tblCellSpacing w:w="15" w:type="dxa"/>
        </w:trPr>
        <w:tc>
          <w:tcPr>
            <w:tcW w:w="1656" w:type="dxa"/>
            <w:vAlign w:val="center"/>
            <w:hideMark/>
          </w:tcPr>
          <w:p w14:paraId="2AF150A8" w14:textId="77777777" w:rsidR="00267343" w:rsidRPr="00CF6268" w:rsidRDefault="00267343" w:rsidP="00267343">
            <w:pPr>
              <w:rPr>
                <w:rFonts w:ascii="Arial" w:hAnsi="Arial" w:cs="Arial"/>
                <w:sz w:val="20"/>
              </w:rPr>
            </w:pPr>
            <w:r w:rsidRPr="00CF6268">
              <w:rPr>
                <w:rFonts w:ascii="Arial" w:hAnsi="Arial" w:cs="Arial"/>
                <w:sz w:val="20"/>
              </w:rPr>
              <w:t>4</w:t>
            </w:r>
          </w:p>
        </w:tc>
        <w:tc>
          <w:tcPr>
            <w:tcW w:w="3169" w:type="dxa"/>
            <w:vAlign w:val="center"/>
            <w:hideMark/>
          </w:tcPr>
          <w:p w14:paraId="06B00D49" w14:textId="77777777" w:rsidR="00267343" w:rsidRPr="00CF6268" w:rsidRDefault="00267343" w:rsidP="00267343">
            <w:pPr>
              <w:rPr>
                <w:rFonts w:ascii="Arial" w:hAnsi="Arial" w:cs="Arial"/>
                <w:sz w:val="20"/>
              </w:rPr>
            </w:pPr>
            <w:r w:rsidRPr="00CF6268">
              <w:rPr>
                <w:rFonts w:ascii="Arial" w:hAnsi="Arial" w:cs="Arial"/>
                <w:sz w:val="20"/>
              </w:rPr>
              <w:t>0.2079</w:t>
            </w:r>
          </w:p>
        </w:tc>
        <w:tc>
          <w:tcPr>
            <w:tcW w:w="2016" w:type="dxa"/>
            <w:gridSpan w:val="2"/>
            <w:vAlign w:val="center"/>
            <w:hideMark/>
          </w:tcPr>
          <w:p w14:paraId="2AFA4B3D" w14:textId="77777777" w:rsidR="00267343" w:rsidRPr="00CF6268" w:rsidRDefault="00267343" w:rsidP="00267343">
            <w:pPr>
              <w:rPr>
                <w:rFonts w:ascii="Arial" w:hAnsi="Arial" w:cs="Arial"/>
                <w:sz w:val="20"/>
              </w:rPr>
            </w:pPr>
            <w:r w:rsidRPr="00CF6268">
              <w:rPr>
                <w:rFonts w:ascii="Arial" w:hAnsi="Arial" w:cs="Arial"/>
                <w:sz w:val="20"/>
              </w:rPr>
              <w:t>-0.8669</w:t>
            </w:r>
          </w:p>
        </w:tc>
        <w:tc>
          <w:tcPr>
            <w:tcW w:w="2066" w:type="dxa"/>
            <w:vAlign w:val="center"/>
            <w:hideMark/>
          </w:tcPr>
          <w:p w14:paraId="5F2532F5" w14:textId="77777777" w:rsidR="00267343" w:rsidRPr="00CF6268" w:rsidRDefault="00267343" w:rsidP="00267343">
            <w:pPr>
              <w:rPr>
                <w:rFonts w:ascii="Arial" w:hAnsi="Arial" w:cs="Arial"/>
                <w:sz w:val="20"/>
              </w:rPr>
            </w:pPr>
            <w:r w:rsidRPr="00CF6268">
              <w:rPr>
                <w:rFonts w:ascii="Arial" w:hAnsi="Arial" w:cs="Arial"/>
                <w:sz w:val="20"/>
              </w:rPr>
              <w:t>1.0541</w:t>
            </w:r>
          </w:p>
        </w:tc>
      </w:tr>
      <w:tr w:rsidR="00267343" w:rsidRPr="00CF6268" w14:paraId="7C29688C" w14:textId="77777777" w:rsidTr="00267343">
        <w:trPr>
          <w:gridAfter w:val="1"/>
          <w:wAfter w:w="5" w:type="dxa"/>
          <w:tblCellSpacing w:w="15" w:type="dxa"/>
        </w:trPr>
        <w:tc>
          <w:tcPr>
            <w:tcW w:w="1656" w:type="dxa"/>
            <w:vAlign w:val="center"/>
            <w:hideMark/>
          </w:tcPr>
          <w:p w14:paraId="523F0486" w14:textId="77777777" w:rsidR="00267343" w:rsidRPr="00CF6268" w:rsidRDefault="00267343" w:rsidP="00267343">
            <w:pPr>
              <w:rPr>
                <w:rFonts w:ascii="Arial" w:hAnsi="Arial" w:cs="Arial"/>
                <w:sz w:val="20"/>
              </w:rPr>
            </w:pPr>
            <w:r w:rsidRPr="00CF6268">
              <w:rPr>
                <w:rFonts w:ascii="Arial" w:hAnsi="Arial" w:cs="Arial"/>
                <w:sz w:val="20"/>
              </w:rPr>
              <w:t>5</w:t>
            </w:r>
          </w:p>
        </w:tc>
        <w:tc>
          <w:tcPr>
            <w:tcW w:w="3169" w:type="dxa"/>
            <w:vAlign w:val="center"/>
            <w:hideMark/>
          </w:tcPr>
          <w:p w14:paraId="569D716E" w14:textId="77777777" w:rsidR="00267343" w:rsidRPr="00CF6268" w:rsidRDefault="00267343" w:rsidP="00267343">
            <w:pPr>
              <w:rPr>
                <w:rFonts w:ascii="Arial" w:hAnsi="Arial" w:cs="Arial"/>
                <w:sz w:val="20"/>
              </w:rPr>
            </w:pPr>
            <w:r w:rsidRPr="00CF6268">
              <w:rPr>
                <w:rFonts w:ascii="Arial" w:hAnsi="Arial" w:cs="Arial"/>
                <w:sz w:val="20"/>
              </w:rPr>
              <w:t>-0.5635</w:t>
            </w:r>
          </w:p>
        </w:tc>
        <w:tc>
          <w:tcPr>
            <w:tcW w:w="2016" w:type="dxa"/>
            <w:gridSpan w:val="2"/>
            <w:vAlign w:val="center"/>
            <w:hideMark/>
          </w:tcPr>
          <w:p w14:paraId="71156040" w14:textId="77777777" w:rsidR="00267343" w:rsidRPr="00CF6268" w:rsidRDefault="00267343" w:rsidP="00267343">
            <w:pPr>
              <w:rPr>
                <w:rFonts w:ascii="Arial" w:hAnsi="Arial" w:cs="Arial"/>
                <w:sz w:val="20"/>
              </w:rPr>
            </w:pPr>
            <w:r w:rsidRPr="00CF6268">
              <w:rPr>
                <w:rFonts w:ascii="Arial" w:hAnsi="Arial" w:cs="Arial"/>
                <w:sz w:val="20"/>
              </w:rPr>
              <w:t>-1.0876</w:t>
            </w:r>
          </w:p>
        </w:tc>
        <w:tc>
          <w:tcPr>
            <w:tcW w:w="2066" w:type="dxa"/>
            <w:vAlign w:val="center"/>
            <w:hideMark/>
          </w:tcPr>
          <w:p w14:paraId="5C1A688A" w14:textId="77777777" w:rsidR="00267343" w:rsidRPr="00CF6268" w:rsidRDefault="00267343" w:rsidP="00267343">
            <w:pPr>
              <w:rPr>
                <w:rFonts w:ascii="Arial" w:hAnsi="Arial" w:cs="Arial"/>
                <w:sz w:val="20"/>
              </w:rPr>
            </w:pPr>
            <w:r w:rsidRPr="00CF6268">
              <w:rPr>
                <w:rFonts w:ascii="Arial" w:hAnsi="Arial" w:cs="Arial"/>
                <w:sz w:val="20"/>
              </w:rPr>
              <w:t>0.1989</w:t>
            </w:r>
          </w:p>
        </w:tc>
      </w:tr>
      <w:tr w:rsidR="00267343" w:rsidRPr="00CF6268" w14:paraId="0432343F" w14:textId="77777777" w:rsidTr="00267343">
        <w:trPr>
          <w:gridAfter w:val="1"/>
          <w:wAfter w:w="5" w:type="dxa"/>
          <w:tblCellSpacing w:w="15" w:type="dxa"/>
        </w:trPr>
        <w:tc>
          <w:tcPr>
            <w:tcW w:w="1656" w:type="dxa"/>
            <w:vAlign w:val="center"/>
            <w:hideMark/>
          </w:tcPr>
          <w:p w14:paraId="5B9CAAB5" w14:textId="77777777" w:rsidR="00267343" w:rsidRPr="00CF6268" w:rsidRDefault="00267343" w:rsidP="00267343">
            <w:pPr>
              <w:rPr>
                <w:rFonts w:ascii="Arial" w:hAnsi="Arial" w:cs="Arial"/>
                <w:sz w:val="20"/>
              </w:rPr>
            </w:pPr>
            <w:r w:rsidRPr="00CF6268">
              <w:rPr>
                <w:rFonts w:ascii="Arial" w:hAnsi="Arial" w:cs="Arial"/>
                <w:sz w:val="20"/>
              </w:rPr>
              <w:t>6</w:t>
            </w:r>
          </w:p>
        </w:tc>
        <w:tc>
          <w:tcPr>
            <w:tcW w:w="3169" w:type="dxa"/>
            <w:vAlign w:val="center"/>
            <w:hideMark/>
          </w:tcPr>
          <w:p w14:paraId="244DD8AB" w14:textId="77777777" w:rsidR="00267343" w:rsidRPr="00CF6268" w:rsidRDefault="00267343" w:rsidP="00267343">
            <w:pPr>
              <w:rPr>
                <w:rFonts w:ascii="Arial" w:hAnsi="Arial" w:cs="Arial"/>
                <w:sz w:val="20"/>
              </w:rPr>
            </w:pPr>
            <w:r w:rsidRPr="00CF6268">
              <w:rPr>
                <w:rFonts w:ascii="Arial" w:hAnsi="Arial" w:cs="Arial"/>
                <w:sz w:val="20"/>
              </w:rPr>
              <w:t>-0.0498</w:t>
            </w:r>
          </w:p>
        </w:tc>
        <w:tc>
          <w:tcPr>
            <w:tcW w:w="2016" w:type="dxa"/>
            <w:gridSpan w:val="2"/>
            <w:vAlign w:val="center"/>
            <w:hideMark/>
          </w:tcPr>
          <w:p w14:paraId="597DD5B6" w14:textId="77777777" w:rsidR="00267343" w:rsidRPr="00CF6268" w:rsidRDefault="00267343" w:rsidP="00267343">
            <w:pPr>
              <w:rPr>
                <w:rFonts w:ascii="Arial" w:hAnsi="Arial" w:cs="Arial"/>
                <w:sz w:val="20"/>
              </w:rPr>
            </w:pPr>
            <w:r w:rsidRPr="00CF6268">
              <w:rPr>
                <w:rFonts w:ascii="Arial" w:hAnsi="Arial" w:cs="Arial"/>
                <w:sz w:val="20"/>
              </w:rPr>
              <w:t>-0.5506</w:t>
            </w:r>
          </w:p>
        </w:tc>
        <w:tc>
          <w:tcPr>
            <w:tcW w:w="2066" w:type="dxa"/>
            <w:vAlign w:val="center"/>
            <w:hideMark/>
          </w:tcPr>
          <w:p w14:paraId="4B7C8CCB" w14:textId="77777777" w:rsidR="00267343" w:rsidRPr="00CF6268" w:rsidRDefault="00267343" w:rsidP="00267343">
            <w:pPr>
              <w:rPr>
                <w:rFonts w:ascii="Arial" w:hAnsi="Arial" w:cs="Arial"/>
                <w:sz w:val="20"/>
              </w:rPr>
            </w:pPr>
            <w:r w:rsidRPr="00CF6268">
              <w:rPr>
                <w:rFonts w:ascii="Arial" w:hAnsi="Arial" w:cs="Arial"/>
                <w:sz w:val="20"/>
              </w:rPr>
              <w:t>0.5438</w:t>
            </w:r>
          </w:p>
        </w:tc>
      </w:tr>
      <w:tr w:rsidR="00267343" w:rsidRPr="00CF6268" w14:paraId="65DA4893" w14:textId="77777777" w:rsidTr="00267343">
        <w:trPr>
          <w:gridAfter w:val="1"/>
          <w:wAfter w:w="5" w:type="dxa"/>
          <w:tblCellSpacing w:w="15" w:type="dxa"/>
        </w:trPr>
        <w:tc>
          <w:tcPr>
            <w:tcW w:w="1656" w:type="dxa"/>
            <w:vAlign w:val="center"/>
            <w:hideMark/>
          </w:tcPr>
          <w:p w14:paraId="150B08F7" w14:textId="77777777" w:rsidR="00267343" w:rsidRPr="00CF6268" w:rsidRDefault="00267343" w:rsidP="00267343">
            <w:pPr>
              <w:rPr>
                <w:rFonts w:ascii="Arial" w:hAnsi="Arial" w:cs="Arial"/>
                <w:sz w:val="20"/>
              </w:rPr>
            </w:pPr>
            <w:r w:rsidRPr="00CF6268">
              <w:rPr>
                <w:rFonts w:ascii="Arial" w:hAnsi="Arial" w:cs="Arial"/>
                <w:sz w:val="20"/>
              </w:rPr>
              <w:t>7</w:t>
            </w:r>
          </w:p>
        </w:tc>
        <w:tc>
          <w:tcPr>
            <w:tcW w:w="3169" w:type="dxa"/>
            <w:vAlign w:val="center"/>
            <w:hideMark/>
          </w:tcPr>
          <w:p w14:paraId="6363A86C" w14:textId="77777777" w:rsidR="00267343" w:rsidRPr="00CF6268" w:rsidRDefault="00267343" w:rsidP="00267343">
            <w:pPr>
              <w:rPr>
                <w:rFonts w:ascii="Arial" w:hAnsi="Arial" w:cs="Arial"/>
                <w:sz w:val="20"/>
              </w:rPr>
            </w:pPr>
            <w:r w:rsidRPr="00CF6268">
              <w:rPr>
                <w:rFonts w:ascii="Arial" w:hAnsi="Arial" w:cs="Arial"/>
                <w:sz w:val="20"/>
              </w:rPr>
              <w:t>0.1564</w:t>
            </w:r>
          </w:p>
        </w:tc>
        <w:tc>
          <w:tcPr>
            <w:tcW w:w="2016" w:type="dxa"/>
            <w:gridSpan w:val="2"/>
            <w:vAlign w:val="center"/>
            <w:hideMark/>
          </w:tcPr>
          <w:p w14:paraId="01411606" w14:textId="77777777" w:rsidR="00267343" w:rsidRPr="00CF6268" w:rsidRDefault="00267343" w:rsidP="00267343">
            <w:pPr>
              <w:rPr>
                <w:rFonts w:ascii="Arial" w:hAnsi="Arial" w:cs="Arial"/>
                <w:sz w:val="20"/>
              </w:rPr>
            </w:pPr>
            <w:r w:rsidRPr="00CF6268">
              <w:rPr>
                <w:rFonts w:ascii="Arial" w:hAnsi="Arial" w:cs="Arial"/>
                <w:sz w:val="20"/>
              </w:rPr>
              <w:t>-0.1818</w:t>
            </w:r>
          </w:p>
        </w:tc>
        <w:tc>
          <w:tcPr>
            <w:tcW w:w="2066" w:type="dxa"/>
            <w:vAlign w:val="center"/>
            <w:hideMark/>
          </w:tcPr>
          <w:p w14:paraId="38F68F0A" w14:textId="77777777" w:rsidR="00267343" w:rsidRPr="00CF6268" w:rsidRDefault="00267343" w:rsidP="00267343">
            <w:pPr>
              <w:rPr>
                <w:rFonts w:ascii="Arial" w:hAnsi="Arial" w:cs="Arial"/>
                <w:sz w:val="20"/>
              </w:rPr>
            </w:pPr>
            <w:r w:rsidRPr="00CF6268">
              <w:rPr>
                <w:rFonts w:ascii="Arial" w:hAnsi="Arial" w:cs="Arial"/>
                <w:sz w:val="20"/>
              </w:rPr>
              <w:t>0.5521</w:t>
            </w:r>
          </w:p>
        </w:tc>
      </w:tr>
      <w:tr w:rsidR="00267343" w:rsidRPr="00CF6268" w14:paraId="70A935A4" w14:textId="77777777" w:rsidTr="00267343">
        <w:trPr>
          <w:gridAfter w:val="1"/>
          <w:wAfter w:w="5" w:type="dxa"/>
          <w:tblCellSpacing w:w="15" w:type="dxa"/>
        </w:trPr>
        <w:tc>
          <w:tcPr>
            <w:tcW w:w="1656" w:type="dxa"/>
            <w:vAlign w:val="center"/>
            <w:hideMark/>
          </w:tcPr>
          <w:p w14:paraId="021F21D2" w14:textId="77777777" w:rsidR="00267343" w:rsidRPr="00CF6268" w:rsidRDefault="00267343" w:rsidP="00267343">
            <w:pPr>
              <w:rPr>
                <w:rFonts w:ascii="Arial" w:hAnsi="Arial" w:cs="Arial"/>
                <w:sz w:val="20"/>
              </w:rPr>
            </w:pPr>
            <w:r w:rsidRPr="00CF6268">
              <w:rPr>
                <w:rFonts w:ascii="Arial" w:hAnsi="Arial" w:cs="Arial"/>
                <w:sz w:val="20"/>
              </w:rPr>
              <w:t>8</w:t>
            </w:r>
          </w:p>
        </w:tc>
        <w:tc>
          <w:tcPr>
            <w:tcW w:w="3169" w:type="dxa"/>
            <w:vAlign w:val="center"/>
            <w:hideMark/>
          </w:tcPr>
          <w:p w14:paraId="7F6136C6" w14:textId="77777777" w:rsidR="00267343" w:rsidRPr="00CF6268" w:rsidRDefault="00267343" w:rsidP="00267343">
            <w:pPr>
              <w:rPr>
                <w:rFonts w:ascii="Arial" w:hAnsi="Arial" w:cs="Arial"/>
                <w:sz w:val="20"/>
              </w:rPr>
            </w:pPr>
            <w:r w:rsidRPr="00CF6268">
              <w:rPr>
                <w:rFonts w:ascii="Arial" w:hAnsi="Arial" w:cs="Arial"/>
                <w:sz w:val="20"/>
              </w:rPr>
              <w:t>0.1398</w:t>
            </w:r>
          </w:p>
        </w:tc>
        <w:tc>
          <w:tcPr>
            <w:tcW w:w="2016" w:type="dxa"/>
            <w:gridSpan w:val="2"/>
            <w:vAlign w:val="center"/>
            <w:hideMark/>
          </w:tcPr>
          <w:p w14:paraId="4F7F40B1" w14:textId="77777777" w:rsidR="00267343" w:rsidRPr="00CF6268" w:rsidRDefault="00267343" w:rsidP="00267343">
            <w:pPr>
              <w:rPr>
                <w:rFonts w:ascii="Arial" w:hAnsi="Arial" w:cs="Arial"/>
                <w:sz w:val="20"/>
              </w:rPr>
            </w:pPr>
            <w:r w:rsidRPr="00CF6268">
              <w:rPr>
                <w:rFonts w:ascii="Arial" w:hAnsi="Arial" w:cs="Arial"/>
                <w:sz w:val="20"/>
              </w:rPr>
              <w:t>-0.2803</w:t>
            </w:r>
          </w:p>
        </w:tc>
        <w:tc>
          <w:tcPr>
            <w:tcW w:w="2066" w:type="dxa"/>
            <w:vAlign w:val="center"/>
            <w:hideMark/>
          </w:tcPr>
          <w:p w14:paraId="5FE1B352" w14:textId="77777777" w:rsidR="00267343" w:rsidRPr="00CF6268" w:rsidRDefault="00267343" w:rsidP="00267343">
            <w:pPr>
              <w:rPr>
                <w:rFonts w:ascii="Arial" w:hAnsi="Arial" w:cs="Arial"/>
                <w:sz w:val="20"/>
              </w:rPr>
            </w:pPr>
            <w:r w:rsidRPr="00CF6268">
              <w:rPr>
                <w:rFonts w:ascii="Arial" w:hAnsi="Arial" w:cs="Arial"/>
                <w:sz w:val="20"/>
              </w:rPr>
              <w:t>0.4998</w:t>
            </w:r>
          </w:p>
        </w:tc>
      </w:tr>
      <w:tr w:rsidR="00267343" w:rsidRPr="00CF6268" w14:paraId="55B96381" w14:textId="77777777" w:rsidTr="00267343">
        <w:trPr>
          <w:gridAfter w:val="1"/>
          <w:wAfter w:w="5" w:type="dxa"/>
          <w:tblCellSpacing w:w="15" w:type="dxa"/>
        </w:trPr>
        <w:tc>
          <w:tcPr>
            <w:tcW w:w="1656" w:type="dxa"/>
            <w:vAlign w:val="center"/>
            <w:hideMark/>
          </w:tcPr>
          <w:p w14:paraId="267BC127" w14:textId="77777777" w:rsidR="00267343" w:rsidRPr="00CF6268" w:rsidRDefault="00267343" w:rsidP="00267343">
            <w:pPr>
              <w:rPr>
                <w:rFonts w:ascii="Arial" w:hAnsi="Arial" w:cs="Arial"/>
                <w:sz w:val="20"/>
              </w:rPr>
            </w:pPr>
            <w:r w:rsidRPr="00CF6268">
              <w:rPr>
                <w:rFonts w:ascii="Arial" w:hAnsi="Arial" w:cs="Arial"/>
                <w:sz w:val="20"/>
              </w:rPr>
              <w:t>9</w:t>
            </w:r>
          </w:p>
        </w:tc>
        <w:tc>
          <w:tcPr>
            <w:tcW w:w="3169" w:type="dxa"/>
            <w:vAlign w:val="center"/>
            <w:hideMark/>
          </w:tcPr>
          <w:p w14:paraId="74ADB049" w14:textId="77777777" w:rsidR="00267343" w:rsidRPr="00CF6268" w:rsidRDefault="00267343" w:rsidP="00267343">
            <w:pPr>
              <w:rPr>
                <w:rFonts w:ascii="Arial" w:hAnsi="Arial" w:cs="Arial"/>
                <w:sz w:val="20"/>
              </w:rPr>
            </w:pPr>
            <w:r w:rsidRPr="00CF6268">
              <w:rPr>
                <w:rFonts w:ascii="Arial" w:hAnsi="Arial" w:cs="Arial"/>
                <w:sz w:val="20"/>
              </w:rPr>
              <w:t>-0.0039</w:t>
            </w:r>
          </w:p>
        </w:tc>
        <w:tc>
          <w:tcPr>
            <w:tcW w:w="2016" w:type="dxa"/>
            <w:gridSpan w:val="2"/>
            <w:vAlign w:val="center"/>
            <w:hideMark/>
          </w:tcPr>
          <w:p w14:paraId="4650C66C" w14:textId="77777777" w:rsidR="00267343" w:rsidRPr="00CF6268" w:rsidRDefault="00267343" w:rsidP="00267343">
            <w:pPr>
              <w:rPr>
                <w:rFonts w:ascii="Arial" w:hAnsi="Arial" w:cs="Arial"/>
                <w:sz w:val="20"/>
              </w:rPr>
            </w:pPr>
            <w:r w:rsidRPr="00CF6268">
              <w:rPr>
                <w:rFonts w:ascii="Arial" w:hAnsi="Arial" w:cs="Arial"/>
                <w:sz w:val="20"/>
              </w:rPr>
              <w:t>-0.3204</w:t>
            </w:r>
          </w:p>
        </w:tc>
        <w:tc>
          <w:tcPr>
            <w:tcW w:w="2066" w:type="dxa"/>
            <w:vAlign w:val="center"/>
            <w:hideMark/>
          </w:tcPr>
          <w:p w14:paraId="23D8F846" w14:textId="77777777" w:rsidR="00267343" w:rsidRPr="00CF6268" w:rsidRDefault="00267343" w:rsidP="00267343">
            <w:pPr>
              <w:rPr>
                <w:rFonts w:ascii="Arial" w:hAnsi="Arial" w:cs="Arial"/>
                <w:sz w:val="20"/>
              </w:rPr>
            </w:pPr>
            <w:r w:rsidRPr="00CF6268">
              <w:rPr>
                <w:rFonts w:ascii="Arial" w:hAnsi="Arial" w:cs="Arial"/>
                <w:sz w:val="20"/>
              </w:rPr>
              <w:t>0.2470</w:t>
            </w:r>
          </w:p>
        </w:tc>
      </w:tr>
      <w:tr w:rsidR="00267343" w:rsidRPr="00CF6268" w14:paraId="26ED9B93" w14:textId="77777777" w:rsidTr="00267343">
        <w:trPr>
          <w:gridAfter w:val="1"/>
          <w:wAfter w:w="5" w:type="dxa"/>
          <w:tblCellSpacing w:w="15" w:type="dxa"/>
        </w:trPr>
        <w:tc>
          <w:tcPr>
            <w:tcW w:w="1656" w:type="dxa"/>
            <w:vAlign w:val="center"/>
            <w:hideMark/>
          </w:tcPr>
          <w:p w14:paraId="442B300B" w14:textId="77777777" w:rsidR="00267343" w:rsidRPr="00CF6268" w:rsidRDefault="00267343" w:rsidP="00267343">
            <w:pPr>
              <w:rPr>
                <w:rFonts w:ascii="Arial" w:hAnsi="Arial" w:cs="Arial"/>
                <w:sz w:val="20"/>
              </w:rPr>
            </w:pPr>
            <w:r w:rsidRPr="00CF6268">
              <w:rPr>
                <w:rFonts w:ascii="Arial" w:hAnsi="Arial" w:cs="Arial"/>
                <w:sz w:val="20"/>
              </w:rPr>
              <w:t>10</w:t>
            </w:r>
          </w:p>
        </w:tc>
        <w:tc>
          <w:tcPr>
            <w:tcW w:w="3169" w:type="dxa"/>
            <w:vAlign w:val="center"/>
            <w:hideMark/>
          </w:tcPr>
          <w:p w14:paraId="47DEEA37" w14:textId="77777777" w:rsidR="00267343" w:rsidRPr="00CF6268" w:rsidRDefault="00267343" w:rsidP="00267343">
            <w:pPr>
              <w:rPr>
                <w:rFonts w:ascii="Arial" w:hAnsi="Arial" w:cs="Arial"/>
                <w:sz w:val="20"/>
              </w:rPr>
            </w:pPr>
            <w:r w:rsidRPr="00CF6268">
              <w:rPr>
                <w:rFonts w:ascii="Arial" w:hAnsi="Arial" w:cs="Arial"/>
                <w:sz w:val="20"/>
              </w:rPr>
              <w:t>-0.0650</w:t>
            </w:r>
          </w:p>
        </w:tc>
        <w:tc>
          <w:tcPr>
            <w:tcW w:w="2016" w:type="dxa"/>
            <w:gridSpan w:val="2"/>
            <w:vAlign w:val="center"/>
            <w:hideMark/>
          </w:tcPr>
          <w:p w14:paraId="4DCC201D" w14:textId="77777777" w:rsidR="00267343" w:rsidRPr="00CF6268" w:rsidRDefault="00267343" w:rsidP="00267343">
            <w:pPr>
              <w:rPr>
                <w:rFonts w:ascii="Arial" w:hAnsi="Arial" w:cs="Arial"/>
                <w:sz w:val="20"/>
              </w:rPr>
            </w:pPr>
            <w:r w:rsidRPr="00CF6268">
              <w:rPr>
                <w:rFonts w:ascii="Arial" w:hAnsi="Arial" w:cs="Arial"/>
                <w:sz w:val="20"/>
              </w:rPr>
              <w:t>-0.3779</w:t>
            </w:r>
          </w:p>
        </w:tc>
        <w:tc>
          <w:tcPr>
            <w:tcW w:w="2066" w:type="dxa"/>
            <w:vAlign w:val="center"/>
            <w:hideMark/>
          </w:tcPr>
          <w:p w14:paraId="2AF8D419" w14:textId="77777777" w:rsidR="00267343" w:rsidRPr="00CF6268" w:rsidRDefault="00267343" w:rsidP="00267343">
            <w:pPr>
              <w:rPr>
                <w:rFonts w:ascii="Arial" w:hAnsi="Arial" w:cs="Arial"/>
                <w:sz w:val="20"/>
              </w:rPr>
            </w:pPr>
            <w:r w:rsidRPr="00CF6268">
              <w:rPr>
                <w:rFonts w:ascii="Arial" w:hAnsi="Arial" w:cs="Arial"/>
                <w:sz w:val="20"/>
              </w:rPr>
              <w:t>0.1807</w:t>
            </w:r>
          </w:p>
        </w:tc>
      </w:tr>
      <w:tr w:rsidR="00267343" w:rsidRPr="00CF6268" w14:paraId="63CAD72C" w14:textId="77777777" w:rsidTr="00267343">
        <w:trPr>
          <w:gridAfter w:val="1"/>
          <w:wAfter w:w="5" w:type="dxa"/>
          <w:tblCellSpacing w:w="15" w:type="dxa"/>
        </w:trPr>
        <w:tc>
          <w:tcPr>
            <w:tcW w:w="1656" w:type="dxa"/>
            <w:vAlign w:val="center"/>
            <w:hideMark/>
          </w:tcPr>
          <w:p w14:paraId="04761DBD" w14:textId="77777777" w:rsidR="00267343" w:rsidRPr="00CF6268" w:rsidRDefault="00267343" w:rsidP="00267343">
            <w:pPr>
              <w:rPr>
                <w:rFonts w:ascii="Arial" w:hAnsi="Arial" w:cs="Arial"/>
                <w:sz w:val="20"/>
              </w:rPr>
            </w:pPr>
            <w:r w:rsidRPr="00CF6268">
              <w:rPr>
                <w:rFonts w:ascii="Arial" w:hAnsi="Arial" w:cs="Arial"/>
                <w:sz w:val="20"/>
              </w:rPr>
              <w:t>11</w:t>
            </w:r>
          </w:p>
        </w:tc>
        <w:tc>
          <w:tcPr>
            <w:tcW w:w="3169" w:type="dxa"/>
            <w:vAlign w:val="center"/>
            <w:hideMark/>
          </w:tcPr>
          <w:p w14:paraId="425F8C24" w14:textId="77777777" w:rsidR="00267343" w:rsidRPr="00CF6268" w:rsidRDefault="00267343" w:rsidP="00267343">
            <w:pPr>
              <w:rPr>
                <w:rFonts w:ascii="Arial" w:hAnsi="Arial" w:cs="Arial"/>
                <w:sz w:val="20"/>
              </w:rPr>
            </w:pPr>
            <w:r w:rsidRPr="00CF6268">
              <w:rPr>
                <w:rFonts w:ascii="Arial" w:hAnsi="Arial" w:cs="Arial"/>
                <w:sz w:val="20"/>
              </w:rPr>
              <w:t>-0.0694</w:t>
            </w:r>
          </w:p>
        </w:tc>
        <w:tc>
          <w:tcPr>
            <w:tcW w:w="2016" w:type="dxa"/>
            <w:gridSpan w:val="2"/>
            <w:vAlign w:val="center"/>
            <w:hideMark/>
          </w:tcPr>
          <w:p w14:paraId="6690088F" w14:textId="77777777" w:rsidR="00267343" w:rsidRPr="00CF6268" w:rsidRDefault="00267343" w:rsidP="00267343">
            <w:pPr>
              <w:rPr>
                <w:rFonts w:ascii="Arial" w:hAnsi="Arial" w:cs="Arial"/>
                <w:sz w:val="20"/>
              </w:rPr>
            </w:pPr>
            <w:r w:rsidRPr="00CF6268">
              <w:rPr>
                <w:rFonts w:ascii="Arial" w:hAnsi="Arial" w:cs="Arial"/>
                <w:sz w:val="20"/>
              </w:rPr>
              <w:t>-0.3389</w:t>
            </w:r>
          </w:p>
        </w:tc>
        <w:tc>
          <w:tcPr>
            <w:tcW w:w="2066" w:type="dxa"/>
            <w:vAlign w:val="center"/>
            <w:hideMark/>
          </w:tcPr>
          <w:p w14:paraId="3EA53ABA" w14:textId="77777777" w:rsidR="00267343" w:rsidRPr="00CF6268" w:rsidRDefault="00267343" w:rsidP="00267343">
            <w:pPr>
              <w:rPr>
                <w:rFonts w:ascii="Arial" w:hAnsi="Arial" w:cs="Arial"/>
                <w:sz w:val="20"/>
              </w:rPr>
            </w:pPr>
            <w:r w:rsidRPr="00CF6268">
              <w:rPr>
                <w:rFonts w:ascii="Arial" w:hAnsi="Arial" w:cs="Arial"/>
                <w:sz w:val="20"/>
              </w:rPr>
              <w:t>0.2871</w:t>
            </w:r>
          </w:p>
        </w:tc>
      </w:tr>
    </w:tbl>
    <w:p w14:paraId="77AD9882" w14:textId="77777777" w:rsidR="008628CC" w:rsidRPr="00CF6268" w:rsidRDefault="008628CC" w:rsidP="008628CC">
      <w:pPr>
        <w:rPr>
          <w:rFonts w:ascii="Arial" w:hAnsi="Arial" w:cs="Arial"/>
          <w:sz w:val="20"/>
        </w:rPr>
      </w:pPr>
      <w:r w:rsidRPr="00CF6268">
        <w:rPr>
          <w:rFonts w:ascii="Arial" w:hAnsi="Arial" w:cs="Arial"/>
          <w:sz w:val="20"/>
        </w:rPr>
        <w:t>Source: Authors</w:t>
      </w:r>
    </w:p>
    <w:p w14:paraId="59C0B826" w14:textId="77777777" w:rsidR="00F42326" w:rsidRDefault="00F42326" w:rsidP="00407A1E">
      <w:pPr>
        <w:jc w:val="both"/>
        <w:rPr>
          <w:rFonts w:asciiTheme="majorBidi" w:hAnsiTheme="majorBidi" w:cstheme="majorBidi"/>
        </w:rPr>
        <w:sectPr w:rsidR="00F42326" w:rsidSect="0022105B">
          <w:type w:val="continuous"/>
          <w:pgSz w:w="11906" w:h="16838"/>
          <w:pgMar w:top="1440" w:right="1440" w:bottom="1440" w:left="1440" w:header="708" w:footer="708" w:gutter="0"/>
          <w:cols w:space="708"/>
          <w:docGrid w:linePitch="360"/>
        </w:sectPr>
      </w:pPr>
    </w:p>
    <w:p w14:paraId="51656CA2" w14:textId="77777777" w:rsidR="00F47B09" w:rsidRPr="00CF6268" w:rsidRDefault="00E37DEB" w:rsidP="00407A1E">
      <w:pPr>
        <w:jc w:val="both"/>
        <w:rPr>
          <w:rFonts w:ascii="Arial" w:hAnsi="Arial" w:cs="Arial"/>
          <w:sz w:val="20"/>
          <w:szCs w:val="20"/>
        </w:rPr>
      </w:pPr>
      <w:r w:rsidRPr="00CF6268">
        <w:rPr>
          <w:rFonts w:ascii="Arial" w:hAnsi="Arial" w:cs="Arial"/>
          <w:sz w:val="20"/>
          <w:szCs w:val="20"/>
        </w:rPr>
        <w:t xml:space="preserve">Figure 1, </w:t>
      </w:r>
      <w:r w:rsidR="00F47B09" w:rsidRPr="00CF6268">
        <w:rPr>
          <w:rFonts w:ascii="Arial" w:hAnsi="Arial" w:cs="Arial"/>
          <w:sz w:val="20"/>
          <w:szCs w:val="20"/>
        </w:rPr>
        <w:t>traces how a one-standard-deviation positive oil-price shock affects Nigeria’s GDP over ten periods. The solid black line is the estimated percent-change in GDP at each horizon; the red dashed bands are 95% bootstrap confidence intervals (100 replications</w:t>
      </w:r>
      <w:proofErr w:type="gramStart"/>
      <w:r w:rsidR="00F47B09" w:rsidRPr="00CF6268">
        <w:rPr>
          <w:rFonts w:ascii="Arial" w:hAnsi="Arial" w:cs="Arial"/>
          <w:sz w:val="20"/>
          <w:szCs w:val="20"/>
        </w:rPr>
        <w:t>).Period</w:t>
      </w:r>
      <w:proofErr w:type="gramEnd"/>
      <w:r w:rsidR="00F47B09" w:rsidRPr="00CF6268">
        <w:rPr>
          <w:rFonts w:ascii="Arial" w:hAnsi="Arial" w:cs="Arial"/>
          <w:sz w:val="20"/>
          <w:szCs w:val="20"/>
        </w:rPr>
        <w:t xml:space="preserve"> 0 (contemporaneous) shows no immediate GDP response by construction. At period 1, GDP dips slightly (~–0.14%), then jumps to a peak of about +0.90% in period 2 and +0.67% in period 3. Thereafter, the response </w:t>
      </w:r>
      <w:proofErr w:type="spellStart"/>
      <w:r w:rsidR="00F47B09" w:rsidRPr="00CF6268">
        <w:rPr>
          <w:rFonts w:ascii="Arial" w:hAnsi="Arial" w:cs="Arial"/>
          <w:sz w:val="20"/>
          <w:szCs w:val="20"/>
        </w:rPr>
        <w:t>decayshovering</w:t>
      </w:r>
      <w:proofErr w:type="spellEnd"/>
      <w:r w:rsidR="00F47B09" w:rsidRPr="00CF6268">
        <w:rPr>
          <w:rFonts w:ascii="Arial" w:hAnsi="Arial" w:cs="Arial"/>
          <w:sz w:val="20"/>
          <w:szCs w:val="20"/>
        </w:rPr>
        <w:t xml:space="preserve"> near zero and oscillating between 0.56% and +0.21% through period 10. Crucially, the confidence bands at every horizon straddle zero, indicating the response is not statistically significant at the 5% level.</w:t>
      </w:r>
    </w:p>
    <w:p w14:paraId="3B057318" w14:textId="77777777" w:rsidR="00F47B09" w:rsidRPr="00CF6268" w:rsidRDefault="00F47B09" w:rsidP="00407A1E">
      <w:pPr>
        <w:jc w:val="both"/>
        <w:rPr>
          <w:rFonts w:ascii="Arial" w:hAnsi="Arial" w:cs="Arial"/>
          <w:sz w:val="20"/>
          <w:szCs w:val="20"/>
        </w:rPr>
      </w:pPr>
      <w:r w:rsidRPr="00CF6268">
        <w:rPr>
          <w:rFonts w:ascii="Arial" w:hAnsi="Arial" w:cs="Arial"/>
          <w:sz w:val="20"/>
          <w:szCs w:val="20"/>
        </w:rPr>
        <w:t>Oil-price shocks induce only a transient, economically small boost to GDP</w:t>
      </w:r>
      <w:r w:rsidR="00407A1E" w:rsidRPr="00CF6268">
        <w:rPr>
          <w:rFonts w:ascii="Arial" w:hAnsi="Arial" w:cs="Arial"/>
          <w:sz w:val="20"/>
          <w:szCs w:val="20"/>
        </w:rPr>
        <w:t xml:space="preserve">, </w:t>
      </w:r>
      <w:r w:rsidRPr="00CF6268">
        <w:rPr>
          <w:rFonts w:ascii="Arial" w:hAnsi="Arial" w:cs="Arial"/>
          <w:sz w:val="20"/>
          <w:szCs w:val="20"/>
        </w:rPr>
        <w:t>peaking two years after the shock</w:t>
      </w:r>
      <w:r w:rsidR="00407A1E" w:rsidRPr="00CF6268">
        <w:rPr>
          <w:rFonts w:ascii="Arial" w:hAnsi="Arial" w:cs="Arial"/>
          <w:sz w:val="20"/>
          <w:szCs w:val="20"/>
        </w:rPr>
        <w:t xml:space="preserve">, </w:t>
      </w:r>
      <w:r w:rsidRPr="00CF6268">
        <w:rPr>
          <w:rFonts w:ascii="Arial" w:hAnsi="Arial" w:cs="Arial"/>
          <w:sz w:val="20"/>
          <w:szCs w:val="20"/>
        </w:rPr>
        <w:t>before fading completely. Because the entire 95% interval overlaps zero, we cannot confidently attribute any persistent growth effect to commodity price movements. When oil prices spike, Nigeria’s economy might get a tiny lift over the next couple of years, but the boost is so small and uncertain that, statistically, it could just be noise.</w:t>
      </w:r>
    </w:p>
    <w:p w14:paraId="5B1D3D4E" w14:textId="77777777" w:rsidR="00F47B09" w:rsidRPr="00CF6268" w:rsidRDefault="00F47B09" w:rsidP="00407A1E">
      <w:pPr>
        <w:jc w:val="both"/>
        <w:rPr>
          <w:rFonts w:ascii="Arial" w:hAnsi="Arial" w:cs="Arial"/>
          <w:sz w:val="20"/>
          <w:szCs w:val="20"/>
        </w:rPr>
      </w:pPr>
      <w:r w:rsidRPr="00CF6268">
        <w:rPr>
          <w:rFonts w:ascii="Arial" w:hAnsi="Arial" w:cs="Arial"/>
          <w:sz w:val="20"/>
          <w:szCs w:val="20"/>
        </w:rPr>
        <w:lastRenderedPageBreak/>
        <w:t>Given this weak and short-lived linkage, policymakers should:</w:t>
      </w:r>
      <w:r w:rsidR="00407A1E" w:rsidRPr="00CF6268">
        <w:rPr>
          <w:rFonts w:ascii="Arial" w:hAnsi="Arial" w:cs="Arial"/>
          <w:sz w:val="20"/>
          <w:szCs w:val="20"/>
        </w:rPr>
        <w:t xml:space="preserve"> r</w:t>
      </w:r>
      <w:r w:rsidRPr="00CF6268">
        <w:rPr>
          <w:rFonts w:ascii="Arial" w:hAnsi="Arial" w:cs="Arial"/>
          <w:sz w:val="20"/>
          <w:szCs w:val="20"/>
        </w:rPr>
        <w:t>ely on stabilization funds and automatic fiscal rules rather than banking on oil windfalls</w:t>
      </w:r>
      <w:r w:rsidR="00407A1E" w:rsidRPr="00CF6268">
        <w:rPr>
          <w:rFonts w:ascii="Arial" w:hAnsi="Arial" w:cs="Arial"/>
          <w:sz w:val="20"/>
          <w:szCs w:val="20"/>
        </w:rPr>
        <w:t>, and p</w:t>
      </w:r>
      <w:r w:rsidRPr="00CF6268">
        <w:rPr>
          <w:rFonts w:ascii="Arial" w:hAnsi="Arial" w:cs="Arial"/>
          <w:sz w:val="20"/>
          <w:szCs w:val="20"/>
        </w:rPr>
        <w:t>rioritize diversification into non-oil sectors</w:t>
      </w:r>
      <w:r w:rsidR="00407A1E" w:rsidRPr="00CF6268">
        <w:rPr>
          <w:rFonts w:ascii="Arial" w:hAnsi="Arial" w:cs="Arial"/>
          <w:sz w:val="20"/>
          <w:szCs w:val="20"/>
        </w:rPr>
        <w:t xml:space="preserve">, </w:t>
      </w:r>
      <w:r w:rsidRPr="00CF6268">
        <w:rPr>
          <w:rFonts w:ascii="Arial" w:hAnsi="Arial" w:cs="Arial"/>
          <w:sz w:val="20"/>
          <w:szCs w:val="20"/>
        </w:rPr>
        <w:t>such as agriculture, manufacturing, and services</w:t>
      </w:r>
      <w:r w:rsidR="00407A1E" w:rsidRPr="00CF6268">
        <w:rPr>
          <w:rFonts w:ascii="Arial" w:hAnsi="Arial" w:cs="Arial"/>
          <w:sz w:val="20"/>
          <w:szCs w:val="20"/>
        </w:rPr>
        <w:t xml:space="preserve">, </w:t>
      </w:r>
      <w:r w:rsidRPr="00CF6268">
        <w:rPr>
          <w:rFonts w:ascii="Arial" w:hAnsi="Arial" w:cs="Arial"/>
          <w:sz w:val="20"/>
          <w:szCs w:val="20"/>
        </w:rPr>
        <w:t>to secure sustainable, long-term growth.</w:t>
      </w:r>
    </w:p>
    <w:p w14:paraId="0BC5AE29" w14:textId="77777777" w:rsidR="00F42326" w:rsidRPr="00CF6268" w:rsidRDefault="00F42326" w:rsidP="00E37DEB">
      <w:pPr>
        <w:rPr>
          <w:rFonts w:ascii="Arial" w:hAnsi="Arial" w:cs="Arial"/>
          <w:sz w:val="20"/>
          <w:szCs w:val="20"/>
        </w:rPr>
        <w:sectPr w:rsidR="00F42326" w:rsidRPr="00CF6268" w:rsidSect="002F7CCF">
          <w:type w:val="continuous"/>
          <w:pgSz w:w="11906" w:h="16838"/>
          <w:pgMar w:top="1440" w:right="1440" w:bottom="1440" w:left="1440" w:header="708" w:footer="708" w:gutter="0"/>
          <w:cols w:space="708"/>
          <w:docGrid w:linePitch="360"/>
        </w:sectPr>
      </w:pPr>
    </w:p>
    <w:p w14:paraId="39B6FFAF" w14:textId="77777777" w:rsidR="002F7CCF" w:rsidRPr="00CF6268" w:rsidRDefault="002F7CCF" w:rsidP="00E37DEB">
      <w:pPr>
        <w:rPr>
          <w:rFonts w:ascii="Arial" w:hAnsi="Arial" w:cs="Arial"/>
          <w:sz w:val="20"/>
          <w:szCs w:val="20"/>
        </w:rPr>
        <w:sectPr w:rsidR="002F7CCF" w:rsidRPr="00CF6268" w:rsidSect="0022105B">
          <w:type w:val="continuous"/>
          <w:pgSz w:w="11906" w:h="16838"/>
          <w:pgMar w:top="1440" w:right="1440" w:bottom="1440" w:left="1440" w:header="708" w:footer="708" w:gutter="0"/>
          <w:cols w:space="708"/>
          <w:docGrid w:linePitch="360"/>
        </w:sectPr>
      </w:pPr>
    </w:p>
    <w:p w14:paraId="3C7BBD88" w14:textId="77777777" w:rsidR="00F47B09" w:rsidRDefault="00F47B09" w:rsidP="00E37DEB">
      <w:pPr>
        <w:rPr>
          <w:rFonts w:asciiTheme="majorBidi" w:hAnsiTheme="majorBidi" w:cstheme="majorBidi"/>
        </w:rPr>
      </w:pPr>
    </w:p>
    <w:p w14:paraId="7222E5E4" w14:textId="77777777" w:rsidR="00E37DEB" w:rsidRDefault="00F47B09" w:rsidP="00E37DEB">
      <w:r>
        <w:rPr>
          <w:noProof/>
        </w:rPr>
        <w:drawing>
          <wp:inline distT="0" distB="0" distL="0" distR="0" wp14:anchorId="3ADE082B" wp14:editId="72EC3EB2">
            <wp:extent cx="5474190" cy="1298222"/>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ic:nvPicPr>
                  <pic:blipFill>
                    <a:blip r:embed="rId16"/>
                    <a:stretch>
                      <a:fillRect/>
                    </a:stretch>
                  </pic:blipFill>
                  <pic:spPr bwMode="auto">
                    <a:xfrm>
                      <a:off x="0" y="0"/>
                      <a:ext cx="5517834" cy="1308572"/>
                    </a:xfrm>
                    <a:prstGeom prst="rect">
                      <a:avLst/>
                    </a:prstGeom>
                    <a:noFill/>
                    <a:ln w="9525">
                      <a:noFill/>
                      <a:headEnd/>
                      <a:tailEnd/>
                    </a:ln>
                  </pic:spPr>
                </pic:pic>
              </a:graphicData>
            </a:graphic>
          </wp:inline>
        </w:drawing>
      </w:r>
    </w:p>
    <w:p w14:paraId="3FDA53B7" w14:textId="77777777" w:rsidR="008628CC" w:rsidRPr="00CF6268" w:rsidRDefault="00954B6D" w:rsidP="003410C1">
      <w:pPr>
        <w:rPr>
          <w:rFonts w:ascii="Arial" w:hAnsi="Arial" w:cs="Arial"/>
          <w:sz w:val="20"/>
        </w:rPr>
      </w:pPr>
      <w:r w:rsidRPr="00CF6268">
        <w:rPr>
          <w:rFonts w:ascii="Arial" w:hAnsi="Arial" w:cs="Arial"/>
          <w:sz w:val="20"/>
        </w:rPr>
        <w:t xml:space="preserve">Figure 1: </w:t>
      </w:r>
      <w:r w:rsidR="003410C1" w:rsidRPr="00CF6268">
        <w:rPr>
          <w:rFonts w:ascii="Arial" w:hAnsi="Arial" w:cs="Arial"/>
          <w:sz w:val="20"/>
        </w:rPr>
        <w:t xml:space="preserve">Orthogonal Impulse Response from </w:t>
      </w:r>
      <w:proofErr w:type="spellStart"/>
      <w:r w:rsidR="003410C1" w:rsidRPr="00CF6268">
        <w:rPr>
          <w:rFonts w:ascii="Arial" w:hAnsi="Arial" w:cs="Arial"/>
          <w:sz w:val="20"/>
        </w:rPr>
        <w:t>OilPrice</w:t>
      </w:r>
      <w:proofErr w:type="spellEnd"/>
    </w:p>
    <w:p w14:paraId="35CA5EEF" w14:textId="77777777" w:rsidR="008628CC" w:rsidRPr="00CF6268" w:rsidRDefault="008628CC" w:rsidP="008628CC">
      <w:pPr>
        <w:rPr>
          <w:rFonts w:ascii="Arial" w:hAnsi="Arial" w:cs="Arial"/>
          <w:sz w:val="20"/>
        </w:rPr>
      </w:pPr>
      <w:r w:rsidRPr="00CF6268">
        <w:rPr>
          <w:rFonts w:ascii="Arial" w:hAnsi="Arial" w:cs="Arial"/>
          <w:sz w:val="20"/>
        </w:rPr>
        <w:t>Source: Authors</w:t>
      </w:r>
    </w:p>
    <w:p w14:paraId="2FA8CD4B" w14:textId="77777777" w:rsidR="00954B6D" w:rsidRPr="00E37DEB" w:rsidRDefault="00954B6D" w:rsidP="003410C1">
      <w:pPr>
        <w:rPr>
          <w:rFonts w:asciiTheme="majorBidi" w:hAnsiTheme="majorBidi" w:cstheme="majorBidi"/>
        </w:rPr>
      </w:pPr>
    </w:p>
    <w:p w14:paraId="79D8813F" w14:textId="77777777" w:rsidR="002F7CCF" w:rsidRPr="00EB1B4C" w:rsidRDefault="002F7CCF" w:rsidP="00EB1B4C">
      <w:pPr>
        <w:rPr>
          <w:rFonts w:asciiTheme="majorBidi" w:hAnsiTheme="majorBidi" w:cstheme="majorBidi"/>
          <w:b/>
          <w:bCs/>
        </w:rPr>
        <w:sectPr w:rsidR="002F7CCF" w:rsidRPr="00EB1B4C" w:rsidSect="0022105B">
          <w:type w:val="continuous"/>
          <w:pgSz w:w="11906" w:h="16838"/>
          <w:pgMar w:top="1440" w:right="1440" w:bottom="1440" w:left="1440" w:header="708" w:footer="708" w:gutter="0"/>
          <w:cols w:space="708"/>
          <w:docGrid w:linePitch="360"/>
        </w:sectPr>
      </w:pPr>
      <w:bookmarkStart w:id="5" w:name="_Hlk203996089"/>
    </w:p>
    <w:p w14:paraId="01E34746" w14:textId="77777777" w:rsidR="00F42326" w:rsidRDefault="00F42326" w:rsidP="009D42DC">
      <w:pPr>
        <w:pStyle w:val="ListParagraph"/>
        <w:numPr>
          <w:ilvl w:val="1"/>
          <w:numId w:val="4"/>
        </w:numPr>
        <w:rPr>
          <w:rFonts w:asciiTheme="majorBidi" w:hAnsiTheme="majorBidi" w:cstheme="majorBidi"/>
          <w:b/>
          <w:bCs/>
        </w:rPr>
        <w:sectPr w:rsidR="00F42326" w:rsidSect="002F7CCF">
          <w:type w:val="continuous"/>
          <w:pgSz w:w="11906" w:h="16838"/>
          <w:pgMar w:top="1440" w:right="1440" w:bottom="1440" w:left="1440" w:header="708" w:footer="708" w:gutter="0"/>
          <w:cols w:space="708"/>
          <w:docGrid w:linePitch="360"/>
        </w:sectPr>
      </w:pPr>
    </w:p>
    <w:p w14:paraId="073205CD" w14:textId="77777777" w:rsidR="003410C1" w:rsidRPr="00CF6268" w:rsidRDefault="00E37DEB" w:rsidP="009D42DC">
      <w:pPr>
        <w:pStyle w:val="ListParagraph"/>
        <w:numPr>
          <w:ilvl w:val="1"/>
          <w:numId w:val="4"/>
        </w:numPr>
        <w:rPr>
          <w:rFonts w:ascii="Arial" w:hAnsi="Arial" w:cs="Arial"/>
          <w:b/>
          <w:bCs/>
          <w:sz w:val="22"/>
        </w:rPr>
      </w:pPr>
      <w:r w:rsidRPr="00CF6268">
        <w:rPr>
          <w:rFonts w:ascii="Arial" w:hAnsi="Arial" w:cs="Arial"/>
          <w:b/>
          <w:bCs/>
          <w:sz w:val="22"/>
        </w:rPr>
        <w:t>FORECAST ERROR VARIANCE DECOMPOSITION (FEVD)</w:t>
      </w:r>
      <w:bookmarkEnd w:id="5"/>
    </w:p>
    <w:p w14:paraId="251533E3" w14:textId="77777777" w:rsidR="003320C6" w:rsidRPr="00CF6268" w:rsidRDefault="003320C6" w:rsidP="005C6743">
      <w:pPr>
        <w:jc w:val="both"/>
        <w:rPr>
          <w:rFonts w:ascii="Arial" w:hAnsi="Arial" w:cs="Arial"/>
          <w:sz w:val="20"/>
        </w:rPr>
      </w:pPr>
      <w:r w:rsidRPr="00CF6268">
        <w:rPr>
          <w:rFonts w:ascii="Arial" w:hAnsi="Arial" w:cs="Arial"/>
          <w:sz w:val="20"/>
        </w:rPr>
        <w:t>From Table 4, horizon 1</w:t>
      </w:r>
      <w:r w:rsidR="008D0B50" w:rsidRPr="00CF6268">
        <w:rPr>
          <w:rFonts w:ascii="Arial" w:hAnsi="Arial" w:cs="Arial"/>
          <w:sz w:val="20"/>
        </w:rPr>
        <w:t xml:space="preserve"> shows</w:t>
      </w:r>
      <w:r w:rsidRPr="00CF6268">
        <w:rPr>
          <w:rFonts w:ascii="Arial" w:hAnsi="Arial" w:cs="Arial"/>
          <w:sz w:val="20"/>
        </w:rPr>
        <w:t xml:space="preserve"> oil</w:t>
      </w:r>
      <w:r w:rsidRPr="00CF6268">
        <w:rPr>
          <w:rFonts w:asciiTheme="majorBidi" w:hAnsiTheme="majorBidi" w:cs="Arial"/>
          <w:sz w:val="20"/>
        </w:rPr>
        <w:t>‐</w:t>
      </w:r>
      <w:r w:rsidRPr="00CF6268">
        <w:rPr>
          <w:rFonts w:ascii="Arial" w:hAnsi="Arial" w:cs="Arial"/>
          <w:sz w:val="20"/>
        </w:rPr>
        <w:t>price forecast errors are entirely driven by its own shocks. Over time, the contribution of GDP innovations to oil</w:t>
      </w:r>
      <w:r w:rsidRPr="00CF6268">
        <w:rPr>
          <w:rFonts w:asciiTheme="majorBidi" w:hAnsiTheme="majorBidi" w:cs="Arial"/>
          <w:sz w:val="20"/>
        </w:rPr>
        <w:t>‐</w:t>
      </w:r>
      <w:r w:rsidRPr="00CF6268">
        <w:rPr>
          <w:rFonts w:ascii="Arial" w:hAnsi="Arial" w:cs="Arial"/>
          <w:sz w:val="20"/>
        </w:rPr>
        <w:t>price variance rises from 0% to about 30%, while own shocks decline to roughly 70% by period 10. This indicates moderate feedback from GDP on oil</w:t>
      </w:r>
      <w:r w:rsidRPr="00CF6268">
        <w:rPr>
          <w:rFonts w:asciiTheme="majorBidi" w:hAnsiTheme="majorBidi" w:cs="Arial"/>
          <w:sz w:val="20"/>
        </w:rPr>
        <w:t>‐</w:t>
      </w:r>
      <w:r w:rsidRPr="00CF6268">
        <w:rPr>
          <w:rFonts w:ascii="Arial" w:hAnsi="Arial" w:cs="Arial"/>
          <w:sz w:val="20"/>
        </w:rPr>
        <w:t>price dynamics but strong persistence from past oil</w:t>
      </w:r>
      <w:r w:rsidRPr="00CF6268">
        <w:rPr>
          <w:rFonts w:asciiTheme="majorBidi" w:hAnsiTheme="majorBidi" w:cs="Arial"/>
          <w:sz w:val="20"/>
        </w:rPr>
        <w:t>‐</w:t>
      </w:r>
      <w:r w:rsidRPr="00CF6268">
        <w:rPr>
          <w:rFonts w:ascii="Arial" w:hAnsi="Arial" w:cs="Arial"/>
          <w:sz w:val="20"/>
        </w:rPr>
        <w:t>price movements.</w:t>
      </w:r>
      <w:r w:rsidR="00F42326" w:rsidRPr="00CF6268">
        <w:rPr>
          <w:rFonts w:ascii="Arial" w:hAnsi="Arial" w:cs="Arial"/>
          <w:sz w:val="20"/>
        </w:rPr>
        <w:t xml:space="preserve"> </w:t>
      </w:r>
      <w:r w:rsidRPr="00CF6268">
        <w:rPr>
          <w:rFonts w:ascii="Arial" w:hAnsi="Arial" w:cs="Arial"/>
          <w:sz w:val="20"/>
        </w:rPr>
        <w:t>Nigeria’s oil</w:t>
      </w:r>
      <w:r w:rsidRPr="00CF6268">
        <w:rPr>
          <w:rFonts w:asciiTheme="majorBidi" w:hAnsiTheme="majorBidi" w:cs="Arial"/>
          <w:sz w:val="20"/>
        </w:rPr>
        <w:t>‐</w:t>
      </w:r>
      <w:r w:rsidRPr="00CF6268">
        <w:rPr>
          <w:rFonts w:ascii="Arial" w:hAnsi="Arial" w:cs="Arial"/>
          <w:sz w:val="20"/>
        </w:rPr>
        <w:t>price fluctuations remain largely self</w:t>
      </w:r>
      <w:r w:rsidRPr="00CF6268">
        <w:rPr>
          <w:rFonts w:asciiTheme="majorBidi" w:hAnsiTheme="majorBidi" w:cs="Arial"/>
          <w:sz w:val="20"/>
        </w:rPr>
        <w:t>‐</w:t>
      </w:r>
      <w:r w:rsidRPr="00CF6268">
        <w:rPr>
          <w:rFonts w:ascii="Arial" w:hAnsi="Arial" w:cs="Arial"/>
          <w:sz w:val="20"/>
        </w:rPr>
        <w:t>contained, with global market forces (captured by past oil</w:t>
      </w:r>
      <w:r w:rsidRPr="00CF6268">
        <w:rPr>
          <w:rFonts w:asciiTheme="majorBidi" w:hAnsiTheme="majorBidi" w:cs="Arial"/>
          <w:sz w:val="20"/>
        </w:rPr>
        <w:t>‐</w:t>
      </w:r>
      <w:r w:rsidRPr="00CF6268">
        <w:rPr>
          <w:rFonts w:ascii="Arial" w:hAnsi="Arial" w:cs="Arial"/>
          <w:sz w:val="20"/>
        </w:rPr>
        <w:t>price shocks) explaining around 70% of forecast variance even ten years out. Domestic GDP shocks account for at most 30%, underscoring the exogeneity of oil prices to Nigeria’s output.</w:t>
      </w:r>
    </w:p>
    <w:p w14:paraId="39744E98" w14:textId="77777777" w:rsidR="003320C6" w:rsidRPr="00CF6268" w:rsidRDefault="003320C6" w:rsidP="005C6743">
      <w:pPr>
        <w:jc w:val="both"/>
        <w:rPr>
          <w:rFonts w:ascii="Arial" w:hAnsi="Arial" w:cs="Arial"/>
          <w:sz w:val="20"/>
        </w:rPr>
      </w:pPr>
      <w:r w:rsidRPr="00CF6268">
        <w:rPr>
          <w:rFonts w:ascii="Arial" w:hAnsi="Arial" w:cs="Arial"/>
          <w:sz w:val="20"/>
        </w:rPr>
        <w:t>Most of the ups and downs in oil prices come from oil-price changes themselves, not from how Nigeria’s economy is doing. After ten years, only about one-third of price swings can be linked to the country’s GDP. Since oil prices are driven primarily by global supply</w:t>
      </w:r>
      <w:r w:rsidRPr="00CF6268">
        <w:rPr>
          <w:rFonts w:asciiTheme="majorBidi" w:hAnsiTheme="majorBidi" w:cs="Arial"/>
          <w:sz w:val="20"/>
        </w:rPr>
        <w:t>‐</w:t>
      </w:r>
      <w:r w:rsidRPr="00CF6268">
        <w:rPr>
          <w:rFonts w:ascii="Arial" w:hAnsi="Arial" w:cs="Arial"/>
          <w:sz w:val="20"/>
        </w:rPr>
        <w:t>and</w:t>
      </w:r>
      <w:r w:rsidRPr="00CF6268">
        <w:rPr>
          <w:rFonts w:asciiTheme="majorBidi" w:hAnsiTheme="majorBidi" w:cs="Arial"/>
          <w:sz w:val="20"/>
        </w:rPr>
        <w:t>‐</w:t>
      </w:r>
      <w:r w:rsidRPr="00CF6268">
        <w:rPr>
          <w:rFonts w:ascii="Arial" w:hAnsi="Arial" w:cs="Arial"/>
          <w:sz w:val="20"/>
        </w:rPr>
        <w:t>demand factors rather than domestic economic performance, Nigerian policymakers should:</w:t>
      </w:r>
      <w:r w:rsidR="005C6743" w:rsidRPr="00CF6268">
        <w:rPr>
          <w:rFonts w:ascii="Arial" w:hAnsi="Arial" w:cs="Arial"/>
          <w:sz w:val="20"/>
        </w:rPr>
        <w:t xml:space="preserve"> (</w:t>
      </w:r>
      <w:proofErr w:type="spellStart"/>
      <w:r w:rsidR="005C6743" w:rsidRPr="00CF6268">
        <w:rPr>
          <w:rFonts w:ascii="Arial" w:hAnsi="Arial" w:cs="Arial"/>
          <w:sz w:val="20"/>
        </w:rPr>
        <w:t>i</w:t>
      </w:r>
      <w:proofErr w:type="spellEnd"/>
      <w:r w:rsidR="005C6743" w:rsidRPr="00CF6268">
        <w:rPr>
          <w:rFonts w:ascii="Arial" w:hAnsi="Arial" w:cs="Arial"/>
          <w:sz w:val="20"/>
        </w:rPr>
        <w:t xml:space="preserve">) </w:t>
      </w:r>
      <w:r w:rsidRPr="00CF6268">
        <w:rPr>
          <w:rFonts w:ascii="Arial" w:hAnsi="Arial" w:cs="Arial"/>
          <w:sz w:val="20"/>
        </w:rPr>
        <w:t>Maintain a sovereign wealth or stabilization fund to absorb external price shocks</w:t>
      </w:r>
      <w:r w:rsidR="005C6743" w:rsidRPr="00CF6268">
        <w:rPr>
          <w:rFonts w:ascii="Arial" w:hAnsi="Arial" w:cs="Arial"/>
          <w:sz w:val="20"/>
        </w:rPr>
        <w:t>; (</w:t>
      </w:r>
      <w:r w:rsidR="008D0B50" w:rsidRPr="00CF6268">
        <w:rPr>
          <w:rFonts w:ascii="Arial" w:hAnsi="Arial" w:cs="Arial"/>
          <w:sz w:val="20"/>
        </w:rPr>
        <w:t>ii</w:t>
      </w:r>
      <w:r w:rsidR="005C6743" w:rsidRPr="00CF6268">
        <w:rPr>
          <w:rFonts w:ascii="Arial" w:hAnsi="Arial" w:cs="Arial"/>
          <w:sz w:val="20"/>
        </w:rPr>
        <w:t xml:space="preserve">). </w:t>
      </w:r>
      <w:r w:rsidRPr="00CF6268">
        <w:rPr>
          <w:rFonts w:ascii="Arial" w:hAnsi="Arial" w:cs="Arial"/>
          <w:sz w:val="20"/>
        </w:rPr>
        <w:t>Hedge against global volatility using futures or options markets</w:t>
      </w:r>
      <w:r w:rsidR="005C6743" w:rsidRPr="00CF6268">
        <w:rPr>
          <w:rFonts w:ascii="Arial" w:hAnsi="Arial" w:cs="Arial"/>
          <w:sz w:val="20"/>
        </w:rPr>
        <w:t>; (</w:t>
      </w:r>
      <w:r w:rsidR="008D0B50" w:rsidRPr="00CF6268">
        <w:rPr>
          <w:rFonts w:ascii="Arial" w:hAnsi="Arial" w:cs="Arial"/>
          <w:sz w:val="20"/>
        </w:rPr>
        <w:t>iii</w:t>
      </w:r>
      <w:r w:rsidR="005C6743" w:rsidRPr="00CF6268">
        <w:rPr>
          <w:rFonts w:ascii="Arial" w:hAnsi="Arial" w:cs="Arial"/>
          <w:sz w:val="20"/>
        </w:rPr>
        <w:t xml:space="preserve">). </w:t>
      </w:r>
      <w:r w:rsidRPr="00CF6268">
        <w:rPr>
          <w:rFonts w:ascii="Arial" w:hAnsi="Arial" w:cs="Arial"/>
          <w:sz w:val="20"/>
        </w:rPr>
        <w:t>Focus on downstream capacity (local refining) and diversification so that government revenues depend less on unpredictable international oil prices.</w:t>
      </w:r>
    </w:p>
    <w:p w14:paraId="3DF7DE38" w14:textId="77777777" w:rsidR="00F42326" w:rsidRPr="00CF6268" w:rsidRDefault="00F42326" w:rsidP="002F7CCF">
      <w:pPr>
        <w:jc w:val="both"/>
        <w:rPr>
          <w:rFonts w:ascii="Arial" w:hAnsi="Arial" w:cs="Arial"/>
          <w:sz w:val="20"/>
        </w:rPr>
        <w:sectPr w:rsidR="00F42326" w:rsidRPr="00CF6268" w:rsidSect="002F7CCF">
          <w:type w:val="continuous"/>
          <w:pgSz w:w="11906" w:h="16838"/>
          <w:pgMar w:top="1440" w:right="1440" w:bottom="1440" w:left="1440" w:header="708" w:footer="708" w:gutter="0"/>
          <w:cols w:space="708"/>
          <w:docGrid w:linePitch="360"/>
        </w:sectPr>
      </w:pPr>
    </w:p>
    <w:p w14:paraId="6914E6F4" w14:textId="77777777" w:rsidR="002F7CCF" w:rsidRPr="00CF6268" w:rsidRDefault="002F7CCF" w:rsidP="005C6743">
      <w:pPr>
        <w:jc w:val="both"/>
        <w:rPr>
          <w:rFonts w:ascii="Arial" w:hAnsi="Arial" w:cs="Arial"/>
          <w:b/>
          <w:bCs/>
          <w:sz w:val="20"/>
        </w:rPr>
        <w:sectPr w:rsidR="002F7CCF" w:rsidRPr="00CF6268" w:rsidSect="002F7CCF">
          <w:type w:val="continuous"/>
          <w:pgSz w:w="11906" w:h="16838"/>
          <w:pgMar w:top="1440" w:right="1440" w:bottom="1440" w:left="1440" w:header="708" w:footer="708" w:gutter="0"/>
          <w:cols w:space="708"/>
          <w:docGrid w:linePitch="360"/>
        </w:sectPr>
      </w:pPr>
    </w:p>
    <w:p w14:paraId="61ED0BF6" w14:textId="77777777" w:rsidR="00F42326" w:rsidRDefault="00F42326" w:rsidP="005C6743">
      <w:pPr>
        <w:jc w:val="both"/>
        <w:rPr>
          <w:rFonts w:asciiTheme="majorBidi" w:hAnsiTheme="majorBidi" w:cstheme="majorBidi"/>
          <w:b/>
          <w:bCs/>
        </w:rPr>
      </w:pPr>
    </w:p>
    <w:p w14:paraId="5DF0B6BB" w14:textId="77777777" w:rsidR="00CF6268" w:rsidRDefault="00CF6268" w:rsidP="005C6743">
      <w:pPr>
        <w:jc w:val="both"/>
        <w:rPr>
          <w:rFonts w:asciiTheme="majorBidi" w:hAnsiTheme="majorBidi" w:cstheme="majorBidi"/>
          <w:b/>
          <w:bCs/>
        </w:rPr>
      </w:pPr>
    </w:p>
    <w:p w14:paraId="769F0004" w14:textId="77777777" w:rsidR="00CF6268" w:rsidRDefault="00CF6268" w:rsidP="005C6743">
      <w:pPr>
        <w:jc w:val="both"/>
        <w:rPr>
          <w:rFonts w:asciiTheme="majorBidi" w:hAnsiTheme="majorBidi" w:cstheme="majorBidi"/>
          <w:b/>
          <w:bCs/>
        </w:rPr>
      </w:pPr>
    </w:p>
    <w:p w14:paraId="4CD0A2B9" w14:textId="77777777" w:rsidR="002F7CCF" w:rsidRDefault="002F7CCF" w:rsidP="005C6743">
      <w:pPr>
        <w:jc w:val="both"/>
        <w:rPr>
          <w:rFonts w:asciiTheme="majorBidi" w:hAnsiTheme="majorBidi" w:cstheme="majorBidi"/>
          <w:b/>
          <w:bCs/>
        </w:rPr>
      </w:pPr>
    </w:p>
    <w:p w14:paraId="7AFF640D" w14:textId="77777777" w:rsidR="003320C6" w:rsidRPr="00CF6268" w:rsidRDefault="003320C6" w:rsidP="005C6743">
      <w:pPr>
        <w:jc w:val="both"/>
        <w:rPr>
          <w:rFonts w:ascii="Arial" w:hAnsi="Arial" w:cs="Arial"/>
          <w:b/>
          <w:bCs/>
          <w:sz w:val="20"/>
        </w:rPr>
      </w:pPr>
      <w:r w:rsidRPr="00CF6268">
        <w:rPr>
          <w:rFonts w:ascii="Arial" w:hAnsi="Arial" w:cs="Arial"/>
          <w:b/>
          <w:bCs/>
          <w:sz w:val="20"/>
        </w:rPr>
        <w:t xml:space="preserve">Table 4: Forecast Error Variance Decomposition </w:t>
      </w:r>
      <w:r w:rsidR="005C6743" w:rsidRPr="00CF6268">
        <w:rPr>
          <w:rFonts w:ascii="Arial" w:hAnsi="Arial" w:cs="Arial"/>
          <w:b/>
          <w:bCs/>
          <w:sz w:val="20"/>
        </w:rPr>
        <w:t>(FEVD)</w:t>
      </w:r>
      <w:proofErr w:type="spellStart"/>
      <w:r w:rsidRPr="00CF6268">
        <w:rPr>
          <w:rFonts w:ascii="Arial" w:hAnsi="Arial" w:cs="Arial"/>
          <w:b/>
          <w:bCs/>
          <w:sz w:val="20"/>
        </w:rPr>
        <w:t>for</w:t>
      </w:r>
      <w:r w:rsidR="005C6743" w:rsidRPr="00CF6268">
        <w:rPr>
          <w:rFonts w:ascii="Arial" w:hAnsi="Arial" w:cs="Arial"/>
          <w:b/>
          <w:bCs/>
          <w:sz w:val="20"/>
        </w:rPr>
        <w:t>the</w:t>
      </w:r>
      <w:proofErr w:type="spellEnd"/>
      <w:r w:rsidR="005C6743" w:rsidRPr="00CF6268">
        <w:rPr>
          <w:rFonts w:ascii="Arial" w:hAnsi="Arial" w:cs="Arial"/>
          <w:b/>
          <w:bCs/>
          <w:sz w:val="20"/>
        </w:rPr>
        <w:t xml:space="preserve"> </w:t>
      </w:r>
      <w:proofErr w:type="spellStart"/>
      <w:r w:rsidRPr="00CF6268">
        <w:rPr>
          <w:rFonts w:ascii="Arial" w:hAnsi="Arial" w:cs="Arial"/>
          <w:b/>
          <w:bCs/>
          <w:sz w:val="20"/>
        </w:rPr>
        <w:t>OilPrice</w:t>
      </w:r>
      <w:proofErr w:type="spellEnd"/>
      <w:r w:rsidRPr="00CF6268">
        <w:rPr>
          <w:rFonts w:ascii="Arial" w:hAnsi="Arial" w:cs="Arial"/>
          <w:b/>
          <w:bCs/>
          <w:sz w:val="20"/>
        </w:rPr>
        <w:t xml:space="preserve"> Equation</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2552"/>
        <w:gridCol w:w="3410"/>
        <w:gridCol w:w="3110"/>
      </w:tblGrid>
      <w:tr w:rsidR="003320C6" w:rsidRPr="00CF6268" w14:paraId="586408FF" w14:textId="77777777" w:rsidTr="0010477F">
        <w:trPr>
          <w:tblHeader/>
          <w:tblCellSpacing w:w="15" w:type="dxa"/>
        </w:trPr>
        <w:tc>
          <w:tcPr>
            <w:tcW w:w="2507" w:type="dxa"/>
            <w:vAlign w:val="center"/>
            <w:hideMark/>
          </w:tcPr>
          <w:p w14:paraId="32AE468D" w14:textId="77777777" w:rsidR="003320C6" w:rsidRPr="00CF6268" w:rsidRDefault="003320C6" w:rsidP="0010477F">
            <w:pPr>
              <w:ind w:firstLine="844"/>
              <w:jc w:val="both"/>
              <w:rPr>
                <w:rFonts w:ascii="Arial" w:hAnsi="Arial" w:cs="Arial"/>
                <w:b/>
                <w:bCs/>
                <w:sz w:val="20"/>
              </w:rPr>
            </w:pPr>
            <w:r w:rsidRPr="00CF6268">
              <w:rPr>
                <w:rFonts w:ascii="Arial" w:hAnsi="Arial" w:cs="Arial"/>
                <w:b/>
                <w:bCs/>
                <w:sz w:val="20"/>
              </w:rPr>
              <w:t>Horizon</w:t>
            </w:r>
          </w:p>
        </w:tc>
        <w:tc>
          <w:tcPr>
            <w:tcW w:w="3380" w:type="dxa"/>
            <w:vAlign w:val="center"/>
            <w:hideMark/>
          </w:tcPr>
          <w:p w14:paraId="62D56490" w14:textId="77777777" w:rsidR="003320C6" w:rsidRPr="00CF6268" w:rsidRDefault="003320C6" w:rsidP="0010477F">
            <w:pPr>
              <w:ind w:firstLine="844"/>
              <w:jc w:val="both"/>
              <w:rPr>
                <w:rFonts w:ascii="Arial" w:hAnsi="Arial" w:cs="Arial"/>
                <w:b/>
                <w:bCs/>
                <w:sz w:val="20"/>
              </w:rPr>
            </w:pPr>
            <w:r w:rsidRPr="00CF6268">
              <w:rPr>
                <w:rFonts w:ascii="Arial" w:hAnsi="Arial" w:cs="Arial"/>
                <w:b/>
                <w:bCs/>
                <w:sz w:val="20"/>
              </w:rPr>
              <w:t xml:space="preserve">Own </w:t>
            </w:r>
            <w:proofErr w:type="spellStart"/>
            <w:r w:rsidRPr="00CF6268">
              <w:rPr>
                <w:rFonts w:ascii="Arial" w:hAnsi="Arial" w:cs="Arial"/>
                <w:b/>
                <w:bCs/>
                <w:sz w:val="20"/>
              </w:rPr>
              <w:t>OilPrice</w:t>
            </w:r>
            <w:proofErr w:type="spellEnd"/>
            <w:r w:rsidRPr="00CF6268">
              <w:rPr>
                <w:rFonts w:ascii="Arial" w:hAnsi="Arial" w:cs="Arial"/>
                <w:b/>
                <w:bCs/>
                <w:sz w:val="20"/>
              </w:rPr>
              <w:t xml:space="preserve"> Shock</w:t>
            </w:r>
          </w:p>
        </w:tc>
        <w:tc>
          <w:tcPr>
            <w:tcW w:w="3065" w:type="dxa"/>
            <w:vAlign w:val="center"/>
            <w:hideMark/>
          </w:tcPr>
          <w:p w14:paraId="2F7FE43F" w14:textId="77777777" w:rsidR="003320C6" w:rsidRPr="00CF6268" w:rsidRDefault="003320C6" w:rsidP="0010477F">
            <w:pPr>
              <w:ind w:firstLine="844"/>
              <w:jc w:val="both"/>
              <w:rPr>
                <w:rFonts w:ascii="Arial" w:hAnsi="Arial" w:cs="Arial"/>
                <w:b/>
                <w:bCs/>
                <w:sz w:val="20"/>
              </w:rPr>
            </w:pPr>
            <w:r w:rsidRPr="00CF6268">
              <w:rPr>
                <w:rFonts w:ascii="Arial" w:hAnsi="Arial" w:cs="Arial"/>
                <w:b/>
                <w:bCs/>
                <w:sz w:val="20"/>
              </w:rPr>
              <w:t>GDP Shock</w:t>
            </w:r>
          </w:p>
        </w:tc>
      </w:tr>
      <w:tr w:rsidR="003320C6" w:rsidRPr="00CF6268" w14:paraId="347A418B" w14:textId="77777777" w:rsidTr="0010477F">
        <w:trPr>
          <w:tblCellSpacing w:w="15" w:type="dxa"/>
        </w:trPr>
        <w:tc>
          <w:tcPr>
            <w:tcW w:w="2507" w:type="dxa"/>
            <w:vAlign w:val="center"/>
            <w:hideMark/>
          </w:tcPr>
          <w:p w14:paraId="10B9FCC0" w14:textId="77777777" w:rsidR="003320C6" w:rsidRPr="00CF6268" w:rsidRDefault="003320C6" w:rsidP="0010477F">
            <w:pPr>
              <w:ind w:firstLine="844"/>
              <w:jc w:val="both"/>
              <w:rPr>
                <w:rFonts w:ascii="Arial" w:hAnsi="Arial" w:cs="Arial"/>
                <w:sz w:val="20"/>
              </w:rPr>
            </w:pPr>
            <w:r w:rsidRPr="00CF6268">
              <w:rPr>
                <w:rFonts w:ascii="Arial" w:hAnsi="Arial" w:cs="Arial"/>
                <w:sz w:val="20"/>
              </w:rPr>
              <w:lastRenderedPageBreak/>
              <w:t>1</w:t>
            </w:r>
          </w:p>
        </w:tc>
        <w:tc>
          <w:tcPr>
            <w:tcW w:w="3380" w:type="dxa"/>
            <w:vAlign w:val="center"/>
            <w:hideMark/>
          </w:tcPr>
          <w:p w14:paraId="4A220A9F" w14:textId="77777777" w:rsidR="003320C6" w:rsidRPr="00CF6268" w:rsidRDefault="003320C6" w:rsidP="0010477F">
            <w:pPr>
              <w:ind w:firstLine="844"/>
              <w:jc w:val="both"/>
              <w:rPr>
                <w:rFonts w:ascii="Arial" w:hAnsi="Arial" w:cs="Arial"/>
                <w:sz w:val="20"/>
              </w:rPr>
            </w:pPr>
            <w:r w:rsidRPr="00CF6268">
              <w:rPr>
                <w:rFonts w:ascii="Arial" w:hAnsi="Arial" w:cs="Arial"/>
                <w:sz w:val="20"/>
              </w:rPr>
              <w:t>100.00%</w:t>
            </w:r>
          </w:p>
        </w:tc>
        <w:tc>
          <w:tcPr>
            <w:tcW w:w="3065" w:type="dxa"/>
            <w:vAlign w:val="center"/>
            <w:hideMark/>
          </w:tcPr>
          <w:p w14:paraId="16FE4A6F" w14:textId="77777777" w:rsidR="003320C6" w:rsidRPr="00CF6268" w:rsidRDefault="003320C6" w:rsidP="0010477F">
            <w:pPr>
              <w:ind w:firstLine="844"/>
              <w:jc w:val="both"/>
              <w:rPr>
                <w:rFonts w:ascii="Arial" w:hAnsi="Arial" w:cs="Arial"/>
                <w:sz w:val="20"/>
              </w:rPr>
            </w:pPr>
            <w:r w:rsidRPr="00CF6268">
              <w:rPr>
                <w:rFonts w:ascii="Arial" w:hAnsi="Arial" w:cs="Arial"/>
                <w:sz w:val="20"/>
              </w:rPr>
              <w:t>0.00%</w:t>
            </w:r>
          </w:p>
        </w:tc>
      </w:tr>
      <w:tr w:rsidR="003320C6" w:rsidRPr="00CF6268" w14:paraId="1A5CB608" w14:textId="77777777" w:rsidTr="0010477F">
        <w:trPr>
          <w:tblCellSpacing w:w="15" w:type="dxa"/>
        </w:trPr>
        <w:tc>
          <w:tcPr>
            <w:tcW w:w="2507" w:type="dxa"/>
            <w:vAlign w:val="center"/>
            <w:hideMark/>
          </w:tcPr>
          <w:p w14:paraId="51313455" w14:textId="77777777" w:rsidR="003320C6" w:rsidRPr="00CF6268" w:rsidRDefault="003320C6" w:rsidP="0010477F">
            <w:pPr>
              <w:ind w:firstLine="844"/>
              <w:jc w:val="both"/>
              <w:rPr>
                <w:rFonts w:ascii="Arial" w:hAnsi="Arial" w:cs="Arial"/>
                <w:sz w:val="20"/>
              </w:rPr>
            </w:pPr>
            <w:r w:rsidRPr="00CF6268">
              <w:rPr>
                <w:rFonts w:ascii="Arial" w:hAnsi="Arial" w:cs="Arial"/>
                <w:sz w:val="20"/>
              </w:rPr>
              <w:t>2</w:t>
            </w:r>
          </w:p>
        </w:tc>
        <w:tc>
          <w:tcPr>
            <w:tcW w:w="3380" w:type="dxa"/>
            <w:vAlign w:val="center"/>
            <w:hideMark/>
          </w:tcPr>
          <w:p w14:paraId="67B17B9D" w14:textId="77777777" w:rsidR="003320C6" w:rsidRPr="00CF6268" w:rsidRDefault="003320C6" w:rsidP="0010477F">
            <w:pPr>
              <w:ind w:firstLine="844"/>
              <w:jc w:val="both"/>
              <w:rPr>
                <w:rFonts w:ascii="Arial" w:hAnsi="Arial" w:cs="Arial"/>
                <w:sz w:val="20"/>
              </w:rPr>
            </w:pPr>
            <w:r w:rsidRPr="00CF6268">
              <w:rPr>
                <w:rFonts w:ascii="Arial" w:hAnsi="Arial" w:cs="Arial"/>
                <w:sz w:val="20"/>
              </w:rPr>
              <w:t>84.64%</w:t>
            </w:r>
          </w:p>
        </w:tc>
        <w:tc>
          <w:tcPr>
            <w:tcW w:w="3065" w:type="dxa"/>
            <w:vAlign w:val="center"/>
            <w:hideMark/>
          </w:tcPr>
          <w:p w14:paraId="1EE034F7" w14:textId="77777777" w:rsidR="003320C6" w:rsidRPr="00CF6268" w:rsidRDefault="003320C6" w:rsidP="0010477F">
            <w:pPr>
              <w:ind w:firstLine="844"/>
              <w:jc w:val="both"/>
              <w:rPr>
                <w:rFonts w:ascii="Arial" w:hAnsi="Arial" w:cs="Arial"/>
                <w:sz w:val="20"/>
              </w:rPr>
            </w:pPr>
            <w:r w:rsidRPr="00CF6268">
              <w:rPr>
                <w:rFonts w:ascii="Arial" w:hAnsi="Arial" w:cs="Arial"/>
                <w:sz w:val="20"/>
              </w:rPr>
              <w:t>15.36%</w:t>
            </w:r>
          </w:p>
        </w:tc>
      </w:tr>
      <w:tr w:rsidR="003320C6" w:rsidRPr="00CF6268" w14:paraId="26716604" w14:textId="77777777" w:rsidTr="0010477F">
        <w:trPr>
          <w:tblCellSpacing w:w="15" w:type="dxa"/>
        </w:trPr>
        <w:tc>
          <w:tcPr>
            <w:tcW w:w="2507" w:type="dxa"/>
            <w:vAlign w:val="center"/>
            <w:hideMark/>
          </w:tcPr>
          <w:p w14:paraId="71C023A0" w14:textId="77777777" w:rsidR="003320C6" w:rsidRPr="00CF6268" w:rsidRDefault="003320C6" w:rsidP="0010477F">
            <w:pPr>
              <w:ind w:firstLine="844"/>
              <w:jc w:val="both"/>
              <w:rPr>
                <w:rFonts w:ascii="Arial" w:hAnsi="Arial" w:cs="Arial"/>
                <w:sz w:val="20"/>
              </w:rPr>
            </w:pPr>
            <w:r w:rsidRPr="00CF6268">
              <w:rPr>
                <w:rFonts w:ascii="Arial" w:hAnsi="Arial" w:cs="Arial"/>
                <w:sz w:val="20"/>
              </w:rPr>
              <w:t>3</w:t>
            </w:r>
          </w:p>
        </w:tc>
        <w:tc>
          <w:tcPr>
            <w:tcW w:w="3380" w:type="dxa"/>
            <w:vAlign w:val="center"/>
            <w:hideMark/>
          </w:tcPr>
          <w:p w14:paraId="73239F57" w14:textId="77777777" w:rsidR="003320C6" w:rsidRPr="00CF6268" w:rsidRDefault="003320C6" w:rsidP="0010477F">
            <w:pPr>
              <w:ind w:firstLine="844"/>
              <w:jc w:val="both"/>
              <w:rPr>
                <w:rFonts w:ascii="Arial" w:hAnsi="Arial" w:cs="Arial"/>
                <w:sz w:val="20"/>
              </w:rPr>
            </w:pPr>
            <w:r w:rsidRPr="00CF6268">
              <w:rPr>
                <w:rFonts w:ascii="Arial" w:hAnsi="Arial" w:cs="Arial"/>
                <w:sz w:val="20"/>
              </w:rPr>
              <w:t>82.05%</w:t>
            </w:r>
          </w:p>
        </w:tc>
        <w:tc>
          <w:tcPr>
            <w:tcW w:w="3065" w:type="dxa"/>
            <w:vAlign w:val="center"/>
            <w:hideMark/>
          </w:tcPr>
          <w:p w14:paraId="38A4D44D" w14:textId="77777777" w:rsidR="003320C6" w:rsidRPr="00CF6268" w:rsidRDefault="003320C6" w:rsidP="0010477F">
            <w:pPr>
              <w:ind w:firstLine="844"/>
              <w:jc w:val="both"/>
              <w:rPr>
                <w:rFonts w:ascii="Arial" w:hAnsi="Arial" w:cs="Arial"/>
                <w:sz w:val="20"/>
              </w:rPr>
            </w:pPr>
            <w:r w:rsidRPr="00CF6268">
              <w:rPr>
                <w:rFonts w:ascii="Arial" w:hAnsi="Arial" w:cs="Arial"/>
                <w:sz w:val="20"/>
              </w:rPr>
              <w:t>17.95%</w:t>
            </w:r>
          </w:p>
        </w:tc>
      </w:tr>
      <w:tr w:rsidR="003320C6" w:rsidRPr="00CF6268" w14:paraId="669A8EA7" w14:textId="77777777" w:rsidTr="0010477F">
        <w:trPr>
          <w:tblCellSpacing w:w="15" w:type="dxa"/>
        </w:trPr>
        <w:tc>
          <w:tcPr>
            <w:tcW w:w="2507" w:type="dxa"/>
            <w:vAlign w:val="center"/>
            <w:hideMark/>
          </w:tcPr>
          <w:p w14:paraId="67636B56" w14:textId="77777777" w:rsidR="003320C6" w:rsidRPr="00CF6268" w:rsidRDefault="003320C6" w:rsidP="0010477F">
            <w:pPr>
              <w:ind w:firstLine="844"/>
              <w:jc w:val="both"/>
              <w:rPr>
                <w:rFonts w:ascii="Arial" w:hAnsi="Arial" w:cs="Arial"/>
                <w:sz w:val="20"/>
              </w:rPr>
            </w:pPr>
            <w:r w:rsidRPr="00CF6268">
              <w:rPr>
                <w:rFonts w:ascii="Arial" w:hAnsi="Arial" w:cs="Arial"/>
                <w:sz w:val="20"/>
              </w:rPr>
              <w:t>4</w:t>
            </w:r>
          </w:p>
        </w:tc>
        <w:tc>
          <w:tcPr>
            <w:tcW w:w="3380" w:type="dxa"/>
            <w:vAlign w:val="center"/>
            <w:hideMark/>
          </w:tcPr>
          <w:p w14:paraId="6C19B1CF" w14:textId="77777777" w:rsidR="003320C6" w:rsidRPr="00CF6268" w:rsidRDefault="003320C6" w:rsidP="0010477F">
            <w:pPr>
              <w:ind w:firstLine="844"/>
              <w:jc w:val="both"/>
              <w:rPr>
                <w:rFonts w:ascii="Arial" w:hAnsi="Arial" w:cs="Arial"/>
                <w:sz w:val="20"/>
              </w:rPr>
            </w:pPr>
            <w:r w:rsidRPr="00CF6268">
              <w:rPr>
                <w:rFonts w:ascii="Arial" w:hAnsi="Arial" w:cs="Arial"/>
                <w:sz w:val="20"/>
              </w:rPr>
              <w:t>70.10%</w:t>
            </w:r>
          </w:p>
        </w:tc>
        <w:tc>
          <w:tcPr>
            <w:tcW w:w="3065" w:type="dxa"/>
            <w:vAlign w:val="center"/>
            <w:hideMark/>
          </w:tcPr>
          <w:p w14:paraId="30C73DCC" w14:textId="77777777" w:rsidR="003320C6" w:rsidRPr="00CF6268" w:rsidRDefault="003320C6" w:rsidP="0010477F">
            <w:pPr>
              <w:ind w:firstLine="844"/>
              <w:jc w:val="both"/>
              <w:rPr>
                <w:rFonts w:ascii="Arial" w:hAnsi="Arial" w:cs="Arial"/>
                <w:sz w:val="20"/>
              </w:rPr>
            </w:pPr>
            <w:r w:rsidRPr="00CF6268">
              <w:rPr>
                <w:rFonts w:ascii="Arial" w:hAnsi="Arial" w:cs="Arial"/>
                <w:sz w:val="20"/>
              </w:rPr>
              <w:t>29.90%</w:t>
            </w:r>
          </w:p>
        </w:tc>
      </w:tr>
      <w:tr w:rsidR="003320C6" w:rsidRPr="00CF6268" w14:paraId="498F0317" w14:textId="77777777" w:rsidTr="0010477F">
        <w:trPr>
          <w:tblCellSpacing w:w="15" w:type="dxa"/>
        </w:trPr>
        <w:tc>
          <w:tcPr>
            <w:tcW w:w="2507" w:type="dxa"/>
            <w:vAlign w:val="center"/>
            <w:hideMark/>
          </w:tcPr>
          <w:p w14:paraId="525F8AD0" w14:textId="77777777" w:rsidR="003320C6" w:rsidRPr="00CF6268" w:rsidRDefault="003320C6" w:rsidP="0010477F">
            <w:pPr>
              <w:ind w:firstLine="844"/>
              <w:jc w:val="both"/>
              <w:rPr>
                <w:rFonts w:ascii="Arial" w:hAnsi="Arial" w:cs="Arial"/>
                <w:sz w:val="20"/>
              </w:rPr>
            </w:pPr>
            <w:r w:rsidRPr="00CF6268">
              <w:rPr>
                <w:rFonts w:ascii="Arial" w:hAnsi="Arial" w:cs="Arial"/>
                <w:sz w:val="20"/>
              </w:rPr>
              <w:t>5</w:t>
            </w:r>
          </w:p>
        </w:tc>
        <w:tc>
          <w:tcPr>
            <w:tcW w:w="3380" w:type="dxa"/>
            <w:vAlign w:val="center"/>
            <w:hideMark/>
          </w:tcPr>
          <w:p w14:paraId="365D27DA" w14:textId="77777777" w:rsidR="003320C6" w:rsidRPr="00CF6268" w:rsidRDefault="003320C6" w:rsidP="0010477F">
            <w:pPr>
              <w:ind w:firstLine="844"/>
              <w:jc w:val="both"/>
              <w:rPr>
                <w:rFonts w:ascii="Arial" w:hAnsi="Arial" w:cs="Arial"/>
                <w:sz w:val="20"/>
              </w:rPr>
            </w:pPr>
            <w:r w:rsidRPr="00CF6268">
              <w:rPr>
                <w:rFonts w:ascii="Arial" w:hAnsi="Arial" w:cs="Arial"/>
                <w:sz w:val="20"/>
              </w:rPr>
              <w:t>70.06%</w:t>
            </w:r>
          </w:p>
        </w:tc>
        <w:tc>
          <w:tcPr>
            <w:tcW w:w="3065" w:type="dxa"/>
            <w:vAlign w:val="center"/>
            <w:hideMark/>
          </w:tcPr>
          <w:p w14:paraId="2ECEAB51" w14:textId="77777777" w:rsidR="003320C6" w:rsidRPr="00CF6268" w:rsidRDefault="003320C6" w:rsidP="0010477F">
            <w:pPr>
              <w:ind w:firstLine="844"/>
              <w:jc w:val="both"/>
              <w:rPr>
                <w:rFonts w:ascii="Arial" w:hAnsi="Arial" w:cs="Arial"/>
                <w:sz w:val="20"/>
              </w:rPr>
            </w:pPr>
            <w:r w:rsidRPr="00CF6268">
              <w:rPr>
                <w:rFonts w:ascii="Arial" w:hAnsi="Arial" w:cs="Arial"/>
                <w:sz w:val="20"/>
              </w:rPr>
              <w:t>29.94%</w:t>
            </w:r>
          </w:p>
        </w:tc>
      </w:tr>
      <w:tr w:rsidR="003320C6" w:rsidRPr="00CF6268" w14:paraId="19EF123C" w14:textId="77777777" w:rsidTr="0010477F">
        <w:trPr>
          <w:tblCellSpacing w:w="15" w:type="dxa"/>
        </w:trPr>
        <w:tc>
          <w:tcPr>
            <w:tcW w:w="2507" w:type="dxa"/>
            <w:vAlign w:val="center"/>
            <w:hideMark/>
          </w:tcPr>
          <w:p w14:paraId="0E7659D5" w14:textId="77777777" w:rsidR="003320C6" w:rsidRPr="00CF6268" w:rsidRDefault="003320C6" w:rsidP="0010477F">
            <w:pPr>
              <w:ind w:firstLine="844"/>
              <w:jc w:val="both"/>
              <w:rPr>
                <w:rFonts w:ascii="Arial" w:hAnsi="Arial" w:cs="Arial"/>
                <w:sz w:val="20"/>
              </w:rPr>
            </w:pPr>
            <w:r w:rsidRPr="00CF6268">
              <w:rPr>
                <w:rFonts w:ascii="Arial" w:hAnsi="Arial" w:cs="Arial"/>
                <w:sz w:val="20"/>
              </w:rPr>
              <w:t>6</w:t>
            </w:r>
          </w:p>
        </w:tc>
        <w:tc>
          <w:tcPr>
            <w:tcW w:w="3380" w:type="dxa"/>
            <w:vAlign w:val="center"/>
            <w:hideMark/>
          </w:tcPr>
          <w:p w14:paraId="6D60F700" w14:textId="77777777" w:rsidR="003320C6" w:rsidRPr="00CF6268" w:rsidRDefault="003320C6" w:rsidP="0010477F">
            <w:pPr>
              <w:ind w:firstLine="844"/>
              <w:jc w:val="both"/>
              <w:rPr>
                <w:rFonts w:ascii="Arial" w:hAnsi="Arial" w:cs="Arial"/>
                <w:sz w:val="20"/>
              </w:rPr>
            </w:pPr>
            <w:r w:rsidRPr="00CF6268">
              <w:rPr>
                <w:rFonts w:ascii="Arial" w:hAnsi="Arial" w:cs="Arial"/>
                <w:sz w:val="20"/>
              </w:rPr>
              <w:t>69.49%</w:t>
            </w:r>
          </w:p>
        </w:tc>
        <w:tc>
          <w:tcPr>
            <w:tcW w:w="3065" w:type="dxa"/>
            <w:vAlign w:val="center"/>
            <w:hideMark/>
          </w:tcPr>
          <w:p w14:paraId="3BF0A4CD" w14:textId="77777777" w:rsidR="003320C6" w:rsidRPr="00CF6268" w:rsidRDefault="003320C6" w:rsidP="0010477F">
            <w:pPr>
              <w:ind w:firstLine="844"/>
              <w:jc w:val="both"/>
              <w:rPr>
                <w:rFonts w:ascii="Arial" w:hAnsi="Arial" w:cs="Arial"/>
                <w:sz w:val="20"/>
              </w:rPr>
            </w:pPr>
            <w:r w:rsidRPr="00CF6268">
              <w:rPr>
                <w:rFonts w:ascii="Arial" w:hAnsi="Arial" w:cs="Arial"/>
                <w:sz w:val="20"/>
              </w:rPr>
              <w:t>30.51%</w:t>
            </w:r>
          </w:p>
        </w:tc>
      </w:tr>
      <w:tr w:rsidR="003320C6" w:rsidRPr="00CF6268" w14:paraId="069B4F20" w14:textId="77777777" w:rsidTr="0010477F">
        <w:trPr>
          <w:tblCellSpacing w:w="15" w:type="dxa"/>
        </w:trPr>
        <w:tc>
          <w:tcPr>
            <w:tcW w:w="2507" w:type="dxa"/>
            <w:vAlign w:val="center"/>
            <w:hideMark/>
          </w:tcPr>
          <w:p w14:paraId="039B3F66" w14:textId="77777777" w:rsidR="003320C6" w:rsidRPr="00CF6268" w:rsidRDefault="003320C6" w:rsidP="0010477F">
            <w:pPr>
              <w:ind w:firstLine="844"/>
              <w:jc w:val="both"/>
              <w:rPr>
                <w:rFonts w:ascii="Arial" w:hAnsi="Arial" w:cs="Arial"/>
                <w:sz w:val="20"/>
              </w:rPr>
            </w:pPr>
            <w:r w:rsidRPr="00CF6268">
              <w:rPr>
                <w:rFonts w:ascii="Arial" w:hAnsi="Arial" w:cs="Arial"/>
                <w:sz w:val="20"/>
              </w:rPr>
              <w:t>7</w:t>
            </w:r>
          </w:p>
        </w:tc>
        <w:tc>
          <w:tcPr>
            <w:tcW w:w="3380" w:type="dxa"/>
            <w:vAlign w:val="center"/>
            <w:hideMark/>
          </w:tcPr>
          <w:p w14:paraId="75DBD6FC" w14:textId="77777777" w:rsidR="003320C6" w:rsidRPr="00CF6268" w:rsidRDefault="003320C6" w:rsidP="0010477F">
            <w:pPr>
              <w:ind w:firstLine="844"/>
              <w:jc w:val="both"/>
              <w:rPr>
                <w:rFonts w:ascii="Arial" w:hAnsi="Arial" w:cs="Arial"/>
                <w:sz w:val="20"/>
              </w:rPr>
            </w:pPr>
            <w:r w:rsidRPr="00CF6268">
              <w:rPr>
                <w:rFonts w:ascii="Arial" w:hAnsi="Arial" w:cs="Arial"/>
                <w:sz w:val="20"/>
              </w:rPr>
              <w:t>69.74%</w:t>
            </w:r>
          </w:p>
        </w:tc>
        <w:tc>
          <w:tcPr>
            <w:tcW w:w="3065" w:type="dxa"/>
            <w:vAlign w:val="center"/>
            <w:hideMark/>
          </w:tcPr>
          <w:p w14:paraId="0DD384D3" w14:textId="77777777" w:rsidR="003320C6" w:rsidRPr="00CF6268" w:rsidRDefault="003320C6" w:rsidP="0010477F">
            <w:pPr>
              <w:ind w:firstLine="844"/>
              <w:jc w:val="both"/>
              <w:rPr>
                <w:rFonts w:ascii="Arial" w:hAnsi="Arial" w:cs="Arial"/>
                <w:sz w:val="20"/>
              </w:rPr>
            </w:pPr>
            <w:r w:rsidRPr="00CF6268">
              <w:rPr>
                <w:rFonts w:ascii="Arial" w:hAnsi="Arial" w:cs="Arial"/>
                <w:sz w:val="20"/>
              </w:rPr>
              <w:t>30.26%</w:t>
            </w:r>
          </w:p>
        </w:tc>
      </w:tr>
      <w:tr w:rsidR="003320C6" w:rsidRPr="00CF6268" w14:paraId="0654CAEC" w14:textId="77777777" w:rsidTr="0010477F">
        <w:trPr>
          <w:tblCellSpacing w:w="15" w:type="dxa"/>
        </w:trPr>
        <w:tc>
          <w:tcPr>
            <w:tcW w:w="2507" w:type="dxa"/>
            <w:vAlign w:val="center"/>
            <w:hideMark/>
          </w:tcPr>
          <w:p w14:paraId="0F372225" w14:textId="77777777" w:rsidR="003320C6" w:rsidRPr="00CF6268" w:rsidRDefault="003320C6" w:rsidP="0010477F">
            <w:pPr>
              <w:ind w:firstLine="844"/>
              <w:jc w:val="both"/>
              <w:rPr>
                <w:rFonts w:ascii="Arial" w:hAnsi="Arial" w:cs="Arial"/>
                <w:sz w:val="20"/>
              </w:rPr>
            </w:pPr>
            <w:r w:rsidRPr="00CF6268">
              <w:rPr>
                <w:rFonts w:ascii="Arial" w:hAnsi="Arial" w:cs="Arial"/>
                <w:sz w:val="20"/>
              </w:rPr>
              <w:t>8</w:t>
            </w:r>
          </w:p>
        </w:tc>
        <w:tc>
          <w:tcPr>
            <w:tcW w:w="3380" w:type="dxa"/>
            <w:vAlign w:val="center"/>
            <w:hideMark/>
          </w:tcPr>
          <w:p w14:paraId="51259CAA" w14:textId="77777777" w:rsidR="003320C6" w:rsidRPr="00CF6268" w:rsidRDefault="003320C6" w:rsidP="0010477F">
            <w:pPr>
              <w:ind w:firstLine="844"/>
              <w:jc w:val="both"/>
              <w:rPr>
                <w:rFonts w:ascii="Arial" w:hAnsi="Arial" w:cs="Arial"/>
                <w:sz w:val="20"/>
              </w:rPr>
            </w:pPr>
            <w:r w:rsidRPr="00CF6268">
              <w:rPr>
                <w:rFonts w:ascii="Arial" w:hAnsi="Arial" w:cs="Arial"/>
                <w:sz w:val="20"/>
              </w:rPr>
              <w:t>69.77%</w:t>
            </w:r>
          </w:p>
        </w:tc>
        <w:tc>
          <w:tcPr>
            <w:tcW w:w="3065" w:type="dxa"/>
            <w:vAlign w:val="center"/>
            <w:hideMark/>
          </w:tcPr>
          <w:p w14:paraId="2AF7FA94" w14:textId="77777777" w:rsidR="003320C6" w:rsidRPr="00CF6268" w:rsidRDefault="003320C6" w:rsidP="0010477F">
            <w:pPr>
              <w:ind w:firstLine="844"/>
              <w:jc w:val="both"/>
              <w:rPr>
                <w:rFonts w:ascii="Arial" w:hAnsi="Arial" w:cs="Arial"/>
                <w:sz w:val="20"/>
              </w:rPr>
            </w:pPr>
            <w:r w:rsidRPr="00CF6268">
              <w:rPr>
                <w:rFonts w:ascii="Arial" w:hAnsi="Arial" w:cs="Arial"/>
                <w:sz w:val="20"/>
              </w:rPr>
              <w:t>30.23%</w:t>
            </w:r>
          </w:p>
        </w:tc>
      </w:tr>
      <w:tr w:rsidR="003320C6" w:rsidRPr="00CF6268" w14:paraId="64E54EC9" w14:textId="77777777" w:rsidTr="0010477F">
        <w:trPr>
          <w:tblCellSpacing w:w="15" w:type="dxa"/>
        </w:trPr>
        <w:tc>
          <w:tcPr>
            <w:tcW w:w="2507" w:type="dxa"/>
            <w:vAlign w:val="center"/>
            <w:hideMark/>
          </w:tcPr>
          <w:p w14:paraId="7DF97A53" w14:textId="77777777" w:rsidR="003320C6" w:rsidRPr="00CF6268" w:rsidRDefault="003320C6" w:rsidP="0010477F">
            <w:pPr>
              <w:ind w:firstLine="844"/>
              <w:jc w:val="both"/>
              <w:rPr>
                <w:rFonts w:ascii="Arial" w:hAnsi="Arial" w:cs="Arial"/>
                <w:sz w:val="20"/>
              </w:rPr>
            </w:pPr>
            <w:r w:rsidRPr="00CF6268">
              <w:rPr>
                <w:rFonts w:ascii="Arial" w:hAnsi="Arial" w:cs="Arial"/>
                <w:sz w:val="20"/>
              </w:rPr>
              <w:t>9</w:t>
            </w:r>
          </w:p>
        </w:tc>
        <w:tc>
          <w:tcPr>
            <w:tcW w:w="3380" w:type="dxa"/>
            <w:vAlign w:val="center"/>
            <w:hideMark/>
          </w:tcPr>
          <w:p w14:paraId="66D6C400" w14:textId="77777777" w:rsidR="003320C6" w:rsidRPr="00CF6268" w:rsidRDefault="003320C6" w:rsidP="0010477F">
            <w:pPr>
              <w:ind w:firstLine="844"/>
              <w:jc w:val="both"/>
              <w:rPr>
                <w:rFonts w:ascii="Arial" w:hAnsi="Arial" w:cs="Arial"/>
                <w:sz w:val="20"/>
              </w:rPr>
            </w:pPr>
            <w:r w:rsidRPr="00CF6268">
              <w:rPr>
                <w:rFonts w:ascii="Arial" w:hAnsi="Arial" w:cs="Arial"/>
                <w:sz w:val="20"/>
              </w:rPr>
              <w:t>69.81%</w:t>
            </w:r>
          </w:p>
        </w:tc>
        <w:tc>
          <w:tcPr>
            <w:tcW w:w="3065" w:type="dxa"/>
            <w:vAlign w:val="center"/>
            <w:hideMark/>
          </w:tcPr>
          <w:p w14:paraId="582A2BF6" w14:textId="77777777" w:rsidR="003320C6" w:rsidRPr="00CF6268" w:rsidRDefault="003320C6" w:rsidP="0010477F">
            <w:pPr>
              <w:ind w:firstLine="844"/>
              <w:jc w:val="both"/>
              <w:rPr>
                <w:rFonts w:ascii="Arial" w:hAnsi="Arial" w:cs="Arial"/>
                <w:sz w:val="20"/>
              </w:rPr>
            </w:pPr>
            <w:r w:rsidRPr="00CF6268">
              <w:rPr>
                <w:rFonts w:ascii="Arial" w:hAnsi="Arial" w:cs="Arial"/>
                <w:sz w:val="20"/>
              </w:rPr>
              <w:t>30.19%</w:t>
            </w:r>
          </w:p>
        </w:tc>
      </w:tr>
      <w:tr w:rsidR="003320C6" w:rsidRPr="00CF6268" w14:paraId="0E2BB971" w14:textId="77777777" w:rsidTr="0010477F">
        <w:trPr>
          <w:tblCellSpacing w:w="15" w:type="dxa"/>
        </w:trPr>
        <w:tc>
          <w:tcPr>
            <w:tcW w:w="2507" w:type="dxa"/>
            <w:vAlign w:val="center"/>
            <w:hideMark/>
          </w:tcPr>
          <w:p w14:paraId="4C0C6DBB" w14:textId="77777777" w:rsidR="003320C6" w:rsidRPr="00CF6268" w:rsidRDefault="003320C6" w:rsidP="0010477F">
            <w:pPr>
              <w:ind w:firstLine="844"/>
              <w:jc w:val="both"/>
              <w:rPr>
                <w:rFonts w:ascii="Arial" w:hAnsi="Arial" w:cs="Arial"/>
                <w:sz w:val="20"/>
              </w:rPr>
            </w:pPr>
            <w:r w:rsidRPr="00CF6268">
              <w:rPr>
                <w:rFonts w:ascii="Arial" w:hAnsi="Arial" w:cs="Arial"/>
                <w:sz w:val="20"/>
              </w:rPr>
              <w:t>10</w:t>
            </w:r>
          </w:p>
        </w:tc>
        <w:tc>
          <w:tcPr>
            <w:tcW w:w="3380" w:type="dxa"/>
            <w:vAlign w:val="center"/>
            <w:hideMark/>
          </w:tcPr>
          <w:p w14:paraId="13DA6A51" w14:textId="77777777" w:rsidR="003320C6" w:rsidRPr="00CF6268" w:rsidRDefault="003320C6" w:rsidP="0010477F">
            <w:pPr>
              <w:ind w:firstLine="844"/>
              <w:jc w:val="both"/>
              <w:rPr>
                <w:rFonts w:ascii="Arial" w:hAnsi="Arial" w:cs="Arial"/>
                <w:sz w:val="20"/>
              </w:rPr>
            </w:pPr>
            <w:r w:rsidRPr="00CF6268">
              <w:rPr>
                <w:rFonts w:ascii="Arial" w:hAnsi="Arial" w:cs="Arial"/>
                <w:sz w:val="20"/>
              </w:rPr>
              <w:t>69.64%</w:t>
            </w:r>
          </w:p>
        </w:tc>
        <w:tc>
          <w:tcPr>
            <w:tcW w:w="3065" w:type="dxa"/>
            <w:vAlign w:val="center"/>
            <w:hideMark/>
          </w:tcPr>
          <w:p w14:paraId="3D2D4E90" w14:textId="77777777" w:rsidR="003320C6" w:rsidRPr="00CF6268" w:rsidRDefault="003320C6" w:rsidP="0010477F">
            <w:pPr>
              <w:ind w:firstLine="844"/>
              <w:jc w:val="both"/>
              <w:rPr>
                <w:rFonts w:ascii="Arial" w:hAnsi="Arial" w:cs="Arial"/>
                <w:sz w:val="20"/>
              </w:rPr>
            </w:pPr>
            <w:r w:rsidRPr="00CF6268">
              <w:rPr>
                <w:rFonts w:ascii="Arial" w:hAnsi="Arial" w:cs="Arial"/>
                <w:sz w:val="20"/>
              </w:rPr>
              <w:t>30.36%</w:t>
            </w:r>
          </w:p>
        </w:tc>
      </w:tr>
    </w:tbl>
    <w:p w14:paraId="3E75D055" w14:textId="77777777" w:rsidR="003320C6" w:rsidRPr="00CF6268" w:rsidRDefault="003320C6" w:rsidP="003320C6">
      <w:pPr>
        <w:pStyle w:val="ListParagraph"/>
        <w:rPr>
          <w:rFonts w:ascii="Arial" w:hAnsi="Arial" w:cs="Arial"/>
          <w:sz w:val="20"/>
        </w:rPr>
      </w:pPr>
      <w:r w:rsidRPr="00CF6268">
        <w:rPr>
          <w:rFonts w:ascii="Arial" w:hAnsi="Arial" w:cs="Arial"/>
          <w:sz w:val="20"/>
        </w:rPr>
        <w:t>Source: Authors</w:t>
      </w:r>
    </w:p>
    <w:p w14:paraId="48C63421" w14:textId="77777777" w:rsidR="00F42326" w:rsidRPr="00CF6268" w:rsidRDefault="00F42326" w:rsidP="005C6743">
      <w:pPr>
        <w:jc w:val="both"/>
        <w:rPr>
          <w:rFonts w:ascii="Arial" w:hAnsi="Arial" w:cs="Arial"/>
          <w:sz w:val="20"/>
        </w:rPr>
        <w:sectPr w:rsidR="00F42326" w:rsidRPr="00CF6268" w:rsidSect="0022105B">
          <w:type w:val="continuous"/>
          <w:pgSz w:w="11906" w:h="16838"/>
          <w:pgMar w:top="1440" w:right="1440" w:bottom="1440" w:left="1440" w:header="708" w:footer="708" w:gutter="0"/>
          <w:cols w:space="708"/>
          <w:docGrid w:linePitch="360"/>
        </w:sectPr>
      </w:pPr>
    </w:p>
    <w:p w14:paraId="76CABB5D" w14:textId="77777777" w:rsidR="003320C6" w:rsidRPr="00CF6268" w:rsidRDefault="003320C6" w:rsidP="005C6743">
      <w:pPr>
        <w:jc w:val="both"/>
        <w:rPr>
          <w:rFonts w:ascii="Arial" w:hAnsi="Arial" w:cs="Arial"/>
          <w:sz w:val="20"/>
        </w:rPr>
      </w:pPr>
      <w:r w:rsidRPr="00CF6268">
        <w:rPr>
          <w:rFonts w:ascii="Arial" w:hAnsi="Arial" w:cs="Arial"/>
          <w:sz w:val="20"/>
        </w:rPr>
        <w:t xml:space="preserve">From </w:t>
      </w:r>
      <w:r w:rsidR="00406C70" w:rsidRPr="00CF6268">
        <w:rPr>
          <w:rFonts w:ascii="Arial" w:hAnsi="Arial" w:cs="Arial"/>
          <w:sz w:val="20"/>
        </w:rPr>
        <w:t>Table 5,</w:t>
      </w:r>
      <w:r w:rsidR="00F42326" w:rsidRPr="00CF6268">
        <w:rPr>
          <w:rFonts w:ascii="Arial" w:hAnsi="Arial" w:cs="Arial"/>
          <w:sz w:val="20"/>
        </w:rPr>
        <w:t xml:space="preserve"> </w:t>
      </w:r>
      <w:r w:rsidRPr="00CF6268">
        <w:rPr>
          <w:rFonts w:ascii="Arial" w:hAnsi="Arial" w:cs="Arial"/>
          <w:sz w:val="20"/>
        </w:rPr>
        <w:t>initially, almost all of GDP’s forecast error variance (99.74%) is driven by its own innovations, with only 0.26% attributable to oil</w:t>
      </w:r>
      <w:r w:rsidRPr="00CF6268">
        <w:rPr>
          <w:rFonts w:asciiTheme="majorBidi" w:hAnsiTheme="majorBidi" w:cs="Arial"/>
          <w:sz w:val="20"/>
        </w:rPr>
        <w:t>‐</w:t>
      </w:r>
      <w:r w:rsidRPr="00CF6268">
        <w:rPr>
          <w:rFonts w:ascii="Arial" w:hAnsi="Arial" w:cs="Arial"/>
          <w:sz w:val="20"/>
        </w:rPr>
        <w:t>price shocks. Over time, oil</w:t>
      </w:r>
      <w:r w:rsidRPr="00CF6268">
        <w:rPr>
          <w:rFonts w:asciiTheme="majorBidi" w:hAnsiTheme="majorBidi" w:cs="Arial"/>
          <w:sz w:val="20"/>
        </w:rPr>
        <w:t>‐</w:t>
      </w:r>
      <w:r w:rsidRPr="00CF6268">
        <w:rPr>
          <w:rFonts w:ascii="Arial" w:hAnsi="Arial" w:cs="Arial"/>
          <w:sz w:val="20"/>
        </w:rPr>
        <w:t>price innovations gradually explain a larger share</w:t>
      </w:r>
      <w:r w:rsidR="005C6743" w:rsidRPr="00CF6268">
        <w:rPr>
          <w:rFonts w:ascii="Arial" w:hAnsi="Arial" w:cs="Arial"/>
          <w:sz w:val="20"/>
        </w:rPr>
        <w:t xml:space="preserve">, </w:t>
      </w:r>
      <w:r w:rsidRPr="00CF6268">
        <w:rPr>
          <w:rFonts w:ascii="Arial" w:hAnsi="Arial" w:cs="Arial"/>
          <w:sz w:val="20"/>
        </w:rPr>
        <w:t>rising to about 13.4% by year ten</w:t>
      </w:r>
      <w:r w:rsidR="005C6743" w:rsidRPr="00CF6268">
        <w:rPr>
          <w:rFonts w:ascii="Arial" w:hAnsi="Arial" w:cs="Arial"/>
          <w:sz w:val="20"/>
        </w:rPr>
        <w:t xml:space="preserve">, </w:t>
      </w:r>
      <w:r w:rsidRPr="00CF6268">
        <w:rPr>
          <w:rFonts w:ascii="Arial" w:hAnsi="Arial" w:cs="Arial"/>
          <w:sz w:val="20"/>
        </w:rPr>
        <w:t>while endogenous GDP dynamics still account for roughly 86–87% of output variability.</w:t>
      </w:r>
      <w:r w:rsidR="00F42326" w:rsidRPr="00CF6268">
        <w:rPr>
          <w:rFonts w:ascii="Arial" w:hAnsi="Arial" w:cs="Arial"/>
          <w:sz w:val="20"/>
        </w:rPr>
        <w:t xml:space="preserve"> </w:t>
      </w:r>
      <w:r w:rsidRPr="00CF6268">
        <w:rPr>
          <w:rFonts w:ascii="Arial" w:hAnsi="Arial" w:cs="Arial"/>
          <w:sz w:val="20"/>
        </w:rPr>
        <w:t>Nigeria’s GDP fluctuations are overwhelmingly self</w:t>
      </w:r>
      <w:r w:rsidRPr="00CF6268">
        <w:rPr>
          <w:rFonts w:asciiTheme="majorBidi" w:hAnsiTheme="majorBidi" w:cs="Arial"/>
          <w:sz w:val="20"/>
        </w:rPr>
        <w:t>‐</w:t>
      </w:r>
      <w:r w:rsidRPr="00CF6268">
        <w:rPr>
          <w:rFonts w:ascii="Arial" w:hAnsi="Arial" w:cs="Arial"/>
          <w:sz w:val="20"/>
        </w:rPr>
        <w:t>generated in the short run, with oil</w:t>
      </w:r>
      <w:r w:rsidRPr="00CF6268">
        <w:rPr>
          <w:rFonts w:asciiTheme="majorBidi" w:hAnsiTheme="majorBidi" w:cs="Arial"/>
          <w:sz w:val="20"/>
        </w:rPr>
        <w:t>‐</w:t>
      </w:r>
      <w:r w:rsidRPr="00CF6268">
        <w:rPr>
          <w:rFonts w:ascii="Arial" w:hAnsi="Arial" w:cs="Arial"/>
          <w:sz w:val="20"/>
        </w:rPr>
        <w:t>price shocks playing an increasingly</w:t>
      </w:r>
      <w:r w:rsidR="00F42326" w:rsidRPr="00CF6268">
        <w:rPr>
          <w:rFonts w:ascii="Arial" w:hAnsi="Arial" w:cs="Arial"/>
          <w:sz w:val="20"/>
        </w:rPr>
        <w:t xml:space="preserve"> </w:t>
      </w:r>
      <w:r w:rsidRPr="00CF6268">
        <w:rPr>
          <w:rFonts w:ascii="Arial" w:hAnsi="Arial" w:cs="Arial"/>
          <w:sz w:val="20"/>
        </w:rPr>
        <w:t>but still moderate</w:t>
      </w:r>
      <w:r w:rsidR="00F42326" w:rsidRPr="00CF6268">
        <w:rPr>
          <w:rFonts w:ascii="Arial" w:hAnsi="Arial" w:cs="Arial"/>
          <w:sz w:val="20"/>
        </w:rPr>
        <w:t xml:space="preserve"> </w:t>
      </w:r>
      <w:r w:rsidRPr="00CF6268">
        <w:rPr>
          <w:rFonts w:ascii="Arial" w:hAnsi="Arial" w:cs="Arial"/>
          <w:sz w:val="20"/>
        </w:rPr>
        <w:t>role in the medium term. Even after ten years, endogenously driven growth dynamics remain the dominant source of forecast uncertainty.</w:t>
      </w:r>
    </w:p>
    <w:p w14:paraId="5A82D5C5" w14:textId="77777777" w:rsidR="003320C6" w:rsidRPr="00CF6268" w:rsidRDefault="003320C6" w:rsidP="008D0B50">
      <w:pPr>
        <w:jc w:val="both"/>
        <w:rPr>
          <w:rFonts w:ascii="Arial" w:hAnsi="Arial" w:cs="Arial"/>
          <w:sz w:val="20"/>
        </w:rPr>
      </w:pPr>
      <w:r w:rsidRPr="00CF6268">
        <w:rPr>
          <w:rFonts w:ascii="Arial" w:hAnsi="Arial" w:cs="Arial"/>
          <w:sz w:val="20"/>
        </w:rPr>
        <w:t>Most of the ups and downs in Nigeria’s economic growth come from factors within the economy itself. Oil</w:t>
      </w:r>
      <w:r w:rsidRPr="00CF6268">
        <w:rPr>
          <w:rFonts w:asciiTheme="majorBidi" w:hAnsiTheme="majorBidi" w:cs="Arial"/>
          <w:sz w:val="20"/>
        </w:rPr>
        <w:t>‐</w:t>
      </w:r>
      <w:r w:rsidRPr="00CF6268">
        <w:rPr>
          <w:rFonts w:ascii="Arial" w:hAnsi="Arial" w:cs="Arial"/>
          <w:sz w:val="20"/>
        </w:rPr>
        <w:t>price changes only explain a small slice</w:t>
      </w:r>
      <w:r w:rsidR="005C6743" w:rsidRPr="00CF6268">
        <w:rPr>
          <w:rFonts w:ascii="Arial" w:hAnsi="Arial" w:cs="Arial"/>
          <w:sz w:val="20"/>
        </w:rPr>
        <w:t xml:space="preserve">, </w:t>
      </w:r>
      <w:r w:rsidRPr="00CF6268">
        <w:rPr>
          <w:rFonts w:ascii="Arial" w:hAnsi="Arial" w:cs="Arial"/>
          <w:sz w:val="20"/>
        </w:rPr>
        <w:t>about one in eight points</w:t>
      </w:r>
      <w:r w:rsidR="00F42326" w:rsidRPr="00CF6268">
        <w:rPr>
          <w:rFonts w:ascii="Arial" w:hAnsi="Arial" w:cs="Arial"/>
          <w:sz w:val="20"/>
        </w:rPr>
        <w:t xml:space="preserve"> </w:t>
      </w:r>
      <w:r w:rsidRPr="00CF6268">
        <w:rPr>
          <w:rFonts w:ascii="Arial" w:hAnsi="Arial" w:cs="Arial"/>
          <w:sz w:val="20"/>
        </w:rPr>
        <w:t>of those ups and downs, even after ten years.</w:t>
      </w:r>
      <w:r w:rsidR="00F42326" w:rsidRPr="00CF6268">
        <w:rPr>
          <w:rFonts w:ascii="Arial" w:hAnsi="Arial" w:cs="Arial"/>
          <w:sz w:val="20"/>
        </w:rPr>
        <w:t xml:space="preserve"> </w:t>
      </w:r>
      <w:r w:rsidR="008D0B50" w:rsidRPr="00CF6268">
        <w:rPr>
          <w:rFonts w:ascii="Arial" w:hAnsi="Arial" w:cs="Arial"/>
          <w:sz w:val="20"/>
        </w:rPr>
        <w:t>Nigerian policymakers should: (</w:t>
      </w:r>
      <w:proofErr w:type="spellStart"/>
      <w:r w:rsidR="008D0B50" w:rsidRPr="00CF6268">
        <w:rPr>
          <w:rFonts w:ascii="Arial" w:hAnsi="Arial" w:cs="Arial"/>
          <w:sz w:val="20"/>
        </w:rPr>
        <w:t>i</w:t>
      </w:r>
      <w:proofErr w:type="spellEnd"/>
      <w:r w:rsidR="008D0B50" w:rsidRPr="00CF6268">
        <w:rPr>
          <w:rFonts w:ascii="Arial" w:hAnsi="Arial" w:cs="Arial"/>
          <w:sz w:val="20"/>
        </w:rPr>
        <w:t xml:space="preserve">) </w:t>
      </w:r>
      <w:r w:rsidRPr="00CF6268">
        <w:rPr>
          <w:rFonts w:ascii="Arial" w:hAnsi="Arial" w:cs="Arial"/>
          <w:sz w:val="20"/>
        </w:rPr>
        <w:t>Stabilization Funds &amp; Buffers: Design fiscal rules that save windfalls when oil prices surge, then draw on those reserves when prices drop, targeting the 10</w:t>
      </w:r>
      <w:r w:rsidR="008D0B50" w:rsidRPr="00CF6268">
        <w:rPr>
          <w:rFonts w:ascii="Arial" w:hAnsi="Arial" w:cs="Arial"/>
          <w:sz w:val="20"/>
        </w:rPr>
        <w:t>-</w:t>
      </w:r>
      <w:r w:rsidRPr="00CF6268">
        <w:rPr>
          <w:rFonts w:ascii="Arial" w:hAnsi="Arial" w:cs="Arial"/>
          <w:sz w:val="20"/>
        </w:rPr>
        <w:t>15% of GDP volatility linked to oil</w:t>
      </w:r>
      <w:r w:rsidR="008D0B50" w:rsidRPr="00CF6268">
        <w:rPr>
          <w:rFonts w:ascii="Arial" w:hAnsi="Arial" w:cs="Arial"/>
          <w:sz w:val="20"/>
        </w:rPr>
        <w:t xml:space="preserve">; (ii) </w:t>
      </w:r>
      <w:r w:rsidRPr="00CF6268">
        <w:rPr>
          <w:rFonts w:ascii="Arial" w:hAnsi="Arial" w:cs="Arial"/>
          <w:sz w:val="20"/>
        </w:rPr>
        <w:t>Economic Diversification: Since 85</w:t>
      </w:r>
      <w:r w:rsidR="008D0B50" w:rsidRPr="00CF6268">
        <w:rPr>
          <w:rFonts w:ascii="Arial" w:hAnsi="Arial" w:cs="Arial"/>
          <w:sz w:val="20"/>
        </w:rPr>
        <w:t>-</w:t>
      </w:r>
      <w:r w:rsidRPr="00CF6268">
        <w:rPr>
          <w:rFonts w:ascii="Arial" w:hAnsi="Arial" w:cs="Arial"/>
          <w:sz w:val="20"/>
        </w:rPr>
        <w:t>90% of GDP swings are home</w:t>
      </w:r>
      <w:r w:rsidRPr="00CF6268">
        <w:rPr>
          <w:rFonts w:asciiTheme="majorBidi" w:hAnsiTheme="majorBidi" w:cs="Arial"/>
          <w:sz w:val="20"/>
        </w:rPr>
        <w:t>‐</w:t>
      </w:r>
      <w:r w:rsidRPr="00CF6268">
        <w:rPr>
          <w:rFonts w:ascii="Arial" w:hAnsi="Arial" w:cs="Arial"/>
          <w:sz w:val="20"/>
        </w:rPr>
        <w:t>grown, strengthen non</w:t>
      </w:r>
      <w:r w:rsidRPr="00CF6268">
        <w:rPr>
          <w:rFonts w:asciiTheme="majorBidi" w:hAnsiTheme="majorBidi" w:cs="Arial"/>
          <w:sz w:val="20"/>
        </w:rPr>
        <w:t>‐</w:t>
      </w:r>
      <w:r w:rsidRPr="00CF6268">
        <w:rPr>
          <w:rFonts w:ascii="Arial" w:hAnsi="Arial" w:cs="Arial"/>
          <w:sz w:val="20"/>
        </w:rPr>
        <w:t>oil sectors</w:t>
      </w:r>
      <w:r w:rsidR="00F42326" w:rsidRPr="00CF6268">
        <w:rPr>
          <w:rFonts w:ascii="Arial" w:hAnsi="Arial" w:cs="Arial"/>
          <w:sz w:val="20"/>
        </w:rPr>
        <w:t xml:space="preserve"> </w:t>
      </w:r>
      <w:r w:rsidRPr="00CF6268">
        <w:rPr>
          <w:rFonts w:ascii="Arial" w:hAnsi="Arial" w:cs="Arial"/>
          <w:sz w:val="20"/>
        </w:rPr>
        <w:t>agriculture, manufacturing, services</w:t>
      </w:r>
      <w:r w:rsidR="00F42326" w:rsidRPr="00CF6268">
        <w:rPr>
          <w:rFonts w:ascii="Arial" w:hAnsi="Arial" w:cs="Arial"/>
          <w:sz w:val="20"/>
        </w:rPr>
        <w:t xml:space="preserve"> </w:t>
      </w:r>
      <w:r w:rsidRPr="00CF6268">
        <w:rPr>
          <w:rFonts w:ascii="Arial" w:hAnsi="Arial" w:cs="Arial"/>
          <w:sz w:val="20"/>
        </w:rPr>
        <w:t>to build resilient, self</w:t>
      </w:r>
      <w:r w:rsidRPr="00CF6268">
        <w:rPr>
          <w:rFonts w:asciiTheme="majorBidi" w:hAnsiTheme="majorBidi" w:cs="Arial"/>
          <w:sz w:val="20"/>
        </w:rPr>
        <w:t>‐</w:t>
      </w:r>
      <w:r w:rsidRPr="00CF6268">
        <w:rPr>
          <w:rFonts w:ascii="Arial" w:hAnsi="Arial" w:cs="Arial"/>
          <w:sz w:val="20"/>
        </w:rPr>
        <w:t>sustaining growth</w:t>
      </w:r>
      <w:r w:rsidR="008D0B50" w:rsidRPr="00CF6268">
        <w:rPr>
          <w:rFonts w:ascii="Arial" w:hAnsi="Arial" w:cs="Arial"/>
          <w:sz w:val="20"/>
        </w:rPr>
        <w:t xml:space="preserve">; (iii) </w:t>
      </w:r>
      <w:r w:rsidRPr="00CF6268">
        <w:rPr>
          <w:rFonts w:ascii="Arial" w:hAnsi="Arial" w:cs="Arial"/>
          <w:sz w:val="20"/>
        </w:rPr>
        <w:t>Integrated Policy Response: Combine monetary, exchange</w:t>
      </w:r>
      <w:r w:rsidRPr="00CF6268">
        <w:rPr>
          <w:rFonts w:asciiTheme="majorBidi" w:hAnsiTheme="majorBidi" w:cs="Arial"/>
          <w:sz w:val="20"/>
        </w:rPr>
        <w:t>‐</w:t>
      </w:r>
      <w:r w:rsidRPr="00CF6268">
        <w:rPr>
          <w:rFonts w:ascii="Arial" w:hAnsi="Arial" w:cs="Arial"/>
          <w:sz w:val="20"/>
        </w:rPr>
        <w:t>rate, and structural policies to manage domestic demand and mitigate the moderate but persistent influence of oil</w:t>
      </w:r>
      <w:r w:rsidRPr="00CF6268">
        <w:rPr>
          <w:rFonts w:asciiTheme="majorBidi" w:hAnsiTheme="majorBidi" w:cs="Arial"/>
          <w:sz w:val="20"/>
        </w:rPr>
        <w:t>‐</w:t>
      </w:r>
      <w:r w:rsidRPr="00CF6268">
        <w:rPr>
          <w:rFonts w:ascii="Arial" w:hAnsi="Arial" w:cs="Arial"/>
          <w:sz w:val="20"/>
        </w:rPr>
        <w:t>price shocks on output.</w:t>
      </w:r>
    </w:p>
    <w:p w14:paraId="684FD17D" w14:textId="77777777" w:rsidR="00F42326" w:rsidRPr="00CF6268" w:rsidRDefault="00F42326" w:rsidP="00406C70">
      <w:pPr>
        <w:jc w:val="both"/>
        <w:rPr>
          <w:rFonts w:ascii="Arial" w:hAnsi="Arial" w:cs="Arial"/>
          <w:sz w:val="20"/>
        </w:rPr>
        <w:sectPr w:rsidR="00F42326" w:rsidRPr="00CF6268" w:rsidSect="002F7CCF">
          <w:type w:val="continuous"/>
          <w:pgSz w:w="11906" w:h="16838"/>
          <w:pgMar w:top="1440" w:right="1440" w:bottom="1440" w:left="1440" w:header="708" w:footer="708" w:gutter="0"/>
          <w:cols w:space="708"/>
          <w:docGrid w:linePitch="360"/>
        </w:sectPr>
      </w:pPr>
    </w:p>
    <w:p w14:paraId="592489F7" w14:textId="77777777" w:rsidR="002F7CCF" w:rsidRPr="00CF6268" w:rsidRDefault="002F7CCF" w:rsidP="00406C70">
      <w:pPr>
        <w:jc w:val="both"/>
        <w:rPr>
          <w:rFonts w:ascii="Arial" w:hAnsi="Arial" w:cs="Arial"/>
          <w:sz w:val="20"/>
        </w:rPr>
        <w:sectPr w:rsidR="002F7CCF" w:rsidRPr="00CF6268" w:rsidSect="0022105B">
          <w:type w:val="continuous"/>
          <w:pgSz w:w="11906" w:h="16838"/>
          <w:pgMar w:top="1440" w:right="1440" w:bottom="1440" w:left="1440" w:header="708" w:footer="708" w:gutter="0"/>
          <w:cols w:space="708"/>
          <w:docGrid w:linePitch="360"/>
        </w:sectPr>
      </w:pPr>
    </w:p>
    <w:p w14:paraId="69CDB599" w14:textId="77777777" w:rsidR="003320C6" w:rsidRDefault="003320C6" w:rsidP="00406C70">
      <w:pPr>
        <w:jc w:val="both"/>
        <w:rPr>
          <w:rFonts w:asciiTheme="majorBidi" w:hAnsiTheme="majorBidi" w:cstheme="majorBidi"/>
        </w:rPr>
      </w:pPr>
    </w:p>
    <w:p w14:paraId="13BCABDD" w14:textId="77777777" w:rsidR="00857578" w:rsidRDefault="00857578" w:rsidP="00406C70">
      <w:pPr>
        <w:jc w:val="both"/>
        <w:rPr>
          <w:rFonts w:asciiTheme="majorBidi" w:hAnsiTheme="majorBidi" w:cstheme="majorBidi"/>
          <w:b/>
          <w:bCs/>
        </w:rPr>
      </w:pPr>
    </w:p>
    <w:p w14:paraId="481A0BBC" w14:textId="77777777" w:rsidR="00CF6268" w:rsidRDefault="00CF6268" w:rsidP="00406C70">
      <w:pPr>
        <w:jc w:val="both"/>
        <w:rPr>
          <w:rFonts w:asciiTheme="majorBidi" w:hAnsiTheme="majorBidi" w:cstheme="majorBidi"/>
          <w:b/>
          <w:bCs/>
        </w:rPr>
      </w:pPr>
    </w:p>
    <w:p w14:paraId="2A410BF5" w14:textId="77777777" w:rsidR="00CF6268" w:rsidRDefault="00CF6268" w:rsidP="00406C70">
      <w:pPr>
        <w:jc w:val="both"/>
        <w:rPr>
          <w:rFonts w:asciiTheme="majorBidi" w:hAnsiTheme="majorBidi" w:cstheme="majorBidi"/>
          <w:b/>
          <w:bCs/>
        </w:rPr>
      </w:pPr>
    </w:p>
    <w:p w14:paraId="1C74759F" w14:textId="77777777" w:rsidR="00CF6268" w:rsidRDefault="00CF6268" w:rsidP="00406C70">
      <w:pPr>
        <w:jc w:val="both"/>
        <w:rPr>
          <w:rFonts w:asciiTheme="majorBidi" w:hAnsiTheme="majorBidi" w:cstheme="majorBidi"/>
          <w:b/>
          <w:bCs/>
        </w:rPr>
      </w:pPr>
    </w:p>
    <w:p w14:paraId="3AD11068" w14:textId="77777777" w:rsidR="00577A0F" w:rsidRDefault="00577A0F" w:rsidP="00406C70">
      <w:pPr>
        <w:jc w:val="both"/>
        <w:rPr>
          <w:rFonts w:asciiTheme="majorBidi" w:hAnsiTheme="majorBidi" w:cstheme="majorBidi"/>
          <w:b/>
          <w:bCs/>
        </w:rPr>
      </w:pPr>
    </w:p>
    <w:p w14:paraId="016F2FBD" w14:textId="77777777" w:rsidR="00CF6268" w:rsidRPr="003410C1" w:rsidRDefault="00CF6268" w:rsidP="00406C70">
      <w:pPr>
        <w:jc w:val="both"/>
        <w:rPr>
          <w:rFonts w:asciiTheme="majorBidi" w:hAnsiTheme="majorBidi" w:cstheme="majorBidi"/>
          <w:b/>
          <w:bCs/>
        </w:rPr>
      </w:pPr>
    </w:p>
    <w:p w14:paraId="218723DA" w14:textId="77777777" w:rsidR="00FE60AD" w:rsidRPr="00CF6268" w:rsidRDefault="00FE60AD" w:rsidP="00406C70">
      <w:pPr>
        <w:jc w:val="both"/>
        <w:rPr>
          <w:rFonts w:ascii="Arial" w:hAnsi="Arial" w:cs="Arial"/>
          <w:b/>
          <w:bCs/>
          <w:sz w:val="20"/>
        </w:rPr>
      </w:pPr>
      <w:r w:rsidRPr="00CF6268">
        <w:rPr>
          <w:rFonts w:ascii="Arial" w:hAnsi="Arial" w:cs="Arial"/>
          <w:b/>
          <w:bCs/>
          <w:sz w:val="20"/>
        </w:rPr>
        <w:t>Table</w:t>
      </w:r>
      <w:r w:rsidR="00406C70" w:rsidRPr="00CF6268">
        <w:rPr>
          <w:rFonts w:ascii="Arial" w:hAnsi="Arial" w:cs="Arial"/>
          <w:b/>
          <w:bCs/>
          <w:sz w:val="20"/>
        </w:rPr>
        <w:t xml:space="preserve"> 5</w:t>
      </w:r>
      <w:r w:rsidRPr="00CF6268">
        <w:rPr>
          <w:rFonts w:ascii="Arial" w:hAnsi="Arial" w:cs="Arial"/>
          <w:b/>
          <w:bCs/>
          <w:sz w:val="20"/>
        </w:rPr>
        <w:t xml:space="preserve">: Forecast Error Variance </w:t>
      </w:r>
      <w:proofErr w:type="gramStart"/>
      <w:r w:rsidRPr="00CF6268">
        <w:rPr>
          <w:rFonts w:ascii="Arial" w:hAnsi="Arial" w:cs="Arial"/>
          <w:b/>
          <w:bCs/>
          <w:sz w:val="20"/>
        </w:rPr>
        <w:t>Decomposition</w:t>
      </w:r>
      <w:r w:rsidR="003320C6" w:rsidRPr="00CF6268">
        <w:rPr>
          <w:rFonts w:ascii="Arial" w:hAnsi="Arial" w:cs="Arial"/>
          <w:b/>
          <w:bCs/>
          <w:sz w:val="20"/>
        </w:rPr>
        <w:t>(</w:t>
      </w:r>
      <w:proofErr w:type="gramEnd"/>
      <w:r w:rsidR="003320C6" w:rsidRPr="00CF6268">
        <w:rPr>
          <w:rFonts w:ascii="Arial" w:hAnsi="Arial" w:cs="Arial"/>
          <w:b/>
          <w:bCs/>
          <w:sz w:val="20"/>
        </w:rPr>
        <w:t>FEVD)</w:t>
      </w:r>
      <w:r w:rsidRPr="00CF6268">
        <w:rPr>
          <w:rFonts w:ascii="Arial" w:hAnsi="Arial" w:cs="Arial"/>
          <w:b/>
          <w:bCs/>
          <w:sz w:val="20"/>
        </w:rPr>
        <w:t xml:space="preserve"> for the GDP Equation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2977"/>
        <w:gridCol w:w="3685"/>
      </w:tblGrid>
      <w:tr w:rsidR="003320C6" w:rsidRPr="00CF6268" w14:paraId="2BAC4579" w14:textId="77777777" w:rsidTr="003320C6">
        <w:trPr>
          <w:tblHeader/>
          <w:tblCellSpacing w:w="15" w:type="dxa"/>
        </w:trPr>
        <w:tc>
          <w:tcPr>
            <w:tcW w:w="1940" w:type="dxa"/>
            <w:vAlign w:val="center"/>
            <w:hideMark/>
          </w:tcPr>
          <w:p w14:paraId="587732E5" w14:textId="77777777" w:rsidR="003320C6" w:rsidRPr="00CF6268" w:rsidRDefault="003320C6" w:rsidP="003320C6">
            <w:pPr>
              <w:rPr>
                <w:rFonts w:ascii="Arial" w:hAnsi="Arial" w:cs="Arial"/>
                <w:b/>
                <w:bCs/>
                <w:sz w:val="20"/>
              </w:rPr>
            </w:pPr>
            <w:r w:rsidRPr="00CF6268">
              <w:rPr>
                <w:rFonts w:ascii="Arial" w:hAnsi="Arial" w:cs="Arial"/>
                <w:b/>
                <w:bCs/>
                <w:sz w:val="20"/>
              </w:rPr>
              <w:t>Horizon</w:t>
            </w:r>
          </w:p>
        </w:tc>
        <w:tc>
          <w:tcPr>
            <w:tcW w:w="2947" w:type="dxa"/>
            <w:vAlign w:val="center"/>
            <w:hideMark/>
          </w:tcPr>
          <w:p w14:paraId="6FE85238" w14:textId="77777777" w:rsidR="003320C6" w:rsidRPr="00CF6268" w:rsidRDefault="003320C6" w:rsidP="003320C6">
            <w:pPr>
              <w:rPr>
                <w:rFonts w:ascii="Arial" w:hAnsi="Arial" w:cs="Arial"/>
                <w:b/>
                <w:bCs/>
                <w:sz w:val="20"/>
              </w:rPr>
            </w:pPr>
            <w:proofErr w:type="spellStart"/>
            <w:r w:rsidRPr="00CF6268">
              <w:rPr>
                <w:rFonts w:ascii="Arial" w:hAnsi="Arial" w:cs="Arial"/>
                <w:b/>
                <w:bCs/>
                <w:sz w:val="20"/>
              </w:rPr>
              <w:t>OilPrice</w:t>
            </w:r>
            <w:proofErr w:type="spellEnd"/>
            <w:r w:rsidRPr="00CF6268">
              <w:rPr>
                <w:rFonts w:ascii="Arial" w:hAnsi="Arial" w:cs="Arial"/>
                <w:b/>
                <w:bCs/>
                <w:sz w:val="20"/>
              </w:rPr>
              <w:t xml:space="preserve"> (%)</w:t>
            </w:r>
          </w:p>
        </w:tc>
        <w:tc>
          <w:tcPr>
            <w:tcW w:w="3640" w:type="dxa"/>
            <w:vAlign w:val="center"/>
            <w:hideMark/>
          </w:tcPr>
          <w:p w14:paraId="3EA71A64" w14:textId="77777777" w:rsidR="003320C6" w:rsidRPr="00CF6268" w:rsidRDefault="003320C6" w:rsidP="003320C6">
            <w:pPr>
              <w:rPr>
                <w:rFonts w:ascii="Arial" w:hAnsi="Arial" w:cs="Arial"/>
                <w:b/>
                <w:bCs/>
                <w:sz w:val="20"/>
              </w:rPr>
            </w:pPr>
            <w:r w:rsidRPr="00CF6268">
              <w:rPr>
                <w:rFonts w:ascii="Arial" w:hAnsi="Arial" w:cs="Arial"/>
                <w:b/>
                <w:bCs/>
                <w:sz w:val="20"/>
              </w:rPr>
              <w:t>GDP (%)</w:t>
            </w:r>
          </w:p>
        </w:tc>
      </w:tr>
      <w:tr w:rsidR="003320C6" w:rsidRPr="00CF6268" w14:paraId="4D463D85" w14:textId="77777777" w:rsidTr="003320C6">
        <w:trPr>
          <w:tblCellSpacing w:w="15" w:type="dxa"/>
        </w:trPr>
        <w:tc>
          <w:tcPr>
            <w:tcW w:w="1940" w:type="dxa"/>
            <w:vAlign w:val="center"/>
            <w:hideMark/>
          </w:tcPr>
          <w:p w14:paraId="0AF1EFF4" w14:textId="77777777" w:rsidR="003320C6" w:rsidRPr="00CF6268" w:rsidRDefault="003320C6" w:rsidP="003320C6">
            <w:pPr>
              <w:rPr>
                <w:rFonts w:ascii="Arial" w:hAnsi="Arial" w:cs="Arial"/>
                <w:sz w:val="20"/>
              </w:rPr>
            </w:pPr>
            <w:r w:rsidRPr="00CF6268">
              <w:rPr>
                <w:rFonts w:ascii="Arial" w:hAnsi="Arial" w:cs="Arial"/>
                <w:sz w:val="20"/>
              </w:rPr>
              <w:t>1</w:t>
            </w:r>
          </w:p>
        </w:tc>
        <w:tc>
          <w:tcPr>
            <w:tcW w:w="2947" w:type="dxa"/>
            <w:vAlign w:val="center"/>
            <w:hideMark/>
          </w:tcPr>
          <w:p w14:paraId="7E8F1191" w14:textId="77777777" w:rsidR="003320C6" w:rsidRPr="00CF6268" w:rsidRDefault="003320C6" w:rsidP="003320C6">
            <w:pPr>
              <w:rPr>
                <w:rFonts w:ascii="Arial" w:hAnsi="Arial" w:cs="Arial"/>
                <w:sz w:val="20"/>
              </w:rPr>
            </w:pPr>
            <w:r w:rsidRPr="00CF6268">
              <w:rPr>
                <w:rFonts w:ascii="Arial" w:hAnsi="Arial" w:cs="Arial"/>
                <w:sz w:val="20"/>
              </w:rPr>
              <w:t>0.26</w:t>
            </w:r>
          </w:p>
        </w:tc>
        <w:tc>
          <w:tcPr>
            <w:tcW w:w="3640" w:type="dxa"/>
            <w:vAlign w:val="center"/>
            <w:hideMark/>
          </w:tcPr>
          <w:p w14:paraId="51A1F524" w14:textId="77777777" w:rsidR="003320C6" w:rsidRPr="00CF6268" w:rsidRDefault="003320C6" w:rsidP="003320C6">
            <w:pPr>
              <w:rPr>
                <w:rFonts w:ascii="Arial" w:hAnsi="Arial" w:cs="Arial"/>
                <w:sz w:val="20"/>
              </w:rPr>
            </w:pPr>
            <w:r w:rsidRPr="00CF6268">
              <w:rPr>
                <w:rFonts w:ascii="Arial" w:hAnsi="Arial" w:cs="Arial"/>
                <w:sz w:val="20"/>
              </w:rPr>
              <w:t>99.74</w:t>
            </w:r>
          </w:p>
        </w:tc>
      </w:tr>
      <w:tr w:rsidR="003320C6" w:rsidRPr="00CF6268" w14:paraId="212B1EBF" w14:textId="77777777" w:rsidTr="003320C6">
        <w:trPr>
          <w:tblCellSpacing w:w="15" w:type="dxa"/>
        </w:trPr>
        <w:tc>
          <w:tcPr>
            <w:tcW w:w="1940" w:type="dxa"/>
            <w:vAlign w:val="center"/>
            <w:hideMark/>
          </w:tcPr>
          <w:p w14:paraId="1AB2F02F" w14:textId="77777777" w:rsidR="003320C6" w:rsidRPr="00CF6268" w:rsidRDefault="003320C6" w:rsidP="003320C6">
            <w:pPr>
              <w:rPr>
                <w:rFonts w:ascii="Arial" w:hAnsi="Arial" w:cs="Arial"/>
                <w:sz w:val="20"/>
              </w:rPr>
            </w:pPr>
            <w:r w:rsidRPr="00CF6268">
              <w:rPr>
                <w:rFonts w:ascii="Arial" w:hAnsi="Arial" w:cs="Arial"/>
                <w:sz w:val="20"/>
              </w:rPr>
              <w:t>2</w:t>
            </w:r>
          </w:p>
        </w:tc>
        <w:tc>
          <w:tcPr>
            <w:tcW w:w="2947" w:type="dxa"/>
            <w:vAlign w:val="center"/>
            <w:hideMark/>
          </w:tcPr>
          <w:p w14:paraId="5DB4FEE2" w14:textId="77777777" w:rsidR="003320C6" w:rsidRPr="00CF6268" w:rsidRDefault="003320C6" w:rsidP="003320C6">
            <w:pPr>
              <w:rPr>
                <w:rFonts w:ascii="Arial" w:hAnsi="Arial" w:cs="Arial"/>
                <w:sz w:val="20"/>
              </w:rPr>
            </w:pPr>
            <w:r w:rsidRPr="00CF6268">
              <w:rPr>
                <w:rFonts w:ascii="Arial" w:hAnsi="Arial" w:cs="Arial"/>
                <w:sz w:val="20"/>
              </w:rPr>
              <w:t>7.54</w:t>
            </w:r>
          </w:p>
        </w:tc>
        <w:tc>
          <w:tcPr>
            <w:tcW w:w="3640" w:type="dxa"/>
            <w:vAlign w:val="center"/>
            <w:hideMark/>
          </w:tcPr>
          <w:p w14:paraId="03A30CB5" w14:textId="77777777" w:rsidR="003320C6" w:rsidRPr="00CF6268" w:rsidRDefault="003320C6" w:rsidP="003320C6">
            <w:pPr>
              <w:rPr>
                <w:rFonts w:ascii="Arial" w:hAnsi="Arial" w:cs="Arial"/>
                <w:sz w:val="20"/>
              </w:rPr>
            </w:pPr>
            <w:r w:rsidRPr="00CF6268">
              <w:rPr>
                <w:rFonts w:ascii="Arial" w:hAnsi="Arial" w:cs="Arial"/>
                <w:sz w:val="20"/>
              </w:rPr>
              <w:t>92.46</w:t>
            </w:r>
          </w:p>
        </w:tc>
      </w:tr>
      <w:tr w:rsidR="003320C6" w:rsidRPr="00CF6268" w14:paraId="6F3D85AF" w14:textId="77777777" w:rsidTr="003320C6">
        <w:trPr>
          <w:tblCellSpacing w:w="15" w:type="dxa"/>
        </w:trPr>
        <w:tc>
          <w:tcPr>
            <w:tcW w:w="1940" w:type="dxa"/>
            <w:vAlign w:val="center"/>
            <w:hideMark/>
          </w:tcPr>
          <w:p w14:paraId="0E47588F" w14:textId="77777777" w:rsidR="003320C6" w:rsidRPr="00CF6268" w:rsidRDefault="003320C6" w:rsidP="003320C6">
            <w:pPr>
              <w:rPr>
                <w:rFonts w:ascii="Arial" w:hAnsi="Arial" w:cs="Arial"/>
                <w:sz w:val="20"/>
              </w:rPr>
            </w:pPr>
            <w:r w:rsidRPr="00CF6268">
              <w:rPr>
                <w:rFonts w:ascii="Arial" w:hAnsi="Arial" w:cs="Arial"/>
                <w:sz w:val="20"/>
              </w:rPr>
              <w:t>3</w:t>
            </w:r>
          </w:p>
        </w:tc>
        <w:tc>
          <w:tcPr>
            <w:tcW w:w="2947" w:type="dxa"/>
            <w:vAlign w:val="center"/>
            <w:hideMark/>
          </w:tcPr>
          <w:p w14:paraId="621D3140" w14:textId="77777777" w:rsidR="003320C6" w:rsidRPr="00CF6268" w:rsidRDefault="003320C6" w:rsidP="003320C6">
            <w:pPr>
              <w:rPr>
                <w:rFonts w:ascii="Arial" w:hAnsi="Arial" w:cs="Arial"/>
                <w:sz w:val="20"/>
              </w:rPr>
            </w:pPr>
            <w:r w:rsidRPr="00CF6268">
              <w:rPr>
                <w:rFonts w:ascii="Arial" w:hAnsi="Arial" w:cs="Arial"/>
                <w:sz w:val="20"/>
              </w:rPr>
              <w:t>11.15</w:t>
            </w:r>
          </w:p>
        </w:tc>
        <w:tc>
          <w:tcPr>
            <w:tcW w:w="3640" w:type="dxa"/>
            <w:vAlign w:val="center"/>
            <w:hideMark/>
          </w:tcPr>
          <w:p w14:paraId="14F75326" w14:textId="77777777" w:rsidR="003320C6" w:rsidRPr="00CF6268" w:rsidRDefault="003320C6" w:rsidP="003320C6">
            <w:pPr>
              <w:rPr>
                <w:rFonts w:ascii="Arial" w:hAnsi="Arial" w:cs="Arial"/>
                <w:sz w:val="20"/>
              </w:rPr>
            </w:pPr>
            <w:r w:rsidRPr="00CF6268">
              <w:rPr>
                <w:rFonts w:ascii="Arial" w:hAnsi="Arial" w:cs="Arial"/>
                <w:sz w:val="20"/>
              </w:rPr>
              <w:t>88.85</w:t>
            </w:r>
          </w:p>
        </w:tc>
      </w:tr>
      <w:tr w:rsidR="003320C6" w:rsidRPr="00CF6268" w14:paraId="374798CA" w14:textId="77777777" w:rsidTr="003320C6">
        <w:trPr>
          <w:tblCellSpacing w:w="15" w:type="dxa"/>
        </w:trPr>
        <w:tc>
          <w:tcPr>
            <w:tcW w:w="1940" w:type="dxa"/>
            <w:vAlign w:val="center"/>
            <w:hideMark/>
          </w:tcPr>
          <w:p w14:paraId="263E8336" w14:textId="77777777" w:rsidR="003320C6" w:rsidRPr="00CF6268" w:rsidRDefault="003320C6" w:rsidP="003320C6">
            <w:pPr>
              <w:rPr>
                <w:rFonts w:ascii="Arial" w:hAnsi="Arial" w:cs="Arial"/>
                <w:sz w:val="20"/>
              </w:rPr>
            </w:pPr>
            <w:r w:rsidRPr="00CF6268">
              <w:rPr>
                <w:rFonts w:ascii="Arial" w:hAnsi="Arial" w:cs="Arial"/>
                <w:sz w:val="20"/>
              </w:rPr>
              <w:t>4</w:t>
            </w:r>
          </w:p>
        </w:tc>
        <w:tc>
          <w:tcPr>
            <w:tcW w:w="2947" w:type="dxa"/>
            <w:vAlign w:val="center"/>
            <w:hideMark/>
          </w:tcPr>
          <w:p w14:paraId="473C732D" w14:textId="77777777" w:rsidR="003320C6" w:rsidRPr="00CF6268" w:rsidRDefault="003320C6" w:rsidP="003320C6">
            <w:pPr>
              <w:rPr>
                <w:rFonts w:ascii="Arial" w:hAnsi="Arial" w:cs="Arial"/>
                <w:sz w:val="20"/>
              </w:rPr>
            </w:pPr>
            <w:r w:rsidRPr="00CF6268">
              <w:rPr>
                <w:rFonts w:ascii="Arial" w:hAnsi="Arial" w:cs="Arial"/>
                <w:sz w:val="20"/>
              </w:rPr>
              <w:t>11.15</w:t>
            </w:r>
          </w:p>
        </w:tc>
        <w:tc>
          <w:tcPr>
            <w:tcW w:w="3640" w:type="dxa"/>
            <w:vAlign w:val="center"/>
            <w:hideMark/>
          </w:tcPr>
          <w:p w14:paraId="751B66E7" w14:textId="77777777" w:rsidR="003320C6" w:rsidRPr="00CF6268" w:rsidRDefault="003320C6" w:rsidP="003320C6">
            <w:pPr>
              <w:rPr>
                <w:rFonts w:ascii="Arial" w:hAnsi="Arial" w:cs="Arial"/>
                <w:sz w:val="20"/>
              </w:rPr>
            </w:pPr>
            <w:r w:rsidRPr="00CF6268">
              <w:rPr>
                <w:rFonts w:ascii="Arial" w:hAnsi="Arial" w:cs="Arial"/>
                <w:sz w:val="20"/>
              </w:rPr>
              <w:t>88.85</w:t>
            </w:r>
          </w:p>
        </w:tc>
      </w:tr>
      <w:tr w:rsidR="003320C6" w:rsidRPr="00CF6268" w14:paraId="68AB9002" w14:textId="77777777" w:rsidTr="003320C6">
        <w:trPr>
          <w:tblCellSpacing w:w="15" w:type="dxa"/>
        </w:trPr>
        <w:tc>
          <w:tcPr>
            <w:tcW w:w="1940" w:type="dxa"/>
            <w:vAlign w:val="center"/>
            <w:hideMark/>
          </w:tcPr>
          <w:p w14:paraId="50BD5460" w14:textId="77777777" w:rsidR="003320C6" w:rsidRPr="00CF6268" w:rsidRDefault="003320C6" w:rsidP="003320C6">
            <w:pPr>
              <w:rPr>
                <w:rFonts w:ascii="Arial" w:hAnsi="Arial" w:cs="Arial"/>
                <w:sz w:val="20"/>
              </w:rPr>
            </w:pPr>
            <w:r w:rsidRPr="00CF6268">
              <w:rPr>
                <w:rFonts w:ascii="Arial" w:hAnsi="Arial" w:cs="Arial"/>
                <w:sz w:val="20"/>
              </w:rPr>
              <w:t>5</w:t>
            </w:r>
          </w:p>
        </w:tc>
        <w:tc>
          <w:tcPr>
            <w:tcW w:w="2947" w:type="dxa"/>
            <w:vAlign w:val="center"/>
            <w:hideMark/>
          </w:tcPr>
          <w:p w14:paraId="0A5ABC4C" w14:textId="77777777" w:rsidR="003320C6" w:rsidRPr="00CF6268" w:rsidRDefault="003320C6" w:rsidP="003320C6">
            <w:pPr>
              <w:rPr>
                <w:rFonts w:ascii="Arial" w:hAnsi="Arial" w:cs="Arial"/>
                <w:sz w:val="20"/>
              </w:rPr>
            </w:pPr>
            <w:r w:rsidRPr="00CF6268">
              <w:rPr>
                <w:rFonts w:ascii="Arial" w:hAnsi="Arial" w:cs="Arial"/>
                <w:sz w:val="20"/>
              </w:rPr>
              <w:t>13.24</w:t>
            </w:r>
          </w:p>
        </w:tc>
        <w:tc>
          <w:tcPr>
            <w:tcW w:w="3640" w:type="dxa"/>
            <w:vAlign w:val="center"/>
            <w:hideMark/>
          </w:tcPr>
          <w:p w14:paraId="55F665C8" w14:textId="77777777" w:rsidR="003320C6" w:rsidRPr="00CF6268" w:rsidRDefault="003320C6" w:rsidP="003320C6">
            <w:pPr>
              <w:rPr>
                <w:rFonts w:ascii="Arial" w:hAnsi="Arial" w:cs="Arial"/>
                <w:sz w:val="20"/>
              </w:rPr>
            </w:pPr>
            <w:r w:rsidRPr="00CF6268">
              <w:rPr>
                <w:rFonts w:ascii="Arial" w:hAnsi="Arial" w:cs="Arial"/>
                <w:sz w:val="20"/>
              </w:rPr>
              <w:t>86.76</w:t>
            </w:r>
          </w:p>
        </w:tc>
      </w:tr>
      <w:tr w:rsidR="003320C6" w:rsidRPr="00CF6268" w14:paraId="008F4102" w14:textId="77777777" w:rsidTr="003320C6">
        <w:trPr>
          <w:tblCellSpacing w:w="15" w:type="dxa"/>
        </w:trPr>
        <w:tc>
          <w:tcPr>
            <w:tcW w:w="1940" w:type="dxa"/>
            <w:vAlign w:val="center"/>
            <w:hideMark/>
          </w:tcPr>
          <w:p w14:paraId="18C07B37" w14:textId="77777777" w:rsidR="003320C6" w:rsidRPr="00CF6268" w:rsidRDefault="003320C6" w:rsidP="003320C6">
            <w:pPr>
              <w:rPr>
                <w:rFonts w:ascii="Arial" w:hAnsi="Arial" w:cs="Arial"/>
                <w:sz w:val="20"/>
              </w:rPr>
            </w:pPr>
            <w:r w:rsidRPr="00CF6268">
              <w:rPr>
                <w:rFonts w:ascii="Arial" w:hAnsi="Arial" w:cs="Arial"/>
                <w:sz w:val="20"/>
              </w:rPr>
              <w:t>6</w:t>
            </w:r>
          </w:p>
        </w:tc>
        <w:tc>
          <w:tcPr>
            <w:tcW w:w="2947" w:type="dxa"/>
            <w:vAlign w:val="center"/>
            <w:hideMark/>
          </w:tcPr>
          <w:p w14:paraId="2B43A255" w14:textId="77777777" w:rsidR="003320C6" w:rsidRPr="00CF6268" w:rsidRDefault="003320C6" w:rsidP="003320C6">
            <w:pPr>
              <w:rPr>
                <w:rFonts w:ascii="Arial" w:hAnsi="Arial" w:cs="Arial"/>
                <w:sz w:val="20"/>
              </w:rPr>
            </w:pPr>
            <w:r w:rsidRPr="00CF6268">
              <w:rPr>
                <w:rFonts w:ascii="Arial" w:hAnsi="Arial" w:cs="Arial"/>
                <w:sz w:val="20"/>
              </w:rPr>
              <w:t>13.20</w:t>
            </w:r>
          </w:p>
        </w:tc>
        <w:tc>
          <w:tcPr>
            <w:tcW w:w="3640" w:type="dxa"/>
            <w:vAlign w:val="center"/>
            <w:hideMark/>
          </w:tcPr>
          <w:p w14:paraId="5CB756F1" w14:textId="77777777" w:rsidR="003320C6" w:rsidRPr="00CF6268" w:rsidRDefault="003320C6" w:rsidP="003320C6">
            <w:pPr>
              <w:rPr>
                <w:rFonts w:ascii="Arial" w:hAnsi="Arial" w:cs="Arial"/>
                <w:sz w:val="20"/>
              </w:rPr>
            </w:pPr>
            <w:r w:rsidRPr="00CF6268">
              <w:rPr>
                <w:rFonts w:ascii="Arial" w:hAnsi="Arial" w:cs="Arial"/>
                <w:sz w:val="20"/>
              </w:rPr>
              <w:t>86.80</w:t>
            </w:r>
          </w:p>
        </w:tc>
      </w:tr>
      <w:tr w:rsidR="003320C6" w:rsidRPr="00CF6268" w14:paraId="7755C3AE" w14:textId="77777777" w:rsidTr="003320C6">
        <w:trPr>
          <w:tblCellSpacing w:w="15" w:type="dxa"/>
        </w:trPr>
        <w:tc>
          <w:tcPr>
            <w:tcW w:w="1940" w:type="dxa"/>
            <w:vAlign w:val="center"/>
            <w:hideMark/>
          </w:tcPr>
          <w:p w14:paraId="12BD9AF5" w14:textId="77777777" w:rsidR="003320C6" w:rsidRPr="00CF6268" w:rsidRDefault="003320C6" w:rsidP="003320C6">
            <w:pPr>
              <w:rPr>
                <w:rFonts w:ascii="Arial" w:hAnsi="Arial" w:cs="Arial"/>
                <w:sz w:val="20"/>
              </w:rPr>
            </w:pPr>
            <w:r w:rsidRPr="00CF6268">
              <w:rPr>
                <w:rFonts w:ascii="Arial" w:hAnsi="Arial" w:cs="Arial"/>
                <w:sz w:val="20"/>
              </w:rPr>
              <w:t>7</w:t>
            </w:r>
          </w:p>
        </w:tc>
        <w:tc>
          <w:tcPr>
            <w:tcW w:w="2947" w:type="dxa"/>
            <w:vAlign w:val="center"/>
            <w:hideMark/>
          </w:tcPr>
          <w:p w14:paraId="0EEE6972" w14:textId="77777777" w:rsidR="003320C6" w:rsidRPr="00CF6268" w:rsidRDefault="003320C6" w:rsidP="003320C6">
            <w:pPr>
              <w:rPr>
                <w:rFonts w:ascii="Arial" w:hAnsi="Arial" w:cs="Arial"/>
                <w:sz w:val="20"/>
              </w:rPr>
            </w:pPr>
            <w:r w:rsidRPr="00CF6268">
              <w:rPr>
                <w:rFonts w:ascii="Arial" w:hAnsi="Arial" w:cs="Arial"/>
                <w:sz w:val="20"/>
              </w:rPr>
              <w:t>13.35</w:t>
            </w:r>
          </w:p>
        </w:tc>
        <w:tc>
          <w:tcPr>
            <w:tcW w:w="3640" w:type="dxa"/>
            <w:vAlign w:val="center"/>
            <w:hideMark/>
          </w:tcPr>
          <w:p w14:paraId="6B50017B" w14:textId="77777777" w:rsidR="003320C6" w:rsidRPr="00CF6268" w:rsidRDefault="003320C6" w:rsidP="003320C6">
            <w:pPr>
              <w:rPr>
                <w:rFonts w:ascii="Arial" w:hAnsi="Arial" w:cs="Arial"/>
                <w:sz w:val="20"/>
              </w:rPr>
            </w:pPr>
            <w:r w:rsidRPr="00CF6268">
              <w:rPr>
                <w:rFonts w:ascii="Arial" w:hAnsi="Arial" w:cs="Arial"/>
                <w:sz w:val="20"/>
              </w:rPr>
              <w:t>86.65</w:t>
            </w:r>
          </w:p>
        </w:tc>
      </w:tr>
      <w:tr w:rsidR="003320C6" w:rsidRPr="00CF6268" w14:paraId="22688B1C" w14:textId="77777777" w:rsidTr="003320C6">
        <w:trPr>
          <w:tblCellSpacing w:w="15" w:type="dxa"/>
        </w:trPr>
        <w:tc>
          <w:tcPr>
            <w:tcW w:w="1940" w:type="dxa"/>
            <w:vAlign w:val="center"/>
            <w:hideMark/>
          </w:tcPr>
          <w:p w14:paraId="3040D356" w14:textId="77777777" w:rsidR="003320C6" w:rsidRPr="00CF6268" w:rsidRDefault="003320C6" w:rsidP="003320C6">
            <w:pPr>
              <w:rPr>
                <w:rFonts w:ascii="Arial" w:hAnsi="Arial" w:cs="Arial"/>
                <w:sz w:val="20"/>
              </w:rPr>
            </w:pPr>
            <w:r w:rsidRPr="00CF6268">
              <w:rPr>
                <w:rFonts w:ascii="Arial" w:hAnsi="Arial" w:cs="Arial"/>
                <w:sz w:val="20"/>
              </w:rPr>
              <w:t>8</w:t>
            </w:r>
          </w:p>
        </w:tc>
        <w:tc>
          <w:tcPr>
            <w:tcW w:w="2947" w:type="dxa"/>
            <w:vAlign w:val="center"/>
            <w:hideMark/>
          </w:tcPr>
          <w:p w14:paraId="41F85E16" w14:textId="77777777" w:rsidR="003320C6" w:rsidRPr="00CF6268" w:rsidRDefault="003320C6" w:rsidP="003320C6">
            <w:pPr>
              <w:rPr>
                <w:rFonts w:ascii="Arial" w:hAnsi="Arial" w:cs="Arial"/>
                <w:sz w:val="20"/>
              </w:rPr>
            </w:pPr>
            <w:r w:rsidRPr="00CF6268">
              <w:rPr>
                <w:rFonts w:ascii="Arial" w:hAnsi="Arial" w:cs="Arial"/>
                <w:sz w:val="20"/>
              </w:rPr>
              <w:t>13.35</w:t>
            </w:r>
          </w:p>
        </w:tc>
        <w:tc>
          <w:tcPr>
            <w:tcW w:w="3640" w:type="dxa"/>
            <w:vAlign w:val="center"/>
            <w:hideMark/>
          </w:tcPr>
          <w:p w14:paraId="703E55A5" w14:textId="77777777" w:rsidR="003320C6" w:rsidRPr="00CF6268" w:rsidRDefault="003320C6" w:rsidP="003320C6">
            <w:pPr>
              <w:rPr>
                <w:rFonts w:ascii="Arial" w:hAnsi="Arial" w:cs="Arial"/>
                <w:sz w:val="20"/>
              </w:rPr>
            </w:pPr>
            <w:r w:rsidRPr="00CF6268">
              <w:rPr>
                <w:rFonts w:ascii="Arial" w:hAnsi="Arial" w:cs="Arial"/>
                <w:sz w:val="20"/>
              </w:rPr>
              <w:t>86.65</w:t>
            </w:r>
          </w:p>
        </w:tc>
      </w:tr>
      <w:tr w:rsidR="003320C6" w:rsidRPr="00CF6268" w14:paraId="361F2225" w14:textId="77777777" w:rsidTr="003320C6">
        <w:trPr>
          <w:tblCellSpacing w:w="15" w:type="dxa"/>
        </w:trPr>
        <w:tc>
          <w:tcPr>
            <w:tcW w:w="1940" w:type="dxa"/>
            <w:vAlign w:val="center"/>
            <w:hideMark/>
          </w:tcPr>
          <w:p w14:paraId="1FAD87DE" w14:textId="77777777" w:rsidR="003320C6" w:rsidRPr="00CF6268" w:rsidRDefault="003320C6" w:rsidP="003320C6">
            <w:pPr>
              <w:rPr>
                <w:rFonts w:ascii="Arial" w:hAnsi="Arial" w:cs="Arial"/>
                <w:sz w:val="20"/>
              </w:rPr>
            </w:pPr>
            <w:r w:rsidRPr="00CF6268">
              <w:rPr>
                <w:rFonts w:ascii="Arial" w:hAnsi="Arial" w:cs="Arial"/>
                <w:sz w:val="20"/>
              </w:rPr>
              <w:t>9</w:t>
            </w:r>
          </w:p>
        </w:tc>
        <w:tc>
          <w:tcPr>
            <w:tcW w:w="2947" w:type="dxa"/>
            <w:vAlign w:val="center"/>
            <w:hideMark/>
          </w:tcPr>
          <w:p w14:paraId="5F420931" w14:textId="77777777" w:rsidR="003320C6" w:rsidRPr="00CF6268" w:rsidRDefault="003320C6" w:rsidP="003320C6">
            <w:pPr>
              <w:rPr>
                <w:rFonts w:ascii="Arial" w:hAnsi="Arial" w:cs="Arial"/>
                <w:sz w:val="20"/>
              </w:rPr>
            </w:pPr>
            <w:r w:rsidRPr="00CF6268">
              <w:rPr>
                <w:rFonts w:ascii="Arial" w:hAnsi="Arial" w:cs="Arial"/>
                <w:sz w:val="20"/>
              </w:rPr>
              <w:t>13.35</w:t>
            </w:r>
          </w:p>
        </w:tc>
        <w:tc>
          <w:tcPr>
            <w:tcW w:w="3640" w:type="dxa"/>
            <w:vAlign w:val="center"/>
            <w:hideMark/>
          </w:tcPr>
          <w:p w14:paraId="036789D3" w14:textId="77777777" w:rsidR="003320C6" w:rsidRPr="00CF6268" w:rsidRDefault="003320C6" w:rsidP="003320C6">
            <w:pPr>
              <w:rPr>
                <w:rFonts w:ascii="Arial" w:hAnsi="Arial" w:cs="Arial"/>
                <w:sz w:val="20"/>
              </w:rPr>
            </w:pPr>
            <w:r w:rsidRPr="00CF6268">
              <w:rPr>
                <w:rFonts w:ascii="Arial" w:hAnsi="Arial" w:cs="Arial"/>
                <w:sz w:val="20"/>
              </w:rPr>
              <w:t>86.65</w:t>
            </w:r>
          </w:p>
        </w:tc>
      </w:tr>
      <w:tr w:rsidR="003320C6" w:rsidRPr="00CF6268" w14:paraId="2D0022E2" w14:textId="77777777" w:rsidTr="003320C6">
        <w:trPr>
          <w:tblCellSpacing w:w="15" w:type="dxa"/>
        </w:trPr>
        <w:tc>
          <w:tcPr>
            <w:tcW w:w="1940" w:type="dxa"/>
            <w:vAlign w:val="center"/>
            <w:hideMark/>
          </w:tcPr>
          <w:p w14:paraId="636DABA6" w14:textId="77777777" w:rsidR="003320C6" w:rsidRPr="00CF6268" w:rsidRDefault="003320C6" w:rsidP="003320C6">
            <w:pPr>
              <w:rPr>
                <w:rFonts w:ascii="Arial" w:hAnsi="Arial" w:cs="Arial"/>
                <w:sz w:val="20"/>
              </w:rPr>
            </w:pPr>
            <w:r w:rsidRPr="00CF6268">
              <w:rPr>
                <w:rFonts w:ascii="Arial" w:hAnsi="Arial" w:cs="Arial"/>
                <w:sz w:val="20"/>
              </w:rPr>
              <w:t>10</w:t>
            </w:r>
          </w:p>
        </w:tc>
        <w:tc>
          <w:tcPr>
            <w:tcW w:w="2947" w:type="dxa"/>
            <w:vAlign w:val="center"/>
            <w:hideMark/>
          </w:tcPr>
          <w:p w14:paraId="015EE0B7" w14:textId="77777777" w:rsidR="003320C6" w:rsidRPr="00CF6268" w:rsidRDefault="003320C6" w:rsidP="003320C6">
            <w:pPr>
              <w:rPr>
                <w:rFonts w:ascii="Arial" w:hAnsi="Arial" w:cs="Arial"/>
                <w:sz w:val="20"/>
              </w:rPr>
            </w:pPr>
            <w:r w:rsidRPr="00CF6268">
              <w:rPr>
                <w:rFonts w:ascii="Arial" w:hAnsi="Arial" w:cs="Arial"/>
                <w:sz w:val="20"/>
              </w:rPr>
              <w:t>13.38</w:t>
            </w:r>
          </w:p>
        </w:tc>
        <w:tc>
          <w:tcPr>
            <w:tcW w:w="3640" w:type="dxa"/>
            <w:vAlign w:val="center"/>
            <w:hideMark/>
          </w:tcPr>
          <w:p w14:paraId="2FDF850D" w14:textId="77777777" w:rsidR="003320C6" w:rsidRPr="00CF6268" w:rsidRDefault="003320C6" w:rsidP="003320C6">
            <w:pPr>
              <w:rPr>
                <w:rFonts w:ascii="Arial" w:hAnsi="Arial" w:cs="Arial"/>
                <w:sz w:val="20"/>
              </w:rPr>
            </w:pPr>
            <w:r w:rsidRPr="00CF6268">
              <w:rPr>
                <w:rFonts w:ascii="Arial" w:hAnsi="Arial" w:cs="Arial"/>
                <w:sz w:val="20"/>
              </w:rPr>
              <w:t>86.62</w:t>
            </w:r>
          </w:p>
        </w:tc>
      </w:tr>
    </w:tbl>
    <w:p w14:paraId="7947114D" w14:textId="77777777" w:rsidR="008628CC" w:rsidRPr="00CF6268" w:rsidRDefault="008628CC" w:rsidP="008628CC">
      <w:pPr>
        <w:rPr>
          <w:rFonts w:ascii="Arial" w:hAnsi="Arial" w:cs="Arial"/>
          <w:sz w:val="20"/>
        </w:rPr>
      </w:pPr>
      <w:r w:rsidRPr="00CF6268">
        <w:rPr>
          <w:rFonts w:ascii="Arial" w:hAnsi="Arial" w:cs="Arial"/>
          <w:sz w:val="20"/>
        </w:rPr>
        <w:t>Source: Authors</w:t>
      </w:r>
    </w:p>
    <w:p w14:paraId="366FAD53" w14:textId="77777777" w:rsidR="00F42326" w:rsidRDefault="00F42326" w:rsidP="005C6743">
      <w:pPr>
        <w:jc w:val="both"/>
        <w:rPr>
          <w:rFonts w:asciiTheme="majorBidi" w:hAnsiTheme="majorBidi" w:cstheme="majorBidi"/>
        </w:rPr>
        <w:sectPr w:rsidR="00F42326" w:rsidSect="0022105B">
          <w:type w:val="continuous"/>
          <w:pgSz w:w="11906" w:h="16838"/>
          <w:pgMar w:top="1440" w:right="1440" w:bottom="1440" w:left="1440" w:header="708" w:footer="708" w:gutter="0"/>
          <w:cols w:space="708"/>
          <w:docGrid w:linePitch="360"/>
        </w:sectPr>
      </w:pPr>
    </w:p>
    <w:p w14:paraId="75590C0F" w14:textId="77777777" w:rsidR="005C6743" w:rsidRPr="00CF6268" w:rsidRDefault="00D6661F" w:rsidP="005C6743">
      <w:pPr>
        <w:jc w:val="both"/>
        <w:rPr>
          <w:rFonts w:ascii="Arial" w:hAnsi="Arial" w:cs="Arial"/>
          <w:sz w:val="20"/>
          <w:szCs w:val="20"/>
        </w:rPr>
      </w:pPr>
      <w:r w:rsidRPr="00CF6268">
        <w:rPr>
          <w:rFonts w:ascii="Arial" w:hAnsi="Arial" w:cs="Arial"/>
          <w:sz w:val="20"/>
          <w:szCs w:val="20"/>
        </w:rPr>
        <w:t xml:space="preserve">From Figure 2, </w:t>
      </w:r>
      <w:r w:rsidR="008D0B50" w:rsidRPr="00CF6268">
        <w:rPr>
          <w:rFonts w:ascii="Arial" w:hAnsi="Arial" w:cs="Arial"/>
          <w:sz w:val="20"/>
          <w:szCs w:val="20"/>
        </w:rPr>
        <w:t>t</w:t>
      </w:r>
      <w:r w:rsidR="005C6743" w:rsidRPr="00CF6268">
        <w:rPr>
          <w:rFonts w:ascii="Arial" w:hAnsi="Arial" w:cs="Arial"/>
          <w:sz w:val="20"/>
          <w:szCs w:val="20"/>
        </w:rPr>
        <w:t xml:space="preserve">he FEVD bar charts show the share of forecast error variance attributed to own-dynamics (dark gray) versus cross-variable shocks (light gray) across eight horizons. For </w:t>
      </w:r>
      <w:proofErr w:type="spellStart"/>
      <w:r w:rsidR="005C6743" w:rsidRPr="00CF6268">
        <w:rPr>
          <w:rFonts w:ascii="Arial" w:hAnsi="Arial" w:cs="Arial"/>
          <w:sz w:val="20"/>
          <w:szCs w:val="20"/>
        </w:rPr>
        <w:t>OilPrice</w:t>
      </w:r>
      <w:proofErr w:type="spellEnd"/>
      <w:r w:rsidR="005C6743" w:rsidRPr="00CF6268">
        <w:rPr>
          <w:rFonts w:ascii="Arial" w:hAnsi="Arial" w:cs="Arial"/>
          <w:sz w:val="20"/>
          <w:szCs w:val="20"/>
        </w:rPr>
        <w:t xml:space="preserve">, near 100% of its forecast variance at all horizons stems from its own shocks, with GDP contributing almost zero. Conversely, GDP’s forecast variance is driven almost entirely by its own innovations, with </w:t>
      </w:r>
      <w:proofErr w:type="spellStart"/>
      <w:r w:rsidR="005C6743" w:rsidRPr="00CF6268">
        <w:rPr>
          <w:rFonts w:ascii="Arial" w:hAnsi="Arial" w:cs="Arial"/>
          <w:sz w:val="20"/>
          <w:szCs w:val="20"/>
        </w:rPr>
        <w:t>OilPrice’s</w:t>
      </w:r>
      <w:proofErr w:type="spellEnd"/>
      <w:r w:rsidR="005C6743" w:rsidRPr="00CF6268">
        <w:rPr>
          <w:rFonts w:ascii="Arial" w:hAnsi="Arial" w:cs="Arial"/>
          <w:sz w:val="20"/>
          <w:szCs w:val="20"/>
        </w:rPr>
        <w:t xml:space="preserve"> share negligible.</w:t>
      </w:r>
    </w:p>
    <w:p w14:paraId="7430A384" w14:textId="77777777" w:rsidR="005C6743" w:rsidRPr="00CF6268" w:rsidRDefault="005C6743" w:rsidP="00616DBA">
      <w:pPr>
        <w:jc w:val="both"/>
        <w:rPr>
          <w:rFonts w:ascii="Arial" w:hAnsi="Arial" w:cs="Arial"/>
          <w:sz w:val="20"/>
          <w:szCs w:val="20"/>
        </w:rPr>
      </w:pPr>
      <w:r w:rsidRPr="00CF6268">
        <w:rPr>
          <w:rFonts w:ascii="Arial" w:hAnsi="Arial" w:cs="Arial"/>
          <w:sz w:val="20"/>
          <w:szCs w:val="20"/>
        </w:rPr>
        <w:t>The minimal cross-variable contributions indicate that in the estimated VAR, oil-price and GDP forecast errors evolve largely independently. Shocks to oil prices have virtually no predictive power for GDP variance, and vice versa, over an eight-period span.</w:t>
      </w:r>
      <w:r w:rsidR="00577A0F">
        <w:rPr>
          <w:rFonts w:ascii="Arial" w:hAnsi="Arial" w:cs="Arial"/>
          <w:sz w:val="20"/>
          <w:szCs w:val="20"/>
        </w:rPr>
        <w:t xml:space="preserve"> </w:t>
      </w:r>
      <w:r w:rsidRPr="00CF6268">
        <w:rPr>
          <w:rFonts w:ascii="Arial" w:hAnsi="Arial" w:cs="Arial"/>
          <w:sz w:val="20"/>
          <w:szCs w:val="20"/>
        </w:rPr>
        <w:t>These charts tell us that surprises in oil prices mostly explain themselves and don’t meaningfully predict changes in Nigeria’s economy. Likewise, surprises in the economy don’t predict oil-price changes. They behave like separate stories. Given this decoupling:</w:t>
      </w:r>
      <w:r w:rsidR="00616DBA" w:rsidRPr="00CF6268">
        <w:rPr>
          <w:rFonts w:ascii="Arial" w:hAnsi="Arial" w:cs="Arial"/>
          <w:sz w:val="20"/>
          <w:szCs w:val="20"/>
        </w:rPr>
        <w:t xml:space="preserve"> (</w:t>
      </w:r>
      <w:proofErr w:type="spellStart"/>
      <w:r w:rsidR="00616DBA" w:rsidRPr="00CF6268">
        <w:rPr>
          <w:rFonts w:ascii="Arial" w:hAnsi="Arial" w:cs="Arial"/>
          <w:sz w:val="20"/>
          <w:szCs w:val="20"/>
        </w:rPr>
        <w:t>i</w:t>
      </w:r>
      <w:proofErr w:type="spellEnd"/>
      <w:r w:rsidR="00616DBA" w:rsidRPr="00CF6268">
        <w:rPr>
          <w:rFonts w:ascii="Arial" w:hAnsi="Arial" w:cs="Arial"/>
          <w:sz w:val="20"/>
          <w:szCs w:val="20"/>
        </w:rPr>
        <w:t xml:space="preserve">) </w:t>
      </w:r>
      <w:r w:rsidRPr="00CF6268">
        <w:rPr>
          <w:rFonts w:ascii="Arial" w:hAnsi="Arial" w:cs="Arial"/>
          <w:sz w:val="20"/>
          <w:szCs w:val="20"/>
        </w:rPr>
        <w:t>Fiscal buffers and stabilization funds can focus on smoothing oil revenue without expecting large spillovers onto GDP forecasts</w:t>
      </w:r>
      <w:r w:rsidR="00616DBA" w:rsidRPr="00CF6268">
        <w:rPr>
          <w:rFonts w:ascii="Arial" w:hAnsi="Arial" w:cs="Arial"/>
          <w:sz w:val="20"/>
          <w:szCs w:val="20"/>
        </w:rPr>
        <w:t xml:space="preserve">; (ii) </w:t>
      </w:r>
      <w:r w:rsidRPr="00CF6268">
        <w:rPr>
          <w:rFonts w:ascii="Arial" w:hAnsi="Arial" w:cs="Arial"/>
          <w:sz w:val="20"/>
          <w:szCs w:val="20"/>
        </w:rPr>
        <w:t>Economic diversification efforts should proceed independently, as stabilizing GDP requires non-oil interventions</w:t>
      </w:r>
      <w:r w:rsidR="00616DBA" w:rsidRPr="00CF6268">
        <w:rPr>
          <w:rFonts w:ascii="Arial" w:hAnsi="Arial" w:cs="Arial"/>
          <w:sz w:val="20"/>
          <w:szCs w:val="20"/>
        </w:rPr>
        <w:t xml:space="preserve">; (iii) </w:t>
      </w:r>
      <w:r w:rsidRPr="00CF6268">
        <w:rPr>
          <w:rFonts w:ascii="Arial" w:hAnsi="Arial" w:cs="Arial"/>
          <w:sz w:val="20"/>
          <w:szCs w:val="20"/>
        </w:rPr>
        <w:t>Monetary policy can target domestic demand without undue concern for oil-price shock transmissions.</w:t>
      </w:r>
    </w:p>
    <w:p w14:paraId="08FDF9C4" w14:textId="77777777" w:rsidR="00F42326" w:rsidRPr="00CF6268" w:rsidRDefault="00F42326" w:rsidP="00857578">
      <w:pPr>
        <w:jc w:val="both"/>
        <w:rPr>
          <w:rFonts w:ascii="Arial" w:hAnsi="Arial" w:cs="Arial"/>
          <w:sz w:val="20"/>
          <w:szCs w:val="20"/>
        </w:rPr>
        <w:sectPr w:rsidR="00F42326" w:rsidRPr="00CF6268" w:rsidSect="002F7CCF">
          <w:type w:val="continuous"/>
          <w:pgSz w:w="11906" w:h="16838"/>
          <w:pgMar w:top="1440" w:right="1440" w:bottom="1440" w:left="1440" w:header="708" w:footer="708" w:gutter="0"/>
          <w:cols w:space="708"/>
          <w:docGrid w:linePitch="360"/>
        </w:sectPr>
      </w:pPr>
    </w:p>
    <w:p w14:paraId="12637C98" w14:textId="77777777" w:rsidR="002F7CCF" w:rsidRPr="00CF6268" w:rsidRDefault="002F7CCF" w:rsidP="00857578">
      <w:pPr>
        <w:jc w:val="both"/>
        <w:rPr>
          <w:rFonts w:ascii="Arial" w:hAnsi="Arial" w:cs="Arial"/>
          <w:sz w:val="20"/>
          <w:szCs w:val="20"/>
        </w:rPr>
        <w:sectPr w:rsidR="002F7CCF" w:rsidRPr="00CF6268" w:rsidSect="0022105B">
          <w:type w:val="continuous"/>
          <w:pgSz w:w="11906" w:h="16838"/>
          <w:pgMar w:top="1440" w:right="1440" w:bottom="1440" w:left="1440" w:header="708" w:footer="708" w:gutter="0"/>
          <w:cols w:space="708"/>
          <w:docGrid w:linePitch="360"/>
        </w:sectPr>
      </w:pPr>
    </w:p>
    <w:p w14:paraId="0DAF8307" w14:textId="77777777" w:rsidR="00857578" w:rsidRDefault="00857578" w:rsidP="00857578">
      <w:pPr>
        <w:jc w:val="both"/>
        <w:rPr>
          <w:rFonts w:asciiTheme="majorBidi" w:hAnsiTheme="majorBidi" w:cstheme="majorBidi"/>
        </w:rPr>
      </w:pPr>
    </w:p>
    <w:p w14:paraId="214252AD" w14:textId="77777777" w:rsidR="00AC174E" w:rsidRDefault="005C6743" w:rsidP="00857578">
      <w:pPr>
        <w:jc w:val="both"/>
      </w:pPr>
      <w:r>
        <w:rPr>
          <w:noProof/>
        </w:rPr>
        <w:drawing>
          <wp:inline distT="0" distB="0" distL="0" distR="0" wp14:anchorId="6C2E3423" wp14:editId="43931E1F">
            <wp:extent cx="5798756" cy="1152525"/>
            <wp:effectExtent l="1905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ic:nvPicPr>
                  <pic:blipFill>
                    <a:blip r:embed="rId17"/>
                    <a:stretch>
                      <a:fillRect/>
                    </a:stretch>
                  </pic:blipFill>
                  <pic:spPr bwMode="auto">
                    <a:xfrm>
                      <a:off x="0" y="0"/>
                      <a:ext cx="5844901" cy="1161696"/>
                    </a:xfrm>
                    <a:prstGeom prst="rect">
                      <a:avLst/>
                    </a:prstGeom>
                    <a:noFill/>
                    <a:ln w="9525">
                      <a:noFill/>
                      <a:headEnd/>
                      <a:tailEnd/>
                    </a:ln>
                  </pic:spPr>
                </pic:pic>
              </a:graphicData>
            </a:graphic>
          </wp:inline>
        </w:drawing>
      </w:r>
    </w:p>
    <w:p w14:paraId="086A73FE" w14:textId="77777777" w:rsidR="005B6D1F" w:rsidRPr="00CF6268" w:rsidRDefault="00D6661F" w:rsidP="005C6743">
      <w:pPr>
        <w:spacing w:after="0"/>
        <w:rPr>
          <w:rFonts w:ascii="Arial" w:hAnsi="Arial" w:cs="Arial"/>
          <w:sz w:val="20"/>
        </w:rPr>
      </w:pPr>
      <w:r w:rsidRPr="00CF6268">
        <w:rPr>
          <w:rFonts w:ascii="Arial" w:hAnsi="Arial" w:cs="Arial"/>
          <w:sz w:val="20"/>
        </w:rPr>
        <w:t xml:space="preserve">Figure 2: </w:t>
      </w:r>
      <w:r w:rsidR="005B6D1F" w:rsidRPr="00CF6268">
        <w:rPr>
          <w:rFonts w:ascii="Arial" w:hAnsi="Arial" w:cs="Arial"/>
          <w:sz w:val="20"/>
        </w:rPr>
        <w:t>Forecast Error Variance Decomposition (FEVD)</w:t>
      </w:r>
    </w:p>
    <w:p w14:paraId="76F09323" w14:textId="77777777" w:rsidR="008628CC" w:rsidRPr="00CF6268" w:rsidRDefault="008628CC" w:rsidP="005C6743">
      <w:pPr>
        <w:spacing w:after="0"/>
        <w:rPr>
          <w:rFonts w:ascii="Arial" w:hAnsi="Arial" w:cs="Arial"/>
          <w:sz w:val="20"/>
        </w:rPr>
      </w:pPr>
      <w:r w:rsidRPr="00CF6268">
        <w:rPr>
          <w:rFonts w:ascii="Arial" w:hAnsi="Arial" w:cs="Arial"/>
          <w:sz w:val="20"/>
        </w:rPr>
        <w:lastRenderedPageBreak/>
        <w:t>Source: Authors</w:t>
      </w:r>
    </w:p>
    <w:bookmarkEnd w:id="4"/>
    <w:p w14:paraId="0649AAF1" w14:textId="77777777" w:rsidR="00AC174E" w:rsidRPr="00CF6268" w:rsidRDefault="00AC174E">
      <w:pPr>
        <w:rPr>
          <w:rFonts w:ascii="Arial" w:hAnsi="Arial" w:cs="Arial"/>
          <w:sz w:val="20"/>
        </w:rPr>
      </w:pPr>
    </w:p>
    <w:p w14:paraId="532F9187" w14:textId="77777777" w:rsidR="00F42326" w:rsidRPr="00CF6268" w:rsidRDefault="00F42326">
      <w:pPr>
        <w:rPr>
          <w:rFonts w:ascii="Arial" w:hAnsi="Arial" w:cs="Arial"/>
          <w:b/>
          <w:bCs/>
          <w:sz w:val="20"/>
        </w:rPr>
        <w:sectPr w:rsidR="00F42326" w:rsidRPr="00CF6268" w:rsidSect="0022105B">
          <w:type w:val="continuous"/>
          <w:pgSz w:w="11906" w:h="16838"/>
          <w:pgMar w:top="1440" w:right="1440" w:bottom="1440" w:left="1440" w:header="708" w:footer="708" w:gutter="0"/>
          <w:cols w:space="708"/>
          <w:docGrid w:linePitch="360"/>
        </w:sectPr>
      </w:pPr>
    </w:p>
    <w:p w14:paraId="62EEC7CD" w14:textId="77777777" w:rsidR="00AC174E" w:rsidRPr="00CF6268" w:rsidRDefault="00F741CF" w:rsidP="002F7CCF">
      <w:pPr>
        <w:jc w:val="both"/>
        <w:rPr>
          <w:rFonts w:ascii="Arial" w:hAnsi="Arial" w:cs="Arial"/>
          <w:b/>
          <w:bCs/>
          <w:sz w:val="20"/>
        </w:rPr>
      </w:pPr>
      <w:r w:rsidRPr="00CF6268">
        <w:rPr>
          <w:rFonts w:ascii="Arial" w:hAnsi="Arial" w:cs="Arial"/>
          <w:b/>
          <w:bCs/>
          <w:sz w:val="20"/>
        </w:rPr>
        <w:t>5.0 CONCLUSION</w:t>
      </w:r>
      <w:r w:rsidR="00E96471" w:rsidRPr="00CF6268">
        <w:rPr>
          <w:rFonts w:ascii="Arial" w:hAnsi="Arial" w:cs="Arial"/>
          <w:b/>
          <w:bCs/>
          <w:sz w:val="20"/>
        </w:rPr>
        <w:t>S</w:t>
      </w:r>
      <w:r w:rsidRPr="00CF6268">
        <w:rPr>
          <w:rFonts w:ascii="Arial" w:hAnsi="Arial" w:cs="Arial"/>
          <w:b/>
          <w:bCs/>
          <w:sz w:val="20"/>
        </w:rPr>
        <w:t xml:space="preserve"> AND RECOMMENDATION</w:t>
      </w:r>
      <w:r w:rsidR="00E96471" w:rsidRPr="00CF6268">
        <w:rPr>
          <w:rFonts w:ascii="Arial" w:hAnsi="Arial" w:cs="Arial"/>
          <w:b/>
          <w:bCs/>
          <w:sz w:val="20"/>
        </w:rPr>
        <w:t>S</w:t>
      </w:r>
    </w:p>
    <w:p w14:paraId="7D73E28E" w14:textId="77777777" w:rsidR="00E96471" w:rsidRPr="00CF6268" w:rsidRDefault="00015A3F" w:rsidP="002F7CCF">
      <w:pPr>
        <w:jc w:val="both"/>
        <w:rPr>
          <w:rFonts w:ascii="Arial" w:hAnsi="Arial" w:cs="Arial"/>
          <w:b/>
          <w:bCs/>
          <w:sz w:val="20"/>
        </w:rPr>
      </w:pPr>
      <w:r w:rsidRPr="00CF6268">
        <w:rPr>
          <w:rFonts w:ascii="Arial" w:hAnsi="Arial" w:cs="Arial"/>
          <w:b/>
          <w:bCs/>
          <w:sz w:val="20"/>
        </w:rPr>
        <w:t xml:space="preserve">5.1 CONCLUSIONS </w:t>
      </w:r>
    </w:p>
    <w:p w14:paraId="61C74EAE" w14:textId="77777777" w:rsidR="00240939" w:rsidRPr="00CF6268" w:rsidRDefault="00240939" w:rsidP="002F7CCF">
      <w:pPr>
        <w:jc w:val="both"/>
        <w:rPr>
          <w:rFonts w:ascii="Arial" w:hAnsi="Arial" w:cs="Arial"/>
          <w:sz w:val="20"/>
        </w:rPr>
      </w:pPr>
      <w:r w:rsidRPr="00CF6268">
        <w:rPr>
          <w:rFonts w:ascii="Arial" w:hAnsi="Arial" w:cs="Arial"/>
          <w:sz w:val="20"/>
        </w:rPr>
        <w:t>Orthogonal IRFs show that a one-standard-deviation oil</w:t>
      </w:r>
      <w:r w:rsidRPr="00CF6268">
        <w:rPr>
          <w:rFonts w:asciiTheme="majorBidi" w:hAnsiTheme="majorBidi" w:cs="Arial"/>
          <w:sz w:val="20"/>
        </w:rPr>
        <w:t>‐</w:t>
      </w:r>
      <w:r w:rsidRPr="00CF6268">
        <w:rPr>
          <w:rFonts w:ascii="Arial" w:hAnsi="Arial" w:cs="Arial"/>
          <w:sz w:val="20"/>
        </w:rPr>
        <w:t>price shock yields, at best, a 0.9 percent boost to GDP in period 2 and 0.67 percent in period 3, before decaying to zero. All 95 percent confidence intervals straddle zero, confirming the absence of statistically significant causal effects. Likewise, GDP shocks have no detectable feedback on oil</w:t>
      </w:r>
      <w:r w:rsidRPr="00CF6268">
        <w:rPr>
          <w:rFonts w:asciiTheme="majorBidi" w:hAnsiTheme="majorBidi" w:cs="Arial"/>
          <w:sz w:val="20"/>
        </w:rPr>
        <w:t>‐</w:t>
      </w:r>
      <w:r w:rsidRPr="00CF6268">
        <w:rPr>
          <w:rFonts w:ascii="Arial" w:hAnsi="Arial" w:cs="Arial"/>
          <w:sz w:val="20"/>
        </w:rPr>
        <w:t>price growth.</w:t>
      </w:r>
    </w:p>
    <w:p w14:paraId="36225509" w14:textId="77777777" w:rsidR="00240939" w:rsidRPr="00CF6268" w:rsidRDefault="00240939" w:rsidP="002F7CCF">
      <w:pPr>
        <w:jc w:val="both"/>
        <w:rPr>
          <w:rFonts w:ascii="Arial" w:hAnsi="Arial" w:cs="Arial"/>
          <w:sz w:val="20"/>
        </w:rPr>
      </w:pPr>
      <w:r w:rsidRPr="00CF6268">
        <w:rPr>
          <w:rFonts w:ascii="Arial" w:hAnsi="Arial" w:cs="Arial"/>
          <w:sz w:val="20"/>
        </w:rPr>
        <w:t>Forecast</w:t>
      </w:r>
      <w:r w:rsidRPr="00CF6268">
        <w:rPr>
          <w:rFonts w:asciiTheme="majorBidi" w:hAnsiTheme="majorBidi" w:cs="Arial"/>
          <w:sz w:val="20"/>
        </w:rPr>
        <w:t>‐</w:t>
      </w:r>
      <w:r w:rsidRPr="00CF6268">
        <w:rPr>
          <w:rFonts w:ascii="Arial" w:hAnsi="Arial" w:cs="Arial"/>
          <w:sz w:val="20"/>
        </w:rPr>
        <w:t>error variance decomposition reveals that oil</w:t>
      </w:r>
      <w:r w:rsidRPr="00CF6268">
        <w:rPr>
          <w:rFonts w:asciiTheme="majorBidi" w:hAnsiTheme="majorBidi" w:cs="Arial"/>
          <w:sz w:val="20"/>
        </w:rPr>
        <w:t>‐</w:t>
      </w:r>
      <w:r w:rsidRPr="00CF6268">
        <w:rPr>
          <w:rFonts w:ascii="Arial" w:hAnsi="Arial" w:cs="Arial"/>
          <w:sz w:val="20"/>
        </w:rPr>
        <w:t>price shocks account for only about 13 percent of GDP forecast variance by horizon 10, while over 87 percent remains driven by endogenous output dynamics. Conversely, oil prices remain largely self</w:t>
      </w:r>
      <w:r w:rsidRPr="00CF6268">
        <w:rPr>
          <w:rFonts w:asciiTheme="majorBidi" w:hAnsiTheme="majorBidi" w:cs="Arial"/>
          <w:sz w:val="20"/>
        </w:rPr>
        <w:t>‐</w:t>
      </w:r>
      <w:r w:rsidRPr="00CF6268">
        <w:rPr>
          <w:rFonts w:ascii="Arial" w:hAnsi="Arial" w:cs="Arial"/>
          <w:sz w:val="20"/>
        </w:rPr>
        <w:t xml:space="preserve">driven, own shocks explain roughly 70 percent of forecast variance after ten periods. These results echo </w:t>
      </w:r>
      <w:bookmarkStart w:id="6" w:name="_Hlk204075508"/>
      <w:proofErr w:type="spellStart"/>
      <w:r w:rsidRPr="00CF6268">
        <w:rPr>
          <w:rFonts w:ascii="Arial" w:hAnsi="Arial" w:cs="Arial"/>
          <w:sz w:val="20"/>
        </w:rPr>
        <w:t>Ayadi</w:t>
      </w:r>
      <w:proofErr w:type="spellEnd"/>
      <w:r w:rsidRPr="00CF6268">
        <w:rPr>
          <w:rFonts w:ascii="Arial" w:hAnsi="Arial" w:cs="Arial"/>
          <w:sz w:val="20"/>
        </w:rPr>
        <w:t xml:space="preserve">, Chatterjee, and Obi (2000) and </w:t>
      </w:r>
      <w:bookmarkStart w:id="7" w:name="_Hlk204075223"/>
      <w:proofErr w:type="spellStart"/>
      <w:r w:rsidRPr="00CF6268">
        <w:rPr>
          <w:rFonts w:ascii="Arial" w:hAnsi="Arial" w:cs="Arial"/>
          <w:sz w:val="20"/>
        </w:rPr>
        <w:t>Gisser</w:t>
      </w:r>
      <w:bookmarkEnd w:id="7"/>
      <w:proofErr w:type="spellEnd"/>
      <w:r w:rsidRPr="00CF6268">
        <w:rPr>
          <w:rFonts w:ascii="Arial" w:hAnsi="Arial" w:cs="Arial"/>
          <w:sz w:val="20"/>
        </w:rPr>
        <w:t xml:space="preserve"> and Goodwin (1986), who documented rapid mean reversion in commodity-dependent economies.</w:t>
      </w:r>
    </w:p>
    <w:p w14:paraId="5E24FC5B" w14:textId="77777777" w:rsidR="00240939" w:rsidRPr="00CF6268" w:rsidRDefault="00240939" w:rsidP="002F7CCF">
      <w:pPr>
        <w:jc w:val="both"/>
        <w:rPr>
          <w:rFonts w:ascii="Arial" w:hAnsi="Arial" w:cs="Arial"/>
          <w:sz w:val="20"/>
        </w:rPr>
      </w:pPr>
      <w:r w:rsidRPr="00CF6268">
        <w:rPr>
          <w:rFonts w:ascii="Arial" w:hAnsi="Arial" w:cs="Arial"/>
          <w:sz w:val="20"/>
        </w:rPr>
        <w:t>The limited magnitude, persistence, and statistical insignificance of oil-induced GDP fluctuations mirror</w:t>
      </w:r>
      <w:r w:rsidR="002F7CCF" w:rsidRPr="00CF6268">
        <w:rPr>
          <w:rFonts w:ascii="Arial" w:hAnsi="Arial" w:cs="Arial"/>
          <w:sz w:val="20"/>
        </w:rPr>
        <w:t>s</w:t>
      </w:r>
      <w:r w:rsidRPr="00CF6268">
        <w:rPr>
          <w:rFonts w:ascii="Arial" w:hAnsi="Arial" w:cs="Arial"/>
          <w:sz w:val="20"/>
        </w:rPr>
        <w:t xml:space="preserve"> Alhassan and </w:t>
      </w:r>
      <w:proofErr w:type="spellStart"/>
      <w:r w:rsidRPr="00CF6268">
        <w:rPr>
          <w:rFonts w:ascii="Arial" w:hAnsi="Arial" w:cs="Arial"/>
          <w:sz w:val="20"/>
        </w:rPr>
        <w:t>Kilishi’s</w:t>
      </w:r>
      <w:proofErr w:type="spellEnd"/>
      <w:r w:rsidRPr="00CF6268">
        <w:rPr>
          <w:rFonts w:ascii="Arial" w:hAnsi="Arial" w:cs="Arial"/>
          <w:sz w:val="20"/>
        </w:rPr>
        <w:t xml:space="preserve"> (2016) and </w:t>
      </w:r>
      <w:proofErr w:type="spellStart"/>
      <w:r w:rsidRPr="00CF6268">
        <w:rPr>
          <w:rFonts w:ascii="Arial" w:hAnsi="Arial" w:cs="Arial"/>
          <w:sz w:val="20"/>
        </w:rPr>
        <w:t>Awujola</w:t>
      </w:r>
      <w:proofErr w:type="spellEnd"/>
      <w:r w:rsidRPr="00CF6268">
        <w:rPr>
          <w:rFonts w:ascii="Arial" w:hAnsi="Arial" w:cs="Arial"/>
          <w:sz w:val="20"/>
        </w:rPr>
        <w:t xml:space="preserve"> et al.’s (2020) evidence </w:t>
      </w:r>
      <w:bookmarkEnd w:id="6"/>
      <w:r w:rsidRPr="00CF6268">
        <w:rPr>
          <w:rFonts w:ascii="Arial" w:hAnsi="Arial" w:cs="Arial"/>
          <w:sz w:val="20"/>
        </w:rPr>
        <w:t>that oil revenues contribute only marginally to output variability.</w:t>
      </w:r>
    </w:p>
    <w:p w14:paraId="4BF210D7" w14:textId="77777777" w:rsidR="00E96471" w:rsidRPr="00CF6268" w:rsidRDefault="00015A3F" w:rsidP="002F7CCF">
      <w:pPr>
        <w:jc w:val="both"/>
        <w:rPr>
          <w:rFonts w:ascii="Arial" w:hAnsi="Arial" w:cs="Arial"/>
          <w:b/>
          <w:bCs/>
          <w:sz w:val="20"/>
        </w:rPr>
      </w:pPr>
      <w:r w:rsidRPr="00CF6268">
        <w:rPr>
          <w:rFonts w:ascii="Arial" w:hAnsi="Arial" w:cs="Arial"/>
          <w:b/>
          <w:bCs/>
          <w:sz w:val="20"/>
        </w:rPr>
        <w:t>5.2 POLICY RECOMMENDATIONS</w:t>
      </w:r>
    </w:p>
    <w:p w14:paraId="207CE385" w14:textId="77777777" w:rsidR="00240939" w:rsidRPr="00CF6268" w:rsidRDefault="00240939" w:rsidP="002F7CCF">
      <w:pPr>
        <w:jc w:val="both"/>
        <w:rPr>
          <w:rFonts w:ascii="Arial" w:hAnsi="Arial" w:cs="Arial"/>
          <w:sz w:val="20"/>
        </w:rPr>
      </w:pPr>
      <w:r w:rsidRPr="00CF6268">
        <w:rPr>
          <w:rFonts w:ascii="Arial" w:hAnsi="Arial" w:cs="Arial"/>
          <w:sz w:val="20"/>
        </w:rPr>
        <w:t xml:space="preserve">Fiscal Stabilization and Automatic Buffers: Establish a rule-based “oil </w:t>
      </w:r>
      <w:proofErr w:type="spellStart"/>
      <w:r w:rsidRPr="00CF6268">
        <w:rPr>
          <w:rFonts w:ascii="Arial" w:hAnsi="Arial" w:cs="Arial"/>
          <w:sz w:val="20"/>
        </w:rPr>
        <w:t>stabilisation</w:t>
      </w:r>
      <w:proofErr w:type="spellEnd"/>
      <w:r w:rsidRPr="00CF6268">
        <w:rPr>
          <w:rFonts w:ascii="Arial" w:hAnsi="Arial" w:cs="Arial"/>
          <w:sz w:val="20"/>
        </w:rPr>
        <w:t xml:space="preserve"> fund” that accumulates surpluses during price booms and disburses during busts, calibrated to absorb the 10-15 percent share of GDP volatility tied to oil shocks. Embed automatic fiscal triggers, saving when Brent exceeds a benchmark and deploying reserves when it falls below, to reduce ad hoc budget adjustments.</w:t>
      </w:r>
    </w:p>
    <w:p w14:paraId="72312FDE" w14:textId="77777777" w:rsidR="00240939" w:rsidRPr="00CF6268" w:rsidRDefault="00240939" w:rsidP="002F7CCF">
      <w:pPr>
        <w:jc w:val="both"/>
        <w:rPr>
          <w:rFonts w:ascii="Arial" w:hAnsi="Arial" w:cs="Arial"/>
          <w:sz w:val="20"/>
        </w:rPr>
      </w:pPr>
      <w:r w:rsidRPr="00CF6268">
        <w:rPr>
          <w:rFonts w:ascii="Arial" w:hAnsi="Arial" w:cs="Arial"/>
          <w:sz w:val="20"/>
        </w:rPr>
        <w:t>Economic Diversification: Accelerate structural reforms in agriculture, manufacturing, and digital services to shift the 87-99 percent of GDP variance away from petroleum.</w:t>
      </w:r>
      <w:r w:rsidR="002F7CCF" w:rsidRPr="00CF6268">
        <w:rPr>
          <w:rFonts w:ascii="Arial" w:hAnsi="Arial" w:cs="Arial"/>
          <w:sz w:val="20"/>
        </w:rPr>
        <w:t xml:space="preserve"> </w:t>
      </w:r>
      <w:r w:rsidRPr="00CF6268">
        <w:rPr>
          <w:rFonts w:ascii="Arial" w:hAnsi="Arial" w:cs="Arial"/>
          <w:sz w:val="20"/>
        </w:rPr>
        <w:t>Incentivize private-sector investment through tax breaks, streamlined regulations, and industry-specific infrastructure.</w:t>
      </w:r>
    </w:p>
    <w:p w14:paraId="64064D95" w14:textId="77777777" w:rsidR="00240939" w:rsidRPr="00CF6268" w:rsidRDefault="00240939" w:rsidP="002F7CCF">
      <w:pPr>
        <w:jc w:val="both"/>
        <w:rPr>
          <w:rFonts w:ascii="Arial" w:hAnsi="Arial" w:cs="Arial"/>
          <w:sz w:val="20"/>
        </w:rPr>
      </w:pPr>
      <w:r w:rsidRPr="00CF6268">
        <w:rPr>
          <w:rFonts w:ascii="Arial" w:hAnsi="Arial" w:cs="Arial"/>
          <w:sz w:val="20"/>
        </w:rPr>
        <w:t>Monetary and Exchange-Rate Policy Integration: Incorporate VAR</w:t>
      </w:r>
      <w:r w:rsidRPr="00CF6268">
        <w:rPr>
          <w:rFonts w:asciiTheme="majorBidi" w:hAnsiTheme="majorBidi" w:cs="Arial"/>
          <w:sz w:val="20"/>
        </w:rPr>
        <w:t>‐</w:t>
      </w:r>
      <w:r w:rsidRPr="00CF6268">
        <w:rPr>
          <w:rFonts w:ascii="Arial" w:hAnsi="Arial" w:cs="Arial"/>
          <w:sz w:val="20"/>
        </w:rPr>
        <w:t>based scenario analysis into Central Bank decision</w:t>
      </w:r>
      <w:r w:rsidRPr="00CF6268">
        <w:rPr>
          <w:rFonts w:asciiTheme="majorBidi" w:hAnsiTheme="majorBidi" w:cs="Arial"/>
          <w:sz w:val="20"/>
        </w:rPr>
        <w:t>‐</w:t>
      </w:r>
      <w:r w:rsidRPr="00CF6268">
        <w:rPr>
          <w:rFonts w:ascii="Arial" w:hAnsi="Arial" w:cs="Arial"/>
          <w:sz w:val="20"/>
        </w:rPr>
        <w:t>making, using IRFs and variance</w:t>
      </w:r>
      <w:r w:rsidRPr="00CF6268">
        <w:rPr>
          <w:rFonts w:asciiTheme="majorBidi" w:hAnsiTheme="majorBidi" w:cs="Arial"/>
          <w:sz w:val="20"/>
        </w:rPr>
        <w:t>‐</w:t>
      </w:r>
      <w:r w:rsidRPr="00CF6268">
        <w:rPr>
          <w:rFonts w:ascii="Arial" w:hAnsi="Arial" w:cs="Arial"/>
          <w:sz w:val="20"/>
        </w:rPr>
        <w:t>decompositions for stress tests. Augment foreign exchange reserves and develop hedging instruments (futures/options) to manage short-run currency swings induced by both global oil and domestic output shocks.</w:t>
      </w:r>
    </w:p>
    <w:p w14:paraId="60DB49BC" w14:textId="77777777" w:rsidR="00240939" w:rsidRPr="00CF6268" w:rsidRDefault="00240939" w:rsidP="002F7CCF">
      <w:pPr>
        <w:jc w:val="both"/>
        <w:rPr>
          <w:rFonts w:ascii="Arial" w:hAnsi="Arial" w:cs="Arial"/>
          <w:sz w:val="20"/>
        </w:rPr>
      </w:pPr>
      <w:r w:rsidRPr="00CF6268">
        <w:rPr>
          <w:rFonts w:ascii="Arial" w:hAnsi="Arial" w:cs="Arial"/>
          <w:sz w:val="20"/>
        </w:rPr>
        <w:t>Continuous Model Enhancement and Research: Update the VAR annually and extend to a VECM or ARIMA-X framework if cointegration emerges. Conduct subnational and sectoral VAR analyses to capture regional heterogeneity and inform tailored policy interventions.</w:t>
      </w:r>
    </w:p>
    <w:p w14:paraId="57A88DC2" w14:textId="77777777" w:rsidR="00240939" w:rsidRPr="00CF6268" w:rsidRDefault="00240939" w:rsidP="002F7CCF">
      <w:pPr>
        <w:jc w:val="both"/>
        <w:rPr>
          <w:rFonts w:ascii="Arial" w:hAnsi="Arial" w:cs="Arial"/>
          <w:sz w:val="20"/>
        </w:rPr>
      </w:pPr>
      <w:r w:rsidRPr="00CF6268">
        <w:rPr>
          <w:rFonts w:ascii="Arial" w:hAnsi="Arial" w:cs="Arial"/>
          <w:sz w:val="20"/>
        </w:rPr>
        <w:t>By anchoring fiscal and monetary frameworks in transparent, empirically validated VAR estimates</w:t>
      </w:r>
      <w:r w:rsidR="00F42326" w:rsidRPr="00CF6268">
        <w:rPr>
          <w:rFonts w:ascii="Arial" w:hAnsi="Arial" w:cs="Arial"/>
          <w:sz w:val="20"/>
        </w:rPr>
        <w:t xml:space="preserve"> </w:t>
      </w:r>
      <w:r w:rsidRPr="00CF6268">
        <w:rPr>
          <w:rFonts w:ascii="Arial" w:hAnsi="Arial" w:cs="Arial"/>
          <w:sz w:val="20"/>
        </w:rPr>
        <w:t>and by broadening the economic base, Nigeria can mitigate the volatility of oil-price cycles, strengthen macroeconomic resilience, and unlock sustainable, non-oil growth.</w:t>
      </w:r>
    </w:p>
    <w:bookmarkEnd w:id="3"/>
    <w:p w14:paraId="78532ADB" w14:textId="77777777" w:rsidR="00F42326" w:rsidRPr="00CF6268" w:rsidRDefault="00F42326" w:rsidP="002F7CCF">
      <w:pPr>
        <w:jc w:val="both"/>
        <w:rPr>
          <w:rFonts w:ascii="Arial" w:hAnsi="Arial" w:cs="Arial"/>
          <w:b/>
          <w:bCs/>
          <w:sz w:val="20"/>
        </w:rPr>
        <w:sectPr w:rsidR="00F42326" w:rsidRPr="00CF6268" w:rsidSect="002F7CCF">
          <w:type w:val="continuous"/>
          <w:pgSz w:w="11906" w:h="16838"/>
          <w:pgMar w:top="1440" w:right="1440" w:bottom="1440" w:left="1440" w:header="708" w:footer="708" w:gutter="0"/>
          <w:cols w:space="708"/>
          <w:docGrid w:linePitch="360"/>
        </w:sectPr>
      </w:pPr>
    </w:p>
    <w:p w14:paraId="29A01C87" w14:textId="77777777" w:rsidR="00B24D7B" w:rsidRPr="00CF6268" w:rsidRDefault="00B24D7B">
      <w:pPr>
        <w:rPr>
          <w:rFonts w:ascii="Arial" w:hAnsi="Arial" w:cs="Arial"/>
          <w:b/>
          <w:bCs/>
          <w:sz w:val="20"/>
        </w:rPr>
        <w:sectPr w:rsidR="00B24D7B" w:rsidRPr="00CF6268" w:rsidSect="00B24D7B">
          <w:type w:val="continuous"/>
          <w:pgSz w:w="11906" w:h="16838"/>
          <w:pgMar w:top="1440" w:right="1440" w:bottom="1440" w:left="1440" w:header="708" w:footer="708" w:gutter="0"/>
          <w:cols w:num="2" w:space="708"/>
          <w:docGrid w:linePitch="360"/>
        </w:sectPr>
      </w:pPr>
    </w:p>
    <w:p w14:paraId="7E734261" w14:textId="77777777" w:rsidR="00E96471" w:rsidRDefault="00015A3F">
      <w:pPr>
        <w:rPr>
          <w:rFonts w:asciiTheme="majorBidi" w:hAnsiTheme="majorBidi" w:cstheme="majorBidi"/>
          <w:b/>
          <w:bCs/>
        </w:rPr>
      </w:pPr>
      <w:r>
        <w:rPr>
          <w:rFonts w:asciiTheme="majorBidi" w:hAnsiTheme="majorBidi" w:cstheme="majorBidi"/>
          <w:b/>
          <w:bCs/>
        </w:rPr>
        <w:t>REFERENCES</w:t>
      </w:r>
    </w:p>
    <w:p w14:paraId="26C66D30" w14:textId="77777777" w:rsidR="00577A0F" w:rsidRDefault="00577A0F" w:rsidP="00577A0F">
      <w:pPr>
        <w:tabs>
          <w:tab w:val="left" w:pos="450"/>
        </w:tabs>
        <w:spacing w:after="120" w:line="480" w:lineRule="auto"/>
        <w:ind w:left="540" w:hanging="540"/>
        <w:jc w:val="both"/>
        <w:rPr>
          <w:rFonts w:asciiTheme="majorBidi" w:hAnsiTheme="majorBidi" w:cstheme="majorBidi"/>
        </w:rPr>
      </w:pPr>
      <w:bookmarkStart w:id="8" w:name="_Hlk204076511"/>
      <w:proofErr w:type="spellStart"/>
      <w:r w:rsidRPr="00961B92">
        <w:rPr>
          <w:rFonts w:asciiTheme="majorBidi" w:hAnsiTheme="majorBidi" w:cstheme="majorBidi"/>
        </w:rPr>
        <w:t>Gisser</w:t>
      </w:r>
      <w:proofErr w:type="spellEnd"/>
      <w:r w:rsidRPr="00961B92">
        <w:rPr>
          <w:rFonts w:asciiTheme="majorBidi" w:hAnsiTheme="majorBidi" w:cstheme="majorBidi"/>
        </w:rPr>
        <w:t xml:space="preserve">, M., &amp; Goodwin, T. H. (1986). Crude oil and the macroeconomy: Tests of some popular notions. </w:t>
      </w:r>
      <w:r w:rsidRPr="00961B92">
        <w:rPr>
          <w:rFonts w:asciiTheme="majorBidi" w:hAnsiTheme="majorBidi" w:cstheme="majorBidi"/>
          <w:i/>
          <w:iCs/>
        </w:rPr>
        <w:t>Journal of Money, Credit and Banking</w:t>
      </w:r>
      <w:r w:rsidRPr="00961B92">
        <w:rPr>
          <w:rFonts w:asciiTheme="majorBidi" w:hAnsiTheme="majorBidi" w:cstheme="majorBidi"/>
        </w:rPr>
        <w:t xml:space="preserve">, </w:t>
      </w:r>
      <w:r w:rsidRPr="00961B92">
        <w:rPr>
          <w:rFonts w:asciiTheme="majorBidi" w:hAnsiTheme="majorBidi" w:cstheme="majorBidi"/>
          <w:i/>
          <w:iCs/>
        </w:rPr>
        <w:t>18</w:t>
      </w:r>
      <w:r w:rsidRPr="00961B92">
        <w:rPr>
          <w:rFonts w:asciiTheme="majorBidi" w:hAnsiTheme="majorBidi" w:cstheme="majorBidi"/>
        </w:rPr>
        <w:t>(1), 95–103.</w:t>
      </w:r>
    </w:p>
    <w:p w14:paraId="25579E49" w14:textId="77777777" w:rsidR="00577A0F" w:rsidRDefault="00577A0F" w:rsidP="002F7CCF">
      <w:pPr>
        <w:spacing w:after="0" w:line="480" w:lineRule="auto"/>
        <w:jc w:val="both"/>
        <w:rPr>
          <w:rFonts w:asciiTheme="majorBidi" w:hAnsiTheme="majorBidi" w:cstheme="majorBidi"/>
        </w:rPr>
      </w:pPr>
    </w:p>
    <w:p w14:paraId="2D6013D0" w14:textId="77777777" w:rsidR="00577A0F" w:rsidRDefault="00577A0F" w:rsidP="00577A0F">
      <w:pPr>
        <w:tabs>
          <w:tab w:val="left" w:pos="450"/>
        </w:tabs>
        <w:spacing w:after="120" w:line="480" w:lineRule="auto"/>
        <w:ind w:left="540" w:hanging="540"/>
        <w:jc w:val="both"/>
        <w:rPr>
          <w:rFonts w:asciiTheme="majorBidi" w:hAnsiTheme="majorBidi" w:cstheme="majorBidi"/>
        </w:rPr>
      </w:pPr>
      <w:proofErr w:type="spellStart"/>
      <w:r w:rsidRPr="007B48F0">
        <w:rPr>
          <w:rFonts w:asciiTheme="majorBidi" w:hAnsiTheme="majorBidi" w:cstheme="majorBidi"/>
        </w:rPr>
        <w:lastRenderedPageBreak/>
        <w:t>Ayadi</w:t>
      </w:r>
      <w:proofErr w:type="spellEnd"/>
      <w:r w:rsidRPr="007B48F0">
        <w:rPr>
          <w:rFonts w:asciiTheme="majorBidi" w:hAnsiTheme="majorBidi" w:cstheme="majorBidi"/>
        </w:rPr>
        <w:t xml:space="preserve">, O. F., Chatterjee, A., &amp; Obi, C. P. (2000). A vector autoregressive analysis of an oil‐ dependent emerging economy—Nigeria. </w:t>
      </w:r>
      <w:r w:rsidRPr="007B48F0">
        <w:rPr>
          <w:rFonts w:asciiTheme="majorBidi" w:hAnsiTheme="majorBidi" w:cstheme="majorBidi"/>
          <w:i/>
          <w:iCs/>
        </w:rPr>
        <w:t>OPEC Review</w:t>
      </w:r>
      <w:r w:rsidRPr="007B48F0">
        <w:rPr>
          <w:rFonts w:asciiTheme="majorBidi" w:hAnsiTheme="majorBidi" w:cstheme="majorBidi"/>
        </w:rPr>
        <w:t xml:space="preserve">, </w:t>
      </w:r>
      <w:r w:rsidRPr="007B48F0">
        <w:rPr>
          <w:rFonts w:asciiTheme="majorBidi" w:hAnsiTheme="majorBidi" w:cstheme="majorBidi"/>
          <w:i/>
          <w:iCs/>
        </w:rPr>
        <w:t>24</w:t>
      </w:r>
      <w:r w:rsidRPr="007B48F0">
        <w:rPr>
          <w:rFonts w:asciiTheme="majorBidi" w:hAnsiTheme="majorBidi" w:cstheme="majorBidi"/>
        </w:rPr>
        <w:t xml:space="preserve">(4), 329–349. </w:t>
      </w:r>
    </w:p>
    <w:p w14:paraId="59E4DC5E" w14:textId="77777777" w:rsidR="002B0154" w:rsidRPr="007B48F0" w:rsidRDefault="002B0154" w:rsidP="002F7CCF">
      <w:pPr>
        <w:spacing w:after="0" w:line="480" w:lineRule="auto"/>
        <w:jc w:val="both"/>
        <w:rPr>
          <w:rFonts w:asciiTheme="majorBidi" w:hAnsiTheme="majorBidi" w:cstheme="majorBidi"/>
          <w:i/>
          <w:iCs/>
        </w:rPr>
      </w:pPr>
      <w:proofErr w:type="spellStart"/>
      <w:r w:rsidRPr="007B48F0">
        <w:rPr>
          <w:rFonts w:asciiTheme="majorBidi" w:hAnsiTheme="majorBidi" w:cstheme="majorBidi"/>
        </w:rPr>
        <w:t>Aiyegoro</w:t>
      </w:r>
      <w:proofErr w:type="spellEnd"/>
      <w:r w:rsidRPr="007B48F0">
        <w:rPr>
          <w:rFonts w:asciiTheme="majorBidi" w:hAnsiTheme="majorBidi" w:cstheme="majorBidi"/>
        </w:rPr>
        <w:t xml:space="preserve">, A. (1997). A macro model of business cycles. In A. N. </w:t>
      </w:r>
      <w:proofErr w:type="spellStart"/>
      <w:r w:rsidRPr="007B48F0">
        <w:rPr>
          <w:rFonts w:asciiTheme="majorBidi" w:hAnsiTheme="majorBidi" w:cstheme="majorBidi"/>
        </w:rPr>
        <w:t>Nwaneri</w:t>
      </w:r>
      <w:proofErr w:type="spellEnd"/>
      <w:r w:rsidRPr="007B48F0">
        <w:rPr>
          <w:rFonts w:asciiTheme="majorBidi" w:hAnsiTheme="majorBidi" w:cstheme="majorBidi"/>
        </w:rPr>
        <w:t xml:space="preserve"> (Ed.), </w:t>
      </w:r>
      <w:r w:rsidRPr="007B48F0">
        <w:rPr>
          <w:rFonts w:asciiTheme="majorBidi" w:hAnsiTheme="majorBidi" w:cstheme="majorBidi"/>
          <w:i/>
          <w:iCs/>
        </w:rPr>
        <w:t xml:space="preserve">Nigeria: </w:t>
      </w:r>
    </w:p>
    <w:p w14:paraId="3BE6D8C4" w14:textId="77777777" w:rsidR="00577A0F" w:rsidRDefault="002B0154" w:rsidP="00577A0F">
      <w:pPr>
        <w:spacing w:after="0" w:line="480" w:lineRule="auto"/>
        <w:ind w:left="540"/>
        <w:jc w:val="both"/>
        <w:rPr>
          <w:rFonts w:asciiTheme="majorBidi" w:hAnsiTheme="majorBidi" w:cstheme="majorBidi"/>
        </w:rPr>
      </w:pPr>
      <w:r w:rsidRPr="007B48F0">
        <w:rPr>
          <w:rFonts w:asciiTheme="majorBidi" w:hAnsiTheme="majorBidi" w:cstheme="majorBidi"/>
          <w:i/>
          <w:iCs/>
        </w:rPr>
        <w:t>Visions for the future</w:t>
      </w:r>
      <w:r w:rsidRPr="007B48F0">
        <w:rPr>
          <w:rFonts w:asciiTheme="majorBidi" w:hAnsiTheme="majorBidi" w:cstheme="majorBidi"/>
        </w:rPr>
        <w:t xml:space="preserve"> (pp. 275–305). </w:t>
      </w:r>
      <w:proofErr w:type="spellStart"/>
      <w:r w:rsidRPr="007B48F0">
        <w:rPr>
          <w:rFonts w:asciiTheme="majorBidi" w:hAnsiTheme="majorBidi" w:cstheme="majorBidi"/>
        </w:rPr>
        <w:t>Macmillan</w:t>
      </w:r>
      <w:r w:rsidR="00D86A60" w:rsidRPr="007B48F0">
        <w:rPr>
          <w:rFonts w:asciiTheme="majorBidi" w:hAnsiTheme="majorBidi" w:cstheme="majorBidi"/>
        </w:rPr>
        <w:t>Akinlo</w:t>
      </w:r>
      <w:proofErr w:type="spellEnd"/>
      <w:r w:rsidR="00D86A60" w:rsidRPr="007B48F0">
        <w:rPr>
          <w:rFonts w:asciiTheme="majorBidi" w:hAnsiTheme="majorBidi" w:cstheme="majorBidi"/>
        </w:rPr>
        <w:t xml:space="preserve">, T. (2016). Institution and economic growth in Sub-Saharan Africa (1986–2013). </w:t>
      </w:r>
      <w:proofErr w:type="spellStart"/>
      <w:r w:rsidR="00D86A60" w:rsidRPr="007B48F0">
        <w:rPr>
          <w:rFonts w:asciiTheme="majorBidi" w:hAnsiTheme="majorBidi" w:cstheme="majorBidi"/>
          <w:i/>
          <w:iCs/>
        </w:rPr>
        <w:t>SAGEJournals</w:t>
      </w:r>
      <w:proofErr w:type="spellEnd"/>
      <w:r w:rsidR="00D86A60" w:rsidRPr="007B48F0">
        <w:rPr>
          <w:rFonts w:asciiTheme="majorBidi" w:hAnsiTheme="majorBidi" w:cstheme="majorBidi"/>
          <w:i/>
          <w:iCs/>
        </w:rPr>
        <w:t>, 2</w:t>
      </w:r>
      <w:r w:rsidR="00D86A60" w:rsidRPr="007B48F0">
        <w:rPr>
          <w:rFonts w:asciiTheme="majorBidi" w:hAnsiTheme="majorBidi" w:cstheme="majorBidi"/>
        </w:rPr>
        <w:t>(2).</w:t>
      </w:r>
    </w:p>
    <w:p w14:paraId="2216B025" w14:textId="77777777" w:rsidR="00577A0F" w:rsidRDefault="00577A0F" w:rsidP="00577A0F">
      <w:pPr>
        <w:tabs>
          <w:tab w:val="left" w:pos="450"/>
        </w:tabs>
        <w:spacing w:after="120" w:line="480" w:lineRule="auto"/>
        <w:ind w:left="540" w:hanging="540"/>
        <w:jc w:val="both"/>
        <w:rPr>
          <w:rFonts w:asciiTheme="majorBidi" w:hAnsiTheme="majorBidi" w:cstheme="majorBidi"/>
        </w:rPr>
      </w:pPr>
      <w:r w:rsidRPr="007B48F0">
        <w:rPr>
          <w:rFonts w:asciiTheme="majorBidi" w:hAnsiTheme="majorBidi" w:cstheme="majorBidi"/>
        </w:rPr>
        <w:t>Alhassan, A., &amp;</w:t>
      </w:r>
      <w:proofErr w:type="spellStart"/>
      <w:r w:rsidRPr="007B48F0">
        <w:rPr>
          <w:rFonts w:asciiTheme="majorBidi" w:hAnsiTheme="majorBidi" w:cstheme="majorBidi"/>
        </w:rPr>
        <w:t>Kilishi</w:t>
      </w:r>
      <w:proofErr w:type="spellEnd"/>
      <w:r w:rsidRPr="007B48F0">
        <w:rPr>
          <w:rFonts w:asciiTheme="majorBidi" w:hAnsiTheme="majorBidi" w:cstheme="majorBidi"/>
        </w:rPr>
        <w:t xml:space="preserve">, A. A. (2016). </w:t>
      </w:r>
      <w:proofErr w:type="spellStart"/>
      <w:r w:rsidRPr="007B48F0">
        <w:rPr>
          <w:rFonts w:asciiTheme="majorBidi" w:hAnsiTheme="majorBidi" w:cstheme="majorBidi"/>
        </w:rPr>
        <w:t>Analysing</w:t>
      </w:r>
      <w:proofErr w:type="spellEnd"/>
      <w:r w:rsidRPr="007B48F0">
        <w:rPr>
          <w:rFonts w:asciiTheme="majorBidi" w:hAnsiTheme="majorBidi" w:cstheme="majorBidi"/>
        </w:rPr>
        <w:t xml:space="preserve"> oil price–macroeconomic volatility in Nigeria.  </w:t>
      </w:r>
      <w:r w:rsidRPr="007B48F0">
        <w:rPr>
          <w:rFonts w:asciiTheme="majorBidi" w:hAnsiTheme="majorBidi" w:cstheme="majorBidi"/>
          <w:i/>
          <w:iCs/>
        </w:rPr>
        <w:t>CBN Journal of Applied Statistics</w:t>
      </w:r>
      <w:r w:rsidRPr="007B48F0">
        <w:rPr>
          <w:rFonts w:asciiTheme="majorBidi" w:hAnsiTheme="majorBidi" w:cstheme="majorBidi"/>
        </w:rPr>
        <w:t xml:space="preserve">, </w:t>
      </w:r>
      <w:r w:rsidRPr="007B48F0">
        <w:rPr>
          <w:rFonts w:asciiTheme="majorBidi" w:hAnsiTheme="majorBidi" w:cstheme="majorBidi"/>
          <w:i/>
          <w:iCs/>
        </w:rPr>
        <w:t>7</w:t>
      </w:r>
      <w:r w:rsidRPr="007B48F0">
        <w:rPr>
          <w:rFonts w:asciiTheme="majorBidi" w:hAnsiTheme="majorBidi" w:cstheme="majorBidi"/>
        </w:rPr>
        <w:t>(1a), 1–22.</w:t>
      </w:r>
    </w:p>
    <w:p w14:paraId="5B704638" w14:textId="77777777" w:rsidR="00577A0F" w:rsidRDefault="00577A0F" w:rsidP="00577A0F">
      <w:pPr>
        <w:tabs>
          <w:tab w:val="left" w:pos="450"/>
        </w:tabs>
        <w:spacing w:after="120" w:line="480" w:lineRule="auto"/>
        <w:ind w:left="540" w:hanging="540"/>
        <w:jc w:val="both"/>
        <w:rPr>
          <w:rFonts w:asciiTheme="majorBidi" w:hAnsiTheme="majorBidi" w:cstheme="majorBidi"/>
        </w:rPr>
      </w:pPr>
      <w:proofErr w:type="spellStart"/>
      <w:r w:rsidRPr="007B48F0">
        <w:rPr>
          <w:rFonts w:asciiTheme="majorBidi" w:hAnsiTheme="majorBidi" w:cstheme="majorBidi"/>
        </w:rPr>
        <w:t>Awujola</w:t>
      </w:r>
      <w:proofErr w:type="spellEnd"/>
      <w:r w:rsidRPr="007B48F0">
        <w:rPr>
          <w:rFonts w:asciiTheme="majorBidi" w:hAnsiTheme="majorBidi" w:cstheme="majorBidi"/>
        </w:rPr>
        <w:t xml:space="preserve">, A., </w:t>
      </w:r>
      <w:proofErr w:type="spellStart"/>
      <w:r w:rsidRPr="007B48F0">
        <w:rPr>
          <w:rFonts w:asciiTheme="majorBidi" w:hAnsiTheme="majorBidi" w:cstheme="majorBidi"/>
        </w:rPr>
        <w:t>Iyakwari</w:t>
      </w:r>
      <w:proofErr w:type="spellEnd"/>
      <w:r w:rsidRPr="007B48F0">
        <w:rPr>
          <w:rFonts w:asciiTheme="majorBidi" w:hAnsiTheme="majorBidi" w:cstheme="majorBidi"/>
        </w:rPr>
        <w:t xml:space="preserve">, A. D. B., &amp; Bot, R. E. (2020). Examination of the relationship between oil price shock and macroeconomic variables in Nigeria. </w:t>
      </w:r>
      <w:proofErr w:type="spellStart"/>
      <w:r w:rsidRPr="007B48F0">
        <w:rPr>
          <w:rFonts w:asciiTheme="majorBidi" w:hAnsiTheme="majorBidi" w:cstheme="majorBidi"/>
          <w:i/>
          <w:iCs/>
        </w:rPr>
        <w:t>SocioEconomicChallenges</w:t>
      </w:r>
      <w:proofErr w:type="spellEnd"/>
      <w:r w:rsidRPr="007B48F0">
        <w:rPr>
          <w:rFonts w:asciiTheme="majorBidi" w:hAnsiTheme="majorBidi" w:cstheme="majorBidi"/>
        </w:rPr>
        <w:t xml:space="preserve">, 4(1), 102–110. </w:t>
      </w:r>
      <w:hyperlink r:id="rId18" w:history="1">
        <w:r w:rsidRPr="001B3971">
          <w:rPr>
            <w:rStyle w:val="Hyperlink"/>
            <w:rFonts w:asciiTheme="majorBidi" w:hAnsiTheme="majorBidi" w:cstheme="majorBidi"/>
          </w:rPr>
          <w:t>https://doi.org/10.21272/sec.4(1).102-110.2020</w:t>
        </w:r>
      </w:hyperlink>
    </w:p>
    <w:p w14:paraId="7D42B6D2" w14:textId="77777777" w:rsidR="00577A0F" w:rsidRDefault="00577A0F" w:rsidP="00577A0F">
      <w:pPr>
        <w:tabs>
          <w:tab w:val="left" w:pos="450"/>
        </w:tabs>
        <w:spacing w:after="120" w:line="480" w:lineRule="auto"/>
        <w:ind w:left="540" w:hanging="540"/>
        <w:jc w:val="both"/>
        <w:rPr>
          <w:rFonts w:asciiTheme="majorBidi" w:hAnsiTheme="majorBidi" w:cstheme="majorBidi"/>
        </w:rPr>
      </w:pPr>
      <w:r w:rsidRPr="007B48F0">
        <w:rPr>
          <w:rFonts w:asciiTheme="majorBidi" w:hAnsiTheme="majorBidi" w:cstheme="majorBidi"/>
        </w:rPr>
        <w:t xml:space="preserve">Bhat, S. (1995). Export and economic growth in India. </w:t>
      </w:r>
      <w:proofErr w:type="spellStart"/>
      <w:r w:rsidRPr="007B48F0">
        <w:rPr>
          <w:rFonts w:asciiTheme="majorBidi" w:hAnsiTheme="majorBidi" w:cstheme="majorBidi"/>
          <w:i/>
          <w:iCs/>
        </w:rPr>
        <w:t>Artha</w:t>
      </w:r>
      <w:proofErr w:type="spellEnd"/>
      <w:r w:rsidRPr="007B48F0">
        <w:rPr>
          <w:rFonts w:asciiTheme="majorBidi" w:hAnsiTheme="majorBidi" w:cstheme="majorBidi"/>
          <w:i/>
          <w:iCs/>
        </w:rPr>
        <w:t xml:space="preserve"> </w:t>
      </w:r>
      <w:proofErr w:type="spellStart"/>
      <w:r w:rsidRPr="007B48F0">
        <w:rPr>
          <w:rFonts w:asciiTheme="majorBidi" w:hAnsiTheme="majorBidi" w:cstheme="majorBidi"/>
          <w:i/>
          <w:iCs/>
        </w:rPr>
        <w:t>Vijnana</w:t>
      </w:r>
      <w:proofErr w:type="spellEnd"/>
      <w:r w:rsidRPr="007B48F0">
        <w:rPr>
          <w:rFonts w:asciiTheme="majorBidi" w:hAnsiTheme="majorBidi" w:cstheme="majorBidi"/>
          <w:i/>
          <w:iCs/>
        </w:rPr>
        <w:t>, 37</w:t>
      </w:r>
      <w:r w:rsidRPr="007B48F0">
        <w:rPr>
          <w:rFonts w:asciiTheme="majorBidi" w:hAnsiTheme="majorBidi" w:cstheme="majorBidi"/>
        </w:rPr>
        <w:t>(4), 350–358.</w:t>
      </w:r>
    </w:p>
    <w:p w14:paraId="036C8663" w14:textId="77777777" w:rsidR="00577A0F" w:rsidRDefault="00577A0F" w:rsidP="00577A0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Chandra, R. (2003). Re-investigating export-led growth in India using multivariate co-</w:t>
      </w:r>
      <w:r w:rsidRPr="00B24D7B">
        <w:rPr>
          <w:rFonts w:asciiTheme="majorBidi" w:hAnsiTheme="majorBidi" w:cstheme="majorBidi"/>
        </w:rPr>
        <w:t xml:space="preserve">integration. </w:t>
      </w:r>
      <w:r w:rsidRPr="00B24D7B">
        <w:rPr>
          <w:rFonts w:asciiTheme="majorBidi" w:hAnsiTheme="majorBidi" w:cstheme="majorBidi"/>
          <w:i/>
          <w:iCs/>
        </w:rPr>
        <w:t>Journal of Developing Areas, 37</w:t>
      </w:r>
      <w:r w:rsidRPr="00B24D7B">
        <w:rPr>
          <w:rFonts w:asciiTheme="majorBidi" w:hAnsiTheme="majorBidi" w:cstheme="majorBidi"/>
        </w:rPr>
        <w:t>(1), 73–86.</w:t>
      </w:r>
    </w:p>
    <w:p w14:paraId="756C2D3F" w14:textId="77777777" w:rsidR="00577A0F" w:rsidRDefault="00577A0F" w:rsidP="00577A0F">
      <w:pPr>
        <w:tabs>
          <w:tab w:val="left" w:pos="450"/>
        </w:tabs>
        <w:spacing w:after="120" w:line="480" w:lineRule="auto"/>
        <w:ind w:left="540" w:hanging="540"/>
        <w:jc w:val="both"/>
        <w:rPr>
          <w:rFonts w:asciiTheme="majorBidi" w:hAnsiTheme="majorBidi" w:cstheme="majorBidi"/>
        </w:rPr>
      </w:pPr>
      <w:proofErr w:type="spellStart"/>
      <w:r w:rsidRPr="00961B92">
        <w:rPr>
          <w:rFonts w:asciiTheme="majorBidi" w:hAnsiTheme="majorBidi" w:cstheme="majorBidi"/>
        </w:rPr>
        <w:t>Padhan</w:t>
      </w:r>
      <w:proofErr w:type="spellEnd"/>
      <w:r w:rsidRPr="00961B92">
        <w:rPr>
          <w:rFonts w:asciiTheme="majorBidi" w:hAnsiTheme="majorBidi" w:cstheme="majorBidi"/>
        </w:rPr>
        <w:t xml:space="preserve">, P. C. (2004). Export and economic growth: An empirical analysis for India. </w:t>
      </w:r>
      <w:proofErr w:type="spellStart"/>
      <w:r w:rsidRPr="00961B92">
        <w:rPr>
          <w:rFonts w:asciiTheme="majorBidi" w:hAnsiTheme="majorBidi" w:cstheme="majorBidi"/>
        </w:rPr>
        <w:t>Artha</w:t>
      </w:r>
      <w:proofErr w:type="spellEnd"/>
      <w:r w:rsidRPr="00961B92">
        <w:rPr>
          <w:rFonts w:asciiTheme="majorBidi" w:hAnsiTheme="majorBidi" w:cstheme="majorBidi"/>
        </w:rPr>
        <w:t xml:space="preserve"> </w:t>
      </w:r>
      <w:proofErr w:type="spellStart"/>
      <w:r w:rsidRPr="00961B92">
        <w:rPr>
          <w:rFonts w:asciiTheme="majorBidi" w:hAnsiTheme="majorBidi" w:cstheme="majorBidi"/>
        </w:rPr>
        <w:t>Vijnana</w:t>
      </w:r>
      <w:proofErr w:type="spellEnd"/>
      <w:r w:rsidRPr="00961B92">
        <w:rPr>
          <w:rFonts w:asciiTheme="majorBidi" w:hAnsiTheme="majorBidi" w:cstheme="majorBidi"/>
        </w:rPr>
        <w:t>, 46(1–2), 179–190.</w:t>
      </w:r>
    </w:p>
    <w:p w14:paraId="5210CD4F" w14:textId="77777777" w:rsidR="00577A0F" w:rsidRDefault="00577A0F" w:rsidP="00577A0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Pandey, A. K. (2006). Export and economic growth in India: Causal interpretation. MPRA Paper No. 14670.</w:t>
      </w:r>
    </w:p>
    <w:p w14:paraId="69A1409D" w14:textId="77777777" w:rsidR="0065223A" w:rsidRDefault="0065223A" w:rsidP="0065223A">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Pradhan, N. C. (2010). Exports and economic growth: An examination of ELG hypothesis for India. Reserve Bank of India Occasional Papers, 31(3), 75–114.</w:t>
      </w:r>
    </w:p>
    <w:p w14:paraId="6A38BCF8" w14:textId="77777777" w:rsidR="00577A0F" w:rsidRDefault="00577A0F" w:rsidP="00577A0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 xml:space="preserve">Kumari, D., &amp; Malhotra, N. (2014). Export-led growth in India: Cointegration and causality analysis. </w:t>
      </w:r>
      <w:r w:rsidRPr="00961B92">
        <w:rPr>
          <w:rFonts w:asciiTheme="majorBidi" w:hAnsiTheme="majorBidi" w:cstheme="majorBidi"/>
          <w:i/>
          <w:iCs/>
        </w:rPr>
        <w:t>Journal of Economics and Development Studies, 2</w:t>
      </w:r>
      <w:r w:rsidRPr="00961B92">
        <w:rPr>
          <w:rFonts w:asciiTheme="majorBidi" w:hAnsiTheme="majorBidi" w:cstheme="majorBidi"/>
        </w:rPr>
        <w:t>(2), 297–310.</w:t>
      </w:r>
    </w:p>
    <w:p w14:paraId="1DB6728D" w14:textId="77777777" w:rsidR="00577A0F" w:rsidRDefault="00577A0F" w:rsidP="00577A0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lastRenderedPageBreak/>
        <w:t>Das, M. K., &amp; Das, T. (2020). Institutions and economic growth in Sub‐Saharan Africa: A panel analysis. International Journal of Innovative Finance and Economics Research, 13(2), 1–11.</w:t>
      </w:r>
    </w:p>
    <w:p w14:paraId="7B5559BF" w14:textId="77777777" w:rsidR="0065223A" w:rsidRDefault="0065223A" w:rsidP="0065223A">
      <w:pPr>
        <w:tabs>
          <w:tab w:val="left" w:pos="450"/>
        </w:tabs>
        <w:spacing w:after="120" w:line="480" w:lineRule="auto"/>
        <w:ind w:left="540" w:hanging="540"/>
        <w:jc w:val="both"/>
        <w:rPr>
          <w:rFonts w:asciiTheme="majorBidi" w:hAnsiTheme="majorBidi" w:cstheme="majorBidi"/>
        </w:rPr>
      </w:pPr>
      <w:r w:rsidRPr="007B48F0">
        <w:rPr>
          <w:rFonts w:asciiTheme="majorBidi" w:hAnsiTheme="majorBidi" w:cstheme="majorBidi"/>
        </w:rPr>
        <w:t xml:space="preserve">Blundell, R., &amp; Bond, S. (1998). Initial conditions and moment restrictions in dynamic panel </w:t>
      </w:r>
      <w:r w:rsidRPr="00961B92">
        <w:rPr>
          <w:rFonts w:asciiTheme="majorBidi" w:hAnsiTheme="majorBidi" w:cstheme="majorBidi"/>
        </w:rPr>
        <w:t xml:space="preserve">data models. </w:t>
      </w:r>
      <w:r w:rsidRPr="00961B92">
        <w:rPr>
          <w:rFonts w:asciiTheme="majorBidi" w:hAnsiTheme="majorBidi" w:cstheme="majorBidi"/>
          <w:i/>
          <w:iCs/>
        </w:rPr>
        <w:t>Journal of Econometrics, 87</w:t>
      </w:r>
      <w:r w:rsidRPr="00961B92">
        <w:rPr>
          <w:rFonts w:asciiTheme="majorBidi" w:hAnsiTheme="majorBidi" w:cstheme="majorBidi"/>
        </w:rPr>
        <w:t>(1), 115–143.</w:t>
      </w:r>
    </w:p>
    <w:p w14:paraId="1460DC04" w14:textId="77777777" w:rsidR="0065223A" w:rsidRDefault="0065223A" w:rsidP="0065223A">
      <w:pPr>
        <w:tabs>
          <w:tab w:val="left" w:pos="450"/>
        </w:tabs>
        <w:spacing w:after="120" w:line="480" w:lineRule="auto"/>
        <w:ind w:left="540" w:hanging="540"/>
        <w:jc w:val="both"/>
        <w:rPr>
          <w:rFonts w:asciiTheme="majorBidi" w:hAnsiTheme="majorBidi" w:cstheme="majorBidi"/>
        </w:rPr>
      </w:pPr>
      <w:proofErr w:type="spellStart"/>
      <w:r w:rsidRPr="00961B92">
        <w:rPr>
          <w:rFonts w:asciiTheme="majorBidi" w:hAnsiTheme="majorBidi" w:cstheme="majorBidi"/>
        </w:rPr>
        <w:t>Pesaran</w:t>
      </w:r>
      <w:proofErr w:type="spellEnd"/>
      <w:r w:rsidRPr="00961B92">
        <w:rPr>
          <w:rFonts w:asciiTheme="majorBidi" w:hAnsiTheme="majorBidi" w:cstheme="majorBidi"/>
        </w:rPr>
        <w:t>, M. H., Shin, Y., &amp; Smith, R. J. (1999). Pooled mean group estimation of dynamic heterogeneous panels. Journal of the American Statistical Association, 94(446), 621–634.</w:t>
      </w:r>
    </w:p>
    <w:p w14:paraId="62E54105" w14:textId="77777777" w:rsidR="002F7CCF" w:rsidRDefault="002B0154" w:rsidP="002F7CCF">
      <w:pPr>
        <w:tabs>
          <w:tab w:val="left" w:pos="450"/>
        </w:tabs>
        <w:spacing w:after="120" w:line="480" w:lineRule="auto"/>
        <w:ind w:left="540" w:hanging="540"/>
        <w:jc w:val="both"/>
        <w:rPr>
          <w:rFonts w:asciiTheme="majorBidi" w:hAnsiTheme="majorBidi" w:cstheme="majorBidi"/>
        </w:rPr>
      </w:pPr>
      <w:proofErr w:type="spellStart"/>
      <w:r w:rsidRPr="007B48F0">
        <w:rPr>
          <w:rFonts w:asciiTheme="majorBidi" w:hAnsiTheme="majorBidi" w:cstheme="majorBidi"/>
        </w:rPr>
        <w:t>Aladejare</w:t>
      </w:r>
      <w:proofErr w:type="spellEnd"/>
      <w:r w:rsidRPr="007B48F0">
        <w:rPr>
          <w:rFonts w:asciiTheme="majorBidi" w:hAnsiTheme="majorBidi" w:cstheme="majorBidi"/>
        </w:rPr>
        <w:t xml:space="preserve">, S. A. (2020). Macroeconomic vs. resource determinants of economic growth in Africa: A COMESA and ECOWAS study. </w:t>
      </w:r>
      <w:r w:rsidRPr="007B48F0">
        <w:rPr>
          <w:rFonts w:asciiTheme="majorBidi" w:hAnsiTheme="majorBidi" w:cstheme="majorBidi"/>
          <w:i/>
          <w:iCs/>
        </w:rPr>
        <w:t>International Economic Journal</w:t>
      </w:r>
      <w:r w:rsidRPr="007B48F0">
        <w:rPr>
          <w:rFonts w:asciiTheme="majorBidi" w:hAnsiTheme="majorBidi" w:cstheme="majorBidi"/>
        </w:rPr>
        <w:t xml:space="preserve">. </w:t>
      </w:r>
      <w:hyperlink r:id="rId19" w:history="1">
        <w:r w:rsidR="002F7CCF" w:rsidRPr="001B3971">
          <w:rPr>
            <w:rStyle w:val="Hyperlink"/>
            <w:rFonts w:asciiTheme="majorBidi" w:hAnsiTheme="majorBidi" w:cstheme="majorBidi"/>
          </w:rPr>
          <w:t>https://doi.org/10.1080/10168737.2019.1663439</w:t>
        </w:r>
      </w:hyperlink>
    </w:p>
    <w:p w14:paraId="0FFC462B" w14:textId="77777777" w:rsidR="002F7CCF" w:rsidRDefault="002F7CCF" w:rsidP="002F7CCF">
      <w:pPr>
        <w:tabs>
          <w:tab w:val="left" w:pos="450"/>
        </w:tabs>
        <w:spacing w:after="120" w:line="480" w:lineRule="auto"/>
        <w:ind w:left="540" w:hanging="540"/>
        <w:jc w:val="both"/>
        <w:rPr>
          <w:rFonts w:asciiTheme="majorBidi" w:hAnsiTheme="majorBidi" w:cstheme="majorBidi"/>
        </w:rPr>
      </w:pPr>
      <w:r>
        <w:rPr>
          <w:rFonts w:asciiTheme="majorBidi" w:hAnsiTheme="majorBidi" w:cstheme="majorBidi"/>
        </w:rPr>
        <w:tab/>
      </w:r>
      <w:r>
        <w:rPr>
          <w:rFonts w:asciiTheme="majorBidi" w:hAnsiTheme="majorBidi" w:cstheme="majorBidi"/>
        </w:rPr>
        <w:tab/>
      </w:r>
      <w:hyperlink r:id="rId20" w:history="1">
        <w:r w:rsidRPr="001B3971">
          <w:rPr>
            <w:rStyle w:val="Hyperlink"/>
            <w:rFonts w:asciiTheme="majorBidi" w:hAnsiTheme="majorBidi" w:cstheme="majorBidi"/>
          </w:rPr>
          <w:t>https://doi.org/10.1111/1468-0076.00087</w:t>
        </w:r>
      </w:hyperlink>
    </w:p>
    <w:p w14:paraId="5C1CA1EE" w14:textId="77777777" w:rsidR="0065223A" w:rsidRDefault="0065223A" w:rsidP="0065223A">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Sala‐</w:t>
      </w:r>
      <w:proofErr w:type="spellStart"/>
      <w:r w:rsidRPr="00961B92">
        <w:rPr>
          <w:rFonts w:asciiTheme="majorBidi" w:hAnsiTheme="majorBidi" w:cstheme="majorBidi"/>
        </w:rPr>
        <w:t>i</w:t>
      </w:r>
      <w:proofErr w:type="spellEnd"/>
      <w:r w:rsidRPr="00961B92">
        <w:rPr>
          <w:rFonts w:asciiTheme="majorBidi" w:hAnsiTheme="majorBidi" w:cstheme="majorBidi"/>
        </w:rPr>
        <w:t xml:space="preserve">‐Martin, X., </w:t>
      </w:r>
      <w:proofErr w:type="spellStart"/>
      <w:r w:rsidRPr="00961B92">
        <w:rPr>
          <w:rFonts w:asciiTheme="majorBidi" w:hAnsiTheme="majorBidi" w:cstheme="majorBidi"/>
        </w:rPr>
        <w:t>Doppelhofer</w:t>
      </w:r>
      <w:proofErr w:type="spellEnd"/>
      <w:r w:rsidRPr="00961B92">
        <w:rPr>
          <w:rFonts w:asciiTheme="majorBidi" w:hAnsiTheme="majorBidi" w:cstheme="majorBidi"/>
        </w:rPr>
        <w:t>, G., &amp; Miller, R. I. (2004). Determinants of long‐term growth: A Bayesian averaging of classical estimates (BACE) approach. American Economic Review, 94(4), 813–835.</w:t>
      </w:r>
    </w:p>
    <w:p w14:paraId="517D1E26" w14:textId="77777777" w:rsidR="002F7CCF" w:rsidRDefault="00D86A60" w:rsidP="002F7CCF">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 xml:space="preserve">Fernandez, C., Ley, E., &amp; Steel, M. (2001). Benchmark priors for Bayesian model averaging. </w:t>
      </w:r>
      <w:r w:rsidRPr="00961B92">
        <w:rPr>
          <w:rFonts w:asciiTheme="majorBidi" w:hAnsiTheme="majorBidi" w:cstheme="majorBidi"/>
          <w:i/>
          <w:iCs/>
        </w:rPr>
        <w:t>Journal of Econometrics, 100</w:t>
      </w:r>
      <w:r w:rsidRPr="00961B92">
        <w:rPr>
          <w:rFonts w:asciiTheme="majorBidi" w:hAnsiTheme="majorBidi" w:cstheme="majorBidi"/>
        </w:rPr>
        <w:t>, 381–427.</w:t>
      </w:r>
    </w:p>
    <w:p w14:paraId="47FA66DB" w14:textId="77777777" w:rsidR="008840BC" w:rsidRDefault="00D86A60" w:rsidP="008840BC">
      <w:pPr>
        <w:tabs>
          <w:tab w:val="left" w:pos="450"/>
        </w:tabs>
        <w:spacing w:after="120" w:line="480" w:lineRule="auto"/>
        <w:ind w:left="540" w:hanging="540"/>
        <w:jc w:val="both"/>
        <w:rPr>
          <w:rFonts w:asciiTheme="majorBidi" w:hAnsiTheme="majorBidi" w:cstheme="majorBidi"/>
        </w:rPr>
      </w:pPr>
      <w:r w:rsidRPr="00961B92">
        <w:rPr>
          <w:rFonts w:asciiTheme="majorBidi" w:hAnsiTheme="majorBidi" w:cstheme="majorBidi"/>
        </w:rPr>
        <w:t>Moral-Benito, E. (2009). Determinants of economic growth: A Bayesian panel data approach Policy Research Working Paper 4830). World Bank.</w:t>
      </w:r>
    </w:p>
    <w:bookmarkEnd w:id="8"/>
    <w:p w14:paraId="6C48AB3C" w14:textId="77777777" w:rsidR="008840BC" w:rsidRPr="00961B92" w:rsidRDefault="008840BC" w:rsidP="008840BC">
      <w:pPr>
        <w:tabs>
          <w:tab w:val="left" w:pos="450"/>
        </w:tabs>
        <w:spacing w:after="120" w:line="480" w:lineRule="auto"/>
        <w:ind w:left="540" w:hanging="540"/>
        <w:jc w:val="both"/>
        <w:rPr>
          <w:rFonts w:asciiTheme="majorBidi" w:hAnsiTheme="majorBidi" w:cstheme="majorBidi"/>
        </w:rPr>
      </w:pPr>
    </w:p>
    <w:sectPr w:rsidR="008840BC" w:rsidRPr="00961B92" w:rsidSect="002F7CC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B4DBF" w14:textId="77777777" w:rsidR="00C451FC" w:rsidRDefault="00C451FC" w:rsidP="009A3125">
      <w:pPr>
        <w:spacing w:after="0" w:line="240" w:lineRule="auto"/>
      </w:pPr>
      <w:r>
        <w:separator/>
      </w:r>
    </w:p>
  </w:endnote>
  <w:endnote w:type="continuationSeparator" w:id="0">
    <w:p w14:paraId="4FFBAFA5" w14:textId="77777777" w:rsidR="00C451FC" w:rsidRDefault="00C451FC" w:rsidP="009A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6241" w14:textId="77777777" w:rsidR="00440CE1" w:rsidRDefault="00440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F246" w14:textId="77777777" w:rsidR="00440CE1" w:rsidRDefault="00440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A506" w14:textId="77777777" w:rsidR="00440CE1" w:rsidRDefault="00440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96371" w14:textId="77777777" w:rsidR="00C451FC" w:rsidRDefault="00C451FC" w:rsidP="009A3125">
      <w:pPr>
        <w:spacing w:after="0" w:line="240" w:lineRule="auto"/>
      </w:pPr>
      <w:r>
        <w:separator/>
      </w:r>
    </w:p>
  </w:footnote>
  <w:footnote w:type="continuationSeparator" w:id="0">
    <w:p w14:paraId="27BAB8E9" w14:textId="77777777" w:rsidR="00C451FC" w:rsidRDefault="00C451FC" w:rsidP="009A3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5416" w14:textId="69EE877A" w:rsidR="00440CE1" w:rsidRDefault="00440CE1">
    <w:pPr>
      <w:pStyle w:val="Header"/>
    </w:pPr>
    <w:r>
      <w:rPr>
        <w:noProof/>
      </w:rPr>
      <w:pict w14:anchorId="61CBF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07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DA6F" w14:textId="723358AE" w:rsidR="0010477F" w:rsidRDefault="00440CE1">
    <w:pPr>
      <w:pStyle w:val="Header"/>
    </w:pPr>
    <w:r>
      <w:rPr>
        <w:noProof/>
      </w:rPr>
      <w:pict w14:anchorId="585C9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07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01429345"/>
        <w:docPartObj>
          <w:docPartGallery w:val="Page Numbers (Top of Page)"/>
          <w:docPartUnique/>
        </w:docPartObj>
      </w:sdtPr>
      <w:sdtEndPr>
        <w:rPr>
          <w:noProof/>
        </w:rPr>
      </w:sdtEndPr>
      <w:sdtContent>
        <w:r w:rsidR="00EB1B4C">
          <w:fldChar w:fldCharType="begin"/>
        </w:r>
        <w:r w:rsidR="00EB1B4C">
          <w:instrText xml:space="preserve"> PAGE   \* MERGEFORMAT </w:instrText>
        </w:r>
        <w:r w:rsidR="00EB1B4C">
          <w:fldChar w:fldCharType="separate"/>
        </w:r>
        <w:r w:rsidR="00EB1B4C">
          <w:rPr>
            <w:noProof/>
          </w:rPr>
          <w:t>1</w:t>
        </w:r>
        <w:r w:rsidR="00EB1B4C">
          <w:rPr>
            <w:noProof/>
          </w:rPr>
          <w:fldChar w:fldCharType="end"/>
        </w:r>
      </w:sdtContent>
    </w:sdt>
  </w:p>
  <w:p w14:paraId="59B8ACE3" w14:textId="77777777" w:rsidR="0010477F" w:rsidRDefault="00104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1877F" w14:textId="05EAF96B" w:rsidR="00440CE1" w:rsidRDefault="00440CE1">
    <w:pPr>
      <w:pStyle w:val="Header"/>
    </w:pPr>
    <w:r>
      <w:rPr>
        <w:noProof/>
      </w:rPr>
      <w:pict w14:anchorId="2EAEE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607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9411"/>
    <w:multiLevelType w:val="multilevel"/>
    <w:tmpl w:val="ACBC3D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1567A5"/>
    <w:multiLevelType w:val="multilevel"/>
    <w:tmpl w:val="E444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04431"/>
    <w:multiLevelType w:val="multilevel"/>
    <w:tmpl w:val="BF1E7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9D695C"/>
    <w:multiLevelType w:val="multilevel"/>
    <w:tmpl w:val="74B81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9405EB"/>
    <w:multiLevelType w:val="hybridMultilevel"/>
    <w:tmpl w:val="70AE2124"/>
    <w:lvl w:ilvl="0" w:tplc="2EB647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84474"/>
    <w:multiLevelType w:val="multilevel"/>
    <w:tmpl w:val="8C30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583F2E"/>
    <w:multiLevelType w:val="multilevel"/>
    <w:tmpl w:val="0226B3E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7C6A4D"/>
    <w:multiLevelType w:val="multilevel"/>
    <w:tmpl w:val="13364C48"/>
    <w:lvl w:ilvl="0">
      <w:start w:val="1"/>
      <w:numFmt w:val="lowerRoman"/>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115C11"/>
    <w:multiLevelType w:val="multilevel"/>
    <w:tmpl w:val="7CD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14CD3"/>
    <w:multiLevelType w:val="multilevel"/>
    <w:tmpl w:val="FA3A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4C8"/>
    <w:rsid w:val="00015A3F"/>
    <w:rsid w:val="0006180C"/>
    <w:rsid w:val="000A023C"/>
    <w:rsid w:val="000C2C1E"/>
    <w:rsid w:val="0010477F"/>
    <w:rsid w:val="00114428"/>
    <w:rsid w:val="001C758E"/>
    <w:rsid w:val="001F0CB3"/>
    <w:rsid w:val="00200157"/>
    <w:rsid w:val="00210075"/>
    <w:rsid w:val="0022105B"/>
    <w:rsid w:val="00226FE2"/>
    <w:rsid w:val="00240939"/>
    <w:rsid w:val="0024547B"/>
    <w:rsid w:val="00267343"/>
    <w:rsid w:val="00287F6C"/>
    <w:rsid w:val="002B0154"/>
    <w:rsid w:val="002C17EE"/>
    <w:rsid w:val="002F7CCF"/>
    <w:rsid w:val="003101AD"/>
    <w:rsid w:val="003320C6"/>
    <w:rsid w:val="003410C1"/>
    <w:rsid w:val="003C4EEA"/>
    <w:rsid w:val="003F7D46"/>
    <w:rsid w:val="00406C70"/>
    <w:rsid w:val="00407A1E"/>
    <w:rsid w:val="00440CE1"/>
    <w:rsid w:val="00441C20"/>
    <w:rsid w:val="00497A5B"/>
    <w:rsid w:val="004E36F6"/>
    <w:rsid w:val="004E4C45"/>
    <w:rsid w:val="004E6B6A"/>
    <w:rsid w:val="004F6BA0"/>
    <w:rsid w:val="00553BF9"/>
    <w:rsid w:val="00577A0F"/>
    <w:rsid w:val="005A116F"/>
    <w:rsid w:val="005B0DE9"/>
    <w:rsid w:val="005B6D1F"/>
    <w:rsid w:val="005C6743"/>
    <w:rsid w:val="005E3294"/>
    <w:rsid w:val="005E6A8B"/>
    <w:rsid w:val="00616DBA"/>
    <w:rsid w:val="0065223A"/>
    <w:rsid w:val="00676EEF"/>
    <w:rsid w:val="006C0120"/>
    <w:rsid w:val="006D5887"/>
    <w:rsid w:val="00704606"/>
    <w:rsid w:val="007061A9"/>
    <w:rsid w:val="007224ED"/>
    <w:rsid w:val="007B48F0"/>
    <w:rsid w:val="007F39C4"/>
    <w:rsid w:val="00844E12"/>
    <w:rsid w:val="00857578"/>
    <w:rsid w:val="008628CC"/>
    <w:rsid w:val="008840BC"/>
    <w:rsid w:val="008A29CE"/>
    <w:rsid w:val="008B2EE2"/>
    <w:rsid w:val="008D0B50"/>
    <w:rsid w:val="00954B6D"/>
    <w:rsid w:val="00961B92"/>
    <w:rsid w:val="009A3125"/>
    <w:rsid w:val="009C1EF2"/>
    <w:rsid w:val="009C4723"/>
    <w:rsid w:val="009D14C8"/>
    <w:rsid w:val="009D42DC"/>
    <w:rsid w:val="00A1238C"/>
    <w:rsid w:val="00A66332"/>
    <w:rsid w:val="00A70CD1"/>
    <w:rsid w:val="00AA0553"/>
    <w:rsid w:val="00AA79C4"/>
    <w:rsid w:val="00AC174E"/>
    <w:rsid w:val="00B24D7B"/>
    <w:rsid w:val="00B57F27"/>
    <w:rsid w:val="00B66C12"/>
    <w:rsid w:val="00C229F4"/>
    <w:rsid w:val="00C23F77"/>
    <w:rsid w:val="00C4246B"/>
    <w:rsid w:val="00C451FC"/>
    <w:rsid w:val="00C74479"/>
    <w:rsid w:val="00C745C1"/>
    <w:rsid w:val="00CB2ADA"/>
    <w:rsid w:val="00CC64AB"/>
    <w:rsid w:val="00CD0BF1"/>
    <w:rsid w:val="00CF51BF"/>
    <w:rsid w:val="00CF6268"/>
    <w:rsid w:val="00D03313"/>
    <w:rsid w:val="00D371A5"/>
    <w:rsid w:val="00D61B49"/>
    <w:rsid w:val="00D6661F"/>
    <w:rsid w:val="00D86A60"/>
    <w:rsid w:val="00D8707A"/>
    <w:rsid w:val="00E37DEB"/>
    <w:rsid w:val="00E4097D"/>
    <w:rsid w:val="00E96471"/>
    <w:rsid w:val="00EB1B4C"/>
    <w:rsid w:val="00F33F8B"/>
    <w:rsid w:val="00F36209"/>
    <w:rsid w:val="00F42326"/>
    <w:rsid w:val="00F47B09"/>
    <w:rsid w:val="00F741CF"/>
    <w:rsid w:val="00F75D7F"/>
    <w:rsid w:val="00F9307C"/>
    <w:rsid w:val="00FD750D"/>
    <w:rsid w:val="00FE6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BF17B8"/>
  <w15:docId w15:val="{BAF1DDB5-2432-4040-9842-4045BCBE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FE2"/>
  </w:style>
  <w:style w:type="paragraph" w:styleId="Heading1">
    <w:name w:val="heading 1"/>
    <w:basedOn w:val="Normal"/>
    <w:next w:val="Normal"/>
    <w:link w:val="Heading1Char"/>
    <w:uiPriority w:val="9"/>
    <w:qFormat/>
    <w:rsid w:val="009D14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4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4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4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4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4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4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4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4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4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4C8"/>
    <w:rPr>
      <w:rFonts w:eastAsiaTheme="majorEastAsia" w:cstheme="majorBidi"/>
      <w:color w:val="272727" w:themeColor="text1" w:themeTint="D8"/>
    </w:rPr>
  </w:style>
  <w:style w:type="paragraph" w:styleId="Title">
    <w:name w:val="Title"/>
    <w:basedOn w:val="Normal"/>
    <w:next w:val="Normal"/>
    <w:link w:val="TitleChar"/>
    <w:uiPriority w:val="10"/>
    <w:qFormat/>
    <w:rsid w:val="009D1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4C8"/>
    <w:pPr>
      <w:spacing w:before="160"/>
      <w:jc w:val="center"/>
    </w:pPr>
    <w:rPr>
      <w:i/>
      <w:iCs/>
      <w:color w:val="404040" w:themeColor="text1" w:themeTint="BF"/>
    </w:rPr>
  </w:style>
  <w:style w:type="character" w:customStyle="1" w:styleId="QuoteChar">
    <w:name w:val="Quote Char"/>
    <w:basedOn w:val="DefaultParagraphFont"/>
    <w:link w:val="Quote"/>
    <w:uiPriority w:val="29"/>
    <w:rsid w:val="009D14C8"/>
    <w:rPr>
      <w:i/>
      <w:iCs/>
      <w:color w:val="404040" w:themeColor="text1" w:themeTint="BF"/>
    </w:rPr>
  </w:style>
  <w:style w:type="paragraph" w:styleId="ListParagraph">
    <w:name w:val="List Paragraph"/>
    <w:basedOn w:val="Normal"/>
    <w:uiPriority w:val="34"/>
    <w:qFormat/>
    <w:rsid w:val="009D14C8"/>
    <w:pPr>
      <w:ind w:left="720"/>
      <w:contextualSpacing/>
    </w:pPr>
  </w:style>
  <w:style w:type="character" w:styleId="IntenseEmphasis">
    <w:name w:val="Intense Emphasis"/>
    <w:basedOn w:val="DefaultParagraphFont"/>
    <w:uiPriority w:val="21"/>
    <w:qFormat/>
    <w:rsid w:val="009D14C8"/>
    <w:rPr>
      <w:i/>
      <w:iCs/>
      <w:color w:val="2F5496" w:themeColor="accent1" w:themeShade="BF"/>
    </w:rPr>
  </w:style>
  <w:style w:type="paragraph" w:styleId="IntenseQuote">
    <w:name w:val="Intense Quote"/>
    <w:basedOn w:val="Normal"/>
    <w:next w:val="Normal"/>
    <w:link w:val="IntenseQuoteChar"/>
    <w:uiPriority w:val="30"/>
    <w:qFormat/>
    <w:rsid w:val="009D1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4C8"/>
    <w:rPr>
      <w:i/>
      <w:iCs/>
      <w:color w:val="2F5496" w:themeColor="accent1" w:themeShade="BF"/>
    </w:rPr>
  </w:style>
  <w:style w:type="character" w:styleId="IntenseReference">
    <w:name w:val="Intense Reference"/>
    <w:basedOn w:val="DefaultParagraphFont"/>
    <w:uiPriority w:val="32"/>
    <w:qFormat/>
    <w:rsid w:val="009D14C8"/>
    <w:rPr>
      <w:b/>
      <w:bCs/>
      <w:smallCaps/>
      <w:color w:val="2F5496" w:themeColor="accent1" w:themeShade="BF"/>
      <w:spacing w:val="5"/>
    </w:rPr>
  </w:style>
  <w:style w:type="character" w:styleId="Hyperlink">
    <w:name w:val="Hyperlink"/>
    <w:basedOn w:val="DefaultParagraphFont"/>
    <w:uiPriority w:val="99"/>
    <w:unhideWhenUsed/>
    <w:rsid w:val="00676EEF"/>
    <w:rPr>
      <w:color w:val="0563C1" w:themeColor="hyperlink"/>
      <w:u w:val="single"/>
    </w:rPr>
  </w:style>
  <w:style w:type="character" w:customStyle="1" w:styleId="UnresolvedMention1">
    <w:name w:val="Unresolved Mention1"/>
    <w:basedOn w:val="DefaultParagraphFont"/>
    <w:uiPriority w:val="99"/>
    <w:semiHidden/>
    <w:unhideWhenUsed/>
    <w:rsid w:val="00676EEF"/>
    <w:rPr>
      <w:color w:val="605E5C"/>
      <w:shd w:val="clear" w:color="auto" w:fill="E1DFDD"/>
    </w:rPr>
  </w:style>
  <w:style w:type="paragraph" w:styleId="NormalWeb">
    <w:name w:val="Normal (Web)"/>
    <w:basedOn w:val="Normal"/>
    <w:uiPriority w:val="99"/>
    <w:semiHidden/>
    <w:unhideWhenUsed/>
    <w:rsid w:val="003320C6"/>
    <w:rPr>
      <w:rFonts w:ascii="Times New Roman" w:hAnsi="Times New Roman" w:cs="Times New Roman"/>
    </w:rPr>
  </w:style>
  <w:style w:type="paragraph" w:styleId="Header">
    <w:name w:val="header"/>
    <w:basedOn w:val="Normal"/>
    <w:link w:val="HeaderChar"/>
    <w:uiPriority w:val="99"/>
    <w:unhideWhenUsed/>
    <w:rsid w:val="009A3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125"/>
  </w:style>
  <w:style w:type="paragraph" w:styleId="Footer">
    <w:name w:val="footer"/>
    <w:basedOn w:val="Normal"/>
    <w:link w:val="FooterChar"/>
    <w:uiPriority w:val="99"/>
    <w:unhideWhenUsed/>
    <w:rsid w:val="009A3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25"/>
  </w:style>
  <w:style w:type="paragraph" w:styleId="BalloonText">
    <w:name w:val="Balloon Text"/>
    <w:basedOn w:val="Normal"/>
    <w:link w:val="BalloonTextChar"/>
    <w:uiPriority w:val="99"/>
    <w:semiHidden/>
    <w:unhideWhenUsed/>
    <w:rsid w:val="00C2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F77"/>
    <w:rPr>
      <w:rFonts w:ascii="Tahoma" w:hAnsi="Tahoma" w:cs="Tahoma"/>
      <w:sz w:val="16"/>
      <w:szCs w:val="16"/>
    </w:rPr>
  </w:style>
  <w:style w:type="character" w:styleId="UnresolvedMention">
    <w:name w:val="Unresolved Mention"/>
    <w:basedOn w:val="DefaultParagraphFont"/>
    <w:uiPriority w:val="99"/>
    <w:semiHidden/>
    <w:unhideWhenUsed/>
    <w:rsid w:val="009C1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99081">
      <w:bodyDiv w:val="1"/>
      <w:marLeft w:val="0"/>
      <w:marRight w:val="0"/>
      <w:marTop w:val="0"/>
      <w:marBottom w:val="0"/>
      <w:divBdr>
        <w:top w:val="none" w:sz="0" w:space="0" w:color="auto"/>
        <w:left w:val="none" w:sz="0" w:space="0" w:color="auto"/>
        <w:bottom w:val="none" w:sz="0" w:space="0" w:color="auto"/>
        <w:right w:val="none" w:sz="0" w:space="0" w:color="auto"/>
      </w:divBdr>
    </w:div>
    <w:div w:id="41180436">
      <w:bodyDiv w:val="1"/>
      <w:marLeft w:val="0"/>
      <w:marRight w:val="0"/>
      <w:marTop w:val="0"/>
      <w:marBottom w:val="0"/>
      <w:divBdr>
        <w:top w:val="none" w:sz="0" w:space="0" w:color="auto"/>
        <w:left w:val="none" w:sz="0" w:space="0" w:color="auto"/>
        <w:bottom w:val="none" w:sz="0" w:space="0" w:color="auto"/>
        <w:right w:val="none" w:sz="0" w:space="0" w:color="auto"/>
      </w:divBdr>
    </w:div>
    <w:div w:id="62532808">
      <w:bodyDiv w:val="1"/>
      <w:marLeft w:val="0"/>
      <w:marRight w:val="0"/>
      <w:marTop w:val="0"/>
      <w:marBottom w:val="0"/>
      <w:divBdr>
        <w:top w:val="none" w:sz="0" w:space="0" w:color="auto"/>
        <w:left w:val="none" w:sz="0" w:space="0" w:color="auto"/>
        <w:bottom w:val="none" w:sz="0" w:space="0" w:color="auto"/>
        <w:right w:val="none" w:sz="0" w:space="0" w:color="auto"/>
      </w:divBdr>
    </w:div>
    <w:div w:id="70860384">
      <w:bodyDiv w:val="1"/>
      <w:marLeft w:val="0"/>
      <w:marRight w:val="0"/>
      <w:marTop w:val="0"/>
      <w:marBottom w:val="0"/>
      <w:divBdr>
        <w:top w:val="none" w:sz="0" w:space="0" w:color="auto"/>
        <w:left w:val="none" w:sz="0" w:space="0" w:color="auto"/>
        <w:bottom w:val="none" w:sz="0" w:space="0" w:color="auto"/>
        <w:right w:val="none" w:sz="0" w:space="0" w:color="auto"/>
      </w:divBdr>
    </w:div>
    <w:div w:id="71052678">
      <w:bodyDiv w:val="1"/>
      <w:marLeft w:val="0"/>
      <w:marRight w:val="0"/>
      <w:marTop w:val="0"/>
      <w:marBottom w:val="0"/>
      <w:divBdr>
        <w:top w:val="none" w:sz="0" w:space="0" w:color="auto"/>
        <w:left w:val="none" w:sz="0" w:space="0" w:color="auto"/>
        <w:bottom w:val="none" w:sz="0" w:space="0" w:color="auto"/>
        <w:right w:val="none" w:sz="0" w:space="0" w:color="auto"/>
      </w:divBdr>
    </w:div>
    <w:div w:id="97261347">
      <w:bodyDiv w:val="1"/>
      <w:marLeft w:val="0"/>
      <w:marRight w:val="0"/>
      <w:marTop w:val="0"/>
      <w:marBottom w:val="0"/>
      <w:divBdr>
        <w:top w:val="none" w:sz="0" w:space="0" w:color="auto"/>
        <w:left w:val="none" w:sz="0" w:space="0" w:color="auto"/>
        <w:bottom w:val="none" w:sz="0" w:space="0" w:color="auto"/>
        <w:right w:val="none" w:sz="0" w:space="0" w:color="auto"/>
      </w:divBdr>
    </w:div>
    <w:div w:id="119303161">
      <w:bodyDiv w:val="1"/>
      <w:marLeft w:val="0"/>
      <w:marRight w:val="0"/>
      <w:marTop w:val="0"/>
      <w:marBottom w:val="0"/>
      <w:divBdr>
        <w:top w:val="none" w:sz="0" w:space="0" w:color="auto"/>
        <w:left w:val="none" w:sz="0" w:space="0" w:color="auto"/>
        <w:bottom w:val="none" w:sz="0" w:space="0" w:color="auto"/>
        <w:right w:val="none" w:sz="0" w:space="0" w:color="auto"/>
      </w:divBdr>
      <w:divsChild>
        <w:div w:id="626201141">
          <w:marLeft w:val="0"/>
          <w:marRight w:val="0"/>
          <w:marTop w:val="0"/>
          <w:marBottom w:val="0"/>
          <w:divBdr>
            <w:top w:val="none" w:sz="0" w:space="0" w:color="auto"/>
            <w:left w:val="none" w:sz="0" w:space="0" w:color="auto"/>
            <w:bottom w:val="none" w:sz="0" w:space="0" w:color="auto"/>
            <w:right w:val="none" w:sz="0" w:space="0" w:color="auto"/>
          </w:divBdr>
          <w:divsChild>
            <w:div w:id="4982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3324">
      <w:bodyDiv w:val="1"/>
      <w:marLeft w:val="0"/>
      <w:marRight w:val="0"/>
      <w:marTop w:val="0"/>
      <w:marBottom w:val="0"/>
      <w:divBdr>
        <w:top w:val="none" w:sz="0" w:space="0" w:color="auto"/>
        <w:left w:val="none" w:sz="0" w:space="0" w:color="auto"/>
        <w:bottom w:val="none" w:sz="0" w:space="0" w:color="auto"/>
        <w:right w:val="none" w:sz="0" w:space="0" w:color="auto"/>
      </w:divBdr>
    </w:div>
    <w:div w:id="125702398">
      <w:bodyDiv w:val="1"/>
      <w:marLeft w:val="0"/>
      <w:marRight w:val="0"/>
      <w:marTop w:val="0"/>
      <w:marBottom w:val="0"/>
      <w:divBdr>
        <w:top w:val="none" w:sz="0" w:space="0" w:color="auto"/>
        <w:left w:val="none" w:sz="0" w:space="0" w:color="auto"/>
        <w:bottom w:val="none" w:sz="0" w:space="0" w:color="auto"/>
        <w:right w:val="none" w:sz="0" w:space="0" w:color="auto"/>
      </w:divBdr>
    </w:div>
    <w:div w:id="158808113">
      <w:bodyDiv w:val="1"/>
      <w:marLeft w:val="0"/>
      <w:marRight w:val="0"/>
      <w:marTop w:val="0"/>
      <w:marBottom w:val="0"/>
      <w:divBdr>
        <w:top w:val="none" w:sz="0" w:space="0" w:color="auto"/>
        <w:left w:val="none" w:sz="0" w:space="0" w:color="auto"/>
        <w:bottom w:val="none" w:sz="0" w:space="0" w:color="auto"/>
        <w:right w:val="none" w:sz="0" w:space="0" w:color="auto"/>
      </w:divBdr>
    </w:div>
    <w:div w:id="167722591">
      <w:bodyDiv w:val="1"/>
      <w:marLeft w:val="0"/>
      <w:marRight w:val="0"/>
      <w:marTop w:val="0"/>
      <w:marBottom w:val="0"/>
      <w:divBdr>
        <w:top w:val="none" w:sz="0" w:space="0" w:color="auto"/>
        <w:left w:val="none" w:sz="0" w:space="0" w:color="auto"/>
        <w:bottom w:val="none" w:sz="0" w:space="0" w:color="auto"/>
        <w:right w:val="none" w:sz="0" w:space="0" w:color="auto"/>
      </w:divBdr>
    </w:div>
    <w:div w:id="170069998">
      <w:bodyDiv w:val="1"/>
      <w:marLeft w:val="0"/>
      <w:marRight w:val="0"/>
      <w:marTop w:val="0"/>
      <w:marBottom w:val="0"/>
      <w:divBdr>
        <w:top w:val="none" w:sz="0" w:space="0" w:color="auto"/>
        <w:left w:val="none" w:sz="0" w:space="0" w:color="auto"/>
        <w:bottom w:val="none" w:sz="0" w:space="0" w:color="auto"/>
        <w:right w:val="none" w:sz="0" w:space="0" w:color="auto"/>
      </w:divBdr>
    </w:div>
    <w:div w:id="198015715">
      <w:bodyDiv w:val="1"/>
      <w:marLeft w:val="0"/>
      <w:marRight w:val="0"/>
      <w:marTop w:val="0"/>
      <w:marBottom w:val="0"/>
      <w:divBdr>
        <w:top w:val="none" w:sz="0" w:space="0" w:color="auto"/>
        <w:left w:val="none" w:sz="0" w:space="0" w:color="auto"/>
        <w:bottom w:val="none" w:sz="0" w:space="0" w:color="auto"/>
        <w:right w:val="none" w:sz="0" w:space="0" w:color="auto"/>
      </w:divBdr>
    </w:div>
    <w:div w:id="266013031">
      <w:bodyDiv w:val="1"/>
      <w:marLeft w:val="0"/>
      <w:marRight w:val="0"/>
      <w:marTop w:val="0"/>
      <w:marBottom w:val="0"/>
      <w:divBdr>
        <w:top w:val="none" w:sz="0" w:space="0" w:color="auto"/>
        <w:left w:val="none" w:sz="0" w:space="0" w:color="auto"/>
        <w:bottom w:val="none" w:sz="0" w:space="0" w:color="auto"/>
        <w:right w:val="none" w:sz="0" w:space="0" w:color="auto"/>
      </w:divBdr>
    </w:div>
    <w:div w:id="288977057">
      <w:bodyDiv w:val="1"/>
      <w:marLeft w:val="0"/>
      <w:marRight w:val="0"/>
      <w:marTop w:val="0"/>
      <w:marBottom w:val="0"/>
      <w:divBdr>
        <w:top w:val="none" w:sz="0" w:space="0" w:color="auto"/>
        <w:left w:val="none" w:sz="0" w:space="0" w:color="auto"/>
        <w:bottom w:val="none" w:sz="0" w:space="0" w:color="auto"/>
        <w:right w:val="none" w:sz="0" w:space="0" w:color="auto"/>
      </w:divBdr>
    </w:div>
    <w:div w:id="295764692">
      <w:bodyDiv w:val="1"/>
      <w:marLeft w:val="0"/>
      <w:marRight w:val="0"/>
      <w:marTop w:val="0"/>
      <w:marBottom w:val="0"/>
      <w:divBdr>
        <w:top w:val="none" w:sz="0" w:space="0" w:color="auto"/>
        <w:left w:val="none" w:sz="0" w:space="0" w:color="auto"/>
        <w:bottom w:val="none" w:sz="0" w:space="0" w:color="auto"/>
        <w:right w:val="none" w:sz="0" w:space="0" w:color="auto"/>
      </w:divBdr>
      <w:divsChild>
        <w:div w:id="862288124">
          <w:marLeft w:val="0"/>
          <w:marRight w:val="0"/>
          <w:marTop w:val="0"/>
          <w:marBottom w:val="0"/>
          <w:divBdr>
            <w:top w:val="none" w:sz="0" w:space="0" w:color="auto"/>
            <w:left w:val="none" w:sz="0" w:space="0" w:color="auto"/>
            <w:bottom w:val="none" w:sz="0" w:space="0" w:color="auto"/>
            <w:right w:val="none" w:sz="0" w:space="0" w:color="auto"/>
          </w:divBdr>
          <w:divsChild>
            <w:div w:id="9250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7013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20">
          <w:marLeft w:val="0"/>
          <w:marRight w:val="0"/>
          <w:marTop w:val="0"/>
          <w:marBottom w:val="0"/>
          <w:divBdr>
            <w:top w:val="none" w:sz="0" w:space="0" w:color="auto"/>
            <w:left w:val="none" w:sz="0" w:space="0" w:color="auto"/>
            <w:bottom w:val="none" w:sz="0" w:space="0" w:color="auto"/>
            <w:right w:val="none" w:sz="0" w:space="0" w:color="auto"/>
          </w:divBdr>
          <w:divsChild>
            <w:div w:id="11151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4414">
      <w:bodyDiv w:val="1"/>
      <w:marLeft w:val="0"/>
      <w:marRight w:val="0"/>
      <w:marTop w:val="0"/>
      <w:marBottom w:val="0"/>
      <w:divBdr>
        <w:top w:val="none" w:sz="0" w:space="0" w:color="auto"/>
        <w:left w:val="none" w:sz="0" w:space="0" w:color="auto"/>
        <w:bottom w:val="none" w:sz="0" w:space="0" w:color="auto"/>
        <w:right w:val="none" w:sz="0" w:space="0" w:color="auto"/>
      </w:divBdr>
      <w:divsChild>
        <w:div w:id="1741519854">
          <w:marLeft w:val="0"/>
          <w:marRight w:val="0"/>
          <w:marTop w:val="0"/>
          <w:marBottom w:val="0"/>
          <w:divBdr>
            <w:top w:val="none" w:sz="0" w:space="0" w:color="auto"/>
            <w:left w:val="none" w:sz="0" w:space="0" w:color="auto"/>
            <w:bottom w:val="none" w:sz="0" w:space="0" w:color="auto"/>
            <w:right w:val="none" w:sz="0" w:space="0" w:color="auto"/>
          </w:divBdr>
          <w:divsChild>
            <w:div w:id="8288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3728">
      <w:bodyDiv w:val="1"/>
      <w:marLeft w:val="0"/>
      <w:marRight w:val="0"/>
      <w:marTop w:val="0"/>
      <w:marBottom w:val="0"/>
      <w:divBdr>
        <w:top w:val="none" w:sz="0" w:space="0" w:color="auto"/>
        <w:left w:val="none" w:sz="0" w:space="0" w:color="auto"/>
        <w:bottom w:val="none" w:sz="0" w:space="0" w:color="auto"/>
        <w:right w:val="none" w:sz="0" w:space="0" w:color="auto"/>
      </w:divBdr>
    </w:div>
    <w:div w:id="360518046">
      <w:bodyDiv w:val="1"/>
      <w:marLeft w:val="0"/>
      <w:marRight w:val="0"/>
      <w:marTop w:val="0"/>
      <w:marBottom w:val="0"/>
      <w:divBdr>
        <w:top w:val="none" w:sz="0" w:space="0" w:color="auto"/>
        <w:left w:val="none" w:sz="0" w:space="0" w:color="auto"/>
        <w:bottom w:val="none" w:sz="0" w:space="0" w:color="auto"/>
        <w:right w:val="none" w:sz="0" w:space="0" w:color="auto"/>
      </w:divBdr>
      <w:divsChild>
        <w:div w:id="1636180414">
          <w:marLeft w:val="0"/>
          <w:marRight w:val="0"/>
          <w:marTop w:val="0"/>
          <w:marBottom w:val="0"/>
          <w:divBdr>
            <w:top w:val="none" w:sz="0" w:space="0" w:color="auto"/>
            <w:left w:val="none" w:sz="0" w:space="0" w:color="auto"/>
            <w:bottom w:val="none" w:sz="0" w:space="0" w:color="auto"/>
            <w:right w:val="none" w:sz="0" w:space="0" w:color="auto"/>
          </w:divBdr>
          <w:divsChild>
            <w:div w:id="17374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12208">
      <w:bodyDiv w:val="1"/>
      <w:marLeft w:val="0"/>
      <w:marRight w:val="0"/>
      <w:marTop w:val="0"/>
      <w:marBottom w:val="0"/>
      <w:divBdr>
        <w:top w:val="none" w:sz="0" w:space="0" w:color="auto"/>
        <w:left w:val="none" w:sz="0" w:space="0" w:color="auto"/>
        <w:bottom w:val="none" w:sz="0" w:space="0" w:color="auto"/>
        <w:right w:val="none" w:sz="0" w:space="0" w:color="auto"/>
      </w:divBdr>
    </w:div>
    <w:div w:id="456527278">
      <w:bodyDiv w:val="1"/>
      <w:marLeft w:val="0"/>
      <w:marRight w:val="0"/>
      <w:marTop w:val="0"/>
      <w:marBottom w:val="0"/>
      <w:divBdr>
        <w:top w:val="none" w:sz="0" w:space="0" w:color="auto"/>
        <w:left w:val="none" w:sz="0" w:space="0" w:color="auto"/>
        <w:bottom w:val="none" w:sz="0" w:space="0" w:color="auto"/>
        <w:right w:val="none" w:sz="0" w:space="0" w:color="auto"/>
      </w:divBdr>
    </w:div>
    <w:div w:id="473564526">
      <w:bodyDiv w:val="1"/>
      <w:marLeft w:val="0"/>
      <w:marRight w:val="0"/>
      <w:marTop w:val="0"/>
      <w:marBottom w:val="0"/>
      <w:divBdr>
        <w:top w:val="none" w:sz="0" w:space="0" w:color="auto"/>
        <w:left w:val="none" w:sz="0" w:space="0" w:color="auto"/>
        <w:bottom w:val="none" w:sz="0" w:space="0" w:color="auto"/>
        <w:right w:val="none" w:sz="0" w:space="0" w:color="auto"/>
      </w:divBdr>
    </w:div>
    <w:div w:id="488058836">
      <w:bodyDiv w:val="1"/>
      <w:marLeft w:val="0"/>
      <w:marRight w:val="0"/>
      <w:marTop w:val="0"/>
      <w:marBottom w:val="0"/>
      <w:divBdr>
        <w:top w:val="none" w:sz="0" w:space="0" w:color="auto"/>
        <w:left w:val="none" w:sz="0" w:space="0" w:color="auto"/>
        <w:bottom w:val="none" w:sz="0" w:space="0" w:color="auto"/>
        <w:right w:val="none" w:sz="0" w:space="0" w:color="auto"/>
      </w:divBdr>
      <w:divsChild>
        <w:div w:id="1761488512">
          <w:marLeft w:val="0"/>
          <w:marRight w:val="0"/>
          <w:marTop w:val="0"/>
          <w:marBottom w:val="0"/>
          <w:divBdr>
            <w:top w:val="none" w:sz="0" w:space="0" w:color="auto"/>
            <w:left w:val="none" w:sz="0" w:space="0" w:color="auto"/>
            <w:bottom w:val="none" w:sz="0" w:space="0" w:color="auto"/>
            <w:right w:val="none" w:sz="0" w:space="0" w:color="auto"/>
          </w:divBdr>
          <w:divsChild>
            <w:div w:id="7392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9437">
      <w:bodyDiv w:val="1"/>
      <w:marLeft w:val="0"/>
      <w:marRight w:val="0"/>
      <w:marTop w:val="0"/>
      <w:marBottom w:val="0"/>
      <w:divBdr>
        <w:top w:val="none" w:sz="0" w:space="0" w:color="auto"/>
        <w:left w:val="none" w:sz="0" w:space="0" w:color="auto"/>
        <w:bottom w:val="none" w:sz="0" w:space="0" w:color="auto"/>
        <w:right w:val="none" w:sz="0" w:space="0" w:color="auto"/>
      </w:divBdr>
    </w:div>
    <w:div w:id="547642673">
      <w:bodyDiv w:val="1"/>
      <w:marLeft w:val="0"/>
      <w:marRight w:val="0"/>
      <w:marTop w:val="0"/>
      <w:marBottom w:val="0"/>
      <w:divBdr>
        <w:top w:val="none" w:sz="0" w:space="0" w:color="auto"/>
        <w:left w:val="none" w:sz="0" w:space="0" w:color="auto"/>
        <w:bottom w:val="none" w:sz="0" w:space="0" w:color="auto"/>
        <w:right w:val="none" w:sz="0" w:space="0" w:color="auto"/>
      </w:divBdr>
    </w:div>
    <w:div w:id="555430327">
      <w:bodyDiv w:val="1"/>
      <w:marLeft w:val="0"/>
      <w:marRight w:val="0"/>
      <w:marTop w:val="0"/>
      <w:marBottom w:val="0"/>
      <w:divBdr>
        <w:top w:val="none" w:sz="0" w:space="0" w:color="auto"/>
        <w:left w:val="none" w:sz="0" w:space="0" w:color="auto"/>
        <w:bottom w:val="none" w:sz="0" w:space="0" w:color="auto"/>
        <w:right w:val="none" w:sz="0" w:space="0" w:color="auto"/>
      </w:divBdr>
      <w:divsChild>
        <w:div w:id="1775587538">
          <w:marLeft w:val="0"/>
          <w:marRight w:val="0"/>
          <w:marTop w:val="0"/>
          <w:marBottom w:val="0"/>
          <w:divBdr>
            <w:top w:val="none" w:sz="0" w:space="0" w:color="auto"/>
            <w:left w:val="none" w:sz="0" w:space="0" w:color="auto"/>
            <w:bottom w:val="none" w:sz="0" w:space="0" w:color="auto"/>
            <w:right w:val="none" w:sz="0" w:space="0" w:color="auto"/>
          </w:divBdr>
          <w:divsChild>
            <w:div w:id="5729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4644">
      <w:bodyDiv w:val="1"/>
      <w:marLeft w:val="0"/>
      <w:marRight w:val="0"/>
      <w:marTop w:val="0"/>
      <w:marBottom w:val="0"/>
      <w:divBdr>
        <w:top w:val="none" w:sz="0" w:space="0" w:color="auto"/>
        <w:left w:val="none" w:sz="0" w:space="0" w:color="auto"/>
        <w:bottom w:val="none" w:sz="0" w:space="0" w:color="auto"/>
        <w:right w:val="none" w:sz="0" w:space="0" w:color="auto"/>
      </w:divBdr>
      <w:divsChild>
        <w:div w:id="2060469811">
          <w:marLeft w:val="0"/>
          <w:marRight w:val="0"/>
          <w:marTop w:val="0"/>
          <w:marBottom w:val="0"/>
          <w:divBdr>
            <w:top w:val="none" w:sz="0" w:space="0" w:color="auto"/>
            <w:left w:val="none" w:sz="0" w:space="0" w:color="auto"/>
            <w:bottom w:val="none" w:sz="0" w:space="0" w:color="auto"/>
            <w:right w:val="none" w:sz="0" w:space="0" w:color="auto"/>
          </w:divBdr>
          <w:divsChild>
            <w:div w:id="16053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49545">
      <w:bodyDiv w:val="1"/>
      <w:marLeft w:val="0"/>
      <w:marRight w:val="0"/>
      <w:marTop w:val="0"/>
      <w:marBottom w:val="0"/>
      <w:divBdr>
        <w:top w:val="none" w:sz="0" w:space="0" w:color="auto"/>
        <w:left w:val="none" w:sz="0" w:space="0" w:color="auto"/>
        <w:bottom w:val="none" w:sz="0" w:space="0" w:color="auto"/>
        <w:right w:val="none" w:sz="0" w:space="0" w:color="auto"/>
      </w:divBdr>
    </w:div>
    <w:div w:id="586695586">
      <w:bodyDiv w:val="1"/>
      <w:marLeft w:val="0"/>
      <w:marRight w:val="0"/>
      <w:marTop w:val="0"/>
      <w:marBottom w:val="0"/>
      <w:divBdr>
        <w:top w:val="none" w:sz="0" w:space="0" w:color="auto"/>
        <w:left w:val="none" w:sz="0" w:space="0" w:color="auto"/>
        <w:bottom w:val="none" w:sz="0" w:space="0" w:color="auto"/>
        <w:right w:val="none" w:sz="0" w:space="0" w:color="auto"/>
      </w:divBdr>
      <w:divsChild>
        <w:div w:id="1047875217">
          <w:marLeft w:val="0"/>
          <w:marRight w:val="0"/>
          <w:marTop w:val="0"/>
          <w:marBottom w:val="0"/>
          <w:divBdr>
            <w:top w:val="none" w:sz="0" w:space="0" w:color="auto"/>
            <w:left w:val="none" w:sz="0" w:space="0" w:color="auto"/>
            <w:bottom w:val="none" w:sz="0" w:space="0" w:color="auto"/>
            <w:right w:val="none" w:sz="0" w:space="0" w:color="auto"/>
          </w:divBdr>
          <w:divsChild>
            <w:div w:id="18532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7726">
      <w:bodyDiv w:val="1"/>
      <w:marLeft w:val="0"/>
      <w:marRight w:val="0"/>
      <w:marTop w:val="0"/>
      <w:marBottom w:val="0"/>
      <w:divBdr>
        <w:top w:val="none" w:sz="0" w:space="0" w:color="auto"/>
        <w:left w:val="none" w:sz="0" w:space="0" w:color="auto"/>
        <w:bottom w:val="none" w:sz="0" w:space="0" w:color="auto"/>
        <w:right w:val="none" w:sz="0" w:space="0" w:color="auto"/>
      </w:divBdr>
    </w:div>
    <w:div w:id="666834466">
      <w:bodyDiv w:val="1"/>
      <w:marLeft w:val="0"/>
      <w:marRight w:val="0"/>
      <w:marTop w:val="0"/>
      <w:marBottom w:val="0"/>
      <w:divBdr>
        <w:top w:val="none" w:sz="0" w:space="0" w:color="auto"/>
        <w:left w:val="none" w:sz="0" w:space="0" w:color="auto"/>
        <w:bottom w:val="none" w:sz="0" w:space="0" w:color="auto"/>
        <w:right w:val="none" w:sz="0" w:space="0" w:color="auto"/>
      </w:divBdr>
      <w:divsChild>
        <w:div w:id="961158586">
          <w:marLeft w:val="0"/>
          <w:marRight w:val="0"/>
          <w:marTop w:val="0"/>
          <w:marBottom w:val="0"/>
          <w:divBdr>
            <w:top w:val="none" w:sz="0" w:space="0" w:color="auto"/>
            <w:left w:val="none" w:sz="0" w:space="0" w:color="auto"/>
            <w:bottom w:val="none" w:sz="0" w:space="0" w:color="auto"/>
            <w:right w:val="none" w:sz="0" w:space="0" w:color="auto"/>
          </w:divBdr>
          <w:divsChild>
            <w:div w:id="19923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99362">
      <w:bodyDiv w:val="1"/>
      <w:marLeft w:val="0"/>
      <w:marRight w:val="0"/>
      <w:marTop w:val="0"/>
      <w:marBottom w:val="0"/>
      <w:divBdr>
        <w:top w:val="none" w:sz="0" w:space="0" w:color="auto"/>
        <w:left w:val="none" w:sz="0" w:space="0" w:color="auto"/>
        <w:bottom w:val="none" w:sz="0" w:space="0" w:color="auto"/>
        <w:right w:val="none" w:sz="0" w:space="0" w:color="auto"/>
      </w:divBdr>
      <w:divsChild>
        <w:div w:id="1217670097">
          <w:marLeft w:val="0"/>
          <w:marRight w:val="0"/>
          <w:marTop w:val="0"/>
          <w:marBottom w:val="0"/>
          <w:divBdr>
            <w:top w:val="none" w:sz="0" w:space="0" w:color="auto"/>
            <w:left w:val="none" w:sz="0" w:space="0" w:color="auto"/>
            <w:bottom w:val="none" w:sz="0" w:space="0" w:color="auto"/>
            <w:right w:val="none" w:sz="0" w:space="0" w:color="auto"/>
          </w:divBdr>
          <w:divsChild>
            <w:div w:id="200096017">
              <w:marLeft w:val="0"/>
              <w:marRight w:val="0"/>
              <w:marTop w:val="0"/>
              <w:marBottom w:val="0"/>
              <w:divBdr>
                <w:top w:val="none" w:sz="0" w:space="0" w:color="auto"/>
                <w:left w:val="none" w:sz="0" w:space="0" w:color="auto"/>
                <w:bottom w:val="none" w:sz="0" w:space="0" w:color="auto"/>
                <w:right w:val="none" w:sz="0" w:space="0" w:color="auto"/>
              </w:divBdr>
            </w:div>
          </w:divsChild>
        </w:div>
        <w:div w:id="1746033094">
          <w:marLeft w:val="0"/>
          <w:marRight w:val="0"/>
          <w:marTop w:val="0"/>
          <w:marBottom w:val="0"/>
          <w:divBdr>
            <w:top w:val="none" w:sz="0" w:space="0" w:color="auto"/>
            <w:left w:val="none" w:sz="0" w:space="0" w:color="auto"/>
            <w:bottom w:val="none" w:sz="0" w:space="0" w:color="auto"/>
            <w:right w:val="none" w:sz="0" w:space="0" w:color="auto"/>
          </w:divBdr>
          <w:divsChild>
            <w:div w:id="6430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416">
      <w:bodyDiv w:val="1"/>
      <w:marLeft w:val="0"/>
      <w:marRight w:val="0"/>
      <w:marTop w:val="0"/>
      <w:marBottom w:val="0"/>
      <w:divBdr>
        <w:top w:val="none" w:sz="0" w:space="0" w:color="auto"/>
        <w:left w:val="none" w:sz="0" w:space="0" w:color="auto"/>
        <w:bottom w:val="none" w:sz="0" w:space="0" w:color="auto"/>
        <w:right w:val="none" w:sz="0" w:space="0" w:color="auto"/>
      </w:divBdr>
    </w:div>
    <w:div w:id="744768332">
      <w:bodyDiv w:val="1"/>
      <w:marLeft w:val="0"/>
      <w:marRight w:val="0"/>
      <w:marTop w:val="0"/>
      <w:marBottom w:val="0"/>
      <w:divBdr>
        <w:top w:val="none" w:sz="0" w:space="0" w:color="auto"/>
        <w:left w:val="none" w:sz="0" w:space="0" w:color="auto"/>
        <w:bottom w:val="none" w:sz="0" w:space="0" w:color="auto"/>
        <w:right w:val="none" w:sz="0" w:space="0" w:color="auto"/>
      </w:divBdr>
    </w:div>
    <w:div w:id="759986035">
      <w:bodyDiv w:val="1"/>
      <w:marLeft w:val="0"/>
      <w:marRight w:val="0"/>
      <w:marTop w:val="0"/>
      <w:marBottom w:val="0"/>
      <w:divBdr>
        <w:top w:val="none" w:sz="0" w:space="0" w:color="auto"/>
        <w:left w:val="none" w:sz="0" w:space="0" w:color="auto"/>
        <w:bottom w:val="none" w:sz="0" w:space="0" w:color="auto"/>
        <w:right w:val="none" w:sz="0" w:space="0" w:color="auto"/>
      </w:divBdr>
    </w:div>
    <w:div w:id="784930782">
      <w:bodyDiv w:val="1"/>
      <w:marLeft w:val="0"/>
      <w:marRight w:val="0"/>
      <w:marTop w:val="0"/>
      <w:marBottom w:val="0"/>
      <w:divBdr>
        <w:top w:val="none" w:sz="0" w:space="0" w:color="auto"/>
        <w:left w:val="none" w:sz="0" w:space="0" w:color="auto"/>
        <w:bottom w:val="none" w:sz="0" w:space="0" w:color="auto"/>
        <w:right w:val="none" w:sz="0" w:space="0" w:color="auto"/>
      </w:divBdr>
    </w:div>
    <w:div w:id="802503193">
      <w:bodyDiv w:val="1"/>
      <w:marLeft w:val="0"/>
      <w:marRight w:val="0"/>
      <w:marTop w:val="0"/>
      <w:marBottom w:val="0"/>
      <w:divBdr>
        <w:top w:val="none" w:sz="0" w:space="0" w:color="auto"/>
        <w:left w:val="none" w:sz="0" w:space="0" w:color="auto"/>
        <w:bottom w:val="none" w:sz="0" w:space="0" w:color="auto"/>
        <w:right w:val="none" w:sz="0" w:space="0" w:color="auto"/>
      </w:divBdr>
    </w:div>
    <w:div w:id="805512257">
      <w:bodyDiv w:val="1"/>
      <w:marLeft w:val="0"/>
      <w:marRight w:val="0"/>
      <w:marTop w:val="0"/>
      <w:marBottom w:val="0"/>
      <w:divBdr>
        <w:top w:val="none" w:sz="0" w:space="0" w:color="auto"/>
        <w:left w:val="none" w:sz="0" w:space="0" w:color="auto"/>
        <w:bottom w:val="none" w:sz="0" w:space="0" w:color="auto"/>
        <w:right w:val="none" w:sz="0" w:space="0" w:color="auto"/>
      </w:divBdr>
      <w:divsChild>
        <w:div w:id="243489752">
          <w:marLeft w:val="0"/>
          <w:marRight w:val="0"/>
          <w:marTop w:val="0"/>
          <w:marBottom w:val="0"/>
          <w:divBdr>
            <w:top w:val="none" w:sz="0" w:space="0" w:color="auto"/>
            <w:left w:val="none" w:sz="0" w:space="0" w:color="auto"/>
            <w:bottom w:val="none" w:sz="0" w:space="0" w:color="auto"/>
            <w:right w:val="none" w:sz="0" w:space="0" w:color="auto"/>
          </w:divBdr>
          <w:divsChild>
            <w:div w:id="969281888">
              <w:marLeft w:val="0"/>
              <w:marRight w:val="0"/>
              <w:marTop w:val="0"/>
              <w:marBottom w:val="0"/>
              <w:divBdr>
                <w:top w:val="none" w:sz="0" w:space="0" w:color="auto"/>
                <w:left w:val="none" w:sz="0" w:space="0" w:color="auto"/>
                <w:bottom w:val="none" w:sz="0" w:space="0" w:color="auto"/>
                <w:right w:val="none" w:sz="0" w:space="0" w:color="auto"/>
              </w:divBdr>
            </w:div>
          </w:divsChild>
        </w:div>
        <w:div w:id="2146699812">
          <w:marLeft w:val="0"/>
          <w:marRight w:val="0"/>
          <w:marTop w:val="0"/>
          <w:marBottom w:val="0"/>
          <w:divBdr>
            <w:top w:val="none" w:sz="0" w:space="0" w:color="auto"/>
            <w:left w:val="none" w:sz="0" w:space="0" w:color="auto"/>
            <w:bottom w:val="none" w:sz="0" w:space="0" w:color="auto"/>
            <w:right w:val="none" w:sz="0" w:space="0" w:color="auto"/>
          </w:divBdr>
          <w:divsChild>
            <w:div w:id="15889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800">
      <w:bodyDiv w:val="1"/>
      <w:marLeft w:val="0"/>
      <w:marRight w:val="0"/>
      <w:marTop w:val="0"/>
      <w:marBottom w:val="0"/>
      <w:divBdr>
        <w:top w:val="none" w:sz="0" w:space="0" w:color="auto"/>
        <w:left w:val="none" w:sz="0" w:space="0" w:color="auto"/>
        <w:bottom w:val="none" w:sz="0" w:space="0" w:color="auto"/>
        <w:right w:val="none" w:sz="0" w:space="0" w:color="auto"/>
      </w:divBdr>
    </w:div>
    <w:div w:id="831793188">
      <w:bodyDiv w:val="1"/>
      <w:marLeft w:val="0"/>
      <w:marRight w:val="0"/>
      <w:marTop w:val="0"/>
      <w:marBottom w:val="0"/>
      <w:divBdr>
        <w:top w:val="none" w:sz="0" w:space="0" w:color="auto"/>
        <w:left w:val="none" w:sz="0" w:space="0" w:color="auto"/>
        <w:bottom w:val="none" w:sz="0" w:space="0" w:color="auto"/>
        <w:right w:val="none" w:sz="0" w:space="0" w:color="auto"/>
      </w:divBdr>
    </w:div>
    <w:div w:id="834225232">
      <w:bodyDiv w:val="1"/>
      <w:marLeft w:val="0"/>
      <w:marRight w:val="0"/>
      <w:marTop w:val="0"/>
      <w:marBottom w:val="0"/>
      <w:divBdr>
        <w:top w:val="none" w:sz="0" w:space="0" w:color="auto"/>
        <w:left w:val="none" w:sz="0" w:space="0" w:color="auto"/>
        <w:bottom w:val="none" w:sz="0" w:space="0" w:color="auto"/>
        <w:right w:val="none" w:sz="0" w:space="0" w:color="auto"/>
      </w:divBdr>
      <w:divsChild>
        <w:div w:id="1271743794">
          <w:marLeft w:val="0"/>
          <w:marRight w:val="0"/>
          <w:marTop w:val="0"/>
          <w:marBottom w:val="0"/>
          <w:divBdr>
            <w:top w:val="none" w:sz="0" w:space="0" w:color="auto"/>
            <w:left w:val="none" w:sz="0" w:space="0" w:color="auto"/>
            <w:bottom w:val="none" w:sz="0" w:space="0" w:color="auto"/>
            <w:right w:val="none" w:sz="0" w:space="0" w:color="auto"/>
          </w:divBdr>
          <w:divsChild>
            <w:div w:id="79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1334">
      <w:bodyDiv w:val="1"/>
      <w:marLeft w:val="0"/>
      <w:marRight w:val="0"/>
      <w:marTop w:val="0"/>
      <w:marBottom w:val="0"/>
      <w:divBdr>
        <w:top w:val="none" w:sz="0" w:space="0" w:color="auto"/>
        <w:left w:val="none" w:sz="0" w:space="0" w:color="auto"/>
        <w:bottom w:val="none" w:sz="0" w:space="0" w:color="auto"/>
        <w:right w:val="none" w:sz="0" w:space="0" w:color="auto"/>
      </w:divBdr>
      <w:divsChild>
        <w:div w:id="927469260">
          <w:marLeft w:val="0"/>
          <w:marRight w:val="0"/>
          <w:marTop w:val="0"/>
          <w:marBottom w:val="0"/>
          <w:divBdr>
            <w:top w:val="none" w:sz="0" w:space="0" w:color="auto"/>
            <w:left w:val="none" w:sz="0" w:space="0" w:color="auto"/>
            <w:bottom w:val="none" w:sz="0" w:space="0" w:color="auto"/>
            <w:right w:val="none" w:sz="0" w:space="0" w:color="auto"/>
          </w:divBdr>
          <w:divsChild>
            <w:div w:id="7755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4802">
      <w:bodyDiv w:val="1"/>
      <w:marLeft w:val="0"/>
      <w:marRight w:val="0"/>
      <w:marTop w:val="0"/>
      <w:marBottom w:val="0"/>
      <w:divBdr>
        <w:top w:val="none" w:sz="0" w:space="0" w:color="auto"/>
        <w:left w:val="none" w:sz="0" w:space="0" w:color="auto"/>
        <w:bottom w:val="none" w:sz="0" w:space="0" w:color="auto"/>
        <w:right w:val="none" w:sz="0" w:space="0" w:color="auto"/>
      </w:divBdr>
    </w:div>
    <w:div w:id="929192295">
      <w:bodyDiv w:val="1"/>
      <w:marLeft w:val="0"/>
      <w:marRight w:val="0"/>
      <w:marTop w:val="0"/>
      <w:marBottom w:val="0"/>
      <w:divBdr>
        <w:top w:val="none" w:sz="0" w:space="0" w:color="auto"/>
        <w:left w:val="none" w:sz="0" w:space="0" w:color="auto"/>
        <w:bottom w:val="none" w:sz="0" w:space="0" w:color="auto"/>
        <w:right w:val="none" w:sz="0" w:space="0" w:color="auto"/>
      </w:divBdr>
      <w:divsChild>
        <w:div w:id="680007656">
          <w:marLeft w:val="0"/>
          <w:marRight w:val="0"/>
          <w:marTop w:val="0"/>
          <w:marBottom w:val="0"/>
          <w:divBdr>
            <w:top w:val="none" w:sz="0" w:space="0" w:color="auto"/>
            <w:left w:val="none" w:sz="0" w:space="0" w:color="auto"/>
            <w:bottom w:val="none" w:sz="0" w:space="0" w:color="auto"/>
            <w:right w:val="none" w:sz="0" w:space="0" w:color="auto"/>
          </w:divBdr>
          <w:divsChild>
            <w:div w:id="14165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5378">
      <w:bodyDiv w:val="1"/>
      <w:marLeft w:val="0"/>
      <w:marRight w:val="0"/>
      <w:marTop w:val="0"/>
      <w:marBottom w:val="0"/>
      <w:divBdr>
        <w:top w:val="none" w:sz="0" w:space="0" w:color="auto"/>
        <w:left w:val="none" w:sz="0" w:space="0" w:color="auto"/>
        <w:bottom w:val="none" w:sz="0" w:space="0" w:color="auto"/>
        <w:right w:val="none" w:sz="0" w:space="0" w:color="auto"/>
      </w:divBdr>
    </w:div>
    <w:div w:id="994721527">
      <w:bodyDiv w:val="1"/>
      <w:marLeft w:val="0"/>
      <w:marRight w:val="0"/>
      <w:marTop w:val="0"/>
      <w:marBottom w:val="0"/>
      <w:divBdr>
        <w:top w:val="none" w:sz="0" w:space="0" w:color="auto"/>
        <w:left w:val="none" w:sz="0" w:space="0" w:color="auto"/>
        <w:bottom w:val="none" w:sz="0" w:space="0" w:color="auto"/>
        <w:right w:val="none" w:sz="0" w:space="0" w:color="auto"/>
      </w:divBdr>
    </w:div>
    <w:div w:id="998507479">
      <w:bodyDiv w:val="1"/>
      <w:marLeft w:val="0"/>
      <w:marRight w:val="0"/>
      <w:marTop w:val="0"/>
      <w:marBottom w:val="0"/>
      <w:divBdr>
        <w:top w:val="none" w:sz="0" w:space="0" w:color="auto"/>
        <w:left w:val="none" w:sz="0" w:space="0" w:color="auto"/>
        <w:bottom w:val="none" w:sz="0" w:space="0" w:color="auto"/>
        <w:right w:val="none" w:sz="0" w:space="0" w:color="auto"/>
      </w:divBdr>
    </w:div>
    <w:div w:id="1042629416">
      <w:bodyDiv w:val="1"/>
      <w:marLeft w:val="0"/>
      <w:marRight w:val="0"/>
      <w:marTop w:val="0"/>
      <w:marBottom w:val="0"/>
      <w:divBdr>
        <w:top w:val="none" w:sz="0" w:space="0" w:color="auto"/>
        <w:left w:val="none" w:sz="0" w:space="0" w:color="auto"/>
        <w:bottom w:val="none" w:sz="0" w:space="0" w:color="auto"/>
        <w:right w:val="none" w:sz="0" w:space="0" w:color="auto"/>
      </w:divBdr>
    </w:div>
    <w:div w:id="1045983754">
      <w:bodyDiv w:val="1"/>
      <w:marLeft w:val="0"/>
      <w:marRight w:val="0"/>
      <w:marTop w:val="0"/>
      <w:marBottom w:val="0"/>
      <w:divBdr>
        <w:top w:val="none" w:sz="0" w:space="0" w:color="auto"/>
        <w:left w:val="none" w:sz="0" w:space="0" w:color="auto"/>
        <w:bottom w:val="none" w:sz="0" w:space="0" w:color="auto"/>
        <w:right w:val="none" w:sz="0" w:space="0" w:color="auto"/>
      </w:divBdr>
      <w:divsChild>
        <w:div w:id="783114255">
          <w:marLeft w:val="0"/>
          <w:marRight w:val="0"/>
          <w:marTop w:val="0"/>
          <w:marBottom w:val="0"/>
          <w:divBdr>
            <w:top w:val="none" w:sz="0" w:space="0" w:color="auto"/>
            <w:left w:val="none" w:sz="0" w:space="0" w:color="auto"/>
            <w:bottom w:val="none" w:sz="0" w:space="0" w:color="auto"/>
            <w:right w:val="none" w:sz="0" w:space="0" w:color="auto"/>
          </w:divBdr>
          <w:divsChild>
            <w:div w:id="15867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8131">
      <w:bodyDiv w:val="1"/>
      <w:marLeft w:val="0"/>
      <w:marRight w:val="0"/>
      <w:marTop w:val="0"/>
      <w:marBottom w:val="0"/>
      <w:divBdr>
        <w:top w:val="none" w:sz="0" w:space="0" w:color="auto"/>
        <w:left w:val="none" w:sz="0" w:space="0" w:color="auto"/>
        <w:bottom w:val="none" w:sz="0" w:space="0" w:color="auto"/>
        <w:right w:val="none" w:sz="0" w:space="0" w:color="auto"/>
      </w:divBdr>
    </w:div>
    <w:div w:id="1090196740">
      <w:bodyDiv w:val="1"/>
      <w:marLeft w:val="0"/>
      <w:marRight w:val="0"/>
      <w:marTop w:val="0"/>
      <w:marBottom w:val="0"/>
      <w:divBdr>
        <w:top w:val="none" w:sz="0" w:space="0" w:color="auto"/>
        <w:left w:val="none" w:sz="0" w:space="0" w:color="auto"/>
        <w:bottom w:val="none" w:sz="0" w:space="0" w:color="auto"/>
        <w:right w:val="none" w:sz="0" w:space="0" w:color="auto"/>
      </w:divBdr>
    </w:div>
    <w:div w:id="1221862343">
      <w:bodyDiv w:val="1"/>
      <w:marLeft w:val="0"/>
      <w:marRight w:val="0"/>
      <w:marTop w:val="0"/>
      <w:marBottom w:val="0"/>
      <w:divBdr>
        <w:top w:val="none" w:sz="0" w:space="0" w:color="auto"/>
        <w:left w:val="none" w:sz="0" w:space="0" w:color="auto"/>
        <w:bottom w:val="none" w:sz="0" w:space="0" w:color="auto"/>
        <w:right w:val="none" w:sz="0" w:space="0" w:color="auto"/>
      </w:divBdr>
    </w:div>
    <w:div w:id="1242327151">
      <w:bodyDiv w:val="1"/>
      <w:marLeft w:val="0"/>
      <w:marRight w:val="0"/>
      <w:marTop w:val="0"/>
      <w:marBottom w:val="0"/>
      <w:divBdr>
        <w:top w:val="none" w:sz="0" w:space="0" w:color="auto"/>
        <w:left w:val="none" w:sz="0" w:space="0" w:color="auto"/>
        <w:bottom w:val="none" w:sz="0" w:space="0" w:color="auto"/>
        <w:right w:val="none" w:sz="0" w:space="0" w:color="auto"/>
      </w:divBdr>
    </w:div>
    <w:div w:id="1357081021">
      <w:bodyDiv w:val="1"/>
      <w:marLeft w:val="0"/>
      <w:marRight w:val="0"/>
      <w:marTop w:val="0"/>
      <w:marBottom w:val="0"/>
      <w:divBdr>
        <w:top w:val="none" w:sz="0" w:space="0" w:color="auto"/>
        <w:left w:val="none" w:sz="0" w:space="0" w:color="auto"/>
        <w:bottom w:val="none" w:sz="0" w:space="0" w:color="auto"/>
        <w:right w:val="none" w:sz="0" w:space="0" w:color="auto"/>
      </w:divBdr>
    </w:div>
    <w:div w:id="1381708239">
      <w:bodyDiv w:val="1"/>
      <w:marLeft w:val="0"/>
      <w:marRight w:val="0"/>
      <w:marTop w:val="0"/>
      <w:marBottom w:val="0"/>
      <w:divBdr>
        <w:top w:val="none" w:sz="0" w:space="0" w:color="auto"/>
        <w:left w:val="none" w:sz="0" w:space="0" w:color="auto"/>
        <w:bottom w:val="none" w:sz="0" w:space="0" w:color="auto"/>
        <w:right w:val="none" w:sz="0" w:space="0" w:color="auto"/>
      </w:divBdr>
    </w:div>
    <w:div w:id="1391540348">
      <w:bodyDiv w:val="1"/>
      <w:marLeft w:val="0"/>
      <w:marRight w:val="0"/>
      <w:marTop w:val="0"/>
      <w:marBottom w:val="0"/>
      <w:divBdr>
        <w:top w:val="none" w:sz="0" w:space="0" w:color="auto"/>
        <w:left w:val="none" w:sz="0" w:space="0" w:color="auto"/>
        <w:bottom w:val="none" w:sz="0" w:space="0" w:color="auto"/>
        <w:right w:val="none" w:sz="0" w:space="0" w:color="auto"/>
      </w:divBdr>
    </w:div>
    <w:div w:id="1398898673">
      <w:bodyDiv w:val="1"/>
      <w:marLeft w:val="0"/>
      <w:marRight w:val="0"/>
      <w:marTop w:val="0"/>
      <w:marBottom w:val="0"/>
      <w:divBdr>
        <w:top w:val="none" w:sz="0" w:space="0" w:color="auto"/>
        <w:left w:val="none" w:sz="0" w:space="0" w:color="auto"/>
        <w:bottom w:val="none" w:sz="0" w:space="0" w:color="auto"/>
        <w:right w:val="none" w:sz="0" w:space="0" w:color="auto"/>
      </w:divBdr>
      <w:divsChild>
        <w:div w:id="263223950">
          <w:marLeft w:val="0"/>
          <w:marRight w:val="0"/>
          <w:marTop w:val="0"/>
          <w:marBottom w:val="0"/>
          <w:divBdr>
            <w:top w:val="none" w:sz="0" w:space="0" w:color="auto"/>
            <w:left w:val="none" w:sz="0" w:space="0" w:color="auto"/>
            <w:bottom w:val="none" w:sz="0" w:space="0" w:color="auto"/>
            <w:right w:val="none" w:sz="0" w:space="0" w:color="auto"/>
          </w:divBdr>
          <w:divsChild>
            <w:div w:id="17557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7345">
      <w:bodyDiv w:val="1"/>
      <w:marLeft w:val="0"/>
      <w:marRight w:val="0"/>
      <w:marTop w:val="0"/>
      <w:marBottom w:val="0"/>
      <w:divBdr>
        <w:top w:val="none" w:sz="0" w:space="0" w:color="auto"/>
        <w:left w:val="none" w:sz="0" w:space="0" w:color="auto"/>
        <w:bottom w:val="none" w:sz="0" w:space="0" w:color="auto"/>
        <w:right w:val="none" w:sz="0" w:space="0" w:color="auto"/>
      </w:divBdr>
    </w:div>
    <w:div w:id="1425609031">
      <w:bodyDiv w:val="1"/>
      <w:marLeft w:val="0"/>
      <w:marRight w:val="0"/>
      <w:marTop w:val="0"/>
      <w:marBottom w:val="0"/>
      <w:divBdr>
        <w:top w:val="none" w:sz="0" w:space="0" w:color="auto"/>
        <w:left w:val="none" w:sz="0" w:space="0" w:color="auto"/>
        <w:bottom w:val="none" w:sz="0" w:space="0" w:color="auto"/>
        <w:right w:val="none" w:sz="0" w:space="0" w:color="auto"/>
      </w:divBdr>
    </w:div>
    <w:div w:id="1464034806">
      <w:bodyDiv w:val="1"/>
      <w:marLeft w:val="0"/>
      <w:marRight w:val="0"/>
      <w:marTop w:val="0"/>
      <w:marBottom w:val="0"/>
      <w:divBdr>
        <w:top w:val="none" w:sz="0" w:space="0" w:color="auto"/>
        <w:left w:val="none" w:sz="0" w:space="0" w:color="auto"/>
        <w:bottom w:val="none" w:sz="0" w:space="0" w:color="auto"/>
        <w:right w:val="none" w:sz="0" w:space="0" w:color="auto"/>
      </w:divBdr>
    </w:div>
    <w:div w:id="1477264284">
      <w:bodyDiv w:val="1"/>
      <w:marLeft w:val="0"/>
      <w:marRight w:val="0"/>
      <w:marTop w:val="0"/>
      <w:marBottom w:val="0"/>
      <w:divBdr>
        <w:top w:val="none" w:sz="0" w:space="0" w:color="auto"/>
        <w:left w:val="none" w:sz="0" w:space="0" w:color="auto"/>
        <w:bottom w:val="none" w:sz="0" w:space="0" w:color="auto"/>
        <w:right w:val="none" w:sz="0" w:space="0" w:color="auto"/>
      </w:divBdr>
    </w:div>
    <w:div w:id="1535775588">
      <w:bodyDiv w:val="1"/>
      <w:marLeft w:val="0"/>
      <w:marRight w:val="0"/>
      <w:marTop w:val="0"/>
      <w:marBottom w:val="0"/>
      <w:divBdr>
        <w:top w:val="none" w:sz="0" w:space="0" w:color="auto"/>
        <w:left w:val="none" w:sz="0" w:space="0" w:color="auto"/>
        <w:bottom w:val="none" w:sz="0" w:space="0" w:color="auto"/>
        <w:right w:val="none" w:sz="0" w:space="0" w:color="auto"/>
      </w:divBdr>
    </w:div>
    <w:div w:id="1594046767">
      <w:bodyDiv w:val="1"/>
      <w:marLeft w:val="0"/>
      <w:marRight w:val="0"/>
      <w:marTop w:val="0"/>
      <w:marBottom w:val="0"/>
      <w:divBdr>
        <w:top w:val="none" w:sz="0" w:space="0" w:color="auto"/>
        <w:left w:val="none" w:sz="0" w:space="0" w:color="auto"/>
        <w:bottom w:val="none" w:sz="0" w:space="0" w:color="auto"/>
        <w:right w:val="none" w:sz="0" w:space="0" w:color="auto"/>
      </w:divBdr>
    </w:div>
    <w:div w:id="1676960626">
      <w:bodyDiv w:val="1"/>
      <w:marLeft w:val="0"/>
      <w:marRight w:val="0"/>
      <w:marTop w:val="0"/>
      <w:marBottom w:val="0"/>
      <w:divBdr>
        <w:top w:val="none" w:sz="0" w:space="0" w:color="auto"/>
        <w:left w:val="none" w:sz="0" w:space="0" w:color="auto"/>
        <w:bottom w:val="none" w:sz="0" w:space="0" w:color="auto"/>
        <w:right w:val="none" w:sz="0" w:space="0" w:color="auto"/>
      </w:divBdr>
      <w:divsChild>
        <w:div w:id="1440369198">
          <w:marLeft w:val="0"/>
          <w:marRight w:val="0"/>
          <w:marTop w:val="0"/>
          <w:marBottom w:val="0"/>
          <w:divBdr>
            <w:top w:val="none" w:sz="0" w:space="0" w:color="auto"/>
            <w:left w:val="none" w:sz="0" w:space="0" w:color="auto"/>
            <w:bottom w:val="none" w:sz="0" w:space="0" w:color="auto"/>
            <w:right w:val="none" w:sz="0" w:space="0" w:color="auto"/>
          </w:divBdr>
          <w:divsChild>
            <w:div w:id="6058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2371">
      <w:bodyDiv w:val="1"/>
      <w:marLeft w:val="0"/>
      <w:marRight w:val="0"/>
      <w:marTop w:val="0"/>
      <w:marBottom w:val="0"/>
      <w:divBdr>
        <w:top w:val="none" w:sz="0" w:space="0" w:color="auto"/>
        <w:left w:val="none" w:sz="0" w:space="0" w:color="auto"/>
        <w:bottom w:val="none" w:sz="0" w:space="0" w:color="auto"/>
        <w:right w:val="none" w:sz="0" w:space="0" w:color="auto"/>
      </w:divBdr>
    </w:div>
    <w:div w:id="1699115789">
      <w:bodyDiv w:val="1"/>
      <w:marLeft w:val="0"/>
      <w:marRight w:val="0"/>
      <w:marTop w:val="0"/>
      <w:marBottom w:val="0"/>
      <w:divBdr>
        <w:top w:val="none" w:sz="0" w:space="0" w:color="auto"/>
        <w:left w:val="none" w:sz="0" w:space="0" w:color="auto"/>
        <w:bottom w:val="none" w:sz="0" w:space="0" w:color="auto"/>
        <w:right w:val="none" w:sz="0" w:space="0" w:color="auto"/>
      </w:divBdr>
    </w:div>
    <w:div w:id="1737823538">
      <w:bodyDiv w:val="1"/>
      <w:marLeft w:val="0"/>
      <w:marRight w:val="0"/>
      <w:marTop w:val="0"/>
      <w:marBottom w:val="0"/>
      <w:divBdr>
        <w:top w:val="none" w:sz="0" w:space="0" w:color="auto"/>
        <w:left w:val="none" w:sz="0" w:space="0" w:color="auto"/>
        <w:bottom w:val="none" w:sz="0" w:space="0" w:color="auto"/>
        <w:right w:val="none" w:sz="0" w:space="0" w:color="auto"/>
      </w:divBdr>
      <w:divsChild>
        <w:div w:id="491220826">
          <w:marLeft w:val="0"/>
          <w:marRight w:val="0"/>
          <w:marTop w:val="0"/>
          <w:marBottom w:val="0"/>
          <w:divBdr>
            <w:top w:val="none" w:sz="0" w:space="0" w:color="auto"/>
            <w:left w:val="none" w:sz="0" w:space="0" w:color="auto"/>
            <w:bottom w:val="none" w:sz="0" w:space="0" w:color="auto"/>
            <w:right w:val="none" w:sz="0" w:space="0" w:color="auto"/>
          </w:divBdr>
          <w:divsChild>
            <w:div w:id="753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9652">
      <w:bodyDiv w:val="1"/>
      <w:marLeft w:val="0"/>
      <w:marRight w:val="0"/>
      <w:marTop w:val="0"/>
      <w:marBottom w:val="0"/>
      <w:divBdr>
        <w:top w:val="none" w:sz="0" w:space="0" w:color="auto"/>
        <w:left w:val="none" w:sz="0" w:space="0" w:color="auto"/>
        <w:bottom w:val="none" w:sz="0" w:space="0" w:color="auto"/>
        <w:right w:val="none" w:sz="0" w:space="0" w:color="auto"/>
      </w:divBdr>
    </w:div>
    <w:div w:id="1810780029">
      <w:bodyDiv w:val="1"/>
      <w:marLeft w:val="0"/>
      <w:marRight w:val="0"/>
      <w:marTop w:val="0"/>
      <w:marBottom w:val="0"/>
      <w:divBdr>
        <w:top w:val="none" w:sz="0" w:space="0" w:color="auto"/>
        <w:left w:val="none" w:sz="0" w:space="0" w:color="auto"/>
        <w:bottom w:val="none" w:sz="0" w:space="0" w:color="auto"/>
        <w:right w:val="none" w:sz="0" w:space="0" w:color="auto"/>
      </w:divBdr>
    </w:div>
    <w:div w:id="1826891549">
      <w:bodyDiv w:val="1"/>
      <w:marLeft w:val="0"/>
      <w:marRight w:val="0"/>
      <w:marTop w:val="0"/>
      <w:marBottom w:val="0"/>
      <w:divBdr>
        <w:top w:val="none" w:sz="0" w:space="0" w:color="auto"/>
        <w:left w:val="none" w:sz="0" w:space="0" w:color="auto"/>
        <w:bottom w:val="none" w:sz="0" w:space="0" w:color="auto"/>
        <w:right w:val="none" w:sz="0" w:space="0" w:color="auto"/>
      </w:divBdr>
    </w:div>
    <w:div w:id="1842966250">
      <w:bodyDiv w:val="1"/>
      <w:marLeft w:val="0"/>
      <w:marRight w:val="0"/>
      <w:marTop w:val="0"/>
      <w:marBottom w:val="0"/>
      <w:divBdr>
        <w:top w:val="none" w:sz="0" w:space="0" w:color="auto"/>
        <w:left w:val="none" w:sz="0" w:space="0" w:color="auto"/>
        <w:bottom w:val="none" w:sz="0" w:space="0" w:color="auto"/>
        <w:right w:val="none" w:sz="0" w:space="0" w:color="auto"/>
      </w:divBdr>
      <w:divsChild>
        <w:div w:id="166598567">
          <w:marLeft w:val="0"/>
          <w:marRight w:val="0"/>
          <w:marTop w:val="0"/>
          <w:marBottom w:val="0"/>
          <w:divBdr>
            <w:top w:val="none" w:sz="0" w:space="0" w:color="auto"/>
            <w:left w:val="none" w:sz="0" w:space="0" w:color="auto"/>
            <w:bottom w:val="none" w:sz="0" w:space="0" w:color="auto"/>
            <w:right w:val="none" w:sz="0" w:space="0" w:color="auto"/>
          </w:divBdr>
          <w:divsChild>
            <w:div w:id="20736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8112">
      <w:bodyDiv w:val="1"/>
      <w:marLeft w:val="0"/>
      <w:marRight w:val="0"/>
      <w:marTop w:val="0"/>
      <w:marBottom w:val="0"/>
      <w:divBdr>
        <w:top w:val="none" w:sz="0" w:space="0" w:color="auto"/>
        <w:left w:val="none" w:sz="0" w:space="0" w:color="auto"/>
        <w:bottom w:val="none" w:sz="0" w:space="0" w:color="auto"/>
        <w:right w:val="none" w:sz="0" w:space="0" w:color="auto"/>
      </w:divBdr>
    </w:div>
    <w:div w:id="1910655740">
      <w:bodyDiv w:val="1"/>
      <w:marLeft w:val="0"/>
      <w:marRight w:val="0"/>
      <w:marTop w:val="0"/>
      <w:marBottom w:val="0"/>
      <w:divBdr>
        <w:top w:val="none" w:sz="0" w:space="0" w:color="auto"/>
        <w:left w:val="none" w:sz="0" w:space="0" w:color="auto"/>
        <w:bottom w:val="none" w:sz="0" w:space="0" w:color="auto"/>
        <w:right w:val="none" w:sz="0" w:space="0" w:color="auto"/>
      </w:divBdr>
    </w:div>
    <w:div w:id="1914657476">
      <w:bodyDiv w:val="1"/>
      <w:marLeft w:val="0"/>
      <w:marRight w:val="0"/>
      <w:marTop w:val="0"/>
      <w:marBottom w:val="0"/>
      <w:divBdr>
        <w:top w:val="none" w:sz="0" w:space="0" w:color="auto"/>
        <w:left w:val="none" w:sz="0" w:space="0" w:color="auto"/>
        <w:bottom w:val="none" w:sz="0" w:space="0" w:color="auto"/>
        <w:right w:val="none" w:sz="0" w:space="0" w:color="auto"/>
      </w:divBdr>
    </w:div>
    <w:div w:id="1955861506">
      <w:bodyDiv w:val="1"/>
      <w:marLeft w:val="0"/>
      <w:marRight w:val="0"/>
      <w:marTop w:val="0"/>
      <w:marBottom w:val="0"/>
      <w:divBdr>
        <w:top w:val="none" w:sz="0" w:space="0" w:color="auto"/>
        <w:left w:val="none" w:sz="0" w:space="0" w:color="auto"/>
        <w:bottom w:val="none" w:sz="0" w:space="0" w:color="auto"/>
        <w:right w:val="none" w:sz="0" w:space="0" w:color="auto"/>
      </w:divBdr>
    </w:div>
    <w:div w:id="2021420245">
      <w:bodyDiv w:val="1"/>
      <w:marLeft w:val="0"/>
      <w:marRight w:val="0"/>
      <w:marTop w:val="0"/>
      <w:marBottom w:val="0"/>
      <w:divBdr>
        <w:top w:val="none" w:sz="0" w:space="0" w:color="auto"/>
        <w:left w:val="none" w:sz="0" w:space="0" w:color="auto"/>
        <w:bottom w:val="none" w:sz="0" w:space="0" w:color="auto"/>
        <w:right w:val="none" w:sz="0" w:space="0" w:color="auto"/>
      </w:divBdr>
    </w:div>
    <w:div w:id="2045514751">
      <w:bodyDiv w:val="1"/>
      <w:marLeft w:val="0"/>
      <w:marRight w:val="0"/>
      <w:marTop w:val="0"/>
      <w:marBottom w:val="0"/>
      <w:divBdr>
        <w:top w:val="none" w:sz="0" w:space="0" w:color="auto"/>
        <w:left w:val="none" w:sz="0" w:space="0" w:color="auto"/>
        <w:bottom w:val="none" w:sz="0" w:space="0" w:color="auto"/>
        <w:right w:val="none" w:sz="0" w:space="0" w:color="auto"/>
      </w:divBdr>
    </w:div>
    <w:div w:id="2045860086">
      <w:bodyDiv w:val="1"/>
      <w:marLeft w:val="0"/>
      <w:marRight w:val="0"/>
      <w:marTop w:val="0"/>
      <w:marBottom w:val="0"/>
      <w:divBdr>
        <w:top w:val="none" w:sz="0" w:space="0" w:color="auto"/>
        <w:left w:val="none" w:sz="0" w:space="0" w:color="auto"/>
        <w:bottom w:val="none" w:sz="0" w:space="0" w:color="auto"/>
        <w:right w:val="none" w:sz="0" w:space="0" w:color="auto"/>
      </w:divBdr>
    </w:div>
    <w:div w:id="2055083413">
      <w:bodyDiv w:val="1"/>
      <w:marLeft w:val="0"/>
      <w:marRight w:val="0"/>
      <w:marTop w:val="0"/>
      <w:marBottom w:val="0"/>
      <w:divBdr>
        <w:top w:val="none" w:sz="0" w:space="0" w:color="auto"/>
        <w:left w:val="none" w:sz="0" w:space="0" w:color="auto"/>
        <w:bottom w:val="none" w:sz="0" w:space="0" w:color="auto"/>
        <w:right w:val="none" w:sz="0" w:space="0" w:color="auto"/>
      </w:divBdr>
      <w:divsChild>
        <w:div w:id="1244995653">
          <w:marLeft w:val="0"/>
          <w:marRight w:val="0"/>
          <w:marTop w:val="0"/>
          <w:marBottom w:val="0"/>
          <w:divBdr>
            <w:top w:val="none" w:sz="0" w:space="0" w:color="auto"/>
            <w:left w:val="none" w:sz="0" w:space="0" w:color="auto"/>
            <w:bottom w:val="none" w:sz="0" w:space="0" w:color="auto"/>
            <w:right w:val="none" w:sz="0" w:space="0" w:color="auto"/>
          </w:divBdr>
          <w:divsChild>
            <w:div w:id="355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6275">
      <w:bodyDiv w:val="1"/>
      <w:marLeft w:val="0"/>
      <w:marRight w:val="0"/>
      <w:marTop w:val="0"/>
      <w:marBottom w:val="0"/>
      <w:divBdr>
        <w:top w:val="none" w:sz="0" w:space="0" w:color="auto"/>
        <w:left w:val="none" w:sz="0" w:space="0" w:color="auto"/>
        <w:bottom w:val="none" w:sz="0" w:space="0" w:color="auto"/>
        <w:right w:val="none" w:sz="0" w:space="0" w:color="auto"/>
      </w:divBdr>
    </w:div>
    <w:div w:id="2113353455">
      <w:bodyDiv w:val="1"/>
      <w:marLeft w:val="0"/>
      <w:marRight w:val="0"/>
      <w:marTop w:val="0"/>
      <w:marBottom w:val="0"/>
      <w:divBdr>
        <w:top w:val="none" w:sz="0" w:space="0" w:color="auto"/>
        <w:left w:val="none" w:sz="0" w:space="0" w:color="auto"/>
        <w:bottom w:val="none" w:sz="0" w:space="0" w:color="auto"/>
        <w:right w:val="none" w:sz="0" w:space="0" w:color="auto"/>
      </w:divBdr>
    </w:div>
    <w:div w:id="2146270530">
      <w:bodyDiv w:val="1"/>
      <w:marLeft w:val="0"/>
      <w:marRight w:val="0"/>
      <w:marTop w:val="0"/>
      <w:marBottom w:val="0"/>
      <w:divBdr>
        <w:top w:val="none" w:sz="0" w:space="0" w:color="auto"/>
        <w:left w:val="none" w:sz="0" w:space="0" w:color="auto"/>
        <w:bottom w:val="none" w:sz="0" w:space="0" w:color="auto"/>
        <w:right w:val="none" w:sz="0" w:space="0" w:color="auto"/>
      </w:divBdr>
      <w:divsChild>
        <w:div w:id="1479614166">
          <w:marLeft w:val="0"/>
          <w:marRight w:val="0"/>
          <w:marTop w:val="0"/>
          <w:marBottom w:val="0"/>
          <w:divBdr>
            <w:top w:val="none" w:sz="0" w:space="0" w:color="auto"/>
            <w:left w:val="none" w:sz="0" w:space="0" w:color="auto"/>
            <w:bottom w:val="none" w:sz="0" w:space="0" w:color="auto"/>
            <w:right w:val="none" w:sz="0" w:space="0" w:color="auto"/>
          </w:divBdr>
          <w:divsChild>
            <w:div w:id="4754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1272/sec.4(1).102-110.20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1111/1468-0076.000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crotrends.net/2480/brent-crude-oil-prices-10-year-daily-chart" TargetMode="External"/><Relationship Id="rId10" Type="http://schemas.openxmlformats.org/officeDocument/2006/relationships/footer" Target="footer1.xml"/><Relationship Id="rId19" Type="http://schemas.openxmlformats.org/officeDocument/2006/relationships/hyperlink" Target="https://doi.org/10.1080/10168737.2019.16634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atabank.worldbank.org/indicator/NY.GDP.MKTP.KD.ZG/1ff4a498/Popular-Indicato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114DE-45EA-459D-A665-8350BAE9E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4563</Words>
  <Characters>26013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KORTER</dc:creator>
  <cp:lastModifiedBy>SDI 1084</cp:lastModifiedBy>
  <cp:revision>11</cp:revision>
  <dcterms:created xsi:type="dcterms:W3CDTF">2025-09-25T08:43:00Z</dcterms:created>
  <dcterms:modified xsi:type="dcterms:W3CDTF">2025-09-28T05:35:00Z</dcterms:modified>
</cp:coreProperties>
</file>