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BADF3" w14:textId="77777777" w:rsidR="002D19F7" w:rsidRDefault="002D19F7">
      <w:pPr>
        <w:spacing w:before="100" w:beforeAutospacing="1" w:after="0" w:line="360" w:lineRule="auto"/>
        <w:jc w:val="center"/>
        <w:rPr>
          <w:rFonts w:ascii="Times New Roman" w:eastAsia="Times New Roman" w:hAnsi="Times New Roman" w:cs="Times New Roman"/>
          <w:b/>
          <w:bCs/>
          <w:color w:val="000000" w:themeColor="text1"/>
          <w:sz w:val="24"/>
          <w:szCs w:val="24"/>
        </w:rPr>
      </w:pPr>
    </w:p>
    <w:p w14:paraId="6A5D1C37" w14:textId="77777777" w:rsidR="002D19F7" w:rsidRDefault="00C267C0">
      <w:pPr>
        <w:spacing w:before="100" w:beforeAutospacing="1" w:after="0"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 COMPARISON OF CLASSICAL NON-PARAMETRIC AND BAYESIAN NON-PARAMETRIC APPROACHES IN GRADE COMPARISONS BETWEEN TWO MATHEMATICALLY-BASED FACULTIES IN A TERTIARY INSTITUTION</w:t>
      </w:r>
    </w:p>
    <w:p w14:paraId="7D5BC69E" w14:textId="26EF7617" w:rsidR="005C0EAF" w:rsidRDefault="005C0EAF">
      <w:pPr>
        <w:spacing w:after="0" w:line="360" w:lineRule="auto"/>
        <w:rPr>
          <w:rFonts w:ascii="Times New Roman" w:eastAsia="Times New Roman" w:hAnsi="Times New Roman" w:cs="Times New Roman"/>
          <w:b/>
          <w:bCs/>
          <w:sz w:val="24"/>
          <w:szCs w:val="24"/>
        </w:rPr>
      </w:pPr>
    </w:p>
    <w:p w14:paraId="4B921FB4" w14:textId="77777777" w:rsidR="00050351" w:rsidRDefault="00050351">
      <w:pPr>
        <w:spacing w:after="0" w:line="360" w:lineRule="auto"/>
        <w:rPr>
          <w:rFonts w:ascii="Times New Roman" w:eastAsia="Times New Roman" w:hAnsi="Times New Roman" w:cs="Times New Roman"/>
          <w:b/>
          <w:bCs/>
          <w:sz w:val="24"/>
          <w:szCs w:val="24"/>
        </w:rPr>
      </w:pPr>
    </w:p>
    <w:p w14:paraId="44DF8A12" w14:textId="77777777" w:rsidR="002D19F7" w:rsidRDefault="00C267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Abstract</w:t>
      </w:r>
    </w:p>
    <w:p w14:paraId="4EC0A157" w14:textId="77777777" w:rsidR="002D19F7" w:rsidRDefault="00C267C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study, two statistical methods, the Mann Whitney U test and the Bayesian non-parametric (BNP)</w:t>
      </w:r>
      <w:r w:rsidR="00765B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Mann Whitney U test were employed to investigate if there exist a significant statistical difference in performances (recorded as grades) of students in two faculties of a university. While the classical test yielded no statistically significant difference (p = 0.229), the Bayesian analysis provided moderate evidence favoring the null hypothesis (BF₁₀ = 0.284), though posterior estimates suggested a slight performance edge for Computing students. These findings underscore the value of Bayesian methods in educational research, especially when classical results are inconclusive.</w:t>
      </w:r>
    </w:p>
    <w:p w14:paraId="4EFA676A"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Non-parametric Statistics, Bayesian inference, Mann-Whitney U test, Students performances, Comparison.</w:t>
      </w:r>
    </w:p>
    <w:p w14:paraId="775E1B0E" w14:textId="77777777" w:rsidR="002D19F7" w:rsidRDefault="00C267C0">
      <w:pPr>
        <w:numPr>
          <w:ilvl w:val="0"/>
          <w:numId w:val="1"/>
        </w:numPr>
        <w:spacing w:before="100" w:beforeAutospacing="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7040E836"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Mathematics is a cornerstone of analytical thinking and problem-solving across disciplines, particularly in science and technology-oriented faculties. Performance in foundational mathematics courses often reflects students’ preparedness, cognitive styles, and institutional support structures. Performances of students from different departments or different faculties can be compared in a particular course in order to discover the department/faculty that performs better in the course, especially when the participants are taught by different instructors/methods or when it is desired to test and compare the cognitive knowledge of the participants. This comparison could be done using diverse statistical techniques. However, when the performances are given only in letter grades which are ordinal and not normally distributed, the traditional parametric tests such as the independent samples’ t-test are unsuitable and hence one quickly thinks of non-parametric statistical approaches, one of which is the Mann Whitney U test, for example, McKnight &amp; </w:t>
      </w:r>
      <w:proofErr w:type="spellStart"/>
      <w:r>
        <w:rPr>
          <w:rFonts w:ascii="Times New Roman" w:eastAsia="Times New Roman" w:hAnsi="Times New Roman" w:cs="Times New Roman"/>
          <w:sz w:val="24"/>
          <w:szCs w:val="24"/>
        </w:rPr>
        <w:t>Najab</w:t>
      </w:r>
      <w:proofErr w:type="spellEnd"/>
      <w:r>
        <w:rPr>
          <w:rFonts w:ascii="Times New Roman" w:eastAsia="Times New Roman" w:hAnsi="Times New Roman" w:cs="Times New Roman"/>
          <w:sz w:val="24"/>
          <w:szCs w:val="24"/>
        </w:rPr>
        <w:t xml:space="preserve"> (2010). In the recent time, it has been observed that Bayesian approaches could also be used to do such comparison by </w:t>
      </w:r>
      <w:r>
        <w:rPr>
          <w:rFonts w:ascii="Times New Roman" w:eastAsia="Times New Roman" w:hAnsi="Times New Roman" w:cs="Times New Roman"/>
          <w:sz w:val="24"/>
          <w:szCs w:val="24"/>
        </w:rPr>
        <w:lastRenderedPageBreak/>
        <w:t xml:space="preserve">converting the letter grades into ordinal numerical data, for example, Almond et al. (2015), </w:t>
      </w:r>
      <w:proofErr w:type="spellStart"/>
      <w:r>
        <w:rPr>
          <w:rFonts w:ascii="Times New Roman" w:eastAsia="Times New Roman" w:hAnsi="Times New Roman" w:cs="Times New Roman"/>
          <w:sz w:val="24"/>
          <w:szCs w:val="24"/>
        </w:rPr>
        <w:t>Rouder</w:t>
      </w:r>
      <w:proofErr w:type="spellEnd"/>
      <w:r>
        <w:rPr>
          <w:rFonts w:ascii="Times New Roman" w:eastAsia="Times New Roman" w:hAnsi="Times New Roman" w:cs="Times New Roman"/>
          <w:sz w:val="24"/>
          <w:szCs w:val="24"/>
        </w:rPr>
        <w:t xml:space="preserve"> et al. (2009), among others. </w:t>
      </w:r>
    </w:p>
    <w:p w14:paraId="051950D6"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the problem in this study is to compare the non-parametric approach and the Bayesian approach in comparing performances/ratings of two or more groups that appear in grades. This study investigates whether there is a statistically significant difference in grade distributions between two faculties.  Specifically, the </w:t>
      </w:r>
      <w:r>
        <w:rPr>
          <w:rFonts w:ascii="Times New Roman" w:eastAsia="Times New Roman" w:hAnsi="Times New Roman" w:cs="Times New Roman"/>
          <w:bCs/>
          <w:sz w:val="24"/>
          <w:szCs w:val="24"/>
        </w:rPr>
        <w:t>Mann-Whitney U test</w:t>
      </w:r>
      <w:r>
        <w:rPr>
          <w:rFonts w:ascii="Times New Roman" w:eastAsia="Times New Roman" w:hAnsi="Times New Roman" w:cs="Times New Roman"/>
          <w:sz w:val="24"/>
          <w:szCs w:val="24"/>
        </w:rPr>
        <w:t xml:space="preserve">, a non-parametric alternative, is employed to compare the central tendencies of the two groups. To complement this, a </w:t>
      </w:r>
      <w:r>
        <w:rPr>
          <w:rFonts w:ascii="Times New Roman" w:eastAsia="Times New Roman" w:hAnsi="Times New Roman" w:cs="Times New Roman"/>
          <w:bCs/>
          <w:sz w:val="24"/>
          <w:szCs w:val="24"/>
        </w:rPr>
        <w:t>Bayesian Mann-Whitney U test</w:t>
      </w:r>
      <w:r>
        <w:rPr>
          <w:rFonts w:ascii="Times New Roman" w:eastAsia="Times New Roman" w:hAnsi="Times New Roman" w:cs="Times New Roman"/>
          <w:sz w:val="24"/>
          <w:szCs w:val="24"/>
        </w:rPr>
        <w:t xml:space="preserve"> is conducted, offering a probabilistic interpretation of the evidence and allowing for nuanced insights beyond the binary decision framework of classical hypothesis testing. The results of the methods were then compared and inference drawn.</w:t>
      </w:r>
    </w:p>
    <w:p w14:paraId="373EE6E7" w14:textId="77777777" w:rsidR="002D19F7" w:rsidRDefault="00C267C0">
      <w:pPr>
        <w:numPr>
          <w:ilvl w:val="0"/>
          <w:numId w:val="2"/>
        </w:numPr>
        <w:spacing w:before="100" w:beforeAutospacing="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032CF880" w14:textId="77777777" w:rsidR="002D19F7" w:rsidRDefault="00C267C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Non-Parametric Approaches in Educational Assessment</w:t>
      </w:r>
    </w:p>
    <w:p w14:paraId="6F45EC09" w14:textId="77777777" w:rsidR="002D19F7" w:rsidRDefault="00C267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Non-parametric methods are widely used in educational research when data violate assumptions of normality or homogeneity of variance. The </w:t>
      </w:r>
      <w:r>
        <w:rPr>
          <w:rFonts w:ascii="Times New Roman" w:eastAsia="Times New Roman" w:hAnsi="Times New Roman" w:cs="Times New Roman"/>
          <w:bCs/>
          <w:sz w:val="24"/>
          <w:szCs w:val="24"/>
        </w:rPr>
        <w:t>Mann-Whitney U test</w:t>
      </w:r>
      <w:r>
        <w:rPr>
          <w:rFonts w:ascii="Times New Roman" w:eastAsia="Times New Roman" w:hAnsi="Times New Roman" w:cs="Times New Roman"/>
          <w:sz w:val="24"/>
          <w:szCs w:val="24"/>
        </w:rPr>
        <w:t xml:space="preserve"> is particularly effective for comparing ordinal outcomes, such as letter grades converted to numerical scores. Studies such as McKnight &amp; </w:t>
      </w:r>
      <w:proofErr w:type="spellStart"/>
      <w:r>
        <w:rPr>
          <w:rFonts w:ascii="Times New Roman" w:eastAsia="Times New Roman" w:hAnsi="Times New Roman" w:cs="Times New Roman"/>
          <w:sz w:val="24"/>
          <w:szCs w:val="24"/>
        </w:rPr>
        <w:t>Najab</w:t>
      </w:r>
      <w:proofErr w:type="spellEnd"/>
      <w:r>
        <w:rPr>
          <w:rFonts w:ascii="Times New Roman" w:eastAsia="Times New Roman" w:hAnsi="Times New Roman" w:cs="Times New Roman"/>
          <w:sz w:val="24"/>
          <w:szCs w:val="24"/>
        </w:rPr>
        <w:t xml:space="preserve"> (2010) emphasize its robustness in detecting differences in central tendency without assuming normal distribution. For example, </w:t>
      </w:r>
      <w:proofErr w:type="spellStart"/>
      <w:r>
        <w:rPr>
          <w:rFonts w:ascii="Times New Roman" w:eastAsia="Times New Roman" w:hAnsi="Times New Roman" w:cs="Times New Roman"/>
          <w:sz w:val="24"/>
          <w:szCs w:val="24"/>
        </w:rPr>
        <w:t>Zamkcova</w:t>
      </w:r>
      <w:proofErr w:type="spellEnd"/>
      <w:r>
        <w:rPr>
          <w:rFonts w:ascii="Times New Roman" w:eastAsia="Times New Roman" w:hAnsi="Times New Roman" w:cs="Times New Roman"/>
          <w:sz w:val="24"/>
          <w:szCs w:val="24"/>
        </w:rPr>
        <w:t xml:space="preserve">, Prokop and </w:t>
      </w:r>
      <w:proofErr w:type="spellStart"/>
      <w:r>
        <w:rPr>
          <w:rFonts w:ascii="Times New Roman" w:eastAsia="Times New Roman" w:hAnsi="Times New Roman" w:cs="Times New Roman"/>
          <w:sz w:val="24"/>
          <w:szCs w:val="24"/>
        </w:rPr>
        <w:t>Stolin</w:t>
      </w:r>
      <w:proofErr w:type="spellEnd"/>
      <w:r>
        <w:rPr>
          <w:rFonts w:ascii="Times New Roman" w:eastAsia="Times New Roman" w:hAnsi="Times New Roman" w:cs="Times New Roman"/>
          <w:sz w:val="24"/>
          <w:szCs w:val="24"/>
        </w:rPr>
        <w:t xml:space="preserve"> (2020) used the Mann Whitney U test, Kruskal-Wallis test as well as post hoc analysis to compare the overall grades of students between men and women on one hand and between Finance and Management students and Travel and Tourism students on the other hand in a basic statistics course in a polytechnic. Their results show that women tend to achieve better grades than men while Finance and Management students tend to achieve better grades than Travel and Tourism students.  </w:t>
      </w:r>
    </w:p>
    <w:p w14:paraId="687D158C" w14:textId="77777777" w:rsidR="002D19F7" w:rsidRDefault="00C267C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Non-parametric methods remain essential in educational research, particularly when data violate assumptions of normality or equal variance. These methods are distribution-free and often more robust in handling ordinal data, skewed distributions, and small sample sizes.</w:t>
      </w:r>
    </w:p>
    <w:p w14:paraId="21B08B94" w14:textId="77777777" w:rsidR="002D19F7" w:rsidRDefault="00C267C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According to </w:t>
      </w:r>
      <w:r>
        <w:rPr>
          <w:rFonts w:ascii="Times New Roman" w:eastAsia="Times New Roman" w:hAnsi="Times New Roman" w:cs="Times New Roman"/>
          <w:sz w:val="24"/>
          <w:szCs w:val="24"/>
        </w:rPr>
        <w:t xml:space="preserve">McKnight &amp; </w:t>
      </w:r>
      <w:proofErr w:type="spellStart"/>
      <w:r>
        <w:rPr>
          <w:rFonts w:ascii="Times New Roman" w:eastAsia="Times New Roman" w:hAnsi="Times New Roman" w:cs="Times New Roman"/>
          <w:sz w:val="24"/>
          <w:szCs w:val="24"/>
        </w:rPr>
        <w:t>Najab</w:t>
      </w:r>
      <w:proofErr w:type="spellEnd"/>
      <w:r>
        <w:rPr>
          <w:rFonts w:ascii="Times New Roman" w:eastAsia="Times New Roman" w:hAnsi="Times New Roman" w:cs="Times New Roman"/>
          <w:sz w:val="24"/>
          <w:szCs w:val="24"/>
        </w:rPr>
        <w:t xml:space="preserve"> (2010), the </w:t>
      </w:r>
      <w:r>
        <w:rPr>
          <w:rFonts w:ascii="Times New Roman" w:eastAsia="Times New Roman" w:hAnsi="Times New Roman" w:cs="Times New Roman"/>
          <w:bCs/>
          <w:sz w:val="24"/>
          <w:szCs w:val="24"/>
        </w:rPr>
        <w:t>Mann-Whitney U Test is</w:t>
      </w:r>
      <w:r>
        <w:rPr>
          <w:rFonts w:ascii="Times New Roman" w:eastAsia="Times New Roman" w:hAnsi="Times New Roman" w:cs="Times New Roman"/>
          <w:sz w:val="24"/>
          <w:szCs w:val="24"/>
        </w:rPr>
        <w:t xml:space="preserve"> widely used for comparing two independent groups when the outcome is ordinal or not normally distributed. Its simplicity and </w:t>
      </w:r>
      <w:r>
        <w:rPr>
          <w:rFonts w:ascii="Times New Roman" w:eastAsia="Times New Roman" w:hAnsi="Times New Roman" w:cs="Times New Roman"/>
          <w:sz w:val="24"/>
          <w:szCs w:val="24"/>
        </w:rPr>
        <w:lastRenderedPageBreak/>
        <w:t xml:space="preserve">robustness make it a staple in educational studies, especially when evaluating interventions or comparing student performances across </w:t>
      </w:r>
      <w:proofErr w:type="gramStart"/>
      <w:r>
        <w:rPr>
          <w:rFonts w:ascii="Times New Roman" w:eastAsia="Times New Roman" w:hAnsi="Times New Roman" w:cs="Times New Roman"/>
          <w:sz w:val="24"/>
          <w:szCs w:val="24"/>
        </w:rPr>
        <w:t>groups .</w:t>
      </w:r>
      <w:proofErr w:type="gramEnd"/>
    </w:p>
    <w:p w14:paraId="0CE77FF1" w14:textId="77777777" w:rsidR="002D19F7" w:rsidRDefault="00C267C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Wasserstein et al. (2019), observed that non-parametric tests are limited by their reliance on p-values, which are sensitive to sample size and do not quantify the strength of evidence. According to them, p-values alone can be misleading, especially when results hover near conventional thresholds (e.g., p = 0.05).  </w:t>
      </w:r>
      <w:hyperlink r:id="rId8" w:history="1">
        <w:r>
          <w:rPr>
            <w:rFonts w:ascii="Times New Roman" w:eastAsia="Times New Roman" w:hAnsi="Times New Roman" w:cs="Times New Roman"/>
            <w:sz w:val="24"/>
            <w:szCs w:val="24"/>
          </w:rPr>
          <w:t>Sen et al. (2023)</w:t>
        </w:r>
      </w:hyperlink>
      <w:r>
        <w:rPr>
          <w:rFonts w:ascii="Times New Roman" w:eastAsia="Times New Roman" w:hAnsi="Times New Roman" w:cs="Times New Roman"/>
          <w:sz w:val="24"/>
          <w:szCs w:val="24"/>
        </w:rPr>
        <w:t xml:space="preserve">, also noted that non-parametric tests often lack the ability to estimate effect sizes directly and rely heavily on p-values, which can be misleading in small or large samples. </w:t>
      </w:r>
    </w:p>
    <w:p w14:paraId="2823E57E" w14:textId="77777777" w:rsidR="002D19F7" w:rsidRDefault="00C267C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has been adduced that Bayesian approaches offer a paradigm shift by allowing researchers to incorporate prior knowledge and interpret results probabilistically. This is particularly valuable in educational settings where historical data or expert judgment can inform analysis. For example, </w:t>
      </w:r>
      <w:proofErr w:type="spellStart"/>
      <w:r>
        <w:rPr>
          <w:rFonts w:ascii="Times New Roman" w:eastAsia="Times New Roman" w:hAnsi="Times New Roman" w:cs="Times New Roman"/>
          <w:sz w:val="24"/>
          <w:szCs w:val="24"/>
        </w:rPr>
        <w:t>Uglanova</w:t>
      </w:r>
      <w:proofErr w:type="spellEnd"/>
      <w:r>
        <w:rPr>
          <w:rFonts w:ascii="Times New Roman" w:eastAsia="Times New Roman" w:hAnsi="Times New Roman" w:cs="Times New Roman"/>
          <w:sz w:val="24"/>
          <w:szCs w:val="24"/>
        </w:rPr>
        <w:t xml:space="preserve"> (2021) conducted a systematic review showing how BNs enhance flexibility in modeling educational data and support real-time updating of students’ profiles. Almond et al. (2015) integrated Bayesian networks into </w:t>
      </w:r>
      <w:r>
        <w:rPr>
          <w:rFonts w:ascii="Times New Roman" w:eastAsia="Times New Roman" w:hAnsi="Times New Roman" w:cs="Times New Roman"/>
          <w:bCs/>
          <w:sz w:val="24"/>
          <w:szCs w:val="24"/>
        </w:rPr>
        <w:t>Evidence-Centered Design (ECD)</w:t>
      </w:r>
      <w:r>
        <w:rPr>
          <w:rFonts w:ascii="Times New Roman" w:eastAsia="Times New Roman" w:hAnsi="Times New Roman" w:cs="Times New Roman"/>
          <w:sz w:val="24"/>
          <w:szCs w:val="24"/>
        </w:rPr>
        <w:t xml:space="preserve"> frameworks, enabling assessments that adapt to student responses and provide richer diagnostic feedback. This design-forward approach supports modularity and nuanced interpretation of students’ performances. </w:t>
      </w:r>
      <w:proofErr w:type="spellStart"/>
      <w:r>
        <w:rPr>
          <w:rFonts w:ascii="Times New Roman" w:eastAsia="Times New Roman" w:hAnsi="Times New Roman" w:cs="Times New Roman"/>
          <w:sz w:val="24"/>
          <w:szCs w:val="24"/>
        </w:rPr>
        <w:t>Rouder</w:t>
      </w:r>
      <w:proofErr w:type="spellEnd"/>
      <w:r>
        <w:rPr>
          <w:rFonts w:ascii="Times New Roman" w:eastAsia="Times New Roman" w:hAnsi="Times New Roman" w:cs="Times New Roman"/>
          <w:sz w:val="24"/>
          <w:szCs w:val="24"/>
        </w:rPr>
        <w:t xml:space="preserve"> et al. (2009) demonstrated that Bayesian Mann-Whitney tests yield more informative conclusions, especially in borderline cases. According to them, Bayes Factors quantify evidence strength, while credible intervals offer intuitive estimates of uncertainty. </w:t>
      </w:r>
      <w:proofErr w:type="spellStart"/>
      <w:r>
        <w:rPr>
          <w:rFonts w:ascii="Times New Roman" w:eastAsia="Times New Roman" w:hAnsi="Times New Roman" w:cs="Times New Roman"/>
          <w:sz w:val="24"/>
          <w:szCs w:val="24"/>
        </w:rPr>
        <w:t>Yurtcu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Kelecioglu</w:t>
      </w:r>
      <w:proofErr w:type="spellEnd"/>
      <w:r>
        <w:rPr>
          <w:rFonts w:ascii="Times New Roman" w:eastAsia="Times New Roman" w:hAnsi="Times New Roman" w:cs="Times New Roman"/>
          <w:sz w:val="24"/>
          <w:szCs w:val="24"/>
        </w:rPr>
        <w:t xml:space="preserve"> and Boone (2021) compared the equated scores obtained from Bayesian non-parametric (BNP) model with the outcomes of classical test theory equating method. They discussed two different (mean and linear) equating methods for the classical theory and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the distance between the equated scores obtained from mean, linear equating methods and the BNP model to the target test score. Considering the equated scores obtained from the three different methods, it was found out that the equated scores with the BNP model produced a distribution closer to the target test.</w:t>
      </w:r>
    </w:p>
    <w:p w14:paraId="0427DB4F" w14:textId="77777777" w:rsidR="002D19F7" w:rsidRDefault="00C267C0">
      <w:pPr>
        <w:pStyle w:val="NormalWeb"/>
        <w:spacing w:line="360" w:lineRule="auto"/>
      </w:pPr>
      <w:r>
        <w:t xml:space="preserve">Hai Q. and Ma Zhuan, Z. (2025) introduced Bayesian testing procedures based on Bayes factor to compare the </w:t>
      </w:r>
      <w:proofErr w:type="gramStart"/>
      <w:r>
        <w:t>means  across</w:t>
      </w:r>
      <w:proofErr w:type="gramEnd"/>
      <w:r>
        <w:t xml:space="preserve"> multiple population in classical non-parametric contexts. Their method was designed to maximize the probability of rejecting the null hypothesis when the Bayes factor exceeds a specified evidence threshold. They demonstrated that the method effectively </w:t>
      </w:r>
      <w:proofErr w:type="gramStart"/>
      <w:r>
        <w:t>control</w:t>
      </w:r>
      <w:proofErr w:type="gramEnd"/>
      <w:r>
        <w:t xml:space="preserve"> Type I error and enable researchers to make consistent decisions aligned with both frequentist and </w:t>
      </w:r>
      <w:r>
        <w:lastRenderedPageBreak/>
        <w:t>Bayesian approaches provided that the evidence threshold for the Bayesian methods is set according to the significance level of the frequentist tests.</w:t>
      </w:r>
    </w:p>
    <w:p w14:paraId="08151296" w14:textId="77777777" w:rsidR="002D19F7" w:rsidRDefault="00C267C0">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Methods</w:t>
      </w:r>
    </w:p>
    <w:p w14:paraId="2B76B067" w14:textId="77777777" w:rsidR="002D19F7" w:rsidRDefault="00C267C0">
      <w:p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Two hundred students each was taken from Faculty of Science and Faculty of Computing of a university. The students’ performances for the same academic session in Elementary Mathematics I (</w:t>
      </w:r>
      <w:r>
        <w:rPr>
          <w:rFonts w:ascii="Times New Roman" w:eastAsia="Times New Roman" w:hAnsi="Times New Roman" w:cs="Times New Roman"/>
          <w:sz w:val="24"/>
          <w:szCs w:val="24"/>
        </w:rPr>
        <w:t xml:space="preserve">Algebra and Trigonometry) </w:t>
      </w:r>
      <w:r>
        <w:rPr>
          <w:rFonts w:ascii="Times New Roman" w:eastAsia="Times New Roman" w:hAnsi="Times New Roman" w:cs="Times New Roman"/>
          <w:bCs/>
          <w:sz w:val="24"/>
          <w:szCs w:val="24"/>
        </w:rPr>
        <w:t xml:space="preserve">in letter grades in the two faculties were compared using the Mann Whitney U Test and the Bayesian method. For the purpose of the analysis, the letter grades were converted to ordinal data: </w:t>
      </w:r>
      <w:r>
        <w:rPr>
          <w:rFonts w:ascii="Times New Roman" w:eastAsia="Times New Roman" w:hAnsi="Times New Roman" w:cs="Times New Roman"/>
          <w:sz w:val="24"/>
          <w:szCs w:val="24"/>
        </w:rPr>
        <w:t>A = 5, B = 4, C = 3, D = 2, E = 1, F = 0.</w:t>
      </w:r>
    </w:p>
    <w:p w14:paraId="035A23D5" w14:textId="77777777" w:rsidR="002D19F7" w:rsidRDefault="00C267C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 Mann-Whitney U Test</w:t>
      </w:r>
    </w:p>
    <w:p w14:paraId="341D4FA3" w14:textId="77777777" w:rsidR="002D19F7" w:rsidRDefault="00C267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Mann-Whitney </w:t>
      </w:r>
      <w:r>
        <w:rPr>
          <w:rFonts w:ascii="Times New Roman" w:hAnsi="Times New Roman" w:cs="Times New Roman"/>
          <w:i/>
          <w:iCs/>
          <w:sz w:val="24"/>
          <w:szCs w:val="24"/>
        </w:rPr>
        <w:t>U</w:t>
      </w:r>
      <w:r>
        <w:rPr>
          <w:rFonts w:ascii="Times New Roman" w:hAnsi="Times New Roman" w:cs="Times New Roman"/>
          <w:sz w:val="24"/>
          <w:szCs w:val="24"/>
        </w:rPr>
        <w:t> test is a distribution free test in which the data in each group are first ordered from lowest to highest. Values in the entire data set, from both faculties, are then ranked, with the average rank being assigned as tied values as it is for the Wilcoxon rank-sum test. The ranks are then summed for each group, and </w:t>
      </w:r>
      <w:r>
        <w:rPr>
          <w:rFonts w:ascii="Times New Roman" w:hAnsi="Times New Roman" w:cs="Times New Roman"/>
          <w:i/>
          <w:iCs/>
          <w:sz w:val="24"/>
          <w:szCs w:val="24"/>
        </w:rPr>
        <w:t>U</w:t>
      </w:r>
      <w:r>
        <w:rPr>
          <w:rFonts w:ascii="Times New Roman" w:hAnsi="Times New Roman" w:cs="Times New Roman"/>
          <w:sz w:val="24"/>
          <w:szCs w:val="24"/>
        </w:rPr>
        <w:t xml:space="preserve"> is determined: </w:t>
      </w:r>
    </w:p>
    <w:p w14:paraId="6384EEF6" w14:textId="77777777" w:rsidR="002D19F7" w:rsidRDefault="0080486F">
      <w:pPr>
        <w:spacing w:after="0" w:line="360" w:lineRule="auto"/>
        <w:jc w:val="both"/>
        <w:rPr>
          <w:rFonts w:ascii="Times New Roman" w:eastAsiaTheme="minorEastAsia"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oMath>
      <w:r w:rsidR="00C267C0">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oMath>
      <w:r w:rsidR="00C267C0">
        <w:rPr>
          <w:rFonts w:ascii="Times New Roman" w:hAnsi="Times New Roman" w:cs="Times New Roman"/>
          <w:i/>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+1</m:t>
                </m:r>
              </m:e>
            </m:d>
          </m:num>
          <m:den>
            <m:r>
              <w:rPr>
                <w:rFonts w:ascii="Cambria Math" w:hAnsi="Cambria Math" w:cs="Times New Roman"/>
                <w:sz w:val="24"/>
                <w:szCs w:val="24"/>
              </w:rPr>
              <m:t>2</m:t>
            </m:r>
          </m:den>
        </m:f>
      </m:oMath>
      <w:r w:rsidR="00C267C0">
        <w:rPr>
          <w:rFonts w:ascii="Times New Roman" w:eastAsiaTheme="minorEastAsia" w:hAnsi="Times New Roman" w:cs="Times New Roman"/>
          <w:i/>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oMath>
    </w:p>
    <w:p w14:paraId="7DD04FE5" w14:textId="77777777" w:rsidR="002D19F7" w:rsidRDefault="0080486F">
      <w:pPr>
        <w:spacing w:after="0" w:line="360" w:lineRule="auto"/>
        <w:jc w:val="both"/>
        <w:rPr>
          <w:rFonts w:ascii="Times New Roman" w:eastAsiaTheme="minorEastAsia"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oMath>
      <w:r w:rsidR="00C267C0">
        <w:rPr>
          <w:rFonts w:ascii="Times New Roman" w:hAnsi="Times New Roman" w:cs="Times New Roman"/>
          <w:i/>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oMath>
      <w:r w:rsidR="00C267C0">
        <w:rPr>
          <w:rFonts w:ascii="Times New Roman" w:hAnsi="Times New Roman" w:cs="Times New Roman"/>
          <w:i/>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+1</m:t>
                </m:r>
              </m:e>
            </m:d>
          </m:num>
          <m:den>
            <m:r>
              <w:rPr>
                <w:rFonts w:ascii="Cambria Math" w:hAnsi="Cambria Math" w:cs="Times New Roman"/>
                <w:sz w:val="24"/>
                <w:szCs w:val="24"/>
              </w:rPr>
              <m:t>2</m:t>
            </m:r>
          </m:den>
        </m:f>
      </m:oMath>
      <w:r w:rsidR="00C267C0">
        <w:rPr>
          <w:rFonts w:ascii="Times New Roman" w:eastAsiaTheme="minorEastAsia" w:hAnsi="Times New Roman" w:cs="Times New Roman"/>
          <w:i/>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oMath>
      <w:r w:rsidR="00C267C0">
        <w:rPr>
          <w:rFonts w:eastAsiaTheme="minorEastAsia" w:hAnsi="Cambria Math" w:cs="Times New Roman"/>
          <w:i/>
          <w:sz w:val="24"/>
          <w:szCs w:val="24"/>
        </w:rPr>
        <w:t>,</w:t>
      </w:r>
    </w:p>
    <w:p w14:paraId="3B96000C" w14:textId="77777777" w:rsidR="002D19F7" w:rsidRDefault="00C267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048CAFF1" w14:textId="77777777" w:rsidR="002D19F7" w:rsidRDefault="0080486F">
      <w:pPr>
        <w:spacing w:after="0" w:line="360" w:lineRule="auto"/>
        <w:jc w:val="both"/>
        <w:rPr>
          <w:rFonts w:ascii="Times New Roman" w:hAnsi="Times New Roman" w:cs="Times New Roman"/>
          <w:sz w:val="24"/>
          <w:szCs w:val="24"/>
          <w:vertAlign w:val="subscript"/>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1 </m:t>
            </m:r>
          </m:sub>
        </m:sSub>
      </m:oMath>
      <w:r w:rsidR="00C267C0">
        <w:rPr>
          <w:rFonts w:ascii="Times New Roman" w:hAnsi="Times New Roman" w:cs="Times New Roman"/>
          <w:i/>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oMath>
      <w:r w:rsidR="00C267C0">
        <w:rPr>
          <w:rFonts w:ascii="Times New Roman" w:hAnsi="Times New Roman" w:cs="Times New Roman"/>
          <w:i/>
          <w:sz w:val="24"/>
          <w:szCs w:val="24"/>
        </w:rPr>
        <w:t xml:space="preserve"> </w:t>
      </w:r>
      <w:r w:rsidR="00C267C0">
        <w:rPr>
          <w:rFonts w:ascii="Times New Roman" w:hAnsi="Times New Roman" w:cs="Times New Roman"/>
          <w:sz w:val="24"/>
          <w:szCs w:val="24"/>
        </w:rPr>
        <w:t>are the </w:t>
      </w:r>
      <w:hyperlink r:id="rId9" w:tooltip="Learn more about sample size from ScienceDirect's AI-generated Topic Pages" w:history="1">
        <w:r w:rsidR="00C267C0">
          <w:rPr>
            <w:rFonts w:ascii="Times New Roman" w:hAnsi="Times New Roman" w:cs="Times New Roman"/>
            <w:sz w:val="24"/>
            <w:szCs w:val="24"/>
          </w:rPr>
          <w:t>sample size</w:t>
        </w:r>
      </w:hyperlink>
      <w:r w:rsidR="00C267C0">
        <w:rPr>
          <w:rFonts w:ascii="Times New Roman" w:hAnsi="Times New Roman" w:cs="Times New Roman"/>
          <w:sz w:val="24"/>
          <w:szCs w:val="24"/>
        </w:rPr>
        <w:t xml:space="preserve">s for Group 1 and Group 2 respectively with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oMath>
      <w:r w:rsidR="00C267C0">
        <w:rPr>
          <w:rFonts w:hAnsi="Cambria Math" w:cs="Times New Roman"/>
          <w:sz w:val="24"/>
          <w:szCs w:val="24"/>
        </w:rPr>
        <w:t xml:space="preserve"> </w:t>
      </w:r>
      <w:r w:rsidR="00C267C0">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oMath>
    </w:p>
    <w:p w14:paraId="24467364" w14:textId="77777777" w:rsidR="002D19F7" w:rsidRDefault="00C267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the sum of ranks for each group in that order. </w:t>
      </w:r>
    </w:p>
    <w:p w14:paraId="3DC577B4" w14:textId="77777777" w:rsidR="002D19F7" w:rsidRDefault="0080486F">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oMath>
      <w:r w:rsidR="00C267C0">
        <w:rPr>
          <w:rFonts w:ascii="Times New Roman" w:hAnsi="Times New Roman" w:cs="Times New Roman"/>
          <w:i/>
          <w:sz w:val="24"/>
          <w:szCs w:val="24"/>
        </w:rPr>
        <w:t xml:space="preserve"> </w:t>
      </w:r>
      <w:r w:rsidR="00C267C0">
        <w:rPr>
          <w:rFonts w:ascii="Times New Roman" w:hAnsi="Times New Roman" w:cs="Times New Roman"/>
          <w:sz w:val="24"/>
          <w:szCs w:val="24"/>
        </w:rPr>
        <w:t>is the Mann-Whitney </w:t>
      </w:r>
      <w:hyperlink r:id="rId10" w:tooltip="Learn more about statistic from ScienceDirect's AI-generated Topic Pages" w:history="1">
        <w:r w:rsidR="00C267C0">
          <w:rPr>
            <w:rFonts w:ascii="Times New Roman" w:hAnsi="Times New Roman" w:cs="Times New Roman"/>
            <w:sz w:val="24"/>
            <w:szCs w:val="24"/>
          </w:rPr>
          <w:t>statistic</w:t>
        </w:r>
      </w:hyperlink>
      <w:r w:rsidR="00C267C0">
        <w:rPr>
          <w:rFonts w:ascii="Times New Roman" w:hAnsi="Times New Roman" w:cs="Times New Roman"/>
          <w:sz w:val="24"/>
          <w:szCs w:val="24"/>
        </w:rPr>
        <w:t> for Group 1 and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oMath>
      <w:r w:rsidR="00C267C0">
        <w:rPr>
          <w:rFonts w:ascii="Times New Roman" w:hAnsi="Times New Roman" w:cs="Times New Roman"/>
          <w:sz w:val="24"/>
          <w:szCs w:val="24"/>
        </w:rPr>
        <w:t> is the Mann-Whitney statistic for Group 2.</w:t>
      </w:r>
    </w:p>
    <w:p w14:paraId="5B8E0CF4" w14:textId="77777777" w:rsidR="002D19F7" w:rsidRDefault="00C267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level of significance for a comparison of the two groups, the larger value of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oMath>
      <w:r>
        <w:rPr>
          <w:rFonts w:ascii="Times New Roman" w:hAnsi="Times New Roman" w:cs="Times New Roman"/>
          <w:sz w:val="24"/>
          <w:szCs w:val="24"/>
        </w:rPr>
        <w:t> or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oMath>
      <w:r>
        <w:rPr>
          <w:rFonts w:ascii="Times New Roman" w:hAnsi="Times New Roman" w:cs="Times New Roman"/>
          <w:sz w:val="24"/>
          <w:szCs w:val="24"/>
        </w:rPr>
        <w:t xml:space="preserve"> is used. This is compared to critical values as found in the Mann-Whitney U table. </w:t>
      </w:r>
    </w:p>
    <w:p w14:paraId="7393E14D" w14:textId="77777777" w:rsidR="002D19F7" w:rsidRDefault="00C267C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Bayesian Methods </w:t>
      </w:r>
    </w:p>
    <w:p w14:paraId="0B37400F" w14:textId="77777777" w:rsidR="002D19F7" w:rsidRDefault="00C267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Bayesian statistics offer a compelling alternative by quantifying the </w:t>
      </w:r>
      <w:r>
        <w:rPr>
          <w:rFonts w:ascii="Times New Roman" w:eastAsia="Times New Roman" w:hAnsi="Times New Roman" w:cs="Times New Roman"/>
          <w:bCs/>
          <w:sz w:val="24"/>
          <w:szCs w:val="24"/>
        </w:rPr>
        <w:t>strength of evidence</w:t>
      </w:r>
      <w:r>
        <w:rPr>
          <w:rFonts w:ascii="Times New Roman" w:eastAsia="Times New Roman" w:hAnsi="Times New Roman" w:cs="Times New Roman"/>
          <w:sz w:val="24"/>
          <w:szCs w:val="24"/>
        </w:rPr>
        <w:t xml:space="preserve"> through </w:t>
      </w:r>
      <w:r>
        <w:rPr>
          <w:rFonts w:ascii="Times New Roman" w:eastAsia="Times New Roman" w:hAnsi="Times New Roman" w:cs="Times New Roman"/>
          <w:bCs/>
          <w:sz w:val="24"/>
          <w:szCs w:val="24"/>
        </w:rPr>
        <w:t>Bayes Factors</w:t>
      </w:r>
      <w:r>
        <w:rPr>
          <w:rFonts w:ascii="Times New Roman" w:eastAsia="Times New Roman" w:hAnsi="Times New Roman" w:cs="Times New Roman"/>
          <w:sz w:val="24"/>
          <w:szCs w:val="24"/>
        </w:rPr>
        <w:t xml:space="preserve"> and providing </w:t>
      </w:r>
      <w:r>
        <w:rPr>
          <w:rFonts w:ascii="Times New Roman" w:eastAsia="Times New Roman" w:hAnsi="Times New Roman" w:cs="Times New Roman"/>
          <w:bCs/>
          <w:sz w:val="24"/>
          <w:szCs w:val="24"/>
        </w:rPr>
        <w:t>credible intervals</w:t>
      </w:r>
      <w:r>
        <w:rPr>
          <w:rFonts w:ascii="Times New Roman" w:eastAsia="Times New Roman" w:hAnsi="Times New Roman" w:cs="Times New Roman"/>
          <w:sz w:val="24"/>
          <w:szCs w:val="24"/>
        </w:rPr>
        <w:t xml:space="preserve"> for parameter estimates. Unlike frequentist methods, Bayesian inference allows researchers to incorporate prior knowledge and interpret results in terms of probability. </w:t>
      </w:r>
      <w:proofErr w:type="spellStart"/>
      <w:r>
        <w:rPr>
          <w:rFonts w:ascii="Times New Roman" w:eastAsia="Times New Roman" w:hAnsi="Times New Roman" w:cs="Times New Roman"/>
          <w:sz w:val="24"/>
          <w:szCs w:val="24"/>
        </w:rPr>
        <w:t>Rouder</w:t>
      </w:r>
      <w:proofErr w:type="spellEnd"/>
      <w:r>
        <w:rPr>
          <w:rFonts w:ascii="Times New Roman" w:eastAsia="Times New Roman" w:hAnsi="Times New Roman" w:cs="Times New Roman"/>
          <w:sz w:val="24"/>
          <w:szCs w:val="24"/>
        </w:rPr>
        <w:t xml:space="preserve"> et al. (2009) demonstrated the utility of Bayesian Mann-Whitney tests in psychological and educational studies, showing that they often yield more informative conclusions, especially in borderline cases.</w:t>
      </w:r>
    </w:p>
    <w:p w14:paraId="61A1474E"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this study, the Bayesian Mann-Whitney U test provides a </w:t>
      </w:r>
      <w:r>
        <w:rPr>
          <w:rFonts w:ascii="Times New Roman" w:eastAsia="Times New Roman" w:hAnsi="Times New Roman" w:cs="Times New Roman"/>
          <w:bCs/>
          <w:sz w:val="24"/>
          <w:szCs w:val="24"/>
        </w:rPr>
        <w:t>Bayes Factor (BF₁₀)</w:t>
      </w:r>
      <w:r>
        <w:rPr>
          <w:rFonts w:ascii="Times New Roman" w:eastAsia="Times New Roman" w:hAnsi="Times New Roman" w:cs="Times New Roman"/>
          <w:sz w:val="24"/>
          <w:szCs w:val="24"/>
        </w:rPr>
        <w:t>, indicating the likelihood of the alternative hypothesis relative to the null. A BF₁₀ below 1 suggests support for the null, while values above 1 indicate evidence for a difference. The posterior distribution and credible intervals further enrich the interpretation by estimating the magnitude and uncertainty of the difference.</w:t>
      </w:r>
    </w:p>
    <w:p w14:paraId="03395C99" w14:textId="77777777" w:rsidR="002D19F7" w:rsidRDefault="00C267C0">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Hypothesis</w:t>
      </w:r>
    </w:p>
    <w:p w14:paraId="4AA20437"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There is no significant difference between the grades from both Faculties</w:t>
      </w:r>
    </w:p>
    <w:p w14:paraId="44889962"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proofErr w:type="gramStart"/>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There</w:t>
      </w:r>
      <w:proofErr w:type="gramEnd"/>
      <w:r>
        <w:rPr>
          <w:rFonts w:ascii="Times New Roman" w:eastAsia="Times New Roman" w:hAnsi="Times New Roman" w:cs="Times New Roman"/>
          <w:sz w:val="24"/>
          <w:szCs w:val="24"/>
        </w:rPr>
        <w:t xml:space="preserve"> is a significant difference between the grades from both Faculties</w:t>
      </w:r>
    </w:p>
    <w:p w14:paraId="4771288E" w14:textId="77777777" w:rsidR="002D19F7" w:rsidRDefault="00C267C0">
      <w:pPr>
        <w:numPr>
          <w:ilvl w:val="0"/>
          <w:numId w:val="3"/>
        </w:numPr>
        <w:spacing w:before="100" w:beforeAutospacing="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and Discussions </w:t>
      </w:r>
    </w:p>
    <w:p w14:paraId="5B2DB543" w14:textId="77777777" w:rsidR="002D19F7" w:rsidRDefault="00C267C0">
      <w:pPr>
        <w:spacing w:before="100" w:beforeAutospacing="1"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this section, the classical Mann Whitney U test and the Bayesian non-parametric Mann Whitney U test were applied to data collected on the performances of students in </w:t>
      </w:r>
      <w:r>
        <w:rPr>
          <w:rFonts w:ascii="Times New Roman" w:eastAsia="Times New Roman" w:hAnsi="Times New Roman" w:cs="Times New Roman"/>
          <w:sz w:val="24"/>
          <w:szCs w:val="24"/>
        </w:rPr>
        <w:t xml:space="preserve">MTH 111- Elementary Mathematics 1 (Algebra and </w:t>
      </w:r>
      <w:proofErr w:type="gramStart"/>
      <w:r>
        <w:rPr>
          <w:rFonts w:ascii="Times New Roman" w:eastAsia="Times New Roman" w:hAnsi="Times New Roman" w:cs="Times New Roman"/>
          <w:sz w:val="24"/>
          <w:szCs w:val="24"/>
        </w:rPr>
        <w:t>Trigonometry)</w:t>
      </w:r>
      <w:r>
        <w:rPr>
          <w:rFonts w:ascii="Times New Roman" w:eastAsia="Times New Roman" w:hAnsi="Times New Roman" w:cs="Times New Roman"/>
          <w:bCs/>
          <w:sz w:val="24"/>
          <w:szCs w:val="24"/>
        </w:rPr>
        <w:t xml:space="preserve">  from</w:t>
      </w:r>
      <w:proofErr w:type="gramEnd"/>
      <w:r>
        <w:rPr>
          <w:rFonts w:ascii="Times New Roman" w:eastAsia="Times New Roman" w:hAnsi="Times New Roman" w:cs="Times New Roman"/>
          <w:bCs/>
          <w:sz w:val="24"/>
          <w:szCs w:val="24"/>
        </w:rPr>
        <w:t xml:space="preserve"> Faculty of Science and Faculty of Computing in  Dennis Osadebay University, Asaba . Some descriptive statistics were also obtained. </w:t>
      </w:r>
      <w:r>
        <w:rPr>
          <w:rFonts w:ascii="Times New Roman" w:eastAsia="Times New Roman" w:hAnsi="Times New Roman" w:cs="Times New Roman"/>
          <w:sz w:val="24"/>
          <w:szCs w:val="24"/>
        </w:rPr>
        <w:t>The Data were analyzed using JASP (Version 0.19.2.0).</w:t>
      </w:r>
      <w:r>
        <w:rPr>
          <w:rFonts w:ascii="Times New Roman" w:eastAsia="Times New Roman" w:hAnsi="Times New Roman" w:cs="Times New Roman"/>
          <w:bCs/>
          <w:sz w:val="24"/>
          <w:szCs w:val="24"/>
        </w:rPr>
        <w:t xml:space="preserve"> The results are as presented in this section.  </w:t>
      </w:r>
    </w:p>
    <w:p w14:paraId="038FB7D7" w14:textId="77777777" w:rsidR="002D19F7" w:rsidRDefault="00C267C0">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4.1 Results</w:t>
      </w:r>
    </w:p>
    <w:tbl>
      <w:tblPr>
        <w:tblW w:w="0" w:type="auto"/>
        <w:jc w:val="center"/>
        <w:tblCellMar>
          <w:left w:w="0" w:type="dxa"/>
          <w:right w:w="0" w:type="dxa"/>
        </w:tblCellMar>
        <w:tblLook w:val="04A0" w:firstRow="1" w:lastRow="0" w:firstColumn="1" w:lastColumn="0" w:noHBand="0" w:noVBand="1"/>
      </w:tblPr>
      <w:tblGrid>
        <w:gridCol w:w="718"/>
        <w:gridCol w:w="186"/>
        <w:gridCol w:w="1171"/>
        <w:gridCol w:w="186"/>
        <w:gridCol w:w="510"/>
        <w:gridCol w:w="186"/>
        <w:gridCol w:w="675"/>
        <w:gridCol w:w="186"/>
        <w:gridCol w:w="675"/>
        <w:gridCol w:w="186"/>
        <w:gridCol w:w="675"/>
        <w:gridCol w:w="186"/>
        <w:gridCol w:w="1276"/>
        <w:gridCol w:w="353"/>
        <w:gridCol w:w="960"/>
        <w:gridCol w:w="200"/>
        <w:gridCol w:w="1115"/>
        <w:gridCol w:w="186"/>
      </w:tblGrid>
      <w:tr w:rsidR="002D19F7" w14:paraId="145F32C5" w14:textId="77777777" w:rsidTr="007932F5">
        <w:trPr>
          <w:tblHeader/>
          <w:jc w:val="center"/>
        </w:trPr>
        <w:tc>
          <w:tcPr>
            <w:tcW w:w="0" w:type="auto"/>
            <w:gridSpan w:val="18"/>
            <w:tcBorders>
              <w:top w:val="nil"/>
              <w:left w:val="nil"/>
              <w:bottom w:val="single" w:sz="4" w:space="0" w:color="000000"/>
              <w:right w:val="nil"/>
            </w:tcBorders>
            <w:tcMar>
              <w:top w:w="90" w:type="dxa"/>
              <w:left w:w="0" w:type="dxa"/>
              <w:bottom w:w="90" w:type="dxa"/>
              <w:right w:w="150" w:type="dxa"/>
            </w:tcMar>
            <w:vAlign w:val="center"/>
          </w:tcPr>
          <w:p w14:paraId="3B8C672E" w14:textId="2F9A9E70"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2D19F7" w14:paraId="626D17FE" w14:textId="77777777" w:rsidTr="007932F5">
        <w:trPr>
          <w:tblHeader/>
          <w:jc w:val="center"/>
        </w:trPr>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232B67FD"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53412622"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Group</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0560BC4C"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6B247032"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Mean</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6FF11E08"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SD</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1019FA17"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4F9C0E75"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Coefficient of variation</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30E390FF"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Mean Rank</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253E4F18"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Sum Rank</w:t>
            </w:r>
          </w:p>
        </w:tc>
      </w:tr>
      <w:tr w:rsidR="002D19F7" w14:paraId="006A38B3" w14:textId="77777777" w:rsidTr="007932F5">
        <w:trPr>
          <w:jc w:val="center"/>
        </w:trPr>
        <w:tc>
          <w:tcPr>
            <w:tcW w:w="0" w:type="auto"/>
            <w:tcBorders>
              <w:top w:val="nil"/>
              <w:left w:val="nil"/>
              <w:bottom w:val="nil"/>
              <w:right w:val="nil"/>
            </w:tcBorders>
            <w:tcMar>
              <w:top w:w="162" w:type="dxa"/>
              <w:left w:w="180" w:type="dxa"/>
              <w:bottom w:w="15" w:type="dxa"/>
              <w:right w:w="0" w:type="dxa"/>
            </w:tcMar>
            <w:vAlign w:val="center"/>
          </w:tcPr>
          <w:p w14:paraId="0E3E6808"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Grade</w:t>
            </w:r>
          </w:p>
        </w:tc>
        <w:tc>
          <w:tcPr>
            <w:tcW w:w="0" w:type="auto"/>
            <w:tcBorders>
              <w:top w:val="nil"/>
              <w:left w:val="nil"/>
              <w:bottom w:val="nil"/>
              <w:right w:val="nil"/>
            </w:tcBorders>
            <w:tcMar>
              <w:top w:w="162" w:type="dxa"/>
              <w:left w:w="0" w:type="dxa"/>
              <w:bottom w:w="15" w:type="dxa"/>
              <w:right w:w="180" w:type="dxa"/>
            </w:tcMar>
            <w:vAlign w:val="center"/>
          </w:tcPr>
          <w:p w14:paraId="0B29BEF2"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5B8EFAB1"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Computing</w:t>
            </w:r>
          </w:p>
        </w:tc>
        <w:tc>
          <w:tcPr>
            <w:tcW w:w="0" w:type="auto"/>
            <w:tcBorders>
              <w:top w:val="nil"/>
              <w:left w:val="nil"/>
              <w:bottom w:val="nil"/>
              <w:right w:val="nil"/>
            </w:tcBorders>
            <w:tcMar>
              <w:top w:w="162" w:type="dxa"/>
              <w:left w:w="0" w:type="dxa"/>
              <w:bottom w:w="15" w:type="dxa"/>
              <w:right w:w="180" w:type="dxa"/>
            </w:tcMar>
            <w:vAlign w:val="center"/>
          </w:tcPr>
          <w:p w14:paraId="17343BA9"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49E17053"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0" w:type="auto"/>
            <w:tcBorders>
              <w:top w:val="nil"/>
              <w:left w:val="nil"/>
              <w:bottom w:val="nil"/>
              <w:right w:val="nil"/>
            </w:tcBorders>
            <w:tcMar>
              <w:top w:w="162" w:type="dxa"/>
              <w:left w:w="0" w:type="dxa"/>
              <w:bottom w:w="15" w:type="dxa"/>
              <w:right w:w="180" w:type="dxa"/>
            </w:tcMar>
            <w:vAlign w:val="center"/>
          </w:tcPr>
          <w:p w14:paraId="689F0740"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37E6200E"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3.225</w:t>
            </w:r>
          </w:p>
        </w:tc>
        <w:tc>
          <w:tcPr>
            <w:tcW w:w="0" w:type="auto"/>
            <w:tcBorders>
              <w:top w:val="nil"/>
              <w:left w:val="nil"/>
              <w:bottom w:val="nil"/>
              <w:right w:val="nil"/>
            </w:tcBorders>
            <w:tcMar>
              <w:top w:w="162" w:type="dxa"/>
              <w:left w:w="0" w:type="dxa"/>
              <w:bottom w:w="15" w:type="dxa"/>
              <w:right w:w="180" w:type="dxa"/>
            </w:tcMar>
            <w:vAlign w:val="center"/>
          </w:tcPr>
          <w:p w14:paraId="126891F4"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50B40173"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1.358</w:t>
            </w:r>
          </w:p>
        </w:tc>
        <w:tc>
          <w:tcPr>
            <w:tcW w:w="0" w:type="auto"/>
            <w:tcBorders>
              <w:top w:val="nil"/>
              <w:left w:val="nil"/>
              <w:bottom w:val="nil"/>
              <w:right w:val="nil"/>
            </w:tcBorders>
            <w:tcMar>
              <w:top w:w="162" w:type="dxa"/>
              <w:left w:w="0" w:type="dxa"/>
              <w:bottom w:w="15" w:type="dxa"/>
              <w:right w:w="180" w:type="dxa"/>
            </w:tcMar>
            <w:vAlign w:val="center"/>
          </w:tcPr>
          <w:p w14:paraId="24A88161"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6F782F97"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0.096</w:t>
            </w:r>
          </w:p>
        </w:tc>
        <w:tc>
          <w:tcPr>
            <w:tcW w:w="0" w:type="auto"/>
            <w:tcBorders>
              <w:top w:val="nil"/>
              <w:left w:val="nil"/>
              <w:bottom w:val="nil"/>
              <w:right w:val="nil"/>
            </w:tcBorders>
            <w:tcMar>
              <w:top w:w="162" w:type="dxa"/>
              <w:left w:w="0" w:type="dxa"/>
              <w:bottom w:w="15" w:type="dxa"/>
              <w:right w:w="180" w:type="dxa"/>
            </w:tcMar>
            <w:vAlign w:val="center"/>
          </w:tcPr>
          <w:p w14:paraId="70C6AD63"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10F6A0C9"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0.421</w:t>
            </w:r>
          </w:p>
        </w:tc>
        <w:tc>
          <w:tcPr>
            <w:tcW w:w="0" w:type="auto"/>
            <w:tcBorders>
              <w:top w:val="nil"/>
              <w:left w:val="nil"/>
              <w:bottom w:val="nil"/>
              <w:right w:val="nil"/>
            </w:tcBorders>
            <w:tcMar>
              <w:top w:w="162" w:type="dxa"/>
              <w:left w:w="0" w:type="dxa"/>
              <w:bottom w:w="15" w:type="dxa"/>
              <w:right w:w="180" w:type="dxa"/>
            </w:tcMar>
            <w:vAlign w:val="center"/>
          </w:tcPr>
          <w:p w14:paraId="6082EF32"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1A1F4980"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207.305</w:t>
            </w:r>
          </w:p>
        </w:tc>
        <w:tc>
          <w:tcPr>
            <w:tcW w:w="0" w:type="auto"/>
            <w:tcBorders>
              <w:top w:val="nil"/>
              <w:left w:val="nil"/>
              <w:bottom w:val="nil"/>
              <w:right w:val="nil"/>
            </w:tcBorders>
            <w:tcMar>
              <w:top w:w="162" w:type="dxa"/>
              <w:left w:w="0" w:type="dxa"/>
              <w:bottom w:w="15" w:type="dxa"/>
              <w:right w:w="180" w:type="dxa"/>
            </w:tcMar>
            <w:vAlign w:val="center"/>
          </w:tcPr>
          <w:p w14:paraId="3D538266"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47BE6729"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41461.000</w:t>
            </w:r>
          </w:p>
        </w:tc>
        <w:tc>
          <w:tcPr>
            <w:tcW w:w="0" w:type="auto"/>
            <w:tcBorders>
              <w:top w:val="nil"/>
              <w:left w:val="nil"/>
              <w:bottom w:val="nil"/>
              <w:right w:val="nil"/>
            </w:tcBorders>
            <w:tcMar>
              <w:top w:w="162" w:type="dxa"/>
              <w:left w:w="0" w:type="dxa"/>
              <w:bottom w:w="15" w:type="dxa"/>
              <w:right w:w="180" w:type="dxa"/>
            </w:tcMar>
            <w:vAlign w:val="center"/>
          </w:tcPr>
          <w:p w14:paraId="6E885D25" w14:textId="77777777" w:rsidR="002D19F7" w:rsidRDefault="002D19F7">
            <w:pPr>
              <w:spacing w:after="0" w:line="240" w:lineRule="auto"/>
              <w:jc w:val="both"/>
              <w:rPr>
                <w:rFonts w:ascii="Times New Roman" w:eastAsia="Times New Roman" w:hAnsi="Times New Roman" w:cs="Times New Roman"/>
                <w:color w:val="000000"/>
              </w:rPr>
            </w:pPr>
          </w:p>
        </w:tc>
      </w:tr>
      <w:tr w:rsidR="002D19F7" w14:paraId="17EC7AB0" w14:textId="77777777" w:rsidTr="007932F5">
        <w:trPr>
          <w:jc w:val="center"/>
        </w:trPr>
        <w:tc>
          <w:tcPr>
            <w:tcW w:w="0" w:type="auto"/>
            <w:tcBorders>
              <w:top w:val="nil"/>
              <w:left w:val="nil"/>
              <w:bottom w:val="nil"/>
              <w:right w:val="nil"/>
            </w:tcBorders>
            <w:tcMar>
              <w:top w:w="15" w:type="dxa"/>
              <w:left w:w="180" w:type="dxa"/>
              <w:bottom w:w="15" w:type="dxa"/>
              <w:right w:w="0" w:type="dxa"/>
            </w:tcMar>
            <w:vAlign w:val="center"/>
          </w:tcPr>
          <w:p w14:paraId="060DE001"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0" w:type="auto"/>
            <w:tcBorders>
              <w:top w:val="nil"/>
              <w:left w:val="nil"/>
              <w:bottom w:val="nil"/>
              <w:right w:val="nil"/>
            </w:tcBorders>
            <w:tcMar>
              <w:top w:w="15" w:type="dxa"/>
              <w:left w:w="0" w:type="dxa"/>
              <w:bottom w:w="15" w:type="dxa"/>
              <w:right w:w="180" w:type="dxa"/>
            </w:tcMar>
            <w:vAlign w:val="center"/>
          </w:tcPr>
          <w:p w14:paraId="5D5749F3"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5" w:type="dxa"/>
              <w:left w:w="180" w:type="dxa"/>
              <w:bottom w:w="15" w:type="dxa"/>
              <w:right w:w="0" w:type="dxa"/>
            </w:tcMar>
            <w:vAlign w:val="center"/>
          </w:tcPr>
          <w:p w14:paraId="78BCCE77"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Science</w:t>
            </w:r>
          </w:p>
        </w:tc>
        <w:tc>
          <w:tcPr>
            <w:tcW w:w="0" w:type="auto"/>
            <w:tcBorders>
              <w:top w:val="nil"/>
              <w:left w:val="nil"/>
              <w:bottom w:val="nil"/>
              <w:right w:val="nil"/>
            </w:tcBorders>
            <w:tcMar>
              <w:top w:w="15" w:type="dxa"/>
              <w:left w:w="0" w:type="dxa"/>
              <w:bottom w:w="15" w:type="dxa"/>
              <w:right w:w="180" w:type="dxa"/>
            </w:tcMar>
            <w:vAlign w:val="center"/>
          </w:tcPr>
          <w:p w14:paraId="7E49AE5A"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5" w:type="dxa"/>
              <w:left w:w="180" w:type="dxa"/>
              <w:bottom w:w="15" w:type="dxa"/>
              <w:right w:w="0" w:type="dxa"/>
            </w:tcMar>
            <w:vAlign w:val="center"/>
          </w:tcPr>
          <w:p w14:paraId="6BB2AE1A"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0" w:type="auto"/>
            <w:tcBorders>
              <w:top w:val="nil"/>
              <w:left w:val="nil"/>
              <w:bottom w:val="nil"/>
              <w:right w:val="nil"/>
            </w:tcBorders>
            <w:tcMar>
              <w:top w:w="15" w:type="dxa"/>
              <w:left w:w="0" w:type="dxa"/>
              <w:bottom w:w="15" w:type="dxa"/>
              <w:right w:w="180" w:type="dxa"/>
            </w:tcMar>
            <w:vAlign w:val="center"/>
          </w:tcPr>
          <w:p w14:paraId="40CDFB94"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5" w:type="dxa"/>
              <w:left w:w="180" w:type="dxa"/>
              <w:bottom w:w="15" w:type="dxa"/>
              <w:right w:w="0" w:type="dxa"/>
            </w:tcMar>
            <w:vAlign w:val="center"/>
          </w:tcPr>
          <w:p w14:paraId="39393867"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3.010</w:t>
            </w:r>
          </w:p>
        </w:tc>
        <w:tc>
          <w:tcPr>
            <w:tcW w:w="0" w:type="auto"/>
            <w:tcBorders>
              <w:top w:val="nil"/>
              <w:left w:val="nil"/>
              <w:bottom w:val="nil"/>
              <w:right w:val="nil"/>
            </w:tcBorders>
            <w:tcMar>
              <w:top w:w="15" w:type="dxa"/>
              <w:left w:w="0" w:type="dxa"/>
              <w:bottom w:w="15" w:type="dxa"/>
              <w:right w:w="180" w:type="dxa"/>
            </w:tcMar>
            <w:vAlign w:val="center"/>
          </w:tcPr>
          <w:p w14:paraId="6335A6E0"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5" w:type="dxa"/>
              <w:left w:w="180" w:type="dxa"/>
              <w:bottom w:w="15" w:type="dxa"/>
              <w:right w:w="0" w:type="dxa"/>
            </w:tcMar>
            <w:vAlign w:val="center"/>
          </w:tcPr>
          <w:p w14:paraId="1C4FC8F4"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1.524</w:t>
            </w:r>
          </w:p>
        </w:tc>
        <w:tc>
          <w:tcPr>
            <w:tcW w:w="0" w:type="auto"/>
            <w:tcBorders>
              <w:top w:val="nil"/>
              <w:left w:val="nil"/>
              <w:bottom w:val="nil"/>
              <w:right w:val="nil"/>
            </w:tcBorders>
            <w:tcMar>
              <w:top w:w="15" w:type="dxa"/>
              <w:left w:w="0" w:type="dxa"/>
              <w:bottom w:w="15" w:type="dxa"/>
              <w:right w:w="180" w:type="dxa"/>
            </w:tcMar>
            <w:vAlign w:val="center"/>
          </w:tcPr>
          <w:p w14:paraId="3BDCE97F"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5" w:type="dxa"/>
              <w:left w:w="180" w:type="dxa"/>
              <w:bottom w:w="15" w:type="dxa"/>
              <w:right w:w="0" w:type="dxa"/>
            </w:tcMar>
            <w:vAlign w:val="center"/>
          </w:tcPr>
          <w:p w14:paraId="24F67119"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0.108</w:t>
            </w:r>
          </w:p>
        </w:tc>
        <w:tc>
          <w:tcPr>
            <w:tcW w:w="0" w:type="auto"/>
            <w:tcBorders>
              <w:top w:val="nil"/>
              <w:left w:val="nil"/>
              <w:bottom w:val="nil"/>
              <w:right w:val="nil"/>
            </w:tcBorders>
            <w:tcMar>
              <w:top w:w="15" w:type="dxa"/>
              <w:left w:w="0" w:type="dxa"/>
              <w:bottom w:w="15" w:type="dxa"/>
              <w:right w:w="180" w:type="dxa"/>
            </w:tcMar>
            <w:vAlign w:val="center"/>
          </w:tcPr>
          <w:p w14:paraId="1D5D9C42"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5" w:type="dxa"/>
              <w:left w:w="180" w:type="dxa"/>
              <w:bottom w:w="15" w:type="dxa"/>
              <w:right w:w="0" w:type="dxa"/>
            </w:tcMar>
            <w:vAlign w:val="center"/>
          </w:tcPr>
          <w:p w14:paraId="2B405117"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0.506</w:t>
            </w:r>
          </w:p>
        </w:tc>
        <w:tc>
          <w:tcPr>
            <w:tcW w:w="0" w:type="auto"/>
            <w:tcBorders>
              <w:top w:val="nil"/>
              <w:left w:val="nil"/>
              <w:bottom w:val="nil"/>
              <w:right w:val="nil"/>
            </w:tcBorders>
            <w:tcMar>
              <w:top w:w="15" w:type="dxa"/>
              <w:left w:w="0" w:type="dxa"/>
              <w:bottom w:w="15" w:type="dxa"/>
              <w:right w:w="180" w:type="dxa"/>
            </w:tcMar>
            <w:vAlign w:val="center"/>
          </w:tcPr>
          <w:p w14:paraId="5D73B346"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5" w:type="dxa"/>
              <w:left w:w="180" w:type="dxa"/>
              <w:bottom w:w="15" w:type="dxa"/>
              <w:right w:w="0" w:type="dxa"/>
            </w:tcMar>
            <w:vAlign w:val="center"/>
          </w:tcPr>
          <w:p w14:paraId="3AB16F0E"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193.695</w:t>
            </w:r>
          </w:p>
        </w:tc>
        <w:tc>
          <w:tcPr>
            <w:tcW w:w="0" w:type="auto"/>
            <w:tcBorders>
              <w:top w:val="nil"/>
              <w:left w:val="nil"/>
              <w:bottom w:val="nil"/>
              <w:right w:val="nil"/>
            </w:tcBorders>
            <w:tcMar>
              <w:top w:w="15" w:type="dxa"/>
              <w:left w:w="0" w:type="dxa"/>
              <w:bottom w:w="15" w:type="dxa"/>
              <w:right w:w="180" w:type="dxa"/>
            </w:tcMar>
            <w:vAlign w:val="center"/>
          </w:tcPr>
          <w:p w14:paraId="43FE31C5"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5" w:type="dxa"/>
              <w:left w:w="180" w:type="dxa"/>
              <w:bottom w:w="15" w:type="dxa"/>
              <w:right w:w="0" w:type="dxa"/>
            </w:tcMar>
            <w:vAlign w:val="center"/>
          </w:tcPr>
          <w:p w14:paraId="09C82990"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38739.000</w:t>
            </w:r>
          </w:p>
        </w:tc>
        <w:tc>
          <w:tcPr>
            <w:tcW w:w="0" w:type="auto"/>
            <w:tcBorders>
              <w:top w:val="nil"/>
              <w:left w:val="nil"/>
              <w:bottom w:val="nil"/>
              <w:right w:val="nil"/>
            </w:tcBorders>
            <w:tcMar>
              <w:top w:w="15" w:type="dxa"/>
              <w:left w:w="0" w:type="dxa"/>
              <w:bottom w:w="15" w:type="dxa"/>
              <w:right w:w="180" w:type="dxa"/>
            </w:tcMar>
            <w:vAlign w:val="center"/>
          </w:tcPr>
          <w:p w14:paraId="5EEF285E" w14:textId="77777777" w:rsidR="002D19F7" w:rsidRDefault="002D19F7">
            <w:pPr>
              <w:spacing w:after="0" w:line="240" w:lineRule="auto"/>
              <w:jc w:val="both"/>
              <w:rPr>
                <w:rFonts w:ascii="Times New Roman" w:eastAsia="Times New Roman" w:hAnsi="Times New Roman" w:cs="Times New Roman"/>
                <w:color w:val="000000"/>
              </w:rPr>
            </w:pPr>
          </w:p>
        </w:tc>
      </w:tr>
      <w:tr w:rsidR="002D19F7" w14:paraId="2BBE6F95" w14:textId="77777777" w:rsidTr="007932F5">
        <w:trPr>
          <w:jc w:val="center"/>
        </w:trPr>
        <w:tc>
          <w:tcPr>
            <w:tcW w:w="0" w:type="auto"/>
            <w:gridSpan w:val="18"/>
            <w:tcBorders>
              <w:top w:val="nil"/>
              <w:left w:val="nil"/>
              <w:bottom w:val="single" w:sz="12" w:space="0" w:color="000000"/>
              <w:right w:val="nil"/>
            </w:tcBorders>
            <w:tcMar>
              <w:top w:w="15" w:type="dxa"/>
              <w:left w:w="15" w:type="dxa"/>
              <w:bottom w:w="15" w:type="dxa"/>
              <w:right w:w="15" w:type="dxa"/>
            </w:tcMar>
            <w:vAlign w:val="center"/>
          </w:tcPr>
          <w:p w14:paraId="662B71ED" w14:textId="77777777" w:rsidR="002D19F7" w:rsidRDefault="002D19F7">
            <w:pPr>
              <w:spacing w:after="0" w:line="240" w:lineRule="auto"/>
              <w:jc w:val="both"/>
              <w:rPr>
                <w:rFonts w:ascii="Times New Roman" w:eastAsia="Times New Roman" w:hAnsi="Times New Roman" w:cs="Times New Roman"/>
              </w:rPr>
            </w:pPr>
          </w:p>
        </w:tc>
      </w:tr>
    </w:tbl>
    <w:p w14:paraId="435BFBF5" w14:textId="7F9E1F98" w:rsidR="00622DEE" w:rsidRDefault="00622DEE">
      <w:pPr>
        <w:spacing w:before="100" w:beforeAutospacing="1" w:after="0" w:line="360" w:lineRule="auto"/>
        <w:jc w:val="both"/>
        <w:rPr>
          <w:rFonts w:ascii="Times New Roman" w:eastAsia="Times New Roman" w:hAnsi="Times New Roman" w:cs="Times New Roman"/>
          <w:sz w:val="24"/>
          <w:szCs w:val="24"/>
        </w:rPr>
      </w:pPr>
      <w:r w:rsidRPr="00622DEE">
        <w:rPr>
          <w:rFonts w:ascii="Times New Roman" w:eastAsia="Times New Roman" w:hAnsi="Times New Roman" w:cs="Times New Roman"/>
          <w:sz w:val="24"/>
          <w:szCs w:val="24"/>
        </w:rPr>
        <w:t>Table 1: Results of Descriptive Statistics Analysis</w:t>
      </w:r>
    </w:p>
    <w:p w14:paraId="43CB82D7" w14:textId="59BD0454"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in Table.1 show that students in the Faculty of Computing have a slightly higher mean grade (3.225 vs. 3.010). The lower coefficient of variation suggests more consistent performance in Computing compared to Science.</w:t>
      </w:r>
    </w:p>
    <w:p w14:paraId="71675888" w14:textId="77777777" w:rsidR="002D19F7" w:rsidRDefault="00C267C0">
      <w:pPr>
        <w:spacing w:after="0"/>
        <w:jc w:val="both"/>
        <w:rPr>
          <w:rFonts w:ascii="Times New Roman" w:hAnsi="Times New Roman" w:cs="Times New Roman"/>
          <w:sz w:val="24"/>
          <w:szCs w:val="24"/>
        </w:rPr>
      </w:pPr>
      <w:r>
        <w:rPr>
          <w:noProof/>
        </w:rPr>
        <w:lastRenderedPageBreak/>
        <w:drawing>
          <wp:anchor distT="0" distB="0" distL="114300" distR="114300" simplePos="0" relativeHeight="251659264" behindDoc="0" locked="0" layoutInCell="1" allowOverlap="1" wp14:anchorId="1967DFB7" wp14:editId="40FE2847">
            <wp:simplePos x="0" y="0"/>
            <wp:positionH relativeFrom="margin">
              <wp:posOffset>137160</wp:posOffset>
            </wp:positionH>
            <wp:positionV relativeFrom="paragraph">
              <wp:posOffset>167005</wp:posOffset>
            </wp:positionV>
            <wp:extent cx="2735580" cy="1920240"/>
            <wp:effectExtent l="0" t="0" r="7620" b="3810"/>
            <wp:wrapSquare wrapText="bothSides"/>
            <wp:docPr id="7" name="Picture 7" descr="C:\Users\shola\AppData\Local\JASP\temp\clipboard\resources\1\_1_t-2111035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shola\AppData\Local\JASP\temp\clipboard\resources\1\_1_t-211103516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35580" cy="1920240"/>
                    </a:xfrm>
                    <a:prstGeom prst="rect">
                      <a:avLst/>
                    </a:prstGeom>
                    <a:noFill/>
                    <a:ln>
                      <a:noFill/>
                    </a:ln>
                  </pic:spPr>
                </pic:pic>
              </a:graphicData>
            </a:graphic>
          </wp:anchor>
        </w:drawing>
      </w:r>
      <w:r>
        <w:rPr>
          <w:noProof/>
        </w:rPr>
        <w:drawing>
          <wp:inline distT="0" distB="0" distL="0" distR="0" wp14:anchorId="715BF97E" wp14:editId="707F3E79">
            <wp:extent cx="2827020" cy="1966595"/>
            <wp:effectExtent l="49530" t="72390" r="57150" b="75565"/>
            <wp:docPr id="8" name="Picture 8" descr="C:\Users\shola\AppData\Local\JASP\temp\clipboard\resources\4\_5_t2109413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shola\AppData\Local\JASP\temp\clipboard\resources\4\_5_t210941372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rot="21420000">
                      <a:off x="0" y="0"/>
                      <a:ext cx="2827020" cy="1966595"/>
                    </a:xfrm>
                    <a:prstGeom prst="rect">
                      <a:avLst/>
                    </a:prstGeom>
                    <a:noFill/>
                    <a:ln>
                      <a:noFill/>
                    </a:ln>
                  </pic:spPr>
                </pic:pic>
              </a:graphicData>
            </a:graphic>
          </wp:inline>
        </w:drawing>
      </w:r>
    </w:p>
    <w:p w14:paraId="24BC3EDC" w14:textId="77777777" w:rsidR="002D19F7" w:rsidRDefault="002D19F7">
      <w:pPr>
        <w:jc w:val="both"/>
        <w:rPr>
          <w:rFonts w:ascii="Times New Roman" w:hAnsi="Times New Roman" w:cs="Times New Roman"/>
          <w:sz w:val="24"/>
          <w:szCs w:val="24"/>
        </w:rPr>
      </w:pPr>
    </w:p>
    <w:p w14:paraId="64C455A9" w14:textId="231ACE1D" w:rsidR="002D19F7" w:rsidRDefault="00C267C0">
      <w:pPr>
        <w:tabs>
          <w:tab w:val="left" w:pos="1245"/>
        </w:tabs>
        <w:spacing w:after="0"/>
        <w:jc w:val="both"/>
        <w:rPr>
          <w:rFonts w:ascii="Times New Roman" w:eastAsia="Times New Roman" w:hAnsi="Times New Roman" w:cs="Times New Roman"/>
          <w:b/>
          <w:sz w:val="24"/>
          <w:szCs w:val="24"/>
        </w:rPr>
      </w:pPr>
      <w:r>
        <w:rPr>
          <w:rFonts w:ascii="Times New Roman" w:hAnsi="Times New Roman" w:cs="Times New Roman"/>
          <w:sz w:val="24"/>
          <w:szCs w:val="24"/>
        </w:rPr>
        <w:t xml:space="preserve">         Figure 1</w:t>
      </w:r>
      <w:proofErr w:type="gramStart"/>
      <w:r>
        <w:rPr>
          <w:rFonts w:ascii="Times New Roman" w:hAnsi="Times New Roman" w:cs="Times New Roman"/>
          <w:sz w:val="24"/>
          <w:szCs w:val="24"/>
        </w:rPr>
        <w:t>a :</w:t>
      </w:r>
      <w:proofErr w:type="gramEnd"/>
      <w:r>
        <w:rPr>
          <w:rFonts w:ascii="Times New Roman" w:hAnsi="Times New Roman" w:cs="Times New Roman"/>
          <w:sz w:val="24"/>
          <w:szCs w:val="24"/>
        </w:rPr>
        <w:t xml:space="preserve"> Mann Whitney U Test </w:t>
      </w:r>
      <w:r>
        <w:rPr>
          <w:rFonts w:ascii="Times New Roman" w:hAnsi="Times New Roman" w:cs="Times New Roman"/>
          <w:sz w:val="24"/>
          <w:szCs w:val="24"/>
        </w:rPr>
        <w:tab/>
      </w:r>
      <w:r>
        <w:rPr>
          <w:rFonts w:ascii="Times New Roman" w:hAnsi="Times New Roman" w:cs="Times New Roman"/>
          <w:sz w:val="24"/>
          <w:szCs w:val="24"/>
        </w:rPr>
        <w:tab/>
        <w:t xml:space="preserve"> Figure 1b: Bayesian Mann Whitney Test</w:t>
      </w:r>
    </w:p>
    <w:tbl>
      <w:tblPr>
        <w:tblW w:w="10062" w:type="dxa"/>
        <w:tblCellMar>
          <w:left w:w="0" w:type="dxa"/>
          <w:right w:w="0" w:type="dxa"/>
        </w:tblCellMar>
        <w:tblLook w:val="04A0" w:firstRow="1" w:lastRow="0" w:firstColumn="1" w:lastColumn="0" w:noHBand="0" w:noVBand="1"/>
      </w:tblPr>
      <w:tblGrid>
        <w:gridCol w:w="681"/>
        <w:gridCol w:w="186"/>
        <w:gridCol w:w="1031"/>
        <w:gridCol w:w="186"/>
        <w:gridCol w:w="256"/>
        <w:gridCol w:w="256"/>
        <w:gridCol w:w="631"/>
        <w:gridCol w:w="186"/>
        <w:gridCol w:w="642"/>
        <w:gridCol w:w="189"/>
        <w:gridCol w:w="976"/>
        <w:gridCol w:w="186"/>
        <w:gridCol w:w="976"/>
        <w:gridCol w:w="186"/>
        <w:gridCol w:w="976"/>
        <w:gridCol w:w="186"/>
        <w:gridCol w:w="958"/>
        <w:gridCol w:w="283"/>
        <w:gridCol w:w="958"/>
        <w:gridCol w:w="283"/>
      </w:tblGrid>
      <w:tr w:rsidR="002D19F7" w14:paraId="2291D70B" w14:textId="77777777">
        <w:trPr>
          <w:trHeight w:val="174"/>
          <w:tblHeader/>
        </w:trPr>
        <w:tc>
          <w:tcPr>
            <w:tcW w:w="0" w:type="auto"/>
            <w:gridSpan w:val="20"/>
            <w:tcBorders>
              <w:top w:val="nil"/>
              <w:left w:val="nil"/>
              <w:bottom w:val="single" w:sz="4" w:space="0" w:color="000000"/>
              <w:right w:val="nil"/>
            </w:tcBorders>
            <w:tcMar>
              <w:top w:w="90" w:type="dxa"/>
              <w:left w:w="0" w:type="dxa"/>
              <w:bottom w:w="90" w:type="dxa"/>
              <w:right w:w="150" w:type="dxa"/>
            </w:tcMar>
            <w:vAlign w:val="center"/>
          </w:tcPr>
          <w:p w14:paraId="5B172922" w14:textId="3CE98CB8" w:rsidR="002D19F7" w:rsidRDefault="00C267C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xml:space="preserve">Table </w:t>
            </w:r>
            <w:proofErr w:type="gramStart"/>
            <w:r>
              <w:rPr>
                <w:rFonts w:ascii="Times New Roman" w:eastAsia="Times New Roman" w:hAnsi="Times New Roman" w:cs="Times New Roman"/>
                <w:b/>
                <w:bCs/>
                <w:color w:val="000000"/>
                <w:sz w:val="24"/>
                <w:szCs w:val="24"/>
              </w:rPr>
              <w:t>2 :</w:t>
            </w:r>
            <w:proofErr w:type="gramEnd"/>
            <w:r>
              <w:rPr>
                <w:rFonts w:ascii="Times New Roman" w:eastAsia="Times New Roman" w:hAnsi="Times New Roman" w:cs="Times New Roman"/>
                <w:b/>
                <w:bCs/>
                <w:color w:val="000000"/>
                <w:sz w:val="24"/>
                <w:szCs w:val="24"/>
              </w:rPr>
              <w:t xml:space="preserve"> Results of the Mann Whitney U Test</w:t>
            </w:r>
            <w:r>
              <w:rPr>
                <w:rFonts w:ascii="Times New Roman" w:eastAsia="Times New Roman" w:hAnsi="Times New Roman" w:cs="Times New Roman"/>
                <w:color w:val="000000"/>
                <w:sz w:val="24"/>
                <w:szCs w:val="24"/>
              </w:rPr>
              <w:t xml:space="preserve"> </w:t>
            </w:r>
          </w:p>
        </w:tc>
      </w:tr>
      <w:tr w:rsidR="002D19F7" w14:paraId="105805F8" w14:textId="77777777">
        <w:trPr>
          <w:trHeight w:val="349"/>
          <w:tblHeader/>
        </w:trPr>
        <w:tc>
          <w:tcPr>
            <w:tcW w:w="0" w:type="auto"/>
            <w:gridSpan w:val="12"/>
            <w:tcBorders>
              <w:top w:val="nil"/>
              <w:left w:val="nil"/>
              <w:bottom w:val="nil"/>
              <w:right w:val="nil"/>
            </w:tcBorders>
            <w:tcMar>
              <w:top w:w="45" w:type="dxa"/>
              <w:left w:w="15" w:type="dxa"/>
              <w:bottom w:w="45" w:type="dxa"/>
              <w:right w:w="15" w:type="dxa"/>
            </w:tcMar>
            <w:vAlign w:val="center"/>
          </w:tcPr>
          <w:p w14:paraId="4FF384BB" w14:textId="77777777" w:rsidR="002D19F7" w:rsidRDefault="002D19F7">
            <w:pPr>
              <w:spacing w:after="0" w:line="360" w:lineRule="auto"/>
              <w:jc w:val="both"/>
              <w:rPr>
                <w:rFonts w:ascii="Arial" w:eastAsia="Times New Roman" w:hAnsi="Arial" w:cs="Arial"/>
                <w:color w:val="000000"/>
                <w:sz w:val="18"/>
                <w:szCs w:val="18"/>
              </w:rPr>
            </w:pPr>
          </w:p>
        </w:tc>
        <w:tc>
          <w:tcPr>
            <w:tcW w:w="0" w:type="auto"/>
            <w:gridSpan w:val="4"/>
            <w:tcBorders>
              <w:top w:val="nil"/>
              <w:left w:val="nil"/>
              <w:bottom w:val="single" w:sz="4" w:space="0" w:color="000000"/>
              <w:right w:val="nil"/>
            </w:tcBorders>
            <w:tcMar>
              <w:top w:w="45" w:type="dxa"/>
              <w:left w:w="15" w:type="dxa"/>
              <w:bottom w:w="45" w:type="dxa"/>
              <w:right w:w="15" w:type="dxa"/>
            </w:tcMar>
            <w:vAlign w:val="center"/>
          </w:tcPr>
          <w:p w14:paraId="4C37DB91"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95% CI for Hodges-Lehmann Estimate</w:t>
            </w:r>
          </w:p>
        </w:tc>
        <w:tc>
          <w:tcPr>
            <w:tcW w:w="0" w:type="auto"/>
            <w:gridSpan w:val="4"/>
            <w:tcBorders>
              <w:top w:val="nil"/>
              <w:left w:val="nil"/>
              <w:bottom w:val="nil"/>
              <w:right w:val="nil"/>
            </w:tcBorders>
            <w:tcMar>
              <w:top w:w="45" w:type="dxa"/>
              <w:left w:w="15" w:type="dxa"/>
              <w:bottom w:w="45" w:type="dxa"/>
              <w:right w:w="15" w:type="dxa"/>
            </w:tcMar>
            <w:vAlign w:val="center"/>
          </w:tcPr>
          <w:p w14:paraId="15EF1728" w14:textId="77777777" w:rsidR="002D19F7" w:rsidRDefault="002D19F7">
            <w:pPr>
              <w:spacing w:after="0" w:line="360" w:lineRule="auto"/>
              <w:jc w:val="both"/>
              <w:rPr>
                <w:rFonts w:ascii="Arial" w:eastAsia="Times New Roman" w:hAnsi="Arial" w:cs="Arial"/>
                <w:color w:val="000000"/>
                <w:sz w:val="18"/>
                <w:szCs w:val="18"/>
              </w:rPr>
            </w:pPr>
          </w:p>
        </w:tc>
      </w:tr>
      <w:tr w:rsidR="002D19F7" w14:paraId="3F249008" w14:textId="77777777">
        <w:trPr>
          <w:trHeight w:val="873"/>
          <w:tblHeader/>
        </w:trPr>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1BE9A38F" w14:textId="77777777" w:rsidR="002D19F7" w:rsidRDefault="002D19F7">
            <w:pPr>
              <w:spacing w:after="0" w:line="360" w:lineRule="auto"/>
              <w:jc w:val="both"/>
              <w:rPr>
                <w:rFonts w:ascii="Times New Roman" w:eastAsia="Times New Roman" w:hAnsi="Times New Roman" w:cs="Times New Roman"/>
                <w:sz w:val="20"/>
                <w:szCs w:val="20"/>
              </w:rPr>
            </w:pP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6D345BB8"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U</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0CAF9995"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df</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47A3A6CB"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p</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6C42A664"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VS-MPR*</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53F632B4"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Hodges-Lehmann Estimate</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2703FE48"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Lower</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5F3ED04B"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Upper</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07C9B9AC"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Rank-Biserial Correlation</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60E4A897"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SE Rank-Biserial Correlation</w:t>
            </w:r>
          </w:p>
        </w:tc>
      </w:tr>
      <w:tr w:rsidR="002D19F7" w14:paraId="15FE2EAD" w14:textId="77777777">
        <w:trPr>
          <w:trHeight w:val="643"/>
        </w:trPr>
        <w:tc>
          <w:tcPr>
            <w:tcW w:w="0" w:type="auto"/>
            <w:tcBorders>
              <w:top w:val="nil"/>
              <w:left w:val="nil"/>
              <w:bottom w:val="nil"/>
              <w:right w:val="nil"/>
            </w:tcBorders>
            <w:tcMar>
              <w:top w:w="162" w:type="dxa"/>
              <w:left w:w="180" w:type="dxa"/>
              <w:bottom w:w="15" w:type="dxa"/>
              <w:right w:w="0" w:type="dxa"/>
            </w:tcMar>
            <w:vAlign w:val="center"/>
          </w:tcPr>
          <w:p w14:paraId="78B66150"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Grade</w:t>
            </w:r>
          </w:p>
        </w:tc>
        <w:tc>
          <w:tcPr>
            <w:tcW w:w="0" w:type="auto"/>
            <w:tcBorders>
              <w:top w:val="nil"/>
              <w:left w:val="nil"/>
              <w:bottom w:val="nil"/>
              <w:right w:val="nil"/>
            </w:tcBorders>
            <w:tcMar>
              <w:top w:w="162" w:type="dxa"/>
              <w:left w:w="0" w:type="dxa"/>
              <w:bottom w:w="15" w:type="dxa"/>
              <w:right w:w="180" w:type="dxa"/>
            </w:tcMar>
            <w:vAlign w:val="center"/>
          </w:tcPr>
          <w:p w14:paraId="07C0352C" w14:textId="77777777" w:rsidR="002D19F7" w:rsidRDefault="002D19F7">
            <w:pPr>
              <w:spacing w:after="0" w:line="360" w:lineRule="auto"/>
              <w:jc w:val="both"/>
              <w:rPr>
                <w:rFonts w:ascii="Arial" w:eastAsia="Times New Roman" w:hAnsi="Arial" w:cs="Arial"/>
                <w:color w:val="000000"/>
                <w:sz w:val="18"/>
                <w:szCs w:val="18"/>
              </w:rPr>
            </w:pPr>
          </w:p>
        </w:tc>
        <w:tc>
          <w:tcPr>
            <w:tcW w:w="0" w:type="auto"/>
            <w:tcBorders>
              <w:top w:val="nil"/>
              <w:left w:val="nil"/>
              <w:bottom w:val="nil"/>
              <w:right w:val="nil"/>
            </w:tcBorders>
            <w:tcMar>
              <w:top w:w="162" w:type="dxa"/>
              <w:left w:w="180" w:type="dxa"/>
              <w:bottom w:w="15" w:type="dxa"/>
              <w:right w:w="0" w:type="dxa"/>
            </w:tcMar>
            <w:vAlign w:val="center"/>
          </w:tcPr>
          <w:p w14:paraId="73C49D3E"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21361.000</w:t>
            </w:r>
          </w:p>
        </w:tc>
        <w:tc>
          <w:tcPr>
            <w:tcW w:w="0" w:type="auto"/>
            <w:tcBorders>
              <w:top w:val="nil"/>
              <w:left w:val="nil"/>
              <w:bottom w:val="nil"/>
              <w:right w:val="nil"/>
            </w:tcBorders>
            <w:tcMar>
              <w:top w:w="162" w:type="dxa"/>
              <w:left w:w="0" w:type="dxa"/>
              <w:bottom w:w="15" w:type="dxa"/>
              <w:right w:w="180" w:type="dxa"/>
            </w:tcMar>
            <w:vAlign w:val="center"/>
          </w:tcPr>
          <w:p w14:paraId="58D13F92" w14:textId="77777777" w:rsidR="002D19F7" w:rsidRDefault="002D19F7">
            <w:pPr>
              <w:spacing w:after="0" w:line="360" w:lineRule="auto"/>
              <w:jc w:val="both"/>
              <w:rPr>
                <w:rFonts w:ascii="Arial" w:eastAsia="Times New Roman" w:hAnsi="Arial" w:cs="Arial"/>
                <w:color w:val="000000"/>
                <w:sz w:val="18"/>
                <w:szCs w:val="18"/>
              </w:rPr>
            </w:pPr>
          </w:p>
        </w:tc>
        <w:tc>
          <w:tcPr>
            <w:tcW w:w="0" w:type="auto"/>
            <w:tcBorders>
              <w:top w:val="nil"/>
              <w:left w:val="nil"/>
              <w:bottom w:val="nil"/>
              <w:right w:val="nil"/>
            </w:tcBorders>
            <w:tcMar>
              <w:top w:w="162" w:type="dxa"/>
              <w:left w:w="180" w:type="dxa"/>
              <w:bottom w:w="15" w:type="dxa"/>
              <w:right w:w="0" w:type="dxa"/>
            </w:tcMar>
            <w:vAlign w:val="center"/>
          </w:tcPr>
          <w:p w14:paraId="6E809B2E" w14:textId="77777777" w:rsidR="002D19F7" w:rsidRDefault="002D19F7">
            <w:pPr>
              <w:spacing w:after="0" w:line="360" w:lineRule="auto"/>
              <w:jc w:val="both"/>
              <w:rPr>
                <w:rFonts w:ascii="Times New Roman" w:eastAsia="Times New Roman" w:hAnsi="Times New Roman" w:cs="Times New Roman"/>
                <w:sz w:val="20"/>
                <w:szCs w:val="20"/>
              </w:rPr>
            </w:pPr>
          </w:p>
        </w:tc>
        <w:tc>
          <w:tcPr>
            <w:tcW w:w="0" w:type="auto"/>
            <w:tcBorders>
              <w:top w:val="nil"/>
              <w:left w:val="nil"/>
              <w:bottom w:val="nil"/>
              <w:right w:val="nil"/>
            </w:tcBorders>
            <w:tcMar>
              <w:top w:w="162" w:type="dxa"/>
              <w:left w:w="0" w:type="dxa"/>
              <w:bottom w:w="15" w:type="dxa"/>
              <w:right w:w="180" w:type="dxa"/>
            </w:tcMar>
            <w:vAlign w:val="center"/>
          </w:tcPr>
          <w:p w14:paraId="56CE1711" w14:textId="77777777" w:rsidR="002D19F7" w:rsidRDefault="002D19F7">
            <w:pPr>
              <w:spacing w:after="0" w:line="360" w:lineRule="auto"/>
              <w:jc w:val="both"/>
              <w:rPr>
                <w:rFonts w:ascii="Times New Roman" w:eastAsia="Times New Roman" w:hAnsi="Times New Roman" w:cs="Times New Roman"/>
                <w:sz w:val="20"/>
                <w:szCs w:val="20"/>
              </w:rPr>
            </w:pPr>
          </w:p>
        </w:tc>
        <w:tc>
          <w:tcPr>
            <w:tcW w:w="0" w:type="auto"/>
            <w:tcBorders>
              <w:top w:val="nil"/>
              <w:left w:val="nil"/>
              <w:bottom w:val="nil"/>
              <w:right w:val="nil"/>
            </w:tcBorders>
            <w:tcMar>
              <w:top w:w="162" w:type="dxa"/>
              <w:left w:w="180" w:type="dxa"/>
              <w:bottom w:w="15" w:type="dxa"/>
              <w:right w:w="0" w:type="dxa"/>
            </w:tcMar>
            <w:vAlign w:val="center"/>
          </w:tcPr>
          <w:p w14:paraId="3B57BB9F"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0.229</w:t>
            </w:r>
          </w:p>
        </w:tc>
        <w:tc>
          <w:tcPr>
            <w:tcW w:w="0" w:type="auto"/>
            <w:tcBorders>
              <w:top w:val="nil"/>
              <w:left w:val="nil"/>
              <w:bottom w:val="nil"/>
              <w:right w:val="nil"/>
            </w:tcBorders>
            <w:tcMar>
              <w:top w:w="162" w:type="dxa"/>
              <w:left w:w="0" w:type="dxa"/>
              <w:bottom w:w="15" w:type="dxa"/>
              <w:right w:w="180" w:type="dxa"/>
            </w:tcMar>
            <w:vAlign w:val="center"/>
          </w:tcPr>
          <w:p w14:paraId="2FC59170" w14:textId="77777777" w:rsidR="002D19F7" w:rsidRDefault="002D19F7">
            <w:pPr>
              <w:spacing w:after="0" w:line="360" w:lineRule="auto"/>
              <w:jc w:val="both"/>
              <w:rPr>
                <w:rFonts w:ascii="Arial" w:eastAsia="Times New Roman" w:hAnsi="Arial" w:cs="Arial"/>
                <w:color w:val="000000"/>
                <w:sz w:val="18"/>
                <w:szCs w:val="18"/>
              </w:rPr>
            </w:pPr>
          </w:p>
        </w:tc>
        <w:tc>
          <w:tcPr>
            <w:tcW w:w="0" w:type="auto"/>
            <w:tcBorders>
              <w:top w:val="nil"/>
              <w:left w:val="nil"/>
              <w:bottom w:val="nil"/>
              <w:right w:val="nil"/>
            </w:tcBorders>
            <w:tcMar>
              <w:top w:w="162" w:type="dxa"/>
              <w:left w:w="180" w:type="dxa"/>
              <w:bottom w:w="15" w:type="dxa"/>
              <w:right w:w="0" w:type="dxa"/>
            </w:tcMar>
            <w:vAlign w:val="center"/>
          </w:tcPr>
          <w:p w14:paraId="496944E3"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1.089</w:t>
            </w:r>
          </w:p>
        </w:tc>
        <w:tc>
          <w:tcPr>
            <w:tcW w:w="0" w:type="auto"/>
            <w:tcBorders>
              <w:top w:val="nil"/>
              <w:left w:val="nil"/>
              <w:bottom w:val="nil"/>
              <w:right w:val="nil"/>
            </w:tcBorders>
            <w:tcMar>
              <w:top w:w="162" w:type="dxa"/>
              <w:left w:w="0" w:type="dxa"/>
              <w:bottom w:w="15" w:type="dxa"/>
              <w:right w:w="180" w:type="dxa"/>
            </w:tcMar>
            <w:vAlign w:val="center"/>
          </w:tcPr>
          <w:p w14:paraId="66849214" w14:textId="77777777" w:rsidR="002D19F7" w:rsidRDefault="002D19F7">
            <w:pPr>
              <w:spacing w:after="0" w:line="360" w:lineRule="auto"/>
              <w:jc w:val="both"/>
              <w:rPr>
                <w:rFonts w:ascii="Arial" w:eastAsia="Times New Roman" w:hAnsi="Arial" w:cs="Arial"/>
                <w:color w:val="000000"/>
                <w:sz w:val="18"/>
                <w:szCs w:val="18"/>
              </w:rPr>
            </w:pPr>
          </w:p>
        </w:tc>
        <w:tc>
          <w:tcPr>
            <w:tcW w:w="0" w:type="auto"/>
            <w:tcBorders>
              <w:top w:val="nil"/>
              <w:left w:val="nil"/>
              <w:bottom w:val="nil"/>
              <w:right w:val="nil"/>
            </w:tcBorders>
            <w:tcMar>
              <w:top w:w="162" w:type="dxa"/>
              <w:left w:w="180" w:type="dxa"/>
              <w:bottom w:w="15" w:type="dxa"/>
              <w:right w:w="0" w:type="dxa"/>
            </w:tcMar>
            <w:vAlign w:val="center"/>
          </w:tcPr>
          <w:p w14:paraId="06E4EC66"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2.543×10</w:t>
            </w:r>
            <w:r>
              <w:rPr>
                <w:rFonts w:ascii="Arial" w:eastAsia="Times New Roman" w:hAnsi="Arial" w:cs="Arial"/>
                <w:color w:val="000000"/>
                <w:sz w:val="18"/>
                <w:szCs w:val="18"/>
                <w:vertAlign w:val="superscript"/>
              </w:rPr>
              <w:t>-5</w:t>
            </w:r>
            <w:r>
              <w:rPr>
                <w:rFonts w:ascii="Arial" w:eastAsia="Times New Roman" w:hAnsi="Arial" w:cs="Arial"/>
                <w:color w:val="000000"/>
                <w:sz w:val="18"/>
                <w:szCs w:val="18"/>
              </w:rPr>
              <w:t xml:space="preserve"> </w:t>
            </w:r>
          </w:p>
        </w:tc>
        <w:tc>
          <w:tcPr>
            <w:tcW w:w="0" w:type="auto"/>
            <w:tcBorders>
              <w:top w:val="nil"/>
              <w:left w:val="nil"/>
              <w:bottom w:val="nil"/>
              <w:right w:val="nil"/>
            </w:tcBorders>
            <w:tcMar>
              <w:top w:w="162" w:type="dxa"/>
              <w:left w:w="0" w:type="dxa"/>
              <w:bottom w:w="15" w:type="dxa"/>
              <w:right w:w="180" w:type="dxa"/>
            </w:tcMar>
            <w:vAlign w:val="center"/>
          </w:tcPr>
          <w:p w14:paraId="174DC472" w14:textId="77777777" w:rsidR="002D19F7" w:rsidRDefault="002D19F7">
            <w:pPr>
              <w:spacing w:after="0" w:line="360" w:lineRule="auto"/>
              <w:jc w:val="both"/>
              <w:rPr>
                <w:rFonts w:ascii="Arial" w:eastAsia="Times New Roman" w:hAnsi="Arial" w:cs="Arial"/>
                <w:color w:val="000000"/>
                <w:sz w:val="18"/>
                <w:szCs w:val="18"/>
              </w:rPr>
            </w:pPr>
          </w:p>
        </w:tc>
        <w:tc>
          <w:tcPr>
            <w:tcW w:w="0" w:type="auto"/>
            <w:tcBorders>
              <w:top w:val="nil"/>
              <w:left w:val="nil"/>
              <w:bottom w:val="nil"/>
              <w:right w:val="nil"/>
            </w:tcBorders>
            <w:tcMar>
              <w:top w:w="162" w:type="dxa"/>
              <w:left w:w="180" w:type="dxa"/>
              <w:bottom w:w="15" w:type="dxa"/>
              <w:right w:w="0" w:type="dxa"/>
            </w:tcMar>
            <w:vAlign w:val="center"/>
          </w:tcPr>
          <w:p w14:paraId="1D761685"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-2.024×10</w:t>
            </w:r>
            <w:r>
              <w:rPr>
                <w:rFonts w:ascii="Arial" w:eastAsia="Times New Roman" w:hAnsi="Arial" w:cs="Arial"/>
                <w:color w:val="000000"/>
                <w:sz w:val="18"/>
                <w:szCs w:val="18"/>
                <w:vertAlign w:val="superscript"/>
              </w:rPr>
              <w:t>-5</w:t>
            </w:r>
            <w:r>
              <w:rPr>
                <w:rFonts w:ascii="Arial" w:eastAsia="Times New Roman" w:hAnsi="Arial" w:cs="Arial"/>
                <w:color w:val="000000"/>
                <w:sz w:val="18"/>
                <w:szCs w:val="18"/>
              </w:rPr>
              <w:t xml:space="preserve"> </w:t>
            </w:r>
          </w:p>
        </w:tc>
        <w:tc>
          <w:tcPr>
            <w:tcW w:w="0" w:type="auto"/>
            <w:tcBorders>
              <w:top w:val="nil"/>
              <w:left w:val="nil"/>
              <w:bottom w:val="nil"/>
              <w:right w:val="nil"/>
            </w:tcBorders>
            <w:tcMar>
              <w:top w:w="162" w:type="dxa"/>
              <w:left w:w="0" w:type="dxa"/>
              <w:bottom w:w="15" w:type="dxa"/>
              <w:right w:w="180" w:type="dxa"/>
            </w:tcMar>
            <w:vAlign w:val="center"/>
          </w:tcPr>
          <w:p w14:paraId="564A9C45" w14:textId="77777777" w:rsidR="002D19F7" w:rsidRDefault="002D19F7">
            <w:pPr>
              <w:spacing w:after="0" w:line="360" w:lineRule="auto"/>
              <w:jc w:val="both"/>
              <w:rPr>
                <w:rFonts w:ascii="Arial" w:eastAsia="Times New Roman" w:hAnsi="Arial" w:cs="Arial"/>
                <w:color w:val="000000"/>
                <w:sz w:val="18"/>
                <w:szCs w:val="18"/>
              </w:rPr>
            </w:pPr>
          </w:p>
        </w:tc>
        <w:tc>
          <w:tcPr>
            <w:tcW w:w="0" w:type="auto"/>
            <w:tcBorders>
              <w:top w:val="nil"/>
              <w:left w:val="nil"/>
              <w:bottom w:val="nil"/>
              <w:right w:val="nil"/>
            </w:tcBorders>
            <w:tcMar>
              <w:top w:w="162" w:type="dxa"/>
              <w:left w:w="180" w:type="dxa"/>
              <w:bottom w:w="15" w:type="dxa"/>
              <w:right w:w="0" w:type="dxa"/>
            </w:tcMar>
            <w:vAlign w:val="center"/>
          </w:tcPr>
          <w:p w14:paraId="0759E680"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1.928×10</w:t>
            </w:r>
            <w:r>
              <w:rPr>
                <w:rFonts w:ascii="Arial" w:eastAsia="Times New Roman" w:hAnsi="Arial" w:cs="Arial"/>
                <w:color w:val="000000"/>
                <w:sz w:val="18"/>
                <w:szCs w:val="18"/>
                <w:vertAlign w:val="superscript"/>
              </w:rPr>
              <w:t>-5</w:t>
            </w:r>
            <w:r>
              <w:rPr>
                <w:rFonts w:ascii="Arial" w:eastAsia="Times New Roman" w:hAnsi="Arial" w:cs="Arial"/>
                <w:color w:val="000000"/>
                <w:sz w:val="18"/>
                <w:szCs w:val="18"/>
              </w:rPr>
              <w:t xml:space="preserve"> </w:t>
            </w:r>
          </w:p>
        </w:tc>
        <w:tc>
          <w:tcPr>
            <w:tcW w:w="0" w:type="auto"/>
            <w:tcBorders>
              <w:top w:val="nil"/>
              <w:left w:val="nil"/>
              <w:bottom w:val="nil"/>
              <w:right w:val="nil"/>
            </w:tcBorders>
            <w:tcMar>
              <w:top w:w="162" w:type="dxa"/>
              <w:left w:w="0" w:type="dxa"/>
              <w:bottom w:w="15" w:type="dxa"/>
              <w:right w:w="180" w:type="dxa"/>
            </w:tcMar>
            <w:vAlign w:val="center"/>
          </w:tcPr>
          <w:p w14:paraId="1EEC7167" w14:textId="77777777" w:rsidR="002D19F7" w:rsidRDefault="002D19F7">
            <w:pPr>
              <w:spacing w:after="0" w:line="360" w:lineRule="auto"/>
              <w:jc w:val="both"/>
              <w:rPr>
                <w:rFonts w:ascii="Arial" w:eastAsia="Times New Roman" w:hAnsi="Arial" w:cs="Arial"/>
                <w:color w:val="000000"/>
                <w:sz w:val="18"/>
                <w:szCs w:val="18"/>
              </w:rPr>
            </w:pPr>
          </w:p>
        </w:tc>
        <w:tc>
          <w:tcPr>
            <w:tcW w:w="0" w:type="auto"/>
            <w:tcBorders>
              <w:top w:val="nil"/>
              <w:left w:val="nil"/>
              <w:bottom w:val="nil"/>
              <w:right w:val="nil"/>
            </w:tcBorders>
            <w:tcMar>
              <w:top w:w="162" w:type="dxa"/>
              <w:left w:w="180" w:type="dxa"/>
              <w:bottom w:w="15" w:type="dxa"/>
              <w:right w:w="0" w:type="dxa"/>
            </w:tcMar>
            <w:vAlign w:val="center"/>
          </w:tcPr>
          <w:p w14:paraId="6FC73908"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0.068</w:t>
            </w:r>
          </w:p>
        </w:tc>
        <w:tc>
          <w:tcPr>
            <w:tcW w:w="0" w:type="auto"/>
            <w:tcBorders>
              <w:top w:val="nil"/>
              <w:left w:val="nil"/>
              <w:bottom w:val="nil"/>
              <w:right w:val="nil"/>
            </w:tcBorders>
            <w:tcMar>
              <w:top w:w="162" w:type="dxa"/>
              <w:left w:w="0" w:type="dxa"/>
              <w:bottom w:w="15" w:type="dxa"/>
              <w:right w:w="180" w:type="dxa"/>
            </w:tcMar>
            <w:vAlign w:val="center"/>
          </w:tcPr>
          <w:p w14:paraId="48E3E616" w14:textId="77777777" w:rsidR="002D19F7" w:rsidRDefault="002D19F7">
            <w:pPr>
              <w:spacing w:after="0" w:line="360" w:lineRule="auto"/>
              <w:jc w:val="both"/>
              <w:rPr>
                <w:rFonts w:ascii="Arial" w:eastAsia="Times New Roman" w:hAnsi="Arial" w:cs="Arial"/>
                <w:color w:val="000000"/>
                <w:sz w:val="18"/>
                <w:szCs w:val="18"/>
              </w:rPr>
            </w:pPr>
          </w:p>
        </w:tc>
        <w:tc>
          <w:tcPr>
            <w:tcW w:w="0" w:type="auto"/>
            <w:tcBorders>
              <w:top w:val="nil"/>
              <w:left w:val="nil"/>
              <w:bottom w:val="nil"/>
              <w:right w:val="nil"/>
            </w:tcBorders>
            <w:tcMar>
              <w:top w:w="162" w:type="dxa"/>
              <w:left w:w="180" w:type="dxa"/>
              <w:bottom w:w="15" w:type="dxa"/>
              <w:right w:w="0" w:type="dxa"/>
            </w:tcMar>
            <w:vAlign w:val="center"/>
          </w:tcPr>
          <w:p w14:paraId="69FEAF55"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0.058</w:t>
            </w:r>
          </w:p>
        </w:tc>
        <w:tc>
          <w:tcPr>
            <w:tcW w:w="0" w:type="auto"/>
            <w:tcBorders>
              <w:top w:val="nil"/>
              <w:left w:val="nil"/>
              <w:bottom w:val="nil"/>
              <w:right w:val="nil"/>
            </w:tcBorders>
            <w:tcMar>
              <w:top w:w="162" w:type="dxa"/>
              <w:left w:w="0" w:type="dxa"/>
              <w:bottom w:w="15" w:type="dxa"/>
              <w:right w:w="180" w:type="dxa"/>
            </w:tcMar>
            <w:vAlign w:val="center"/>
          </w:tcPr>
          <w:p w14:paraId="6A994BCF" w14:textId="77777777" w:rsidR="002D19F7" w:rsidRDefault="002D19F7">
            <w:pPr>
              <w:spacing w:after="0" w:line="360" w:lineRule="auto"/>
              <w:jc w:val="both"/>
              <w:rPr>
                <w:rFonts w:ascii="Arial" w:eastAsia="Times New Roman" w:hAnsi="Arial" w:cs="Arial"/>
                <w:color w:val="000000"/>
                <w:sz w:val="18"/>
                <w:szCs w:val="18"/>
              </w:rPr>
            </w:pPr>
          </w:p>
        </w:tc>
      </w:tr>
      <w:tr w:rsidR="002D19F7" w14:paraId="730D5873" w14:textId="77777777">
        <w:trPr>
          <w:trHeight w:val="119"/>
        </w:trPr>
        <w:tc>
          <w:tcPr>
            <w:tcW w:w="0" w:type="auto"/>
            <w:gridSpan w:val="20"/>
            <w:tcBorders>
              <w:top w:val="nil"/>
              <w:left w:val="nil"/>
              <w:bottom w:val="single" w:sz="12" w:space="0" w:color="000000"/>
              <w:right w:val="nil"/>
            </w:tcBorders>
            <w:tcMar>
              <w:top w:w="15" w:type="dxa"/>
              <w:left w:w="15" w:type="dxa"/>
              <w:bottom w:w="15" w:type="dxa"/>
              <w:right w:w="15" w:type="dxa"/>
            </w:tcMar>
            <w:vAlign w:val="center"/>
          </w:tcPr>
          <w:p w14:paraId="53515A98" w14:textId="77777777" w:rsidR="002D19F7" w:rsidRDefault="002D19F7">
            <w:pPr>
              <w:spacing w:after="0" w:line="360" w:lineRule="auto"/>
              <w:jc w:val="both"/>
              <w:rPr>
                <w:rFonts w:ascii="Times New Roman" w:eastAsia="Times New Roman" w:hAnsi="Times New Roman" w:cs="Times New Roman"/>
                <w:sz w:val="20"/>
                <w:szCs w:val="20"/>
              </w:rPr>
            </w:pPr>
          </w:p>
        </w:tc>
      </w:tr>
      <w:tr w:rsidR="002D19F7" w14:paraId="489B9EEE" w14:textId="77777777">
        <w:trPr>
          <w:trHeight w:val="174"/>
        </w:trPr>
        <w:tc>
          <w:tcPr>
            <w:tcW w:w="0" w:type="auto"/>
            <w:gridSpan w:val="20"/>
            <w:tcBorders>
              <w:top w:val="nil"/>
              <w:left w:val="nil"/>
              <w:bottom w:val="nil"/>
              <w:right w:val="nil"/>
            </w:tcBorders>
            <w:tcMar>
              <w:top w:w="15" w:type="dxa"/>
              <w:left w:w="15" w:type="dxa"/>
              <w:bottom w:w="15" w:type="dxa"/>
              <w:right w:w="15" w:type="dxa"/>
            </w:tcMar>
            <w:vAlign w:val="center"/>
          </w:tcPr>
          <w:p w14:paraId="62072ECF"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i/>
                <w:iCs/>
                <w:color w:val="000000"/>
                <w:sz w:val="18"/>
                <w:szCs w:val="18"/>
              </w:rPr>
              <w:t>Note.</w:t>
            </w:r>
            <w:r>
              <w:rPr>
                <w:rFonts w:ascii="Arial" w:eastAsia="Times New Roman" w:hAnsi="Arial" w:cs="Arial"/>
                <w:color w:val="000000"/>
                <w:sz w:val="18"/>
                <w:szCs w:val="18"/>
              </w:rPr>
              <w:t xml:space="preserve">   For the Mann-Whitney test, effect size is given by the rank biserial correlation.</w:t>
            </w:r>
          </w:p>
        </w:tc>
      </w:tr>
      <w:tr w:rsidR="002D19F7" w14:paraId="75C98D4A" w14:textId="77777777">
        <w:trPr>
          <w:trHeight w:val="185"/>
        </w:trPr>
        <w:tc>
          <w:tcPr>
            <w:tcW w:w="0" w:type="auto"/>
            <w:gridSpan w:val="20"/>
            <w:tcBorders>
              <w:top w:val="nil"/>
              <w:left w:val="nil"/>
              <w:bottom w:val="nil"/>
              <w:right w:val="nil"/>
            </w:tcBorders>
            <w:tcMar>
              <w:top w:w="15" w:type="dxa"/>
              <w:left w:w="15" w:type="dxa"/>
              <w:bottom w:w="15" w:type="dxa"/>
              <w:right w:w="15" w:type="dxa"/>
            </w:tcMar>
            <w:vAlign w:val="center"/>
          </w:tcPr>
          <w:p w14:paraId="152CE13D"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i/>
                <w:iCs/>
                <w:color w:val="000000"/>
                <w:sz w:val="18"/>
                <w:szCs w:val="18"/>
              </w:rPr>
              <w:t>Note.</w:t>
            </w:r>
            <w:r>
              <w:rPr>
                <w:rFonts w:ascii="Arial" w:eastAsia="Times New Roman" w:hAnsi="Arial" w:cs="Arial"/>
                <w:color w:val="000000"/>
                <w:sz w:val="18"/>
                <w:szCs w:val="18"/>
              </w:rPr>
              <w:t xml:space="preserve">  Mann-Whitney U test.</w:t>
            </w:r>
          </w:p>
        </w:tc>
      </w:tr>
      <w:tr w:rsidR="002D19F7" w14:paraId="025EC6EB" w14:textId="77777777">
        <w:trPr>
          <w:trHeight w:val="349"/>
        </w:trPr>
        <w:tc>
          <w:tcPr>
            <w:tcW w:w="0" w:type="auto"/>
            <w:gridSpan w:val="20"/>
            <w:tcBorders>
              <w:top w:val="nil"/>
              <w:left w:val="nil"/>
              <w:bottom w:val="nil"/>
              <w:right w:val="nil"/>
            </w:tcBorders>
            <w:tcMar>
              <w:top w:w="15" w:type="dxa"/>
              <w:left w:w="15" w:type="dxa"/>
              <w:bottom w:w="15" w:type="dxa"/>
              <w:right w:w="15" w:type="dxa"/>
            </w:tcMar>
            <w:vAlign w:val="center"/>
          </w:tcPr>
          <w:p w14:paraId="503E4F8F"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 Vovk-Sellke Maximum </w:t>
            </w:r>
            <w:r>
              <w:rPr>
                <w:rFonts w:ascii="Arial" w:eastAsia="Times New Roman" w:hAnsi="Arial" w:cs="Arial"/>
                <w:i/>
                <w:iCs/>
                <w:color w:val="000000"/>
                <w:sz w:val="18"/>
                <w:szCs w:val="18"/>
              </w:rPr>
              <w:t>p</w:t>
            </w:r>
            <w:r>
              <w:rPr>
                <w:rFonts w:ascii="Arial" w:eastAsia="Times New Roman" w:hAnsi="Arial" w:cs="Arial"/>
                <w:color w:val="000000"/>
                <w:sz w:val="18"/>
                <w:szCs w:val="18"/>
              </w:rPr>
              <w:t xml:space="preserve"> -Ratio: Based on a two-sided </w:t>
            </w:r>
            <w:r>
              <w:rPr>
                <w:rFonts w:ascii="Arial" w:eastAsia="Times New Roman" w:hAnsi="Arial" w:cs="Arial"/>
                <w:i/>
                <w:iCs/>
                <w:color w:val="000000"/>
                <w:sz w:val="18"/>
                <w:szCs w:val="18"/>
              </w:rPr>
              <w:t>p</w:t>
            </w:r>
            <w:r>
              <w:rPr>
                <w:rFonts w:ascii="Arial" w:eastAsia="Times New Roman" w:hAnsi="Arial" w:cs="Arial"/>
                <w:color w:val="000000"/>
                <w:sz w:val="18"/>
                <w:szCs w:val="18"/>
              </w:rPr>
              <w:t xml:space="preserve"> -value, the maximum possible odds in favor of H</w:t>
            </w:r>
            <w:r>
              <w:rPr>
                <w:rFonts w:ascii="Cambria Math" w:eastAsia="Times New Roman" w:hAnsi="Cambria Math" w:cs="Cambria Math"/>
                <w:color w:val="000000"/>
                <w:sz w:val="18"/>
                <w:szCs w:val="18"/>
              </w:rPr>
              <w:t>₁</w:t>
            </w:r>
            <w:r>
              <w:rPr>
                <w:rFonts w:ascii="Arial" w:eastAsia="Times New Roman" w:hAnsi="Arial" w:cs="Arial"/>
                <w:color w:val="000000"/>
                <w:sz w:val="18"/>
                <w:szCs w:val="18"/>
              </w:rPr>
              <w:t xml:space="preserve"> over H</w:t>
            </w:r>
            <w:r>
              <w:rPr>
                <w:rFonts w:ascii="Cambria Math" w:eastAsia="Times New Roman" w:hAnsi="Cambria Math" w:cs="Cambria Math"/>
                <w:color w:val="000000"/>
                <w:sz w:val="18"/>
                <w:szCs w:val="18"/>
              </w:rPr>
              <w:t>₀</w:t>
            </w:r>
            <w:r>
              <w:rPr>
                <w:rFonts w:ascii="Arial" w:eastAsia="Times New Roman" w:hAnsi="Arial" w:cs="Arial"/>
                <w:color w:val="000000"/>
                <w:sz w:val="18"/>
                <w:szCs w:val="18"/>
              </w:rPr>
              <w:t xml:space="preserve"> equals</w:t>
            </w:r>
          </w:p>
          <w:p w14:paraId="017F0E93"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 1</w:t>
            </w:r>
            <w:proofErr w:type="gramStart"/>
            <w:r>
              <w:rPr>
                <w:rFonts w:ascii="Arial" w:eastAsia="Times New Roman" w:hAnsi="Arial" w:cs="Arial"/>
                <w:color w:val="000000"/>
                <w:sz w:val="18"/>
                <w:szCs w:val="18"/>
              </w:rPr>
              <w:t>/(</w:t>
            </w:r>
            <w:proofErr w:type="gramEnd"/>
            <w:r>
              <w:rPr>
                <w:rFonts w:ascii="Arial" w:eastAsia="Times New Roman" w:hAnsi="Arial" w:cs="Arial"/>
                <w:color w:val="000000"/>
                <w:sz w:val="18"/>
                <w:szCs w:val="18"/>
              </w:rPr>
              <w:t xml:space="preserve">-e </w:t>
            </w:r>
            <w:r>
              <w:rPr>
                <w:rFonts w:ascii="Arial" w:eastAsia="Times New Roman" w:hAnsi="Arial" w:cs="Arial"/>
                <w:i/>
                <w:iCs/>
                <w:color w:val="000000"/>
                <w:sz w:val="18"/>
                <w:szCs w:val="18"/>
              </w:rPr>
              <w:t>p</w:t>
            </w:r>
            <w:r>
              <w:rPr>
                <w:rFonts w:ascii="Arial" w:eastAsia="Times New Roman" w:hAnsi="Arial" w:cs="Arial"/>
                <w:color w:val="000000"/>
                <w:sz w:val="18"/>
                <w:szCs w:val="18"/>
              </w:rPr>
              <w:t xml:space="preserve"> log(</w:t>
            </w:r>
            <w:r>
              <w:rPr>
                <w:rFonts w:ascii="Arial" w:eastAsia="Times New Roman" w:hAnsi="Arial" w:cs="Arial"/>
                <w:i/>
                <w:iCs/>
                <w:color w:val="000000"/>
                <w:sz w:val="18"/>
                <w:szCs w:val="18"/>
              </w:rPr>
              <w:t>p</w:t>
            </w:r>
            <w:r>
              <w:rPr>
                <w:rFonts w:ascii="Arial" w:eastAsia="Times New Roman" w:hAnsi="Arial" w:cs="Arial"/>
                <w:color w:val="000000"/>
                <w:sz w:val="18"/>
                <w:szCs w:val="18"/>
              </w:rPr>
              <w:t xml:space="preserve"> )) for </w:t>
            </w:r>
            <w:r>
              <w:rPr>
                <w:rFonts w:ascii="Arial" w:eastAsia="Times New Roman" w:hAnsi="Arial" w:cs="Arial"/>
                <w:i/>
                <w:iCs/>
                <w:color w:val="000000"/>
                <w:sz w:val="18"/>
                <w:szCs w:val="18"/>
              </w:rPr>
              <w:t>p</w:t>
            </w:r>
            <w:r>
              <w:rPr>
                <w:rFonts w:ascii="Arial" w:eastAsia="Times New Roman" w:hAnsi="Arial" w:cs="Arial"/>
                <w:color w:val="000000"/>
                <w:sz w:val="18"/>
                <w:szCs w:val="18"/>
              </w:rPr>
              <w:t xml:space="preserve"> ≤ .37 (Sellke, Bayarri, &amp; Berger, 2001).</w:t>
            </w:r>
          </w:p>
        </w:tc>
      </w:tr>
    </w:tbl>
    <w:p w14:paraId="0901CA9E"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U = 21361</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p = 0.229</w:t>
      </w:r>
      <w:r>
        <w:rPr>
          <w:rFonts w:ascii="Times New Roman" w:eastAsia="Times New Roman" w:hAnsi="Times New Roman" w:cs="Times New Roman"/>
          <w:sz w:val="24"/>
          <w:szCs w:val="24"/>
        </w:rPr>
        <w:t xml:space="preserve">, </w:t>
      </w:r>
    </w:p>
    <w:p w14:paraId="24C6B294" w14:textId="77777777" w:rsidR="002D19F7" w:rsidRDefault="00C267C0">
      <w:pPr>
        <w:tabs>
          <w:tab w:val="left" w:pos="7279"/>
        </w:tabs>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Rank-Biserial Correlation = 0.068</w:t>
      </w:r>
      <w:r>
        <w:rPr>
          <w:rFonts w:ascii="Times New Roman" w:eastAsia="Times New Roman" w:hAnsi="Times New Roman" w:cs="Times New Roman"/>
          <w:bCs/>
          <w:sz w:val="24"/>
          <w:szCs w:val="24"/>
        </w:rPr>
        <w:tab/>
      </w:r>
    </w:p>
    <w:p w14:paraId="75BD922E" w14:textId="77777777" w:rsidR="002D19F7" w:rsidRDefault="00C267C0">
      <w:pPr>
        <w:spacing w:before="100" w:beforeAutospacing="1" w:after="0" w:line="36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sz w:val="24"/>
          <w:szCs w:val="24"/>
        </w:rPr>
        <w:t>TFrom</w:t>
      </w:r>
      <w:proofErr w:type="spellEnd"/>
      <w:r>
        <w:rPr>
          <w:rFonts w:ascii="Times New Roman" w:eastAsia="Times New Roman" w:hAnsi="Times New Roman" w:cs="Times New Roman"/>
          <w:sz w:val="24"/>
          <w:szCs w:val="24"/>
        </w:rPr>
        <w:t xml:space="preserve"> the results of the Mann Whitney U </w:t>
      </w:r>
      <w:proofErr w:type="gramStart"/>
      <w:r>
        <w:rPr>
          <w:rFonts w:ascii="Times New Roman" w:eastAsia="Times New Roman" w:hAnsi="Times New Roman" w:cs="Times New Roman"/>
          <w:sz w:val="24"/>
          <w:szCs w:val="24"/>
        </w:rPr>
        <w:t>test,  the</w:t>
      </w:r>
      <w:proofErr w:type="gramEnd"/>
      <w:r>
        <w:rPr>
          <w:rFonts w:ascii="Times New Roman" w:eastAsia="Times New Roman" w:hAnsi="Times New Roman" w:cs="Times New Roman"/>
          <w:sz w:val="24"/>
          <w:szCs w:val="24"/>
        </w:rPr>
        <w:t xml:space="preserve"> p-value &gt; 0.05 indicates no statistically significant difference in grade distributions. The small effect size (r = 0.068) suggests a weak association between faculty and grade performance. </w:t>
      </w:r>
    </w:p>
    <w:tbl>
      <w:tblPr>
        <w:tblW w:w="0" w:type="auto"/>
        <w:tblCellMar>
          <w:left w:w="0" w:type="dxa"/>
          <w:right w:w="0" w:type="dxa"/>
        </w:tblCellMar>
        <w:tblLook w:val="04A0" w:firstRow="1" w:lastRow="0" w:firstColumn="1" w:lastColumn="0" w:noHBand="0" w:noVBand="1"/>
      </w:tblPr>
      <w:tblGrid>
        <w:gridCol w:w="1347"/>
        <w:gridCol w:w="349"/>
        <w:gridCol w:w="1267"/>
        <w:gridCol w:w="349"/>
        <w:gridCol w:w="2092"/>
        <w:gridCol w:w="349"/>
        <w:gridCol w:w="1267"/>
        <w:gridCol w:w="349"/>
      </w:tblGrid>
      <w:tr w:rsidR="002D19F7" w14:paraId="36EF5AB1" w14:textId="77777777">
        <w:trPr>
          <w:tblHeader/>
        </w:trPr>
        <w:tc>
          <w:tcPr>
            <w:tcW w:w="0" w:type="auto"/>
            <w:gridSpan w:val="8"/>
            <w:tcBorders>
              <w:top w:val="nil"/>
              <w:left w:val="nil"/>
              <w:bottom w:val="single" w:sz="4" w:space="0" w:color="000000"/>
              <w:right w:val="nil"/>
            </w:tcBorders>
            <w:tcMar>
              <w:top w:w="90" w:type="dxa"/>
              <w:left w:w="0" w:type="dxa"/>
              <w:bottom w:w="90" w:type="dxa"/>
              <w:right w:w="150" w:type="dxa"/>
            </w:tcMar>
            <w:vAlign w:val="center"/>
          </w:tcPr>
          <w:p w14:paraId="049DDB36" w14:textId="2B881F89"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Table 3: Results of the Bayesian Mann-Whitney U Test</w:t>
            </w:r>
            <w:r>
              <w:rPr>
                <w:rFonts w:ascii="Times New Roman" w:eastAsia="Times New Roman" w:hAnsi="Times New Roman" w:cs="Times New Roman"/>
                <w:color w:val="000000"/>
              </w:rPr>
              <w:t xml:space="preserve"> </w:t>
            </w:r>
          </w:p>
        </w:tc>
      </w:tr>
      <w:tr w:rsidR="002D19F7" w14:paraId="169E147A" w14:textId="77777777">
        <w:trPr>
          <w:tblHeader/>
        </w:trPr>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17771B5C"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4F6150D8"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BF₁₀</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63673FB0"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0B033F3F" w14:textId="77777777" w:rsidR="002D19F7" w:rsidRDefault="00C267C0">
            <w:pPr>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Rhat</w:t>
            </w:r>
            <w:proofErr w:type="spellEnd"/>
          </w:p>
        </w:tc>
      </w:tr>
      <w:tr w:rsidR="002D19F7" w14:paraId="483ADA57" w14:textId="77777777">
        <w:tc>
          <w:tcPr>
            <w:tcW w:w="0" w:type="auto"/>
            <w:tcBorders>
              <w:top w:val="nil"/>
              <w:left w:val="nil"/>
              <w:bottom w:val="nil"/>
              <w:right w:val="nil"/>
            </w:tcBorders>
            <w:tcMar>
              <w:top w:w="162" w:type="dxa"/>
              <w:left w:w="180" w:type="dxa"/>
              <w:bottom w:w="15" w:type="dxa"/>
              <w:right w:w="0" w:type="dxa"/>
            </w:tcMar>
            <w:vAlign w:val="center"/>
          </w:tcPr>
          <w:p w14:paraId="498455D3"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Grade</w:t>
            </w:r>
          </w:p>
        </w:tc>
        <w:tc>
          <w:tcPr>
            <w:tcW w:w="0" w:type="auto"/>
            <w:tcBorders>
              <w:top w:val="nil"/>
              <w:left w:val="nil"/>
              <w:bottom w:val="nil"/>
              <w:right w:val="nil"/>
            </w:tcBorders>
            <w:tcMar>
              <w:top w:w="162" w:type="dxa"/>
              <w:left w:w="0" w:type="dxa"/>
              <w:bottom w:w="15" w:type="dxa"/>
              <w:right w:w="180" w:type="dxa"/>
            </w:tcMar>
            <w:vAlign w:val="center"/>
          </w:tcPr>
          <w:p w14:paraId="74DD60C2"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6BD5DBE6"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0.284</w:t>
            </w:r>
          </w:p>
        </w:tc>
        <w:tc>
          <w:tcPr>
            <w:tcW w:w="0" w:type="auto"/>
            <w:tcBorders>
              <w:top w:val="nil"/>
              <w:left w:val="nil"/>
              <w:bottom w:val="nil"/>
              <w:right w:val="nil"/>
            </w:tcBorders>
            <w:tcMar>
              <w:top w:w="162" w:type="dxa"/>
              <w:left w:w="0" w:type="dxa"/>
              <w:bottom w:w="15" w:type="dxa"/>
              <w:right w:w="180" w:type="dxa"/>
            </w:tcMar>
            <w:vAlign w:val="center"/>
          </w:tcPr>
          <w:p w14:paraId="0661F647"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7731AEAC"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21361.000</w:t>
            </w:r>
          </w:p>
        </w:tc>
        <w:tc>
          <w:tcPr>
            <w:tcW w:w="0" w:type="auto"/>
            <w:tcBorders>
              <w:top w:val="nil"/>
              <w:left w:val="nil"/>
              <w:bottom w:val="nil"/>
              <w:right w:val="nil"/>
            </w:tcBorders>
            <w:tcMar>
              <w:top w:w="162" w:type="dxa"/>
              <w:left w:w="0" w:type="dxa"/>
              <w:bottom w:w="15" w:type="dxa"/>
              <w:right w:w="180" w:type="dxa"/>
            </w:tcMar>
            <w:vAlign w:val="center"/>
          </w:tcPr>
          <w:p w14:paraId="4806F51E"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4DF66AD2"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1.000</w:t>
            </w:r>
          </w:p>
        </w:tc>
        <w:tc>
          <w:tcPr>
            <w:tcW w:w="0" w:type="auto"/>
            <w:tcBorders>
              <w:top w:val="nil"/>
              <w:left w:val="nil"/>
              <w:bottom w:val="nil"/>
              <w:right w:val="nil"/>
            </w:tcBorders>
            <w:tcMar>
              <w:top w:w="162" w:type="dxa"/>
              <w:left w:w="0" w:type="dxa"/>
              <w:bottom w:w="15" w:type="dxa"/>
              <w:right w:w="180" w:type="dxa"/>
            </w:tcMar>
            <w:vAlign w:val="center"/>
          </w:tcPr>
          <w:p w14:paraId="016CDBDA" w14:textId="77777777" w:rsidR="002D19F7" w:rsidRDefault="002D19F7">
            <w:pPr>
              <w:spacing w:after="0" w:line="240" w:lineRule="auto"/>
              <w:jc w:val="both"/>
              <w:rPr>
                <w:rFonts w:ascii="Times New Roman" w:eastAsia="Times New Roman" w:hAnsi="Times New Roman" w:cs="Times New Roman"/>
                <w:color w:val="000000"/>
              </w:rPr>
            </w:pPr>
          </w:p>
        </w:tc>
      </w:tr>
      <w:tr w:rsidR="002D19F7" w14:paraId="19EE7899" w14:textId="77777777">
        <w:tc>
          <w:tcPr>
            <w:tcW w:w="0" w:type="auto"/>
            <w:gridSpan w:val="8"/>
            <w:tcBorders>
              <w:top w:val="nil"/>
              <w:left w:val="nil"/>
              <w:bottom w:val="single" w:sz="12" w:space="0" w:color="000000"/>
              <w:right w:val="nil"/>
            </w:tcBorders>
            <w:tcMar>
              <w:top w:w="15" w:type="dxa"/>
              <w:left w:w="15" w:type="dxa"/>
              <w:bottom w:w="15" w:type="dxa"/>
              <w:right w:w="15" w:type="dxa"/>
            </w:tcMar>
            <w:vAlign w:val="center"/>
          </w:tcPr>
          <w:p w14:paraId="14D71287" w14:textId="77777777" w:rsidR="002D19F7" w:rsidRDefault="002D19F7">
            <w:pPr>
              <w:spacing w:after="0" w:line="240" w:lineRule="auto"/>
              <w:jc w:val="both"/>
              <w:rPr>
                <w:rFonts w:ascii="Times New Roman" w:eastAsia="Times New Roman" w:hAnsi="Times New Roman" w:cs="Times New Roman"/>
              </w:rPr>
            </w:pPr>
          </w:p>
        </w:tc>
      </w:tr>
      <w:tr w:rsidR="002D19F7" w14:paraId="338CC831" w14:textId="77777777">
        <w:tc>
          <w:tcPr>
            <w:tcW w:w="0" w:type="auto"/>
            <w:gridSpan w:val="8"/>
            <w:tcBorders>
              <w:top w:val="nil"/>
              <w:left w:val="nil"/>
              <w:bottom w:val="nil"/>
              <w:right w:val="nil"/>
            </w:tcBorders>
            <w:tcMar>
              <w:top w:w="15" w:type="dxa"/>
              <w:left w:w="15" w:type="dxa"/>
              <w:bottom w:w="15" w:type="dxa"/>
              <w:right w:w="15" w:type="dxa"/>
            </w:tcMar>
            <w:vAlign w:val="center"/>
          </w:tcPr>
          <w:p w14:paraId="6C9537DB"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Note.</w:t>
            </w:r>
            <w:r>
              <w:rPr>
                <w:rFonts w:ascii="Times New Roman" w:eastAsia="Times New Roman" w:hAnsi="Times New Roman" w:cs="Times New Roman"/>
                <w:color w:val="000000"/>
              </w:rPr>
              <w:t xml:space="preserve">  Result based on data augmentation algorithm with 5 chains of 400 iterations.</w:t>
            </w:r>
          </w:p>
        </w:tc>
      </w:tr>
    </w:tbl>
    <w:p w14:paraId="3AE8CE8D" w14:textId="77777777" w:rsidR="002D19F7" w:rsidRDefault="002D19F7">
      <w:pPr>
        <w:spacing w:after="0" w:line="360" w:lineRule="auto"/>
        <w:jc w:val="both"/>
        <w:rPr>
          <w:rFonts w:ascii="Times New Roman" w:eastAsia="Times New Roman" w:hAnsi="Times New Roman" w:cs="Times New Roman"/>
          <w:sz w:val="24"/>
          <w:szCs w:val="24"/>
        </w:rPr>
      </w:pPr>
    </w:p>
    <w:p w14:paraId="1048CD65" w14:textId="77777777" w:rsidR="002D19F7" w:rsidRDefault="00C267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BF₁₀ = 0.284</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Posterior Median Difference = +0.137</w:t>
      </w:r>
    </w:p>
    <w:p w14:paraId="53FC4AD2" w14:textId="77777777" w:rsidR="002D19F7" w:rsidRDefault="00C267C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95% Credible Interval = [-0.049, 0.343]</w:t>
      </w:r>
    </w:p>
    <w:p w14:paraId="10CF3DCC" w14:textId="77777777" w:rsidR="002D19F7" w:rsidRDefault="00C267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Bayes Factor (BF₁₀ = 0.284) provides </w:t>
      </w:r>
      <w:r>
        <w:rPr>
          <w:rFonts w:ascii="Times New Roman" w:eastAsia="Times New Roman" w:hAnsi="Times New Roman" w:cs="Times New Roman"/>
          <w:bCs/>
          <w:sz w:val="24"/>
          <w:szCs w:val="24"/>
        </w:rPr>
        <w:t>moderate evidence in favor of the null hypothesis</w:t>
      </w:r>
      <w:r>
        <w:rPr>
          <w:rFonts w:ascii="Times New Roman" w:eastAsia="Times New Roman" w:hAnsi="Times New Roman" w:cs="Times New Roman"/>
          <w:sz w:val="24"/>
          <w:szCs w:val="24"/>
        </w:rPr>
        <w:t xml:space="preserve">, meaning the data are about 3.4 times more likely under the null than the alternative. However, the </w:t>
      </w:r>
      <w:r>
        <w:rPr>
          <w:rFonts w:ascii="Times New Roman" w:eastAsia="Times New Roman" w:hAnsi="Times New Roman" w:cs="Times New Roman"/>
          <w:bCs/>
          <w:sz w:val="24"/>
          <w:szCs w:val="24"/>
        </w:rPr>
        <w:t>posterior median difference</w:t>
      </w:r>
      <w:r>
        <w:rPr>
          <w:rFonts w:ascii="Times New Roman" w:eastAsia="Times New Roman" w:hAnsi="Times New Roman" w:cs="Times New Roman"/>
          <w:sz w:val="24"/>
          <w:szCs w:val="24"/>
        </w:rPr>
        <w:t xml:space="preserve"> suggests a small positive shift favoring Computing, though the credible interval includes zero, indicating uncertainty.</w:t>
      </w:r>
    </w:p>
    <w:p w14:paraId="798276F9" w14:textId="77777777" w:rsidR="002D19F7" w:rsidRDefault="00C267C0">
      <w:pPr>
        <w:spacing w:before="100" w:beforeAutospacing="1" w:after="0" w:line="360" w:lineRule="auto"/>
        <w:ind w:left="720"/>
        <w:jc w:val="both"/>
        <w:rPr>
          <w:rFonts w:ascii="Times New Roman" w:eastAsia="Times New Roman" w:hAnsi="Times New Roman" w:cs="Times New Roman"/>
          <w:sz w:val="24"/>
          <w:szCs w:val="24"/>
        </w:rPr>
      </w:pPr>
      <w:r>
        <w:rPr>
          <w:noProof/>
        </w:rPr>
        <w:drawing>
          <wp:inline distT="0" distB="0" distL="0" distR="0" wp14:anchorId="5C8C90C8" wp14:editId="179B26FE">
            <wp:extent cx="3723005" cy="3108960"/>
            <wp:effectExtent l="0" t="0" r="0" b="0"/>
            <wp:docPr id="2" name="Picture 2" descr="C:\Users\shola\AppData\Local\JASP\temp\clipboard\resources\4\_12_t-18441243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hola\AppData\Local\JASP\temp\clipboard\resources\4\_12_t-184412433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06451" cy="3178322"/>
                    </a:xfrm>
                    <a:prstGeom prst="rect">
                      <a:avLst/>
                    </a:prstGeom>
                    <a:noFill/>
                    <a:ln>
                      <a:noFill/>
                    </a:ln>
                  </pic:spPr>
                </pic:pic>
              </a:graphicData>
            </a:graphic>
          </wp:inline>
        </w:drawing>
      </w:r>
    </w:p>
    <w:p w14:paraId="1D1B33AF" w14:textId="0924A558"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 2 Raincloud Plots</w:t>
      </w:r>
      <w:r>
        <w:rPr>
          <w:rFonts w:ascii="Times New Roman" w:eastAsia="Times New Roman" w:hAnsi="Times New Roman" w:cs="Times New Roman"/>
          <w:sz w:val="24"/>
          <w:szCs w:val="24"/>
        </w:rPr>
        <w:t xml:space="preserve">: </w:t>
      </w:r>
    </w:p>
    <w:p w14:paraId="379A728D" w14:textId="237D17B0"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2 combines boxplots, density plots, and raw data points. It shows overlapping distributions with slightly higher density around grade 3–4 for Computing.</w:t>
      </w:r>
    </w:p>
    <w:p w14:paraId="3B296AFB" w14:textId="77777777" w:rsidR="002D19F7" w:rsidRDefault="00C267C0">
      <w:pPr>
        <w:spacing w:before="100" w:beforeAutospacing="1" w:after="0" w:line="360" w:lineRule="auto"/>
        <w:ind w:left="720"/>
        <w:jc w:val="both"/>
        <w:rPr>
          <w:rFonts w:ascii="Times New Roman" w:eastAsia="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633AC0D" wp14:editId="775C3707">
            <wp:extent cx="3027680" cy="2673350"/>
            <wp:effectExtent l="0" t="0" r="1270" b="0"/>
            <wp:docPr id="5" name="Picture 5" descr="C:\Users\shola\AppData\Local\JASP\temp\clipboard\resources\1\_7_t-1245163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shola\AppData\Local\JASP\temp\clipboard\resources\1\_7_t-124516320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23880" cy="2758090"/>
                    </a:xfrm>
                    <a:prstGeom prst="rect">
                      <a:avLst/>
                    </a:prstGeom>
                    <a:noFill/>
                    <a:ln>
                      <a:noFill/>
                    </a:ln>
                  </pic:spPr>
                </pic:pic>
              </a:graphicData>
            </a:graphic>
          </wp:inline>
        </w:drawing>
      </w:r>
    </w:p>
    <w:p w14:paraId="3EF9FE45" w14:textId="50668E82" w:rsidR="002D19F7" w:rsidRDefault="00C267C0">
      <w:pPr>
        <w:spacing w:before="100" w:beforeAutospacing="1" w:after="0" w:line="36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rPr>
        <w:t xml:space="preserve">Fig </w:t>
      </w:r>
      <w:r w:rsidR="00BE3D3A">
        <w:rPr>
          <w:rFonts w:ascii="Times New Roman" w:hAnsi="Times New Roman" w:cs="Times New Roman"/>
          <w:b/>
          <w:bCs/>
          <w:sz w:val="24"/>
          <w:szCs w:val="24"/>
        </w:rPr>
        <w:t>3</w:t>
      </w:r>
      <w:r>
        <w:rPr>
          <w:rFonts w:ascii="Times New Roman" w:hAnsi="Times New Roman" w:cs="Times New Roman"/>
          <w:b/>
          <w:bCs/>
          <w:sz w:val="24"/>
          <w:szCs w:val="24"/>
        </w:rPr>
        <w:t>: Bar Plot for Computing and Science</w:t>
      </w:r>
    </w:p>
    <w:p w14:paraId="179C63CD" w14:textId="77777777" w:rsidR="002D19F7" w:rsidRDefault="002D19F7">
      <w:pPr>
        <w:spacing w:after="0" w:line="360" w:lineRule="auto"/>
        <w:jc w:val="both"/>
        <w:rPr>
          <w:rFonts w:ascii="Times New Roman" w:eastAsia="Times New Roman" w:hAnsi="Times New Roman" w:cs="Times New Roman"/>
          <w:sz w:val="24"/>
          <w:szCs w:val="24"/>
        </w:rPr>
      </w:pPr>
    </w:p>
    <w:p w14:paraId="65AD74EE" w14:textId="0EB31B3A" w:rsidR="002D19F7" w:rsidRDefault="00C267C0">
      <w:p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Fig 3 revealed that Faculty of Computing shows more students with A and B grades, while Faculty of Science shows more C and D grades</w:t>
      </w:r>
    </w:p>
    <w:p w14:paraId="4A6BB6E9" w14:textId="77777777" w:rsidR="002D19F7" w:rsidRDefault="002D19F7">
      <w:pPr>
        <w:spacing w:after="0"/>
        <w:jc w:val="both"/>
        <w:rPr>
          <w:rFonts w:ascii="Times New Roman" w:hAnsi="Times New Roman" w:cs="Times New Roman"/>
          <w:sz w:val="24"/>
          <w:szCs w:val="24"/>
        </w:rPr>
      </w:pPr>
    </w:p>
    <w:p w14:paraId="2154EA6E" w14:textId="77777777" w:rsidR="002D19F7" w:rsidRDefault="00C267C0">
      <w:pPr>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B7EC40" wp14:editId="55EF0B85">
            <wp:extent cx="3878580" cy="3629025"/>
            <wp:effectExtent l="0" t="0" r="7620" b="9525"/>
            <wp:docPr id="4" name="Picture 4" descr="C:\Users\shola\AppData\Local\JASP\temp\clipboard\resources\4\_11_t-12448774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shola\AppData\Local\JASP\temp\clipboard\resources\4\_11_t-1244877496.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94336" cy="3643897"/>
                    </a:xfrm>
                    <a:prstGeom prst="rect">
                      <a:avLst/>
                    </a:prstGeom>
                    <a:noFill/>
                    <a:ln>
                      <a:noFill/>
                    </a:ln>
                  </pic:spPr>
                </pic:pic>
              </a:graphicData>
            </a:graphic>
          </wp:inline>
        </w:drawing>
      </w:r>
    </w:p>
    <w:p w14:paraId="51B23302" w14:textId="77777777" w:rsidR="002D19F7" w:rsidRDefault="002D19F7">
      <w:pPr>
        <w:spacing w:after="0"/>
        <w:jc w:val="both"/>
        <w:rPr>
          <w:rFonts w:ascii="Times New Roman" w:hAnsi="Times New Roman" w:cs="Times New Roman"/>
          <w:sz w:val="24"/>
          <w:szCs w:val="24"/>
        </w:rPr>
      </w:pPr>
    </w:p>
    <w:p w14:paraId="3C5BC4A5" w14:textId="0927CA85" w:rsidR="002D19F7" w:rsidRDefault="00C267C0">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Figure </w:t>
      </w:r>
      <w:r w:rsidR="00BE3D3A">
        <w:rPr>
          <w:rFonts w:ascii="Times New Roman" w:hAnsi="Times New Roman" w:cs="Times New Roman"/>
          <w:b/>
          <w:bCs/>
          <w:sz w:val="24"/>
          <w:szCs w:val="24"/>
        </w:rPr>
        <w:t>4</w:t>
      </w:r>
      <w:r>
        <w:rPr>
          <w:rFonts w:ascii="Times New Roman" w:hAnsi="Times New Roman" w:cs="Times New Roman"/>
          <w:b/>
          <w:bCs/>
          <w:sz w:val="24"/>
          <w:szCs w:val="24"/>
        </w:rPr>
        <w:t>: Prior and Posterior Distributions for the two Faculties</w:t>
      </w:r>
    </w:p>
    <w:p w14:paraId="2793BD84" w14:textId="77777777" w:rsidR="002D19F7" w:rsidRDefault="002D19F7">
      <w:pPr>
        <w:spacing w:after="0" w:line="360" w:lineRule="auto"/>
        <w:jc w:val="both"/>
        <w:rPr>
          <w:rFonts w:ascii="Times New Roman" w:eastAsia="Times New Roman" w:hAnsi="Times New Roman" w:cs="Times New Roman"/>
          <w:sz w:val="24"/>
          <w:szCs w:val="24"/>
        </w:rPr>
      </w:pPr>
    </w:p>
    <w:p w14:paraId="69DA470B" w14:textId="77777777" w:rsidR="002D19F7" w:rsidRDefault="00C267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Posterior distributions for Computing are slightly shifted right compared to Science.</w:t>
      </w:r>
    </w:p>
    <w:p w14:paraId="75E465E2"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Credible intervals suggest overlap but lean toward higher performance in Computing.</w:t>
      </w:r>
    </w:p>
    <w:p w14:paraId="562576BA" w14:textId="77777777" w:rsidR="002D19F7" w:rsidRDefault="00C267C0">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Prior and posterior: Displays the prior (dashed line) and posterior (solid line) distribution of </w:t>
      </w:r>
    </w:p>
    <w:p w14:paraId="76489F80" w14:textId="77777777" w:rsidR="002D19F7" w:rsidRDefault="00C267C0">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effect size under the alternative hypothesis; the gray circles represent the height of the </w:t>
      </w:r>
    </w:p>
    <w:p w14:paraId="5B1BDAD9" w14:textId="77777777" w:rsidR="002D19F7" w:rsidRDefault="00C267C0">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prior</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and the posterior density at effect size delta = 0. The horizontal solid line represents </w:t>
      </w:r>
    </w:p>
    <w:p w14:paraId="56A79FA8"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 width of the 95% credible interval of the posterior distribution.</w:t>
      </w:r>
    </w:p>
    <w:p w14:paraId="77A4CE4A" w14:textId="77777777" w:rsidR="002D19F7" w:rsidRDefault="002D19F7">
      <w:pPr>
        <w:spacing w:before="100" w:beforeAutospacing="1" w:after="0" w:line="360" w:lineRule="auto"/>
        <w:jc w:val="both"/>
        <w:rPr>
          <w:rFonts w:ascii="Times New Roman" w:eastAsia="Times New Roman" w:hAnsi="Times New Roman" w:cs="Times New Roman"/>
          <w:b/>
          <w:sz w:val="24"/>
          <w:szCs w:val="24"/>
        </w:rPr>
      </w:pPr>
    </w:p>
    <w:p w14:paraId="088ADA0F" w14:textId="77777777" w:rsidR="002D19F7" w:rsidRDefault="00C267C0">
      <w:pPr>
        <w:spacing w:before="100" w:beforeAutospacing="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Discussion of Results</w:t>
      </w:r>
    </w:p>
    <w:p w14:paraId="51DC1796"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w:t>
      </w:r>
      <w:r>
        <w:rPr>
          <w:rFonts w:ascii="Times New Roman" w:eastAsia="Times New Roman" w:hAnsi="Times New Roman" w:cs="Times New Roman"/>
          <w:bCs/>
          <w:sz w:val="24"/>
          <w:szCs w:val="24"/>
        </w:rPr>
        <w:t>Mann-Whitney U test</w:t>
      </w:r>
      <w:r>
        <w:rPr>
          <w:rFonts w:ascii="Times New Roman" w:eastAsia="Times New Roman" w:hAnsi="Times New Roman" w:cs="Times New Roman"/>
          <w:sz w:val="24"/>
          <w:szCs w:val="24"/>
        </w:rPr>
        <w:t xml:space="preserve"> failed to reject the null hypothesis, the </w:t>
      </w:r>
      <w:r>
        <w:rPr>
          <w:rFonts w:ascii="Times New Roman" w:eastAsia="Times New Roman" w:hAnsi="Times New Roman" w:cs="Times New Roman"/>
          <w:bCs/>
          <w:sz w:val="24"/>
          <w:szCs w:val="24"/>
        </w:rPr>
        <w:t>Bayesian analysis</w:t>
      </w:r>
      <w:r>
        <w:rPr>
          <w:rFonts w:ascii="Times New Roman" w:eastAsia="Times New Roman" w:hAnsi="Times New Roman" w:cs="Times New Roman"/>
          <w:sz w:val="24"/>
          <w:szCs w:val="24"/>
        </w:rPr>
        <w:t xml:space="preserve"> provided a more detailed result. The </w:t>
      </w:r>
      <w:r>
        <w:rPr>
          <w:rFonts w:ascii="Times New Roman" w:eastAsia="Times New Roman" w:hAnsi="Times New Roman" w:cs="Times New Roman"/>
          <w:bCs/>
          <w:sz w:val="24"/>
          <w:szCs w:val="24"/>
        </w:rPr>
        <w:t>Bayes Factor</w:t>
      </w:r>
      <w:r>
        <w:rPr>
          <w:rFonts w:ascii="Times New Roman" w:eastAsia="Times New Roman" w:hAnsi="Times New Roman" w:cs="Times New Roman"/>
          <w:sz w:val="24"/>
          <w:szCs w:val="24"/>
        </w:rPr>
        <w:t xml:space="preserve"> suggests moderate support for the null, but the </w:t>
      </w:r>
      <w:r>
        <w:rPr>
          <w:rFonts w:ascii="Times New Roman" w:eastAsia="Times New Roman" w:hAnsi="Times New Roman" w:cs="Times New Roman"/>
          <w:bCs/>
          <w:sz w:val="24"/>
          <w:szCs w:val="24"/>
        </w:rPr>
        <w:t>posterior distribution</w:t>
      </w:r>
      <w:r>
        <w:rPr>
          <w:rFonts w:ascii="Times New Roman" w:eastAsia="Times New Roman" w:hAnsi="Times New Roman" w:cs="Times New Roman"/>
          <w:sz w:val="24"/>
          <w:szCs w:val="24"/>
        </w:rPr>
        <w:t xml:space="preserve"> hints at a small performance advantage for computing students. This discrepancy highlights the </w:t>
      </w:r>
      <w:r>
        <w:rPr>
          <w:rFonts w:ascii="Times New Roman" w:eastAsia="Times New Roman" w:hAnsi="Times New Roman" w:cs="Times New Roman"/>
          <w:bCs/>
          <w:sz w:val="24"/>
          <w:szCs w:val="24"/>
        </w:rPr>
        <w:t>limitations of p-values</w:t>
      </w:r>
      <w:r>
        <w:rPr>
          <w:rFonts w:ascii="Times New Roman" w:eastAsia="Times New Roman" w:hAnsi="Times New Roman" w:cs="Times New Roman"/>
          <w:sz w:val="24"/>
          <w:szCs w:val="24"/>
        </w:rPr>
        <w:t xml:space="preserve"> and the </w:t>
      </w:r>
      <w:r>
        <w:rPr>
          <w:rFonts w:ascii="Times New Roman" w:eastAsia="Times New Roman" w:hAnsi="Times New Roman" w:cs="Times New Roman"/>
          <w:bCs/>
          <w:sz w:val="24"/>
          <w:szCs w:val="24"/>
        </w:rPr>
        <w:t>strength of Bayesian inference</w:t>
      </w:r>
      <w:r>
        <w:rPr>
          <w:rFonts w:ascii="Times New Roman" w:eastAsia="Times New Roman" w:hAnsi="Times New Roman" w:cs="Times New Roman"/>
          <w:sz w:val="24"/>
          <w:szCs w:val="24"/>
        </w:rPr>
        <w:t xml:space="preserve"> in educational research. These results agree with the results obtained in </w:t>
      </w:r>
      <w:proofErr w:type="spellStart"/>
      <w:r>
        <w:rPr>
          <w:rFonts w:ascii="Times New Roman" w:eastAsia="Times New Roman" w:hAnsi="Times New Roman" w:cs="Times New Roman"/>
          <w:sz w:val="24"/>
          <w:szCs w:val="24"/>
        </w:rPr>
        <w:t>Yurtcu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Kelecioglu</w:t>
      </w:r>
      <w:proofErr w:type="spellEnd"/>
      <w:r>
        <w:rPr>
          <w:rFonts w:ascii="Times New Roman" w:eastAsia="Times New Roman" w:hAnsi="Times New Roman" w:cs="Times New Roman"/>
          <w:sz w:val="24"/>
          <w:szCs w:val="24"/>
        </w:rPr>
        <w:t xml:space="preserve"> and Boone (2021). Studies such as Dienes (2014) also argue that Bayesian methods are superior in cases where p-values are non-significant but the effect size is non-trivial. Bayesian analysis allows researchers to </w:t>
      </w:r>
      <w:r>
        <w:rPr>
          <w:rFonts w:ascii="Times New Roman" w:eastAsia="Times New Roman" w:hAnsi="Times New Roman" w:cs="Times New Roman"/>
          <w:bCs/>
          <w:sz w:val="24"/>
          <w:szCs w:val="24"/>
        </w:rPr>
        <w:t>quantify uncertainty</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avoid binary conclusions</w:t>
      </w:r>
      <w:r>
        <w:rPr>
          <w:rFonts w:ascii="Times New Roman" w:eastAsia="Times New Roman" w:hAnsi="Times New Roman" w:cs="Times New Roman"/>
          <w:sz w:val="24"/>
          <w:szCs w:val="24"/>
        </w:rPr>
        <w:t>, making it a valuable complement to classical tests.</w:t>
      </w:r>
    </w:p>
    <w:p w14:paraId="0381C0CB"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posterior median difference of +0.137 and the credible interval [-0.049, 0.343</w:t>
      </w:r>
      <w:proofErr w:type="gramStart"/>
      <w:r>
        <w:rPr>
          <w:rFonts w:ascii="Times New Roman" w:eastAsia="Times New Roman" w:hAnsi="Times New Roman" w:cs="Times New Roman"/>
          <w:sz w:val="24"/>
          <w:szCs w:val="24"/>
        </w:rPr>
        <w:t>]  from</w:t>
      </w:r>
      <w:proofErr w:type="gramEnd"/>
      <w:r>
        <w:rPr>
          <w:rFonts w:ascii="Times New Roman" w:eastAsia="Times New Roman" w:hAnsi="Times New Roman" w:cs="Times New Roman"/>
          <w:sz w:val="24"/>
          <w:szCs w:val="24"/>
        </w:rPr>
        <w:t xml:space="preserve"> the BNP suggest a small advantage for Computing students, albeit with uncertainty. This divergence between classical and Bayesian results reflects broader debates in statistical methodology. Classical tests rely heavily on p-values, which can obscure meaningful trends when sample sizes are moderate and effect sizes are small. In contrast, Bayesian inference allows for probabilistic reasoning and the incorporation of prior knowledge, making it particularly useful in educational contexts where data often violate parametric assumptions.</w:t>
      </w:r>
    </w:p>
    <w:p w14:paraId="23CDE36B"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raincloud and bar plots visually reinforce the numerical findings, showing slightly </w:t>
      </w:r>
      <w:proofErr w:type="gramStart"/>
      <w:r>
        <w:rPr>
          <w:rFonts w:ascii="Times New Roman" w:eastAsia="Times New Roman" w:hAnsi="Times New Roman" w:cs="Times New Roman"/>
          <w:sz w:val="24"/>
          <w:szCs w:val="24"/>
        </w:rPr>
        <w:t>higher grade</w:t>
      </w:r>
      <w:proofErr w:type="gramEnd"/>
      <w:r>
        <w:rPr>
          <w:rFonts w:ascii="Times New Roman" w:eastAsia="Times New Roman" w:hAnsi="Times New Roman" w:cs="Times New Roman"/>
          <w:sz w:val="24"/>
          <w:szCs w:val="24"/>
        </w:rPr>
        <w:t xml:space="preserve"> densities and frequencies of A/B grades in Computing. These patterns may be influenced by factors such as student motivation, faculty culture, or pedagogical alignment with computing curriculum.</w:t>
      </w:r>
    </w:p>
    <w:p w14:paraId="2C9A5823" w14:textId="77777777" w:rsidR="002D19F7" w:rsidRDefault="00C267C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4.3  Conclusion</w:t>
      </w:r>
      <w:proofErr w:type="gramEnd"/>
    </w:p>
    <w:p w14:paraId="38340F81"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demonstrates that while traditional non-parametric tests may fail to detect significant differences in grade distributions, Bayesian methods can uncover subtle trends and quantify uncertainty. The moderate evidence supporting the null hypothesis suggests that performance in MTH 111 Elementary Mathematics 1 (Algebra and Trigonometry) is broadly comparable across faculties, though computing students may exhibit slightly stronger outcomes. These insights advocate for a dual-method approach in educational assessment, combining robustness with interpretive depth.</w:t>
      </w:r>
    </w:p>
    <w:p w14:paraId="3AFE1B89" w14:textId="77777777" w:rsidR="002D19F7" w:rsidRDefault="002D19F7">
      <w:pPr>
        <w:spacing w:after="0" w:line="360" w:lineRule="auto"/>
        <w:rPr>
          <w:rFonts w:ascii="Times New Roman" w:eastAsia="Times New Roman" w:hAnsi="Times New Roman" w:cs="Times New Roman"/>
          <w:b/>
          <w:bCs/>
          <w:sz w:val="24"/>
          <w:szCs w:val="24"/>
        </w:rPr>
      </w:pPr>
      <w:bookmarkStart w:id="0" w:name="_GoBack"/>
      <w:bookmarkEnd w:id="0"/>
    </w:p>
    <w:p w14:paraId="41732D9D" w14:textId="77777777" w:rsidR="002D19F7" w:rsidRDefault="00C267C0">
      <w:pPr>
        <w:numPr>
          <w:ilvl w:val="0"/>
          <w:numId w:val="3"/>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References</w:t>
      </w:r>
    </w:p>
    <w:p w14:paraId="7AA9A783" w14:textId="77777777" w:rsidR="002D19F7" w:rsidRDefault="00C267C0">
      <w:pPr>
        <w:pStyle w:val="NormalWeb"/>
        <w:numPr>
          <w:ilvl w:val="0"/>
          <w:numId w:val="4"/>
        </w:numPr>
        <w:spacing w:before="0" w:beforeAutospacing="0" w:line="360" w:lineRule="auto"/>
      </w:pPr>
      <w:r>
        <w:t xml:space="preserve">Almond, R. G., </w:t>
      </w:r>
      <w:proofErr w:type="spellStart"/>
      <w:r>
        <w:t>Mislevy</w:t>
      </w:r>
      <w:proofErr w:type="spellEnd"/>
      <w:r>
        <w:t xml:space="preserve">, R. J., Steinberg, L. S., &amp; Yan, D. (2015). </w:t>
      </w:r>
      <w:r>
        <w:rPr>
          <w:rStyle w:val="Emphasis"/>
        </w:rPr>
        <w:t>Bayesian networks in educational assessment</w:t>
      </w:r>
      <w:r>
        <w:t>. Springer.</w:t>
      </w:r>
    </w:p>
    <w:p w14:paraId="598C57BB" w14:textId="77777777" w:rsidR="002D19F7" w:rsidRDefault="00C267C0">
      <w:pPr>
        <w:pStyle w:val="NormalWeb"/>
        <w:numPr>
          <w:ilvl w:val="0"/>
          <w:numId w:val="4"/>
        </w:numPr>
        <w:spacing w:line="360" w:lineRule="auto"/>
      </w:pPr>
      <w:r>
        <w:t xml:space="preserve">McKnight, P. E., &amp; </w:t>
      </w:r>
      <w:proofErr w:type="spellStart"/>
      <w:r>
        <w:t>Najab</w:t>
      </w:r>
      <w:proofErr w:type="spellEnd"/>
      <w:r>
        <w:t xml:space="preserve">, J. (2010). Mann-Whitney U Test. In </w:t>
      </w:r>
      <w:r>
        <w:rPr>
          <w:rStyle w:val="Emphasis"/>
        </w:rPr>
        <w:t>The Corsini Encyclopedia of Psychology</w:t>
      </w:r>
      <w:r>
        <w:t xml:space="preserve"> (4th ed.). Wiley. </w:t>
      </w:r>
      <w:hyperlink r:id="rId16" w:history="1">
        <w:r>
          <w:rPr>
            <w:rStyle w:val="Hyperlink"/>
          </w:rPr>
          <w:t>https://doi.org/10.1002/9780470479216.corpsy0524</w:t>
        </w:r>
      </w:hyperlink>
    </w:p>
    <w:p w14:paraId="780E869C" w14:textId="77777777" w:rsidR="002D19F7" w:rsidRDefault="00C267C0">
      <w:pPr>
        <w:pStyle w:val="NormalWeb"/>
        <w:numPr>
          <w:ilvl w:val="0"/>
          <w:numId w:val="4"/>
        </w:numPr>
        <w:spacing w:line="360" w:lineRule="auto"/>
      </w:pPr>
      <w:proofErr w:type="spellStart"/>
      <w:r>
        <w:t>Rouder</w:t>
      </w:r>
      <w:proofErr w:type="spellEnd"/>
      <w:r>
        <w:t xml:space="preserve">, J. N., Speckman, P. L., Sun, D., Morey, R. D., &amp; Iverson, G. (2009). Bayesian t tests for accepting and rejecting the null hypothesis. </w:t>
      </w:r>
      <w:r>
        <w:rPr>
          <w:rStyle w:val="Emphasis"/>
        </w:rPr>
        <w:t>Psychonomic Bulletin &amp; Review</w:t>
      </w:r>
      <w:r>
        <w:t xml:space="preserve">, 16(2), 225–237. </w:t>
      </w:r>
      <w:hyperlink r:id="rId17" w:history="1">
        <w:r>
          <w:rPr>
            <w:rStyle w:val="Hyperlink"/>
          </w:rPr>
          <w:t>https://doi.org/10.3758/PBR.16.2.225</w:t>
        </w:r>
      </w:hyperlink>
    </w:p>
    <w:p w14:paraId="604EFB2B" w14:textId="77777777" w:rsidR="002D19F7" w:rsidRDefault="00C267C0">
      <w:pPr>
        <w:pStyle w:val="NormalWeb"/>
        <w:numPr>
          <w:ilvl w:val="0"/>
          <w:numId w:val="4"/>
        </w:numPr>
        <w:spacing w:line="360" w:lineRule="auto"/>
      </w:pPr>
      <w:r>
        <w:rPr>
          <w:rStyle w:val="Hyperlink"/>
          <w:color w:val="auto"/>
        </w:rPr>
        <w:t>Sellke T., Bayarri, M. &amp; Berger J. ((2001). Calibration of p-values for testing precise Null Hypothesis, The American Statistician, 55, 62-71.</w:t>
      </w:r>
    </w:p>
    <w:p w14:paraId="51067B0F" w14:textId="77777777" w:rsidR="002D19F7" w:rsidRDefault="00C267C0">
      <w:pPr>
        <w:pStyle w:val="NormalWeb"/>
        <w:numPr>
          <w:ilvl w:val="0"/>
          <w:numId w:val="4"/>
        </w:numPr>
        <w:spacing w:line="360" w:lineRule="auto"/>
      </w:pPr>
      <w:r>
        <w:t xml:space="preserve">Sen, S., Roy, S., &amp; Das, S. (2023). A review on parametric and non-parametric test in education. </w:t>
      </w:r>
      <w:r>
        <w:rPr>
          <w:rStyle w:val="Emphasis"/>
        </w:rPr>
        <w:t>International Journal of Research and Analytical Reviews</w:t>
      </w:r>
      <w:r>
        <w:t>, 10(1), 45–52.</w:t>
      </w:r>
    </w:p>
    <w:p w14:paraId="00ABD182" w14:textId="77777777" w:rsidR="002D19F7" w:rsidRDefault="00C267C0">
      <w:pPr>
        <w:numPr>
          <w:ilvl w:val="0"/>
          <w:numId w:val="4"/>
        </w:numPr>
        <w:spacing w:before="100" w:beforeAutospacing="1" w:after="0" w:line="360" w:lineRule="auto"/>
      </w:pPr>
      <w:r>
        <w:rPr>
          <w:rFonts w:ascii="Times New Roman" w:eastAsia="Times New Roman" w:hAnsi="Times New Roman" w:cs="Times New Roman"/>
          <w:sz w:val="24"/>
          <w:szCs w:val="24"/>
        </w:rPr>
        <w:t xml:space="preserve">Wasserstein, R. L., Schirm, A. L., &amp; Lazar, N. A. (2019). Moving to a world beyond “p &lt; 0.05”. </w:t>
      </w:r>
      <w:r>
        <w:rPr>
          <w:rFonts w:ascii="Times New Roman" w:eastAsia="Times New Roman" w:hAnsi="Times New Roman" w:cs="Times New Roman"/>
          <w:i/>
          <w:iCs/>
          <w:sz w:val="24"/>
          <w:szCs w:val="24"/>
        </w:rPr>
        <w:t>The American Statistician</w:t>
      </w:r>
      <w:r>
        <w:rPr>
          <w:rFonts w:ascii="Times New Roman" w:eastAsia="Times New Roman" w:hAnsi="Times New Roman" w:cs="Times New Roman"/>
          <w:sz w:val="24"/>
          <w:szCs w:val="24"/>
        </w:rPr>
        <w:t xml:space="preserve">, 73(sup1), 1–19. </w:t>
      </w:r>
      <w:hyperlink r:id="rId18" w:history="1">
        <w:r>
          <w:rPr>
            <w:rFonts w:ascii="Times New Roman" w:eastAsia="Times New Roman" w:hAnsi="Times New Roman" w:cs="Times New Roman"/>
            <w:color w:val="0000FF"/>
            <w:sz w:val="24"/>
            <w:szCs w:val="24"/>
            <w:u w:val="single"/>
          </w:rPr>
          <w:t>https://doi.org/10.1080/00031305.2019.1583913</w:t>
        </w:r>
      </w:hyperlink>
    </w:p>
    <w:p w14:paraId="5A9120A5" w14:textId="77777777" w:rsidR="002D19F7" w:rsidRDefault="00C267C0">
      <w:pPr>
        <w:numPr>
          <w:ilvl w:val="0"/>
          <w:numId w:val="4"/>
        </w:numPr>
        <w:spacing w:before="100" w:beforeAutospacing="1" w:after="0" w:line="360" w:lineRule="auto"/>
      </w:pPr>
      <w:proofErr w:type="spellStart"/>
      <w:r>
        <w:t>Yurtcu</w:t>
      </w:r>
      <w:proofErr w:type="spellEnd"/>
      <w:r>
        <w:t xml:space="preserve">, M. </w:t>
      </w:r>
      <w:proofErr w:type="spellStart"/>
      <w:r>
        <w:t>Kelecioglu</w:t>
      </w:r>
      <w:proofErr w:type="spellEnd"/>
      <w:r>
        <w:t xml:space="preserve"> H. and Boone E. L. (2021). The Comparison of the Scores obtained by Bayesian nonparametric model and </w:t>
      </w:r>
      <w:proofErr w:type="spellStart"/>
      <w:r>
        <w:t>Cassical</w:t>
      </w:r>
      <w:proofErr w:type="spellEnd"/>
      <w:r>
        <w:t xml:space="preserve"> Test Theory Methods, National </w:t>
      </w:r>
      <w:proofErr w:type="spellStart"/>
      <w:r>
        <w:t>Libraryof</w:t>
      </w:r>
      <w:proofErr w:type="spellEnd"/>
      <w:r>
        <w:t xml:space="preserve"> Medicine, PMC 104 (3)</w:t>
      </w:r>
    </w:p>
    <w:p w14:paraId="0C9E5188" w14:textId="77777777" w:rsidR="002D19F7" w:rsidRDefault="00C267C0">
      <w:pPr>
        <w:pStyle w:val="NormalWeb"/>
        <w:numPr>
          <w:ilvl w:val="0"/>
          <w:numId w:val="4"/>
        </w:numPr>
        <w:spacing w:line="360" w:lineRule="auto"/>
      </w:pPr>
      <w:proofErr w:type="spellStart"/>
      <w:r>
        <w:lastRenderedPageBreak/>
        <w:t>Zamkova</w:t>
      </w:r>
      <w:proofErr w:type="spellEnd"/>
      <w:r>
        <w:t xml:space="preserve"> M., Prokop, M. and </w:t>
      </w:r>
      <w:proofErr w:type="spellStart"/>
      <w:r>
        <w:t>Stolin</w:t>
      </w:r>
      <w:proofErr w:type="spellEnd"/>
      <w:r>
        <w:t xml:space="preserve"> R. (2020). Non-parametric ANOVA Method applied on Students’ Performance Development in Course of Statistics, Acta Universitatis Agriculture Et </w:t>
      </w:r>
      <w:proofErr w:type="spellStart"/>
      <w:r>
        <w:t>Silviculturae</w:t>
      </w:r>
      <w:proofErr w:type="spellEnd"/>
      <w:r>
        <w:t xml:space="preserve"> </w:t>
      </w:r>
      <w:proofErr w:type="spellStart"/>
      <w:r>
        <w:t>Mendelianae</w:t>
      </w:r>
      <w:proofErr w:type="spellEnd"/>
      <w:r>
        <w:t xml:space="preserve"> </w:t>
      </w:r>
      <w:proofErr w:type="spellStart"/>
      <w:r>
        <w:t>Beunensis</w:t>
      </w:r>
      <w:proofErr w:type="spellEnd"/>
      <w:r>
        <w:t>, Vol. 68(1).</w:t>
      </w:r>
    </w:p>
    <w:p w14:paraId="30AA8973" w14:textId="77777777" w:rsidR="002D19F7" w:rsidRDefault="00C267C0">
      <w:pPr>
        <w:pStyle w:val="NormalWeb"/>
        <w:numPr>
          <w:ilvl w:val="0"/>
          <w:numId w:val="4"/>
        </w:numPr>
        <w:spacing w:line="360" w:lineRule="auto"/>
      </w:pPr>
      <w:r>
        <w:t xml:space="preserve">Hai Q. and Ma Zhuan, Z. (2025). Bayesian Nonparametric Hypothesis </w:t>
      </w:r>
      <w:proofErr w:type="spellStart"/>
      <w:r>
        <w:t>testingg</w:t>
      </w:r>
      <w:proofErr w:type="spellEnd"/>
      <w:r>
        <w:t xml:space="preserve"> Methods on Multiple Comparisons, Computational Statistics, Vol. 40</w:t>
      </w:r>
    </w:p>
    <w:sectPr w:rsidR="002D19F7">
      <w:headerReference w:type="even" r:id="rId19"/>
      <w:headerReference w:type="default" r:id="rId20"/>
      <w:footerReference w:type="even" r:id="rId21"/>
      <w:footerReference w:type="default" r:id="rId22"/>
      <w:headerReference w:type="first" r:id="rId23"/>
      <w:footerReference w:type="first" r:id="rId24"/>
      <w:pgSz w:w="12240" w:h="15840"/>
      <w:pgMar w:top="1440" w:right="117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3890F" w14:textId="77777777" w:rsidR="0080486F" w:rsidRDefault="0080486F">
      <w:pPr>
        <w:spacing w:line="240" w:lineRule="auto"/>
      </w:pPr>
      <w:r>
        <w:separator/>
      </w:r>
    </w:p>
  </w:endnote>
  <w:endnote w:type="continuationSeparator" w:id="0">
    <w:p w14:paraId="3C119091" w14:textId="77777777" w:rsidR="0080486F" w:rsidRDefault="00804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D6EA" w14:textId="77777777" w:rsidR="00050351" w:rsidRDefault="00050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A5E4" w14:textId="77777777" w:rsidR="00050351" w:rsidRDefault="00050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5D9F" w14:textId="77777777" w:rsidR="00050351" w:rsidRDefault="00050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DC63E" w14:textId="77777777" w:rsidR="0080486F" w:rsidRDefault="0080486F">
      <w:pPr>
        <w:spacing w:after="0"/>
      </w:pPr>
      <w:r>
        <w:separator/>
      </w:r>
    </w:p>
  </w:footnote>
  <w:footnote w:type="continuationSeparator" w:id="0">
    <w:p w14:paraId="5F46D855" w14:textId="77777777" w:rsidR="0080486F" w:rsidRDefault="008048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698D5" w14:textId="2A1E828E" w:rsidR="00050351" w:rsidRDefault="00050351">
    <w:pPr>
      <w:pStyle w:val="Header"/>
    </w:pPr>
    <w:r>
      <w:rPr>
        <w:noProof/>
      </w:rPr>
      <w:pict w14:anchorId="394BC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620266" o:spid="_x0000_s2050" type="#_x0000_t136" style="position:absolute;margin-left:0;margin-top:0;width:571.65pt;height:10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DD65E" w14:textId="43504A04" w:rsidR="00050351" w:rsidRDefault="00050351">
    <w:pPr>
      <w:pStyle w:val="Header"/>
    </w:pPr>
    <w:r>
      <w:rPr>
        <w:noProof/>
      </w:rPr>
      <w:pict w14:anchorId="1C09E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620267" o:spid="_x0000_s2051" type="#_x0000_t136" style="position:absolute;margin-left:0;margin-top:0;width:571.65pt;height:10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91FE9" w14:textId="37A703C3" w:rsidR="00050351" w:rsidRDefault="00050351">
    <w:pPr>
      <w:pStyle w:val="Header"/>
    </w:pPr>
    <w:r>
      <w:rPr>
        <w:noProof/>
      </w:rPr>
      <w:pict w14:anchorId="26662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620265" o:spid="_x0000_s2049" type="#_x0000_t136" style="position:absolute;margin-left:0;margin-top:0;width:571.65pt;height:10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8079ED"/>
    <w:multiLevelType w:val="singleLevel"/>
    <w:tmpl w:val="FE8079ED"/>
    <w:lvl w:ilvl="0">
      <w:start w:val="1"/>
      <w:numFmt w:val="decimal"/>
      <w:suff w:val="space"/>
      <w:lvlText w:val="%1."/>
      <w:lvlJc w:val="left"/>
    </w:lvl>
  </w:abstractNum>
  <w:abstractNum w:abstractNumId="1" w15:restartNumberingAfterBreak="0">
    <w:nsid w:val="1024737D"/>
    <w:multiLevelType w:val="singleLevel"/>
    <w:tmpl w:val="1024737D"/>
    <w:lvl w:ilvl="0">
      <w:start w:val="2"/>
      <w:numFmt w:val="decimal"/>
      <w:suff w:val="space"/>
      <w:lvlText w:val="%1."/>
      <w:lvlJc w:val="left"/>
    </w:lvl>
  </w:abstractNum>
  <w:abstractNum w:abstractNumId="2" w15:restartNumberingAfterBreak="0">
    <w:nsid w:val="467D7900"/>
    <w:multiLevelType w:val="multilevel"/>
    <w:tmpl w:val="467D790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FC2D72F"/>
    <w:multiLevelType w:val="singleLevel"/>
    <w:tmpl w:val="6FC2D72F"/>
    <w:lvl w:ilvl="0">
      <w:start w:val="4"/>
      <w:numFmt w:val="decimal"/>
      <w:suff w:val="space"/>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8DC"/>
    <w:rsid w:val="00004C4E"/>
    <w:rsid w:val="0002544E"/>
    <w:rsid w:val="000452E3"/>
    <w:rsid w:val="00050351"/>
    <w:rsid w:val="00065334"/>
    <w:rsid w:val="0006695B"/>
    <w:rsid w:val="0007300C"/>
    <w:rsid w:val="00080D4C"/>
    <w:rsid w:val="00081E66"/>
    <w:rsid w:val="0009272D"/>
    <w:rsid w:val="000C3C33"/>
    <w:rsid w:val="000C4708"/>
    <w:rsid w:val="000C7F65"/>
    <w:rsid w:val="000E4DC5"/>
    <w:rsid w:val="001011CF"/>
    <w:rsid w:val="0022001C"/>
    <w:rsid w:val="0023792E"/>
    <w:rsid w:val="0025641D"/>
    <w:rsid w:val="0029387A"/>
    <w:rsid w:val="002D19F7"/>
    <w:rsid w:val="002D43BB"/>
    <w:rsid w:val="002E2D04"/>
    <w:rsid w:val="00322435"/>
    <w:rsid w:val="00333F15"/>
    <w:rsid w:val="00336473"/>
    <w:rsid w:val="00350875"/>
    <w:rsid w:val="00351D0A"/>
    <w:rsid w:val="0036163E"/>
    <w:rsid w:val="0036220C"/>
    <w:rsid w:val="00373809"/>
    <w:rsid w:val="003B2EB8"/>
    <w:rsid w:val="003C275A"/>
    <w:rsid w:val="003D35F0"/>
    <w:rsid w:val="003F4034"/>
    <w:rsid w:val="00401429"/>
    <w:rsid w:val="00405594"/>
    <w:rsid w:val="004201F2"/>
    <w:rsid w:val="00437D5B"/>
    <w:rsid w:val="00453877"/>
    <w:rsid w:val="00455842"/>
    <w:rsid w:val="004574BA"/>
    <w:rsid w:val="00460FDB"/>
    <w:rsid w:val="004B5834"/>
    <w:rsid w:val="004C3CCF"/>
    <w:rsid w:val="004D2EB2"/>
    <w:rsid w:val="004D35C6"/>
    <w:rsid w:val="004D5513"/>
    <w:rsid w:val="004E3B16"/>
    <w:rsid w:val="004E6006"/>
    <w:rsid w:val="005158CD"/>
    <w:rsid w:val="00524797"/>
    <w:rsid w:val="00531556"/>
    <w:rsid w:val="005517F5"/>
    <w:rsid w:val="00555FE7"/>
    <w:rsid w:val="005562D3"/>
    <w:rsid w:val="0056386E"/>
    <w:rsid w:val="00574999"/>
    <w:rsid w:val="005C0EAF"/>
    <w:rsid w:val="005C7E6A"/>
    <w:rsid w:val="005E36D9"/>
    <w:rsid w:val="005E7AE7"/>
    <w:rsid w:val="00601E77"/>
    <w:rsid w:val="00622DEE"/>
    <w:rsid w:val="006339EC"/>
    <w:rsid w:val="00640FEE"/>
    <w:rsid w:val="00660FEE"/>
    <w:rsid w:val="00677A06"/>
    <w:rsid w:val="00697D36"/>
    <w:rsid w:val="00757880"/>
    <w:rsid w:val="00765B74"/>
    <w:rsid w:val="007932F5"/>
    <w:rsid w:val="007B2D88"/>
    <w:rsid w:val="007C2B35"/>
    <w:rsid w:val="007E4CF5"/>
    <w:rsid w:val="0080486F"/>
    <w:rsid w:val="008130C1"/>
    <w:rsid w:val="00837E66"/>
    <w:rsid w:val="008730DD"/>
    <w:rsid w:val="00902144"/>
    <w:rsid w:val="0093145B"/>
    <w:rsid w:val="009409B6"/>
    <w:rsid w:val="009A7EFC"/>
    <w:rsid w:val="009B0B0D"/>
    <w:rsid w:val="009D1043"/>
    <w:rsid w:val="009E43FF"/>
    <w:rsid w:val="00A6331C"/>
    <w:rsid w:val="00A83995"/>
    <w:rsid w:val="00A86015"/>
    <w:rsid w:val="00AE5B96"/>
    <w:rsid w:val="00B31B19"/>
    <w:rsid w:val="00B41B28"/>
    <w:rsid w:val="00B453A9"/>
    <w:rsid w:val="00B55304"/>
    <w:rsid w:val="00BA2E69"/>
    <w:rsid w:val="00BD18F5"/>
    <w:rsid w:val="00BD7DB1"/>
    <w:rsid w:val="00BE1AB8"/>
    <w:rsid w:val="00BE3D3A"/>
    <w:rsid w:val="00BF3344"/>
    <w:rsid w:val="00C23E96"/>
    <w:rsid w:val="00C267C0"/>
    <w:rsid w:val="00C42D0B"/>
    <w:rsid w:val="00C46833"/>
    <w:rsid w:val="00C65DFF"/>
    <w:rsid w:val="00C86459"/>
    <w:rsid w:val="00CD290C"/>
    <w:rsid w:val="00CE69E8"/>
    <w:rsid w:val="00D1122C"/>
    <w:rsid w:val="00D243A7"/>
    <w:rsid w:val="00D52CAB"/>
    <w:rsid w:val="00D56E23"/>
    <w:rsid w:val="00D646FE"/>
    <w:rsid w:val="00D84497"/>
    <w:rsid w:val="00DE0DAE"/>
    <w:rsid w:val="00DE2E3F"/>
    <w:rsid w:val="00E1434C"/>
    <w:rsid w:val="00E15B2B"/>
    <w:rsid w:val="00E35418"/>
    <w:rsid w:val="00E56052"/>
    <w:rsid w:val="00EA3A05"/>
    <w:rsid w:val="00EA43CC"/>
    <w:rsid w:val="00ED5E91"/>
    <w:rsid w:val="00ED6D36"/>
    <w:rsid w:val="00EF4EF0"/>
    <w:rsid w:val="00F30092"/>
    <w:rsid w:val="00F32B75"/>
    <w:rsid w:val="00F47F24"/>
    <w:rsid w:val="00F65428"/>
    <w:rsid w:val="00F662EE"/>
    <w:rsid w:val="00FA68DC"/>
    <w:rsid w:val="00FB3563"/>
    <w:rsid w:val="00FC201A"/>
    <w:rsid w:val="00FD2736"/>
    <w:rsid w:val="00FD4E12"/>
    <w:rsid w:val="049F57F8"/>
    <w:rsid w:val="0603091A"/>
    <w:rsid w:val="06B83F1C"/>
    <w:rsid w:val="06E57026"/>
    <w:rsid w:val="07C4574A"/>
    <w:rsid w:val="0EFD6CB1"/>
    <w:rsid w:val="13F36485"/>
    <w:rsid w:val="15CF0A6C"/>
    <w:rsid w:val="1B965B05"/>
    <w:rsid w:val="1EB46F64"/>
    <w:rsid w:val="20A83109"/>
    <w:rsid w:val="27C56CA2"/>
    <w:rsid w:val="2FD54EC0"/>
    <w:rsid w:val="36AE7698"/>
    <w:rsid w:val="36F51B80"/>
    <w:rsid w:val="38E73CCE"/>
    <w:rsid w:val="3B293E28"/>
    <w:rsid w:val="418E1DC0"/>
    <w:rsid w:val="433914CE"/>
    <w:rsid w:val="4D327781"/>
    <w:rsid w:val="50302A94"/>
    <w:rsid w:val="50660B9E"/>
    <w:rsid w:val="5263079A"/>
    <w:rsid w:val="534A2C57"/>
    <w:rsid w:val="53C10FD5"/>
    <w:rsid w:val="54DD7DF6"/>
    <w:rsid w:val="587E223E"/>
    <w:rsid w:val="5B042A25"/>
    <w:rsid w:val="5D2F4A70"/>
    <w:rsid w:val="5F812E49"/>
    <w:rsid w:val="5FB3698D"/>
    <w:rsid w:val="67835AFA"/>
    <w:rsid w:val="67B30320"/>
    <w:rsid w:val="6BA179A3"/>
    <w:rsid w:val="6BE70117"/>
    <w:rsid w:val="6D09192A"/>
    <w:rsid w:val="6FDE1F16"/>
    <w:rsid w:val="7110138E"/>
    <w:rsid w:val="71F01732"/>
    <w:rsid w:val="733E031E"/>
    <w:rsid w:val="7B9C68F4"/>
    <w:rsid w:val="7E753545"/>
    <w:rsid w:val="7E992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D78DA14"/>
  <w15:docId w15:val="{A5BBC7C9-AF35-4E20-9D0B-BBCD7294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styleId="ListParagraph">
    <w:name w:val="List Paragraph"/>
    <w:basedOn w:val="Normal"/>
    <w:uiPriority w:val="34"/>
    <w:qFormat/>
    <w:pPr>
      <w:ind w:left="720"/>
      <w:contextualSpacing/>
    </w:pPr>
  </w:style>
  <w:style w:type="character" w:customStyle="1" w:styleId="in-toolbar">
    <w:name w:val="in-toolbar"/>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r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4B5834"/>
    <w:rPr>
      <w:color w:val="605E5C"/>
      <w:shd w:val="clear" w:color="auto" w:fill="E1DFDD"/>
    </w:rPr>
  </w:style>
  <w:style w:type="paragraph" w:styleId="Header">
    <w:name w:val="header"/>
    <w:basedOn w:val="Normal"/>
    <w:link w:val="HeaderChar"/>
    <w:uiPriority w:val="99"/>
    <w:unhideWhenUsed/>
    <w:rsid w:val="00050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351"/>
    <w:rPr>
      <w:sz w:val="22"/>
      <w:szCs w:val="22"/>
    </w:rPr>
  </w:style>
  <w:style w:type="paragraph" w:styleId="Footer">
    <w:name w:val="footer"/>
    <w:basedOn w:val="Normal"/>
    <w:link w:val="FooterChar"/>
    <w:uiPriority w:val="99"/>
    <w:unhideWhenUsed/>
    <w:rsid w:val="00050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3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cademia.edu/105936531/A_REVIEW_ON_PARAMETRIC_AND_NON_PARAMETRIC_TEST_IN_EDUCATION" TargetMode="External"/><Relationship Id="rId13" Type="http://schemas.openxmlformats.org/officeDocument/2006/relationships/image" Target="media/image3.png"/><Relationship Id="rId18" Type="http://schemas.openxmlformats.org/officeDocument/2006/relationships/hyperlink" Target="https://doi.org/10.1080/00031305.2019.158391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3758/PBR.16.2.2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2/9780470479216.corpsy052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hyperlink" Target="https://www.sciencedirect.com/topics/mathematics/statistic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biochemistry-genetics-and-molecular-biology/sample-size"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DDFF5-44E4-4505-96BA-1A8E067DE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2689</Words>
  <Characters>15329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SDI 1084</cp:lastModifiedBy>
  <cp:revision>12</cp:revision>
  <dcterms:created xsi:type="dcterms:W3CDTF">2025-09-13T13:15:00Z</dcterms:created>
  <dcterms:modified xsi:type="dcterms:W3CDTF">2025-09-15T07:59:00Z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7C6CC1E2E0A94AA8BB7B848704AB26A6_13</vt:lpwstr>
  </property>
</Properties>
</file>