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5E1450" w14:textId="4E239D5F" w:rsidR="00773459" w:rsidRPr="00773459" w:rsidRDefault="00773459" w:rsidP="000354E1">
      <w:pPr>
        <w:pStyle w:val="Author"/>
        <w:spacing w:line="240" w:lineRule="auto"/>
        <w:rPr>
          <w:rFonts w:ascii="Arial" w:hAnsi="Arial" w:cs="Arial"/>
          <w:bCs/>
          <w:kern w:val="28"/>
          <w:sz w:val="36"/>
          <w:u w:val="single"/>
        </w:rPr>
      </w:pPr>
      <w:r w:rsidRPr="00773459">
        <w:rPr>
          <w:rFonts w:ascii="Arial" w:hAnsi="Arial" w:cs="Arial"/>
          <w:bCs/>
          <w:kern w:val="28"/>
          <w:sz w:val="36"/>
          <w:u w:val="single"/>
        </w:rPr>
        <w:t>Case Report</w:t>
      </w:r>
    </w:p>
    <w:p w14:paraId="620A6188" w14:textId="77777777" w:rsidR="00773459" w:rsidRDefault="00773459" w:rsidP="000354E1">
      <w:pPr>
        <w:pStyle w:val="Author"/>
        <w:spacing w:line="240" w:lineRule="auto"/>
        <w:rPr>
          <w:rFonts w:ascii="Arial" w:hAnsi="Arial" w:cs="Arial"/>
          <w:bCs/>
          <w:kern w:val="28"/>
          <w:sz w:val="36"/>
        </w:rPr>
      </w:pPr>
    </w:p>
    <w:p w14:paraId="34AC67F1" w14:textId="77777777" w:rsidR="00773459" w:rsidRDefault="00773459" w:rsidP="000354E1">
      <w:pPr>
        <w:pStyle w:val="Author"/>
        <w:spacing w:line="240" w:lineRule="auto"/>
        <w:rPr>
          <w:rFonts w:ascii="Arial" w:hAnsi="Arial" w:cs="Arial"/>
          <w:bCs/>
          <w:kern w:val="28"/>
          <w:sz w:val="36"/>
        </w:rPr>
      </w:pPr>
    </w:p>
    <w:p w14:paraId="5795DA80" w14:textId="51869FC7" w:rsidR="000354E1" w:rsidRPr="000354E1" w:rsidRDefault="000354E1" w:rsidP="000354E1">
      <w:pPr>
        <w:pStyle w:val="Author"/>
        <w:spacing w:line="240" w:lineRule="auto"/>
        <w:rPr>
          <w:rFonts w:ascii="Arial" w:hAnsi="Arial" w:cs="Arial"/>
          <w:kern w:val="28"/>
          <w:sz w:val="36"/>
        </w:rPr>
      </w:pPr>
      <w:r w:rsidRPr="000354E1">
        <w:rPr>
          <w:rFonts w:ascii="Arial" w:hAnsi="Arial" w:cs="Arial"/>
          <w:bCs/>
          <w:kern w:val="28"/>
          <w:sz w:val="36"/>
        </w:rPr>
        <w:t xml:space="preserve">Evidence-Informed Pediatric Physiotherapy in </w:t>
      </w:r>
      <w:proofErr w:type="spellStart"/>
      <w:r w:rsidRPr="000354E1">
        <w:rPr>
          <w:rFonts w:ascii="Arial" w:hAnsi="Arial" w:cs="Arial"/>
          <w:bCs/>
          <w:kern w:val="28"/>
          <w:sz w:val="36"/>
        </w:rPr>
        <w:t>Hallervorden-Spatz</w:t>
      </w:r>
      <w:proofErr w:type="spellEnd"/>
      <w:r w:rsidRPr="000354E1">
        <w:rPr>
          <w:rFonts w:ascii="Arial" w:hAnsi="Arial" w:cs="Arial"/>
          <w:bCs/>
          <w:kern w:val="28"/>
          <w:sz w:val="36"/>
        </w:rPr>
        <w:t xml:space="preserve"> Disease – A Case Report</w:t>
      </w:r>
    </w:p>
    <w:p w14:paraId="2AEC4CA0" w14:textId="77777777" w:rsidR="00A258C3" w:rsidRPr="00790ADA" w:rsidRDefault="00A258C3" w:rsidP="00441B6F">
      <w:pPr>
        <w:pStyle w:val="Author"/>
        <w:spacing w:line="240" w:lineRule="auto"/>
        <w:jc w:val="both"/>
        <w:rPr>
          <w:rFonts w:ascii="Arial" w:hAnsi="Arial" w:cs="Arial"/>
          <w:sz w:val="36"/>
        </w:rPr>
      </w:pPr>
    </w:p>
    <w:p w14:paraId="3F45906E" w14:textId="77777777" w:rsidR="00790ADA" w:rsidRDefault="00790ADA" w:rsidP="00441B6F">
      <w:pPr>
        <w:pStyle w:val="Affiliation"/>
        <w:spacing w:after="0" w:line="240" w:lineRule="auto"/>
        <w:jc w:val="both"/>
        <w:rPr>
          <w:rFonts w:ascii="Arial" w:hAnsi="Arial" w:cs="Arial"/>
        </w:rPr>
      </w:pPr>
    </w:p>
    <w:p w14:paraId="6AC2A0C7" w14:textId="77777777" w:rsidR="002C57D2" w:rsidRPr="00FB3A86" w:rsidRDefault="002C57D2" w:rsidP="00441B6F">
      <w:pPr>
        <w:pStyle w:val="Affiliation"/>
        <w:spacing w:after="0" w:line="240" w:lineRule="auto"/>
        <w:jc w:val="both"/>
        <w:rPr>
          <w:rFonts w:ascii="Arial" w:hAnsi="Arial" w:cs="Arial"/>
        </w:rPr>
      </w:pPr>
    </w:p>
    <w:p w14:paraId="479EE3CF" w14:textId="77777777" w:rsidR="00B01FCD" w:rsidRPr="00FB3A86" w:rsidRDefault="00A141E7" w:rsidP="00441B6F">
      <w:pPr>
        <w:pStyle w:val="Copyright"/>
        <w:spacing w:after="0" w:line="240" w:lineRule="auto"/>
        <w:jc w:val="both"/>
        <w:rPr>
          <w:rFonts w:ascii="Arial" w:hAnsi="Arial" w:cs="Arial"/>
        </w:rPr>
        <w:sectPr w:rsidR="00B01FCD" w:rsidRPr="00FB3A86" w:rsidSect="000E265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4336654">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5965D28" w14:textId="73D2DC81"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480A30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7A3051B3" w14:textId="77777777" w:rsidTr="001E44FE">
        <w:tc>
          <w:tcPr>
            <w:tcW w:w="9576" w:type="dxa"/>
            <w:shd w:val="clear" w:color="auto" w:fill="F2F2F2"/>
          </w:tcPr>
          <w:p w14:paraId="35FAC857" w14:textId="77777777" w:rsidR="000354E1" w:rsidRPr="000354E1" w:rsidRDefault="000354E1" w:rsidP="000354E1">
            <w:pPr>
              <w:pStyle w:val="Body"/>
              <w:spacing w:after="0"/>
              <w:rPr>
                <w:rFonts w:ascii="Arial" w:eastAsia="Calibri" w:hAnsi="Arial" w:cs="Arial"/>
                <w:szCs w:val="22"/>
              </w:rPr>
            </w:pPr>
            <w:r w:rsidRPr="000354E1">
              <w:rPr>
                <w:rFonts w:ascii="Arial" w:eastAsia="Calibri" w:hAnsi="Arial" w:cs="Arial"/>
                <w:b/>
                <w:bCs/>
                <w:szCs w:val="22"/>
              </w:rPr>
              <w:t>Background:</w:t>
            </w:r>
            <w:r w:rsidRPr="000354E1">
              <w:rPr>
                <w:rFonts w:ascii="Arial" w:eastAsia="Calibri" w:hAnsi="Arial" w:cs="Arial"/>
                <w:szCs w:val="22"/>
              </w:rPr>
              <w:t xml:space="preserve"> </w:t>
            </w:r>
            <w:proofErr w:type="spellStart"/>
            <w:r w:rsidRPr="000354E1">
              <w:rPr>
                <w:rFonts w:ascii="Arial" w:eastAsia="Calibri" w:hAnsi="Arial" w:cs="Arial"/>
                <w:szCs w:val="22"/>
              </w:rPr>
              <w:t>Hallervorden-Spatz</w:t>
            </w:r>
            <w:proofErr w:type="spellEnd"/>
            <w:r w:rsidRPr="000354E1">
              <w:rPr>
                <w:rFonts w:ascii="Arial" w:eastAsia="Calibri" w:hAnsi="Arial" w:cs="Arial"/>
                <w:szCs w:val="22"/>
              </w:rPr>
              <w:t xml:space="preserve"> Disease (HSD), an aggressive and rare form of NBIA, has specific rehabilitation issues in its rapid neurodegenerative course and early loss of motor milestones. Physiotherapy literature still lacks the entire clinical and therapeutic profile of such patients. </w:t>
            </w:r>
          </w:p>
          <w:p w14:paraId="70E47D0E" w14:textId="77777777" w:rsidR="000354E1" w:rsidRPr="000354E1" w:rsidRDefault="000354E1" w:rsidP="000354E1">
            <w:pPr>
              <w:pStyle w:val="Body"/>
              <w:spacing w:after="0"/>
              <w:rPr>
                <w:rFonts w:ascii="Arial" w:eastAsia="Calibri" w:hAnsi="Arial" w:cs="Arial"/>
                <w:szCs w:val="22"/>
              </w:rPr>
            </w:pPr>
            <w:r w:rsidRPr="000354E1">
              <w:rPr>
                <w:rFonts w:ascii="Arial" w:eastAsia="Calibri" w:hAnsi="Arial" w:cs="Arial"/>
                <w:b/>
                <w:bCs/>
                <w:szCs w:val="22"/>
              </w:rPr>
              <w:t>Case summary:</w:t>
            </w:r>
            <w:r w:rsidRPr="000354E1">
              <w:rPr>
                <w:rFonts w:ascii="Arial" w:eastAsia="Calibri" w:hAnsi="Arial" w:cs="Arial"/>
                <w:szCs w:val="22"/>
              </w:rPr>
              <w:t xml:space="preserve"> This article reports the lengthy, birth-end-of-life clinical history of an 11-year-old female patient with genetically established HSD. She had severe dystonia, fixed postures, scoliosis, compromised respiration, and total dependence on all ADLs. Standardized outcome measures—</w:t>
            </w:r>
            <w:proofErr w:type="spellStart"/>
            <w:r w:rsidRPr="000354E1">
              <w:rPr>
                <w:rFonts w:ascii="Arial" w:eastAsia="Calibri" w:hAnsi="Arial" w:cs="Arial"/>
                <w:szCs w:val="22"/>
              </w:rPr>
              <w:t>WeeFIM</w:t>
            </w:r>
            <w:proofErr w:type="spellEnd"/>
            <w:r w:rsidRPr="000354E1">
              <w:rPr>
                <w:rFonts w:ascii="Arial" w:eastAsia="Calibri" w:hAnsi="Arial" w:cs="Arial"/>
                <w:szCs w:val="22"/>
              </w:rPr>
              <w:t xml:space="preserve">, GMFM-88, PKAN-ADL, MACS and CFCS—were documented systematically. </w:t>
            </w:r>
          </w:p>
          <w:p w14:paraId="089E7EEC" w14:textId="77777777" w:rsidR="000354E1" w:rsidRPr="000354E1" w:rsidRDefault="000354E1" w:rsidP="000354E1">
            <w:pPr>
              <w:pStyle w:val="Body"/>
              <w:spacing w:after="0"/>
              <w:rPr>
                <w:rFonts w:ascii="Arial" w:eastAsia="Calibri" w:hAnsi="Arial" w:cs="Arial"/>
                <w:szCs w:val="22"/>
              </w:rPr>
            </w:pPr>
            <w:r w:rsidRPr="000354E1">
              <w:rPr>
                <w:rFonts w:ascii="Arial" w:eastAsia="Calibri" w:hAnsi="Arial" w:cs="Arial"/>
                <w:b/>
                <w:bCs/>
                <w:szCs w:val="22"/>
              </w:rPr>
              <w:t>Intervention:</w:t>
            </w:r>
            <w:r w:rsidRPr="000354E1">
              <w:rPr>
                <w:rFonts w:ascii="Arial" w:eastAsia="Calibri" w:hAnsi="Arial" w:cs="Arial"/>
                <w:szCs w:val="22"/>
              </w:rPr>
              <w:t xml:space="preserve"> A structured, evidence-based physiotherapy plan was initiated with task-based training in sitting, chest expansion, postural re-education, and caregiver-supervised home programs specific to her degenerating state. </w:t>
            </w:r>
          </w:p>
          <w:p w14:paraId="4377C886" w14:textId="77777777" w:rsidR="000354E1" w:rsidRPr="000354E1" w:rsidRDefault="000354E1" w:rsidP="000354E1">
            <w:pPr>
              <w:pStyle w:val="Body"/>
              <w:spacing w:after="0"/>
              <w:rPr>
                <w:rFonts w:ascii="Arial" w:eastAsia="Calibri" w:hAnsi="Arial" w:cs="Arial"/>
                <w:szCs w:val="22"/>
              </w:rPr>
            </w:pPr>
            <w:r w:rsidRPr="000354E1">
              <w:rPr>
                <w:rFonts w:ascii="Arial" w:eastAsia="Calibri" w:hAnsi="Arial" w:cs="Arial"/>
                <w:b/>
                <w:bCs/>
                <w:szCs w:val="22"/>
              </w:rPr>
              <w:t>Conclusion:</w:t>
            </w:r>
            <w:r w:rsidRPr="000354E1">
              <w:rPr>
                <w:rFonts w:ascii="Arial" w:eastAsia="Calibri" w:hAnsi="Arial" w:cs="Arial"/>
                <w:szCs w:val="22"/>
              </w:rPr>
              <w:t xml:space="preserve"> This is the first physiotherapy case report to comprehensively use longitudinal history, validated outcome measures, and evidence-based therapy in HSD, demonstrating the vital role of neurorehabilitation in the course of the disease.</w:t>
            </w:r>
          </w:p>
          <w:p w14:paraId="65549DA3" w14:textId="77777777" w:rsidR="00505F06" w:rsidRPr="00BA1B01" w:rsidRDefault="00505F06" w:rsidP="00441B6F">
            <w:pPr>
              <w:pStyle w:val="Body"/>
              <w:spacing w:after="0"/>
              <w:rPr>
                <w:rFonts w:ascii="Arial" w:eastAsia="Calibri" w:hAnsi="Arial" w:cs="Arial"/>
                <w:szCs w:val="22"/>
              </w:rPr>
            </w:pPr>
          </w:p>
        </w:tc>
      </w:tr>
    </w:tbl>
    <w:p w14:paraId="2ABB37EA" w14:textId="77777777" w:rsidR="00636EB2" w:rsidRDefault="00636EB2" w:rsidP="00441B6F">
      <w:pPr>
        <w:pStyle w:val="Body"/>
        <w:spacing w:after="0"/>
        <w:rPr>
          <w:rFonts w:ascii="Arial" w:hAnsi="Arial" w:cs="Arial"/>
          <w:i/>
        </w:rPr>
      </w:pPr>
    </w:p>
    <w:p w14:paraId="6B5CD775" w14:textId="77777777" w:rsidR="00A24E7E" w:rsidRDefault="00A24E7E" w:rsidP="00441B6F">
      <w:pPr>
        <w:pStyle w:val="Body"/>
        <w:spacing w:after="0"/>
        <w:rPr>
          <w:rFonts w:ascii="Arial" w:hAnsi="Arial" w:cs="Arial"/>
          <w:i/>
        </w:rPr>
      </w:pPr>
      <w:r>
        <w:rPr>
          <w:rFonts w:ascii="Arial" w:hAnsi="Arial" w:cs="Arial"/>
          <w:i/>
        </w:rPr>
        <w:t xml:space="preserve">Keywords: </w:t>
      </w:r>
      <w:proofErr w:type="spellStart"/>
      <w:r w:rsidR="00EE3CB9" w:rsidRPr="00EE3CB9">
        <w:rPr>
          <w:rFonts w:ascii="Arial" w:hAnsi="Arial" w:cs="Arial"/>
          <w:i/>
        </w:rPr>
        <w:t>Hallervorden-Spatz</w:t>
      </w:r>
      <w:proofErr w:type="spellEnd"/>
      <w:r w:rsidR="00EE3CB9" w:rsidRPr="00EE3CB9">
        <w:rPr>
          <w:rFonts w:ascii="Arial" w:hAnsi="Arial" w:cs="Arial"/>
          <w:i/>
        </w:rPr>
        <w:t xml:space="preserve"> Disease, NBIA, pediatric neurorehabilitation, evidence-informed physiotherapy, dystonia, outcome measures, task-oriented training, birth-to-death trajectory</w:t>
      </w:r>
    </w:p>
    <w:p w14:paraId="63C2A055" w14:textId="77777777" w:rsidR="0024282C" w:rsidRDefault="0024282C" w:rsidP="00441B6F">
      <w:pPr>
        <w:pStyle w:val="Body"/>
        <w:spacing w:after="0"/>
        <w:rPr>
          <w:rFonts w:ascii="Arial" w:hAnsi="Arial" w:cs="Arial"/>
          <w:i/>
          <w:sz w:val="18"/>
        </w:rPr>
      </w:pPr>
    </w:p>
    <w:p w14:paraId="3C8DCE65" w14:textId="77777777" w:rsidR="00505F06" w:rsidRPr="00A24E7E" w:rsidRDefault="00505F06" w:rsidP="00441B6F">
      <w:pPr>
        <w:pStyle w:val="Body"/>
        <w:spacing w:after="0"/>
        <w:rPr>
          <w:rFonts w:ascii="Arial" w:hAnsi="Arial" w:cs="Arial"/>
          <w:i/>
        </w:rPr>
      </w:pPr>
    </w:p>
    <w:p w14:paraId="2733D9A7" w14:textId="2B624E9B" w:rsidR="007F7B32" w:rsidRDefault="00902823" w:rsidP="00441B6F">
      <w:pPr>
        <w:pStyle w:val="AbstHead"/>
        <w:spacing w:after="0"/>
        <w:jc w:val="both"/>
        <w:rPr>
          <w:rFonts w:ascii="Arial" w:hAnsi="Arial" w:cs="Arial"/>
        </w:rPr>
      </w:pPr>
      <w:r>
        <w:rPr>
          <w:rFonts w:ascii="Arial" w:hAnsi="Arial" w:cs="Arial"/>
        </w:rPr>
        <w:t xml:space="preserve">1. </w:t>
      </w:r>
      <w:bookmarkStart w:id="1" w:name="_Hlk208900069"/>
      <w:r w:rsidR="00B01FCD" w:rsidRPr="00FB3A86">
        <w:rPr>
          <w:rFonts w:ascii="Arial" w:hAnsi="Arial" w:cs="Arial"/>
        </w:rPr>
        <w:t>INTRODUCTION</w:t>
      </w:r>
      <w:r w:rsidR="007F7B32">
        <w:rPr>
          <w:rFonts w:ascii="Arial" w:hAnsi="Arial" w:cs="Arial"/>
        </w:rPr>
        <w:t xml:space="preserve"> </w:t>
      </w:r>
      <w:bookmarkEnd w:id="1"/>
    </w:p>
    <w:p w14:paraId="0B3190CC" w14:textId="77777777" w:rsidR="00790ADA" w:rsidRPr="00FB3A86" w:rsidRDefault="00790ADA" w:rsidP="00441B6F">
      <w:pPr>
        <w:pStyle w:val="AbstHead"/>
        <w:spacing w:after="0"/>
        <w:jc w:val="both"/>
        <w:rPr>
          <w:rFonts w:ascii="Arial" w:hAnsi="Arial" w:cs="Arial"/>
        </w:rPr>
      </w:pPr>
    </w:p>
    <w:p w14:paraId="078C8D46" w14:textId="77777777" w:rsidR="00B726FD" w:rsidRDefault="00B726FD" w:rsidP="00B726FD">
      <w:pPr>
        <w:pStyle w:val="Body"/>
        <w:spacing w:after="0"/>
        <w:rPr>
          <w:rFonts w:ascii="Arial" w:hAnsi="Arial" w:cs="Arial"/>
        </w:rPr>
      </w:pPr>
      <w:proofErr w:type="spellStart"/>
      <w:r w:rsidRPr="00B726FD">
        <w:rPr>
          <w:rFonts w:ascii="Arial" w:hAnsi="Arial" w:cs="Arial"/>
        </w:rPr>
        <w:t>Hallervorden-Spatz</w:t>
      </w:r>
      <w:proofErr w:type="spellEnd"/>
      <w:r w:rsidRPr="00B726FD">
        <w:rPr>
          <w:rFonts w:ascii="Arial" w:hAnsi="Arial" w:cs="Arial"/>
        </w:rPr>
        <w:t xml:space="preserve"> disease, now more commonly referred to as pantothenate kinase-associated neurodegeneration (PKAN), is a rare neurologic disorder that is a member of the neurodegeneration with brain iron accumulation (NBIA) diseases. The diseases previously belonged to a classification based on post-mortem findings of iron accumulation in specific brain locations, specifically the globus pallidus and substantia nigra, as indicated by several staining techniques like Perl's stain and ferritin immunostaining </w:t>
      </w:r>
      <w:r w:rsidRPr="00B726FD">
        <w:rPr>
          <w:rFonts w:ascii="Arial" w:hAnsi="Arial" w:cs="Arial"/>
          <w:vertAlign w:val="superscript"/>
        </w:rPr>
        <w:t>[1,2]</w:t>
      </w:r>
      <w:r w:rsidRPr="00B726FD">
        <w:rPr>
          <w:rFonts w:ascii="Arial" w:hAnsi="Arial" w:cs="Arial"/>
        </w:rPr>
        <w:t>.</w:t>
      </w:r>
    </w:p>
    <w:p w14:paraId="36145B85" w14:textId="77777777" w:rsidR="00B726FD" w:rsidRPr="00B726FD" w:rsidRDefault="00B726FD" w:rsidP="00B726FD">
      <w:pPr>
        <w:pStyle w:val="Body"/>
        <w:spacing w:after="0"/>
        <w:rPr>
          <w:rFonts w:ascii="Arial" w:hAnsi="Arial" w:cs="Arial"/>
        </w:rPr>
      </w:pPr>
    </w:p>
    <w:p w14:paraId="4607D3C9" w14:textId="77777777" w:rsidR="00B726FD" w:rsidRDefault="00B726FD" w:rsidP="00B726FD">
      <w:pPr>
        <w:pStyle w:val="Body"/>
        <w:spacing w:after="0"/>
        <w:rPr>
          <w:rFonts w:ascii="Arial" w:hAnsi="Arial" w:cs="Arial"/>
        </w:rPr>
      </w:pPr>
      <w:r w:rsidRPr="00B726FD">
        <w:rPr>
          <w:rFonts w:ascii="Arial" w:hAnsi="Arial" w:cs="Arial"/>
        </w:rPr>
        <w:t xml:space="preserve">The onset of PKAN typically occurs between the ages of 5 to 15 years, with a rapid progression of symptoms leading to death within a decade of diagnosis </w:t>
      </w:r>
      <w:r w:rsidRPr="00B726FD">
        <w:rPr>
          <w:rFonts w:ascii="Arial" w:hAnsi="Arial" w:cs="Arial"/>
          <w:vertAlign w:val="superscript"/>
        </w:rPr>
        <w:t>[3]</w:t>
      </w:r>
      <w:r w:rsidRPr="00B726FD">
        <w:rPr>
          <w:rFonts w:ascii="Arial" w:hAnsi="Arial" w:cs="Arial"/>
        </w:rPr>
        <w:t xml:space="preserve">. The hallmark symptoms of NBIA, including dystonia, dysarthria, and movement disorders, reflect the progressive nature of the disease, often necessitating adjustments in treatment and the use of assistive devices as the condition advances </w:t>
      </w:r>
      <w:r w:rsidRPr="00B726FD">
        <w:rPr>
          <w:rFonts w:ascii="Arial" w:hAnsi="Arial" w:cs="Arial"/>
          <w:vertAlign w:val="superscript"/>
        </w:rPr>
        <w:t>[3,2]</w:t>
      </w:r>
      <w:r w:rsidRPr="00B726FD">
        <w:rPr>
          <w:rFonts w:ascii="Arial" w:hAnsi="Arial" w:cs="Arial"/>
        </w:rPr>
        <w:t xml:space="preserve">. Pathological examinations reveal significant neuronal loss, particularly in the substantia nigra, along with widespread Lewy bodies and neurites, while iron deposition is notably localized to specific brain areas, including the globus pallidus </w:t>
      </w:r>
      <w:r w:rsidRPr="00B726FD">
        <w:rPr>
          <w:rFonts w:ascii="Arial" w:hAnsi="Arial" w:cs="Arial"/>
          <w:vertAlign w:val="superscript"/>
        </w:rPr>
        <w:t>[1,2]</w:t>
      </w:r>
      <w:r w:rsidRPr="00B726FD">
        <w:rPr>
          <w:rFonts w:ascii="Arial" w:hAnsi="Arial" w:cs="Arial"/>
        </w:rPr>
        <w:t>.</w:t>
      </w:r>
    </w:p>
    <w:p w14:paraId="35549106" w14:textId="77777777" w:rsidR="00B726FD" w:rsidRPr="00B726FD" w:rsidRDefault="00B726FD" w:rsidP="00B726FD">
      <w:pPr>
        <w:pStyle w:val="Body"/>
        <w:spacing w:after="0"/>
        <w:rPr>
          <w:rFonts w:ascii="Arial" w:hAnsi="Arial" w:cs="Arial"/>
        </w:rPr>
      </w:pPr>
    </w:p>
    <w:p w14:paraId="084C6634" w14:textId="77777777" w:rsidR="00B726FD" w:rsidRDefault="00B726FD" w:rsidP="00B726FD">
      <w:pPr>
        <w:pStyle w:val="Body"/>
        <w:spacing w:after="0"/>
        <w:rPr>
          <w:rFonts w:ascii="Arial" w:hAnsi="Arial" w:cs="Arial"/>
        </w:rPr>
      </w:pPr>
      <w:r w:rsidRPr="00B726FD">
        <w:rPr>
          <w:rFonts w:ascii="Arial" w:hAnsi="Arial" w:cs="Arial"/>
        </w:rPr>
        <w:t xml:space="preserve">Discovery of the PANK2 gene in 2001 was a breakthrough in understanding PKAN since this gene causes most cases of PKAN </w:t>
      </w:r>
      <w:r w:rsidRPr="00B726FD">
        <w:rPr>
          <w:rFonts w:ascii="Arial" w:hAnsi="Arial" w:cs="Arial"/>
          <w:vertAlign w:val="superscript"/>
        </w:rPr>
        <w:t>[2,4]</w:t>
      </w:r>
      <w:r w:rsidRPr="00B726FD">
        <w:rPr>
          <w:rFonts w:ascii="Arial" w:hAnsi="Arial" w:cs="Arial"/>
        </w:rPr>
        <w:t xml:space="preserve">. As research has progressed, other NBIA disorders due to other genetic mutations have been defined, and the categorization of these disorders has been growing, giving a better picture of their mechanism </w:t>
      </w:r>
      <w:r w:rsidRPr="00B726FD">
        <w:rPr>
          <w:rFonts w:ascii="Arial" w:hAnsi="Arial" w:cs="Arial"/>
          <w:vertAlign w:val="superscript"/>
        </w:rPr>
        <w:t>[2]</w:t>
      </w:r>
      <w:r w:rsidRPr="00B726FD">
        <w:rPr>
          <w:rFonts w:ascii="Arial" w:hAnsi="Arial" w:cs="Arial"/>
        </w:rPr>
        <w:t xml:space="preserve">. Due to the intricate </w:t>
      </w:r>
      <w:r w:rsidRPr="00B726FD">
        <w:rPr>
          <w:rFonts w:ascii="Arial" w:hAnsi="Arial" w:cs="Arial"/>
        </w:rPr>
        <w:lastRenderedPageBreak/>
        <w:t xml:space="preserve">interaction of genetic factors and the process of neurodegeneration, ongoing research continues to study the different aspects of PKAN and its treatment </w:t>
      </w:r>
      <w:r w:rsidRPr="00B726FD">
        <w:rPr>
          <w:rFonts w:ascii="Arial" w:hAnsi="Arial" w:cs="Arial"/>
          <w:vertAlign w:val="superscript"/>
        </w:rPr>
        <w:t>[5]</w:t>
      </w:r>
      <w:r w:rsidRPr="00B726FD">
        <w:rPr>
          <w:rFonts w:ascii="Arial" w:hAnsi="Arial" w:cs="Arial"/>
        </w:rPr>
        <w:t>.</w:t>
      </w:r>
    </w:p>
    <w:p w14:paraId="6CB3C415" w14:textId="77777777" w:rsidR="001D54D2" w:rsidRDefault="001D54D2" w:rsidP="00B726FD">
      <w:pPr>
        <w:pStyle w:val="Body"/>
        <w:spacing w:after="0"/>
        <w:rPr>
          <w:rFonts w:ascii="Arial" w:hAnsi="Arial" w:cs="Arial"/>
        </w:rPr>
      </w:pPr>
    </w:p>
    <w:p w14:paraId="6C1DC855" w14:textId="0BC67A3F" w:rsidR="001D54D2" w:rsidRPr="001D54D2" w:rsidRDefault="001D54D2" w:rsidP="00B726FD">
      <w:pPr>
        <w:pStyle w:val="Body"/>
        <w:spacing w:after="0"/>
        <w:rPr>
          <w:rFonts w:ascii="Arial" w:hAnsi="Arial" w:cs="Arial"/>
          <w:b/>
          <w:bCs/>
        </w:rPr>
      </w:pPr>
      <w:r w:rsidRPr="001D54D2">
        <w:rPr>
          <w:rFonts w:ascii="Arial" w:hAnsi="Arial" w:cs="Arial"/>
          <w:b/>
          <w:bCs/>
        </w:rPr>
        <w:t xml:space="preserve">CASE PRESENTATION </w:t>
      </w:r>
    </w:p>
    <w:p w14:paraId="75F99641" w14:textId="77777777" w:rsidR="00790ADA" w:rsidRPr="00FB3A86" w:rsidRDefault="00790ADA" w:rsidP="00441B6F">
      <w:pPr>
        <w:pStyle w:val="AbstHead"/>
        <w:spacing w:after="0"/>
        <w:jc w:val="both"/>
        <w:rPr>
          <w:rFonts w:ascii="Arial" w:hAnsi="Arial" w:cs="Arial"/>
        </w:rPr>
      </w:pPr>
    </w:p>
    <w:p w14:paraId="030632C1" w14:textId="77777777" w:rsidR="00B726FD" w:rsidRDefault="00B726FD" w:rsidP="00B726FD">
      <w:pPr>
        <w:pStyle w:val="Body"/>
        <w:spacing w:after="0"/>
        <w:rPr>
          <w:rFonts w:ascii="Arial" w:hAnsi="Arial" w:cs="Arial"/>
          <w:b/>
          <w:bCs/>
          <w:sz w:val="22"/>
          <w:szCs w:val="22"/>
        </w:rPr>
      </w:pPr>
      <w:r w:rsidRPr="00B726FD">
        <w:rPr>
          <w:rFonts w:ascii="Arial" w:hAnsi="Arial" w:cs="Arial"/>
          <w:b/>
          <w:bCs/>
          <w:sz w:val="22"/>
          <w:szCs w:val="22"/>
        </w:rPr>
        <w:t>2. PATIENT INFORMATION:</w:t>
      </w:r>
    </w:p>
    <w:p w14:paraId="1FD5C266" w14:textId="77777777" w:rsidR="00B726FD" w:rsidRPr="00B726FD" w:rsidRDefault="00B726FD" w:rsidP="00B726FD">
      <w:pPr>
        <w:pStyle w:val="Body"/>
        <w:spacing w:after="0"/>
        <w:rPr>
          <w:rFonts w:ascii="Arial" w:hAnsi="Arial" w:cs="Arial"/>
          <w:b/>
          <w:bCs/>
          <w:sz w:val="22"/>
          <w:szCs w:val="22"/>
        </w:rPr>
      </w:pPr>
    </w:p>
    <w:p w14:paraId="668F83F1" w14:textId="77777777" w:rsidR="00B726FD" w:rsidRDefault="00B726FD" w:rsidP="00B726FD">
      <w:pPr>
        <w:pStyle w:val="Body"/>
        <w:spacing w:after="0"/>
        <w:rPr>
          <w:rFonts w:ascii="Arial" w:hAnsi="Arial" w:cs="Arial"/>
        </w:rPr>
      </w:pPr>
      <w:r w:rsidRPr="00B726FD">
        <w:rPr>
          <w:rFonts w:ascii="Arial" w:hAnsi="Arial" w:cs="Arial"/>
        </w:rPr>
        <w:t xml:space="preserve">An 11-year-old girl with </w:t>
      </w:r>
      <w:proofErr w:type="spellStart"/>
      <w:r w:rsidRPr="00B726FD">
        <w:rPr>
          <w:rFonts w:ascii="Arial" w:hAnsi="Arial" w:cs="Arial"/>
        </w:rPr>
        <w:t>Hallervorden-Spatz</w:t>
      </w:r>
      <w:proofErr w:type="spellEnd"/>
      <w:r w:rsidRPr="00B726FD">
        <w:rPr>
          <w:rFonts w:ascii="Arial" w:hAnsi="Arial" w:cs="Arial"/>
        </w:rPr>
        <w:t xml:space="preserve"> Disease (HSD), an uncommon neurodegenerative disorder belonging to neurodegeneration with brain iron accumulation (NBIA), was referred to our pediatric neurorehabilitation unit. She was completely dependent on all activities of daily living (ADLs) on presentation and had marked global impairment of motor function with loss of postural control and motor coordination. Written informed consent was taken from the patient's parents to publish clinical features of the patient.</w:t>
      </w:r>
      <w:r w:rsidRPr="00B726FD">
        <w:rPr>
          <w:rFonts w:ascii="Arial" w:hAnsi="Arial" w:cs="Arial"/>
        </w:rPr>
        <w:br/>
        <w:t>She had a history of feeding difficulties and delayed motor milestones in childhood. Toe-walking at 11 months was later recognized as an early feature of extrapyramidal dysfunction. Dystonic posturing, motor regression, and sparse language development were seen by the age of 2 years. Spasticity worsened, choreoathetoid movements, scoliosis, and fixed foot deformities ensued with inexorable decline. MRI at 5 years (Figure 1) revealed the typical 'eye-of-the-tiger' sign, and genetic analysis revealed HSD with a homozygous mutation and both parents were heterozygous carriers</w:t>
      </w:r>
      <w:r>
        <w:rPr>
          <w:rFonts w:ascii="Arial" w:hAnsi="Arial" w:cs="Arial"/>
        </w:rPr>
        <w:t>.</w:t>
      </w:r>
    </w:p>
    <w:p w14:paraId="2AC5B0EF" w14:textId="77777777" w:rsidR="00B726FD" w:rsidRPr="00B726FD" w:rsidRDefault="00B726FD" w:rsidP="00B726FD">
      <w:pPr>
        <w:pStyle w:val="Body"/>
        <w:spacing w:after="0"/>
        <w:rPr>
          <w:rFonts w:ascii="Arial" w:hAnsi="Arial" w:cs="Arial"/>
        </w:rPr>
      </w:pPr>
    </w:p>
    <w:p w14:paraId="7D218861" w14:textId="77777777" w:rsidR="00B726FD" w:rsidRPr="00B726FD" w:rsidRDefault="00B726FD" w:rsidP="00B726FD">
      <w:pPr>
        <w:pStyle w:val="Body"/>
        <w:spacing w:after="0"/>
        <w:rPr>
          <w:rFonts w:ascii="Arial" w:hAnsi="Arial" w:cs="Arial"/>
        </w:rPr>
      </w:pPr>
      <w:r w:rsidRPr="00B726FD">
        <w:rPr>
          <w:rFonts w:ascii="Arial" w:hAnsi="Arial" w:cs="Arial"/>
        </w:rPr>
        <w:t>.</w:t>
      </w:r>
      <w:r w:rsidRPr="00B726FD">
        <w:rPr>
          <w:rFonts w:ascii="Arial" w:hAnsi="Arial" w:cs="Arial"/>
          <w:noProof/>
        </w:rPr>
        <w:drawing>
          <wp:inline distT="0" distB="0" distL="0" distR="0" wp14:anchorId="32E98660" wp14:editId="43D4CCE5">
            <wp:extent cx="3479800" cy="343546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20240103-WA0003.jpg"/>
                    <pic:cNvPicPr/>
                  </pic:nvPicPr>
                  <pic:blipFill>
                    <a:blip r:embed="rId14">
                      <a:extLst>
                        <a:ext uri="{28A0092B-C50C-407E-A947-70E740481C1C}">
                          <a14:useLocalDpi xmlns:a14="http://schemas.microsoft.com/office/drawing/2010/main" val="0"/>
                        </a:ext>
                      </a:extLst>
                    </a:blip>
                    <a:stretch>
                      <a:fillRect/>
                    </a:stretch>
                  </pic:blipFill>
                  <pic:spPr>
                    <a:xfrm>
                      <a:off x="0" y="0"/>
                      <a:ext cx="3479800" cy="3435464"/>
                    </a:xfrm>
                    <a:prstGeom prst="rect">
                      <a:avLst/>
                    </a:prstGeom>
                  </pic:spPr>
                </pic:pic>
              </a:graphicData>
            </a:graphic>
          </wp:inline>
        </w:drawing>
      </w:r>
    </w:p>
    <w:p w14:paraId="0A79DCFD" w14:textId="77777777" w:rsidR="00B726FD" w:rsidRPr="00B726FD" w:rsidRDefault="00B726FD" w:rsidP="00B726FD">
      <w:pPr>
        <w:pStyle w:val="Body"/>
        <w:spacing w:after="0"/>
        <w:rPr>
          <w:rFonts w:ascii="Arial" w:hAnsi="Arial" w:cs="Arial"/>
        </w:rPr>
      </w:pPr>
      <w:r w:rsidRPr="00B726FD">
        <w:rPr>
          <w:rFonts w:ascii="Arial" w:hAnsi="Arial" w:cs="Arial"/>
        </w:rPr>
        <w:t>(Figure 1: The "eye of the tiger" sign, a characteristic feature of HSD as seen on T2-weighted magnetic resonance imaging (MRI) of the brain, particularly in the globus pallidus.)</w:t>
      </w:r>
    </w:p>
    <w:p w14:paraId="001F912F" w14:textId="77777777" w:rsidR="00B726FD" w:rsidRDefault="00B726FD" w:rsidP="00B726FD">
      <w:pPr>
        <w:pStyle w:val="Body"/>
        <w:spacing w:after="0"/>
        <w:rPr>
          <w:rFonts w:ascii="Arial" w:hAnsi="Arial" w:cs="Arial"/>
        </w:rPr>
      </w:pPr>
      <w:r w:rsidRPr="00B726FD">
        <w:rPr>
          <w:rFonts w:ascii="Arial" w:hAnsi="Arial" w:cs="Arial"/>
        </w:rPr>
        <w:t xml:space="preserve">She had received repeated treatment prior to referral: pharmacological treatment consisted of baclofen (twice daily), tetrabenazine (25 mg per day), and </w:t>
      </w:r>
      <w:proofErr w:type="spellStart"/>
      <w:r w:rsidRPr="00B726FD">
        <w:rPr>
          <w:rFonts w:ascii="Arial" w:hAnsi="Arial" w:cs="Arial"/>
        </w:rPr>
        <w:t>mazetol</w:t>
      </w:r>
      <w:proofErr w:type="spellEnd"/>
      <w:r w:rsidRPr="00B726FD">
        <w:rPr>
          <w:rFonts w:ascii="Arial" w:hAnsi="Arial" w:cs="Arial"/>
        </w:rPr>
        <w:t xml:space="preserve"> (200 mg), besides Ayurvedic treatment like </w:t>
      </w:r>
      <w:proofErr w:type="spellStart"/>
      <w:r w:rsidRPr="00B726FD">
        <w:rPr>
          <w:rFonts w:ascii="Arial" w:hAnsi="Arial" w:cs="Arial"/>
        </w:rPr>
        <w:t>nasya</w:t>
      </w:r>
      <w:proofErr w:type="spellEnd"/>
      <w:r w:rsidRPr="00B726FD">
        <w:rPr>
          <w:rFonts w:ascii="Arial" w:hAnsi="Arial" w:cs="Arial"/>
        </w:rPr>
        <w:t xml:space="preserve">, panchakarma, </w:t>
      </w:r>
      <w:proofErr w:type="spellStart"/>
      <w:r w:rsidRPr="00B726FD">
        <w:rPr>
          <w:rFonts w:ascii="Arial" w:hAnsi="Arial" w:cs="Arial"/>
        </w:rPr>
        <w:t>shirodhara</w:t>
      </w:r>
      <w:proofErr w:type="spellEnd"/>
      <w:r w:rsidRPr="00B726FD">
        <w:rPr>
          <w:rFonts w:ascii="Arial" w:hAnsi="Arial" w:cs="Arial"/>
        </w:rPr>
        <w:t>, and rice therapy. Physiotherapy was irregular and haphazard.</w:t>
      </w:r>
    </w:p>
    <w:p w14:paraId="56115F30" w14:textId="77777777" w:rsidR="00B726FD" w:rsidRPr="00B726FD" w:rsidRDefault="00B726FD" w:rsidP="00B726FD">
      <w:pPr>
        <w:pStyle w:val="Body"/>
        <w:spacing w:after="0"/>
        <w:rPr>
          <w:rFonts w:ascii="Arial" w:hAnsi="Arial" w:cs="Arial"/>
        </w:rPr>
      </w:pPr>
    </w:p>
    <w:p w14:paraId="737D873B" w14:textId="77777777" w:rsidR="00B726FD" w:rsidRDefault="00B726FD" w:rsidP="00B726FD">
      <w:pPr>
        <w:pStyle w:val="Body"/>
        <w:spacing w:after="0"/>
        <w:rPr>
          <w:rFonts w:ascii="Arial" w:hAnsi="Arial" w:cs="Arial"/>
        </w:rPr>
      </w:pPr>
      <w:r w:rsidRPr="00B726FD">
        <w:rPr>
          <w:rFonts w:ascii="Arial" w:hAnsi="Arial" w:cs="Arial"/>
        </w:rPr>
        <w:t>At our facility, thorough assessment with standardized outcome measures determined her baseline functioning (see Table 1). Evidence-based interventions including task-oriented training, breathing, joint range maintenance, and orthotic support were instituted (see Table 2). In spite of intense multidisciplinary treatment, she worsened.</w:t>
      </w:r>
    </w:p>
    <w:p w14:paraId="31B9E602" w14:textId="77777777" w:rsidR="00B726FD" w:rsidRPr="00B726FD" w:rsidRDefault="00B726FD" w:rsidP="00B726FD">
      <w:pPr>
        <w:pStyle w:val="Body"/>
        <w:spacing w:after="0"/>
        <w:rPr>
          <w:rFonts w:ascii="Arial" w:hAnsi="Arial" w:cs="Arial"/>
        </w:rPr>
      </w:pPr>
    </w:p>
    <w:tbl>
      <w:tblPr>
        <w:tblStyle w:val="TableGrid"/>
        <w:tblW w:w="0" w:type="auto"/>
        <w:tblLook w:val="04A0" w:firstRow="1" w:lastRow="0" w:firstColumn="1" w:lastColumn="0" w:noHBand="0" w:noVBand="1"/>
      </w:tblPr>
      <w:tblGrid>
        <w:gridCol w:w="2917"/>
        <w:gridCol w:w="2212"/>
        <w:gridCol w:w="1083"/>
        <w:gridCol w:w="3030"/>
      </w:tblGrid>
      <w:tr w:rsidR="00B726FD" w:rsidRPr="00B726FD" w14:paraId="461772EF" w14:textId="77777777" w:rsidTr="00975A14">
        <w:trPr>
          <w:trHeight w:val="661"/>
        </w:trPr>
        <w:tc>
          <w:tcPr>
            <w:tcW w:w="0" w:type="auto"/>
            <w:gridSpan w:val="4"/>
          </w:tcPr>
          <w:p w14:paraId="43B9B311" w14:textId="77777777" w:rsidR="00B726FD" w:rsidRPr="00B726FD" w:rsidRDefault="00B726FD" w:rsidP="00B726FD">
            <w:pPr>
              <w:pStyle w:val="Body"/>
              <w:rPr>
                <w:rFonts w:ascii="Arial" w:hAnsi="Arial" w:cs="Arial"/>
                <w:b/>
                <w:bCs/>
                <w:sz w:val="20"/>
                <w:szCs w:val="20"/>
              </w:rPr>
            </w:pPr>
            <w:r w:rsidRPr="00B726FD">
              <w:rPr>
                <w:rFonts w:ascii="Arial" w:hAnsi="Arial" w:cs="Arial"/>
                <w:b/>
                <w:bCs/>
                <w:sz w:val="20"/>
                <w:szCs w:val="20"/>
              </w:rPr>
              <w:t>Table 1: Outcome measures</w:t>
            </w:r>
          </w:p>
        </w:tc>
      </w:tr>
      <w:tr w:rsidR="00B726FD" w:rsidRPr="00B726FD" w14:paraId="69617750" w14:textId="77777777" w:rsidTr="00975A14">
        <w:trPr>
          <w:trHeight w:val="661"/>
        </w:trPr>
        <w:tc>
          <w:tcPr>
            <w:tcW w:w="2917" w:type="dxa"/>
          </w:tcPr>
          <w:p w14:paraId="0CA119E9" w14:textId="77777777" w:rsidR="00B726FD" w:rsidRPr="00B726FD" w:rsidRDefault="00B726FD" w:rsidP="00B726FD">
            <w:pPr>
              <w:pStyle w:val="Body"/>
              <w:rPr>
                <w:rFonts w:ascii="Arial" w:hAnsi="Arial" w:cs="Arial"/>
                <w:b/>
                <w:bCs/>
                <w:sz w:val="20"/>
                <w:szCs w:val="20"/>
              </w:rPr>
            </w:pPr>
            <w:r w:rsidRPr="00B726FD">
              <w:rPr>
                <w:rFonts w:ascii="Arial" w:hAnsi="Arial" w:cs="Arial"/>
                <w:b/>
                <w:bCs/>
                <w:sz w:val="20"/>
                <w:szCs w:val="20"/>
              </w:rPr>
              <w:t>Outcome measure: Function specific</w:t>
            </w:r>
          </w:p>
        </w:tc>
        <w:tc>
          <w:tcPr>
            <w:tcW w:w="2212" w:type="dxa"/>
          </w:tcPr>
          <w:p w14:paraId="1B6BC661" w14:textId="77777777" w:rsidR="00B726FD" w:rsidRPr="00B726FD" w:rsidRDefault="00B726FD" w:rsidP="00B726FD">
            <w:pPr>
              <w:pStyle w:val="Body"/>
              <w:rPr>
                <w:rFonts w:ascii="Arial" w:hAnsi="Arial" w:cs="Arial"/>
                <w:b/>
                <w:bCs/>
                <w:sz w:val="20"/>
                <w:szCs w:val="20"/>
              </w:rPr>
            </w:pPr>
            <w:r w:rsidRPr="00B726FD">
              <w:rPr>
                <w:rFonts w:ascii="Arial" w:hAnsi="Arial" w:cs="Arial"/>
                <w:b/>
                <w:bCs/>
                <w:sz w:val="20"/>
                <w:szCs w:val="20"/>
              </w:rPr>
              <w:t>Components:</w:t>
            </w:r>
          </w:p>
        </w:tc>
        <w:tc>
          <w:tcPr>
            <w:tcW w:w="1083" w:type="dxa"/>
          </w:tcPr>
          <w:p w14:paraId="10A63CB3" w14:textId="77777777" w:rsidR="00B726FD" w:rsidRPr="00B726FD" w:rsidRDefault="00B726FD" w:rsidP="00B726FD">
            <w:pPr>
              <w:pStyle w:val="Body"/>
              <w:rPr>
                <w:rFonts w:ascii="Arial" w:hAnsi="Arial" w:cs="Arial"/>
                <w:b/>
                <w:bCs/>
                <w:sz w:val="20"/>
                <w:szCs w:val="20"/>
              </w:rPr>
            </w:pPr>
            <w:r w:rsidRPr="00B726FD">
              <w:rPr>
                <w:rFonts w:ascii="Arial" w:hAnsi="Arial" w:cs="Arial"/>
                <w:b/>
                <w:bCs/>
                <w:sz w:val="20"/>
                <w:szCs w:val="20"/>
              </w:rPr>
              <w:t>Scoring:</w:t>
            </w:r>
          </w:p>
        </w:tc>
        <w:tc>
          <w:tcPr>
            <w:tcW w:w="3030" w:type="dxa"/>
          </w:tcPr>
          <w:p w14:paraId="5473611D" w14:textId="77777777" w:rsidR="00B726FD" w:rsidRPr="00B726FD" w:rsidRDefault="00B726FD" w:rsidP="00B726FD">
            <w:pPr>
              <w:pStyle w:val="Body"/>
              <w:rPr>
                <w:rFonts w:ascii="Arial" w:hAnsi="Arial" w:cs="Arial"/>
                <w:b/>
                <w:bCs/>
                <w:sz w:val="20"/>
                <w:szCs w:val="20"/>
              </w:rPr>
            </w:pPr>
            <w:r w:rsidRPr="00B726FD">
              <w:rPr>
                <w:rFonts w:ascii="Arial" w:hAnsi="Arial" w:cs="Arial"/>
                <w:b/>
                <w:bCs/>
                <w:sz w:val="20"/>
                <w:szCs w:val="20"/>
              </w:rPr>
              <w:t>Interpretation:</w:t>
            </w:r>
          </w:p>
        </w:tc>
      </w:tr>
      <w:tr w:rsidR="00B726FD" w:rsidRPr="00B726FD" w14:paraId="744C78FD" w14:textId="77777777" w:rsidTr="00975A14">
        <w:trPr>
          <w:trHeight w:val="661"/>
        </w:trPr>
        <w:tc>
          <w:tcPr>
            <w:tcW w:w="2917" w:type="dxa"/>
            <w:vMerge w:val="restart"/>
          </w:tcPr>
          <w:p w14:paraId="5B2B39D6"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lastRenderedPageBreak/>
              <w:t>Functional Independence Measure for Children (</w:t>
            </w:r>
            <w:proofErr w:type="spellStart"/>
            <w:r w:rsidRPr="00B726FD">
              <w:rPr>
                <w:rFonts w:ascii="Arial" w:hAnsi="Arial" w:cs="Arial"/>
                <w:sz w:val="20"/>
                <w:szCs w:val="20"/>
              </w:rPr>
              <w:t>WeeFIM</w:t>
            </w:r>
            <w:proofErr w:type="spellEnd"/>
            <w:r w:rsidRPr="00B726FD">
              <w:rPr>
                <w:rFonts w:ascii="Arial" w:hAnsi="Arial" w:cs="Arial"/>
                <w:sz w:val="20"/>
                <w:szCs w:val="20"/>
              </w:rPr>
              <w:t>)</w:t>
            </w:r>
          </w:p>
        </w:tc>
        <w:tc>
          <w:tcPr>
            <w:tcW w:w="2212" w:type="dxa"/>
          </w:tcPr>
          <w:p w14:paraId="2456B7A9"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Selfcare</w:t>
            </w:r>
          </w:p>
        </w:tc>
        <w:tc>
          <w:tcPr>
            <w:tcW w:w="1083" w:type="dxa"/>
          </w:tcPr>
          <w:p w14:paraId="2DD09DF8"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8/56</w:t>
            </w:r>
          </w:p>
        </w:tc>
        <w:tc>
          <w:tcPr>
            <w:tcW w:w="3030" w:type="dxa"/>
            <w:vMerge w:val="restart"/>
          </w:tcPr>
          <w:p w14:paraId="37490930"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The patient required maximal to total assistance in all domains, including feeding, grooming, bathing, toileting, and mobility.</w:t>
            </w:r>
          </w:p>
          <w:p w14:paraId="07F244F7" w14:textId="77777777" w:rsidR="00B726FD" w:rsidRPr="00B726FD" w:rsidRDefault="00B726FD" w:rsidP="00B726FD">
            <w:pPr>
              <w:pStyle w:val="Body"/>
              <w:rPr>
                <w:rFonts w:ascii="Arial" w:hAnsi="Arial" w:cs="Arial"/>
                <w:sz w:val="20"/>
                <w:szCs w:val="20"/>
              </w:rPr>
            </w:pPr>
          </w:p>
        </w:tc>
      </w:tr>
      <w:tr w:rsidR="00B726FD" w:rsidRPr="00B726FD" w14:paraId="09F4D844" w14:textId="77777777" w:rsidTr="00975A14">
        <w:trPr>
          <w:trHeight w:val="614"/>
        </w:trPr>
        <w:tc>
          <w:tcPr>
            <w:tcW w:w="2917" w:type="dxa"/>
            <w:vMerge/>
          </w:tcPr>
          <w:p w14:paraId="34CA8A21" w14:textId="77777777" w:rsidR="00B726FD" w:rsidRPr="00B726FD" w:rsidRDefault="00B726FD" w:rsidP="00B726FD">
            <w:pPr>
              <w:pStyle w:val="Body"/>
              <w:rPr>
                <w:rFonts w:ascii="Arial" w:hAnsi="Arial" w:cs="Arial"/>
                <w:sz w:val="20"/>
                <w:szCs w:val="20"/>
              </w:rPr>
            </w:pPr>
          </w:p>
        </w:tc>
        <w:tc>
          <w:tcPr>
            <w:tcW w:w="2212" w:type="dxa"/>
          </w:tcPr>
          <w:p w14:paraId="5921F685"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Mobility</w:t>
            </w:r>
          </w:p>
        </w:tc>
        <w:tc>
          <w:tcPr>
            <w:tcW w:w="1083" w:type="dxa"/>
          </w:tcPr>
          <w:p w14:paraId="06FB20B1"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5/35</w:t>
            </w:r>
          </w:p>
        </w:tc>
        <w:tc>
          <w:tcPr>
            <w:tcW w:w="3030" w:type="dxa"/>
            <w:vMerge/>
          </w:tcPr>
          <w:p w14:paraId="6B21C7A4" w14:textId="77777777" w:rsidR="00B726FD" w:rsidRPr="00B726FD" w:rsidRDefault="00B726FD" w:rsidP="00B726FD">
            <w:pPr>
              <w:pStyle w:val="Body"/>
              <w:rPr>
                <w:rFonts w:ascii="Arial" w:hAnsi="Arial" w:cs="Arial"/>
                <w:sz w:val="20"/>
                <w:szCs w:val="20"/>
              </w:rPr>
            </w:pPr>
          </w:p>
        </w:tc>
      </w:tr>
      <w:tr w:rsidR="00B726FD" w:rsidRPr="00B726FD" w14:paraId="01D8574E" w14:textId="77777777" w:rsidTr="00975A14">
        <w:trPr>
          <w:trHeight w:val="661"/>
        </w:trPr>
        <w:tc>
          <w:tcPr>
            <w:tcW w:w="2917" w:type="dxa"/>
            <w:vMerge/>
          </w:tcPr>
          <w:p w14:paraId="11195B95" w14:textId="77777777" w:rsidR="00B726FD" w:rsidRPr="00B726FD" w:rsidRDefault="00B726FD" w:rsidP="00B726FD">
            <w:pPr>
              <w:pStyle w:val="Body"/>
              <w:rPr>
                <w:rFonts w:ascii="Arial" w:hAnsi="Arial" w:cs="Arial"/>
                <w:sz w:val="20"/>
                <w:szCs w:val="20"/>
              </w:rPr>
            </w:pPr>
          </w:p>
        </w:tc>
        <w:tc>
          <w:tcPr>
            <w:tcW w:w="2212" w:type="dxa"/>
          </w:tcPr>
          <w:p w14:paraId="14DB236C"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Cognition</w:t>
            </w:r>
          </w:p>
        </w:tc>
        <w:tc>
          <w:tcPr>
            <w:tcW w:w="1083" w:type="dxa"/>
          </w:tcPr>
          <w:p w14:paraId="35EA93DE"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31/35</w:t>
            </w:r>
          </w:p>
        </w:tc>
        <w:tc>
          <w:tcPr>
            <w:tcW w:w="3030" w:type="dxa"/>
            <w:vMerge/>
          </w:tcPr>
          <w:p w14:paraId="033776E1" w14:textId="77777777" w:rsidR="00B726FD" w:rsidRPr="00B726FD" w:rsidRDefault="00B726FD" w:rsidP="00B726FD">
            <w:pPr>
              <w:pStyle w:val="Body"/>
              <w:rPr>
                <w:rFonts w:ascii="Arial" w:hAnsi="Arial" w:cs="Arial"/>
                <w:sz w:val="20"/>
                <w:szCs w:val="20"/>
              </w:rPr>
            </w:pPr>
          </w:p>
        </w:tc>
      </w:tr>
      <w:tr w:rsidR="00B726FD" w:rsidRPr="00B726FD" w14:paraId="6018E570" w14:textId="77777777" w:rsidTr="00975A14">
        <w:trPr>
          <w:trHeight w:val="614"/>
        </w:trPr>
        <w:tc>
          <w:tcPr>
            <w:tcW w:w="2917" w:type="dxa"/>
            <w:vMerge w:val="restart"/>
          </w:tcPr>
          <w:p w14:paraId="6399FC57"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Gross Motor Function Measure (GMFM - 88)</w:t>
            </w:r>
          </w:p>
        </w:tc>
        <w:tc>
          <w:tcPr>
            <w:tcW w:w="2212" w:type="dxa"/>
          </w:tcPr>
          <w:p w14:paraId="25727E81"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Lying and rolling</w:t>
            </w:r>
          </w:p>
        </w:tc>
        <w:tc>
          <w:tcPr>
            <w:tcW w:w="1083" w:type="dxa"/>
          </w:tcPr>
          <w:p w14:paraId="346BD216"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52%</w:t>
            </w:r>
          </w:p>
        </w:tc>
        <w:tc>
          <w:tcPr>
            <w:tcW w:w="3030" w:type="dxa"/>
            <w:vMerge w:val="restart"/>
          </w:tcPr>
          <w:p w14:paraId="27676AD0"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Limited movements were seen in dimension A (lying and rolling) and B (sitting), suggesting retained reflexive but not purposeful control. Dimensions D (standing) and E (walking, running, and jumping) showed near-zero scores, indicating total functional immobility.</w:t>
            </w:r>
          </w:p>
          <w:p w14:paraId="457978B7" w14:textId="77777777" w:rsidR="00B726FD" w:rsidRPr="00B726FD" w:rsidRDefault="00B726FD" w:rsidP="00B726FD">
            <w:pPr>
              <w:pStyle w:val="Body"/>
              <w:rPr>
                <w:rFonts w:ascii="Arial" w:hAnsi="Arial" w:cs="Arial"/>
                <w:sz w:val="20"/>
                <w:szCs w:val="20"/>
              </w:rPr>
            </w:pPr>
          </w:p>
        </w:tc>
      </w:tr>
      <w:tr w:rsidR="00B726FD" w:rsidRPr="00B726FD" w14:paraId="6354D32E" w14:textId="77777777" w:rsidTr="00975A14">
        <w:trPr>
          <w:trHeight w:val="614"/>
        </w:trPr>
        <w:tc>
          <w:tcPr>
            <w:tcW w:w="2917" w:type="dxa"/>
            <w:vMerge/>
          </w:tcPr>
          <w:p w14:paraId="3626D52D" w14:textId="77777777" w:rsidR="00B726FD" w:rsidRPr="00B726FD" w:rsidRDefault="00B726FD" w:rsidP="00B726FD">
            <w:pPr>
              <w:pStyle w:val="Body"/>
              <w:rPr>
                <w:rFonts w:ascii="Arial" w:hAnsi="Arial" w:cs="Arial"/>
                <w:sz w:val="20"/>
                <w:szCs w:val="20"/>
              </w:rPr>
            </w:pPr>
          </w:p>
        </w:tc>
        <w:tc>
          <w:tcPr>
            <w:tcW w:w="2212" w:type="dxa"/>
          </w:tcPr>
          <w:p w14:paraId="0ACCF0E0"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Sitting</w:t>
            </w:r>
          </w:p>
        </w:tc>
        <w:tc>
          <w:tcPr>
            <w:tcW w:w="1083" w:type="dxa"/>
          </w:tcPr>
          <w:p w14:paraId="73416676"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26%</w:t>
            </w:r>
          </w:p>
        </w:tc>
        <w:tc>
          <w:tcPr>
            <w:tcW w:w="3030" w:type="dxa"/>
            <w:vMerge/>
          </w:tcPr>
          <w:p w14:paraId="2F04B9B3" w14:textId="77777777" w:rsidR="00B726FD" w:rsidRPr="00B726FD" w:rsidRDefault="00B726FD" w:rsidP="00B726FD">
            <w:pPr>
              <w:pStyle w:val="Body"/>
              <w:rPr>
                <w:rFonts w:ascii="Arial" w:hAnsi="Arial" w:cs="Arial"/>
                <w:sz w:val="20"/>
                <w:szCs w:val="20"/>
              </w:rPr>
            </w:pPr>
          </w:p>
        </w:tc>
      </w:tr>
      <w:tr w:rsidR="00B726FD" w:rsidRPr="00B726FD" w14:paraId="1D68DDDE" w14:textId="77777777" w:rsidTr="00975A14">
        <w:trPr>
          <w:trHeight w:val="614"/>
        </w:trPr>
        <w:tc>
          <w:tcPr>
            <w:tcW w:w="2917" w:type="dxa"/>
            <w:vMerge/>
          </w:tcPr>
          <w:p w14:paraId="48366CAB" w14:textId="77777777" w:rsidR="00B726FD" w:rsidRPr="00B726FD" w:rsidRDefault="00B726FD" w:rsidP="00B726FD">
            <w:pPr>
              <w:pStyle w:val="Body"/>
              <w:rPr>
                <w:rFonts w:ascii="Arial" w:hAnsi="Arial" w:cs="Arial"/>
                <w:sz w:val="20"/>
                <w:szCs w:val="20"/>
              </w:rPr>
            </w:pPr>
          </w:p>
        </w:tc>
        <w:tc>
          <w:tcPr>
            <w:tcW w:w="2212" w:type="dxa"/>
          </w:tcPr>
          <w:p w14:paraId="6AF3B79B"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Crawling, Kneeling</w:t>
            </w:r>
          </w:p>
        </w:tc>
        <w:tc>
          <w:tcPr>
            <w:tcW w:w="1083" w:type="dxa"/>
          </w:tcPr>
          <w:p w14:paraId="22D7AD32"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7%</w:t>
            </w:r>
          </w:p>
        </w:tc>
        <w:tc>
          <w:tcPr>
            <w:tcW w:w="3030" w:type="dxa"/>
            <w:vMerge/>
          </w:tcPr>
          <w:p w14:paraId="471C229E" w14:textId="77777777" w:rsidR="00B726FD" w:rsidRPr="00B726FD" w:rsidRDefault="00B726FD" w:rsidP="00B726FD">
            <w:pPr>
              <w:pStyle w:val="Body"/>
              <w:rPr>
                <w:rFonts w:ascii="Arial" w:hAnsi="Arial" w:cs="Arial"/>
                <w:sz w:val="20"/>
                <w:szCs w:val="20"/>
              </w:rPr>
            </w:pPr>
          </w:p>
        </w:tc>
      </w:tr>
      <w:tr w:rsidR="00B726FD" w:rsidRPr="00B726FD" w14:paraId="775983AF" w14:textId="77777777" w:rsidTr="00975A14">
        <w:trPr>
          <w:trHeight w:val="614"/>
        </w:trPr>
        <w:tc>
          <w:tcPr>
            <w:tcW w:w="2917" w:type="dxa"/>
            <w:vMerge/>
          </w:tcPr>
          <w:p w14:paraId="5B1458A6" w14:textId="77777777" w:rsidR="00B726FD" w:rsidRPr="00B726FD" w:rsidRDefault="00B726FD" w:rsidP="00B726FD">
            <w:pPr>
              <w:pStyle w:val="Body"/>
              <w:rPr>
                <w:rFonts w:ascii="Arial" w:hAnsi="Arial" w:cs="Arial"/>
                <w:sz w:val="20"/>
                <w:szCs w:val="20"/>
              </w:rPr>
            </w:pPr>
          </w:p>
        </w:tc>
        <w:tc>
          <w:tcPr>
            <w:tcW w:w="2212" w:type="dxa"/>
          </w:tcPr>
          <w:p w14:paraId="3699D1B0"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Total</w:t>
            </w:r>
          </w:p>
        </w:tc>
        <w:tc>
          <w:tcPr>
            <w:tcW w:w="1083" w:type="dxa"/>
          </w:tcPr>
          <w:p w14:paraId="460E30AB"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28%</w:t>
            </w:r>
          </w:p>
        </w:tc>
        <w:tc>
          <w:tcPr>
            <w:tcW w:w="3030" w:type="dxa"/>
            <w:vMerge/>
          </w:tcPr>
          <w:p w14:paraId="296DE0E5" w14:textId="77777777" w:rsidR="00B726FD" w:rsidRPr="00B726FD" w:rsidRDefault="00B726FD" w:rsidP="00B726FD">
            <w:pPr>
              <w:pStyle w:val="Body"/>
              <w:rPr>
                <w:rFonts w:ascii="Arial" w:hAnsi="Arial" w:cs="Arial"/>
                <w:sz w:val="20"/>
                <w:szCs w:val="20"/>
              </w:rPr>
            </w:pPr>
          </w:p>
        </w:tc>
      </w:tr>
      <w:tr w:rsidR="00B726FD" w:rsidRPr="00B726FD" w14:paraId="32CC9612" w14:textId="77777777" w:rsidTr="00975A14">
        <w:trPr>
          <w:trHeight w:val="614"/>
        </w:trPr>
        <w:tc>
          <w:tcPr>
            <w:tcW w:w="2917" w:type="dxa"/>
          </w:tcPr>
          <w:p w14:paraId="401DD041"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Manual Ability Classification System Level</w:t>
            </w:r>
          </w:p>
        </w:tc>
        <w:tc>
          <w:tcPr>
            <w:tcW w:w="3295" w:type="dxa"/>
            <w:gridSpan w:val="2"/>
          </w:tcPr>
          <w:p w14:paraId="52CB14DF" w14:textId="77777777" w:rsidR="00B726FD" w:rsidRPr="00B726FD" w:rsidRDefault="00B726FD" w:rsidP="00B726FD">
            <w:pPr>
              <w:pStyle w:val="Body"/>
              <w:rPr>
                <w:rFonts w:ascii="Arial" w:hAnsi="Arial" w:cs="Arial"/>
                <w:sz w:val="20"/>
                <w:szCs w:val="20"/>
              </w:rPr>
            </w:pPr>
            <w:r w:rsidRPr="00B726FD">
              <w:rPr>
                <w:rFonts w:ascii="Arial" w:hAnsi="Arial" w:cs="Arial"/>
                <w:b/>
                <w:bCs/>
                <w:sz w:val="20"/>
                <w:szCs w:val="20"/>
              </w:rPr>
              <w:t>Level IV</w:t>
            </w:r>
          </w:p>
        </w:tc>
        <w:tc>
          <w:tcPr>
            <w:tcW w:w="3030" w:type="dxa"/>
          </w:tcPr>
          <w:p w14:paraId="53EC7EE2" w14:textId="77777777" w:rsidR="00B726FD" w:rsidRPr="00B726FD" w:rsidRDefault="00B726FD" w:rsidP="00B726FD">
            <w:pPr>
              <w:pStyle w:val="Body"/>
              <w:rPr>
                <w:rFonts w:ascii="Arial" w:hAnsi="Arial" w:cs="Arial"/>
                <w:sz w:val="20"/>
                <w:szCs w:val="20"/>
              </w:rPr>
            </w:pPr>
            <w:r w:rsidRPr="00B726FD">
              <w:rPr>
                <w:rFonts w:ascii="Arial" w:hAnsi="Arial" w:cs="Arial"/>
                <w:b/>
                <w:bCs/>
                <w:sz w:val="20"/>
                <w:szCs w:val="20"/>
              </w:rPr>
              <w:t xml:space="preserve">Handles a limited selection of easily managed objects in adapted situations – </w:t>
            </w:r>
            <w:r w:rsidRPr="00B726FD">
              <w:rPr>
                <w:rFonts w:ascii="Arial" w:hAnsi="Arial" w:cs="Arial"/>
                <w:sz w:val="20"/>
                <w:szCs w:val="20"/>
              </w:rPr>
              <w:t>Performs parts of activities with effort and with limited success. Requires continuous support and assistance and/or adapted equipment, for even partial achievement of the activity.</w:t>
            </w:r>
          </w:p>
        </w:tc>
      </w:tr>
      <w:tr w:rsidR="00B726FD" w:rsidRPr="00B726FD" w14:paraId="04E4DC25" w14:textId="77777777" w:rsidTr="00975A14">
        <w:trPr>
          <w:trHeight w:val="614"/>
        </w:trPr>
        <w:tc>
          <w:tcPr>
            <w:tcW w:w="2917" w:type="dxa"/>
          </w:tcPr>
          <w:p w14:paraId="6DA5EE94"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Communication Function Classification System Level</w:t>
            </w:r>
          </w:p>
        </w:tc>
        <w:tc>
          <w:tcPr>
            <w:tcW w:w="3295" w:type="dxa"/>
            <w:gridSpan w:val="2"/>
          </w:tcPr>
          <w:p w14:paraId="11BE8CE5" w14:textId="77777777" w:rsidR="00B726FD" w:rsidRPr="00B726FD" w:rsidRDefault="00B726FD" w:rsidP="00B726FD">
            <w:pPr>
              <w:pStyle w:val="Body"/>
              <w:rPr>
                <w:rFonts w:ascii="Arial" w:hAnsi="Arial" w:cs="Arial"/>
                <w:sz w:val="20"/>
                <w:szCs w:val="20"/>
              </w:rPr>
            </w:pPr>
            <w:r w:rsidRPr="00B726FD">
              <w:rPr>
                <w:rFonts w:ascii="Arial" w:hAnsi="Arial" w:cs="Arial"/>
                <w:b/>
                <w:bCs/>
                <w:sz w:val="20"/>
                <w:szCs w:val="20"/>
              </w:rPr>
              <w:t>Level V</w:t>
            </w:r>
          </w:p>
        </w:tc>
        <w:tc>
          <w:tcPr>
            <w:tcW w:w="3030" w:type="dxa"/>
          </w:tcPr>
          <w:p w14:paraId="562FDAAC"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A person is seldom able to communicate effectively even with familiar people.</w:t>
            </w:r>
          </w:p>
        </w:tc>
      </w:tr>
      <w:tr w:rsidR="00B726FD" w:rsidRPr="00B726FD" w14:paraId="15BA26B9" w14:textId="77777777" w:rsidTr="00975A14">
        <w:trPr>
          <w:trHeight w:val="125"/>
        </w:trPr>
        <w:tc>
          <w:tcPr>
            <w:tcW w:w="9242" w:type="dxa"/>
            <w:gridSpan w:val="4"/>
          </w:tcPr>
          <w:p w14:paraId="5ADE1AE2" w14:textId="77777777" w:rsidR="00B726FD" w:rsidRPr="00B726FD" w:rsidRDefault="00B726FD" w:rsidP="00B726FD">
            <w:pPr>
              <w:pStyle w:val="Body"/>
              <w:rPr>
                <w:rFonts w:ascii="Arial" w:hAnsi="Arial" w:cs="Arial"/>
                <w:sz w:val="20"/>
                <w:szCs w:val="20"/>
              </w:rPr>
            </w:pPr>
          </w:p>
        </w:tc>
      </w:tr>
      <w:tr w:rsidR="00B726FD" w:rsidRPr="00B726FD" w14:paraId="4FF19ECC" w14:textId="77777777" w:rsidTr="00975A14">
        <w:trPr>
          <w:trHeight w:val="661"/>
        </w:trPr>
        <w:tc>
          <w:tcPr>
            <w:tcW w:w="0" w:type="auto"/>
            <w:gridSpan w:val="4"/>
          </w:tcPr>
          <w:p w14:paraId="216C39C9" w14:textId="77777777" w:rsidR="00B726FD" w:rsidRPr="00B726FD" w:rsidRDefault="00B726FD" w:rsidP="00B726FD">
            <w:pPr>
              <w:pStyle w:val="Body"/>
              <w:rPr>
                <w:rFonts w:ascii="Arial" w:hAnsi="Arial" w:cs="Arial"/>
                <w:b/>
                <w:bCs/>
                <w:sz w:val="20"/>
                <w:szCs w:val="20"/>
              </w:rPr>
            </w:pPr>
            <w:r w:rsidRPr="00B726FD">
              <w:rPr>
                <w:rFonts w:ascii="Arial" w:hAnsi="Arial" w:cs="Arial"/>
                <w:b/>
                <w:bCs/>
                <w:sz w:val="20"/>
                <w:szCs w:val="20"/>
              </w:rPr>
              <w:t>Outcome measures: Disease Specific</w:t>
            </w:r>
          </w:p>
        </w:tc>
      </w:tr>
      <w:tr w:rsidR="00B726FD" w:rsidRPr="00B726FD" w14:paraId="36CDAA37" w14:textId="77777777" w:rsidTr="00975A14">
        <w:trPr>
          <w:trHeight w:val="661"/>
        </w:trPr>
        <w:tc>
          <w:tcPr>
            <w:tcW w:w="5129" w:type="dxa"/>
            <w:gridSpan w:val="2"/>
            <w:vMerge w:val="restart"/>
          </w:tcPr>
          <w:p w14:paraId="0365DC98" w14:textId="77777777" w:rsidR="00B726FD" w:rsidRPr="00B726FD" w:rsidRDefault="00B726FD" w:rsidP="00B726FD">
            <w:pPr>
              <w:pStyle w:val="Body"/>
              <w:rPr>
                <w:rFonts w:ascii="Arial" w:hAnsi="Arial" w:cs="Arial"/>
                <w:b/>
                <w:bCs/>
                <w:sz w:val="20"/>
                <w:szCs w:val="20"/>
              </w:rPr>
            </w:pPr>
            <w:r w:rsidRPr="00B726FD">
              <w:rPr>
                <w:rFonts w:ascii="Arial" w:hAnsi="Arial" w:cs="Arial"/>
                <w:sz w:val="20"/>
                <w:szCs w:val="20"/>
              </w:rPr>
              <w:t>Pantothenate Kinase associated Neurodegeneration – Activity of Daily Living Scale (PKAN-ADL)</w:t>
            </w:r>
          </w:p>
        </w:tc>
        <w:tc>
          <w:tcPr>
            <w:tcW w:w="1083" w:type="dxa"/>
          </w:tcPr>
          <w:p w14:paraId="75CC5695" w14:textId="77777777" w:rsidR="00B726FD" w:rsidRPr="00B726FD" w:rsidRDefault="00B726FD" w:rsidP="00B726FD">
            <w:pPr>
              <w:pStyle w:val="Body"/>
              <w:rPr>
                <w:rFonts w:ascii="Arial" w:hAnsi="Arial" w:cs="Arial"/>
                <w:b/>
                <w:bCs/>
                <w:sz w:val="20"/>
                <w:szCs w:val="20"/>
              </w:rPr>
            </w:pPr>
            <w:r w:rsidRPr="00B726FD">
              <w:rPr>
                <w:rFonts w:ascii="Arial" w:hAnsi="Arial" w:cs="Arial"/>
                <w:b/>
                <w:bCs/>
                <w:sz w:val="20"/>
                <w:szCs w:val="20"/>
              </w:rPr>
              <w:t>Scoring:</w:t>
            </w:r>
          </w:p>
        </w:tc>
        <w:tc>
          <w:tcPr>
            <w:tcW w:w="3030" w:type="dxa"/>
          </w:tcPr>
          <w:p w14:paraId="3B228824" w14:textId="77777777" w:rsidR="00B726FD" w:rsidRPr="00B726FD" w:rsidRDefault="00B726FD" w:rsidP="00B726FD">
            <w:pPr>
              <w:pStyle w:val="Body"/>
              <w:rPr>
                <w:rFonts w:ascii="Arial" w:hAnsi="Arial" w:cs="Arial"/>
                <w:b/>
                <w:bCs/>
                <w:sz w:val="20"/>
                <w:szCs w:val="20"/>
              </w:rPr>
            </w:pPr>
            <w:r w:rsidRPr="00B726FD">
              <w:rPr>
                <w:rFonts w:ascii="Arial" w:hAnsi="Arial" w:cs="Arial"/>
                <w:b/>
                <w:bCs/>
                <w:sz w:val="20"/>
                <w:szCs w:val="20"/>
              </w:rPr>
              <w:t>Interpretation:</w:t>
            </w:r>
          </w:p>
        </w:tc>
      </w:tr>
      <w:tr w:rsidR="00B726FD" w:rsidRPr="00B726FD" w14:paraId="30A19073" w14:textId="77777777" w:rsidTr="00975A14">
        <w:trPr>
          <w:trHeight w:val="661"/>
        </w:trPr>
        <w:tc>
          <w:tcPr>
            <w:tcW w:w="5129" w:type="dxa"/>
            <w:gridSpan w:val="2"/>
            <w:vMerge/>
          </w:tcPr>
          <w:p w14:paraId="0B07D15B" w14:textId="77777777" w:rsidR="00B726FD" w:rsidRPr="00B726FD" w:rsidRDefault="00B726FD" w:rsidP="00B726FD">
            <w:pPr>
              <w:pStyle w:val="Body"/>
              <w:rPr>
                <w:rFonts w:ascii="Arial" w:hAnsi="Arial" w:cs="Arial"/>
                <w:sz w:val="20"/>
                <w:szCs w:val="20"/>
              </w:rPr>
            </w:pPr>
          </w:p>
        </w:tc>
        <w:tc>
          <w:tcPr>
            <w:tcW w:w="1083" w:type="dxa"/>
          </w:tcPr>
          <w:p w14:paraId="45F74D93"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38/48</w:t>
            </w:r>
          </w:p>
        </w:tc>
        <w:tc>
          <w:tcPr>
            <w:tcW w:w="3030" w:type="dxa"/>
          </w:tcPr>
          <w:p w14:paraId="3B67DF1D"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Key impairments were noted in eating (requiring assisted feeding), dressing (inability to manipulate fasteners), toileting (incontinence and dependency), and hygiene (complete assistance required).</w:t>
            </w:r>
          </w:p>
          <w:p w14:paraId="1AE725CB" w14:textId="77777777" w:rsidR="00B726FD" w:rsidRPr="00B726FD" w:rsidRDefault="00B726FD" w:rsidP="00B726FD">
            <w:pPr>
              <w:pStyle w:val="Body"/>
              <w:rPr>
                <w:rFonts w:ascii="Arial" w:hAnsi="Arial" w:cs="Arial"/>
                <w:sz w:val="20"/>
                <w:szCs w:val="20"/>
              </w:rPr>
            </w:pPr>
          </w:p>
        </w:tc>
      </w:tr>
    </w:tbl>
    <w:p w14:paraId="412F4BFE" w14:textId="77777777" w:rsidR="00B726FD" w:rsidRPr="00B726FD" w:rsidRDefault="00B726FD" w:rsidP="00B726FD">
      <w:pPr>
        <w:pStyle w:val="Body"/>
        <w:spacing w:after="0"/>
        <w:rPr>
          <w:rFonts w:ascii="Arial" w:hAnsi="Arial" w:cs="Arial"/>
        </w:rPr>
      </w:pPr>
    </w:p>
    <w:tbl>
      <w:tblPr>
        <w:tblStyle w:val="TableGrid"/>
        <w:tblW w:w="0" w:type="auto"/>
        <w:tblLook w:val="04A0" w:firstRow="1" w:lastRow="0" w:firstColumn="1" w:lastColumn="0" w:noHBand="0" w:noVBand="1"/>
      </w:tblPr>
      <w:tblGrid>
        <w:gridCol w:w="2179"/>
        <w:gridCol w:w="8837"/>
      </w:tblGrid>
      <w:tr w:rsidR="00B726FD" w:rsidRPr="00B726FD" w14:paraId="16E18553" w14:textId="77777777" w:rsidTr="00975A14">
        <w:tc>
          <w:tcPr>
            <w:tcW w:w="0" w:type="auto"/>
            <w:gridSpan w:val="2"/>
          </w:tcPr>
          <w:p w14:paraId="4E831C4D" w14:textId="77777777" w:rsidR="00B726FD" w:rsidRPr="00B726FD" w:rsidRDefault="00B726FD" w:rsidP="00B726FD">
            <w:pPr>
              <w:pStyle w:val="Body"/>
              <w:rPr>
                <w:rFonts w:ascii="Arial" w:hAnsi="Arial" w:cs="Arial"/>
                <w:b/>
                <w:bCs/>
                <w:sz w:val="20"/>
                <w:szCs w:val="20"/>
              </w:rPr>
            </w:pPr>
            <w:r w:rsidRPr="00B726FD">
              <w:rPr>
                <w:rFonts w:ascii="Arial" w:hAnsi="Arial" w:cs="Arial"/>
                <w:b/>
                <w:bCs/>
                <w:sz w:val="20"/>
                <w:szCs w:val="20"/>
              </w:rPr>
              <w:t>Table 2: Evidence informed rehabilitation protocol:</w:t>
            </w:r>
          </w:p>
        </w:tc>
      </w:tr>
      <w:tr w:rsidR="00B726FD" w:rsidRPr="00B726FD" w14:paraId="7BA3AE46" w14:textId="77777777" w:rsidTr="00975A14">
        <w:tc>
          <w:tcPr>
            <w:tcW w:w="0" w:type="auto"/>
            <w:hideMark/>
          </w:tcPr>
          <w:p w14:paraId="64C48257" w14:textId="77777777" w:rsidR="00B726FD" w:rsidRPr="00B726FD" w:rsidRDefault="00B726FD" w:rsidP="00B726FD">
            <w:pPr>
              <w:pStyle w:val="Body"/>
              <w:rPr>
                <w:rFonts w:ascii="Arial" w:hAnsi="Arial" w:cs="Arial"/>
                <w:b/>
                <w:bCs/>
                <w:sz w:val="20"/>
                <w:szCs w:val="20"/>
              </w:rPr>
            </w:pPr>
            <w:r w:rsidRPr="00B726FD">
              <w:rPr>
                <w:rFonts w:ascii="Arial" w:hAnsi="Arial" w:cs="Arial"/>
                <w:b/>
                <w:bCs/>
                <w:sz w:val="20"/>
                <w:szCs w:val="20"/>
              </w:rPr>
              <w:t>Domain</w:t>
            </w:r>
          </w:p>
        </w:tc>
        <w:tc>
          <w:tcPr>
            <w:tcW w:w="0" w:type="auto"/>
            <w:hideMark/>
          </w:tcPr>
          <w:p w14:paraId="61C91E7E" w14:textId="77777777" w:rsidR="00B726FD" w:rsidRPr="00B726FD" w:rsidRDefault="00B726FD" w:rsidP="00B726FD">
            <w:pPr>
              <w:pStyle w:val="Body"/>
              <w:rPr>
                <w:rFonts w:ascii="Arial" w:hAnsi="Arial" w:cs="Arial"/>
                <w:b/>
                <w:bCs/>
                <w:sz w:val="20"/>
                <w:szCs w:val="20"/>
              </w:rPr>
            </w:pPr>
            <w:r w:rsidRPr="00B726FD">
              <w:rPr>
                <w:rFonts w:ascii="Arial" w:hAnsi="Arial" w:cs="Arial"/>
                <w:b/>
                <w:bCs/>
                <w:sz w:val="20"/>
                <w:szCs w:val="20"/>
              </w:rPr>
              <w:t>Specific Intervention</w:t>
            </w:r>
          </w:p>
        </w:tc>
      </w:tr>
      <w:tr w:rsidR="00B726FD" w:rsidRPr="00B726FD" w14:paraId="546CDDCE" w14:textId="77777777" w:rsidTr="00975A14">
        <w:tc>
          <w:tcPr>
            <w:tcW w:w="0" w:type="auto"/>
            <w:hideMark/>
          </w:tcPr>
          <w:p w14:paraId="51619FDA"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 xml:space="preserve">Postural Control &amp; </w:t>
            </w:r>
            <w:r w:rsidRPr="00B726FD">
              <w:rPr>
                <w:rFonts w:ascii="Arial" w:hAnsi="Arial" w:cs="Arial"/>
                <w:sz w:val="20"/>
                <w:szCs w:val="20"/>
              </w:rPr>
              <w:lastRenderedPageBreak/>
              <w:t>Sitting</w:t>
            </w:r>
          </w:p>
        </w:tc>
        <w:tc>
          <w:tcPr>
            <w:tcW w:w="0" w:type="auto"/>
            <w:hideMark/>
          </w:tcPr>
          <w:p w14:paraId="293E41BE"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lastRenderedPageBreak/>
              <w:t xml:space="preserve">Task-Oriented Sitting Training on therapy ball with trunk support- Dynamic Reaching in Sitting </w:t>
            </w:r>
            <w:r w:rsidRPr="00B726FD">
              <w:rPr>
                <w:rFonts w:ascii="Arial" w:hAnsi="Arial" w:cs="Arial"/>
                <w:sz w:val="20"/>
                <w:szCs w:val="20"/>
              </w:rPr>
              <w:lastRenderedPageBreak/>
              <w:t xml:space="preserve">with therapist facilitation (2x/day)- </w:t>
            </w:r>
            <w:proofErr w:type="spellStart"/>
            <w:r w:rsidRPr="00B726FD">
              <w:rPr>
                <w:rFonts w:ascii="Arial" w:hAnsi="Arial" w:cs="Arial"/>
                <w:sz w:val="20"/>
                <w:szCs w:val="20"/>
              </w:rPr>
              <w:t>Sidelying</w:t>
            </w:r>
            <w:proofErr w:type="spellEnd"/>
            <w:r w:rsidRPr="00B726FD">
              <w:rPr>
                <w:rFonts w:ascii="Arial" w:hAnsi="Arial" w:cs="Arial"/>
                <w:sz w:val="20"/>
                <w:szCs w:val="20"/>
              </w:rPr>
              <w:t xml:space="preserve"> transitions</w:t>
            </w:r>
          </w:p>
        </w:tc>
      </w:tr>
      <w:tr w:rsidR="00B726FD" w:rsidRPr="00B726FD" w14:paraId="0C02120E" w14:textId="77777777" w:rsidTr="00975A14">
        <w:tc>
          <w:tcPr>
            <w:tcW w:w="0" w:type="auto"/>
            <w:hideMark/>
          </w:tcPr>
          <w:p w14:paraId="6F86021F"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lastRenderedPageBreak/>
              <w:t>Chest Expansion &amp; Breathing</w:t>
            </w:r>
          </w:p>
        </w:tc>
        <w:tc>
          <w:tcPr>
            <w:tcW w:w="0" w:type="auto"/>
            <w:hideMark/>
          </w:tcPr>
          <w:p w14:paraId="030C5ABF"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 xml:space="preserve">Segmental Breathing Exercises (apical, lateral, basal)- Manual Chest Compression &amp; Expansion </w:t>
            </w:r>
            <w:proofErr w:type="spellStart"/>
            <w:r w:rsidRPr="00B726FD">
              <w:rPr>
                <w:rFonts w:ascii="Arial" w:hAnsi="Arial" w:cs="Arial"/>
                <w:sz w:val="20"/>
                <w:szCs w:val="20"/>
              </w:rPr>
              <w:t>with hold</w:t>
            </w:r>
            <w:proofErr w:type="spellEnd"/>
            <w:r w:rsidRPr="00B726FD">
              <w:rPr>
                <w:rFonts w:ascii="Arial" w:hAnsi="Arial" w:cs="Arial"/>
                <w:sz w:val="20"/>
                <w:szCs w:val="20"/>
              </w:rPr>
              <w:t xml:space="preserve">-relax- Bubble </w:t>
            </w:r>
            <w:r w:rsidRPr="00B726FD">
              <w:rPr>
                <w:rFonts w:ascii="Arial" w:hAnsi="Arial" w:cs="Arial"/>
                <w:sz w:val="20"/>
                <w:szCs w:val="20"/>
                <w:lang w:val="en-GB"/>
              </w:rPr>
              <w:t xml:space="preserve">Positive expiratory pressure </w:t>
            </w:r>
            <w:r w:rsidRPr="00B726FD">
              <w:rPr>
                <w:rFonts w:ascii="Arial" w:hAnsi="Arial" w:cs="Arial"/>
                <w:sz w:val="20"/>
                <w:szCs w:val="20"/>
              </w:rPr>
              <w:t>PEP therapy</w:t>
            </w:r>
          </w:p>
        </w:tc>
      </w:tr>
      <w:tr w:rsidR="00B726FD" w:rsidRPr="00B726FD" w14:paraId="4C143BE3" w14:textId="77777777" w:rsidTr="00975A14">
        <w:tc>
          <w:tcPr>
            <w:tcW w:w="0" w:type="auto"/>
            <w:hideMark/>
          </w:tcPr>
          <w:p w14:paraId="467B4D33"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Tone &amp; Contracture Prevention</w:t>
            </w:r>
          </w:p>
        </w:tc>
        <w:tc>
          <w:tcPr>
            <w:tcW w:w="0" w:type="auto"/>
            <w:hideMark/>
          </w:tcPr>
          <w:p w14:paraId="034D6B26"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 xml:space="preserve">Prolonged Passive Stretching (hamstrings, pectorals, </w:t>
            </w:r>
            <w:proofErr w:type="spellStart"/>
            <w:r w:rsidRPr="00B726FD">
              <w:rPr>
                <w:rFonts w:ascii="Arial" w:hAnsi="Arial" w:cs="Arial"/>
                <w:sz w:val="20"/>
                <w:szCs w:val="20"/>
              </w:rPr>
              <w:t>gastroc</w:t>
            </w:r>
            <w:proofErr w:type="spellEnd"/>
            <w:r w:rsidRPr="00B726FD">
              <w:rPr>
                <w:rFonts w:ascii="Arial" w:hAnsi="Arial" w:cs="Arial"/>
                <w:sz w:val="20"/>
                <w:szCs w:val="20"/>
              </w:rPr>
              <w:t>) for 60 seconds x 3- Rhythmic Inhibition &amp; Neurodevelopmental Technique (NDT) Handling- Positioning in long sitting or prone</w:t>
            </w:r>
          </w:p>
        </w:tc>
      </w:tr>
      <w:tr w:rsidR="00B726FD" w:rsidRPr="00B726FD" w14:paraId="61523298" w14:textId="77777777" w:rsidTr="00975A14">
        <w:tc>
          <w:tcPr>
            <w:tcW w:w="0" w:type="auto"/>
            <w:hideMark/>
          </w:tcPr>
          <w:p w14:paraId="3F4A5E51"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Trunk &amp; Core Strength</w:t>
            </w:r>
          </w:p>
        </w:tc>
        <w:tc>
          <w:tcPr>
            <w:tcW w:w="0" w:type="auto"/>
            <w:hideMark/>
          </w:tcPr>
          <w:p w14:paraId="231114A8"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Bridging with Pelvic Assistance in supine- Facilitated Rolling &amp; Segmental Trunk Rotation with reach cues</w:t>
            </w:r>
          </w:p>
        </w:tc>
      </w:tr>
      <w:tr w:rsidR="00B726FD" w:rsidRPr="00B726FD" w14:paraId="047E6843" w14:textId="77777777" w:rsidTr="00975A14">
        <w:tc>
          <w:tcPr>
            <w:tcW w:w="0" w:type="auto"/>
            <w:hideMark/>
          </w:tcPr>
          <w:p w14:paraId="296BC896"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Upper Limb Functional Use</w:t>
            </w:r>
          </w:p>
        </w:tc>
        <w:tc>
          <w:tcPr>
            <w:tcW w:w="0" w:type="auto"/>
            <w:hideMark/>
          </w:tcPr>
          <w:p w14:paraId="26FAF464"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Weight Bearing Through Upper Extremities in prone-on-elbows- Bilateral Reaching with Visual Cueing- Hand-over-hand feeding simulation</w:t>
            </w:r>
          </w:p>
        </w:tc>
      </w:tr>
      <w:tr w:rsidR="00B726FD" w:rsidRPr="00B726FD" w14:paraId="5D4955FA" w14:textId="77777777" w:rsidTr="00975A14">
        <w:tc>
          <w:tcPr>
            <w:tcW w:w="0" w:type="auto"/>
            <w:hideMark/>
          </w:tcPr>
          <w:p w14:paraId="00729435"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Sensory-Motor Stimulation</w:t>
            </w:r>
          </w:p>
        </w:tc>
        <w:tc>
          <w:tcPr>
            <w:tcW w:w="0" w:type="auto"/>
            <w:hideMark/>
          </w:tcPr>
          <w:p w14:paraId="46AC5BC4"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Thermal Tactile Stimulation prior to feeding- Auditory &amp; Proprioceptive Input during tasks- Deep Pressure for calming dystonia</w:t>
            </w:r>
          </w:p>
        </w:tc>
      </w:tr>
      <w:tr w:rsidR="00B726FD" w:rsidRPr="00B726FD" w14:paraId="1B7CCACE" w14:textId="77777777" w:rsidTr="00975A14">
        <w:tc>
          <w:tcPr>
            <w:tcW w:w="0" w:type="auto"/>
            <w:hideMark/>
          </w:tcPr>
          <w:p w14:paraId="61745313"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Mobility &amp; Weight Bearing</w:t>
            </w:r>
          </w:p>
        </w:tc>
        <w:tc>
          <w:tcPr>
            <w:tcW w:w="0" w:type="auto"/>
            <w:hideMark/>
          </w:tcPr>
          <w:p w14:paraId="46A3F863"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Tilt Table Standing 20 min/day with abdominal binder- Side-lying to sit task practice- Sit-to-stand with max assist + cues</w:t>
            </w:r>
          </w:p>
        </w:tc>
      </w:tr>
      <w:tr w:rsidR="00B726FD" w:rsidRPr="00B726FD" w14:paraId="366C9ABC" w14:textId="77777777" w:rsidTr="00975A14">
        <w:tc>
          <w:tcPr>
            <w:tcW w:w="0" w:type="auto"/>
            <w:hideMark/>
          </w:tcPr>
          <w:p w14:paraId="1D7CF656" w14:textId="77777777" w:rsidR="00B726FD" w:rsidRPr="00B726FD" w:rsidRDefault="00B726FD" w:rsidP="00B726FD">
            <w:pPr>
              <w:pStyle w:val="Body"/>
              <w:rPr>
                <w:rFonts w:ascii="Arial" w:hAnsi="Arial" w:cs="Arial"/>
                <w:sz w:val="20"/>
                <w:szCs w:val="20"/>
              </w:rPr>
            </w:pPr>
            <w:proofErr w:type="spellStart"/>
            <w:r w:rsidRPr="00B726FD">
              <w:rPr>
                <w:rFonts w:ascii="Arial" w:hAnsi="Arial" w:cs="Arial"/>
                <w:sz w:val="20"/>
                <w:szCs w:val="20"/>
              </w:rPr>
              <w:t>Oromotor</w:t>
            </w:r>
            <w:proofErr w:type="spellEnd"/>
            <w:r w:rsidRPr="00B726FD">
              <w:rPr>
                <w:rFonts w:ascii="Arial" w:hAnsi="Arial" w:cs="Arial"/>
                <w:sz w:val="20"/>
                <w:szCs w:val="20"/>
              </w:rPr>
              <w:t xml:space="preserve"> &amp; Swallowing</w:t>
            </w:r>
          </w:p>
        </w:tc>
        <w:tc>
          <w:tcPr>
            <w:tcW w:w="0" w:type="auto"/>
            <w:hideMark/>
          </w:tcPr>
          <w:p w14:paraId="5E030F3E"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Jaw Support During Swallowing- Textured Bolus Trials with SLP- Lips and Cheek Tactile Stimulation before feeding</w:t>
            </w:r>
          </w:p>
        </w:tc>
      </w:tr>
      <w:tr w:rsidR="00B726FD" w:rsidRPr="00B726FD" w14:paraId="6E9DF1B0" w14:textId="77777777" w:rsidTr="00975A14">
        <w:tc>
          <w:tcPr>
            <w:tcW w:w="0" w:type="auto"/>
            <w:hideMark/>
          </w:tcPr>
          <w:p w14:paraId="7F78F6A2"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Orthotic Support</w:t>
            </w:r>
          </w:p>
        </w:tc>
        <w:tc>
          <w:tcPr>
            <w:tcW w:w="0" w:type="auto"/>
            <w:hideMark/>
          </w:tcPr>
          <w:p w14:paraId="5E9AAAF9"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Night Resting Splints for elbows &amp; wrists- Soft Cervical Collar for torticollis- Discontinued KAFOs due to skin breakdown</w:t>
            </w:r>
          </w:p>
        </w:tc>
      </w:tr>
      <w:tr w:rsidR="00B726FD" w:rsidRPr="00B726FD" w14:paraId="1FFE876D" w14:textId="77777777" w:rsidTr="00975A14">
        <w:tc>
          <w:tcPr>
            <w:tcW w:w="0" w:type="auto"/>
            <w:hideMark/>
          </w:tcPr>
          <w:p w14:paraId="3C4DE7F8"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Caregiver Empowerment</w:t>
            </w:r>
          </w:p>
        </w:tc>
        <w:tc>
          <w:tcPr>
            <w:tcW w:w="0" w:type="auto"/>
            <w:hideMark/>
          </w:tcPr>
          <w:p w14:paraId="13C8F8D4"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Caregiver-Delivered Home Stretching Protocol (2x/day)- Feeding &amp; Positioning Checklist- Training in seizure response &amp; safe transfers</w:t>
            </w:r>
          </w:p>
        </w:tc>
      </w:tr>
      <w:tr w:rsidR="00B726FD" w:rsidRPr="00B726FD" w14:paraId="47D09587" w14:textId="77777777" w:rsidTr="00975A14">
        <w:tc>
          <w:tcPr>
            <w:tcW w:w="0" w:type="auto"/>
            <w:hideMark/>
          </w:tcPr>
          <w:p w14:paraId="029E3319"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Quality of Life &amp; Expression</w:t>
            </w:r>
          </w:p>
        </w:tc>
        <w:tc>
          <w:tcPr>
            <w:tcW w:w="0" w:type="auto"/>
            <w:hideMark/>
          </w:tcPr>
          <w:p w14:paraId="0A1AF909"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Music Therapy Sessions (familiar songs, rhythmic entrainment)- Facial Cue Interpretation &amp; Interaction Coaching for family</w:t>
            </w:r>
          </w:p>
        </w:tc>
      </w:tr>
    </w:tbl>
    <w:p w14:paraId="280542E9" w14:textId="77777777" w:rsidR="00B726FD" w:rsidRPr="00B726FD" w:rsidRDefault="00B726FD" w:rsidP="00B726FD">
      <w:pPr>
        <w:pStyle w:val="Body"/>
        <w:spacing w:after="0"/>
        <w:rPr>
          <w:rFonts w:ascii="Arial" w:hAnsi="Arial" w:cs="Arial"/>
        </w:rPr>
      </w:pPr>
    </w:p>
    <w:p w14:paraId="6CE4BE42" w14:textId="77777777" w:rsidR="00B726FD" w:rsidRDefault="00B726FD" w:rsidP="00B726FD">
      <w:pPr>
        <w:pStyle w:val="Body"/>
        <w:spacing w:after="0"/>
        <w:rPr>
          <w:rFonts w:ascii="Arial" w:hAnsi="Arial" w:cs="Arial"/>
        </w:rPr>
      </w:pPr>
      <w:r w:rsidRPr="00B726FD">
        <w:rPr>
          <w:rFonts w:ascii="Arial" w:hAnsi="Arial" w:cs="Arial"/>
        </w:rPr>
        <w:t>She had severe dystonia, fixed postures, advanced scoliosis, compromised respiratory function, and limited communication at age 11. Complications included swallowing dysfunction and recurrent infections. She had developed signs of gastrointestinal obstruction, refractory seizures, and aspiration-related cardiorespiratory arrest within 72 hours, resulting in death in late 2024.</w:t>
      </w:r>
    </w:p>
    <w:p w14:paraId="1E63CD1C" w14:textId="77777777" w:rsidR="00B726FD" w:rsidRPr="00B726FD" w:rsidRDefault="00B726FD" w:rsidP="00B726FD">
      <w:pPr>
        <w:pStyle w:val="Body"/>
        <w:spacing w:after="0"/>
        <w:rPr>
          <w:rFonts w:ascii="Arial" w:hAnsi="Arial" w:cs="Arial"/>
        </w:rPr>
      </w:pPr>
    </w:p>
    <w:p w14:paraId="75C06AA2" w14:textId="77777777" w:rsidR="00B726FD" w:rsidRDefault="00B726FD" w:rsidP="00B726FD">
      <w:pPr>
        <w:pStyle w:val="Body"/>
        <w:spacing w:after="0"/>
        <w:rPr>
          <w:rFonts w:ascii="Arial" w:hAnsi="Arial" w:cs="Arial"/>
        </w:rPr>
      </w:pPr>
      <w:r w:rsidRPr="00B726FD">
        <w:rPr>
          <w:rFonts w:ascii="Arial" w:hAnsi="Arial" w:cs="Arial"/>
        </w:rPr>
        <w:t>This case highlights the rare and innovative nature of HSD and offers a longitudinal case study, objective outcome measures, and an evidence-informed physiotherapy approach to advanced pediatric neurodegenerative cases.</w:t>
      </w:r>
    </w:p>
    <w:p w14:paraId="71C7C348" w14:textId="77777777" w:rsidR="00B726FD" w:rsidRPr="00B726FD" w:rsidRDefault="00B726FD" w:rsidP="00B726FD">
      <w:pPr>
        <w:pStyle w:val="Body"/>
        <w:spacing w:after="0"/>
        <w:rPr>
          <w:rFonts w:ascii="Arial" w:hAnsi="Arial" w:cs="Arial"/>
        </w:rPr>
      </w:pPr>
    </w:p>
    <w:p w14:paraId="179B99DE" w14:textId="77777777" w:rsidR="00B726FD" w:rsidRDefault="00B726FD" w:rsidP="00B726FD">
      <w:pPr>
        <w:pStyle w:val="Body"/>
        <w:spacing w:after="0"/>
        <w:rPr>
          <w:rFonts w:ascii="Arial" w:hAnsi="Arial" w:cs="Arial"/>
          <w:b/>
          <w:bCs/>
          <w:sz w:val="22"/>
          <w:szCs w:val="22"/>
        </w:rPr>
      </w:pPr>
      <w:r w:rsidRPr="00B726FD">
        <w:rPr>
          <w:rFonts w:ascii="Arial" w:hAnsi="Arial" w:cs="Arial"/>
          <w:b/>
          <w:bCs/>
          <w:sz w:val="22"/>
          <w:szCs w:val="22"/>
        </w:rPr>
        <w:t xml:space="preserve">3. DISCUSSION: </w:t>
      </w:r>
    </w:p>
    <w:p w14:paraId="476AA51A" w14:textId="77777777" w:rsidR="00B726FD" w:rsidRPr="00B726FD" w:rsidRDefault="00B726FD" w:rsidP="00B726FD">
      <w:pPr>
        <w:pStyle w:val="Body"/>
        <w:spacing w:after="0"/>
        <w:rPr>
          <w:rFonts w:ascii="Arial" w:hAnsi="Arial" w:cs="Arial"/>
          <w:b/>
          <w:bCs/>
          <w:sz w:val="22"/>
          <w:szCs w:val="22"/>
        </w:rPr>
      </w:pPr>
    </w:p>
    <w:p w14:paraId="614CACE9" w14:textId="77777777" w:rsidR="00B726FD" w:rsidRDefault="00B726FD" w:rsidP="00B726FD">
      <w:pPr>
        <w:pStyle w:val="Body"/>
        <w:spacing w:after="0"/>
        <w:rPr>
          <w:rFonts w:ascii="Arial" w:hAnsi="Arial" w:cs="Arial"/>
        </w:rPr>
      </w:pPr>
      <w:proofErr w:type="spellStart"/>
      <w:r w:rsidRPr="00B726FD">
        <w:rPr>
          <w:rFonts w:ascii="Arial" w:hAnsi="Arial" w:cs="Arial"/>
        </w:rPr>
        <w:t>Hallerverden</w:t>
      </w:r>
      <w:proofErr w:type="spellEnd"/>
      <w:r w:rsidRPr="00B726FD">
        <w:rPr>
          <w:rFonts w:ascii="Arial" w:hAnsi="Arial" w:cs="Arial"/>
        </w:rPr>
        <w:t xml:space="preserve"> </w:t>
      </w:r>
      <w:proofErr w:type="spellStart"/>
      <w:r w:rsidRPr="00B726FD">
        <w:rPr>
          <w:rFonts w:ascii="Arial" w:hAnsi="Arial" w:cs="Arial"/>
        </w:rPr>
        <w:t>Spatz</w:t>
      </w:r>
      <w:proofErr w:type="spellEnd"/>
      <w:r w:rsidRPr="00B726FD">
        <w:rPr>
          <w:rFonts w:ascii="Arial" w:hAnsi="Arial" w:cs="Arial"/>
        </w:rPr>
        <w:t xml:space="preserve"> Disease (HSD) is an uncommon autosomal recessive neurodegenerative disorder belonging to the NBIA spectrum. It is associated with iron accumulation in the basal ganglia, with most of them being in the globus pallidus. The most frequent underlying genetic etiology is mutation of the PANK2 gene, but others are present. Our patient presented a homozygous 215-216ins A* mutation, which is typical of classical types of HSD </w:t>
      </w:r>
      <w:r w:rsidRPr="00B726FD">
        <w:rPr>
          <w:rFonts w:ascii="Arial" w:hAnsi="Arial" w:cs="Arial"/>
          <w:vertAlign w:val="superscript"/>
        </w:rPr>
        <w:t>[6]</w:t>
      </w:r>
      <w:r w:rsidRPr="00B726FD">
        <w:rPr>
          <w:rFonts w:ascii="Arial" w:hAnsi="Arial" w:cs="Arial"/>
        </w:rPr>
        <w:t>.</w:t>
      </w:r>
    </w:p>
    <w:p w14:paraId="55925803" w14:textId="77777777" w:rsidR="00B726FD" w:rsidRPr="00B726FD" w:rsidRDefault="00B726FD" w:rsidP="00B726FD">
      <w:pPr>
        <w:pStyle w:val="Body"/>
        <w:spacing w:after="0"/>
        <w:rPr>
          <w:rFonts w:ascii="Arial" w:hAnsi="Arial" w:cs="Arial"/>
        </w:rPr>
      </w:pPr>
    </w:p>
    <w:p w14:paraId="6A473E1C" w14:textId="77777777" w:rsidR="00B726FD" w:rsidRDefault="00B726FD" w:rsidP="00B726FD">
      <w:pPr>
        <w:pStyle w:val="Body"/>
        <w:spacing w:after="0"/>
        <w:rPr>
          <w:rFonts w:ascii="Arial" w:hAnsi="Arial" w:cs="Arial"/>
        </w:rPr>
      </w:pPr>
      <w:r w:rsidRPr="00B726FD">
        <w:rPr>
          <w:rFonts w:ascii="Arial" w:hAnsi="Arial" w:cs="Arial"/>
        </w:rPr>
        <w:t xml:space="preserve">The classical expression of PKAN usually occurs in early childhood with dystonia, dysarthria, and rigidity between 7 and 15 years of age </w:t>
      </w:r>
      <w:r w:rsidRPr="00B726FD">
        <w:rPr>
          <w:rFonts w:ascii="Arial" w:hAnsi="Arial" w:cs="Arial"/>
          <w:vertAlign w:val="superscript"/>
        </w:rPr>
        <w:t>[4]</w:t>
      </w:r>
      <w:r w:rsidRPr="00B726FD">
        <w:rPr>
          <w:rFonts w:ascii="Arial" w:hAnsi="Arial" w:cs="Arial"/>
        </w:rPr>
        <w:t xml:space="preserve">. Survival is variable, but median survival after diagnosis is about 10 to 12 years, with a few patients experiencing a quick deterioration and death within one to two years from the onset of symptoms </w:t>
      </w:r>
      <w:r w:rsidRPr="00B726FD">
        <w:rPr>
          <w:rFonts w:ascii="Arial" w:hAnsi="Arial" w:cs="Arial"/>
          <w:vertAlign w:val="superscript"/>
        </w:rPr>
        <w:t>[7,3]</w:t>
      </w:r>
      <w:r w:rsidRPr="00B726FD">
        <w:rPr>
          <w:rFonts w:ascii="Arial" w:hAnsi="Arial" w:cs="Arial"/>
        </w:rPr>
        <w:t>.</w:t>
      </w:r>
    </w:p>
    <w:p w14:paraId="4A269BE7" w14:textId="77777777" w:rsidR="00B726FD" w:rsidRPr="00B726FD" w:rsidRDefault="00B726FD" w:rsidP="00B726FD">
      <w:pPr>
        <w:pStyle w:val="Body"/>
        <w:spacing w:after="0"/>
        <w:rPr>
          <w:rFonts w:ascii="Arial" w:hAnsi="Arial" w:cs="Arial"/>
        </w:rPr>
      </w:pPr>
    </w:p>
    <w:p w14:paraId="4637BDB1" w14:textId="77777777" w:rsidR="00B726FD" w:rsidRDefault="00B726FD" w:rsidP="00B726FD">
      <w:pPr>
        <w:pStyle w:val="Body"/>
        <w:spacing w:after="0"/>
        <w:rPr>
          <w:rFonts w:ascii="Arial" w:hAnsi="Arial" w:cs="Arial"/>
        </w:rPr>
      </w:pPr>
      <w:r w:rsidRPr="00B726FD">
        <w:rPr>
          <w:rFonts w:ascii="Arial" w:hAnsi="Arial" w:cs="Arial"/>
        </w:rPr>
        <w:t>Early signs of abnormal gait at 11 months progressed rapidly into postural collapse, fixed deformities, and near total functional dependence at 11 years. In spite of early use of physiotherapy, the relentless pace of motor deterioration highlights the limited success of symptomatic treatment with which we are armed.</w:t>
      </w:r>
    </w:p>
    <w:p w14:paraId="637501CC" w14:textId="77777777" w:rsidR="00B726FD" w:rsidRPr="00B726FD" w:rsidRDefault="00B726FD" w:rsidP="00B726FD">
      <w:pPr>
        <w:pStyle w:val="Body"/>
        <w:spacing w:after="0"/>
        <w:rPr>
          <w:rFonts w:ascii="Arial" w:hAnsi="Arial" w:cs="Arial"/>
        </w:rPr>
      </w:pPr>
    </w:p>
    <w:p w14:paraId="1AD2C86D" w14:textId="77777777" w:rsidR="00B726FD" w:rsidRDefault="00B726FD" w:rsidP="00B726FD">
      <w:pPr>
        <w:pStyle w:val="Body"/>
        <w:spacing w:after="0"/>
        <w:rPr>
          <w:rFonts w:ascii="Arial" w:hAnsi="Arial" w:cs="Arial"/>
        </w:rPr>
      </w:pPr>
      <w:r w:rsidRPr="00B726FD">
        <w:rPr>
          <w:rFonts w:ascii="Arial" w:hAnsi="Arial" w:cs="Arial"/>
        </w:rPr>
        <w:t xml:space="preserve">While most patients have relentless progression, there is considerable heterogeneity in the disease course. Some patients have a slow rate of progression or, indeed, a plateau for many years, maintaining functional capacity well into the </w:t>
      </w:r>
      <w:r w:rsidRPr="00B726FD">
        <w:rPr>
          <w:rFonts w:ascii="Arial" w:hAnsi="Arial" w:cs="Arial"/>
        </w:rPr>
        <w:lastRenderedPageBreak/>
        <w:t xml:space="preserve">third decade </w:t>
      </w:r>
      <w:r w:rsidRPr="00B726FD">
        <w:rPr>
          <w:rFonts w:ascii="Arial" w:hAnsi="Arial" w:cs="Arial"/>
          <w:vertAlign w:val="superscript"/>
        </w:rPr>
        <w:t>[3,8]</w:t>
      </w:r>
      <w:r w:rsidRPr="00B726FD">
        <w:rPr>
          <w:rFonts w:ascii="Arial" w:hAnsi="Arial" w:cs="Arial"/>
        </w:rPr>
        <w:t xml:space="preserve">. There are others who experience catastrophic disability and deterioration, wheelchair dependency by mid-teens, and premature death from such complications as dysphagia and aspiration pneumonia </w:t>
      </w:r>
      <w:r w:rsidRPr="00B726FD">
        <w:rPr>
          <w:rFonts w:ascii="Arial" w:hAnsi="Arial" w:cs="Arial"/>
          <w:vertAlign w:val="superscript"/>
        </w:rPr>
        <w:t>[3,7]</w:t>
      </w:r>
      <w:r w:rsidRPr="00B726FD">
        <w:rPr>
          <w:rFonts w:ascii="Arial" w:hAnsi="Arial" w:cs="Arial"/>
        </w:rPr>
        <w:t>.</w:t>
      </w:r>
    </w:p>
    <w:p w14:paraId="235FC4DB" w14:textId="77777777" w:rsidR="00B726FD" w:rsidRPr="00B726FD" w:rsidRDefault="00B726FD" w:rsidP="00B726FD">
      <w:pPr>
        <w:pStyle w:val="Body"/>
        <w:spacing w:after="0"/>
        <w:rPr>
          <w:rFonts w:ascii="Arial" w:hAnsi="Arial" w:cs="Arial"/>
        </w:rPr>
      </w:pPr>
    </w:p>
    <w:p w14:paraId="2C0FD56F" w14:textId="77777777" w:rsidR="00B726FD" w:rsidRDefault="00B726FD" w:rsidP="00B726FD">
      <w:pPr>
        <w:pStyle w:val="Body"/>
        <w:spacing w:after="0"/>
        <w:rPr>
          <w:rFonts w:ascii="Arial" w:hAnsi="Arial" w:cs="Arial"/>
        </w:rPr>
      </w:pPr>
      <w:r w:rsidRPr="00B726FD">
        <w:rPr>
          <w:rFonts w:ascii="Arial" w:hAnsi="Arial" w:cs="Arial"/>
        </w:rPr>
        <w:t xml:space="preserve">In the rare forms of the disease, onset is later in life, and the course of the disease is slower, with an uncertain prognosis </w:t>
      </w:r>
      <w:r w:rsidRPr="00B726FD">
        <w:rPr>
          <w:rFonts w:ascii="Arial" w:hAnsi="Arial" w:cs="Arial"/>
          <w:vertAlign w:val="superscript"/>
        </w:rPr>
        <w:t>[4,8]</w:t>
      </w:r>
      <w:r w:rsidRPr="00B726FD">
        <w:rPr>
          <w:rFonts w:ascii="Arial" w:hAnsi="Arial" w:cs="Arial"/>
        </w:rPr>
        <w:t xml:space="preserve">. Genetic evaluation and counseling of the affected patients and families are indicated, as understanding of the underlying genetics of the disease can be used to inform clinical course and direct management strategies </w:t>
      </w:r>
      <w:r w:rsidRPr="00B726FD">
        <w:rPr>
          <w:rFonts w:ascii="Arial" w:hAnsi="Arial" w:cs="Arial"/>
          <w:vertAlign w:val="superscript"/>
        </w:rPr>
        <w:t>[9]</w:t>
      </w:r>
      <w:r w:rsidRPr="00B726FD">
        <w:rPr>
          <w:rFonts w:ascii="Arial" w:hAnsi="Arial" w:cs="Arial"/>
        </w:rPr>
        <w:t xml:space="preserve">. In rare cases, while symptomatic treatment can be provided, to date there is no absolute cure for </w:t>
      </w:r>
      <w:proofErr w:type="spellStart"/>
      <w:r w:rsidRPr="00B726FD">
        <w:rPr>
          <w:rFonts w:ascii="Arial" w:hAnsi="Arial" w:cs="Arial"/>
        </w:rPr>
        <w:t>Hallervorden-Spatz</w:t>
      </w:r>
      <w:proofErr w:type="spellEnd"/>
      <w:r w:rsidRPr="00B726FD">
        <w:rPr>
          <w:rFonts w:ascii="Arial" w:hAnsi="Arial" w:cs="Arial"/>
        </w:rPr>
        <w:t xml:space="preserve"> disease, and supportive treatment is still useful to improve quality of life in affected patients </w:t>
      </w:r>
      <w:r w:rsidRPr="00B726FD">
        <w:rPr>
          <w:rFonts w:ascii="Arial" w:hAnsi="Arial" w:cs="Arial"/>
          <w:vertAlign w:val="superscript"/>
        </w:rPr>
        <w:t>[7,5]</w:t>
      </w:r>
      <w:r w:rsidRPr="00B726FD">
        <w:rPr>
          <w:rFonts w:ascii="Arial" w:hAnsi="Arial" w:cs="Arial"/>
        </w:rPr>
        <w:t>.</w:t>
      </w:r>
    </w:p>
    <w:p w14:paraId="767BCEED" w14:textId="77777777" w:rsidR="00B726FD" w:rsidRPr="00B726FD" w:rsidRDefault="00B726FD" w:rsidP="00B726FD">
      <w:pPr>
        <w:pStyle w:val="Body"/>
        <w:spacing w:after="0"/>
        <w:rPr>
          <w:rFonts w:ascii="Arial" w:hAnsi="Arial" w:cs="Arial"/>
        </w:rPr>
      </w:pPr>
    </w:p>
    <w:p w14:paraId="06BE3E81" w14:textId="77777777" w:rsidR="00B726FD" w:rsidRDefault="00B726FD" w:rsidP="00B726FD">
      <w:pPr>
        <w:pStyle w:val="Body"/>
        <w:spacing w:after="0"/>
        <w:rPr>
          <w:rFonts w:ascii="Arial" w:hAnsi="Arial" w:cs="Arial"/>
          <w:b/>
          <w:bCs/>
        </w:rPr>
      </w:pPr>
      <w:r>
        <w:rPr>
          <w:rFonts w:ascii="Arial" w:hAnsi="Arial" w:cs="Arial"/>
          <w:b/>
          <w:bCs/>
        </w:rPr>
        <w:t xml:space="preserve">4. </w:t>
      </w:r>
      <w:r w:rsidRPr="00B726FD">
        <w:rPr>
          <w:rFonts w:ascii="Arial" w:hAnsi="Arial" w:cs="Arial"/>
          <w:b/>
          <w:bCs/>
        </w:rPr>
        <w:t>CONCLUSION:</w:t>
      </w:r>
    </w:p>
    <w:p w14:paraId="4B709DA0" w14:textId="77777777" w:rsidR="00B726FD" w:rsidRPr="00B726FD" w:rsidRDefault="00B726FD" w:rsidP="00B726FD">
      <w:pPr>
        <w:pStyle w:val="Body"/>
        <w:spacing w:after="0"/>
        <w:rPr>
          <w:rFonts w:ascii="Arial" w:hAnsi="Arial" w:cs="Arial"/>
          <w:b/>
          <w:bCs/>
        </w:rPr>
      </w:pPr>
    </w:p>
    <w:p w14:paraId="3A5BD6E5" w14:textId="77777777" w:rsidR="00B726FD" w:rsidRDefault="00B726FD" w:rsidP="00B726FD">
      <w:pPr>
        <w:pStyle w:val="Body"/>
        <w:spacing w:after="0"/>
        <w:rPr>
          <w:rFonts w:ascii="Arial" w:hAnsi="Arial" w:cs="Arial"/>
        </w:rPr>
      </w:pPr>
      <w:r w:rsidRPr="00B726FD">
        <w:rPr>
          <w:rFonts w:ascii="Arial" w:hAnsi="Arial" w:cs="Arial"/>
        </w:rPr>
        <w:t>This case demonstrates the natural history of untreated and treatment-resistant NBIA. Our case is one of the few, detailed longitudinal descriptions of pediatric HSD, from developmental concern to terminal complications. It highlights the importance of multidisciplinary management, early genetic counseling, and the necessity for research into disease-modifying therapy. The case also further convinces the case for the use of validated outcome measures in follow-up of pediatric neurodegenerative disease, to improve monitoring of progression, and the targeting of interventions.</w:t>
      </w:r>
    </w:p>
    <w:p w14:paraId="704FEBE0" w14:textId="77777777" w:rsidR="00B726FD" w:rsidRPr="00B726FD" w:rsidRDefault="00B726FD" w:rsidP="00B726FD">
      <w:pPr>
        <w:pStyle w:val="Body"/>
        <w:spacing w:after="0"/>
        <w:rPr>
          <w:rFonts w:ascii="Arial" w:hAnsi="Arial" w:cs="Arial"/>
        </w:rPr>
      </w:pPr>
    </w:p>
    <w:p w14:paraId="75BD060D" w14:textId="77777777" w:rsidR="002B685A" w:rsidRPr="00410C62" w:rsidRDefault="002B685A" w:rsidP="00441B6F">
      <w:pPr>
        <w:pStyle w:val="ReferHead"/>
        <w:spacing w:after="0"/>
        <w:jc w:val="both"/>
        <w:rPr>
          <w:rFonts w:ascii="Arial" w:hAnsi="Arial" w:cs="Arial"/>
          <w:b w:val="0"/>
          <w:caps w:val="0"/>
          <w:sz w:val="20"/>
        </w:rPr>
      </w:pPr>
    </w:p>
    <w:p w14:paraId="6F9E286A" w14:textId="77777777" w:rsidR="005C784C" w:rsidRPr="007373CE" w:rsidRDefault="002B685A" w:rsidP="00441B6F">
      <w:pPr>
        <w:pStyle w:val="ReferHead"/>
        <w:spacing w:after="0"/>
        <w:jc w:val="both"/>
        <w:rPr>
          <w:rFonts w:ascii="Arial" w:hAnsi="Arial" w:cs="Arial"/>
          <w:b w:val="0"/>
          <w:caps w:val="0"/>
          <w:sz w:val="20"/>
        </w:rPr>
      </w:pPr>
      <w:r w:rsidRPr="002B685A">
        <w:rPr>
          <w:rFonts w:ascii="Arial" w:hAnsi="Arial" w:cs="Arial"/>
          <w:bCs/>
        </w:rPr>
        <w:t>Consent</w:t>
      </w:r>
      <w:r>
        <w:rPr>
          <w:rFonts w:ascii="Arial" w:hAnsi="Arial" w:cs="Arial"/>
          <w:bCs/>
        </w:rPr>
        <w:t xml:space="preserve"> </w:t>
      </w:r>
      <w:r w:rsidR="007373CE" w:rsidRPr="007373CE">
        <w:rPr>
          <w:rFonts w:ascii="Arial" w:hAnsi="Arial" w:cs="Arial"/>
          <w:bCs/>
          <w:caps w:val="0"/>
          <w:szCs w:val="22"/>
        </w:rPr>
        <w:t xml:space="preserve">AND </w:t>
      </w:r>
      <w:r w:rsidR="005C784C">
        <w:rPr>
          <w:rFonts w:ascii="Arial" w:hAnsi="Arial" w:cs="Arial"/>
          <w:bCs/>
        </w:rPr>
        <w:t>Ethical approval (where</w:t>
      </w:r>
      <w:r w:rsidR="007369E6">
        <w:rPr>
          <w:rFonts w:ascii="Arial" w:hAnsi="Arial" w:cs="Arial"/>
          <w:bCs/>
        </w:rPr>
        <w:t xml:space="preserve"> </w:t>
      </w:r>
      <w:r w:rsidR="005C784C">
        <w:rPr>
          <w:rFonts w:ascii="Arial" w:hAnsi="Arial" w:cs="Arial"/>
          <w:bCs/>
        </w:rPr>
        <w:t>ever applicable)</w:t>
      </w:r>
    </w:p>
    <w:p w14:paraId="218168EA" w14:textId="77777777" w:rsidR="005C784C" w:rsidRPr="002B685A" w:rsidRDefault="005C784C" w:rsidP="00441B6F">
      <w:pPr>
        <w:pStyle w:val="ReferHead"/>
        <w:spacing w:after="0"/>
        <w:jc w:val="both"/>
        <w:rPr>
          <w:rFonts w:ascii="Arial" w:hAnsi="Arial" w:cs="Arial"/>
          <w:bCs/>
        </w:rPr>
      </w:pPr>
    </w:p>
    <w:p w14:paraId="7CA29CF7" w14:textId="77777777" w:rsidR="00B01FCD" w:rsidRDefault="00B726FD" w:rsidP="00B726FD">
      <w:pPr>
        <w:pStyle w:val="ReferHead"/>
        <w:spacing w:after="0"/>
        <w:jc w:val="both"/>
        <w:rPr>
          <w:rFonts w:ascii="Arial" w:hAnsi="Arial" w:cs="Arial"/>
          <w:b w:val="0"/>
          <w:caps w:val="0"/>
          <w:sz w:val="20"/>
        </w:rPr>
      </w:pPr>
      <w:r w:rsidRPr="00B726FD">
        <w:rPr>
          <w:rFonts w:ascii="Arial" w:hAnsi="Arial" w:cs="Arial"/>
          <w:b w:val="0"/>
          <w:caps w:val="0"/>
          <w:sz w:val="20"/>
        </w:rPr>
        <w:t>Ethical approval was not required for this single case report as per institutional guidelines; however, written informed consent for participation and publication was obtained from the patient’s legal guardian</w:t>
      </w:r>
      <w:r>
        <w:rPr>
          <w:rFonts w:ascii="Arial" w:hAnsi="Arial" w:cs="Arial"/>
          <w:b w:val="0"/>
          <w:caps w:val="0"/>
          <w:sz w:val="20"/>
        </w:rPr>
        <w:t>.</w:t>
      </w:r>
    </w:p>
    <w:p w14:paraId="6E140FF9" w14:textId="77777777" w:rsidR="007B7AA0" w:rsidRDefault="007B7AA0" w:rsidP="00B726FD">
      <w:pPr>
        <w:pStyle w:val="ReferHead"/>
        <w:spacing w:after="0"/>
        <w:jc w:val="both"/>
        <w:rPr>
          <w:rFonts w:ascii="Arial" w:hAnsi="Arial" w:cs="Arial"/>
          <w:b w:val="0"/>
          <w:caps w:val="0"/>
          <w:sz w:val="20"/>
        </w:rPr>
      </w:pPr>
    </w:p>
    <w:p w14:paraId="2C57405D" w14:textId="77777777" w:rsidR="007B7AA0" w:rsidRDefault="007B7AA0" w:rsidP="00B726FD">
      <w:pPr>
        <w:pStyle w:val="ReferHead"/>
        <w:spacing w:after="0"/>
        <w:jc w:val="both"/>
        <w:rPr>
          <w:rFonts w:ascii="Arial" w:hAnsi="Arial" w:cs="Arial"/>
          <w:b w:val="0"/>
          <w:caps w:val="0"/>
          <w:sz w:val="20"/>
        </w:rPr>
      </w:pPr>
    </w:p>
    <w:p w14:paraId="1F3D2CD3" w14:textId="77777777" w:rsidR="007B7AA0" w:rsidRPr="007B7AA0" w:rsidRDefault="007B7AA0" w:rsidP="007B7AA0">
      <w:pPr>
        <w:pStyle w:val="ReferHead"/>
        <w:jc w:val="both"/>
        <w:rPr>
          <w:rFonts w:ascii="Arial" w:hAnsi="Arial" w:cs="Arial"/>
          <w:b w:val="0"/>
          <w:caps w:val="0"/>
          <w:sz w:val="20"/>
        </w:rPr>
      </w:pPr>
      <w:r w:rsidRPr="007B7AA0">
        <w:rPr>
          <w:rFonts w:ascii="Arial" w:hAnsi="Arial" w:cs="Arial"/>
          <w:b w:val="0"/>
          <w:caps w:val="0"/>
          <w:sz w:val="20"/>
        </w:rPr>
        <w:t>COMPETING INTERESTS DISCLAIMER:</w:t>
      </w:r>
    </w:p>
    <w:p w14:paraId="65F50384" w14:textId="08ED4CC8" w:rsidR="007B7AA0" w:rsidRDefault="007B7AA0" w:rsidP="007B7AA0">
      <w:pPr>
        <w:pStyle w:val="ReferHead"/>
        <w:spacing w:after="0"/>
        <w:jc w:val="both"/>
        <w:rPr>
          <w:rFonts w:ascii="Arial" w:hAnsi="Arial" w:cs="Arial"/>
          <w:b w:val="0"/>
          <w:caps w:val="0"/>
          <w:sz w:val="20"/>
        </w:rPr>
      </w:pPr>
      <w:r w:rsidRPr="007B7AA0">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1ED7B0DB" w14:textId="77777777" w:rsidR="00EB0097" w:rsidRDefault="00EB0097" w:rsidP="00B726FD">
      <w:pPr>
        <w:pStyle w:val="ReferHead"/>
        <w:spacing w:after="0"/>
        <w:jc w:val="both"/>
        <w:rPr>
          <w:rFonts w:ascii="Arial" w:hAnsi="Arial" w:cs="Arial"/>
          <w:b w:val="0"/>
          <w:caps w:val="0"/>
          <w:sz w:val="20"/>
        </w:rPr>
      </w:pPr>
    </w:p>
    <w:p w14:paraId="741FA4BB" w14:textId="77777777" w:rsidR="00EB0097" w:rsidRDefault="00EB0097" w:rsidP="00B726FD">
      <w:pPr>
        <w:pStyle w:val="ReferHead"/>
        <w:spacing w:after="0"/>
        <w:jc w:val="both"/>
        <w:rPr>
          <w:rFonts w:ascii="Arial" w:hAnsi="Arial" w:cs="Arial"/>
          <w:b w:val="0"/>
          <w:caps w:val="0"/>
          <w:sz w:val="20"/>
        </w:rPr>
      </w:pPr>
    </w:p>
    <w:p w14:paraId="4B53FDED" w14:textId="77777777" w:rsidR="00EB0097" w:rsidRDefault="00EB0097" w:rsidP="00B726FD">
      <w:pPr>
        <w:pStyle w:val="ReferHead"/>
        <w:spacing w:after="0"/>
        <w:jc w:val="both"/>
        <w:rPr>
          <w:rFonts w:ascii="Arial" w:hAnsi="Arial" w:cs="Arial"/>
          <w:b w:val="0"/>
          <w:caps w:val="0"/>
          <w:sz w:val="20"/>
        </w:rPr>
      </w:pPr>
    </w:p>
    <w:p w14:paraId="1B97B97A" w14:textId="77777777" w:rsidR="00EB0097" w:rsidRPr="00B726FD" w:rsidRDefault="00EB0097" w:rsidP="00EB0097">
      <w:pPr>
        <w:pStyle w:val="Body"/>
        <w:spacing w:after="0"/>
        <w:rPr>
          <w:rFonts w:ascii="Arial" w:hAnsi="Arial" w:cs="Arial"/>
          <w:b/>
          <w:bCs/>
          <w:sz w:val="22"/>
          <w:szCs w:val="22"/>
        </w:rPr>
      </w:pPr>
      <w:r w:rsidRPr="00B726FD">
        <w:rPr>
          <w:rFonts w:ascii="Arial" w:hAnsi="Arial" w:cs="Arial"/>
          <w:b/>
          <w:bCs/>
          <w:sz w:val="22"/>
          <w:szCs w:val="22"/>
        </w:rPr>
        <w:t xml:space="preserve">5. REFERENCES: </w:t>
      </w:r>
    </w:p>
    <w:p w14:paraId="26B350DE" w14:textId="77777777" w:rsidR="00EB0097" w:rsidRPr="00B726FD" w:rsidRDefault="00EB0097" w:rsidP="00EB0097">
      <w:pPr>
        <w:pStyle w:val="Body"/>
        <w:spacing w:after="0"/>
        <w:rPr>
          <w:rFonts w:ascii="Arial" w:hAnsi="Arial" w:cs="Arial"/>
          <w:b/>
          <w:bCs/>
        </w:rPr>
      </w:pPr>
    </w:p>
    <w:p w14:paraId="48321C6E" w14:textId="77777777" w:rsidR="00EB0097" w:rsidRPr="00B726FD" w:rsidRDefault="00EB0097" w:rsidP="00EB0097">
      <w:pPr>
        <w:pStyle w:val="Body"/>
        <w:spacing w:after="0"/>
        <w:rPr>
          <w:rFonts w:ascii="Arial" w:hAnsi="Arial" w:cs="Arial"/>
        </w:rPr>
      </w:pPr>
      <w:r w:rsidRPr="00B726FD">
        <w:rPr>
          <w:rFonts w:ascii="Arial" w:hAnsi="Arial" w:cs="Arial"/>
        </w:rPr>
        <w:t>1.</w:t>
      </w:r>
      <w:r w:rsidRPr="00B726FD">
        <w:rPr>
          <w:rFonts w:ascii="Arial" w:hAnsi="Arial" w:cs="Arial"/>
        </w:rPr>
        <w:tab/>
        <w:t xml:space="preserve">Kurian MA, </w:t>
      </w:r>
      <w:proofErr w:type="spellStart"/>
      <w:r w:rsidRPr="00B726FD">
        <w:rPr>
          <w:rFonts w:ascii="Arial" w:hAnsi="Arial" w:cs="Arial"/>
        </w:rPr>
        <w:t>Spaull</w:t>
      </w:r>
      <w:proofErr w:type="spellEnd"/>
      <w:r w:rsidRPr="00B726FD">
        <w:rPr>
          <w:rFonts w:ascii="Arial" w:hAnsi="Arial" w:cs="Arial"/>
        </w:rPr>
        <w:t xml:space="preserve"> RV V, Soo AKS, Hogarth P, Hayflick SJ. Towards Precision Therapies for Inherited Disorders of Neurodegeneration with Brain Iron Accumulation. 2021;11(1):1-20. doi:10.5334/tohm.661</w:t>
      </w:r>
    </w:p>
    <w:p w14:paraId="45798240" w14:textId="77777777" w:rsidR="00EB0097" w:rsidRPr="00B726FD" w:rsidRDefault="00EB0097" w:rsidP="00EB0097">
      <w:pPr>
        <w:pStyle w:val="Body"/>
        <w:spacing w:after="0"/>
        <w:rPr>
          <w:rFonts w:ascii="Arial" w:hAnsi="Arial" w:cs="Arial"/>
        </w:rPr>
      </w:pPr>
      <w:r w:rsidRPr="00B726FD">
        <w:rPr>
          <w:rFonts w:ascii="Arial" w:hAnsi="Arial" w:cs="Arial"/>
        </w:rPr>
        <w:t>2.</w:t>
      </w:r>
      <w:r w:rsidRPr="00B726FD">
        <w:rPr>
          <w:rFonts w:ascii="Arial" w:hAnsi="Arial" w:cs="Arial"/>
        </w:rPr>
        <w:tab/>
        <w:t>Overview of NBIA Disorders - NBIA Disorders Association. Accessed May 15, 2025. https://www.nbiadisorders.org/about-nbia/overview-of-nbia-disorders</w:t>
      </w:r>
    </w:p>
    <w:p w14:paraId="6186A65E" w14:textId="77777777" w:rsidR="00EB0097" w:rsidRPr="00B726FD" w:rsidRDefault="00EB0097" w:rsidP="00EB0097">
      <w:pPr>
        <w:pStyle w:val="Body"/>
        <w:spacing w:after="0"/>
        <w:rPr>
          <w:rFonts w:ascii="Arial" w:hAnsi="Arial" w:cs="Arial"/>
        </w:rPr>
      </w:pPr>
      <w:r w:rsidRPr="00B726FD">
        <w:rPr>
          <w:rFonts w:ascii="Arial" w:hAnsi="Arial" w:cs="Arial"/>
        </w:rPr>
        <w:t>3.</w:t>
      </w:r>
      <w:r w:rsidRPr="00B726FD">
        <w:rPr>
          <w:rFonts w:ascii="Arial" w:hAnsi="Arial" w:cs="Arial"/>
        </w:rPr>
        <w:tab/>
      </w:r>
      <w:proofErr w:type="spellStart"/>
      <w:r w:rsidRPr="00B726FD">
        <w:rPr>
          <w:rFonts w:ascii="Arial" w:hAnsi="Arial" w:cs="Arial"/>
        </w:rPr>
        <w:t>Hallervorden-Spatz</w:t>
      </w:r>
      <w:proofErr w:type="spellEnd"/>
      <w:r w:rsidRPr="00B726FD">
        <w:rPr>
          <w:rFonts w:ascii="Arial" w:hAnsi="Arial" w:cs="Arial"/>
        </w:rPr>
        <w:t xml:space="preserve"> Disease | Syndromes: Rapid Recognition and Perioperative Implications, 2e | </w:t>
      </w:r>
      <w:proofErr w:type="spellStart"/>
      <w:r w:rsidRPr="00B726FD">
        <w:rPr>
          <w:rFonts w:ascii="Arial" w:hAnsi="Arial" w:cs="Arial"/>
        </w:rPr>
        <w:t>AccessPediatrics</w:t>
      </w:r>
      <w:proofErr w:type="spellEnd"/>
      <w:r w:rsidRPr="00B726FD">
        <w:rPr>
          <w:rFonts w:ascii="Arial" w:hAnsi="Arial" w:cs="Arial"/>
        </w:rPr>
        <w:t xml:space="preserve"> | McGraw Hill Medical. Accessed May 18, 2025. https://accesspediatrics.mhmedical.com/content.aspx?bookid=2674&amp;sectionid=220531686</w:t>
      </w:r>
    </w:p>
    <w:p w14:paraId="05A94B2E" w14:textId="77777777" w:rsidR="00EB0097" w:rsidRPr="00B726FD" w:rsidRDefault="00EB0097" w:rsidP="00EB0097">
      <w:pPr>
        <w:pStyle w:val="Body"/>
        <w:spacing w:after="0"/>
        <w:rPr>
          <w:rFonts w:ascii="Arial" w:hAnsi="Arial" w:cs="Arial"/>
        </w:rPr>
      </w:pPr>
      <w:r w:rsidRPr="00B726FD">
        <w:rPr>
          <w:rFonts w:ascii="Arial" w:hAnsi="Arial" w:cs="Arial"/>
        </w:rPr>
        <w:t>4.</w:t>
      </w:r>
      <w:r w:rsidRPr="00B726FD">
        <w:rPr>
          <w:rFonts w:ascii="Arial" w:hAnsi="Arial" w:cs="Arial"/>
        </w:rPr>
        <w:tab/>
      </w:r>
      <w:proofErr w:type="spellStart"/>
      <w:r w:rsidRPr="00B726FD">
        <w:rPr>
          <w:rFonts w:ascii="Arial" w:hAnsi="Arial" w:cs="Arial"/>
        </w:rPr>
        <w:t>Hallervorden-Spatz</w:t>
      </w:r>
      <w:proofErr w:type="spellEnd"/>
      <w:r w:rsidRPr="00B726FD">
        <w:rPr>
          <w:rFonts w:ascii="Arial" w:hAnsi="Arial" w:cs="Arial"/>
        </w:rPr>
        <w:t xml:space="preserve"> syndrome, PANK2, and the tiger’s eyes. Arch Dis Child. 2003;88(6):487-487. doi:10.1136/ADC.88.6.487</w:t>
      </w:r>
    </w:p>
    <w:p w14:paraId="4AB5CDD2" w14:textId="77777777" w:rsidR="00EB0097" w:rsidRPr="00B726FD" w:rsidRDefault="00EB0097" w:rsidP="00EB0097">
      <w:pPr>
        <w:pStyle w:val="Body"/>
        <w:spacing w:after="0"/>
        <w:rPr>
          <w:rFonts w:ascii="Arial" w:hAnsi="Arial" w:cs="Arial"/>
        </w:rPr>
      </w:pPr>
      <w:r w:rsidRPr="00B726FD">
        <w:rPr>
          <w:rFonts w:ascii="Arial" w:hAnsi="Arial" w:cs="Arial"/>
        </w:rPr>
        <w:t>5.</w:t>
      </w:r>
      <w:r w:rsidRPr="00B726FD">
        <w:rPr>
          <w:rFonts w:ascii="Arial" w:hAnsi="Arial" w:cs="Arial"/>
        </w:rPr>
        <w:tab/>
      </w:r>
      <w:proofErr w:type="spellStart"/>
      <w:r w:rsidRPr="00B726FD">
        <w:rPr>
          <w:rFonts w:ascii="Arial" w:hAnsi="Arial" w:cs="Arial"/>
        </w:rPr>
        <w:t>Pohane</w:t>
      </w:r>
      <w:proofErr w:type="spellEnd"/>
      <w:r w:rsidRPr="00B726FD">
        <w:rPr>
          <w:rFonts w:ascii="Arial" w:hAnsi="Arial" w:cs="Arial"/>
        </w:rPr>
        <w:t xml:space="preserve"> MR, </w:t>
      </w:r>
      <w:proofErr w:type="spellStart"/>
      <w:r w:rsidRPr="00B726FD">
        <w:rPr>
          <w:rFonts w:ascii="Arial" w:hAnsi="Arial" w:cs="Arial"/>
        </w:rPr>
        <w:t>Dafre</w:t>
      </w:r>
      <w:proofErr w:type="spellEnd"/>
      <w:r w:rsidRPr="00B726FD">
        <w:rPr>
          <w:rFonts w:ascii="Arial" w:hAnsi="Arial" w:cs="Arial"/>
        </w:rPr>
        <w:t xml:space="preserve"> R, Sontakke NG. Diagnosis and Treatment of Pantothenate Kinase-Associated Neurodegeneration (PKAN): A Systematic Review. Cureus. 2023;15(9). doi:10.7759/CUREUS.46135</w:t>
      </w:r>
    </w:p>
    <w:p w14:paraId="3BA5CE47" w14:textId="77777777" w:rsidR="00EB0097" w:rsidRPr="00B726FD" w:rsidRDefault="00EB0097" w:rsidP="00EB0097">
      <w:pPr>
        <w:pStyle w:val="Body"/>
        <w:spacing w:after="0"/>
        <w:rPr>
          <w:rFonts w:ascii="Arial" w:hAnsi="Arial" w:cs="Arial"/>
        </w:rPr>
      </w:pPr>
      <w:r w:rsidRPr="00B726FD">
        <w:rPr>
          <w:rFonts w:ascii="Arial" w:hAnsi="Arial" w:cs="Arial"/>
        </w:rPr>
        <w:t>6.</w:t>
      </w:r>
      <w:r w:rsidRPr="00B726FD">
        <w:rPr>
          <w:rFonts w:ascii="Arial" w:hAnsi="Arial" w:cs="Arial"/>
        </w:rPr>
        <w:tab/>
        <w:t xml:space="preserve">Tao Y, Zhao C, Han D, et al. Typical pantothenate kinase-associated neurodegeneration caused by compound heterozygous mutations in PANK2 gene in a Chinese patient: a case report and literature review. Front Neurol. </w:t>
      </w:r>
      <w:proofErr w:type="gramStart"/>
      <w:r w:rsidRPr="00B726FD">
        <w:rPr>
          <w:rFonts w:ascii="Arial" w:hAnsi="Arial" w:cs="Arial"/>
        </w:rPr>
        <w:t>2023;14:1170557</w:t>
      </w:r>
      <w:proofErr w:type="gramEnd"/>
      <w:r w:rsidRPr="00B726FD">
        <w:rPr>
          <w:rFonts w:ascii="Arial" w:hAnsi="Arial" w:cs="Arial"/>
        </w:rPr>
        <w:t>. doi:10.3389/FNEUR.2023.1170557/BIBTEX</w:t>
      </w:r>
    </w:p>
    <w:p w14:paraId="62E73D3A" w14:textId="77777777" w:rsidR="00EB0097" w:rsidRPr="00B726FD" w:rsidRDefault="00EB0097" w:rsidP="00EB0097">
      <w:pPr>
        <w:pStyle w:val="Body"/>
        <w:spacing w:after="0"/>
        <w:rPr>
          <w:rFonts w:ascii="Arial" w:hAnsi="Arial" w:cs="Arial"/>
        </w:rPr>
      </w:pPr>
      <w:r w:rsidRPr="00B726FD">
        <w:rPr>
          <w:rFonts w:ascii="Arial" w:hAnsi="Arial" w:cs="Arial"/>
        </w:rPr>
        <w:t>7.</w:t>
      </w:r>
      <w:r w:rsidRPr="00B726FD">
        <w:rPr>
          <w:rFonts w:ascii="Arial" w:hAnsi="Arial" w:cs="Arial"/>
        </w:rPr>
        <w:tab/>
        <w:t xml:space="preserve">Neurodegeneration with brain iron accumulation | </w:t>
      </w:r>
      <w:proofErr w:type="spellStart"/>
      <w:r w:rsidRPr="00B726FD">
        <w:rPr>
          <w:rFonts w:ascii="Arial" w:hAnsi="Arial" w:cs="Arial"/>
        </w:rPr>
        <w:t>MedLink</w:t>
      </w:r>
      <w:proofErr w:type="spellEnd"/>
      <w:r w:rsidRPr="00B726FD">
        <w:rPr>
          <w:rFonts w:ascii="Arial" w:hAnsi="Arial" w:cs="Arial"/>
        </w:rPr>
        <w:t xml:space="preserve"> Neurology. Accessed May 18, 2025. https://www.medlink.com/articles/neurodegeneration-with-brain-iron-accumulation</w:t>
      </w:r>
    </w:p>
    <w:p w14:paraId="5C24C631" w14:textId="77777777" w:rsidR="00EB0097" w:rsidRPr="00B726FD" w:rsidRDefault="00EB0097" w:rsidP="00EB0097">
      <w:pPr>
        <w:pStyle w:val="Body"/>
        <w:spacing w:after="0"/>
        <w:rPr>
          <w:rFonts w:ascii="Arial" w:hAnsi="Arial" w:cs="Arial"/>
        </w:rPr>
      </w:pPr>
      <w:r w:rsidRPr="00B726FD">
        <w:rPr>
          <w:rFonts w:ascii="Arial" w:hAnsi="Arial" w:cs="Arial"/>
        </w:rPr>
        <w:t>8.</w:t>
      </w:r>
      <w:r w:rsidRPr="00B726FD">
        <w:rPr>
          <w:rFonts w:ascii="Arial" w:hAnsi="Arial" w:cs="Arial"/>
        </w:rPr>
        <w:tab/>
        <w:t xml:space="preserve">Reddy N, Sharma J, Sharma A. Case of </w:t>
      </w:r>
      <w:proofErr w:type="spellStart"/>
      <w:r w:rsidRPr="00B726FD">
        <w:rPr>
          <w:rFonts w:ascii="Arial" w:hAnsi="Arial" w:cs="Arial"/>
        </w:rPr>
        <w:t>Hallervorden</w:t>
      </w:r>
      <w:proofErr w:type="spellEnd"/>
      <w:r w:rsidRPr="00B726FD">
        <w:rPr>
          <w:rFonts w:ascii="Arial" w:hAnsi="Arial" w:cs="Arial"/>
        </w:rPr>
        <w:t>–</w:t>
      </w:r>
      <w:proofErr w:type="spellStart"/>
      <w:r w:rsidRPr="00B726FD">
        <w:rPr>
          <w:rFonts w:ascii="Arial" w:hAnsi="Arial" w:cs="Arial"/>
        </w:rPr>
        <w:t>Spatz</w:t>
      </w:r>
      <w:proofErr w:type="spellEnd"/>
      <w:r w:rsidRPr="00B726FD">
        <w:rPr>
          <w:rFonts w:ascii="Arial" w:hAnsi="Arial" w:cs="Arial"/>
        </w:rPr>
        <w:t xml:space="preserve"> Syndrome: A Tale of Twin Sisters. Neurol India. 2024;72(2):411-413. doi:10.4103/NI.NI_1135_22</w:t>
      </w:r>
    </w:p>
    <w:p w14:paraId="09D423C4" w14:textId="77777777" w:rsidR="00EB0097" w:rsidRPr="00B726FD" w:rsidRDefault="00EB0097" w:rsidP="00EB0097">
      <w:pPr>
        <w:pStyle w:val="Body"/>
        <w:spacing w:after="0"/>
        <w:rPr>
          <w:rFonts w:ascii="Arial" w:hAnsi="Arial" w:cs="Arial"/>
        </w:rPr>
      </w:pPr>
      <w:r w:rsidRPr="00B726FD">
        <w:rPr>
          <w:rFonts w:ascii="Arial" w:hAnsi="Arial" w:cs="Arial"/>
        </w:rPr>
        <w:t>9.</w:t>
      </w:r>
      <w:r w:rsidRPr="00B726FD">
        <w:rPr>
          <w:rFonts w:ascii="Arial" w:hAnsi="Arial" w:cs="Arial"/>
        </w:rPr>
        <w:tab/>
        <w:t xml:space="preserve">Hogarth P, Kurian MA, Gregory A, et al. Consensus clinical management guideline for pantothenate kinase-associated neurodegeneration (PKAN). Mol Genet Metab. 2017;120(3):278-287. </w:t>
      </w:r>
      <w:proofErr w:type="gramStart"/>
      <w:r w:rsidRPr="00B726FD">
        <w:rPr>
          <w:rFonts w:ascii="Arial" w:hAnsi="Arial" w:cs="Arial"/>
        </w:rPr>
        <w:t>doi:10.1016/J.YMGME</w:t>
      </w:r>
      <w:proofErr w:type="gramEnd"/>
      <w:r w:rsidRPr="00B726FD">
        <w:rPr>
          <w:rFonts w:ascii="Arial" w:hAnsi="Arial" w:cs="Arial"/>
        </w:rPr>
        <w:t>.2016.11.004</w:t>
      </w:r>
    </w:p>
    <w:p w14:paraId="2A6CC124" w14:textId="77777777" w:rsidR="00EB0097" w:rsidRPr="00B726FD" w:rsidRDefault="00EB0097" w:rsidP="00EB0097">
      <w:pPr>
        <w:pStyle w:val="Body"/>
        <w:spacing w:after="0"/>
        <w:rPr>
          <w:rFonts w:ascii="Arial" w:hAnsi="Arial" w:cs="Arial"/>
        </w:rPr>
      </w:pPr>
    </w:p>
    <w:p w14:paraId="438DD76E" w14:textId="77777777" w:rsidR="00EB0097" w:rsidRPr="00FB3A86" w:rsidRDefault="00EB0097" w:rsidP="00B726FD">
      <w:pPr>
        <w:pStyle w:val="ReferHead"/>
        <w:spacing w:after="0"/>
        <w:jc w:val="both"/>
        <w:rPr>
          <w:rFonts w:ascii="Arial" w:hAnsi="Arial" w:cs="Arial"/>
          <w:b w:val="0"/>
        </w:rPr>
      </w:pPr>
    </w:p>
    <w:sectPr w:rsidR="00EB0097" w:rsidRPr="00FB3A86" w:rsidSect="000E265E">
      <w:headerReference w:type="even" r:id="rId15"/>
      <w:headerReference w:type="default" r:id="rId16"/>
      <w:footerReference w:type="default" r:id="rId17"/>
      <w:headerReference w:type="first" r:id="rId1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3E41AB" w14:textId="77777777" w:rsidR="00A141E7" w:rsidRDefault="00A141E7" w:rsidP="00C37E61">
      <w:r>
        <w:separator/>
      </w:r>
    </w:p>
  </w:endnote>
  <w:endnote w:type="continuationSeparator" w:id="0">
    <w:p w14:paraId="183955F7" w14:textId="77777777" w:rsidR="00A141E7" w:rsidRDefault="00A141E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413B0" w14:textId="77777777" w:rsidR="000E265E" w:rsidRDefault="000E26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B2C2C" w14:textId="77777777" w:rsidR="000E265E" w:rsidRDefault="000E26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58397" w14:textId="1081B468" w:rsidR="00754C9A" w:rsidRPr="000E265E" w:rsidRDefault="00754C9A" w:rsidP="000E265E">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68D4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AB9DC" w14:textId="77777777" w:rsidR="00A141E7" w:rsidRDefault="00A141E7" w:rsidP="00C37E61">
      <w:r>
        <w:separator/>
      </w:r>
    </w:p>
  </w:footnote>
  <w:footnote w:type="continuationSeparator" w:id="0">
    <w:p w14:paraId="0EB11DAC" w14:textId="77777777" w:rsidR="00A141E7" w:rsidRDefault="00A141E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DE204" w14:textId="531CB149" w:rsidR="000E265E" w:rsidRDefault="000E265E">
    <w:pPr>
      <w:pStyle w:val="Header"/>
    </w:pPr>
    <w:r>
      <w:rPr>
        <w:noProof/>
      </w:rPr>
      <w:pict w14:anchorId="5D63A7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73626"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B5C8D" w14:textId="653EB290" w:rsidR="000E265E" w:rsidRDefault="000E265E">
    <w:pPr>
      <w:pStyle w:val="Header"/>
    </w:pPr>
    <w:r>
      <w:rPr>
        <w:noProof/>
      </w:rPr>
      <w:pict w14:anchorId="21556C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73627"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EB054" w14:textId="3A307552" w:rsidR="00296529" w:rsidRPr="00296529" w:rsidRDefault="000E265E" w:rsidP="00296529">
    <w:pPr>
      <w:ind w:left="2160"/>
      <w:jc w:val="center"/>
      <w:rPr>
        <w:rFonts w:ascii="Times New Roman" w:eastAsia="Calibri" w:hAnsi="Times New Roman"/>
        <w:i/>
        <w:sz w:val="18"/>
        <w:szCs w:val="22"/>
      </w:rPr>
    </w:pPr>
    <w:r>
      <w:rPr>
        <w:noProof/>
      </w:rPr>
      <w:pict w14:anchorId="234F74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73625"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92F40F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4DBEAE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3D0132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07AF06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766166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2757B7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C5252" w14:textId="578F49F7" w:rsidR="000E265E" w:rsidRDefault="000E265E">
    <w:pPr>
      <w:pStyle w:val="Header"/>
    </w:pPr>
    <w:r>
      <w:rPr>
        <w:noProof/>
      </w:rPr>
      <w:pict w14:anchorId="04B966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73629"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9EA40" w14:textId="3678A334" w:rsidR="000E265E" w:rsidRDefault="000E265E">
    <w:pPr>
      <w:pStyle w:val="Header"/>
    </w:pPr>
    <w:r>
      <w:rPr>
        <w:noProof/>
      </w:rPr>
      <w:pict w14:anchorId="45966A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73630"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E1C75" w14:textId="0AB518C4" w:rsidR="000E265E" w:rsidRDefault="000E265E">
    <w:pPr>
      <w:pStyle w:val="Header"/>
    </w:pPr>
    <w:r>
      <w:rPr>
        <w:noProof/>
      </w:rPr>
      <w:pict w14:anchorId="3BAA2E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73628"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0337FCF"/>
    <w:multiLevelType w:val="hybridMultilevel"/>
    <w:tmpl w:val="18D62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54E1"/>
    <w:rsid w:val="0004579C"/>
    <w:rsid w:val="000A47FA"/>
    <w:rsid w:val="000A65D3"/>
    <w:rsid w:val="000B1E33"/>
    <w:rsid w:val="000D367E"/>
    <w:rsid w:val="000D689F"/>
    <w:rsid w:val="000E265E"/>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D54D2"/>
    <w:rsid w:val="001E10D2"/>
    <w:rsid w:val="001E25B4"/>
    <w:rsid w:val="001E44FE"/>
    <w:rsid w:val="001E6FE9"/>
    <w:rsid w:val="00200595"/>
    <w:rsid w:val="00204168"/>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05DC3"/>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0C62"/>
    <w:rsid w:val="00412475"/>
    <w:rsid w:val="00423789"/>
    <w:rsid w:val="00440F43"/>
    <w:rsid w:val="00441B6F"/>
    <w:rsid w:val="00446221"/>
    <w:rsid w:val="00450E62"/>
    <w:rsid w:val="004539DB"/>
    <w:rsid w:val="00471A80"/>
    <w:rsid w:val="004A5BB3"/>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373CE"/>
    <w:rsid w:val="00746E59"/>
    <w:rsid w:val="00754C9A"/>
    <w:rsid w:val="0075599A"/>
    <w:rsid w:val="00761D52"/>
    <w:rsid w:val="00773459"/>
    <w:rsid w:val="0077749E"/>
    <w:rsid w:val="00790ADA"/>
    <w:rsid w:val="007B7AA0"/>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1057"/>
    <w:rsid w:val="009D35A0"/>
    <w:rsid w:val="009D7EB7"/>
    <w:rsid w:val="009E048A"/>
    <w:rsid w:val="009E08E9"/>
    <w:rsid w:val="009E3DB9"/>
    <w:rsid w:val="009E6E35"/>
    <w:rsid w:val="009F0EDA"/>
    <w:rsid w:val="00A03B96"/>
    <w:rsid w:val="00A05B19"/>
    <w:rsid w:val="00A1134E"/>
    <w:rsid w:val="00A141E7"/>
    <w:rsid w:val="00A24E7E"/>
    <w:rsid w:val="00A258C3"/>
    <w:rsid w:val="00A347C0"/>
    <w:rsid w:val="00A51431"/>
    <w:rsid w:val="00A539AD"/>
    <w:rsid w:val="00A82ED5"/>
    <w:rsid w:val="00A94063"/>
    <w:rsid w:val="00AA6219"/>
    <w:rsid w:val="00AA74E0"/>
    <w:rsid w:val="00AB703F"/>
    <w:rsid w:val="00AC6BB8"/>
    <w:rsid w:val="00AE008F"/>
    <w:rsid w:val="00AE7A0C"/>
    <w:rsid w:val="00B01FCD"/>
    <w:rsid w:val="00B1776C"/>
    <w:rsid w:val="00B52583"/>
    <w:rsid w:val="00B52896"/>
    <w:rsid w:val="00B726FD"/>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35550"/>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B0097"/>
    <w:rsid w:val="00EC6A55"/>
    <w:rsid w:val="00ED0288"/>
    <w:rsid w:val="00EE3CB9"/>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25C7233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204168"/>
    <w:pPr>
      <w:spacing w:after="160" w:line="259" w:lineRule="auto"/>
      <w:ind w:left="720"/>
      <w:contextualSpacing/>
    </w:pPr>
    <w:rPr>
      <w:rFonts w:asciiTheme="minorHAnsi" w:eastAsiaTheme="minorHAnsi" w:hAnsiTheme="minorHAnsi" w:cstheme="minorBidi"/>
      <w:sz w:val="22"/>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34591829">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73864683">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42503-AF7D-4677-ACBB-2D4D3FD10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31</TotalTime>
  <Pages>5</Pages>
  <Words>2110</Words>
  <Characters>12027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14109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23</cp:revision>
  <cp:lastPrinted>1999-07-06T11:00:00Z</cp:lastPrinted>
  <dcterms:created xsi:type="dcterms:W3CDTF">2014-10-25T14:34:00Z</dcterms:created>
  <dcterms:modified xsi:type="dcterms:W3CDTF">2025-09-17T10:54:00Z</dcterms:modified>
</cp:coreProperties>
</file>