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1B418" w14:textId="73518002" w:rsidR="00D2178C" w:rsidRDefault="009934F0" w:rsidP="00D2178C">
      <w:pPr>
        <w:rPr>
          <w:rFonts w:ascii="Times New Roman" w:hAnsi="Times New Roman" w:cs="Times New Roman"/>
          <w:b/>
          <w:bCs/>
        </w:rPr>
      </w:pPr>
      <w:r w:rsidRPr="00FE0DCB">
        <w:rPr>
          <w:rFonts w:ascii="Times New Roman" w:hAnsi="Times New Roman" w:cs="Times New Roman"/>
          <w:b/>
          <w:bCs/>
        </w:rPr>
        <w:t xml:space="preserve">Adsorption </w:t>
      </w:r>
      <w:r w:rsidR="00F363BF" w:rsidRPr="00FE0DCB">
        <w:rPr>
          <w:rFonts w:ascii="Times New Roman" w:hAnsi="Times New Roman" w:cs="Times New Roman"/>
          <w:b/>
          <w:bCs/>
        </w:rPr>
        <w:t>o</w:t>
      </w:r>
      <w:r w:rsidRPr="00FE0DCB">
        <w:rPr>
          <w:rFonts w:ascii="Times New Roman" w:hAnsi="Times New Roman" w:cs="Times New Roman"/>
          <w:b/>
          <w:bCs/>
        </w:rPr>
        <w:t>f Dye on Soil in North Cyprus Region</w:t>
      </w:r>
    </w:p>
    <w:p w14:paraId="0F0CC348" w14:textId="77777777" w:rsidR="00A94DC9" w:rsidRPr="00FE0DCB" w:rsidRDefault="00A94DC9" w:rsidP="00D2178C">
      <w:pPr>
        <w:rPr>
          <w:rFonts w:ascii="Times New Roman" w:hAnsi="Times New Roman" w:cs="Times New Roman"/>
          <w:b/>
          <w:bCs/>
        </w:rPr>
      </w:pPr>
    </w:p>
    <w:p w14:paraId="2EA78BD9" w14:textId="4E0A25B7" w:rsidR="005231D4" w:rsidRPr="00FE0DCB" w:rsidRDefault="005231D4" w:rsidP="005231D4">
      <w:pPr>
        <w:spacing w:before="100" w:beforeAutospacing="1" w:after="100" w:afterAutospacing="1" w:line="240" w:lineRule="auto"/>
        <w:jc w:val="both"/>
        <w:rPr>
          <w:rFonts w:ascii="Times New Roman" w:hAnsi="Times New Roman" w:cs="Times New Roman"/>
          <w:b/>
          <w:bCs/>
        </w:rPr>
      </w:pPr>
      <w:bookmarkStart w:id="0" w:name="_GoBack"/>
      <w:bookmarkEnd w:id="0"/>
      <w:r w:rsidRPr="00FE0DCB">
        <w:rPr>
          <w:rFonts w:ascii="Times New Roman" w:hAnsi="Times New Roman" w:cs="Times New Roman"/>
          <w:b/>
          <w:bCs/>
        </w:rPr>
        <w:t>ABSTRACT</w:t>
      </w:r>
    </w:p>
    <w:p w14:paraId="3A7F4220" w14:textId="3CE8162D" w:rsidR="005231D4" w:rsidRPr="00FE0DCB" w:rsidRDefault="005231D4" w:rsidP="005231D4">
      <w:pPr>
        <w:spacing w:before="100" w:beforeAutospacing="1" w:after="100" w:afterAutospacing="1" w:line="240" w:lineRule="auto"/>
        <w:jc w:val="both"/>
        <w:rPr>
          <w:rFonts w:ascii="Times New Roman" w:hAnsi="Times New Roman" w:cs="Times New Roman"/>
        </w:rPr>
      </w:pPr>
      <w:r w:rsidRPr="00FE0DCB">
        <w:rPr>
          <w:rFonts w:ascii="Times New Roman" w:hAnsi="Times New Roman" w:cs="Times New Roman"/>
        </w:rPr>
        <w:t xml:space="preserve">Dyes are synthetic or natural </w:t>
      </w:r>
      <w:proofErr w:type="spellStart"/>
      <w:r w:rsidRPr="00FE0DCB">
        <w:rPr>
          <w:rFonts w:ascii="Times New Roman" w:hAnsi="Times New Roman" w:cs="Times New Roman"/>
        </w:rPr>
        <w:t>colourant</w:t>
      </w:r>
      <w:proofErr w:type="spellEnd"/>
      <w:r w:rsidRPr="00FE0DCB">
        <w:rPr>
          <w:rFonts w:ascii="Times New Roman" w:hAnsi="Times New Roman" w:cs="Times New Roman"/>
        </w:rPr>
        <w:t xml:space="preserve"> which are often made up of complex aromatic molecular structures that are utilized by various textile industries for the production of garments and apparels. However, after the use of these dyes in the production of </w:t>
      </w:r>
      <w:proofErr w:type="spellStart"/>
      <w:r w:rsidRPr="00FE0DCB">
        <w:rPr>
          <w:rFonts w:ascii="Times New Roman" w:hAnsi="Times New Roman" w:cs="Times New Roman"/>
        </w:rPr>
        <w:t>coloured</w:t>
      </w:r>
      <w:proofErr w:type="spellEnd"/>
      <w:r w:rsidRPr="00FE0DCB">
        <w:rPr>
          <w:rFonts w:ascii="Times New Roman" w:hAnsi="Times New Roman" w:cs="Times New Roman"/>
        </w:rPr>
        <w:t xml:space="preserve"> fabrics a large amount of effluents containing </w:t>
      </w:r>
      <w:proofErr w:type="spellStart"/>
      <w:r w:rsidRPr="00FE0DCB">
        <w:rPr>
          <w:rFonts w:ascii="Times New Roman" w:hAnsi="Times New Roman" w:cs="Times New Roman"/>
        </w:rPr>
        <w:t>coloured</w:t>
      </w:r>
      <w:proofErr w:type="spellEnd"/>
      <w:r w:rsidRPr="00FE0DCB">
        <w:rPr>
          <w:rFonts w:ascii="Times New Roman" w:hAnsi="Times New Roman" w:cs="Times New Roman"/>
        </w:rPr>
        <w:t xml:space="preserve"> wastes are produced. These waste-water or product destroy both the environment's aesthetic qualities and aquatic life. This led scientist to find ways for the removal of the harmful component (dye) in the effluent. One of the ways discovered was the use of adsorption method. In this method, various materials can be employed as the adsorbent for the removal of dye in effluent. Soil is one of the materials that is now being researched for its adsorption activity against dye removal from solution. The aim of this study was to evaluate the adsorption activity of red color clay soil in North Cyprus on MB dye as well as to understand the interaction of MB dye on the red color clay soil in North Cyprus and also to determine the factors that play an important role during the adsorption process. From the results, it showed that red color clay soil in North Cyprus efficiently adsorbs MB dye from solution. Subsequently, the results reveals that the adsorption activity between MB dye and red color clay soil fits best with Langmuir isotherm model based on the high value of the correlation coefficient (0.9946). This result indicates that monolayer adsorption occurred between the red color clay and MB dye. Additionally, it was discovered that chemisorption interaction occurred between MB dye and red color clay which was as a result of the adsorption process fitting best the pseudo-second-order kinetics model. Furthermore, the results obtained revealed that factors such as contact time, pH, adsorbent dosage and adsorbate dosage play an important role during the adsorption process. Also, the result obtained at each experimental procedure showed that optimum adsorption occurred at pH 7, at contact time of 60 minutes, MB dye concentration of 200 milligram and red color clay soil mass of 0.3 gram. Finally, the maximum adsorption capacity obtained in this study was 192.3077 milligram per gram. This result when compared to other studies did not attain the highest adsorption capacity, according to the literature findings.</w:t>
      </w:r>
    </w:p>
    <w:p w14:paraId="18AA4EBA" w14:textId="4AD6CDCC" w:rsidR="005231D4" w:rsidRPr="00FE0DCB" w:rsidRDefault="005231D4" w:rsidP="005231D4">
      <w:pPr>
        <w:rPr>
          <w:rFonts w:ascii="Times New Roman" w:hAnsi="Times New Roman" w:cs="Times New Roman"/>
        </w:rPr>
      </w:pPr>
      <w:r w:rsidRPr="00FE0DCB">
        <w:rPr>
          <w:rFonts w:ascii="Times New Roman" w:hAnsi="Times New Roman" w:cs="Times New Roman"/>
          <w:b/>
        </w:rPr>
        <w:t>Keywords:</w:t>
      </w:r>
      <w:r w:rsidRPr="00FE0DCB">
        <w:rPr>
          <w:rFonts w:ascii="Times New Roman" w:hAnsi="Times New Roman" w:cs="Times New Roman"/>
        </w:rPr>
        <w:t xml:space="preserve"> Adsorption, Chemisorption, Isotherm, Kinetics Model, MB Dye, Soil.</w:t>
      </w:r>
    </w:p>
    <w:p w14:paraId="38D2F930" w14:textId="77777777" w:rsidR="005231D4" w:rsidRDefault="005231D4" w:rsidP="005231D4">
      <w:pPr>
        <w:rPr>
          <w:rFonts w:ascii="Times New Roman" w:hAnsi="Times New Roman" w:cs="Times New Roman"/>
        </w:rPr>
      </w:pPr>
    </w:p>
    <w:p w14:paraId="6F27A963" w14:textId="77777777" w:rsidR="00FE0DCB" w:rsidRPr="00FE0DCB" w:rsidRDefault="00FE0DCB" w:rsidP="005231D4">
      <w:pPr>
        <w:rPr>
          <w:rFonts w:ascii="Times New Roman" w:hAnsi="Times New Roman" w:cs="Times New Roman"/>
        </w:rPr>
      </w:pPr>
    </w:p>
    <w:p w14:paraId="2F9F26C8" w14:textId="77777777" w:rsidR="0041467E" w:rsidRDefault="0041467E" w:rsidP="005231D4">
      <w:pPr>
        <w:rPr>
          <w:rFonts w:ascii="Times New Roman" w:hAnsi="Times New Roman" w:cs="Times New Roman"/>
          <w:b/>
          <w:bCs/>
        </w:rPr>
      </w:pPr>
    </w:p>
    <w:p w14:paraId="0F02DAA9" w14:textId="4303AF87" w:rsidR="0041467E" w:rsidRDefault="0041467E" w:rsidP="005231D4">
      <w:pPr>
        <w:rPr>
          <w:rFonts w:ascii="Times New Roman" w:hAnsi="Times New Roman" w:cs="Times New Roman"/>
          <w:b/>
          <w:bCs/>
        </w:rPr>
      </w:pPr>
      <w:r>
        <w:rPr>
          <w:rFonts w:ascii="Times New Roman" w:hAnsi="Times New Roman" w:cs="Times New Roman"/>
          <w:b/>
          <w:bCs/>
        </w:rPr>
        <w:t>INTRODUCTION</w:t>
      </w:r>
    </w:p>
    <w:p w14:paraId="11F4B009" w14:textId="079F8D78" w:rsidR="005231D4" w:rsidRPr="00FE0DCB" w:rsidRDefault="005231D4" w:rsidP="005231D4">
      <w:pPr>
        <w:rPr>
          <w:rFonts w:ascii="Times New Roman" w:hAnsi="Times New Roman" w:cs="Times New Roman"/>
          <w:b/>
          <w:bCs/>
        </w:rPr>
      </w:pPr>
      <w:r w:rsidRPr="00FE0DCB">
        <w:rPr>
          <w:rFonts w:ascii="Times New Roman" w:hAnsi="Times New Roman" w:cs="Times New Roman"/>
          <w:b/>
          <w:bCs/>
        </w:rPr>
        <w:t>Background of Study</w:t>
      </w:r>
    </w:p>
    <w:p w14:paraId="589AE30D"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Artificial dyes find their way into aquatic ecosystems through the release of industrial wastewater from various industries, including pharmaceuticals, tanneries, paper production, textile, food processing, plastics manufacturing, tire production, lithography, and the dye manufacturing </w:t>
      </w:r>
      <w:r w:rsidRPr="00FE0DCB">
        <w:rPr>
          <w:rFonts w:ascii="Times New Roman" w:hAnsi="Times New Roman" w:cs="Times New Roman"/>
          <w:shd w:val="clear" w:color="auto" w:fill="FFFFFF"/>
        </w:rPr>
        <w:lastRenderedPageBreak/>
        <w:t>industry (Yagub et al., 2014). A significant quantity of effluents, which are characterized by their colored nature, are generated in the textile industry due to the utilization of dyes for fiber coloring. According to Robinson et al. (2001), there is a wide range of accessible commercial dyes, with more than 10,000 options currently on the market. These dyes are produced on a global scale, with an annual manufacturing volume exceeding 7105 tons. Dyes are frequently composed of intricate aromatic molecular structures, which confer thermal and physicochemical stability, but also pose challenges in terms of degradation. The release of pigmented waste from the textile industry presents numerous health and environmental hazards.</w:t>
      </w:r>
    </w:p>
    <w:p w14:paraId="49054D61"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detrimental effect on both the visual appeal of the environs and the well-being of aquatic organisms are caused by dyes (Akar et al., 2013). Reactive colors pose challenges in terms of their removal through conventional wastewater treatment methods. Due to their limited biodegradability, dyes exhibit ineffectiveness when subjected to biological treatment methods. Conventional methods for eliminating dyes from wastewater includes various techniques such as oxidation (Omura, 1994), ozonation (</w:t>
      </w:r>
      <w:proofErr w:type="spellStart"/>
      <w:r w:rsidRPr="00FE0DCB">
        <w:rPr>
          <w:rFonts w:ascii="Times New Roman" w:hAnsi="Times New Roman" w:cs="Times New Roman"/>
          <w:shd w:val="clear" w:color="auto" w:fill="FFFFFF"/>
        </w:rPr>
        <w:t>Sundrarajan</w:t>
      </w:r>
      <w:proofErr w:type="spellEnd"/>
      <w:r w:rsidRPr="00FE0DCB">
        <w:rPr>
          <w:rFonts w:ascii="Times New Roman" w:hAnsi="Times New Roman" w:cs="Times New Roman"/>
          <w:shd w:val="clear" w:color="auto" w:fill="FFFFFF"/>
        </w:rPr>
        <w:t xml:space="preserve"> et al., 2007), separation of membrane (</w:t>
      </w:r>
      <w:proofErr w:type="spellStart"/>
      <w:r w:rsidRPr="00FE0DCB">
        <w:rPr>
          <w:rFonts w:ascii="Times New Roman" w:hAnsi="Times New Roman" w:cs="Times New Roman"/>
          <w:shd w:val="clear" w:color="auto" w:fill="FFFFFF"/>
        </w:rPr>
        <w:t>Avlonitis</w:t>
      </w:r>
      <w:proofErr w:type="spellEnd"/>
      <w:r w:rsidRPr="00FE0DCB">
        <w:rPr>
          <w:rFonts w:ascii="Times New Roman" w:hAnsi="Times New Roman" w:cs="Times New Roman"/>
          <w:shd w:val="clear" w:color="auto" w:fill="FFFFFF"/>
        </w:rPr>
        <w:t xml:space="preserve"> et al., 2008), coagulation (Zhou et al., 2008), and surface attachment of solid materials (Zhou et al., 2008). Persistent dyes that are present in aquatic habitat impede the penetration of light into the water, thereby causing a modification in photochemical activity (Malik and Grohmann, 2012). In addition, oncogenic and mutating effects on aquatic and human organisms may be triggered by the presence of these chemicals (Praveen et al., 2009). With rapid growth of industrial development, MB dye has emerged as a prominent dye extensively utilized in various industrial sectors, as well as in human and veterinary pharmacology (Yago et al., 2022). MB dye is classified as a cationic dye and is commonly employed in the textile industry for dyeing wool, fibers, and silk. The substance exhibits toxicity, low degradation, and carcinogenicity, as reported by Almeida et al. (2009). Due to their non-biodegradable and chemically inert nature, MB dye and related dyes pose challenges in terms of their removal from effluent using conventional treatment methods. More specifically, the effluent from wastewater contains a dye concentration ranging from 10 to 200 mg/L (</w:t>
      </w:r>
      <w:proofErr w:type="spellStart"/>
      <w:r w:rsidRPr="00FE0DCB">
        <w:rPr>
          <w:rFonts w:ascii="Times New Roman" w:hAnsi="Times New Roman" w:cs="Times New Roman"/>
          <w:shd w:val="clear" w:color="auto" w:fill="FFFFFF"/>
        </w:rPr>
        <w:t>Paneysar</w:t>
      </w:r>
      <w:proofErr w:type="spellEnd"/>
      <w:r w:rsidRPr="00FE0DCB">
        <w:rPr>
          <w:rFonts w:ascii="Times New Roman" w:hAnsi="Times New Roman" w:cs="Times New Roman"/>
          <w:shd w:val="clear" w:color="auto" w:fill="FFFFFF"/>
        </w:rPr>
        <w:t xml:space="preserve"> et al., 2019). As the regulatory limits for dye discharge become increasingly stringent (Malik and Grohmann, 2012), the advancement of effective treatment technologies for eliminating dyes from wastewater is highly critical in reducing the environmental consequences. Various techniques including adsorption, chemical oxidation, microbiological </w:t>
      </w:r>
      <w:r w:rsidRPr="00FE0DCB">
        <w:rPr>
          <w:rFonts w:ascii="Times New Roman" w:hAnsi="Times New Roman" w:cs="Times New Roman"/>
          <w:shd w:val="clear" w:color="auto" w:fill="FFFFFF"/>
        </w:rPr>
        <w:lastRenderedPageBreak/>
        <w:t>decolorization/degradation and photo degradation, have been thoroughly explored as strategies for dye removal (Forgacs et al., 2004).</w:t>
      </w:r>
    </w:p>
    <w:p w14:paraId="6B764C0A" w14:textId="68D262AF"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Adsorption is considered the most advantageous option owing to its economical nature, straightforward fabrication, and effortless integration. Soil analysis plays a crucial role in understanding the adsorption behavior of contaminants on soil. Several aspects influence the rate of sorption on the soil's top layer, including organic matter content, </w:t>
      </w:r>
      <w:proofErr w:type="gramStart"/>
      <w:r w:rsidRPr="00FE0DCB">
        <w:rPr>
          <w:rFonts w:ascii="Times New Roman" w:hAnsi="Times New Roman" w:cs="Times New Roman"/>
          <w:shd w:val="clear" w:color="auto" w:fill="FFFFFF"/>
        </w:rPr>
        <w:t>amount</w:t>
      </w:r>
      <w:proofErr w:type="gramEnd"/>
      <w:r w:rsidRPr="00FE0DCB">
        <w:rPr>
          <w:rFonts w:ascii="Times New Roman" w:hAnsi="Times New Roman" w:cs="Times New Roman"/>
          <w:shd w:val="clear" w:color="auto" w:fill="FFFFFF"/>
        </w:rPr>
        <w:t xml:space="preserve"> of adsorbates, mineral varieties, pH, soil temperature, and composition (Almeida et al., 2009). MB dye also referred to as basic blue 9, has a chemical formula of (C</w:t>
      </w:r>
      <w:r w:rsidRPr="00FE0DCB">
        <w:rPr>
          <w:rFonts w:ascii="Times New Roman" w:hAnsi="Times New Roman" w:cs="Times New Roman"/>
          <w:shd w:val="clear" w:color="auto" w:fill="FFFFFF"/>
          <w:vertAlign w:val="subscript"/>
        </w:rPr>
        <w:t>16</w:t>
      </w:r>
      <w:r w:rsidRPr="00FE0DCB">
        <w:rPr>
          <w:rFonts w:ascii="Times New Roman" w:hAnsi="Times New Roman" w:cs="Times New Roman"/>
          <w:shd w:val="clear" w:color="auto" w:fill="FFFFFF"/>
        </w:rPr>
        <w:t>H</w:t>
      </w:r>
      <w:r w:rsidRPr="00FE0DCB">
        <w:rPr>
          <w:rFonts w:ascii="Times New Roman" w:hAnsi="Times New Roman" w:cs="Times New Roman"/>
          <w:shd w:val="clear" w:color="auto" w:fill="FFFFFF"/>
          <w:vertAlign w:val="subscript"/>
        </w:rPr>
        <w:t>18</w:t>
      </w:r>
      <w:r w:rsidRPr="00FE0DCB">
        <w:rPr>
          <w:rFonts w:ascii="Times New Roman" w:hAnsi="Times New Roman" w:cs="Times New Roman"/>
          <w:shd w:val="clear" w:color="auto" w:fill="FFFFFF"/>
        </w:rPr>
        <w:t>N</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xml:space="preserve">SCl) and molecular weight 319.85 g/mol (Almeida et al., 2009). The chemical structure of MB dye is depicted in </w:t>
      </w:r>
      <w:r w:rsidR="00866758">
        <w:rPr>
          <w:rFonts w:ascii="Times New Roman" w:hAnsi="Times New Roman" w:cs="Times New Roman"/>
          <w:shd w:val="clear" w:color="auto" w:fill="FFFFFF"/>
        </w:rPr>
        <w:t>structure</w:t>
      </w:r>
      <w:r w:rsidR="00EE172E">
        <w:rPr>
          <w:rFonts w:ascii="Times New Roman" w:hAnsi="Times New Roman" w:cs="Times New Roman"/>
          <w:shd w:val="clear" w:color="auto" w:fill="FFFFFF"/>
        </w:rPr>
        <w:t xml:space="preserve"> </w:t>
      </w:r>
      <w:r w:rsidRPr="00FE0DCB">
        <w:rPr>
          <w:rFonts w:ascii="Times New Roman" w:hAnsi="Times New Roman" w:cs="Times New Roman"/>
          <w:shd w:val="clear" w:color="auto" w:fill="FFFFFF"/>
        </w:rPr>
        <w:t xml:space="preserve">1, which represents an organic structure which is decentralized and positively charged with the significant impact in surface interactions of its species on an adsorbent. </w:t>
      </w:r>
      <w:r w:rsidR="00F363BF" w:rsidRPr="00FE0DCB">
        <w:rPr>
          <w:rFonts w:ascii="Times New Roman" w:hAnsi="Times New Roman" w:cs="Times New Roman"/>
          <w:shd w:val="clear" w:color="auto" w:fill="FFFFFF"/>
        </w:rPr>
        <w:t>Therefore,</w:t>
      </w:r>
      <w:r w:rsidRPr="00FE0DCB">
        <w:rPr>
          <w:rFonts w:ascii="Times New Roman" w:hAnsi="Times New Roman" w:cs="Times New Roman"/>
          <w:shd w:val="clear" w:color="auto" w:fill="FFFFFF"/>
        </w:rPr>
        <w:t xml:space="preserve"> adsorption study of MB dye on to soil (clay) is beneficial for soil sustenance and environmental sustainability because of its toxic characteristics. The MB dye is an organic salt and one of the constantly and popularly used (cationic) dye, that contains  3,7bis (</w:t>
      </w:r>
      <w:proofErr w:type="spellStart"/>
      <w:r w:rsidRPr="00FE0DCB">
        <w:rPr>
          <w:rFonts w:ascii="Times New Roman" w:hAnsi="Times New Roman" w:cs="Times New Roman"/>
          <w:shd w:val="clear" w:color="auto" w:fill="FFFFFF"/>
        </w:rPr>
        <w:t>dimethylamino</w:t>
      </w:r>
      <w:proofErr w:type="spellEnd"/>
      <w:r w:rsidRPr="00FE0DCB">
        <w:rPr>
          <w:rFonts w:ascii="Times New Roman" w:hAnsi="Times New Roman" w:cs="Times New Roman"/>
          <w:shd w:val="clear" w:color="auto" w:fill="FFFFFF"/>
        </w:rPr>
        <w:t>)phenothiazine-5-ium  as the counter ion, and belong to heterocyclic aromatic group in the family of phenothiazine, because of their physicochemical features and wide environmental distribution, poor biodegradability and stability, when wrongly disposed can influence environmental effects which can be hazardous to human health and produce harmful byproducts that when contaminated, pose a risk to human health.. (Yago et al., 2022).</w:t>
      </w:r>
    </w:p>
    <w:p w14:paraId="3450189D" w14:textId="77777777" w:rsidR="005231D4" w:rsidRPr="00FE0DCB" w:rsidRDefault="005231D4" w:rsidP="005231D4">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4CD58CD" wp14:editId="24D463CD">
            <wp:extent cx="2762250" cy="1530350"/>
            <wp:effectExtent l="0" t="0" r="0" b="12700"/>
            <wp:docPr id="1" name="Picture 1" descr="A chemical structu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emical structure with black text&#10;&#10;Description automatically generated"/>
                    <pic:cNvPicPr>
                      <a:picLocks noChangeAspect="1"/>
                    </pic:cNvPicPr>
                  </pic:nvPicPr>
                  <pic:blipFill>
                    <a:blip r:embed="rId8"/>
                    <a:stretch>
                      <a:fillRect/>
                    </a:stretch>
                  </pic:blipFill>
                  <pic:spPr>
                    <a:xfrm>
                      <a:off x="0" y="0"/>
                      <a:ext cx="2762250" cy="1530429"/>
                    </a:xfrm>
                    <a:prstGeom prst="rect">
                      <a:avLst/>
                    </a:prstGeom>
                  </pic:spPr>
                </pic:pic>
              </a:graphicData>
            </a:graphic>
          </wp:inline>
        </w:drawing>
      </w:r>
    </w:p>
    <w:p w14:paraId="7FCD17F9" w14:textId="2C5958DA" w:rsidR="005231D4" w:rsidRPr="00FE0DCB" w:rsidRDefault="009D0D74" w:rsidP="005231D4">
      <w:pPr>
        <w:pStyle w:val="Caption"/>
        <w:jc w:val="center"/>
        <w:rPr>
          <w:rFonts w:ascii="Times New Roman" w:hAnsi="Times New Roman" w:cs="Times New Roman"/>
          <w:i w:val="0"/>
          <w:iCs w:val="0"/>
          <w:color w:val="auto"/>
          <w:sz w:val="24"/>
          <w:szCs w:val="24"/>
        </w:rPr>
      </w:pPr>
      <w:bookmarkStart w:id="1" w:name="_Toc150270024"/>
      <w:r w:rsidRPr="009D0D74">
        <w:rPr>
          <w:rFonts w:ascii="Times New Roman" w:hAnsi="Times New Roman" w:cs="Times New Roman"/>
          <w:b/>
          <w:bCs/>
          <w:i w:val="0"/>
          <w:iCs w:val="0"/>
          <w:color w:val="auto"/>
          <w:sz w:val="24"/>
          <w:szCs w:val="24"/>
        </w:rPr>
        <w:t>structure 1</w:t>
      </w:r>
      <w:r w:rsidR="005231D4" w:rsidRPr="00FE0DCB">
        <w:rPr>
          <w:rFonts w:ascii="Times New Roman" w:hAnsi="Times New Roman" w:cs="Times New Roman"/>
          <w:b/>
          <w:bCs/>
          <w:i w:val="0"/>
          <w:iCs w:val="0"/>
          <w:color w:val="auto"/>
          <w:sz w:val="24"/>
          <w:szCs w:val="24"/>
        </w:rPr>
        <w:t>:</w:t>
      </w:r>
      <w:r w:rsidR="005231D4" w:rsidRPr="00FE0DCB">
        <w:rPr>
          <w:rFonts w:ascii="Times New Roman" w:hAnsi="Times New Roman" w:cs="Times New Roman"/>
          <w:i w:val="0"/>
          <w:iCs w:val="0"/>
          <w:color w:val="auto"/>
          <w:sz w:val="24"/>
          <w:szCs w:val="24"/>
        </w:rPr>
        <w:t xml:space="preserve"> Structure of MB dye</w:t>
      </w:r>
      <w:bookmarkEnd w:id="1"/>
    </w:p>
    <w:p w14:paraId="7A1D9C98" w14:textId="77777777" w:rsidR="005231D4" w:rsidRPr="00FE0DCB" w:rsidRDefault="005231D4" w:rsidP="005231D4">
      <w:pPr>
        <w:spacing w:before="100" w:beforeAutospacing="1" w:after="100" w:afterAutospacing="1" w:line="360" w:lineRule="auto"/>
        <w:jc w:val="center"/>
        <w:rPr>
          <w:rFonts w:ascii="Times New Roman" w:hAnsi="Times New Roman" w:cs="Times New Roman"/>
          <w:shd w:val="clear" w:color="auto" w:fill="FFFFFF"/>
        </w:rPr>
      </w:pPr>
      <w:r w:rsidRPr="00FE0DCB">
        <w:rPr>
          <w:rFonts w:ascii="Times New Roman" w:hAnsi="Times New Roman" w:cs="Times New Roman"/>
          <w:b/>
          <w:bCs/>
          <w:shd w:val="clear" w:color="auto" w:fill="FFFFFF"/>
        </w:rPr>
        <w:t>Source:</w:t>
      </w:r>
      <w:r w:rsidRPr="00FE0DCB">
        <w:rPr>
          <w:rFonts w:ascii="Times New Roman" w:hAnsi="Times New Roman" w:cs="Times New Roman"/>
          <w:shd w:val="clear" w:color="auto" w:fill="FFFFFF"/>
        </w:rPr>
        <w:t xml:space="preserve"> (Almeida et al., 2009)</w:t>
      </w:r>
    </w:p>
    <w:p w14:paraId="5D0D7E36" w14:textId="4A6DB531" w:rsidR="005231D4" w:rsidRPr="00FE0DCB" w:rsidRDefault="005231D4" w:rsidP="005231D4">
      <w:pPr>
        <w:pStyle w:val="STYLE2"/>
      </w:pPr>
      <w:bookmarkStart w:id="2" w:name="_Toc149744993"/>
      <w:bookmarkStart w:id="3" w:name="_Toc150260316"/>
      <w:bookmarkStart w:id="4" w:name="_Toc150260549"/>
      <w:bookmarkStart w:id="5" w:name="_Toc150260768"/>
      <w:bookmarkStart w:id="6" w:name="_Toc150260831"/>
      <w:bookmarkStart w:id="7" w:name="_Toc150261274"/>
      <w:bookmarkStart w:id="8" w:name="_Toc150266478"/>
      <w:bookmarkStart w:id="9" w:name="_Toc150266964"/>
      <w:bookmarkStart w:id="10" w:name="_Toc150268209"/>
      <w:bookmarkStart w:id="11" w:name="_Toc150271870"/>
      <w:r w:rsidRPr="00FE0DCB">
        <w:lastRenderedPageBreak/>
        <w:t>Problem Statement</w:t>
      </w:r>
      <w:bookmarkEnd w:id="2"/>
      <w:bookmarkEnd w:id="3"/>
      <w:bookmarkEnd w:id="4"/>
      <w:bookmarkEnd w:id="5"/>
      <w:bookmarkEnd w:id="6"/>
      <w:bookmarkEnd w:id="7"/>
      <w:bookmarkEnd w:id="8"/>
      <w:bookmarkEnd w:id="9"/>
      <w:bookmarkEnd w:id="10"/>
      <w:bookmarkEnd w:id="11"/>
    </w:p>
    <w:p w14:paraId="69AFB55B"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release of waste into the environment, either through wastewater or improper disposal of substances containing aromatics, has negative effects. It decreases gas solubility in water bodies, obstructs the passage of light to the lower depths of aquatic systems, and causes water and soil bodies to have an unappealing color. This disrupts photosynthesis, creates anaerobic conditions, and leads to the death of aquatic organisms, resulting in foul-smelling and poisonous waters. Additionally, many dyes come from hazardous sources. Traditional methods of treating wastewater are ineffective in dealing with dyes due to their limited biodegradability. Physical or chemical methods, such as flocculation are commonly used but are inefficient, expensive, and not adaptable to different types of dye effluents. Adsorption proves to be an effective approach for removing color from such effluents, but the use of activated charcoal is costly. Cheap adsorbents have low adsorption capabilities, so there is a need for inexpensive and readily available adsorbents that are highly effective. Studying the adsorption of MB dye on clay soil is important for environmental sustainability and health benefits due to their toxic characteristics. This research will help determine the capacity, kinetics, and mechanisms of MB dye adsorption on clay soil in KKTC. It will contribute to resolving environmental and effluent contamination issues in the North Cyprus regions.</w:t>
      </w:r>
    </w:p>
    <w:p w14:paraId="541E17DF" w14:textId="77777777" w:rsidR="005231D4" w:rsidRPr="00FE0DCB" w:rsidRDefault="005231D4" w:rsidP="00F363BF">
      <w:pPr>
        <w:pStyle w:val="STYLE2"/>
      </w:pPr>
      <w:r w:rsidRPr="00FE0DCB">
        <w:t>Significance of the Study</w:t>
      </w:r>
    </w:p>
    <w:p w14:paraId="2186AD91"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There are various methods used for the treatment or removal of reactive and cationic dyes from wastewater effluent. This research will be using one of these methods. Utilization of this method in this research will allow us to determine the capacity/kinetics and mechanisms of MB dye adsorption onto red color clay soil suspected to be red color clay sample from Tashkent region in North Cyprus. The research findings will help to identify the general adsorption properties that play an important role during the adsorption process as well as help us to figure out the best red clay soil adsorption contact time.</w:t>
      </w:r>
    </w:p>
    <w:p w14:paraId="34DE63B8" w14:textId="77777777" w:rsidR="00073532" w:rsidRPr="00FE0DCB" w:rsidRDefault="00073532" w:rsidP="00F363BF">
      <w:pPr>
        <w:pStyle w:val="STYLE2"/>
      </w:pPr>
      <w:r w:rsidRPr="00FE0DCB">
        <w:t>Materials (Chemicals)</w:t>
      </w:r>
    </w:p>
    <w:p w14:paraId="52A45FEF"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MB dye (Methylene Blue hydrate or </w:t>
      </w:r>
      <w:proofErr w:type="spellStart"/>
      <w:r w:rsidRPr="00FE0DCB">
        <w:rPr>
          <w:rFonts w:ascii="Times New Roman" w:hAnsi="Times New Roman" w:cs="Times New Roman"/>
          <w:shd w:val="clear" w:color="auto" w:fill="FFFFFF"/>
        </w:rPr>
        <w:t>Tetramethylthionine</w:t>
      </w:r>
      <w:proofErr w:type="spellEnd"/>
      <w:r w:rsidRPr="00FE0DCB">
        <w:rPr>
          <w:rFonts w:ascii="Times New Roman" w:hAnsi="Times New Roman" w:cs="Times New Roman"/>
          <w:shd w:val="clear" w:color="auto" w:fill="FFFFFF"/>
        </w:rPr>
        <w:t xml:space="preserve"> chloride) with the chemical formula (C</w:t>
      </w:r>
      <w:r w:rsidRPr="00FE0DCB">
        <w:rPr>
          <w:rFonts w:ascii="Times New Roman" w:hAnsi="Times New Roman" w:cs="Times New Roman"/>
          <w:shd w:val="clear" w:color="auto" w:fill="FFFFFF"/>
          <w:vertAlign w:val="subscript"/>
        </w:rPr>
        <w:t>16</w:t>
      </w:r>
      <w:r w:rsidRPr="00FE0DCB">
        <w:rPr>
          <w:rFonts w:ascii="Times New Roman" w:hAnsi="Times New Roman" w:cs="Times New Roman"/>
          <w:shd w:val="clear" w:color="auto" w:fill="FFFFFF"/>
        </w:rPr>
        <w:t>H</w:t>
      </w:r>
      <w:r w:rsidRPr="00FE0DCB">
        <w:rPr>
          <w:rFonts w:ascii="Times New Roman" w:hAnsi="Times New Roman" w:cs="Times New Roman"/>
          <w:shd w:val="clear" w:color="auto" w:fill="FFFFFF"/>
          <w:vertAlign w:val="subscript"/>
        </w:rPr>
        <w:t>18</w:t>
      </w:r>
      <w:r w:rsidRPr="00FE0DCB">
        <w:rPr>
          <w:rFonts w:ascii="Times New Roman" w:hAnsi="Times New Roman" w:cs="Times New Roman"/>
          <w:shd w:val="clear" w:color="auto" w:fill="FFFFFF"/>
        </w:rPr>
        <w:t>N</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xml:space="preserve">SCl) and molecular weight 319.85 g/mol, Sodium Hydroxide (Caustic soda) with </w:t>
      </w:r>
      <w:r w:rsidRPr="00FE0DCB">
        <w:rPr>
          <w:rFonts w:ascii="Times New Roman" w:hAnsi="Times New Roman" w:cs="Times New Roman"/>
          <w:shd w:val="clear" w:color="auto" w:fill="FFFFFF"/>
        </w:rPr>
        <w:lastRenderedPageBreak/>
        <w:t>chemical formula NaOH and molecular weight 40 g/mol, Hydrochloric acid with chemical formula (HCL), and molecular weight 36.46 g/mol were all purchase from Sigma-Aldrich (USA).</w:t>
      </w:r>
    </w:p>
    <w:p w14:paraId="070148B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MB dye and clay soil (red color clay) were utilized for adsorption experiments, and Diluted solutions of (1 and 0.1 mol) NaOH or HCl were used for adjusting the pH for the adsorption experiments. </w:t>
      </w:r>
    </w:p>
    <w:p w14:paraId="574F55BE"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MB Dye solutions for the experiment were prepared using Sartorius 611 UV ultrapure water systems from the UK, Lacking any additional cleaning.</w:t>
      </w:r>
    </w:p>
    <w:p w14:paraId="19993BE2" w14:textId="4F2C280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All of the reagents and solvents used were of comprehensive evaluation, and the chemicals were provided by the Cyprus International environmental department laboratory. The chemical structure of MB dye is depicted in Figure 1.</w:t>
      </w:r>
    </w:p>
    <w:p w14:paraId="269B091F" w14:textId="61C982B1" w:rsidR="00073532" w:rsidRPr="00FE0DCB" w:rsidRDefault="00073532" w:rsidP="00F363BF">
      <w:pPr>
        <w:pStyle w:val="STYLE2"/>
      </w:pPr>
      <w:bookmarkStart w:id="12" w:name="_Toc149745015"/>
      <w:bookmarkStart w:id="13" w:name="_Toc150260342"/>
      <w:bookmarkStart w:id="14" w:name="_Toc150260575"/>
      <w:bookmarkStart w:id="15" w:name="_Toc150260790"/>
      <w:bookmarkStart w:id="16" w:name="_Toc150260853"/>
      <w:bookmarkStart w:id="17" w:name="_Toc150261296"/>
      <w:bookmarkStart w:id="18" w:name="_Toc150266504"/>
      <w:bookmarkStart w:id="19" w:name="_Toc150266990"/>
      <w:bookmarkStart w:id="20" w:name="_Toc150268235"/>
      <w:bookmarkStart w:id="21" w:name="_Toc150271892"/>
      <w:r w:rsidRPr="00FE0DCB">
        <w:t>Instrumentation</w:t>
      </w:r>
      <w:bookmarkEnd w:id="12"/>
      <w:bookmarkEnd w:id="13"/>
      <w:bookmarkEnd w:id="14"/>
      <w:bookmarkEnd w:id="15"/>
      <w:bookmarkEnd w:id="16"/>
      <w:bookmarkEnd w:id="17"/>
      <w:bookmarkEnd w:id="18"/>
      <w:bookmarkEnd w:id="19"/>
      <w:bookmarkEnd w:id="20"/>
      <w:bookmarkEnd w:id="21"/>
    </w:p>
    <w:p w14:paraId="24B9B0B2"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following instruments were used during the research; </w:t>
      </w:r>
    </w:p>
    <w:p w14:paraId="02BC6C9E"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Magnetic stirrer was used for agitating the samples for all the adsorption experiments. A centrifuge was used for the separation of the adsorption mixture after agitation.</w:t>
      </w:r>
    </w:p>
    <w:p w14:paraId="119F959C"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the absorbance of adsorption Supernatant at the wavelength where maximum light can be absorbed at (</w:t>
      </w:r>
      <w:proofErr w:type="spellStart"/>
      <w:r w:rsidRPr="00FE0DCB">
        <w:rPr>
          <w:rFonts w:ascii="Times New Roman" w:hAnsi="Times New Roman" w:cs="Times New Roman"/>
          <w:shd w:val="clear" w:color="auto" w:fill="FFFFFF"/>
        </w:rPr>
        <w:t>λmax</w:t>
      </w:r>
      <w:proofErr w:type="spellEnd"/>
      <w:r w:rsidRPr="00FE0DCB">
        <w:rPr>
          <w:rFonts w:ascii="Times New Roman" w:hAnsi="Times New Roman" w:cs="Times New Roman"/>
          <w:shd w:val="clear" w:color="auto" w:fill="FFFFFF"/>
        </w:rPr>
        <w:t xml:space="preserve">) of 664-665 nm for MB dye the Shimadzu, a Japanese UV-visible spectrophotometer was utilized accordingly. </w:t>
      </w:r>
    </w:p>
    <w:p w14:paraId="323B3B98"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 pH meter was utilized to ascertain the pH of the experimental solutions.</w:t>
      </w:r>
    </w:p>
    <w:p w14:paraId="256A105C"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An electronic analytical laboratory weighing balance was employed to measure the samples. </w:t>
      </w:r>
    </w:p>
    <w:p w14:paraId="7102609A"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Pipette and micro-pipette were used in measuring and transferring of solutions into test tubes. </w:t>
      </w:r>
    </w:p>
    <w:p w14:paraId="0340E338"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Measuring cylinder was used to measure the volume of liquids, chemicals, or solutions. Glass wares, conical flasks and other materials were used in handling and storing of chemical solutions and soil materials. </w:t>
      </w:r>
    </w:p>
    <w:p w14:paraId="6B5984C7" w14:textId="535D0E21" w:rsidR="00073532" w:rsidRPr="00FE0DCB" w:rsidRDefault="00073532" w:rsidP="00F363BF">
      <w:pPr>
        <w:pStyle w:val="STYLE2"/>
      </w:pPr>
      <w:bookmarkStart w:id="22" w:name="_Toc149745016"/>
      <w:bookmarkStart w:id="23" w:name="_Toc150260343"/>
      <w:bookmarkStart w:id="24" w:name="_Toc150260576"/>
      <w:bookmarkStart w:id="25" w:name="_Toc150260791"/>
      <w:bookmarkStart w:id="26" w:name="_Toc150260854"/>
      <w:bookmarkStart w:id="27" w:name="_Toc150261297"/>
      <w:bookmarkStart w:id="28" w:name="_Toc150266505"/>
      <w:bookmarkStart w:id="29" w:name="_Toc150266991"/>
      <w:bookmarkStart w:id="30" w:name="_Toc150268236"/>
      <w:bookmarkStart w:id="31" w:name="_Toc150271893"/>
      <w:r w:rsidRPr="00FE0DCB">
        <w:lastRenderedPageBreak/>
        <w:t>Soil Collection</w:t>
      </w:r>
      <w:bookmarkEnd w:id="22"/>
      <w:bookmarkEnd w:id="23"/>
      <w:bookmarkEnd w:id="24"/>
      <w:bookmarkEnd w:id="25"/>
      <w:bookmarkEnd w:id="26"/>
      <w:bookmarkEnd w:id="27"/>
      <w:bookmarkEnd w:id="28"/>
      <w:bookmarkEnd w:id="29"/>
      <w:bookmarkEnd w:id="30"/>
      <w:bookmarkEnd w:id="31"/>
    </w:p>
    <w:p w14:paraId="6447B14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Clay Soil sample was collected from Nicosia Tashkent North, 42° 17' 17" N. West. 68° 39' 46" E. East. 71° 15' 40" E, </w:t>
      </w:r>
      <w:proofErr w:type="spellStart"/>
      <w:r w:rsidRPr="00FE0DCB">
        <w:rPr>
          <w:rFonts w:ascii="Times New Roman" w:hAnsi="Times New Roman" w:cs="Times New Roman"/>
          <w:shd w:val="clear" w:color="auto" w:fill="FFFFFF"/>
        </w:rPr>
        <w:t>Lefkosia</w:t>
      </w:r>
      <w:proofErr w:type="spellEnd"/>
      <w:r w:rsidRPr="00FE0DCB">
        <w:rPr>
          <w:rFonts w:ascii="Times New Roman" w:hAnsi="Times New Roman" w:cs="Times New Roman"/>
          <w:shd w:val="clear" w:color="auto" w:fill="FFFFFF"/>
        </w:rPr>
        <w:t xml:space="preserve"> region of North Cyprus as determined by GPS </w:t>
      </w:r>
      <w:proofErr w:type="spellStart"/>
      <w:r w:rsidRPr="00FE0DCB">
        <w:rPr>
          <w:rFonts w:ascii="Times New Roman" w:hAnsi="Times New Roman" w:cs="Times New Roman"/>
          <w:shd w:val="clear" w:color="auto" w:fill="FFFFFF"/>
        </w:rPr>
        <w:t>geostatistics</w:t>
      </w:r>
      <w:proofErr w:type="spellEnd"/>
      <w:r w:rsidRPr="00FE0DCB">
        <w:rPr>
          <w:rFonts w:ascii="Times New Roman" w:hAnsi="Times New Roman" w:cs="Times New Roman"/>
          <w:shd w:val="clear" w:color="auto" w:fill="FFFFFF"/>
        </w:rPr>
        <w:t xml:space="preserve">. The clay soil sample collected in this region according to C. </w:t>
      </w:r>
      <w:proofErr w:type="spellStart"/>
      <w:r w:rsidRPr="00FE0DCB">
        <w:rPr>
          <w:rFonts w:ascii="Times New Roman" w:hAnsi="Times New Roman" w:cs="Times New Roman"/>
          <w:shd w:val="clear" w:color="auto" w:fill="FFFFFF"/>
        </w:rPr>
        <w:t>Atlers</w:t>
      </w:r>
      <w:proofErr w:type="spellEnd"/>
      <w:r w:rsidRPr="00FE0DCB">
        <w:rPr>
          <w:rFonts w:ascii="Times New Roman" w:hAnsi="Times New Roman" w:cs="Times New Roman"/>
          <w:shd w:val="clear" w:color="auto" w:fill="FFFFFF"/>
        </w:rPr>
        <w:t xml:space="preserve"> (2020) study is suspected to be red color clay and contain mineral compositions like montmorillonite, </w:t>
      </w:r>
      <w:proofErr w:type="spellStart"/>
      <w:r w:rsidRPr="00FE0DCB">
        <w:rPr>
          <w:rFonts w:ascii="Times New Roman" w:hAnsi="Times New Roman" w:cs="Times New Roman"/>
          <w:shd w:val="clear" w:color="auto" w:fill="FFFFFF"/>
        </w:rPr>
        <w:t>illite</w:t>
      </w:r>
      <w:proofErr w:type="spellEnd"/>
      <w:r w:rsidRPr="00FE0DCB">
        <w:rPr>
          <w:rFonts w:ascii="Times New Roman" w:hAnsi="Times New Roman" w:cs="Times New Roman"/>
          <w:shd w:val="clear" w:color="auto" w:fill="FFFFFF"/>
        </w:rPr>
        <w:t xml:space="preserve">, kaolinite, </w:t>
      </w:r>
      <w:proofErr w:type="spellStart"/>
      <w:r w:rsidRPr="00FE0DCB">
        <w:rPr>
          <w:rFonts w:ascii="Times New Roman" w:hAnsi="Times New Roman" w:cs="Times New Roman"/>
          <w:shd w:val="clear" w:color="auto" w:fill="FFFFFF"/>
        </w:rPr>
        <w:t>bentinite</w:t>
      </w:r>
      <w:proofErr w:type="spellEnd"/>
      <w:r w:rsidRPr="00FE0DCB">
        <w:rPr>
          <w:rFonts w:ascii="Times New Roman" w:hAnsi="Times New Roman" w:cs="Times New Roman"/>
          <w:shd w:val="clear" w:color="auto" w:fill="FFFFFF"/>
        </w:rPr>
        <w:t>.</w:t>
      </w:r>
    </w:p>
    <w:p w14:paraId="2D69637D"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Further analysis was not conducted to verify the authenticity of the clay soil type. However, from the study conducted by Dixon, et al. (2002) the reddish color or yellowish characteristics of a clay soil was determined to be as a result of iron oxide such as hematite (Fe</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O</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and goethite (</w:t>
      </w:r>
      <w:proofErr w:type="spellStart"/>
      <w:r w:rsidRPr="00FE0DCB">
        <w:rPr>
          <w:rFonts w:ascii="Times New Roman" w:hAnsi="Times New Roman" w:cs="Times New Roman"/>
          <w:shd w:val="clear" w:color="auto" w:fill="FFFFFF"/>
        </w:rPr>
        <w:t>FeOOH</w:t>
      </w:r>
      <w:proofErr w:type="spellEnd"/>
      <w:r w:rsidRPr="00FE0DCB">
        <w:rPr>
          <w:rFonts w:ascii="Times New Roman" w:hAnsi="Times New Roman" w:cs="Times New Roman"/>
          <w:shd w:val="clear" w:color="auto" w:fill="FFFFFF"/>
        </w:rPr>
        <w:t>), which are compounds of iron and oxygen. The red color clay soil (</w:t>
      </w:r>
      <w:proofErr w:type="spellStart"/>
      <w:r w:rsidRPr="00FE0DCB">
        <w:rPr>
          <w:rFonts w:ascii="Times New Roman" w:hAnsi="Times New Roman" w:cs="Times New Roman"/>
          <w:shd w:val="clear" w:color="auto" w:fill="FFFFFF"/>
        </w:rPr>
        <w:t>Ultisols</w:t>
      </w:r>
      <w:proofErr w:type="spellEnd"/>
      <w:r w:rsidRPr="00FE0DCB">
        <w:rPr>
          <w:rFonts w:ascii="Times New Roman" w:hAnsi="Times New Roman" w:cs="Times New Roman"/>
          <w:shd w:val="clear" w:color="auto" w:fill="FFFFFF"/>
        </w:rPr>
        <w:t>, commonly known as Red Clay Soil), was collected along a transect road by a hilly slope area of Tashkent. The soil sample was taken/obtained in-situ from 0 to 10 cm depths of soil surface according to Zainol et al. (2016). The weight of sample obtained from the site was 1.86 kg. After collection, this sample was taken to the laboratory for preparation.</w:t>
      </w:r>
    </w:p>
    <w:p w14:paraId="3F1A72B3" w14:textId="6E20A32A" w:rsidR="00073532" w:rsidRPr="00FE0DCB" w:rsidRDefault="00073532" w:rsidP="00F363BF">
      <w:pPr>
        <w:pStyle w:val="STYLE2"/>
      </w:pPr>
      <w:bookmarkStart w:id="32" w:name="_Toc149745017"/>
      <w:bookmarkStart w:id="33" w:name="_Toc150260344"/>
      <w:bookmarkStart w:id="34" w:name="_Toc150260577"/>
      <w:bookmarkStart w:id="35" w:name="_Toc150260792"/>
      <w:bookmarkStart w:id="36" w:name="_Toc150260855"/>
      <w:bookmarkStart w:id="37" w:name="_Toc150261298"/>
      <w:bookmarkStart w:id="38" w:name="_Toc150266506"/>
      <w:bookmarkStart w:id="39" w:name="_Toc150266992"/>
      <w:bookmarkStart w:id="40" w:name="_Toc150268237"/>
      <w:bookmarkStart w:id="41" w:name="_Toc150271894"/>
      <w:r w:rsidRPr="00FE0DCB">
        <w:t>Red Color Clay Preparation</w:t>
      </w:r>
      <w:bookmarkEnd w:id="32"/>
      <w:bookmarkEnd w:id="33"/>
      <w:bookmarkEnd w:id="34"/>
      <w:bookmarkEnd w:id="35"/>
      <w:bookmarkEnd w:id="36"/>
      <w:bookmarkEnd w:id="37"/>
      <w:bookmarkEnd w:id="38"/>
      <w:bookmarkEnd w:id="39"/>
      <w:bookmarkEnd w:id="40"/>
      <w:bookmarkEnd w:id="41"/>
    </w:p>
    <w:p w14:paraId="74AF110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red color clay soil preparation was carried out in the Environmental Preparatory laboratory in Cyprus International University (CIU). The preparation involved the removal of debris, stones, and roots from the sample. After removal of the unwanted materials, the sample was dried before being ground and sieved using a 2 mm sieve (Cahn et al., 1993). After this procedure, a total of 1.38 kg of red color clay soil was obtained and was stored in a labelled partitioned plastic container at room temperature for further analysis such as characterization and adsorption experiments.</w:t>
      </w:r>
    </w:p>
    <w:p w14:paraId="7B2CDE68" w14:textId="0958BEAA" w:rsidR="00073532" w:rsidRPr="00FE0DCB" w:rsidRDefault="00073532" w:rsidP="00F363BF">
      <w:pPr>
        <w:pStyle w:val="STYLE2"/>
      </w:pPr>
      <w:bookmarkStart w:id="42" w:name="_Toc149745018"/>
      <w:bookmarkStart w:id="43" w:name="_Toc150260345"/>
      <w:bookmarkStart w:id="44" w:name="_Toc150260578"/>
      <w:bookmarkStart w:id="45" w:name="_Toc150260793"/>
      <w:bookmarkStart w:id="46" w:name="_Toc150260856"/>
      <w:bookmarkStart w:id="47" w:name="_Toc150261299"/>
      <w:bookmarkStart w:id="48" w:name="_Toc150266507"/>
      <w:bookmarkStart w:id="49" w:name="_Toc150266993"/>
      <w:bookmarkStart w:id="50" w:name="_Toc150268238"/>
      <w:bookmarkStart w:id="51" w:name="_Toc150271895"/>
      <w:r w:rsidRPr="00FE0DCB">
        <w:t>Red Color Clay Characterization</w:t>
      </w:r>
      <w:bookmarkEnd w:id="42"/>
      <w:bookmarkEnd w:id="43"/>
      <w:bookmarkEnd w:id="44"/>
      <w:bookmarkEnd w:id="45"/>
      <w:bookmarkEnd w:id="46"/>
      <w:bookmarkEnd w:id="47"/>
      <w:bookmarkEnd w:id="48"/>
      <w:bookmarkEnd w:id="49"/>
      <w:bookmarkEnd w:id="50"/>
      <w:bookmarkEnd w:id="51"/>
    </w:p>
    <w:p w14:paraId="035D23B6"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pH of the red color clay soil was assessed using a standard method as described by Wissem and Mongi (2015). In this study, 10 g of air-dried clay soil sample were precisely measured and transferred to a 50 ml beaker. Next, 20 ml of distilled water was added to the beaker, and then the mixture was stirred continuously for 30 minutes and left to settle for 1 hour. The pH reading was obtained by inserting the electrode of a pH probe into the partially settled suspension. Prior to this procedure, the pH meter was calibrated using the pH buffer solutions. After each reading, the </w:t>
      </w:r>
      <w:r w:rsidRPr="00FE0DCB">
        <w:rPr>
          <w:rFonts w:ascii="Times New Roman" w:hAnsi="Times New Roman" w:cs="Times New Roman"/>
          <w:shd w:val="clear" w:color="auto" w:fill="FFFFFF"/>
        </w:rPr>
        <w:lastRenderedPageBreak/>
        <w:t xml:space="preserve">electrode was cleaned and dried with a dry, clean paper towel following the protocol outlined by </w:t>
      </w:r>
      <w:proofErr w:type="spellStart"/>
      <w:r w:rsidRPr="00FE0DCB">
        <w:rPr>
          <w:rFonts w:ascii="Times New Roman" w:hAnsi="Times New Roman" w:cs="Times New Roman"/>
          <w:shd w:val="clear" w:color="auto" w:fill="FFFFFF"/>
        </w:rPr>
        <w:t>Minasny</w:t>
      </w:r>
      <w:proofErr w:type="spellEnd"/>
      <w:r w:rsidRPr="00FE0DCB">
        <w:rPr>
          <w:rFonts w:ascii="Times New Roman" w:hAnsi="Times New Roman" w:cs="Times New Roman"/>
          <w:shd w:val="clear" w:color="auto" w:fill="FFFFFF"/>
        </w:rPr>
        <w:t xml:space="preserve"> et al., (2011).</w:t>
      </w:r>
    </w:p>
    <w:p w14:paraId="272FAE32"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assess the total organic matter content (%TOM) of the entire red color clay soil sample, the LOI method (loss on ignition) analysis was employed, as described by Saleh et al. (2011). Following the procedure outlined by Nelson and Sommers et al. (1996), prepared red color clay soil sample weighing 10 grams were dried in an oven at 105 °C overnight and allowed to cool. After cooling, the soil sample were weighed and subsequently subjected to combustion in a muffle furnace at 550 °C for 2 hours. Once the combustion process was complete, the soil sample were permitted to cool and subsequently reweighed. Soil organic matter content was calculated using Equation 1.5.</w:t>
      </w:r>
    </w:p>
    <w:p w14:paraId="6B3A8D07" w14:textId="77777777" w:rsidR="00073532" w:rsidRPr="00FE0DCB" w:rsidRDefault="00557FA6" w:rsidP="00073532">
      <w:pPr>
        <w:spacing w:before="100" w:beforeAutospacing="1" w:after="100" w:afterAutospacing="1" w:line="360" w:lineRule="auto"/>
        <w:jc w:val="both"/>
        <w:rPr>
          <w:rFonts w:ascii="Times New Roman" w:hAnsi="Times New Roman" w:cs="Times New Roman"/>
          <w:shd w:val="clear" w:color="auto" w:fill="FFFFFF"/>
        </w:rPr>
      </w:pPr>
      <m:oMath>
        <m:f>
          <m:fPr>
            <m:ctrlPr>
              <w:rPr>
                <w:rFonts w:ascii="Cambria Math" w:hAnsi="Cambria Math" w:cs="Times New Roman"/>
              </w:rPr>
            </m:ctrlPr>
          </m:fPr>
          <m:num>
            <m:r>
              <m:rPr>
                <m:sty m:val="p"/>
              </m:rPr>
              <w:rPr>
                <w:rFonts w:ascii="Cambria Math" w:hAnsi="Cambria Math" w:cs="Times New Roman"/>
                <w:u w:val="single"/>
              </w:rPr>
              <m:t>Soil weight after combustion- oven-dry soil weight</m:t>
            </m:r>
            <m:r>
              <m:rPr>
                <m:sty m:val="p"/>
              </m:rPr>
              <w:rPr>
                <w:rFonts w:ascii="Cambria Math" w:hAnsi="Cambria Math" w:cs="Times New Roman"/>
              </w:rPr>
              <m:t xml:space="preserve"> </m:t>
            </m:r>
          </m:num>
          <m:den>
            <m:r>
              <m:rPr>
                <m:sty m:val="p"/>
              </m:rPr>
              <w:rPr>
                <w:rFonts w:ascii="Cambria Math" w:hAnsi="Cambria Math" w:cs="Times New Roman"/>
                <w:u w:val="single"/>
              </w:rPr>
              <m:t>oven-dry s</m:t>
            </m:r>
            <m:r>
              <m:rPr>
                <m:sty m:val="p"/>
              </m:rPr>
              <w:rPr>
                <w:rFonts w:ascii="Cambria Math" w:hAnsi="Cambria Math" w:cs="Times New Roman"/>
                <w:u w:val="single"/>
              </w:rPr>
              <m:t>oil weight</m:t>
            </m:r>
            <m:r>
              <m:rPr>
                <m:sty m:val="p"/>
              </m:rPr>
              <w:rPr>
                <w:rFonts w:ascii="Cambria Math" w:hAnsi="Cambria Math" w:cs="Times New Roman"/>
              </w:rPr>
              <m:t xml:space="preserve"> </m:t>
            </m:r>
          </m:den>
        </m:f>
        <m:r>
          <w:rPr>
            <w:rFonts w:ascii="Cambria Math" w:hAnsi="Cambria Math" w:cs="Times New Roman"/>
          </w:rPr>
          <m:t xml:space="preserve"> ×100………………………………(3.1)</m:t>
        </m:r>
      </m:oMath>
      <w:r w:rsidR="00073532" w:rsidRPr="00FE0DCB">
        <w:rPr>
          <w:rFonts w:ascii="Times New Roman" w:hAnsi="Times New Roman" w:cs="Times New Roman"/>
          <w:shd w:val="clear" w:color="auto" w:fill="FFFFFF"/>
        </w:rPr>
        <w:t xml:space="preserve">                       </w:t>
      </w:r>
    </w:p>
    <w:p w14:paraId="40412FB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total organic carbon (TOC) was determined using a dry combustion method. This technique comprises of two phases, sample combustion and sample quantitation. The red color clay soil was first combusted in a pro-</w:t>
      </w:r>
      <w:proofErr w:type="spellStart"/>
      <w:r w:rsidRPr="00FE0DCB">
        <w:rPr>
          <w:rFonts w:ascii="Times New Roman" w:hAnsi="Times New Roman" w:cs="Times New Roman"/>
          <w:shd w:val="clear" w:color="auto" w:fill="FFFFFF"/>
        </w:rPr>
        <w:t>therm</w:t>
      </w:r>
      <w:proofErr w:type="spellEnd"/>
      <w:r w:rsidRPr="00FE0DCB">
        <w:rPr>
          <w:rFonts w:ascii="Times New Roman" w:hAnsi="Times New Roman" w:cs="Times New Roman"/>
          <w:shd w:val="clear" w:color="auto" w:fill="FFFFFF"/>
        </w:rPr>
        <w:t xml:space="preserve"> furnace made in turkey, at 1200 ℃ for 3 hours before quantification by subtracting the initial weight of the dried red color clay soil sample from the weight of burnt sample, following the method demonstrated by Hark, (1990); Schumacher, (2002).</w:t>
      </w:r>
    </w:p>
    <w:p w14:paraId="1FD06828" w14:textId="76C03CDE" w:rsidR="00073532" w:rsidRPr="00FE0DCB" w:rsidRDefault="00073532" w:rsidP="00F363BF">
      <w:pPr>
        <w:pStyle w:val="STYLE2"/>
      </w:pPr>
      <w:bookmarkStart w:id="52" w:name="_Toc149745019"/>
      <w:bookmarkStart w:id="53" w:name="_Toc150260346"/>
      <w:bookmarkStart w:id="54" w:name="_Toc150260579"/>
      <w:bookmarkStart w:id="55" w:name="_Toc150260794"/>
      <w:bookmarkStart w:id="56" w:name="_Toc150260857"/>
      <w:bookmarkStart w:id="57" w:name="_Toc150261300"/>
      <w:bookmarkStart w:id="58" w:name="_Toc150266508"/>
      <w:bookmarkStart w:id="59" w:name="_Toc150266994"/>
      <w:bookmarkStart w:id="60" w:name="_Toc150268239"/>
      <w:bookmarkStart w:id="61" w:name="_Toc150271896"/>
      <w:r w:rsidRPr="00FE0DCB">
        <w:t>Preparation of MB Dye Solution</w:t>
      </w:r>
      <w:bookmarkEnd w:id="52"/>
      <w:bookmarkEnd w:id="53"/>
      <w:bookmarkEnd w:id="54"/>
      <w:bookmarkEnd w:id="55"/>
      <w:bookmarkEnd w:id="56"/>
      <w:bookmarkEnd w:id="57"/>
      <w:bookmarkEnd w:id="58"/>
      <w:bookmarkEnd w:id="59"/>
      <w:bookmarkEnd w:id="60"/>
      <w:bookmarkEnd w:id="61"/>
    </w:p>
    <w:p w14:paraId="193896D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prepare the MB dye solution, 1 g of MB dye powder was mixed with 100 ml of deionized water in a volumetric flask to obtain a standard solution with a concentration of 1000 mg/l. MB dye standard solution was made from the stock mixture by using 20 ml from the stock solution into a 250 ml Erlenmeyer flask containing 200 ml of distilled water. This standard solution was used for the experimental process.</w:t>
      </w:r>
    </w:p>
    <w:p w14:paraId="2B001E9C" w14:textId="264B6076" w:rsidR="00073532" w:rsidRPr="00FE0DCB" w:rsidRDefault="00073532" w:rsidP="00F363BF">
      <w:pPr>
        <w:pStyle w:val="STYLE2"/>
      </w:pPr>
      <w:bookmarkStart w:id="62" w:name="_Toc149745020"/>
      <w:bookmarkStart w:id="63" w:name="_Toc150260347"/>
      <w:bookmarkStart w:id="64" w:name="_Toc150260580"/>
      <w:bookmarkStart w:id="65" w:name="_Toc150260795"/>
      <w:bookmarkStart w:id="66" w:name="_Toc150260858"/>
      <w:bookmarkStart w:id="67" w:name="_Toc150261301"/>
      <w:bookmarkStart w:id="68" w:name="_Toc150266509"/>
      <w:bookmarkStart w:id="69" w:name="_Toc150266995"/>
      <w:bookmarkStart w:id="70" w:name="_Toc150268240"/>
      <w:bookmarkStart w:id="71" w:name="_Toc150271897"/>
      <w:r w:rsidRPr="00FE0DCB">
        <w:t>Adsorption Experiments</w:t>
      </w:r>
      <w:bookmarkEnd w:id="62"/>
      <w:bookmarkEnd w:id="63"/>
      <w:bookmarkEnd w:id="64"/>
      <w:bookmarkEnd w:id="65"/>
      <w:bookmarkEnd w:id="66"/>
      <w:bookmarkEnd w:id="67"/>
      <w:bookmarkEnd w:id="68"/>
      <w:bookmarkEnd w:id="69"/>
      <w:bookmarkEnd w:id="70"/>
      <w:bookmarkEnd w:id="71"/>
    </w:p>
    <w:p w14:paraId="3EA3125A"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To determine the adsorption isotherm of this study, a batch experimental type of adsorption was employed. The adsorption isotherm was determined by using 200 ml of MB dye solution with concentrations of 5 to 500 mg/L, prepared in 5 different Erlenmeyer flasks. 0.04 g of red color clay soil was then placed in each flask containing the dye solutions. The flasks were stirred for 400 rpm </w:t>
      </w:r>
      <w:r w:rsidRPr="00FE0DCB">
        <w:rPr>
          <w:rFonts w:ascii="Times New Roman" w:hAnsi="Times New Roman" w:cs="Times New Roman"/>
          <w:shd w:val="clear" w:color="auto" w:fill="FFFFFF"/>
        </w:rPr>
        <w:lastRenderedPageBreak/>
        <w:t>at diverse time intervals. At the end, the MB dye solution was collected from each flask and then centrifuged before taking the supernatant.</w:t>
      </w:r>
    </w:p>
    <w:p w14:paraId="1103CBB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Removal percentage and the concentration of MB dye adsorbed at equilibrium were calculated with the formula presented in equations 1.6 and 1.7 respectively where Q</w:t>
      </w:r>
      <w:r w:rsidRPr="00FE0DCB">
        <w:rPr>
          <w:rFonts w:ascii="Times New Roman" w:hAnsi="Times New Roman" w:cs="Times New Roman"/>
          <w:shd w:val="clear" w:color="auto" w:fill="FFFFFF"/>
          <w:vertAlign w:val="subscript"/>
        </w:rPr>
        <w:t xml:space="preserve">E </w:t>
      </w:r>
      <w:r w:rsidRPr="00FE0DCB">
        <w:rPr>
          <w:rFonts w:ascii="Times New Roman" w:hAnsi="Times New Roman" w:cs="Times New Roman"/>
          <w:shd w:val="clear" w:color="auto" w:fill="FFFFFF"/>
        </w:rPr>
        <w:t>is the amount of dye adsorbed on the surface of the red color clay after equilibrium in (mg/g), C</w:t>
      </w:r>
      <w:r w:rsidRPr="00FE0DCB">
        <w:rPr>
          <w:rFonts w:ascii="Times New Roman" w:hAnsi="Times New Roman" w:cs="Times New Roman"/>
          <w:shd w:val="clear" w:color="auto" w:fill="FFFFFF"/>
          <w:vertAlign w:val="subscript"/>
        </w:rPr>
        <w:t>O</w:t>
      </w:r>
      <w:r w:rsidRPr="00FE0DCB">
        <w:rPr>
          <w:rFonts w:ascii="Times New Roman" w:hAnsi="Times New Roman" w:cs="Times New Roman"/>
          <w:shd w:val="clear" w:color="auto" w:fill="FFFFFF"/>
        </w:rPr>
        <w:t xml:space="preserve"> is the initial concentration of the MB dye in (mg/L),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is the concentration of the dye in the solution at equilibrium in (mg/L), X is the mass or concentration of the red color clay soil in (g) or (g/L) and V is the MB dye solution volume with distilled water in (L).</w:t>
      </w:r>
    </w:p>
    <w:p w14:paraId="59AA9D6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m:oMathPara>
        <m:oMath>
          <m:r>
            <w:rPr>
              <w:rFonts w:ascii="Cambria Math" w:hAnsi="Cambria Math" w:cs="Times New Roman"/>
            </w:rPr>
            <m:t>Qe</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Co-</m:t>
              </m:r>
              <m:r>
                <w:rPr>
                  <w:rFonts w:ascii="Cambria Math" w:hAnsi="Cambria Math" w:cs="Times New Roman"/>
                </w:rPr>
                <m:t>Ce</m:t>
              </m:r>
            </m:num>
            <m:den>
              <m:r>
                <m:rPr>
                  <m:sty m:val="p"/>
                </m:rPr>
                <w:rPr>
                  <w:rFonts w:ascii="Cambria Math" w:hAnsi="Cambria Math" w:cs="Times New Roman"/>
                </w:rPr>
                <m:t>X</m:t>
              </m:r>
            </m:den>
          </m:f>
          <m:r>
            <w:rPr>
              <w:rFonts w:ascii="Cambria Math" w:hAnsi="Cambria Math" w:cs="Times New Roman"/>
            </w:rPr>
            <m:t xml:space="preserve"> x v</m:t>
          </m:r>
          <m:r>
            <m:rPr>
              <m:sty m:val="bi"/>
            </m:rPr>
            <w:rPr>
              <w:rFonts w:ascii="Cambria Math" w:hAnsi="Cambria Math" w:cs="Times New Roman"/>
            </w:rPr>
            <m:t>…………………………………………………………………….</m:t>
          </m:r>
          <m:r>
            <w:rPr>
              <w:rFonts w:ascii="Cambria Math" w:hAnsi="Cambria Math" w:cs="Times New Roman"/>
            </w:rPr>
            <m:t xml:space="preserve"> (3.2)</m:t>
          </m:r>
        </m:oMath>
      </m:oMathPara>
    </w:p>
    <w:p w14:paraId="0164FFD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m:oMathPara>
        <m:oMath>
          <m:r>
            <w:rPr>
              <w:rFonts w:ascii="Cambria Math" w:hAnsi="Cambria Math" w:cs="Times New Roman"/>
            </w:rPr>
            <m:t xml:space="preserve">R% </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Co-</m:t>
              </m:r>
              <m:r>
                <w:rPr>
                  <w:rFonts w:ascii="Cambria Math" w:hAnsi="Cambria Math" w:cs="Times New Roman"/>
                </w:rPr>
                <m:t>Ce</m:t>
              </m:r>
            </m:num>
            <m:den>
              <m:r>
                <m:rPr>
                  <m:sty m:val="p"/>
                </m:rPr>
                <w:rPr>
                  <w:rFonts w:ascii="Cambria Math" w:hAnsi="Cambria Math" w:cs="Times New Roman"/>
                </w:rPr>
                <m:t>Co</m:t>
              </m:r>
            </m:den>
          </m:f>
          <m:r>
            <w:rPr>
              <w:rFonts w:ascii="Cambria Math" w:hAnsi="Cambria Math" w:cs="Times New Roman"/>
            </w:rPr>
            <m:t xml:space="preserve"> x 100</m:t>
          </m:r>
          <m:r>
            <m:rPr>
              <m:sty m:val="bi"/>
            </m:rPr>
            <w:rPr>
              <w:rFonts w:ascii="Cambria Math" w:hAnsi="Cambria Math" w:cs="Times New Roman"/>
            </w:rPr>
            <m:t>………………………………..……………………………..</m:t>
          </m:r>
          <m:r>
            <w:rPr>
              <w:rFonts w:ascii="Cambria Math" w:hAnsi="Cambria Math" w:cs="Times New Roman"/>
            </w:rPr>
            <m:t xml:space="preserve"> (3.3)</m:t>
          </m:r>
        </m:oMath>
      </m:oMathPara>
    </w:p>
    <w:p w14:paraId="1AB78DE9" w14:textId="6EDDCB01" w:rsidR="00073532" w:rsidRPr="00FE0DCB" w:rsidRDefault="00073532" w:rsidP="00F363BF">
      <w:pPr>
        <w:pStyle w:val="STYLE2"/>
      </w:pPr>
      <w:bookmarkStart w:id="72" w:name="_Toc149745021"/>
      <w:bookmarkStart w:id="73" w:name="_Toc150260348"/>
      <w:bookmarkStart w:id="74" w:name="_Toc150260581"/>
      <w:bookmarkStart w:id="75" w:name="_Toc150260796"/>
      <w:bookmarkStart w:id="76" w:name="_Toc150260859"/>
      <w:bookmarkStart w:id="77" w:name="_Toc150261302"/>
      <w:bookmarkStart w:id="78" w:name="_Toc150266510"/>
      <w:bookmarkStart w:id="79" w:name="_Toc150266996"/>
      <w:bookmarkStart w:id="80" w:name="_Toc150268241"/>
      <w:bookmarkStart w:id="81" w:name="_Toc150271898"/>
      <w:r w:rsidRPr="00FE0DCB">
        <w:t>Effect of Contact Time</w:t>
      </w:r>
      <w:bookmarkEnd w:id="72"/>
      <w:bookmarkEnd w:id="73"/>
      <w:bookmarkEnd w:id="74"/>
      <w:bookmarkEnd w:id="75"/>
      <w:bookmarkEnd w:id="76"/>
      <w:bookmarkEnd w:id="77"/>
      <w:bookmarkEnd w:id="78"/>
      <w:bookmarkEnd w:id="79"/>
      <w:bookmarkEnd w:id="80"/>
      <w:bookmarkEnd w:id="81"/>
      <w:r w:rsidRPr="00FE0DCB">
        <w:t xml:space="preserve"> </w:t>
      </w:r>
    </w:p>
    <w:p w14:paraId="0ECBDCF8"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This was done by preparing five samples of 200 ml MB dye in five separate flasks, each with concentrations starting from 5, 50, 100, 200, 300, 400, and 500 mg/L. They were used to investigate the impact of contact time on the adsorption experiment. Subsequently, 0.04 g of red color clay was introduced into each flask and stirred at 400 rpm for different times. The contact time for the adsorption process was 5 to 240 minutes. After centrifugation and filtration, the absorbance of the samples was measured. </w:t>
      </w:r>
    </w:p>
    <w:p w14:paraId="3DE8D359" w14:textId="3315FA7D" w:rsidR="00073532" w:rsidRPr="00FE0DCB" w:rsidRDefault="00073532" w:rsidP="00F363BF">
      <w:pPr>
        <w:pStyle w:val="STYLE2"/>
      </w:pPr>
      <w:bookmarkStart w:id="82" w:name="_Toc149745022"/>
      <w:bookmarkStart w:id="83" w:name="_Toc150260349"/>
      <w:bookmarkStart w:id="84" w:name="_Toc150260582"/>
      <w:bookmarkStart w:id="85" w:name="_Toc150260797"/>
      <w:bookmarkStart w:id="86" w:name="_Toc150260860"/>
      <w:bookmarkStart w:id="87" w:name="_Toc150261303"/>
      <w:bookmarkStart w:id="88" w:name="_Toc150266511"/>
      <w:bookmarkStart w:id="89" w:name="_Toc150266997"/>
      <w:bookmarkStart w:id="90" w:name="_Toc150268242"/>
      <w:bookmarkStart w:id="91" w:name="_Toc150271899"/>
      <w:r w:rsidRPr="00FE0DCB">
        <w:t>Effect of Solution pH</w:t>
      </w:r>
      <w:bookmarkEnd w:id="82"/>
      <w:bookmarkEnd w:id="83"/>
      <w:bookmarkEnd w:id="84"/>
      <w:bookmarkEnd w:id="85"/>
      <w:bookmarkEnd w:id="86"/>
      <w:bookmarkEnd w:id="87"/>
      <w:bookmarkEnd w:id="88"/>
      <w:bookmarkEnd w:id="89"/>
      <w:bookmarkEnd w:id="90"/>
      <w:bookmarkEnd w:id="91"/>
    </w:p>
    <w:p w14:paraId="2800D6D6"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To investigate the influence of pH, the experiment was conducted by sets of 200 ml samples of MB dye solution each with a concentration of 20 mg/L but varying pH levels of 3, 7 and 11 in separate conical flasks. Subsequently, 5 g/L concentration of red color clay was added in each flask and the solution was mixed on a magnetized stirrer at a speed of about 400 revolutions per minute for various durations, ranging from 5 to 240 minutes. From the adsorption experiment, there was a rapid and close complete adsorption for all the pH levels except for MB dye initial concentration when adsorption had not started. Therefore, the adsorption equilibrium was considered to be at the </w:t>
      </w:r>
      <w:r w:rsidRPr="00FE0DCB">
        <w:rPr>
          <w:rFonts w:ascii="Times New Roman" w:hAnsi="Times New Roman" w:cs="Times New Roman"/>
          <w:shd w:val="clear" w:color="auto" w:fill="FFFFFF"/>
        </w:rPr>
        <w:lastRenderedPageBreak/>
        <w:t>MB dye initial concentration. The pH level was maintained by the addition of the required NaOH amount to maintain the basicity of solution and HCL to maintain the acidity of solution. After stirring, the samples were centrifuged and then filtered.</w:t>
      </w:r>
    </w:p>
    <w:p w14:paraId="433E954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Additionally, we examined the impact of pH on the adsorption process over time. To assess this effect, 200 ml samples of MB dye solution with a concentration of 20 mg/L were prepared in separate conical flasks, for varying pH of 3, 7, and 11 in each conical flask. 5 g/l (1 g) of red color clay was then placed in each flask and stirred at 400 rpm, at different intervals ranging from 5 to 240 minutes. The samples were collected for centrifugation. The adsorption equilibrium was considered, based on the initial concentration at time zero (0), and complete adsorption was recorded across all pH levels. The pH was maintained by the similar process mentioned above including other processes that followed. </w:t>
      </w:r>
    </w:p>
    <w:p w14:paraId="52F18DD9" w14:textId="2CB899DB" w:rsidR="00073532" w:rsidRPr="00FE0DCB" w:rsidRDefault="00073532" w:rsidP="00F363BF">
      <w:pPr>
        <w:pStyle w:val="STYLE2"/>
      </w:pPr>
      <w:bookmarkStart w:id="92" w:name="_Toc149745023"/>
      <w:bookmarkStart w:id="93" w:name="_Toc150260350"/>
      <w:bookmarkStart w:id="94" w:name="_Toc150260583"/>
      <w:bookmarkStart w:id="95" w:name="_Toc150260798"/>
      <w:bookmarkStart w:id="96" w:name="_Toc150260861"/>
      <w:bookmarkStart w:id="97" w:name="_Toc150261304"/>
      <w:bookmarkStart w:id="98" w:name="_Toc150266512"/>
      <w:bookmarkStart w:id="99" w:name="_Toc150266998"/>
      <w:bookmarkStart w:id="100" w:name="_Toc150268243"/>
      <w:bookmarkStart w:id="101" w:name="_Toc150271900"/>
      <w:r w:rsidRPr="00FE0DCB">
        <w:t>Effect of MB Dye Concentration Study</w:t>
      </w:r>
      <w:bookmarkEnd w:id="92"/>
      <w:bookmarkEnd w:id="93"/>
      <w:bookmarkEnd w:id="94"/>
      <w:bookmarkEnd w:id="95"/>
      <w:bookmarkEnd w:id="96"/>
      <w:bookmarkEnd w:id="97"/>
      <w:bookmarkEnd w:id="98"/>
      <w:bookmarkEnd w:id="99"/>
      <w:bookmarkEnd w:id="100"/>
      <w:bookmarkEnd w:id="101"/>
    </w:p>
    <w:p w14:paraId="17DB9B7F"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Six 200-mL Erlenmeyer flasks were filled with MB dye solutions varying in concentration from 5 to 500 milligrams per </w:t>
      </w:r>
      <w:proofErr w:type="spellStart"/>
      <w:r w:rsidRPr="00FE0DCB">
        <w:rPr>
          <w:rFonts w:ascii="Times New Roman" w:hAnsi="Times New Roman" w:cs="Times New Roman"/>
          <w:shd w:val="clear" w:color="auto" w:fill="FFFFFF"/>
        </w:rPr>
        <w:t>millilitre</w:t>
      </w:r>
      <w:proofErr w:type="spellEnd"/>
      <w:r w:rsidRPr="00FE0DCB">
        <w:rPr>
          <w:rFonts w:ascii="Times New Roman" w:hAnsi="Times New Roman" w:cs="Times New Roman"/>
          <w:shd w:val="clear" w:color="auto" w:fill="FFFFFF"/>
        </w:rPr>
        <w:t>. A mass 0.04 g (equivalent to concentration 0.2 g/L) of prepared red color clay soil was introduced into each vial. The resulting solutions were subsequently agitated for a period of 5 to 240 minutes at a temperature of 25 °C (room temperature) using a magnetic stirrer set at 400 revolutions per minute, and equilibrium was typically reached at 60 minutes with different time for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The remaining process that followed was similar to that mentioned above. Using the formulas in Equations 1.6 and 1.7, we calculated the amount of MB dye that remained bound to the surface of the red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clay at the point of equilibrium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and the percentage of dye that was eliminated.</w:t>
      </w:r>
    </w:p>
    <w:p w14:paraId="5EE90C8F" w14:textId="49816137" w:rsidR="00073532" w:rsidRPr="00FE0DCB" w:rsidRDefault="00073532" w:rsidP="00F363BF">
      <w:pPr>
        <w:pStyle w:val="STYLE2"/>
      </w:pPr>
      <w:bookmarkStart w:id="102" w:name="_Toc149745024"/>
      <w:bookmarkStart w:id="103" w:name="_Toc150260351"/>
      <w:bookmarkStart w:id="104" w:name="_Toc150260584"/>
      <w:bookmarkStart w:id="105" w:name="_Toc150260799"/>
      <w:bookmarkStart w:id="106" w:name="_Toc150260862"/>
      <w:bookmarkStart w:id="107" w:name="_Toc150261305"/>
      <w:bookmarkStart w:id="108" w:name="_Toc150266513"/>
      <w:bookmarkStart w:id="109" w:name="_Toc150266999"/>
      <w:bookmarkStart w:id="110" w:name="_Toc150268244"/>
      <w:bookmarkStart w:id="111" w:name="_Toc150271901"/>
      <w:r w:rsidRPr="00FE0DCB">
        <w:t>Effect of Red Color Clay Concentration Study</w:t>
      </w:r>
      <w:bookmarkEnd w:id="102"/>
      <w:bookmarkEnd w:id="103"/>
      <w:bookmarkEnd w:id="104"/>
      <w:bookmarkEnd w:id="105"/>
      <w:bookmarkEnd w:id="106"/>
      <w:bookmarkEnd w:id="107"/>
      <w:bookmarkEnd w:id="108"/>
      <w:bookmarkEnd w:id="109"/>
      <w:bookmarkEnd w:id="110"/>
      <w:bookmarkEnd w:id="111"/>
    </w:p>
    <w:p w14:paraId="2D93B759"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200 ml of MB dye solution of concentration 100 mg/L were prepared in 5 different Erlenmeyer flasks, to which various concentrations/mass of red clay, 0.04 g (equivalent to 0.2 g/L), 0.1 g (equivalent to 0.5 g/L), 0.16 g (equivalent to 0.8 g/L), 0.2 g (equivalent to 1 g/L), and 0.3 g (equivalent to 1.5 g/L) were added to each. The flasks were stirred at 400 rpm for time fractions of 5 to 300 minutes with variable concentration equilibrium times; 300 minutes for 0.04 g, 240 minutes for 0.1, 20 minutes for 0.16 g, 20 minutes for 0.2 g, and 5 minutes for 0.3 g, at room </w:t>
      </w:r>
      <w:r w:rsidRPr="00FE0DCB">
        <w:rPr>
          <w:rFonts w:ascii="Times New Roman" w:hAnsi="Times New Roman" w:cs="Times New Roman"/>
          <w:shd w:val="clear" w:color="auto" w:fill="FFFFFF"/>
        </w:rPr>
        <w:lastRenderedPageBreak/>
        <w:t>temperature. After the stipulated time interval, the remaining process that followed was similar to that mentioned above. The percentage removal and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w:t>
      </w:r>
      <w:proofErr w:type="gramStart"/>
      <w:r w:rsidRPr="00FE0DCB">
        <w:rPr>
          <w:rFonts w:ascii="Times New Roman" w:hAnsi="Times New Roman" w:cs="Times New Roman"/>
          <w:shd w:val="clear" w:color="auto" w:fill="FFFFFF"/>
        </w:rPr>
        <w:t>was</w:t>
      </w:r>
      <w:proofErr w:type="gramEnd"/>
      <w:r w:rsidRPr="00FE0DCB">
        <w:rPr>
          <w:rFonts w:ascii="Times New Roman" w:hAnsi="Times New Roman" w:cs="Times New Roman"/>
          <w:shd w:val="clear" w:color="auto" w:fill="FFFFFF"/>
        </w:rPr>
        <w:t xml:space="preserve"> determined with the same calculation as mentioned above.</w:t>
      </w:r>
    </w:p>
    <w:p w14:paraId="16ED8C4E" w14:textId="43A726E8" w:rsidR="00073532" w:rsidRPr="00FE0DCB" w:rsidRDefault="00073532" w:rsidP="00F363BF">
      <w:pPr>
        <w:pStyle w:val="STYLE2"/>
      </w:pPr>
      <w:bookmarkStart w:id="112" w:name="_Toc149745025"/>
      <w:bookmarkStart w:id="113" w:name="_Toc150260352"/>
      <w:bookmarkStart w:id="114" w:name="_Toc150260585"/>
      <w:bookmarkStart w:id="115" w:name="_Toc150260800"/>
      <w:bookmarkStart w:id="116" w:name="_Toc150260863"/>
      <w:bookmarkStart w:id="117" w:name="_Toc150261306"/>
      <w:bookmarkStart w:id="118" w:name="_Toc150266514"/>
      <w:bookmarkStart w:id="119" w:name="_Toc150267000"/>
      <w:bookmarkStart w:id="120" w:name="_Toc150268245"/>
      <w:bookmarkStart w:id="121" w:name="_Toc150271902"/>
      <w:r w:rsidRPr="00FE0DCB">
        <w:t>Adsorption Kinetics/Isotherm</w:t>
      </w:r>
      <w:bookmarkEnd w:id="112"/>
      <w:bookmarkEnd w:id="113"/>
      <w:bookmarkEnd w:id="114"/>
      <w:bookmarkEnd w:id="115"/>
      <w:bookmarkEnd w:id="116"/>
      <w:bookmarkEnd w:id="117"/>
      <w:bookmarkEnd w:id="118"/>
      <w:bookmarkEnd w:id="119"/>
      <w:bookmarkEnd w:id="120"/>
      <w:bookmarkEnd w:id="121"/>
    </w:p>
    <w:p w14:paraId="322C3DF1"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find the kinetics of the adsorption model utilized in this study, a separate flask of MB dye solution with concentrations varying from 100 mg/L to 500 mg/L, each flask containing 200 ml of solution was prepared. To each flask, 0.04 g of red color clay was added and stirred at a speed of 400 rpm for various time intervals ranging from 5 to 240 minutes and reached equilibrium at 60 minutes. Following the designated time interval, the subsequent steps were carried out in a manner consistent with the aforementioned procedure.</w:t>
      </w:r>
    </w:p>
    <w:p w14:paraId="6651037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adsorption process between a specific adsorbent and adsorbate can be characterized by the use of adsorption isotherms. </w:t>
      </w:r>
    </w:p>
    <w:p w14:paraId="4CFEDFE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These isotherms are mathematical models describing the correlation between solute concentration in a solution and the quantity of solute adsorbed onto a solid surface at equilibrium. Various adsorption isotherm models such as Langmuir, Freundlich, Temkin, </w:t>
      </w:r>
      <w:proofErr w:type="spellStart"/>
      <w:r w:rsidRPr="00FE0DCB">
        <w:rPr>
          <w:rFonts w:ascii="Times New Roman" w:hAnsi="Times New Roman" w:cs="Times New Roman"/>
          <w:shd w:val="clear" w:color="auto" w:fill="FFFFFF"/>
        </w:rPr>
        <w:t>Dubinin-Radushkevich</w:t>
      </w:r>
      <w:proofErr w:type="spellEnd"/>
      <w:r w:rsidRPr="00FE0DCB">
        <w:rPr>
          <w:rFonts w:ascii="Times New Roman" w:hAnsi="Times New Roman" w:cs="Times New Roman"/>
          <w:shd w:val="clear" w:color="auto" w:fill="FFFFFF"/>
        </w:rPr>
        <w:t xml:space="preserve"> (D-R), Sips, Halsey, Jovanovic, and others are available for the determination of adsorption that takes place between an adsorbent and adsorbate. We utilized the Langmuir and Freundlich isotherm models to determine the nature of the adsorption process between red color clay soil and MB dye in this specific study. The findings of this investigation are presented in the subsequent sections.</w:t>
      </w:r>
    </w:p>
    <w:p w14:paraId="68E12597" w14:textId="5B35BD5C" w:rsidR="00073532" w:rsidRPr="00FE0DCB" w:rsidRDefault="00073532" w:rsidP="00F363BF">
      <w:pPr>
        <w:pStyle w:val="STYLE2"/>
      </w:pPr>
      <w:bookmarkStart w:id="122" w:name="_Toc149745026"/>
      <w:bookmarkStart w:id="123" w:name="_Toc150260353"/>
      <w:bookmarkStart w:id="124" w:name="_Toc150260586"/>
      <w:bookmarkStart w:id="125" w:name="_Toc150260801"/>
      <w:bookmarkStart w:id="126" w:name="_Toc150260864"/>
      <w:bookmarkStart w:id="127" w:name="_Toc150261307"/>
      <w:bookmarkStart w:id="128" w:name="_Toc150266515"/>
      <w:bookmarkStart w:id="129" w:name="_Toc150267001"/>
      <w:bookmarkStart w:id="130" w:name="_Toc150268246"/>
      <w:bookmarkStart w:id="131" w:name="_Toc150271903"/>
      <w:r w:rsidRPr="00FE0DCB">
        <w:t>Spectrophotometric Analysis of MB Dye</w:t>
      </w:r>
      <w:bookmarkEnd w:id="122"/>
      <w:bookmarkEnd w:id="123"/>
      <w:bookmarkEnd w:id="124"/>
      <w:bookmarkEnd w:id="125"/>
      <w:bookmarkEnd w:id="126"/>
      <w:bookmarkEnd w:id="127"/>
      <w:bookmarkEnd w:id="128"/>
      <w:bookmarkEnd w:id="129"/>
      <w:bookmarkEnd w:id="130"/>
      <w:bookmarkEnd w:id="131"/>
      <w:r w:rsidRPr="00FE0DCB">
        <w:t xml:space="preserve"> </w:t>
      </w:r>
    </w:p>
    <w:p w14:paraId="206C0F4A"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analytical instrument employed in this study to detect and quantify the concentration of MB dye in aqueous phase was a Japanese made UV-VIS spectrophotometer. The instrument was used in order to plot a calibration curve and ascertain the quantitative relation of removal for the MB dye by the determination of the concentration of the dye following the adsorption experiment using the resulting curve.</w:t>
      </w:r>
    </w:p>
    <w:p w14:paraId="0ABD0FFA" w14:textId="316C17F4" w:rsidR="00073532" w:rsidRPr="00FE0DCB" w:rsidRDefault="00073532" w:rsidP="00EF05AF">
      <w:pPr>
        <w:rPr>
          <w:rFonts w:ascii="Times New Roman" w:hAnsi="Times New Roman" w:cs="Times New Roman"/>
          <w:b/>
          <w:bCs/>
        </w:rPr>
      </w:pPr>
      <w:bookmarkStart w:id="132" w:name="_Toc149745029"/>
      <w:bookmarkStart w:id="133" w:name="_Toc150260356"/>
      <w:bookmarkStart w:id="134" w:name="_Toc150260589"/>
      <w:bookmarkStart w:id="135" w:name="_Toc150260804"/>
      <w:bookmarkStart w:id="136" w:name="_Toc150260867"/>
      <w:bookmarkStart w:id="137" w:name="_Toc150261310"/>
      <w:bookmarkStart w:id="138" w:name="_Toc150266518"/>
      <w:bookmarkStart w:id="139" w:name="_Toc150267004"/>
      <w:bookmarkStart w:id="140" w:name="_Toc150268249"/>
      <w:bookmarkStart w:id="141" w:name="_Toc150271906"/>
      <w:r w:rsidRPr="00FE0DCB">
        <w:rPr>
          <w:rFonts w:ascii="Times New Roman" w:hAnsi="Times New Roman" w:cs="Times New Roman"/>
          <w:b/>
          <w:bCs/>
        </w:rPr>
        <w:t>Result</w:t>
      </w:r>
      <w:bookmarkEnd w:id="132"/>
      <w:bookmarkEnd w:id="133"/>
      <w:bookmarkEnd w:id="134"/>
      <w:bookmarkEnd w:id="135"/>
      <w:bookmarkEnd w:id="136"/>
      <w:bookmarkEnd w:id="137"/>
      <w:bookmarkEnd w:id="138"/>
      <w:bookmarkEnd w:id="139"/>
      <w:bookmarkEnd w:id="140"/>
      <w:bookmarkEnd w:id="141"/>
      <w:r w:rsidR="00DF4359" w:rsidRPr="00FE0DCB">
        <w:rPr>
          <w:rFonts w:ascii="Times New Roman" w:hAnsi="Times New Roman" w:cs="Times New Roman"/>
          <w:b/>
          <w:bCs/>
        </w:rPr>
        <w:t>s</w:t>
      </w:r>
      <w:r w:rsidR="003D5E56">
        <w:rPr>
          <w:rFonts w:ascii="Times New Roman" w:hAnsi="Times New Roman" w:cs="Times New Roman"/>
          <w:b/>
          <w:bCs/>
        </w:rPr>
        <w:t xml:space="preserve"> and discussion</w:t>
      </w:r>
    </w:p>
    <w:p w14:paraId="121A9D4D" w14:textId="45C81877"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lastRenderedPageBreak/>
        <w:t>The analysis result of the clay soil (red color clay) sample is provided in Table 1</w:t>
      </w:r>
    </w:p>
    <w:p w14:paraId="22113E49" w14:textId="33A25096"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rPr>
      </w:pPr>
      <w:bookmarkStart w:id="142" w:name="_Toc150271163"/>
      <w:r w:rsidRPr="00FE0DCB">
        <w:rPr>
          <w:rFonts w:ascii="Times New Roman" w:hAnsi="Times New Roman" w:cs="Times New Roman"/>
          <w:b/>
          <w:bCs/>
          <w:i w:val="0"/>
          <w:iCs w:val="0"/>
          <w:color w:val="auto"/>
          <w:sz w:val="24"/>
          <w:szCs w:val="24"/>
        </w:rPr>
        <w:t xml:space="preserve">Table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Table_4.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1</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Physico-chemical analysis of the sample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w:t>
      </w:r>
      <w:bookmarkEnd w:id="1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042"/>
      </w:tblGrid>
      <w:tr w:rsidR="00073532" w:rsidRPr="00FE0DCB" w14:paraId="0CD84DC0" w14:textId="77777777" w:rsidTr="00CF4CE4">
        <w:tc>
          <w:tcPr>
            <w:tcW w:w="4178" w:type="dxa"/>
            <w:vMerge w:val="restart"/>
            <w:tcBorders>
              <w:top w:val="single" w:sz="4" w:space="0" w:color="auto"/>
            </w:tcBorders>
            <w:vAlign w:val="center"/>
          </w:tcPr>
          <w:p w14:paraId="0A8F298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lang w:eastAsia="zh-CN"/>
              </w:rPr>
            </w:pPr>
            <w:r w:rsidRPr="00FE0DCB">
              <w:rPr>
                <w:rFonts w:ascii="Times New Roman" w:hAnsi="Times New Roman" w:cs="Times New Roman"/>
                <w:sz w:val="20"/>
                <w:szCs w:val="20"/>
              </w:rPr>
              <w:t>Characterization</w:t>
            </w:r>
          </w:p>
        </w:tc>
        <w:tc>
          <w:tcPr>
            <w:tcW w:w="4042" w:type="dxa"/>
            <w:tcBorders>
              <w:top w:val="single" w:sz="4" w:space="0" w:color="auto"/>
            </w:tcBorders>
          </w:tcPr>
          <w:p w14:paraId="3139AE1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Soil Sample</w:t>
            </w:r>
          </w:p>
        </w:tc>
      </w:tr>
      <w:tr w:rsidR="00073532" w:rsidRPr="00FE0DCB" w14:paraId="5EA988A3" w14:textId="77777777" w:rsidTr="00CF4CE4">
        <w:tc>
          <w:tcPr>
            <w:tcW w:w="4178" w:type="dxa"/>
            <w:vMerge/>
            <w:tcBorders>
              <w:bottom w:val="single" w:sz="4" w:space="0" w:color="auto"/>
            </w:tcBorders>
          </w:tcPr>
          <w:p w14:paraId="612B645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lang w:eastAsia="zh-CN"/>
              </w:rPr>
            </w:pPr>
          </w:p>
        </w:tc>
        <w:tc>
          <w:tcPr>
            <w:tcW w:w="4042" w:type="dxa"/>
            <w:tcBorders>
              <w:bottom w:val="single" w:sz="4" w:space="0" w:color="auto"/>
            </w:tcBorders>
          </w:tcPr>
          <w:p w14:paraId="58B624A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Red Color Clay</w:t>
            </w:r>
          </w:p>
        </w:tc>
      </w:tr>
      <w:tr w:rsidR="00073532" w:rsidRPr="00FE0DCB" w14:paraId="45FCF302" w14:textId="77777777" w:rsidTr="00CF4CE4">
        <w:tc>
          <w:tcPr>
            <w:tcW w:w="4178" w:type="dxa"/>
            <w:tcBorders>
              <w:top w:val="single" w:sz="4" w:space="0" w:color="auto"/>
            </w:tcBorders>
          </w:tcPr>
          <w:p w14:paraId="28EBD1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pH</w:t>
            </w:r>
          </w:p>
        </w:tc>
        <w:tc>
          <w:tcPr>
            <w:tcW w:w="4042" w:type="dxa"/>
            <w:tcBorders>
              <w:top w:val="single" w:sz="4" w:space="0" w:color="auto"/>
            </w:tcBorders>
          </w:tcPr>
          <w:p w14:paraId="79C642C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8.13</w:t>
            </w:r>
          </w:p>
        </w:tc>
      </w:tr>
      <w:tr w:rsidR="00073532" w:rsidRPr="00FE0DCB" w14:paraId="420CE432" w14:textId="77777777" w:rsidTr="00CF4CE4">
        <w:tc>
          <w:tcPr>
            <w:tcW w:w="4178" w:type="dxa"/>
          </w:tcPr>
          <w:p w14:paraId="1403736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Organic Matter Content (TOM)</w:t>
            </w:r>
          </w:p>
        </w:tc>
        <w:tc>
          <w:tcPr>
            <w:tcW w:w="4042" w:type="dxa"/>
          </w:tcPr>
          <w:p w14:paraId="636F5B4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5.7%</w:t>
            </w:r>
          </w:p>
        </w:tc>
      </w:tr>
      <w:tr w:rsidR="00073532" w:rsidRPr="00FE0DCB" w14:paraId="41B542F2" w14:textId="77777777" w:rsidTr="00CF4CE4">
        <w:tc>
          <w:tcPr>
            <w:tcW w:w="4178" w:type="dxa"/>
          </w:tcPr>
          <w:p w14:paraId="039B174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Organic Carbon Content (TOC)</w:t>
            </w:r>
          </w:p>
        </w:tc>
        <w:tc>
          <w:tcPr>
            <w:tcW w:w="4042" w:type="dxa"/>
          </w:tcPr>
          <w:p w14:paraId="6FD7B7D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62.6%</w:t>
            </w:r>
          </w:p>
        </w:tc>
      </w:tr>
      <w:tr w:rsidR="00073532" w:rsidRPr="00FE0DCB" w14:paraId="7B5C08D8" w14:textId="77777777" w:rsidTr="00CF4CE4">
        <w:tc>
          <w:tcPr>
            <w:tcW w:w="4178" w:type="dxa"/>
          </w:tcPr>
          <w:p w14:paraId="61D6177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Soil inorganic carbon (SIC)</w:t>
            </w:r>
          </w:p>
        </w:tc>
        <w:tc>
          <w:tcPr>
            <w:tcW w:w="4042" w:type="dxa"/>
          </w:tcPr>
          <w:p w14:paraId="6D4E994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94.3%</w:t>
            </w:r>
          </w:p>
        </w:tc>
      </w:tr>
      <w:tr w:rsidR="00073532" w:rsidRPr="00FE0DCB" w14:paraId="1CDFECD2" w14:textId="77777777" w:rsidTr="00CF4CE4">
        <w:trPr>
          <w:trHeight w:val="70"/>
        </w:trPr>
        <w:tc>
          <w:tcPr>
            <w:tcW w:w="4178" w:type="dxa"/>
          </w:tcPr>
          <w:p w14:paraId="14CC39A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inorganic carbon (TIC)</w:t>
            </w:r>
          </w:p>
        </w:tc>
        <w:tc>
          <w:tcPr>
            <w:tcW w:w="4042" w:type="dxa"/>
          </w:tcPr>
          <w:p w14:paraId="79CBDCB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81.3%</w:t>
            </w:r>
          </w:p>
        </w:tc>
      </w:tr>
      <w:tr w:rsidR="00073532" w:rsidRPr="00FE0DCB" w14:paraId="28670FE4" w14:textId="77777777" w:rsidTr="00CF4CE4">
        <w:tc>
          <w:tcPr>
            <w:tcW w:w="4178" w:type="dxa"/>
            <w:tcBorders>
              <w:bottom w:val="single" w:sz="4" w:space="0" w:color="auto"/>
            </w:tcBorders>
          </w:tcPr>
          <w:p w14:paraId="558CE39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Carbon (TC)</w:t>
            </w:r>
          </w:p>
        </w:tc>
        <w:tc>
          <w:tcPr>
            <w:tcW w:w="4042" w:type="dxa"/>
            <w:tcBorders>
              <w:bottom w:val="single" w:sz="4" w:space="0" w:color="auto"/>
            </w:tcBorders>
          </w:tcPr>
          <w:p w14:paraId="190323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18.7%</w:t>
            </w:r>
          </w:p>
        </w:tc>
      </w:tr>
    </w:tbl>
    <w:p w14:paraId="14D95714" w14:textId="13C509A4"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Table 1 showcases the chemical composition and physical attributes of the soil sample collected. The pH value of the soil sample (red color clay) as indicated in the Table 1 is 8.13. This pH result suggest that the red color clay sample possess a basic or weak alkaline nature. </w:t>
      </w:r>
    </w:p>
    <w:p w14:paraId="70EE450C" w14:textId="0D78CE7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Furthermore, Table 1 provides the percentages of TOC, TOM, SIC, TIC, and TC content in the red color clay soil sample. The data reveals that red color clay exhibits the high SIC content, while having the low TOM content. The high SIC value in red color clay signifies an increased adsorption capability of the clay soil, attributed to the ability of soil inorganic carbon to adsorb dyes through acid-base reactions with the SIC (Jahani et al., 2020). However, the impact of SIC on soil's adsorption capacity depends on various factors influencing pH, CEC, adsorption sites, as well as general soil characteristics, specific ions or molecules of interest in the context of soil chemistry, or interactions. </w:t>
      </w:r>
    </w:p>
    <w:p w14:paraId="7FDBD2B2"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60A41F19" wp14:editId="1349F374">
            <wp:extent cx="1746250" cy="1986915"/>
            <wp:effectExtent l="0" t="0" r="6350" b="13335"/>
            <wp:docPr id="5" name="Picture 5" descr="A brown rectangular object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own rectangular object in a plastic container&#10;&#10;Description automatically generated"/>
                    <pic:cNvPicPr>
                      <a:picLocks noChangeAspect="1"/>
                    </pic:cNvPicPr>
                  </pic:nvPicPr>
                  <pic:blipFill>
                    <a:blip r:embed="rId9"/>
                    <a:stretch>
                      <a:fillRect/>
                    </a:stretch>
                  </pic:blipFill>
                  <pic:spPr>
                    <a:xfrm>
                      <a:off x="0" y="0"/>
                      <a:ext cx="1790161" cy="2036878"/>
                    </a:xfrm>
                    <a:prstGeom prst="rect">
                      <a:avLst/>
                    </a:prstGeom>
                  </pic:spPr>
                </pic:pic>
              </a:graphicData>
            </a:graphic>
          </wp:inline>
        </w:drawing>
      </w:r>
    </w:p>
    <w:p w14:paraId="2F2EE1E3" w14:textId="1E3EEADC"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43" w:name="_Toc150270948"/>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1</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Sample of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obtained</w:t>
      </w:r>
      <w:bookmarkEnd w:id="143"/>
    </w:p>
    <w:p w14:paraId="349C989C" w14:textId="78F1520B" w:rsidR="00073532" w:rsidRPr="00FE0DCB" w:rsidRDefault="00073532" w:rsidP="00EF05AF">
      <w:pPr>
        <w:rPr>
          <w:rFonts w:ascii="Times New Roman" w:hAnsi="Times New Roman" w:cs="Times New Roman"/>
          <w:b/>
          <w:bCs/>
        </w:rPr>
      </w:pPr>
      <w:bookmarkStart w:id="144" w:name="_Toc149745030"/>
      <w:bookmarkStart w:id="145" w:name="_Toc150260357"/>
      <w:bookmarkStart w:id="146" w:name="_Toc150260590"/>
      <w:bookmarkStart w:id="147" w:name="_Toc150260805"/>
      <w:bookmarkStart w:id="148" w:name="_Toc150260868"/>
      <w:bookmarkStart w:id="149" w:name="_Toc150261311"/>
      <w:bookmarkStart w:id="150" w:name="_Toc150266519"/>
      <w:bookmarkStart w:id="151" w:name="_Toc150267005"/>
      <w:bookmarkStart w:id="152" w:name="_Toc150268250"/>
      <w:bookmarkStart w:id="153" w:name="_Toc150271907"/>
      <w:r w:rsidRPr="00FE0DCB">
        <w:rPr>
          <w:rFonts w:ascii="Times New Roman" w:hAnsi="Times New Roman" w:cs="Times New Roman"/>
          <w:b/>
          <w:bCs/>
        </w:rPr>
        <w:t>Calibration Curves for MB Dye</w:t>
      </w:r>
      <w:bookmarkEnd w:id="144"/>
      <w:bookmarkEnd w:id="145"/>
      <w:bookmarkEnd w:id="146"/>
      <w:bookmarkEnd w:id="147"/>
      <w:bookmarkEnd w:id="148"/>
      <w:bookmarkEnd w:id="149"/>
      <w:bookmarkEnd w:id="150"/>
      <w:bookmarkEnd w:id="151"/>
      <w:bookmarkEnd w:id="152"/>
      <w:bookmarkEnd w:id="153"/>
    </w:p>
    <w:p w14:paraId="769755A9" w14:textId="26CB09AA"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calibration curve for MB dye at 664 nm, was obtained at a neutral pH of 7 as presented in Figure.2. Also, calibration curves for MB dye obtained by different pH values 3, 7, and 11 are presented in Figure 3.</w:t>
      </w:r>
    </w:p>
    <w:p w14:paraId="26BE2F0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sz w:val="20"/>
          <w:szCs w:val="20"/>
        </w:rPr>
        <w:drawing>
          <wp:inline distT="0" distB="0" distL="114300" distR="114300" wp14:anchorId="170D55CD" wp14:editId="75A156D6">
            <wp:extent cx="3632835" cy="2552700"/>
            <wp:effectExtent l="0" t="0" r="5715" b="0"/>
            <wp:docPr id="19" name="Picture 6" descr="A graph of dye concen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aph of dye concentration&#10;&#10;Description automatically generated"/>
                    <pic:cNvPicPr>
                      <a:picLocks noChangeAspect="1"/>
                    </pic:cNvPicPr>
                  </pic:nvPicPr>
                  <pic:blipFill>
                    <a:blip r:embed="rId10"/>
                    <a:stretch>
                      <a:fillRect/>
                    </a:stretch>
                  </pic:blipFill>
                  <pic:spPr>
                    <a:xfrm>
                      <a:off x="0" y="0"/>
                      <a:ext cx="3749372" cy="2634588"/>
                    </a:xfrm>
                    <a:prstGeom prst="rect">
                      <a:avLst/>
                    </a:prstGeom>
                    <a:noFill/>
                    <a:ln>
                      <a:noFill/>
                    </a:ln>
                  </pic:spPr>
                </pic:pic>
              </a:graphicData>
            </a:graphic>
          </wp:inline>
        </w:drawing>
      </w:r>
    </w:p>
    <w:p w14:paraId="691FECE6" w14:textId="4C6558A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54" w:name="_Toc150270949"/>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2</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Calibration curve of absorbance and MB dye concentration relationship at pH 7</w:t>
      </w:r>
      <w:bookmarkEnd w:id="154"/>
    </w:p>
    <w:p w14:paraId="08D011F8"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498D46E1" wp14:editId="4BE4F862">
            <wp:extent cx="5173980" cy="2489200"/>
            <wp:effectExtent l="0" t="0" r="762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4E057A" w14:textId="19D2F5EA" w:rsidR="00073532" w:rsidRPr="00FE0DCB" w:rsidRDefault="00073532" w:rsidP="00073532">
      <w:pPr>
        <w:pStyle w:val="Caption"/>
        <w:spacing w:before="100" w:beforeAutospacing="1" w:after="100" w:afterAutospacing="1" w:line="360" w:lineRule="auto"/>
        <w:jc w:val="center"/>
        <w:rPr>
          <w:rFonts w:ascii="Times New Roman" w:hAnsi="Times New Roman" w:cs="Times New Roman"/>
          <w:b/>
          <w:bCs/>
          <w:i w:val="0"/>
          <w:iCs w:val="0"/>
          <w:color w:val="auto"/>
          <w:sz w:val="24"/>
          <w:szCs w:val="24"/>
        </w:rPr>
      </w:pPr>
      <w:bookmarkStart w:id="155" w:name="_Toc150270950"/>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3</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 xml:space="preserve">: </w:t>
      </w:r>
      <w:r w:rsidRPr="00FE0DCB">
        <w:rPr>
          <w:rFonts w:ascii="Times New Roman" w:hAnsi="Times New Roman" w:cs="Times New Roman"/>
          <w:i w:val="0"/>
          <w:iCs w:val="0"/>
          <w:color w:val="auto"/>
          <w:sz w:val="24"/>
          <w:szCs w:val="24"/>
        </w:rPr>
        <w:t>Calibration curves of absorbance and MB dye concentration relationship at different pH values</w:t>
      </w:r>
      <w:bookmarkEnd w:id="155"/>
    </w:p>
    <w:p w14:paraId="1934DD82" w14:textId="18BBBFF2"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Based on the coefficient correlation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readings 0.9947 at pH 7 for the MB dye, including 0.9903 for pH 3, 0.9947 for pH 7, and 0.9873 for pH 11 as shown in Figures 2 and 3, the standard curve results demonstrate the excellent accuracy.</w:t>
      </w:r>
    </w:p>
    <w:p w14:paraId="0EBC1327" w14:textId="77777777" w:rsidR="00EF05AF" w:rsidRPr="00FE0DCB" w:rsidRDefault="00EF05AF" w:rsidP="00EF05AF">
      <w:pPr>
        <w:rPr>
          <w:rFonts w:ascii="Times New Roman" w:hAnsi="Times New Roman" w:cs="Times New Roman"/>
          <w:b/>
          <w:bCs/>
        </w:rPr>
      </w:pPr>
      <w:bookmarkStart w:id="156" w:name="_Toc149745031"/>
      <w:bookmarkStart w:id="157" w:name="_Toc150260358"/>
      <w:bookmarkStart w:id="158" w:name="_Toc150260591"/>
      <w:bookmarkStart w:id="159" w:name="_Toc150260806"/>
      <w:bookmarkStart w:id="160" w:name="_Toc150260869"/>
      <w:bookmarkStart w:id="161" w:name="_Toc150261312"/>
      <w:bookmarkStart w:id="162" w:name="_Toc150266520"/>
      <w:bookmarkStart w:id="163" w:name="_Toc150267006"/>
      <w:bookmarkStart w:id="164" w:name="_Toc150268251"/>
      <w:bookmarkStart w:id="165" w:name="_Toc150271908"/>
    </w:p>
    <w:p w14:paraId="4B60E82A" w14:textId="77777777" w:rsidR="00EF05AF" w:rsidRPr="00FE0DCB" w:rsidRDefault="00EF05AF" w:rsidP="00EF05AF">
      <w:pPr>
        <w:rPr>
          <w:rFonts w:ascii="Times New Roman" w:hAnsi="Times New Roman" w:cs="Times New Roman"/>
          <w:b/>
          <w:bCs/>
        </w:rPr>
      </w:pPr>
    </w:p>
    <w:p w14:paraId="1C2282F2" w14:textId="60377A6F" w:rsidR="00073532" w:rsidRPr="00FE0DCB" w:rsidRDefault="00073532" w:rsidP="00EF05AF">
      <w:pPr>
        <w:rPr>
          <w:rFonts w:ascii="Times New Roman" w:hAnsi="Times New Roman" w:cs="Times New Roman"/>
          <w:b/>
          <w:bCs/>
        </w:rPr>
      </w:pPr>
      <w:r w:rsidRPr="00FE0DCB">
        <w:rPr>
          <w:rFonts w:ascii="Times New Roman" w:hAnsi="Times New Roman" w:cs="Times New Roman"/>
          <w:b/>
          <w:bCs/>
        </w:rPr>
        <w:t>Impact of pH of Solution on Adsorption of MB Dye</w:t>
      </w:r>
      <w:bookmarkEnd w:id="156"/>
      <w:bookmarkEnd w:id="157"/>
      <w:bookmarkEnd w:id="158"/>
      <w:bookmarkEnd w:id="159"/>
      <w:bookmarkEnd w:id="160"/>
      <w:bookmarkEnd w:id="161"/>
      <w:bookmarkEnd w:id="162"/>
      <w:bookmarkEnd w:id="163"/>
      <w:bookmarkEnd w:id="164"/>
      <w:bookmarkEnd w:id="165"/>
    </w:p>
    <w:p w14:paraId="730632A9" w14:textId="03BC2D3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study examined relationship between levels of pH and adsorption activities through the implementation of two distinct experimental methods. Specifically, in Figure 4, the rate of adsorption at various time points at a particular dye concentration was evaluated. Additionally, for varying pH of 3, 7 and 11 the quantity of absorbed MB dye was determined at a specific time period and the result is presented in Fig.5.</w:t>
      </w:r>
    </w:p>
    <w:p w14:paraId="4FD278CD"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114300" distR="114300" wp14:anchorId="2A19AEDB" wp14:editId="3655C693">
            <wp:extent cx="3492500" cy="2070100"/>
            <wp:effectExtent l="0" t="0" r="12700" b="635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71309B" w14:textId="4F4F68ED"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66" w:name="_Toc150270951"/>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4</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pH impact on adsorption of MB dye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at different time intervals with no discernible difference in equilibrium time</w:t>
      </w:r>
      <w:bookmarkEnd w:id="166"/>
    </w:p>
    <w:p w14:paraId="096285E0" w14:textId="443078FA"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Adsorption capacity of red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clay for the removal of MB dye from a solution as a function of pH is shown in Figure 4. The graph shows that high levels of adsorption activity were observed at all pH levels used in the experiment. Based on this research findings, it can be concluded that high adsorption capacity can be attained at all pH levels, however adsorption at pH 7 seems more appropriate based on the fact that pH adjustment is not required and this pH </w:t>
      </w:r>
      <w:proofErr w:type="spellStart"/>
      <w:r w:rsidRPr="00FE0DCB">
        <w:rPr>
          <w:rFonts w:ascii="Times New Roman" w:hAnsi="Times New Roman" w:cs="Times New Roman"/>
          <w:shd w:val="clear" w:color="auto" w:fill="FFFFFF"/>
        </w:rPr>
        <w:t>favours</w:t>
      </w:r>
      <w:proofErr w:type="spellEnd"/>
      <w:r w:rsidRPr="00FE0DCB">
        <w:rPr>
          <w:rFonts w:ascii="Times New Roman" w:hAnsi="Times New Roman" w:cs="Times New Roman"/>
          <w:shd w:val="clear" w:color="auto" w:fill="FFFFFF"/>
        </w:rPr>
        <w:t xml:space="preserve"> almost all chemical and physical reaction.</w:t>
      </w:r>
    </w:p>
    <w:p w14:paraId="23B69481"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3AFC607" wp14:editId="594CBF1A">
            <wp:extent cx="4559935" cy="2727960"/>
            <wp:effectExtent l="0" t="0" r="1206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6BE032" w14:textId="6876E5A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67" w:name="_Toc150270952"/>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5</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pH influence on adsorption capacity</w:t>
      </w:r>
      <w:bookmarkEnd w:id="167"/>
    </w:p>
    <w:p w14:paraId="7B84B501" w14:textId="56DC6EF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Based on the bar chart in Figure 5, it can be concluded that at all pH levels optimal adsorption (19.40 mg/g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3; 19.513 mg/g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7; 19.08 mg/L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11) occurred with no significant difference in their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except minor discrepancies in their decimal. However, based on the minor discrepancies in their decimal, it can be suggested that the optimal pH for effective dye adsorption or removal was 7. This can be explained by the formation of electrostatic interactions between the positively charged MB dye and the negatively charged red color clay soil at the aforementioned pH (pH 7) (Misran et al., 2018). These findings align with previous research study by Bentahar et al. (2015) and Hu et al. (2017). Particularly the latter, which also demonstrated that a pH of 7 yielded good in adsorption of MB dye on red color clay soil.</w:t>
      </w:r>
    </w:p>
    <w:p w14:paraId="2D20D536" w14:textId="2523758F" w:rsidR="00073532" w:rsidRPr="00FE0DCB" w:rsidRDefault="00073532" w:rsidP="00EF05AF">
      <w:pPr>
        <w:rPr>
          <w:rFonts w:ascii="Times New Roman" w:hAnsi="Times New Roman" w:cs="Times New Roman"/>
          <w:b/>
          <w:bCs/>
        </w:rPr>
      </w:pPr>
      <w:bookmarkStart w:id="168" w:name="_Toc149745032"/>
      <w:bookmarkStart w:id="169" w:name="_Toc150260359"/>
      <w:bookmarkStart w:id="170" w:name="_Toc150260592"/>
      <w:bookmarkStart w:id="171" w:name="_Toc150260807"/>
      <w:bookmarkStart w:id="172" w:name="_Toc150260870"/>
      <w:bookmarkStart w:id="173" w:name="_Toc150261313"/>
      <w:bookmarkStart w:id="174" w:name="_Toc150266521"/>
      <w:bookmarkStart w:id="175" w:name="_Toc150267007"/>
      <w:bookmarkStart w:id="176" w:name="_Toc150268252"/>
      <w:bookmarkStart w:id="177" w:name="_Toc150271909"/>
      <w:r w:rsidRPr="00FE0DCB">
        <w:rPr>
          <w:rFonts w:ascii="Times New Roman" w:hAnsi="Times New Roman" w:cs="Times New Roman"/>
          <w:b/>
          <w:bCs/>
        </w:rPr>
        <w:t>Impact of Varying MB Dye Concentration on Adsorption</w:t>
      </w:r>
      <w:bookmarkEnd w:id="168"/>
      <w:bookmarkEnd w:id="169"/>
      <w:bookmarkEnd w:id="170"/>
      <w:bookmarkEnd w:id="171"/>
      <w:bookmarkEnd w:id="172"/>
      <w:bookmarkEnd w:id="173"/>
      <w:bookmarkEnd w:id="174"/>
      <w:bookmarkEnd w:id="175"/>
      <w:bookmarkEnd w:id="176"/>
      <w:bookmarkEnd w:id="177"/>
    </w:p>
    <w:p w14:paraId="5FA0372E" w14:textId="7039417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This current investigation examined the effect of multiple concentrations of MB dye on the activity of adsorption process under a constant mass of red color clay soil. The adsorption process was analyzed by introducing a constant mass of red color clay (0.04 g) in different concentrations (5–500 mg/L) of adsorbate (MB dye) in a consistent volume of 200 ml for a specific duration period. The results of the experiment are presented in Figure 6 and Figure 7.</w:t>
      </w:r>
    </w:p>
    <w:p w14:paraId="2071D341"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49C21B89"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36A7361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704C2A00" wp14:editId="34F42EDF">
            <wp:extent cx="4168140" cy="2697480"/>
            <wp:effectExtent l="0" t="0" r="381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D278E7" w14:textId="7C4AFC85"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78" w:name="_Toc150270953"/>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6</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MB dye adsorption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with outlier (300 mg/L) at pH of 7</w:t>
      </w:r>
      <w:bookmarkEnd w:id="178"/>
    </w:p>
    <w:p w14:paraId="70751560"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6B6F802" wp14:editId="045513C9">
            <wp:extent cx="4719955" cy="2750820"/>
            <wp:effectExtent l="0" t="0" r="4445"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C1ED73" w14:textId="19C396B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79" w:name="_Toc150270954"/>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7</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percentage removal plot for MB dye adsorption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versus initial concentration at pH of 7</w:t>
      </w:r>
      <w:bookmarkEnd w:id="179"/>
    </w:p>
    <w:p w14:paraId="68BF2C11" w14:textId="2B8A9C7D"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In the experiment, it was observed that most significant adsorption activity took place at 500 mg/L of MB dye concentration considering the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as presented in Figure 6. Furthermore, based </w:t>
      </w:r>
      <w:r w:rsidRPr="00FE0DCB">
        <w:rPr>
          <w:rFonts w:ascii="Times New Roman" w:hAnsi="Times New Roman" w:cs="Times New Roman"/>
          <w:shd w:val="clear" w:color="auto" w:fill="FFFFFF"/>
        </w:rPr>
        <w:lastRenderedPageBreak/>
        <w:t xml:space="preserve">on the data shown in Figure 6, it can be observed that the adsorption activity experienced a deceleration and subsequent decline when the MB dye concentration reached 300 mg/L. The observed </w:t>
      </w:r>
      <w:proofErr w:type="spellStart"/>
      <w:r w:rsidRPr="00FE0DCB">
        <w:rPr>
          <w:rFonts w:ascii="Times New Roman" w:hAnsi="Times New Roman" w:cs="Times New Roman"/>
          <w:shd w:val="clear" w:color="auto" w:fill="FFFFFF"/>
        </w:rPr>
        <w:t>behaviour</w:t>
      </w:r>
      <w:proofErr w:type="spellEnd"/>
      <w:r w:rsidRPr="00FE0DCB">
        <w:rPr>
          <w:rFonts w:ascii="Times New Roman" w:hAnsi="Times New Roman" w:cs="Times New Roman"/>
          <w:shd w:val="clear" w:color="auto" w:fill="FFFFFF"/>
        </w:rPr>
        <w:t xml:space="preserve"> may be attributed to the phenomenon of adsorption site fixation and saturation at low concentration, wherein adsorption activity decreases with increasing dye concentration for a given adsorbent concentration because of limited sites on a fixed mass of adsorbent for increased concentration of adsorbate. Consequently, this saturation leads to a decrease in adsorption activity as the dye concentration continues to rise. The observed outcome in this investigation is consistent with the findings of Rehman et al. (2021) and Othman et al. (2018). </w:t>
      </w:r>
    </w:p>
    <w:p w14:paraId="090A7979" w14:textId="0C24632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Additionally, in the bar chat plot (Figure 7), it was discovered that at a low initial concentration (5 mg/L and 50 mg/L respectively), the red color clay soil shows high efficiency at removal of MB dye in the solution with removal efficiency close to 100 percent as a result of high adsorption available active sites.</w:t>
      </w:r>
    </w:p>
    <w:p w14:paraId="71E2BCA5" w14:textId="57570DD4" w:rsidR="00073532" w:rsidRPr="00FE0DCB" w:rsidRDefault="00073532" w:rsidP="00EF05AF">
      <w:pPr>
        <w:rPr>
          <w:rFonts w:ascii="Times New Roman" w:hAnsi="Times New Roman" w:cs="Times New Roman"/>
          <w:b/>
          <w:bCs/>
        </w:rPr>
      </w:pPr>
      <w:bookmarkStart w:id="180" w:name="_Toc149745033"/>
      <w:bookmarkStart w:id="181" w:name="_Toc150260360"/>
      <w:bookmarkStart w:id="182" w:name="_Toc150260593"/>
      <w:bookmarkStart w:id="183" w:name="_Toc150260808"/>
      <w:bookmarkStart w:id="184" w:name="_Toc150260871"/>
      <w:bookmarkStart w:id="185" w:name="_Toc150261314"/>
      <w:bookmarkStart w:id="186" w:name="_Toc150266522"/>
      <w:bookmarkStart w:id="187" w:name="_Toc150267008"/>
      <w:bookmarkStart w:id="188" w:name="_Toc150268253"/>
      <w:bookmarkStart w:id="189" w:name="_Toc150271910"/>
      <w:r w:rsidRPr="00FE0DCB">
        <w:rPr>
          <w:rFonts w:ascii="Times New Roman" w:hAnsi="Times New Roman" w:cs="Times New Roman"/>
          <w:b/>
          <w:bCs/>
        </w:rPr>
        <w:t>Langmuir Isotherm Result</w:t>
      </w:r>
      <w:bookmarkEnd w:id="180"/>
      <w:bookmarkEnd w:id="181"/>
      <w:bookmarkEnd w:id="182"/>
      <w:bookmarkEnd w:id="183"/>
      <w:bookmarkEnd w:id="184"/>
      <w:bookmarkEnd w:id="185"/>
      <w:bookmarkEnd w:id="186"/>
      <w:bookmarkEnd w:id="187"/>
      <w:bookmarkEnd w:id="188"/>
      <w:bookmarkEnd w:id="189"/>
    </w:p>
    <w:p w14:paraId="226BEDCB" w14:textId="72DA37EB"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Data presented in Table 2 was used to plot the Langmuir isotherm graph. The graph was created by plotting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against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which shows the relationship between the mentioned alphabets. The results of the graph are presented in Figure 8, including the corresponding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xml:space="preserve"> values. The results for the plot of graph without the outlier for 300 mg/L is presented in figure 8, and Figure 9 presented the plot of the graph with the outlier for 300 mg/L MB dye concentration.</w:t>
      </w:r>
    </w:p>
    <w:p w14:paraId="218E554C"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6C6B0233" w14:textId="77777777"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36"/>
          <w:szCs w:val="36"/>
        </w:rPr>
      </w:pPr>
    </w:p>
    <w:p w14:paraId="60404434" w14:textId="791BDD9F" w:rsidR="00073532" w:rsidRPr="00FE0DCB" w:rsidRDefault="00073532" w:rsidP="00073532">
      <w:pPr>
        <w:pStyle w:val="Caption"/>
        <w:keepNext/>
        <w:rPr>
          <w:rFonts w:ascii="Times New Roman" w:hAnsi="Times New Roman" w:cs="Times New Roman"/>
          <w:i w:val="0"/>
          <w:iCs w:val="0"/>
          <w:color w:val="auto"/>
          <w:sz w:val="24"/>
          <w:szCs w:val="24"/>
        </w:rPr>
      </w:pPr>
      <w:bookmarkStart w:id="190" w:name="_Toc150271164"/>
      <w:r w:rsidRPr="00FE0DCB">
        <w:rPr>
          <w:rFonts w:ascii="Times New Roman" w:hAnsi="Times New Roman" w:cs="Times New Roman"/>
          <w:b/>
          <w:bCs/>
          <w:i w:val="0"/>
          <w:iCs w:val="0"/>
          <w:color w:val="auto"/>
          <w:sz w:val="24"/>
          <w:szCs w:val="24"/>
        </w:rPr>
        <w:t xml:space="preserve">Table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Table_4.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2</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Values of the of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and MB dye concentrations adsorption experiment capacity for Langmuir isotherm</w:t>
      </w:r>
      <w:bookmarkEnd w:id="19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3115"/>
        <w:gridCol w:w="1243"/>
        <w:gridCol w:w="1086"/>
        <w:gridCol w:w="1090"/>
        <w:gridCol w:w="987"/>
      </w:tblGrid>
      <w:tr w:rsidR="00073532" w:rsidRPr="00FE0DCB" w14:paraId="1C5B4920" w14:textId="77777777" w:rsidTr="00CF4CE4">
        <w:tc>
          <w:tcPr>
            <w:tcW w:w="982" w:type="pct"/>
            <w:tcBorders>
              <w:top w:val="single" w:sz="4" w:space="0" w:color="auto"/>
              <w:bottom w:val="single" w:sz="4" w:space="0" w:color="auto"/>
            </w:tcBorders>
            <w:vAlign w:val="center"/>
          </w:tcPr>
          <w:p w14:paraId="1C856B7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Red color clay mass (g)</w:t>
            </w:r>
          </w:p>
        </w:tc>
        <w:tc>
          <w:tcPr>
            <w:tcW w:w="1664" w:type="pct"/>
            <w:tcBorders>
              <w:top w:val="single" w:sz="4" w:space="0" w:color="auto"/>
              <w:bottom w:val="single" w:sz="4" w:space="0" w:color="auto"/>
            </w:tcBorders>
            <w:vAlign w:val="center"/>
          </w:tcPr>
          <w:p w14:paraId="45786F4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Concentration of MB dye (mg/L) (Co)</w:t>
            </w:r>
          </w:p>
        </w:tc>
        <w:tc>
          <w:tcPr>
            <w:tcW w:w="664" w:type="pct"/>
            <w:tcBorders>
              <w:top w:val="single" w:sz="4" w:space="0" w:color="auto"/>
              <w:bottom w:val="single" w:sz="4" w:space="0" w:color="auto"/>
            </w:tcBorders>
            <w:vAlign w:val="center"/>
          </w:tcPr>
          <w:p w14:paraId="3851AF5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Time (Mins)</w:t>
            </w:r>
          </w:p>
        </w:tc>
        <w:tc>
          <w:tcPr>
            <w:tcW w:w="580" w:type="pct"/>
            <w:tcBorders>
              <w:top w:val="single" w:sz="4" w:space="0" w:color="auto"/>
              <w:bottom w:val="single" w:sz="4" w:space="0" w:color="auto"/>
            </w:tcBorders>
            <w:vAlign w:val="center"/>
          </w:tcPr>
          <w:p w14:paraId="30C161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 xml:space="preserve">E </w:t>
            </w:r>
            <w:r w:rsidRPr="00FE0DCB">
              <w:rPr>
                <w:rFonts w:ascii="Times New Roman" w:eastAsia="SimSun" w:hAnsi="Times New Roman" w:cs="Times New Roman"/>
                <w:sz w:val="20"/>
                <w:szCs w:val="20"/>
                <w:lang w:bidi="ar"/>
              </w:rPr>
              <w:t>(mg/L)</w:t>
            </w:r>
          </w:p>
        </w:tc>
        <w:tc>
          <w:tcPr>
            <w:tcW w:w="582" w:type="pct"/>
            <w:tcBorders>
              <w:top w:val="single" w:sz="4" w:space="0" w:color="auto"/>
              <w:bottom w:val="single" w:sz="4" w:space="0" w:color="auto"/>
            </w:tcBorders>
            <w:vAlign w:val="center"/>
          </w:tcPr>
          <w:p w14:paraId="05D74E9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 xml:space="preserve">E </w:t>
            </w:r>
            <w:r w:rsidRPr="00FE0DCB">
              <w:rPr>
                <w:rFonts w:ascii="Times New Roman" w:eastAsia="SimSun" w:hAnsi="Times New Roman" w:cs="Times New Roman"/>
                <w:sz w:val="20"/>
                <w:szCs w:val="20"/>
                <w:lang w:bidi="ar"/>
              </w:rPr>
              <w:t>(mg/g)</w:t>
            </w:r>
          </w:p>
        </w:tc>
        <w:tc>
          <w:tcPr>
            <w:tcW w:w="527" w:type="pct"/>
            <w:tcBorders>
              <w:top w:val="single" w:sz="4" w:space="0" w:color="auto"/>
              <w:bottom w:val="single" w:sz="4" w:space="0" w:color="auto"/>
            </w:tcBorders>
            <w:vAlign w:val="center"/>
          </w:tcPr>
          <w:p w14:paraId="2FEFC4B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E</w:t>
            </w:r>
          </w:p>
        </w:tc>
      </w:tr>
      <w:tr w:rsidR="00073532" w:rsidRPr="00FE0DCB" w14:paraId="2BBCAF45" w14:textId="77777777" w:rsidTr="00CF4CE4">
        <w:tc>
          <w:tcPr>
            <w:tcW w:w="982" w:type="pct"/>
            <w:tcBorders>
              <w:top w:val="single" w:sz="4" w:space="0" w:color="auto"/>
            </w:tcBorders>
            <w:vAlign w:val="center"/>
          </w:tcPr>
          <w:p w14:paraId="751108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tcBorders>
              <w:top w:val="single" w:sz="4" w:space="0" w:color="auto"/>
            </w:tcBorders>
            <w:vAlign w:val="center"/>
          </w:tcPr>
          <w:p w14:paraId="2980C37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5.2</w:t>
            </w:r>
          </w:p>
        </w:tc>
        <w:tc>
          <w:tcPr>
            <w:tcW w:w="664" w:type="pct"/>
            <w:tcBorders>
              <w:top w:val="single" w:sz="4" w:space="0" w:color="auto"/>
            </w:tcBorders>
            <w:vAlign w:val="center"/>
          </w:tcPr>
          <w:p w14:paraId="4BD85EE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c>
          <w:tcPr>
            <w:tcW w:w="580" w:type="pct"/>
            <w:tcBorders>
              <w:top w:val="single" w:sz="4" w:space="0" w:color="auto"/>
            </w:tcBorders>
            <w:vAlign w:val="center"/>
          </w:tcPr>
          <w:p w14:paraId="46BDFBF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c>
          <w:tcPr>
            <w:tcW w:w="582" w:type="pct"/>
            <w:tcBorders>
              <w:top w:val="single" w:sz="4" w:space="0" w:color="auto"/>
            </w:tcBorders>
            <w:vAlign w:val="center"/>
          </w:tcPr>
          <w:p w14:paraId="01772A9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28.8</w:t>
            </w:r>
          </w:p>
        </w:tc>
        <w:tc>
          <w:tcPr>
            <w:tcW w:w="527" w:type="pct"/>
            <w:tcBorders>
              <w:top w:val="single" w:sz="4" w:space="0" w:color="auto"/>
            </w:tcBorders>
            <w:vAlign w:val="center"/>
          </w:tcPr>
          <w:p w14:paraId="53A994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r>
      <w:tr w:rsidR="00073532" w:rsidRPr="00FE0DCB" w14:paraId="324451D4" w14:textId="77777777" w:rsidTr="00CF4CE4">
        <w:tc>
          <w:tcPr>
            <w:tcW w:w="982" w:type="pct"/>
            <w:vAlign w:val="center"/>
          </w:tcPr>
          <w:p w14:paraId="009CB26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1673CB3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50.8</w:t>
            </w:r>
          </w:p>
        </w:tc>
        <w:tc>
          <w:tcPr>
            <w:tcW w:w="664" w:type="pct"/>
            <w:vAlign w:val="center"/>
          </w:tcPr>
          <w:p w14:paraId="7347DB9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60</w:t>
            </w:r>
          </w:p>
        </w:tc>
        <w:tc>
          <w:tcPr>
            <w:tcW w:w="580" w:type="pct"/>
            <w:vAlign w:val="center"/>
          </w:tcPr>
          <w:p w14:paraId="26C10B3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0.06</w:t>
            </w:r>
          </w:p>
        </w:tc>
        <w:tc>
          <w:tcPr>
            <w:tcW w:w="582" w:type="pct"/>
            <w:vAlign w:val="center"/>
          </w:tcPr>
          <w:p w14:paraId="56D6F6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255.1</w:t>
            </w:r>
          </w:p>
        </w:tc>
        <w:tc>
          <w:tcPr>
            <w:tcW w:w="527" w:type="pct"/>
            <w:vAlign w:val="center"/>
          </w:tcPr>
          <w:p w14:paraId="0FCC78D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0.00023</w:t>
            </w:r>
          </w:p>
        </w:tc>
      </w:tr>
      <w:tr w:rsidR="00073532" w:rsidRPr="00FE0DCB" w14:paraId="0CD1ED25" w14:textId="77777777" w:rsidTr="00CF4CE4">
        <w:tc>
          <w:tcPr>
            <w:tcW w:w="982" w:type="pct"/>
            <w:vAlign w:val="center"/>
          </w:tcPr>
          <w:p w14:paraId="020412A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714D367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138.0</w:t>
            </w:r>
          </w:p>
        </w:tc>
        <w:tc>
          <w:tcPr>
            <w:tcW w:w="664" w:type="pct"/>
            <w:vAlign w:val="center"/>
          </w:tcPr>
          <w:p w14:paraId="3A2F2EE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3F26286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2.82</w:t>
            </w:r>
          </w:p>
        </w:tc>
        <w:tc>
          <w:tcPr>
            <w:tcW w:w="582" w:type="pct"/>
            <w:vAlign w:val="center"/>
          </w:tcPr>
          <w:p w14:paraId="35E9003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676.01</w:t>
            </w:r>
          </w:p>
        </w:tc>
        <w:tc>
          <w:tcPr>
            <w:tcW w:w="527" w:type="pct"/>
            <w:vAlign w:val="center"/>
          </w:tcPr>
          <w:p w14:paraId="46BAF19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0.0041</w:t>
            </w:r>
          </w:p>
        </w:tc>
      </w:tr>
      <w:tr w:rsidR="00073532" w:rsidRPr="00FE0DCB" w14:paraId="3EF92EB9" w14:textId="77777777" w:rsidTr="00CF4CE4">
        <w:tc>
          <w:tcPr>
            <w:tcW w:w="982" w:type="pct"/>
            <w:vAlign w:val="center"/>
          </w:tcPr>
          <w:p w14:paraId="6C8351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04C82F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261.4</w:t>
            </w:r>
          </w:p>
        </w:tc>
        <w:tc>
          <w:tcPr>
            <w:tcW w:w="664" w:type="pct"/>
            <w:vAlign w:val="center"/>
          </w:tcPr>
          <w:p w14:paraId="0EE405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5CB7784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119.0</w:t>
            </w:r>
          </w:p>
        </w:tc>
        <w:tc>
          <w:tcPr>
            <w:tcW w:w="582" w:type="pct"/>
            <w:vAlign w:val="center"/>
          </w:tcPr>
          <w:p w14:paraId="058E106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712.1</w:t>
            </w:r>
          </w:p>
        </w:tc>
        <w:tc>
          <w:tcPr>
            <w:tcW w:w="527" w:type="pct"/>
            <w:vAlign w:val="center"/>
          </w:tcPr>
          <w:p w14:paraId="361782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0.16</w:t>
            </w:r>
          </w:p>
        </w:tc>
      </w:tr>
      <w:tr w:rsidR="00073532" w:rsidRPr="00FE0DCB" w14:paraId="335402DE" w14:textId="77777777" w:rsidTr="00CF4CE4">
        <w:tc>
          <w:tcPr>
            <w:tcW w:w="982" w:type="pct"/>
            <w:vAlign w:val="center"/>
          </w:tcPr>
          <w:p w14:paraId="7882499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394D42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404.0</w:t>
            </w:r>
          </w:p>
        </w:tc>
        <w:tc>
          <w:tcPr>
            <w:tcW w:w="664" w:type="pct"/>
            <w:vAlign w:val="center"/>
          </w:tcPr>
          <w:p w14:paraId="63EEA8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55C71A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258.9</w:t>
            </w:r>
          </w:p>
        </w:tc>
        <w:tc>
          <w:tcPr>
            <w:tcW w:w="582" w:type="pct"/>
            <w:vAlign w:val="center"/>
          </w:tcPr>
          <w:p w14:paraId="524212F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725.5</w:t>
            </w:r>
          </w:p>
        </w:tc>
        <w:tc>
          <w:tcPr>
            <w:tcW w:w="527" w:type="pct"/>
            <w:vAlign w:val="center"/>
          </w:tcPr>
          <w:p w14:paraId="4BDE89A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0.35</w:t>
            </w:r>
          </w:p>
        </w:tc>
      </w:tr>
      <w:tr w:rsidR="00073532" w:rsidRPr="00FE0DCB" w14:paraId="492B8542" w14:textId="77777777" w:rsidTr="00CF4CE4">
        <w:tc>
          <w:tcPr>
            <w:tcW w:w="982" w:type="pct"/>
            <w:tcBorders>
              <w:bottom w:val="single" w:sz="4" w:space="0" w:color="auto"/>
            </w:tcBorders>
            <w:vAlign w:val="center"/>
          </w:tcPr>
          <w:p w14:paraId="38FEDC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tcBorders>
              <w:bottom w:val="single" w:sz="4" w:space="0" w:color="auto"/>
            </w:tcBorders>
            <w:vAlign w:val="center"/>
          </w:tcPr>
          <w:p w14:paraId="2467DDB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538.2</w:t>
            </w:r>
          </w:p>
        </w:tc>
        <w:tc>
          <w:tcPr>
            <w:tcW w:w="664" w:type="pct"/>
            <w:tcBorders>
              <w:bottom w:val="single" w:sz="4" w:space="0" w:color="auto"/>
            </w:tcBorders>
            <w:vAlign w:val="center"/>
          </w:tcPr>
          <w:p w14:paraId="3FB163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tcBorders>
              <w:bottom w:val="single" w:sz="4" w:space="0" w:color="auto"/>
            </w:tcBorders>
            <w:vAlign w:val="center"/>
          </w:tcPr>
          <w:p w14:paraId="134DF9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375.6</w:t>
            </w:r>
          </w:p>
        </w:tc>
        <w:tc>
          <w:tcPr>
            <w:tcW w:w="582" w:type="pct"/>
            <w:tcBorders>
              <w:bottom w:val="single" w:sz="4" w:space="0" w:color="auto"/>
            </w:tcBorders>
            <w:vAlign w:val="center"/>
          </w:tcPr>
          <w:p w14:paraId="316D4BC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812.9</w:t>
            </w:r>
          </w:p>
        </w:tc>
        <w:tc>
          <w:tcPr>
            <w:tcW w:w="527" w:type="pct"/>
            <w:tcBorders>
              <w:bottom w:val="single" w:sz="4" w:space="0" w:color="auto"/>
            </w:tcBorders>
            <w:vAlign w:val="center"/>
          </w:tcPr>
          <w:p w14:paraId="490112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0.46</w:t>
            </w:r>
          </w:p>
        </w:tc>
      </w:tr>
    </w:tbl>
    <w:p w14:paraId="25A4034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201E8D8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4EE4BC31" wp14:editId="38148A27">
            <wp:extent cx="3500120" cy="2336800"/>
            <wp:effectExtent l="0" t="0" r="5080" b="6350"/>
            <wp:docPr id="9" name="Picture 1" descr="A graph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graph with a dotted line&#10;&#10;Description automatically generated"/>
                    <pic:cNvPicPr>
                      <a:picLocks noChangeAspect="1"/>
                    </pic:cNvPicPr>
                  </pic:nvPicPr>
                  <pic:blipFill>
                    <a:blip r:embed="rId16"/>
                    <a:stretch>
                      <a:fillRect/>
                    </a:stretch>
                  </pic:blipFill>
                  <pic:spPr>
                    <a:xfrm>
                      <a:off x="0" y="0"/>
                      <a:ext cx="3511300" cy="2344264"/>
                    </a:xfrm>
                    <a:prstGeom prst="rect">
                      <a:avLst/>
                    </a:prstGeom>
                    <a:noFill/>
                    <a:ln>
                      <a:noFill/>
                    </a:ln>
                  </pic:spPr>
                </pic:pic>
              </a:graphicData>
            </a:graphic>
          </wp:inline>
        </w:drawing>
      </w:r>
    </w:p>
    <w:p w14:paraId="4F27C8CF" w14:textId="356CBCC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91" w:name="_Toc150270955"/>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8</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Langmuir isotherm model graph</w:t>
      </w:r>
      <w:bookmarkEnd w:id="191"/>
    </w:p>
    <w:p w14:paraId="444F8E75"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0704D8A8" wp14:editId="5FF85A61">
            <wp:extent cx="4598035" cy="2628900"/>
            <wp:effectExtent l="0" t="0" r="1206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8EF81" w14:textId="169DB7FC"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192" w:name="_Toc150270956"/>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9</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Langmuir isotherm model graph with an outlier for 300 mg/L MB dye</w:t>
      </w:r>
      <w:bookmarkEnd w:id="192"/>
    </w:p>
    <w:p w14:paraId="46A8E8E7" w14:textId="4CCBD1E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Langmuir isotherm correlation coefficient showed accuracy with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xml:space="preserve"> value 0.9946 indicated in Figure 8, and 0.9117 in Figure 9 which is an indication that the Langmuir isotherm is a reliable model to represent how adsorption process occurred in this study. However, the variation between the two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 xml:space="preserve">values is due to the outlier of concentration 300 mg/L. An outlier is defined as data-point result which are inconsistent with the expected outcome in a dataset (Pearson, 2002). This data-point are known to cause noticeable effect on correlation coefficient and in some cases have no effect (Kim et al., 2015). Occurrences of outlier are known to indicate various issues such as error in experimental process, </w:t>
      </w:r>
      <w:proofErr w:type="spellStart"/>
      <w:r w:rsidRPr="00FE0DCB">
        <w:rPr>
          <w:rFonts w:ascii="Times New Roman" w:hAnsi="Times New Roman" w:cs="Times New Roman"/>
          <w:shd w:val="clear" w:color="auto" w:fill="FFFFFF"/>
        </w:rPr>
        <w:t>etc</w:t>
      </w:r>
      <w:proofErr w:type="spellEnd"/>
      <w:r w:rsidRPr="00FE0DCB">
        <w:rPr>
          <w:rFonts w:ascii="Times New Roman" w:hAnsi="Times New Roman" w:cs="Times New Roman"/>
          <w:shd w:val="clear" w:color="auto" w:fill="FFFFFF"/>
        </w:rPr>
        <w:t xml:space="preserve"> (Pearson, 2002).</w:t>
      </w:r>
    </w:p>
    <w:p w14:paraId="58FBB2DE" w14:textId="20BCC813" w:rsidR="00073532" w:rsidRPr="00FE0DCB" w:rsidRDefault="00073532" w:rsidP="00EF05AF">
      <w:pPr>
        <w:rPr>
          <w:rFonts w:ascii="Times New Roman" w:hAnsi="Times New Roman" w:cs="Times New Roman"/>
          <w:b/>
          <w:bCs/>
        </w:rPr>
      </w:pPr>
      <w:bookmarkStart w:id="193" w:name="_Toc149745034"/>
      <w:bookmarkStart w:id="194" w:name="_Toc150260361"/>
      <w:bookmarkStart w:id="195" w:name="_Toc150260594"/>
      <w:bookmarkStart w:id="196" w:name="_Toc150260809"/>
      <w:bookmarkStart w:id="197" w:name="_Toc150260872"/>
      <w:bookmarkStart w:id="198" w:name="_Toc150261315"/>
      <w:bookmarkStart w:id="199" w:name="_Toc150266523"/>
      <w:bookmarkStart w:id="200" w:name="_Toc150267009"/>
      <w:bookmarkStart w:id="201" w:name="_Toc150268254"/>
      <w:bookmarkStart w:id="202" w:name="_Toc150271911"/>
      <w:r w:rsidRPr="00FE0DCB">
        <w:rPr>
          <w:rFonts w:ascii="Times New Roman" w:hAnsi="Times New Roman" w:cs="Times New Roman"/>
          <w:b/>
          <w:bCs/>
        </w:rPr>
        <w:t>Freundlich Isotherm Result</w:t>
      </w:r>
      <w:bookmarkEnd w:id="193"/>
      <w:bookmarkEnd w:id="194"/>
      <w:bookmarkEnd w:id="195"/>
      <w:bookmarkEnd w:id="196"/>
      <w:bookmarkEnd w:id="197"/>
      <w:bookmarkEnd w:id="198"/>
      <w:bookmarkEnd w:id="199"/>
      <w:bookmarkEnd w:id="200"/>
      <w:bookmarkEnd w:id="201"/>
      <w:bookmarkEnd w:id="202"/>
    </w:p>
    <w:p w14:paraId="4B09DD64" w14:textId="69E07B5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if the adsorption experimental procedure fits this isotherm, the experimental data derived after the procedure are outlined by Table 3.</w:t>
      </w:r>
    </w:p>
    <w:p w14:paraId="547F3100"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2E87A784" w14:textId="6AF9FA16" w:rsidR="00073532" w:rsidRPr="00FE0DCB" w:rsidRDefault="00073532" w:rsidP="00073532">
      <w:pPr>
        <w:pStyle w:val="Caption"/>
        <w:keepNext/>
        <w:spacing w:before="100" w:beforeAutospacing="1" w:after="100" w:afterAutospacing="1" w:line="360" w:lineRule="auto"/>
        <w:jc w:val="both"/>
        <w:rPr>
          <w:rFonts w:ascii="Times New Roman" w:hAnsi="Times New Roman" w:cs="Times New Roman"/>
          <w:i w:val="0"/>
          <w:iCs w:val="0"/>
          <w:color w:val="auto"/>
          <w:sz w:val="24"/>
          <w:szCs w:val="24"/>
          <w:shd w:val="clear" w:color="auto" w:fill="FFFFFF"/>
        </w:rPr>
      </w:pPr>
      <w:bookmarkStart w:id="203" w:name="_Toc150271165"/>
      <w:r w:rsidRPr="00FE0DCB">
        <w:rPr>
          <w:rFonts w:ascii="Times New Roman" w:hAnsi="Times New Roman" w:cs="Times New Roman"/>
          <w:b/>
          <w:bCs/>
          <w:i w:val="0"/>
          <w:iCs w:val="0"/>
          <w:color w:val="auto"/>
          <w:sz w:val="24"/>
          <w:szCs w:val="24"/>
          <w:shd w:val="clear" w:color="auto" w:fill="FFFFFF"/>
        </w:rPr>
        <w:lastRenderedPageBreak/>
        <w:t xml:space="preserve">Table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3</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Experiment Data for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and MB dye concentrations adsorption capacity for Freundlich isotherm model</w:t>
      </w:r>
      <w:bookmarkEnd w:id="20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132"/>
        <w:gridCol w:w="1335"/>
        <w:gridCol w:w="1129"/>
        <w:gridCol w:w="1127"/>
        <w:gridCol w:w="1026"/>
        <w:gridCol w:w="1054"/>
      </w:tblGrid>
      <w:tr w:rsidR="00073532" w:rsidRPr="00FE0DCB" w14:paraId="0B232DD3" w14:textId="77777777" w:rsidTr="00CF4CE4">
        <w:tc>
          <w:tcPr>
            <w:tcW w:w="832" w:type="pct"/>
            <w:tcBorders>
              <w:top w:val="single" w:sz="4" w:space="0" w:color="auto"/>
              <w:bottom w:val="single" w:sz="4" w:space="0" w:color="auto"/>
            </w:tcBorders>
            <w:vAlign w:val="center"/>
          </w:tcPr>
          <w:p w14:paraId="2532369E" w14:textId="77777777" w:rsidR="00073532" w:rsidRPr="00FE0DCB" w:rsidRDefault="00073532" w:rsidP="00CF4CE4">
            <w:pPr>
              <w:spacing w:before="100" w:beforeAutospacing="1" w:after="100" w:afterAutospacing="1" w:line="360" w:lineRule="auto"/>
              <w:jc w:val="center"/>
              <w:textAlignment w:val="bottom"/>
              <w:rPr>
                <w:rFonts w:ascii="Times New Roman" w:eastAsia="SimSun" w:hAnsi="Times New Roman" w:cs="Times New Roman"/>
                <w:sz w:val="20"/>
                <w:szCs w:val="20"/>
                <w:lang w:bidi="ar"/>
              </w:rPr>
            </w:pPr>
            <w:r w:rsidRPr="00FE0DCB">
              <w:rPr>
                <w:rFonts w:ascii="Times New Roman" w:eastAsia="SimSun" w:hAnsi="Times New Roman" w:cs="Times New Roman"/>
                <w:sz w:val="20"/>
                <w:szCs w:val="20"/>
                <w:lang w:bidi="ar"/>
              </w:rPr>
              <w:t>Red color clay mass (g)</w:t>
            </w:r>
          </w:p>
        </w:tc>
        <w:tc>
          <w:tcPr>
            <w:tcW w:w="1139" w:type="pct"/>
            <w:tcBorders>
              <w:top w:val="single" w:sz="4" w:space="0" w:color="auto"/>
              <w:bottom w:val="single" w:sz="4" w:space="0" w:color="auto"/>
            </w:tcBorders>
            <w:vAlign w:val="center"/>
          </w:tcPr>
          <w:p w14:paraId="1265FFB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MB dye Concentration (mg/L) (Co)</w:t>
            </w:r>
          </w:p>
        </w:tc>
        <w:tc>
          <w:tcPr>
            <w:tcW w:w="713" w:type="pct"/>
            <w:tcBorders>
              <w:top w:val="single" w:sz="4" w:space="0" w:color="auto"/>
              <w:bottom w:val="single" w:sz="4" w:space="0" w:color="auto"/>
            </w:tcBorders>
            <w:vAlign w:val="center"/>
          </w:tcPr>
          <w:p w14:paraId="6E0F479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Time (mins)</w:t>
            </w:r>
          </w:p>
        </w:tc>
        <w:tc>
          <w:tcPr>
            <w:tcW w:w="603" w:type="pct"/>
            <w:tcBorders>
              <w:top w:val="single" w:sz="4" w:space="0" w:color="auto"/>
              <w:bottom w:val="single" w:sz="4" w:space="0" w:color="auto"/>
            </w:tcBorders>
            <w:vAlign w:val="center"/>
          </w:tcPr>
          <w:p w14:paraId="5B3B978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 xml:space="preserve"> (mg/L)</w:t>
            </w:r>
          </w:p>
        </w:tc>
        <w:tc>
          <w:tcPr>
            <w:tcW w:w="602" w:type="pct"/>
            <w:tcBorders>
              <w:top w:val="single" w:sz="4" w:space="0" w:color="auto"/>
              <w:bottom w:val="single" w:sz="4" w:space="0" w:color="auto"/>
            </w:tcBorders>
            <w:vAlign w:val="center"/>
          </w:tcPr>
          <w:p w14:paraId="1831A83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 xml:space="preserve"> (mg/g)</w:t>
            </w:r>
          </w:p>
        </w:tc>
        <w:tc>
          <w:tcPr>
            <w:tcW w:w="548" w:type="pct"/>
            <w:tcBorders>
              <w:top w:val="single" w:sz="4" w:space="0" w:color="auto"/>
              <w:bottom w:val="single" w:sz="4" w:space="0" w:color="auto"/>
            </w:tcBorders>
            <w:vAlign w:val="center"/>
          </w:tcPr>
          <w:p w14:paraId="440EC4A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Log C</w:t>
            </w:r>
            <w:r w:rsidRPr="00FE0DCB">
              <w:rPr>
                <w:rFonts w:ascii="Times New Roman" w:eastAsia="SimSun" w:hAnsi="Times New Roman" w:cs="Times New Roman"/>
                <w:sz w:val="20"/>
                <w:szCs w:val="20"/>
                <w:vertAlign w:val="subscript"/>
                <w:lang w:bidi="ar"/>
              </w:rPr>
              <w:t>E</w:t>
            </w:r>
          </w:p>
        </w:tc>
        <w:tc>
          <w:tcPr>
            <w:tcW w:w="563" w:type="pct"/>
            <w:tcBorders>
              <w:top w:val="single" w:sz="4" w:space="0" w:color="auto"/>
              <w:bottom w:val="single" w:sz="4" w:space="0" w:color="auto"/>
            </w:tcBorders>
            <w:vAlign w:val="center"/>
          </w:tcPr>
          <w:p w14:paraId="059A4A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Log Q</w:t>
            </w:r>
            <w:r w:rsidRPr="00FE0DCB">
              <w:rPr>
                <w:rFonts w:ascii="Times New Roman" w:eastAsia="SimSun" w:hAnsi="Times New Roman" w:cs="Times New Roman"/>
                <w:sz w:val="20"/>
                <w:szCs w:val="20"/>
                <w:vertAlign w:val="subscript"/>
                <w:lang w:bidi="ar"/>
              </w:rPr>
              <w:t>E</w:t>
            </w:r>
          </w:p>
        </w:tc>
      </w:tr>
      <w:tr w:rsidR="00073532" w:rsidRPr="00FE0DCB" w14:paraId="49A18D7F" w14:textId="77777777" w:rsidTr="00CF4CE4">
        <w:tc>
          <w:tcPr>
            <w:tcW w:w="832" w:type="pct"/>
            <w:tcBorders>
              <w:top w:val="single" w:sz="4" w:space="0" w:color="auto"/>
            </w:tcBorders>
            <w:vAlign w:val="center"/>
          </w:tcPr>
          <w:p w14:paraId="5FA1A3E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tcBorders>
              <w:top w:val="single" w:sz="4" w:space="0" w:color="auto"/>
            </w:tcBorders>
            <w:vAlign w:val="center"/>
          </w:tcPr>
          <w:p w14:paraId="571AEF1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5.2</w:t>
            </w:r>
          </w:p>
        </w:tc>
        <w:tc>
          <w:tcPr>
            <w:tcW w:w="713" w:type="pct"/>
            <w:tcBorders>
              <w:top w:val="single" w:sz="4" w:space="0" w:color="auto"/>
            </w:tcBorders>
            <w:vAlign w:val="center"/>
          </w:tcPr>
          <w:p w14:paraId="3F52914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603" w:type="pct"/>
            <w:tcBorders>
              <w:top w:val="single" w:sz="4" w:space="0" w:color="auto"/>
            </w:tcBorders>
            <w:vAlign w:val="center"/>
          </w:tcPr>
          <w:p w14:paraId="5D9C47C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602" w:type="pct"/>
            <w:tcBorders>
              <w:top w:val="single" w:sz="4" w:space="0" w:color="auto"/>
            </w:tcBorders>
            <w:vAlign w:val="center"/>
          </w:tcPr>
          <w:p w14:paraId="4F7A883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28.8</w:t>
            </w:r>
          </w:p>
        </w:tc>
        <w:tc>
          <w:tcPr>
            <w:tcW w:w="548" w:type="pct"/>
            <w:tcBorders>
              <w:top w:val="single" w:sz="4" w:space="0" w:color="auto"/>
            </w:tcBorders>
            <w:vAlign w:val="center"/>
          </w:tcPr>
          <w:p w14:paraId="2AC8878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563" w:type="pct"/>
            <w:tcBorders>
              <w:top w:val="single" w:sz="4" w:space="0" w:color="auto"/>
            </w:tcBorders>
            <w:vAlign w:val="center"/>
          </w:tcPr>
          <w:p w14:paraId="6A047FA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1.45</w:t>
            </w:r>
          </w:p>
        </w:tc>
      </w:tr>
      <w:tr w:rsidR="00073532" w:rsidRPr="00FE0DCB" w14:paraId="093094D8" w14:textId="77777777" w:rsidTr="00CF4CE4">
        <w:tc>
          <w:tcPr>
            <w:tcW w:w="832" w:type="pct"/>
            <w:vAlign w:val="center"/>
          </w:tcPr>
          <w:p w14:paraId="55BE0F9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7768CE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50.8</w:t>
            </w:r>
          </w:p>
        </w:tc>
        <w:tc>
          <w:tcPr>
            <w:tcW w:w="713" w:type="pct"/>
            <w:vAlign w:val="center"/>
          </w:tcPr>
          <w:p w14:paraId="0AB96D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60</w:t>
            </w:r>
          </w:p>
        </w:tc>
        <w:tc>
          <w:tcPr>
            <w:tcW w:w="603" w:type="pct"/>
            <w:vAlign w:val="center"/>
          </w:tcPr>
          <w:p w14:paraId="06B573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0.06</w:t>
            </w:r>
          </w:p>
        </w:tc>
        <w:tc>
          <w:tcPr>
            <w:tcW w:w="602" w:type="pct"/>
            <w:vAlign w:val="center"/>
          </w:tcPr>
          <w:p w14:paraId="7A25EA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255.1</w:t>
            </w:r>
          </w:p>
        </w:tc>
        <w:tc>
          <w:tcPr>
            <w:tcW w:w="548" w:type="pct"/>
            <w:vAlign w:val="center"/>
          </w:tcPr>
          <w:p w14:paraId="1BA5369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-1.22</w:t>
            </w:r>
          </w:p>
        </w:tc>
        <w:tc>
          <w:tcPr>
            <w:tcW w:w="563" w:type="pct"/>
            <w:vAlign w:val="center"/>
          </w:tcPr>
          <w:p w14:paraId="2C2B037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r>
      <w:tr w:rsidR="00073532" w:rsidRPr="00FE0DCB" w14:paraId="60AEC492" w14:textId="77777777" w:rsidTr="00CF4CE4">
        <w:tc>
          <w:tcPr>
            <w:tcW w:w="832" w:type="pct"/>
            <w:vAlign w:val="center"/>
          </w:tcPr>
          <w:p w14:paraId="27CAE72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2E1398D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138.0</w:t>
            </w:r>
          </w:p>
        </w:tc>
        <w:tc>
          <w:tcPr>
            <w:tcW w:w="713" w:type="pct"/>
            <w:vAlign w:val="center"/>
          </w:tcPr>
          <w:p w14:paraId="40DB54B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394E87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w:t>
            </w:r>
          </w:p>
        </w:tc>
        <w:tc>
          <w:tcPr>
            <w:tcW w:w="602" w:type="pct"/>
            <w:vAlign w:val="center"/>
          </w:tcPr>
          <w:p w14:paraId="14C2D62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676.01</w:t>
            </w:r>
          </w:p>
        </w:tc>
        <w:tc>
          <w:tcPr>
            <w:tcW w:w="548" w:type="pct"/>
            <w:vAlign w:val="center"/>
          </w:tcPr>
          <w:p w14:paraId="119DDA8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0.45</w:t>
            </w:r>
          </w:p>
        </w:tc>
        <w:tc>
          <w:tcPr>
            <w:tcW w:w="563" w:type="pct"/>
            <w:vAlign w:val="center"/>
          </w:tcPr>
          <w:p w14:paraId="6FD5306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2.82</w:t>
            </w:r>
          </w:p>
        </w:tc>
      </w:tr>
      <w:tr w:rsidR="00073532" w:rsidRPr="00FE0DCB" w14:paraId="0319DC41" w14:textId="77777777" w:rsidTr="00CF4CE4">
        <w:tc>
          <w:tcPr>
            <w:tcW w:w="832" w:type="pct"/>
            <w:vAlign w:val="center"/>
          </w:tcPr>
          <w:p w14:paraId="2BB7F74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4B95F0E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261.4</w:t>
            </w:r>
          </w:p>
        </w:tc>
        <w:tc>
          <w:tcPr>
            <w:tcW w:w="713" w:type="pct"/>
            <w:vAlign w:val="center"/>
          </w:tcPr>
          <w:p w14:paraId="52488C4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443AC4B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119.0</w:t>
            </w:r>
          </w:p>
        </w:tc>
        <w:tc>
          <w:tcPr>
            <w:tcW w:w="602" w:type="pct"/>
            <w:vAlign w:val="center"/>
          </w:tcPr>
          <w:p w14:paraId="1D9914B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712.1</w:t>
            </w:r>
          </w:p>
        </w:tc>
        <w:tc>
          <w:tcPr>
            <w:tcW w:w="548" w:type="pct"/>
            <w:vAlign w:val="center"/>
          </w:tcPr>
          <w:p w14:paraId="14BC9CD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2.07</w:t>
            </w:r>
          </w:p>
        </w:tc>
        <w:tc>
          <w:tcPr>
            <w:tcW w:w="563" w:type="pct"/>
            <w:vAlign w:val="center"/>
          </w:tcPr>
          <w:p w14:paraId="22D93D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2.85</w:t>
            </w:r>
          </w:p>
        </w:tc>
      </w:tr>
      <w:tr w:rsidR="00073532" w:rsidRPr="00FE0DCB" w14:paraId="3920F944" w14:textId="77777777" w:rsidTr="00CF4CE4">
        <w:tc>
          <w:tcPr>
            <w:tcW w:w="832" w:type="pct"/>
            <w:vAlign w:val="center"/>
          </w:tcPr>
          <w:p w14:paraId="1223614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725805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404.0</w:t>
            </w:r>
          </w:p>
        </w:tc>
        <w:tc>
          <w:tcPr>
            <w:tcW w:w="713" w:type="pct"/>
            <w:vAlign w:val="center"/>
          </w:tcPr>
          <w:p w14:paraId="35E2DFD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5BB108B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258.9</w:t>
            </w:r>
          </w:p>
        </w:tc>
        <w:tc>
          <w:tcPr>
            <w:tcW w:w="602" w:type="pct"/>
            <w:vAlign w:val="center"/>
          </w:tcPr>
          <w:p w14:paraId="31A7A8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725.5</w:t>
            </w:r>
          </w:p>
        </w:tc>
        <w:tc>
          <w:tcPr>
            <w:tcW w:w="548" w:type="pct"/>
            <w:vAlign w:val="center"/>
          </w:tcPr>
          <w:p w14:paraId="07FAD85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2.41</w:t>
            </w:r>
          </w:p>
        </w:tc>
        <w:tc>
          <w:tcPr>
            <w:tcW w:w="563" w:type="pct"/>
            <w:vAlign w:val="center"/>
          </w:tcPr>
          <w:p w14:paraId="3D491E6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2.86</w:t>
            </w:r>
          </w:p>
        </w:tc>
      </w:tr>
      <w:tr w:rsidR="00073532" w:rsidRPr="00FE0DCB" w14:paraId="016E3BE2" w14:textId="77777777" w:rsidTr="00CF4CE4">
        <w:tc>
          <w:tcPr>
            <w:tcW w:w="832" w:type="pct"/>
            <w:tcBorders>
              <w:bottom w:val="single" w:sz="4" w:space="0" w:color="auto"/>
            </w:tcBorders>
            <w:vAlign w:val="center"/>
          </w:tcPr>
          <w:p w14:paraId="41076BF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tcBorders>
              <w:bottom w:val="single" w:sz="4" w:space="0" w:color="auto"/>
            </w:tcBorders>
            <w:vAlign w:val="center"/>
          </w:tcPr>
          <w:p w14:paraId="54C68AE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538.2</w:t>
            </w:r>
          </w:p>
        </w:tc>
        <w:tc>
          <w:tcPr>
            <w:tcW w:w="713" w:type="pct"/>
            <w:tcBorders>
              <w:bottom w:val="single" w:sz="4" w:space="0" w:color="auto"/>
            </w:tcBorders>
            <w:vAlign w:val="center"/>
          </w:tcPr>
          <w:p w14:paraId="5FCC5A8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tcBorders>
              <w:bottom w:val="single" w:sz="4" w:space="0" w:color="auto"/>
            </w:tcBorders>
            <w:vAlign w:val="center"/>
          </w:tcPr>
          <w:p w14:paraId="3DBA8C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375.6</w:t>
            </w:r>
          </w:p>
        </w:tc>
        <w:tc>
          <w:tcPr>
            <w:tcW w:w="602" w:type="pct"/>
            <w:tcBorders>
              <w:bottom w:val="single" w:sz="4" w:space="0" w:color="auto"/>
            </w:tcBorders>
            <w:vAlign w:val="center"/>
          </w:tcPr>
          <w:p w14:paraId="38A8C8D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812.9</w:t>
            </w:r>
          </w:p>
        </w:tc>
        <w:tc>
          <w:tcPr>
            <w:tcW w:w="548" w:type="pct"/>
            <w:tcBorders>
              <w:bottom w:val="single" w:sz="4" w:space="0" w:color="auto"/>
            </w:tcBorders>
            <w:vAlign w:val="center"/>
          </w:tcPr>
          <w:p w14:paraId="3E2EE61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2.57</w:t>
            </w:r>
          </w:p>
        </w:tc>
        <w:tc>
          <w:tcPr>
            <w:tcW w:w="563" w:type="pct"/>
            <w:tcBorders>
              <w:bottom w:val="single" w:sz="4" w:space="0" w:color="auto"/>
            </w:tcBorders>
            <w:vAlign w:val="center"/>
          </w:tcPr>
          <w:p w14:paraId="283E848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2.91</w:t>
            </w:r>
          </w:p>
        </w:tc>
      </w:tr>
    </w:tbl>
    <w:p w14:paraId="7CFBF99B" w14:textId="23B93FF8"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data presented in Table 3 were used to plot a graph based on the Freundlich isotherm model graph. The graph represents Log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(adsorption capacity) versus Log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(adsorbate concentration) in Figure 10.</w:t>
      </w:r>
    </w:p>
    <w:p w14:paraId="69A3AB77"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55B021AA" wp14:editId="61085C36">
            <wp:extent cx="4258945" cy="2682240"/>
            <wp:effectExtent l="0" t="0" r="8255" b="3810"/>
            <wp:docPr id="12" name="Picture 2"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graph with numbers and points&#10;&#10;Description automatically generated"/>
                    <pic:cNvPicPr>
                      <a:picLocks noChangeAspect="1"/>
                    </pic:cNvPicPr>
                  </pic:nvPicPr>
                  <pic:blipFill>
                    <a:blip r:embed="rId18"/>
                    <a:stretch>
                      <a:fillRect/>
                    </a:stretch>
                  </pic:blipFill>
                  <pic:spPr>
                    <a:xfrm>
                      <a:off x="0" y="0"/>
                      <a:ext cx="4267915" cy="2687889"/>
                    </a:xfrm>
                    <a:prstGeom prst="rect">
                      <a:avLst/>
                    </a:prstGeom>
                    <a:noFill/>
                    <a:ln>
                      <a:noFill/>
                    </a:ln>
                  </pic:spPr>
                </pic:pic>
              </a:graphicData>
            </a:graphic>
          </wp:inline>
        </w:drawing>
      </w:r>
    </w:p>
    <w:p w14:paraId="46F5D8DC" w14:textId="04E84D5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04" w:name="_Toc150270957"/>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10</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Freundlich isotherm model graph</w:t>
      </w:r>
      <w:bookmarkEnd w:id="204"/>
    </w:p>
    <w:p w14:paraId="608D4796" w14:textId="06E7C5A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Based on the data presented in Figure 8 and Figure 9, the type of adsorption occurring between the MB dye and red color clay soil was determined, which involved the calculation of various parameters (K</w:t>
      </w:r>
      <w:r w:rsidRPr="00FE0DCB">
        <w:rPr>
          <w:rFonts w:ascii="Times New Roman" w:hAnsi="Times New Roman" w:cs="Times New Roman"/>
          <w:shd w:val="clear" w:color="auto" w:fill="FFFFFF"/>
          <w:vertAlign w:val="subscript"/>
        </w:rPr>
        <w:t>L</w:t>
      </w:r>
      <w:r w:rsidRPr="00FE0DCB">
        <w:rPr>
          <w:rFonts w:ascii="Times New Roman" w:hAnsi="Times New Roman" w:cs="Times New Roman"/>
          <w:shd w:val="clear" w:color="auto" w:fill="FFFFFF"/>
        </w:rPr>
        <w:t xml:space="preserve">, </w:t>
      </w:r>
      <w:proofErr w:type="spellStart"/>
      <w:r w:rsidRPr="00FE0DCB">
        <w:rPr>
          <w:rFonts w:ascii="Times New Roman" w:hAnsi="Times New Roman" w:cs="Times New Roman"/>
          <w:shd w:val="clear" w:color="auto" w:fill="FFFFFF"/>
        </w:rPr>
        <w:t>Q</w:t>
      </w:r>
      <w:r w:rsidRPr="00FE0DCB">
        <w:rPr>
          <w:rFonts w:ascii="Times New Roman" w:hAnsi="Times New Roman" w:cs="Times New Roman"/>
          <w:shd w:val="clear" w:color="auto" w:fill="FFFFFF"/>
          <w:vertAlign w:val="subscript"/>
        </w:rPr>
        <w:t>max</w:t>
      </w:r>
      <w:proofErr w:type="spellEnd"/>
      <w:r w:rsidRPr="00FE0DCB">
        <w:rPr>
          <w:rFonts w:ascii="Times New Roman" w:hAnsi="Times New Roman" w:cs="Times New Roman"/>
          <w:shd w:val="clear" w:color="auto" w:fill="FFFFFF"/>
        </w:rPr>
        <w:t xml:space="preserve">, n, 1/n) using the slope and intercept of the graphs. Additionally, the correlation coefficient of both graphs </w:t>
      </w:r>
      <w:r w:rsidR="00EF05AF" w:rsidRPr="00FE0DCB">
        <w:rPr>
          <w:rFonts w:ascii="Times New Roman" w:hAnsi="Times New Roman" w:cs="Times New Roman"/>
          <w:shd w:val="clear" w:color="auto" w:fill="FFFFFF"/>
        </w:rPr>
        <w:t>was</w:t>
      </w:r>
      <w:r w:rsidRPr="00FE0DCB">
        <w:rPr>
          <w:rFonts w:ascii="Times New Roman" w:hAnsi="Times New Roman" w:cs="Times New Roman"/>
          <w:shd w:val="clear" w:color="auto" w:fill="FFFFFF"/>
        </w:rPr>
        <w:t xml:space="preserve"> compared to gain further insights into the adsorption </w:t>
      </w:r>
      <w:r w:rsidRPr="00FE0DCB">
        <w:rPr>
          <w:rFonts w:ascii="Times New Roman" w:hAnsi="Times New Roman" w:cs="Times New Roman"/>
          <w:shd w:val="clear" w:color="auto" w:fill="FFFFFF"/>
        </w:rPr>
        <w:lastRenderedPageBreak/>
        <w:t>behavior of the process. The results, which include the parameters values and correlation coefficient, are summarized in Table 4.</w:t>
      </w:r>
    </w:p>
    <w:p w14:paraId="27003344" w14:textId="6CD005A1"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shd w:val="clear" w:color="auto" w:fill="FFFFFF"/>
        </w:rPr>
      </w:pPr>
      <w:bookmarkStart w:id="205" w:name="_Toc150271166"/>
      <w:r w:rsidRPr="00FE0DCB">
        <w:rPr>
          <w:rFonts w:ascii="Times New Roman" w:hAnsi="Times New Roman" w:cs="Times New Roman"/>
          <w:b/>
          <w:bCs/>
          <w:i w:val="0"/>
          <w:iCs w:val="0"/>
          <w:color w:val="auto"/>
          <w:sz w:val="24"/>
          <w:szCs w:val="24"/>
          <w:shd w:val="clear" w:color="auto" w:fill="FFFFFF"/>
        </w:rPr>
        <w:t xml:space="preserve">Table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4</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Coefficients of various isotherm models for MB dye removal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and their correlation coefficient (R2)</w:t>
      </w:r>
      <w:bookmarkEnd w:id="20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1642"/>
        <w:gridCol w:w="1279"/>
        <w:gridCol w:w="691"/>
        <w:gridCol w:w="835"/>
        <w:gridCol w:w="1228"/>
        <w:gridCol w:w="1230"/>
      </w:tblGrid>
      <w:tr w:rsidR="00073532" w:rsidRPr="00FE0DCB" w14:paraId="6E029632" w14:textId="77777777" w:rsidTr="00CF4CE4">
        <w:tc>
          <w:tcPr>
            <w:tcW w:w="1312" w:type="pct"/>
            <w:tcBorders>
              <w:top w:val="single" w:sz="4" w:space="0" w:color="auto"/>
              <w:bottom w:val="single" w:sz="4" w:space="0" w:color="auto"/>
            </w:tcBorders>
            <w:vAlign w:val="center"/>
          </w:tcPr>
          <w:p w14:paraId="4DBB6F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Adsorption Isotherm</w:t>
            </w:r>
          </w:p>
        </w:tc>
        <w:tc>
          <w:tcPr>
            <w:tcW w:w="3688" w:type="pct"/>
            <w:gridSpan w:val="6"/>
            <w:tcBorders>
              <w:top w:val="single" w:sz="4" w:space="0" w:color="auto"/>
              <w:bottom w:val="single" w:sz="4" w:space="0" w:color="auto"/>
            </w:tcBorders>
            <w:vAlign w:val="center"/>
          </w:tcPr>
          <w:p w14:paraId="2AA3EE8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Isotherm Parameters</w:t>
            </w:r>
          </w:p>
        </w:tc>
      </w:tr>
      <w:tr w:rsidR="00073532" w:rsidRPr="00FE0DCB" w14:paraId="0BAB668F" w14:textId="77777777" w:rsidTr="00CF4CE4">
        <w:tc>
          <w:tcPr>
            <w:tcW w:w="1312" w:type="pct"/>
            <w:vMerge w:val="restart"/>
            <w:tcBorders>
              <w:top w:val="single" w:sz="4" w:space="0" w:color="auto"/>
            </w:tcBorders>
            <w:vAlign w:val="center"/>
          </w:tcPr>
          <w:p w14:paraId="7448DE3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Langmuir</w:t>
            </w:r>
          </w:p>
        </w:tc>
        <w:tc>
          <w:tcPr>
            <w:tcW w:w="877" w:type="pct"/>
            <w:tcBorders>
              <w:top w:val="single" w:sz="4" w:space="0" w:color="auto"/>
            </w:tcBorders>
            <w:vAlign w:val="center"/>
          </w:tcPr>
          <w:p w14:paraId="2A82E7E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proofErr w:type="spellStart"/>
            <w:r w:rsidRPr="00FE0DCB">
              <w:rPr>
                <w:rFonts w:ascii="Times New Roman" w:hAnsi="Times New Roman" w:cs="Times New Roman"/>
                <w:sz w:val="20"/>
                <w:szCs w:val="20"/>
                <w:u w:val="single"/>
              </w:rPr>
              <w:t>Qmax</w:t>
            </w:r>
            <w:proofErr w:type="spellEnd"/>
            <w:r w:rsidRPr="00FE0DCB">
              <w:rPr>
                <w:rFonts w:ascii="Times New Roman" w:hAnsi="Times New Roman" w:cs="Times New Roman"/>
                <w:sz w:val="20"/>
                <w:szCs w:val="20"/>
                <w:u w:val="single"/>
              </w:rPr>
              <w:t xml:space="preserve"> (mg/g)</w:t>
            </w:r>
          </w:p>
        </w:tc>
        <w:tc>
          <w:tcPr>
            <w:tcW w:w="683" w:type="pct"/>
            <w:tcBorders>
              <w:top w:val="single" w:sz="4" w:space="0" w:color="auto"/>
            </w:tcBorders>
            <w:vAlign w:val="center"/>
          </w:tcPr>
          <w:p w14:paraId="7B06B0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K</w:t>
            </w:r>
            <w:r w:rsidRPr="00FE0DCB">
              <w:rPr>
                <w:rFonts w:ascii="Times New Roman" w:hAnsi="Times New Roman" w:cs="Times New Roman"/>
                <w:sz w:val="20"/>
                <w:szCs w:val="20"/>
                <w:u w:val="single"/>
                <w:vertAlign w:val="subscript"/>
              </w:rPr>
              <w:t>l</w:t>
            </w:r>
            <w:r w:rsidRPr="00FE0DCB">
              <w:rPr>
                <w:rFonts w:ascii="Times New Roman" w:hAnsi="Times New Roman" w:cs="Times New Roman"/>
                <w:sz w:val="20"/>
                <w:szCs w:val="20"/>
                <w:u w:val="single"/>
              </w:rPr>
              <w:t xml:space="preserve"> (L/mg)</w:t>
            </w:r>
          </w:p>
        </w:tc>
        <w:tc>
          <w:tcPr>
            <w:tcW w:w="369" w:type="pct"/>
            <w:tcBorders>
              <w:top w:val="single" w:sz="4" w:space="0" w:color="auto"/>
            </w:tcBorders>
            <w:vAlign w:val="center"/>
          </w:tcPr>
          <w:p w14:paraId="4AB0F1A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proofErr w:type="spellStart"/>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bscript"/>
              </w:rPr>
              <w:t>l</w:t>
            </w:r>
            <w:proofErr w:type="spellEnd"/>
          </w:p>
        </w:tc>
        <w:tc>
          <w:tcPr>
            <w:tcW w:w="446" w:type="pct"/>
            <w:tcBorders>
              <w:top w:val="single" w:sz="4" w:space="0" w:color="auto"/>
            </w:tcBorders>
            <w:vAlign w:val="center"/>
          </w:tcPr>
          <w:p w14:paraId="0134B1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perscript"/>
              </w:rPr>
              <w:t>2</w:t>
            </w:r>
          </w:p>
        </w:tc>
        <w:tc>
          <w:tcPr>
            <w:tcW w:w="656" w:type="pct"/>
            <w:tcBorders>
              <w:top w:val="single" w:sz="4" w:space="0" w:color="auto"/>
            </w:tcBorders>
            <w:vAlign w:val="center"/>
          </w:tcPr>
          <w:p w14:paraId="5D7EB73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Slope</w:t>
            </w:r>
          </w:p>
        </w:tc>
        <w:tc>
          <w:tcPr>
            <w:tcW w:w="657" w:type="pct"/>
            <w:tcBorders>
              <w:top w:val="single" w:sz="4" w:space="0" w:color="auto"/>
            </w:tcBorders>
            <w:vAlign w:val="center"/>
          </w:tcPr>
          <w:p w14:paraId="6147699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Intercept</w:t>
            </w:r>
          </w:p>
        </w:tc>
      </w:tr>
      <w:tr w:rsidR="00073532" w:rsidRPr="00FE0DCB" w14:paraId="610FBECE" w14:textId="77777777" w:rsidTr="00CF4CE4">
        <w:tc>
          <w:tcPr>
            <w:tcW w:w="1312" w:type="pct"/>
            <w:vMerge/>
            <w:vAlign w:val="center"/>
          </w:tcPr>
          <w:p w14:paraId="498A2A1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877" w:type="pct"/>
            <w:vAlign w:val="center"/>
          </w:tcPr>
          <w:p w14:paraId="547E23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769.23</w:t>
            </w:r>
          </w:p>
        </w:tc>
        <w:tc>
          <w:tcPr>
            <w:tcW w:w="683" w:type="pct"/>
            <w:vAlign w:val="center"/>
          </w:tcPr>
          <w:p w14:paraId="0622E4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c>
          <w:tcPr>
            <w:tcW w:w="369" w:type="pct"/>
            <w:vAlign w:val="center"/>
          </w:tcPr>
          <w:p w14:paraId="039A12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0.99</w:t>
            </w:r>
          </w:p>
        </w:tc>
        <w:tc>
          <w:tcPr>
            <w:tcW w:w="446" w:type="pct"/>
            <w:vAlign w:val="center"/>
          </w:tcPr>
          <w:p w14:paraId="48BE267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0.99</w:t>
            </w:r>
          </w:p>
        </w:tc>
        <w:tc>
          <w:tcPr>
            <w:tcW w:w="656" w:type="pct"/>
            <w:vAlign w:val="center"/>
          </w:tcPr>
          <w:p w14:paraId="41D75A8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c>
          <w:tcPr>
            <w:tcW w:w="657" w:type="pct"/>
            <w:vAlign w:val="center"/>
          </w:tcPr>
          <w:p w14:paraId="7DB9EEE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r>
      <w:tr w:rsidR="00073532" w:rsidRPr="00FE0DCB" w14:paraId="06FC184D" w14:textId="77777777" w:rsidTr="00CF4CE4">
        <w:tc>
          <w:tcPr>
            <w:tcW w:w="1312" w:type="pct"/>
            <w:vMerge w:val="restart"/>
            <w:tcBorders>
              <w:bottom w:val="single" w:sz="4" w:space="0" w:color="auto"/>
            </w:tcBorders>
            <w:vAlign w:val="center"/>
          </w:tcPr>
          <w:p w14:paraId="3417D46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Freundlich</w:t>
            </w:r>
          </w:p>
        </w:tc>
        <w:tc>
          <w:tcPr>
            <w:tcW w:w="877" w:type="pct"/>
            <w:vAlign w:val="center"/>
          </w:tcPr>
          <w:p w14:paraId="113C5F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1/n</w:t>
            </w:r>
          </w:p>
        </w:tc>
        <w:tc>
          <w:tcPr>
            <w:tcW w:w="683" w:type="pct"/>
            <w:vAlign w:val="center"/>
          </w:tcPr>
          <w:p w14:paraId="5415EFF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N</w:t>
            </w:r>
          </w:p>
        </w:tc>
        <w:tc>
          <w:tcPr>
            <w:tcW w:w="369" w:type="pct"/>
            <w:vAlign w:val="center"/>
          </w:tcPr>
          <w:p w14:paraId="68A4F7C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perscript"/>
              </w:rPr>
              <w:t>2</w:t>
            </w:r>
          </w:p>
        </w:tc>
        <w:tc>
          <w:tcPr>
            <w:tcW w:w="446" w:type="pct"/>
            <w:vAlign w:val="center"/>
          </w:tcPr>
          <w:p w14:paraId="1BC28DF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Slope</w:t>
            </w:r>
          </w:p>
        </w:tc>
        <w:tc>
          <w:tcPr>
            <w:tcW w:w="656" w:type="pct"/>
            <w:vAlign w:val="center"/>
          </w:tcPr>
          <w:p w14:paraId="11CC520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Intercept</w:t>
            </w:r>
          </w:p>
        </w:tc>
        <w:tc>
          <w:tcPr>
            <w:tcW w:w="657" w:type="pct"/>
            <w:vAlign w:val="center"/>
          </w:tcPr>
          <w:p w14:paraId="6673E3E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r>
      <w:tr w:rsidR="00073532" w:rsidRPr="00FE0DCB" w14:paraId="73C12B9B" w14:textId="77777777" w:rsidTr="00CF4CE4">
        <w:tc>
          <w:tcPr>
            <w:tcW w:w="1312" w:type="pct"/>
            <w:vMerge/>
            <w:tcBorders>
              <w:bottom w:val="single" w:sz="4" w:space="0" w:color="auto"/>
            </w:tcBorders>
            <w:vAlign w:val="center"/>
          </w:tcPr>
          <w:p w14:paraId="103CF8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877" w:type="pct"/>
            <w:tcBorders>
              <w:bottom w:val="single" w:sz="4" w:space="0" w:color="auto"/>
            </w:tcBorders>
            <w:vAlign w:val="center"/>
          </w:tcPr>
          <w:p w14:paraId="0E19C9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0.21</w:t>
            </w:r>
          </w:p>
        </w:tc>
        <w:tc>
          <w:tcPr>
            <w:tcW w:w="683" w:type="pct"/>
            <w:tcBorders>
              <w:bottom w:val="single" w:sz="4" w:space="0" w:color="auto"/>
            </w:tcBorders>
            <w:vAlign w:val="center"/>
          </w:tcPr>
          <w:p w14:paraId="0E418A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4.58</w:t>
            </w:r>
          </w:p>
        </w:tc>
        <w:tc>
          <w:tcPr>
            <w:tcW w:w="369" w:type="pct"/>
            <w:tcBorders>
              <w:bottom w:val="single" w:sz="4" w:space="0" w:color="auto"/>
            </w:tcBorders>
            <w:vAlign w:val="center"/>
          </w:tcPr>
          <w:p w14:paraId="036E075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0.35</w:t>
            </w:r>
          </w:p>
        </w:tc>
        <w:tc>
          <w:tcPr>
            <w:tcW w:w="446" w:type="pct"/>
            <w:tcBorders>
              <w:bottom w:val="single" w:sz="4" w:space="0" w:color="auto"/>
            </w:tcBorders>
            <w:vAlign w:val="center"/>
          </w:tcPr>
          <w:p w14:paraId="2F1D4C1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0.21</w:t>
            </w:r>
          </w:p>
        </w:tc>
        <w:tc>
          <w:tcPr>
            <w:tcW w:w="656" w:type="pct"/>
            <w:tcBorders>
              <w:bottom w:val="single" w:sz="4" w:space="0" w:color="auto"/>
            </w:tcBorders>
            <w:vAlign w:val="center"/>
          </w:tcPr>
          <w:p w14:paraId="11FC9E8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2.32</w:t>
            </w:r>
          </w:p>
        </w:tc>
        <w:tc>
          <w:tcPr>
            <w:tcW w:w="657" w:type="pct"/>
            <w:tcBorders>
              <w:bottom w:val="single" w:sz="4" w:space="0" w:color="auto"/>
            </w:tcBorders>
            <w:vAlign w:val="center"/>
          </w:tcPr>
          <w:p w14:paraId="235AF6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r>
    </w:tbl>
    <w:p w14:paraId="54B2DD42" w14:textId="74D52251"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From the data in Table.4, Langmuir isotherm model showed clear characterization, with its robust correlation coefficient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value of 0.9946 and provides an accurate description for the MB dye adsorption process on red color clay soil when compared to the Freundlich isotherm which showed a significantly lower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value of 0.351. This discrepancy indicates that the Langmuir isotherm model accurately represents the adsorption characteristics of the process. Further evidence supporting the adherence to the Langmuir isotherm is provided by the significant value of the R</w:t>
      </w:r>
      <w:r w:rsidRPr="00FE0DCB">
        <w:rPr>
          <w:rFonts w:ascii="Times New Roman" w:hAnsi="Times New Roman" w:cs="Times New Roman"/>
          <w:shd w:val="clear" w:color="auto" w:fill="FFFFFF"/>
          <w:vertAlign w:val="subscript"/>
        </w:rPr>
        <w:t>L</w:t>
      </w:r>
      <w:r w:rsidRPr="00FE0DCB">
        <w:rPr>
          <w:rFonts w:ascii="Times New Roman" w:hAnsi="Times New Roman" w:cs="Times New Roman"/>
          <w:shd w:val="clear" w:color="auto" w:fill="FFFFFF"/>
        </w:rPr>
        <w:t xml:space="preserve"> 0.9999 (separation factor) parameter.  This implies that the nature of MB dye adsorption by red color clay soil occurred in a monolayer, and the red clays surface active sites are uniformly distributed. The result also correlates with previous research, such as the study by Rauf et al. (2012), which also observed a high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 xml:space="preserve">value for the Langmuir isotherm model. </w:t>
      </w:r>
    </w:p>
    <w:p w14:paraId="6CDF01DE" w14:textId="6242EB83" w:rsidR="00073532" w:rsidRPr="00FE0DCB" w:rsidRDefault="00073532" w:rsidP="00EF05AF">
      <w:pPr>
        <w:rPr>
          <w:rFonts w:ascii="Times New Roman" w:hAnsi="Times New Roman" w:cs="Times New Roman"/>
          <w:b/>
          <w:bCs/>
        </w:rPr>
      </w:pPr>
      <w:bookmarkStart w:id="206" w:name="_Toc149745035"/>
      <w:bookmarkStart w:id="207" w:name="_Toc150260362"/>
      <w:bookmarkStart w:id="208" w:name="_Toc150260595"/>
      <w:bookmarkStart w:id="209" w:name="_Toc150260810"/>
      <w:bookmarkStart w:id="210" w:name="_Toc150260873"/>
      <w:bookmarkStart w:id="211" w:name="_Toc150261316"/>
      <w:bookmarkStart w:id="212" w:name="_Toc150266524"/>
      <w:bookmarkStart w:id="213" w:name="_Toc150267010"/>
      <w:bookmarkStart w:id="214" w:name="_Toc150268255"/>
      <w:bookmarkStart w:id="215" w:name="_Toc150271912"/>
      <w:r w:rsidRPr="00FE0DCB">
        <w:rPr>
          <w:rFonts w:ascii="Times New Roman" w:hAnsi="Times New Roman" w:cs="Times New Roman"/>
          <w:b/>
          <w:bCs/>
        </w:rPr>
        <w:t>Pseudo-First-Order Kinetics Results for the Adsorption Experiment</w:t>
      </w:r>
      <w:bookmarkEnd w:id="206"/>
      <w:bookmarkEnd w:id="207"/>
      <w:bookmarkEnd w:id="208"/>
      <w:bookmarkEnd w:id="209"/>
      <w:bookmarkEnd w:id="210"/>
      <w:bookmarkEnd w:id="211"/>
      <w:bookmarkEnd w:id="212"/>
      <w:bookmarkEnd w:id="213"/>
      <w:bookmarkEnd w:id="214"/>
      <w:bookmarkEnd w:id="215"/>
    </w:p>
    <w:p w14:paraId="42579A22" w14:textId="3605561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As indicated in Figure 11, the line chart showing the pseudo first order kinetics model for red color clay soil adsorption of MB dye is presented utilizing the data obtained in this study.</w:t>
      </w:r>
    </w:p>
    <w:p w14:paraId="35C0E730"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18C65B36" wp14:editId="0CA5E70F">
            <wp:extent cx="4533900" cy="2298700"/>
            <wp:effectExtent l="0" t="0" r="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71F84D" w14:textId="60623682"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6" w:name="_Toc150270958"/>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11</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MB dye adsorption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for Pseudo-first-order kinetics</w:t>
      </w:r>
      <w:bookmarkEnd w:id="216"/>
    </w:p>
    <w:p w14:paraId="798780AA" w14:textId="47FFEA6B" w:rsidR="00073532" w:rsidRPr="00FE0DCB" w:rsidRDefault="00073532" w:rsidP="00F8753B">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relationship observed in all concentrations of MB dye in the pseudo first order plot was utilized in the determination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and k</w:t>
      </w:r>
      <w:r w:rsidRPr="00FE0DCB">
        <w:rPr>
          <w:rFonts w:ascii="Times New Roman" w:hAnsi="Times New Roman" w:cs="Times New Roman"/>
          <w:shd w:val="clear" w:color="auto" w:fill="FFFFFF"/>
          <w:vertAlign w:val="subscript"/>
        </w:rPr>
        <w:t>1</w:t>
      </w:r>
      <w:r w:rsidRPr="00FE0DCB">
        <w:rPr>
          <w:rFonts w:ascii="Times New Roman" w:hAnsi="Times New Roman" w:cs="Times New Roman"/>
          <w:shd w:val="clear" w:color="auto" w:fill="FFFFFF"/>
        </w:rPr>
        <w:t xml:space="preserve"> (amount of dye adsorbed at equilibrium and rate constant) values respectively, through the slope and intercept as presented in Figure</w:t>
      </w:r>
      <w:r w:rsidR="00F8753B" w:rsidRPr="00FE0DCB">
        <w:rPr>
          <w:rFonts w:ascii="Times New Roman" w:hAnsi="Times New Roman" w:cs="Times New Roman"/>
          <w:shd w:val="clear" w:color="auto" w:fill="FFFFFF"/>
        </w:rPr>
        <w:t xml:space="preserve"> </w:t>
      </w:r>
      <w:r w:rsidRPr="00FE0DCB">
        <w:rPr>
          <w:rFonts w:ascii="Times New Roman" w:hAnsi="Times New Roman" w:cs="Times New Roman"/>
          <w:shd w:val="clear" w:color="auto" w:fill="FFFFFF"/>
        </w:rPr>
        <w:t>11. The values obtained for the parameters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and k</w:t>
      </w:r>
      <w:r w:rsidRPr="00FE0DCB">
        <w:rPr>
          <w:rFonts w:ascii="Times New Roman" w:hAnsi="Times New Roman" w:cs="Times New Roman"/>
          <w:shd w:val="clear" w:color="auto" w:fill="FFFFFF"/>
          <w:vertAlign w:val="subscript"/>
        </w:rPr>
        <w:t>1</w:t>
      </w:r>
      <w:r w:rsidRPr="00FE0DCB">
        <w:rPr>
          <w:rFonts w:ascii="Times New Roman" w:hAnsi="Times New Roman" w:cs="Times New Roman"/>
          <w:shd w:val="clear" w:color="auto" w:fill="FFFFFF"/>
        </w:rPr>
        <w:t xml:space="preserve"> are displayed in Table 5.</w:t>
      </w:r>
    </w:p>
    <w:p w14:paraId="39F3D5E3" w14:textId="550FF08C" w:rsidR="00F8753B" w:rsidRPr="00FE0DCB" w:rsidRDefault="00F8753B" w:rsidP="00F8753B">
      <w:pPr>
        <w:rPr>
          <w:rFonts w:ascii="Times New Roman" w:hAnsi="Times New Roman" w:cs="Times New Roman"/>
          <w:b/>
          <w:bCs/>
        </w:rPr>
      </w:pPr>
      <w:r w:rsidRPr="00FE0DCB">
        <w:rPr>
          <w:rFonts w:ascii="Times New Roman" w:hAnsi="Times New Roman" w:cs="Times New Roman"/>
          <w:b/>
          <w:bCs/>
        </w:rPr>
        <w:t xml:space="preserve">Kinetics Results for Pseudo-Second Order </w:t>
      </w:r>
    </w:p>
    <w:p w14:paraId="5E5FF876" w14:textId="6842B243"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pseudo second order kinetics was used to </w:t>
      </w:r>
      <w:proofErr w:type="spellStart"/>
      <w:r w:rsidRPr="00FE0DCB">
        <w:rPr>
          <w:rFonts w:ascii="Times New Roman" w:hAnsi="Times New Roman" w:cs="Times New Roman"/>
          <w:shd w:val="clear" w:color="auto" w:fill="FFFFFF"/>
        </w:rPr>
        <w:t>analyse</w:t>
      </w:r>
      <w:proofErr w:type="spellEnd"/>
      <w:r w:rsidRPr="00FE0DCB">
        <w:rPr>
          <w:rFonts w:ascii="Times New Roman" w:hAnsi="Times New Roman" w:cs="Times New Roman"/>
          <w:shd w:val="clear" w:color="auto" w:fill="FFFFFF"/>
        </w:rPr>
        <w:t xml:space="preserve"> the data collected on the adsorption of MB dye on red color clay and Figure 12 illustrates graphical representation of this model. </w:t>
      </w:r>
    </w:p>
    <w:p w14:paraId="22CBA6B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114300" distR="114300" wp14:anchorId="539DE604" wp14:editId="6B8E10CD">
            <wp:extent cx="5105400" cy="2773680"/>
            <wp:effectExtent l="0" t="0" r="0" b="7620"/>
            <wp:docPr id="27" name="Picture 9"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A graph of a line graph&#10;&#10;Description automatically generated with medium confidence"/>
                    <pic:cNvPicPr>
                      <a:picLocks noChangeAspect="1"/>
                    </pic:cNvPicPr>
                  </pic:nvPicPr>
                  <pic:blipFill>
                    <a:blip r:embed="rId20"/>
                    <a:stretch>
                      <a:fillRect/>
                    </a:stretch>
                  </pic:blipFill>
                  <pic:spPr>
                    <a:xfrm>
                      <a:off x="0" y="0"/>
                      <a:ext cx="5105400" cy="2773680"/>
                    </a:xfrm>
                    <a:prstGeom prst="rect">
                      <a:avLst/>
                    </a:prstGeom>
                    <a:noFill/>
                    <a:ln>
                      <a:noFill/>
                    </a:ln>
                  </pic:spPr>
                </pic:pic>
              </a:graphicData>
            </a:graphic>
          </wp:inline>
        </w:drawing>
      </w:r>
    </w:p>
    <w:p w14:paraId="79C70714" w14:textId="61BDA554"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7" w:name="_Toc150270959"/>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F8753B" w:rsidRPr="00FE0DCB">
        <w:rPr>
          <w:rFonts w:ascii="Times New Roman" w:hAnsi="Times New Roman" w:cs="Times New Roman"/>
          <w:b/>
          <w:bCs/>
          <w:i w:val="0"/>
          <w:iCs w:val="0"/>
          <w:color w:val="auto"/>
          <w:sz w:val="24"/>
          <w:szCs w:val="24"/>
          <w:shd w:val="clear" w:color="auto" w:fill="FFFFFF"/>
        </w:rPr>
        <w:t>2</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MB dye adsorption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for Pseudo-second-order kinetics</w:t>
      </w:r>
      <w:bookmarkEnd w:id="217"/>
    </w:p>
    <w:p w14:paraId="6367733D"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44277126" wp14:editId="382C8F34">
            <wp:extent cx="5067300" cy="2415540"/>
            <wp:effectExtent l="0" t="0" r="0" b="3810"/>
            <wp:docPr id="805269605" name="Chart 805269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BCD76F" w14:textId="437C846C" w:rsidR="00073532" w:rsidRPr="00FE0DCB" w:rsidRDefault="00073532" w:rsidP="00073532">
      <w:pPr>
        <w:pStyle w:val="Caption"/>
        <w:spacing w:before="100" w:beforeAutospacing="1" w:after="100" w:afterAutospacing="1" w:line="360" w:lineRule="auto"/>
        <w:jc w:val="center"/>
        <w:rPr>
          <w:rFonts w:ascii="Times New Roman" w:eastAsia="Arial" w:hAnsi="Times New Roman" w:cs="Times New Roman"/>
          <w:i w:val="0"/>
          <w:iCs w:val="0"/>
          <w:noProof/>
          <w:color w:val="auto"/>
          <w:sz w:val="24"/>
          <w:szCs w:val="24"/>
          <w:shd w:val="clear" w:color="auto" w:fill="FFFFFF"/>
        </w:rPr>
      </w:pPr>
      <w:bookmarkStart w:id="218" w:name="_Toc150270960"/>
      <w:r w:rsidRPr="00FE0DCB">
        <w:rPr>
          <w:rFonts w:ascii="Times New Roman" w:eastAsia="Arial" w:hAnsi="Times New Roman" w:cs="Times New Roman"/>
          <w:b/>
          <w:bCs/>
          <w:i w:val="0"/>
          <w:iCs w:val="0"/>
          <w:noProof/>
          <w:color w:val="auto"/>
          <w:sz w:val="24"/>
          <w:szCs w:val="24"/>
          <w:shd w:val="clear" w:color="auto" w:fill="FFFFFF"/>
        </w:rPr>
        <w:t xml:space="preserve">Figure </w:t>
      </w:r>
      <w:r w:rsidR="0041467E">
        <w:rPr>
          <w:rFonts w:ascii="Times New Roman" w:eastAsia="Arial" w:hAnsi="Times New Roman" w:cs="Times New Roman"/>
          <w:b/>
          <w:bCs/>
          <w:i w:val="0"/>
          <w:iCs w:val="0"/>
          <w:noProof/>
          <w:color w:val="auto"/>
          <w:sz w:val="24"/>
          <w:szCs w:val="24"/>
          <w:shd w:val="clear" w:color="auto" w:fill="FFFFFF"/>
        </w:rPr>
        <w:t>1</w:t>
      </w:r>
      <w:r w:rsidR="00F8753B" w:rsidRPr="00FE0DCB">
        <w:rPr>
          <w:rFonts w:ascii="Times New Roman" w:eastAsia="Arial" w:hAnsi="Times New Roman" w:cs="Times New Roman"/>
          <w:b/>
          <w:bCs/>
          <w:i w:val="0"/>
          <w:iCs w:val="0"/>
          <w:noProof/>
          <w:color w:val="auto"/>
          <w:sz w:val="24"/>
          <w:szCs w:val="24"/>
          <w:shd w:val="clear" w:color="auto" w:fill="FFFFFF"/>
        </w:rPr>
        <w:t>3:</w:t>
      </w:r>
      <w:r w:rsidRPr="00FE0DCB">
        <w:rPr>
          <w:rFonts w:ascii="Times New Roman" w:eastAsia="Arial" w:hAnsi="Times New Roman" w:cs="Times New Roman"/>
          <w:i w:val="0"/>
          <w:iCs w:val="0"/>
          <w:noProof/>
          <w:color w:val="auto"/>
          <w:sz w:val="24"/>
          <w:szCs w:val="24"/>
          <w:shd w:val="clear" w:color="auto" w:fill="FFFFFF"/>
        </w:rPr>
        <w:t xml:space="preserve"> MB dye adsorption by red color clay soil for Pseudo-second-order kinetics showing 100 to 300 mg/L.</w:t>
      </w:r>
      <w:bookmarkEnd w:id="218"/>
    </w:p>
    <w:p w14:paraId="71A182DB" w14:textId="1F9D15D3"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From the line graph (Figure 12), it is observed that all concentrations of MB dye displayed a linear relationship in the pseudo-second-order plot. From this linear relationship, we determined the values of K</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 xml:space="preserve"> (second order rate constant) and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(equilibrium adsorption capacity) using the graph slope and intercept. Additionally, the correlation coefficient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was calculated and Table 5 below was used to provide the results for all the parameters of kinetics model for both models.</w:t>
      </w:r>
    </w:p>
    <w:p w14:paraId="5C25FAFA" w14:textId="55AD9813" w:rsidR="00073532" w:rsidRPr="00FE0DCB" w:rsidRDefault="00073532" w:rsidP="00073532">
      <w:pPr>
        <w:pStyle w:val="Caption"/>
        <w:keepNext/>
        <w:spacing w:before="100" w:beforeAutospacing="1" w:after="100" w:afterAutospacing="1" w:line="360" w:lineRule="auto"/>
        <w:rPr>
          <w:rFonts w:ascii="Times New Roman" w:eastAsia="Arial" w:hAnsi="Times New Roman" w:cs="Times New Roman"/>
          <w:bCs/>
          <w:i w:val="0"/>
          <w:iCs w:val="0"/>
          <w:noProof/>
          <w:color w:val="auto"/>
          <w:sz w:val="24"/>
          <w:szCs w:val="24"/>
          <w:shd w:val="clear" w:color="auto" w:fill="FFFFFF"/>
        </w:rPr>
      </w:pPr>
      <w:bookmarkStart w:id="219" w:name="_Toc150271167"/>
      <w:r w:rsidRPr="00FE0DCB">
        <w:rPr>
          <w:rFonts w:ascii="Times New Roman" w:eastAsia="Arial" w:hAnsi="Times New Roman" w:cs="Times New Roman"/>
          <w:b/>
          <w:i w:val="0"/>
          <w:iCs w:val="0"/>
          <w:noProof/>
          <w:color w:val="auto"/>
          <w:sz w:val="24"/>
          <w:szCs w:val="24"/>
          <w:shd w:val="clear" w:color="auto" w:fill="FFFFFF"/>
        </w:rPr>
        <w:lastRenderedPageBreak/>
        <w:t>Table</w:t>
      </w:r>
      <w:r w:rsidR="00395B6D" w:rsidRPr="00FE0DCB">
        <w:rPr>
          <w:rFonts w:ascii="Times New Roman" w:eastAsia="Arial" w:hAnsi="Times New Roman" w:cs="Times New Roman"/>
          <w:b/>
          <w:i w:val="0"/>
          <w:iCs w:val="0"/>
          <w:noProof/>
          <w:color w:val="auto"/>
          <w:sz w:val="24"/>
          <w:szCs w:val="24"/>
          <w:shd w:val="clear" w:color="auto" w:fill="FFFFFF"/>
        </w:rPr>
        <w:t xml:space="preserve"> 5:</w:t>
      </w:r>
      <w:r w:rsidRPr="00FE0DCB">
        <w:rPr>
          <w:rFonts w:ascii="Times New Roman" w:eastAsia="Arial" w:hAnsi="Times New Roman" w:cs="Times New Roman"/>
          <w:bCs/>
          <w:i w:val="0"/>
          <w:iCs w:val="0"/>
          <w:noProof/>
          <w:color w:val="auto"/>
          <w:sz w:val="24"/>
          <w:szCs w:val="24"/>
          <w:shd w:val="clear" w:color="auto" w:fill="FFFFFF"/>
        </w:rPr>
        <w:t xml:space="preserve"> Parameters of the kinetic models at various MB dye concentrations</w:t>
      </w:r>
      <w:bookmarkEnd w:id="219"/>
    </w:p>
    <w:tbl>
      <w:tblPr>
        <w:tblStyle w:val="TableGrid"/>
        <w:tblW w:w="5000" w:type="pct"/>
        <w:tblLook w:val="04A0" w:firstRow="1" w:lastRow="0" w:firstColumn="1" w:lastColumn="0" w:noHBand="0" w:noVBand="1"/>
      </w:tblPr>
      <w:tblGrid>
        <w:gridCol w:w="818"/>
        <w:gridCol w:w="1046"/>
        <w:gridCol w:w="916"/>
        <w:gridCol w:w="963"/>
        <w:gridCol w:w="1056"/>
        <w:gridCol w:w="1196"/>
        <w:gridCol w:w="1103"/>
        <w:gridCol w:w="1056"/>
        <w:gridCol w:w="1196"/>
      </w:tblGrid>
      <w:tr w:rsidR="00073532" w:rsidRPr="00FE0DCB" w14:paraId="028F3B73" w14:textId="77777777" w:rsidTr="00CF4CE4">
        <w:tc>
          <w:tcPr>
            <w:tcW w:w="442" w:type="pct"/>
            <w:vMerge w:val="restart"/>
            <w:vAlign w:val="center"/>
          </w:tcPr>
          <w:p w14:paraId="381A268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Kinetic model</w:t>
            </w:r>
          </w:p>
        </w:tc>
        <w:tc>
          <w:tcPr>
            <w:tcW w:w="559" w:type="pct"/>
            <w:vMerge w:val="restart"/>
            <w:vAlign w:val="center"/>
          </w:tcPr>
          <w:p w14:paraId="5E45F85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Parameters</w:t>
            </w:r>
          </w:p>
        </w:tc>
        <w:tc>
          <w:tcPr>
            <w:tcW w:w="3999" w:type="pct"/>
            <w:gridSpan w:val="7"/>
            <w:vAlign w:val="center"/>
          </w:tcPr>
          <w:p w14:paraId="3D550AE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MB dye Concentrations (mg/L)</w:t>
            </w:r>
          </w:p>
        </w:tc>
      </w:tr>
      <w:tr w:rsidR="00073532" w:rsidRPr="00FE0DCB" w14:paraId="4CA6698A" w14:textId="77777777" w:rsidTr="00CF4CE4">
        <w:tc>
          <w:tcPr>
            <w:tcW w:w="442" w:type="pct"/>
            <w:vMerge/>
            <w:vAlign w:val="center"/>
          </w:tcPr>
          <w:p w14:paraId="4BE858D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Merge/>
            <w:vAlign w:val="center"/>
          </w:tcPr>
          <w:p w14:paraId="2BA5BE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492" w:type="pct"/>
            <w:vAlign w:val="center"/>
          </w:tcPr>
          <w:p w14:paraId="108DD9C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w:t>
            </w:r>
          </w:p>
        </w:tc>
        <w:tc>
          <w:tcPr>
            <w:tcW w:w="516" w:type="pct"/>
            <w:vAlign w:val="center"/>
          </w:tcPr>
          <w:p w14:paraId="2CE8C49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50</w:t>
            </w:r>
          </w:p>
        </w:tc>
        <w:tc>
          <w:tcPr>
            <w:tcW w:w="565" w:type="pct"/>
            <w:vAlign w:val="center"/>
          </w:tcPr>
          <w:p w14:paraId="78C9D2A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100</w:t>
            </w:r>
          </w:p>
        </w:tc>
        <w:tc>
          <w:tcPr>
            <w:tcW w:w="636" w:type="pct"/>
            <w:vAlign w:val="center"/>
          </w:tcPr>
          <w:p w14:paraId="71A2502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200</w:t>
            </w:r>
          </w:p>
        </w:tc>
        <w:tc>
          <w:tcPr>
            <w:tcW w:w="588" w:type="pct"/>
            <w:vAlign w:val="center"/>
          </w:tcPr>
          <w:p w14:paraId="7AEA47D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300</w:t>
            </w:r>
          </w:p>
        </w:tc>
        <w:tc>
          <w:tcPr>
            <w:tcW w:w="565" w:type="pct"/>
            <w:vAlign w:val="center"/>
          </w:tcPr>
          <w:p w14:paraId="08D2718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400</w:t>
            </w:r>
          </w:p>
        </w:tc>
        <w:tc>
          <w:tcPr>
            <w:tcW w:w="636" w:type="pct"/>
            <w:vAlign w:val="center"/>
          </w:tcPr>
          <w:p w14:paraId="0C58FB1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500</w:t>
            </w:r>
          </w:p>
        </w:tc>
      </w:tr>
      <w:tr w:rsidR="00073532" w:rsidRPr="00FE0DCB" w14:paraId="5D2C4C58" w14:textId="77777777" w:rsidTr="00CF4CE4">
        <w:tc>
          <w:tcPr>
            <w:tcW w:w="442" w:type="pct"/>
            <w:vMerge w:val="restart"/>
            <w:vAlign w:val="center"/>
          </w:tcPr>
          <w:p w14:paraId="272BC37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Pseudo-first-order</w:t>
            </w:r>
          </w:p>
        </w:tc>
        <w:tc>
          <w:tcPr>
            <w:tcW w:w="559" w:type="pct"/>
            <w:vAlign w:val="center"/>
          </w:tcPr>
          <w:p w14:paraId="54F5F75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w:t>
            </w:r>
            <w:r w:rsidRPr="00FE0DCB">
              <w:rPr>
                <w:rFonts w:ascii="Times New Roman" w:hAnsi="Times New Roman" w:cs="Times New Roman"/>
                <w:sz w:val="20"/>
                <w:szCs w:val="20"/>
                <w:vertAlign w:val="subscript"/>
              </w:rPr>
              <w:t>1</w:t>
            </w:r>
            <w:r w:rsidRPr="00FE0DCB">
              <w:rPr>
                <w:rFonts w:ascii="Times New Roman" w:hAnsi="Times New Roman" w:cs="Times New Roman"/>
                <w:sz w:val="20"/>
                <w:szCs w:val="20"/>
              </w:rPr>
              <w:t xml:space="preserve"> (min</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7B1E48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516" w:type="pct"/>
            <w:vAlign w:val="center"/>
          </w:tcPr>
          <w:p w14:paraId="53D3214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0.09</w:t>
            </w:r>
          </w:p>
        </w:tc>
        <w:tc>
          <w:tcPr>
            <w:tcW w:w="565" w:type="pct"/>
            <w:vAlign w:val="center"/>
          </w:tcPr>
          <w:p w14:paraId="65B117A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636" w:type="pct"/>
            <w:vAlign w:val="center"/>
          </w:tcPr>
          <w:p w14:paraId="55E65B7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c>
          <w:tcPr>
            <w:tcW w:w="588" w:type="pct"/>
            <w:vAlign w:val="center"/>
          </w:tcPr>
          <w:p w14:paraId="014F6AE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c>
          <w:tcPr>
            <w:tcW w:w="565" w:type="pct"/>
            <w:vAlign w:val="center"/>
          </w:tcPr>
          <w:p w14:paraId="5EC4D9C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636" w:type="pct"/>
            <w:vAlign w:val="center"/>
          </w:tcPr>
          <w:p w14:paraId="40E2F05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r>
      <w:tr w:rsidR="00073532" w:rsidRPr="00FE0DCB" w14:paraId="36A9389D" w14:textId="77777777" w:rsidTr="00CF4CE4">
        <w:tc>
          <w:tcPr>
            <w:tcW w:w="442" w:type="pct"/>
            <w:vMerge/>
            <w:vAlign w:val="center"/>
          </w:tcPr>
          <w:p w14:paraId="0779B20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62AF52C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w:t>
            </w:r>
            <w:proofErr w:type="spellStart"/>
            <w:r w:rsidRPr="00FE0DCB">
              <w:rPr>
                <w:rFonts w:ascii="Times New Roman" w:hAnsi="Times New Roman" w:cs="Times New Roman"/>
                <w:sz w:val="20"/>
                <w:szCs w:val="20"/>
              </w:rPr>
              <w:t>cal</w:t>
            </w:r>
            <w:proofErr w:type="spellEnd"/>
            <w:r w:rsidRPr="00FE0DCB">
              <w:rPr>
                <w:rFonts w:ascii="Times New Roman" w:hAnsi="Times New Roman" w:cs="Times New Roman"/>
                <w:sz w:val="20"/>
                <w:szCs w:val="20"/>
              </w:rPr>
              <w:t>) (mg g</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7B07FB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1.66</w:t>
            </w:r>
          </w:p>
        </w:tc>
        <w:tc>
          <w:tcPr>
            <w:tcW w:w="516" w:type="pct"/>
            <w:vAlign w:val="center"/>
          </w:tcPr>
          <w:p w14:paraId="7C4B41B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6.85</w:t>
            </w:r>
          </w:p>
        </w:tc>
        <w:tc>
          <w:tcPr>
            <w:tcW w:w="565" w:type="pct"/>
            <w:vAlign w:val="center"/>
          </w:tcPr>
          <w:p w14:paraId="6E2416E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11.63</w:t>
            </w:r>
          </w:p>
        </w:tc>
        <w:tc>
          <w:tcPr>
            <w:tcW w:w="636" w:type="pct"/>
            <w:vAlign w:val="center"/>
          </w:tcPr>
          <w:p w14:paraId="798FF35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12.80</w:t>
            </w:r>
          </w:p>
        </w:tc>
        <w:tc>
          <w:tcPr>
            <w:tcW w:w="588" w:type="pct"/>
            <w:vAlign w:val="center"/>
          </w:tcPr>
          <w:p w14:paraId="22770C7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15.66</w:t>
            </w:r>
          </w:p>
        </w:tc>
        <w:tc>
          <w:tcPr>
            <w:tcW w:w="565" w:type="pct"/>
            <w:vAlign w:val="center"/>
          </w:tcPr>
          <w:p w14:paraId="4C265CE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11.63</w:t>
            </w:r>
          </w:p>
        </w:tc>
        <w:tc>
          <w:tcPr>
            <w:tcW w:w="636" w:type="pct"/>
            <w:vAlign w:val="center"/>
          </w:tcPr>
          <w:p w14:paraId="76C675F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12.80</w:t>
            </w:r>
          </w:p>
        </w:tc>
      </w:tr>
      <w:tr w:rsidR="00073532" w:rsidRPr="00FE0DCB" w14:paraId="5A11476C" w14:textId="77777777" w:rsidTr="00CF4CE4">
        <w:tc>
          <w:tcPr>
            <w:tcW w:w="442" w:type="pct"/>
            <w:vMerge/>
            <w:vAlign w:val="center"/>
          </w:tcPr>
          <w:p w14:paraId="14EDA0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7B3125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R</w:t>
            </w:r>
            <w:r w:rsidRPr="00FE0DCB">
              <w:rPr>
                <w:rFonts w:ascii="Times New Roman" w:hAnsi="Times New Roman" w:cs="Times New Roman"/>
                <w:sz w:val="20"/>
                <w:szCs w:val="20"/>
                <w:vertAlign w:val="superscript"/>
              </w:rPr>
              <w:t>2</w:t>
            </w:r>
          </w:p>
        </w:tc>
        <w:tc>
          <w:tcPr>
            <w:tcW w:w="492" w:type="pct"/>
            <w:vAlign w:val="center"/>
          </w:tcPr>
          <w:p w14:paraId="276D3C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0.19</w:t>
            </w:r>
          </w:p>
        </w:tc>
        <w:tc>
          <w:tcPr>
            <w:tcW w:w="516" w:type="pct"/>
            <w:vAlign w:val="center"/>
          </w:tcPr>
          <w:p w14:paraId="24B2B5F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0.68</w:t>
            </w:r>
          </w:p>
        </w:tc>
        <w:tc>
          <w:tcPr>
            <w:tcW w:w="565" w:type="pct"/>
            <w:vAlign w:val="center"/>
          </w:tcPr>
          <w:p w14:paraId="76FAFB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0.67</w:t>
            </w:r>
          </w:p>
        </w:tc>
        <w:tc>
          <w:tcPr>
            <w:tcW w:w="636" w:type="pct"/>
            <w:vAlign w:val="center"/>
          </w:tcPr>
          <w:p w14:paraId="1581D2C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0.845</w:t>
            </w:r>
          </w:p>
        </w:tc>
        <w:tc>
          <w:tcPr>
            <w:tcW w:w="588" w:type="pct"/>
            <w:vAlign w:val="center"/>
          </w:tcPr>
          <w:p w14:paraId="307FB40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0.81</w:t>
            </w:r>
          </w:p>
        </w:tc>
        <w:tc>
          <w:tcPr>
            <w:tcW w:w="565" w:type="pct"/>
            <w:vAlign w:val="center"/>
          </w:tcPr>
          <w:p w14:paraId="2E2AFA1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0.82</w:t>
            </w:r>
          </w:p>
        </w:tc>
        <w:tc>
          <w:tcPr>
            <w:tcW w:w="636" w:type="pct"/>
            <w:vAlign w:val="center"/>
          </w:tcPr>
          <w:p w14:paraId="41C9140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0.87</w:t>
            </w:r>
          </w:p>
        </w:tc>
      </w:tr>
      <w:tr w:rsidR="00073532" w:rsidRPr="00FE0DCB" w14:paraId="71F5936D" w14:textId="77777777" w:rsidTr="00CF4CE4">
        <w:tc>
          <w:tcPr>
            <w:tcW w:w="442" w:type="pct"/>
            <w:vMerge w:val="restart"/>
            <w:vAlign w:val="center"/>
          </w:tcPr>
          <w:p w14:paraId="63EDEB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Pseudo-second-order</w:t>
            </w:r>
          </w:p>
        </w:tc>
        <w:tc>
          <w:tcPr>
            <w:tcW w:w="559" w:type="pct"/>
            <w:vAlign w:val="center"/>
          </w:tcPr>
          <w:p w14:paraId="395D47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w:t>
            </w:r>
            <w:r w:rsidRPr="00FE0DCB">
              <w:rPr>
                <w:rFonts w:ascii="Times New Roman" w:hAnsi="Times New Roman" w:cs="Times New Roman"/>
                <w:sz w:val="20"/>
                <w:szCs w:val="20"/>
                <w:vertAlign w:val="superscript"/>
              </w:rPr>
              <w:t>2</w:t>
            </w:r>
            <w:r w:rsidRPr="00FE0DCB">
              <w:rPr>
                <w:rFonts w:ascii="Times New Roman" w:hAnsi="Times New Roman" w:cs="Times New Roman"/>
                <w:sz w:val="20"/>
                <w:szCs w:val="20"/>
              </w:rPr>
              <w:t xml:space="preserve"> (g/mg min)</w:t>
            </w:r>
          </w:p>
        </w:tc>
        <w:tc>
          <w:tcPr>
            <w:tcW w:w="492" w:type="pct"/>
            <w:vAlign w:val="center"/>
          </w:tcPr>
          <w:p w14:paraId="4A79A9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83889.16</w:t>
            </w:r>
          </w:p>
        </w:tc>
        <w:tc>
          <w:tcPr>
            <w:tcW w:w="516" w:type="pct"/>
            <w:vAlign w:val="center"/>
          </w:tcPr>
          <w:p w14:paraId="386216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16858005</w:t>
            </w:r>
          </w:p>
        </w:tc>
        <w:tc>
          <w:tcPr>
            <w:tcW w:w="565" w:type="pct"/>
            <w:vAlign w:val="center"/>
          </w:tcPr>
          <w:p w14:paraId="25F386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108401084</w:t>
            </w:r>
          </w:p>
        </w:tc>
        <w:tc>
          <w:tcPr>
            <w:tcW w:w="636" w:type="pct"/>
            <w:vAlign w:val="center"/>
          </w:tcPr>
          <w:p w14:paraId="0A6D37F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170068027.2</w:t>
            </w:r>
          </w:p>
        </w:tc>
        <w:tc>
          <w:tcPr>
            <w:tcW w:w="588" w:type="pct"/>
            <w:vAlign w:val="center"/>
          </w:tcPr>
          <w:p w14:paraId="1B08DD5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9547268.74</w:t>
            </w:r>
          </w:p>
        </w:tc>
        <w:tc>
          <w:tcPr>
            <w:tcW w:w="565" w:type="pct"/>
            <w:vAlign w:val="center"/>
          </w:tcPr>
          <w:p w14:paraId="3E21226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108401084</w:t>
            </w:r>
          </w:p>
        </w:tc>
        <w:tc>
          <w:tcPr>
            <w:tcW w:w="636" w:type="pct"/>
            <w:vAlign w:val="center"/>
          </w:tcPr>
          <w:p w14:paraId="1832DA8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170068027.2</w:t>
            </w:r>
          </w:p>
        </w:tc>
      </w:tr>
      <w:tr w:rsidR="00073532" w:rsidRPr="00FE0DCB" w14:paraId="2A29C48C" w14:textId="77777777" w:rsidTr="00CF4CE4">
        <w:tc>
          <w:tcPr>
            <w:tcW w:w="442" w:type="pct"/>
            <w:vMerge/>
            <w:vAlign w:val="center"/>
          </w:tcPr>
          <w:p w14:paraId="7525B38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4264664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w:t>
            </w:r>
            <w:proofErr w:type="spellStart"/>
            <w:r w:rsidRPr="00FE0DCB">
              <w:rPr>
                <w:rFonts w:ascii="Times New Roman" w:hAnsi="Times New Roman" w:cs="Times New Roman"/>
                <w:sz w:val="20"/>
                <w:szCs w:val="20"/>
              </w:rPr>
              <w:t>cal</w:t>
            </w:r>
            <w:proofErr w:type="spellEnd"/>
            <w:r w:rsidRPr="00FE0DCB">
              <w:rPr>
                <w:rFonts w:ascii="Times New Roman" w:hAnsi="Times New Roman" w:cs="Times New Roman"/>
                <w:sz w:val="20"/>
                <w:szCs w:val="20"/>
              </w:rPr>
              <w:t>) (mg g</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20B3B8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28.8</w:t>
            </w:r>
          </w:p>
        </w:tc>
        <w:tc>
          <w:tcPr>
            <w:tcW w:w="516" w:type="pct"/>
            <w:vAlign w:val="center"/>
          </w:tcPr>
          <w:p w14:paraId="29B384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256.4</w:t>
            </w:r>
          </w:p>
        </w:tc>
        <w:tc>
          <w:tcPr>
            <w:tcW w:w="565" w:type="pct"/>
            <w:vAlign w:val="center"/>
          </w:tcPr>
          <w:p w14:paraId="66E4556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666.66</w:t>
            </w:r>
          </w:p>
        </w:tc>
        <w:tc>
          <w:tcPr>
            <w:tcW w:w="636" w:type="pct"/>
            <w:vAlign w:val="center"/>
          </w:tcPr>
          <w:p w14:paraId="60AD09F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714.28</w:t>
            </w:r>
          </w:p>
        </w:tc>
        <w:tc>
          <w:tcPr>
            <w:tcW w:w="588" w:type="pct"/>
            <w:vAlign w:val="center"/>
          </w:tcPr>
          <w:p w14:paraId="69640F6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526.31</w:t>
            </w:r>
          </w:p>
        </w:tc>
        <w:tc>
          <w:tcPr>
            <w:tcW w:w="565" w:type="pct"/>
            <w:vAlign w:val="center"/>
          </w:tcPr>
          <w:p w14:paraId="3EAF2DD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714.28</w:t>
            </w:r>
          </w:p>
        </w:tc>
        <w:tc>
          <w:tcPr>
            <w:tcW w:w="636" w:type="pct"/>
            <w:vAlign w:val="center"/>
          </w:tcPr>
          <w:p w14:paraId="617D977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814.33</w:t>
            </w:r>
          </w:p>
        </w:tc>
      </w:tr>
      <w:tr w:rsidR="00073532" w:rsidRPr="00FE0DCB" w14:paraId="6215E02F" w14:textId="77777777" w:rsidTr="00CF4CE4">
        <w:tc>
          <w:tcPr>
            <w:tcW w:w="442" w:type="pct"/>
            <w:vMerge/>
            <w:vAlign w:val="center"/>
          </w:tcPr>
          <w:p w14:paraId="1F65E76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236C46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R</w:t>
            </w:r>
            <w:r w:rsidRPr="00FE0DCB">
              <w:rPr>
                <w:rFonts w:ascii="Times New Roman" w:hAnsi="Times New Roman" w:cs="Times New Roman"/>
                <w:sz w:val="20"/>
                <w:szCs w:val="20"/>
                <w:vertAlign w:val="superscript"/>
              </w:rPr>
              <w:t>2</w:t>
            </w:r>
          </w:p>
        </w:tc>
        <w:tc>
          <w:tcPr>
            <w:tcW w:w="492" w:type="pct"/>
            <w:vAlign w:val="center"/>
          </w:tcPr>
          <w:p w14:paraId="0BCAE0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w:t>
            </w:r>
          </w:p>
        </w:tc>
        <w:tc>
          <w:tcPr>
            <w:tcW w:w="516" w:type="pct"/>
            <w:vAlign w:val="center"/>
          </w:tcPr>
          <w:p w14:paraId="0125251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65" w:type="pct"/>
            <w:vAlign w:val="center"/>
          </w:tcPr>
          <w:p w14:paraId="090BE60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636" w:type="pct"/>
            <w:vAlign w:val="center"/>
          </w:tcPr>
          <w:p w14:paraId="28836C4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88" w:type="pct"/>
            <w:vAlign w:val="center"/>
          </w:tcPr>
          <w:p w14:paraId="54DD18A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65" w:type="pct"/>
            <w:vAlign w:val="center"/>
          </w:tcPr>
          <w:p w14:paraId="4107736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636" w:type="pct"/>
            <w:vAlign w:val="center"/>
          </w:tcPr>
          <w:p w14:paraId="55E234F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r>
      <w:tr w:rsidR="00073532" w:rsidRPr="00FE0DCB" w14:paraId="1C668A10" w14:textId="77777777" w:rsidTr="00CF4CE4">
        <w:tc>
          <w:tcPr>
            <w:tcW w:w="442" w:type="pct"/>
            <w:vMerge/>
            <w:vAlign w:val="center"/>
          </w:tcPr>
          <w:p w14:paraId="7C4654B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312D1B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 xml:space="preserve"> (exp) (mg g</w:t>
            </w:r>
            <w:r w:rsidRPr="00FE0DCB">
              <w:rPr>
                <w:rFonts w:ascii="Times New Roman" w:hAnsi="Times New Roman" w:cs="Times New Roman"/>
                <w:sz w:val="20"/>
                <w:szCs w:val="20"/>
                <w:vertAlign w:val="superscript"/>
              </w:rPr>
              <w:t>-1</w:t>
            </w:r>
          </w:p>
        </w:tc>
        <w:tc>
          <w:tcPr>
            <w:tcW w:w="492" w:type="pct"/>
            <w:vAlign w:val="center"/>
          </w:tcPr>
          <w:p w14:paraId="2A80B19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28.80</w:t>
            </w:r>
          </w:p>
        </w:tc>
        <w:tc>
          <w:tcPr>
            <w:tcW w:w="516" w:type="pct"/>
            <w:vAlign w:val="center"/>
          </w:tcPr>
          <w:p w14:paraId="262A5ED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255.1</w:t>
            </w:r>
          </w:p>
        </w:tc>
        <w:tc>
          <w:tcPr>
            <w:tcW w:w="565" w:type="pct"/>
            <w:vAlign w:val="center"/>
          </w:tcPr>
          <w:p w14:paraId="4284A47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676.01</w:t>
            </w:r>
          </w:p>
        </w:tc>
        <w:tc>
          <w:tcPr>
            <w:tcW w:w="636" w:type="pct"/>
            <w:vAlign w:val="center"/>
          </w:tcPr>
          <w:p w14:paraId="75A70F1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712.1</w:t>
            </w:r>
          </w:p>
        </w:tc>
        <w:tc>
          <w:tcPr>
            <w:tcW w:w="588" w:type="pct"/>
            <w:vAlign w:val="center"/>
          </w:tcPr>
          <w:p w14:paraId="24FB1B0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519.1</w:t>
            </w:r>
          </w:p>
        </w:tc>
        <w:tc>
          <w:tcPr>
            <w:tcW w:w="565" w:type="pct"/>
            <w:vAlign w:val="center"/>
          </w:tcPr>
          <w:p w14:paraId="5049D4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725.5</w:t>
            </w:r>
          </w:p>
        </w:tc>
        <w:tc>
          <w:tcPr>
            <w:tcW w:w="636" w:type="pct"/>
            <w:vAlign w:val="center"/>
          </w:tcPr>
          <w:p w14:paraId="3B6492F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812.9</w:t>
            </w:r>
          </w:p>
        </w:tc>
      </w:tr>
    </w:tbl>
    <w:p w14:paraId="24CB3F1D"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values (1, 0.9995, 0.9994, 0.9998, 0.9993, 0.9995, and 0.9999) for correlation coefficients of pseudo second order kinetics are higher than those of the pseudo first order kinetic model (0.1927, 0.68, 0.6736, 0.845, 0.8028, 0.826, and 0.8759). The obtained outcome provides confirmation that the adsorption interaction between the MB dye and red color clay soil is regulated by a pseudo-second-order process. The phenomenon of adsorption, which is </w:t>
      </w:r>
      <w:proofErr w:type="spellStart"/>
      <w:r w:rsidRPr="00FE0DCB">
        <w:rPr>
          <w:rFonts w:ascii="Times New Roman" w:hAnsi="Times New Roman" w:cs="Times New Roman"/>
          <w:shd w:val="clear" w:color="auto" w:fill="FFFFFF"/>
        </w:rPr>
        <w:t>characterised</w:t>
      </w:r>
      <w:proofErr w:type="spellEnd"/>
      <w:r w:rsidRPr="00FE0DCB">
        <w:rPr>
          <w:rFonts w:ascii="Times New Roman" w:hAnsi="Times New Roman" w:cs="Times New Roman"/>
          <w:shd w:val="clear" w:color="auto" w:fill="FFFFFF"/>
        </w:rPr>
        <w:t xml:space="preserve"> by a pseudo-second-order reaction, is elucidated as a rate-determining step that exhibits chemisorption characteristics. In other words, this adsorption reaction involves the interaction of valence forces through the sharing or exchange of electrons (Chong and </w:t>
      </w:r>
      <w:proofErr w:type="spellStart"/>
      <w:r w:rsidRPr="00FE0DCB">
        <w:rPr>
          <w:rFonts w:ascii="Times New Roman" w:hAnsi="Times New Roman" w:cs="Times New Roman"/>
          <w:shd w:val="clear" w:color="auto" w:fill="FFFFFF"/>
        </w:rPr>
        <w:t>Hadibarata</w:t>
      </w:r>
      <w:proofErr w:type="spellEnd"/>
      <w:r w:rsidRPr="00FE0DCB">
        <w:rPr>
          <w:rFonts w:ascii="Times New Roman" w:hAnsi="Times New Roman" w:cs="Times New Roman"/>
          <w:shd w:val="clear" w:color="auto" w:fill="FFFFFF"/>
        </w:rPr>
        <w:t>, 2021). This observation is consistent with the research findings reported by Hu et al. (2017).</w:t>
      </w:r>
    </w:p>
    <w:p w14:paraId="2440F0F6" w14:textId="065311F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In addition, the pseudo-second-order kinetics-calculated adsorption capacity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(28.8 mg/g, 256.4 mg/g, 666.66 mg/g, 714.28 mg/g, 526.31 mg/g,  714.28 mg/g, and 814.33 mg/g) in comparison to the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obtained in this study (28.80 mg/g, 255.1 mg/g, 676.01 mg/g, 712.1 mg/g, 519.1 mg/g, 725.5 mg/g, and 812.9 mg/g) is similar for concentration 5 mg/L and slightly lower for 100 mg/L, and finally higher for other concentrations. Additionally, the K</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 xml:space="preserve"> (pseudo second order rate constant) values presented in Table 5 increased as MB dye initial concentration increase, which indicates that adsorption reaction was faster in the study with increase in MB dye concentration.</w:t>
      </w:r>
    </w:p>
    <w:p w14:paraId="72F3416C" w14:textId="033DA458" w:rsidR="00395B6D" w:rsidRPr="00FE0DCB" w:rsidRDefault="00395B6D" w:rsidP="00073532">
      <w:pPr>
        <w:spacing w:before="100" w:beforeAutospacing="1" w:after="100" w:afterAutospacing="1" w:line="360" w:lineRule="auto"/>
        <w:jc w:val="both"/>
        <w:rPr>
          <w:rFonts w:ascii="Times New Roman" w:hAnsi="Times New Roman" w:cs="Times New Roman"/>
          <w:b/>
          <w:bCs/>
          <w:shd w:val="clear" w:color="auto" w:fill="FFFFFF"/>
        </w:rPr>
      </w:pPr>
      <w:r w:rsidRPr="00FE0DCB">
        <w:rPr>
          <w:rFonts w:ascii="Times New Roman" w:hAnsi="Times New Roman" w:cs="Times New Roman"/>
          <w:b/>
          <w:bCs/>
          <w:shd w:val="clear" w:color="auto" w:fill="FFFFFF"/>
        </w:rPr>
        <w:lastRenderedPageBreak/>
        <w:t xml:space="preserve">The Influence of Contact Time on Adsorption </w:t>
      </w:r>
    </w:p>
    <w:p w14:paraId="52A92E63" w14:textId="42F51FAE"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Using a constant mass (0.04 g) of red color clay soil as the adsorbent, this study examined the effect of contact on the adsorption process. MB dye was used as the adsorbate at varying concentrations (5 mg/L, 50 mg/L, 100 mg/L, 200 mg/L, 300 mg/L, 400 mg/L, and 500 mg/L) in a constant volume (200 ml) throughout a range of times. The experimental results are illustrated graphically in Figure 14.</w:t>
      </w:r>
    </w:p>
    <w:p w14:paraId="3F6563E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207E93E9" wp14:editId="32FD1934">
            <wp:extent cx="4526280" cy="2513965"/>
            <wp:effectExtent l="0" t="0" r="7620" b="635"/>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B784BE" w14:textId="50CD3A7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0" w:name="_Toc150270961"/>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4</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The relationship between contact time and amount of MB dye adsorbed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w:t>
      </w:r>
      <w:bookmarkEnd w:id="220"/>
    </w:p>
    <w:p w14:paraId="2E6C3A5A" w14:textId="7FA2B49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Figure 16 illustrates the correlation between contact time and amount of MB dye adsorbed by red color clay. It reveals that the process of adsorption can be categorized into two clear phases: an initial phase characterized by rapid adsorption, and a subsequent prolonged period of steady adsorption. The presence of adsorption sites on the surface of the adsorbent is primarily responsible for the rapid preliminary adsorption. This phenomenon seemed to occur in our investigation from the beginning period of 0 to 60 minutes. Also, it is important to note that the adsorption capacity may eventually reach equilibrium, culminating in a plateau in the adsorption process. This arises when all accessible adsorption sites are occupied because adsorption equilibrium has occurred between MB dye and red color clay. This investigation result is in correlation with research findings of Othman et al. (2018), Rehman et al. (2021) and Zainol et al. (2016) which in their studies demonstrated the relationship between contact time and adsorption capacity, which </w:t>
      </w:r>
      <w:r w:rsidRPr="00FE0DCB">
        <w:rPr>
          <w:rFonts w:ascii="Times New Roman" w:hAnsi="Times New Roman" w:cs="Times New Roman"/>
          <w:shd w:val="clear" w:color="auto" w:fill="FFFFFF"/>
        </w:rPr>
        <w:lastRenderedPageBreak/>
        <w:t>indicated that adsorption capacity increases with time until adsorption equilibrium is reached. According to Figure 14, for this study, adsorption equilibrium occurred at 60 minutes for MB dye concentrations 5 mg/L, 50 mg/L, 100 mg/L and 240 minutes for the rest of the MB dye concentrations.</w:t>
      </w:r>
    </w:p>
    <w:p w14:paraId="62EA79F9" w14:textId="11C98860" w:rsidR="00395B6D" w:rsidRPr="00FE0DCB" w:rsidRDefault="00395B6D" w:rsidP="00395B6D">
      <w:pPr>
        <w:rPr>
          <w:rFonts w:ascii="Times New Roman" w:hAnsi="Times New Roman" w:cs="Times New Roman"/>
          <w:b/>
          <w:bCs/>
        </w:rPr>
      </w:pPr>
      <w:r w:rsidRPr="00FE0DCB">
        <w:rPr>
          <w:rFonts w:ascii="Times New Roman" w:hAnsi="Times New Roman" w:cs="Times New Roman"/>
          <w:b/>
          <w:bCs/>
        </w:rPr>
        <w:t xml:space="preserve">Impact of Varying Red </w:t>
      </w:r>
      <w:proofErr w:type="spellStart"/>
      <w:r w:rsidRPr="00FE0DCB">
        <w:rPr>
          <w:rFonts w:ascii="Times New Roman" w:hAnsi="Times New Roman" w:cs="Times New Roman"/>
          <w:b/>
          <w:bCs/>
        </w:rPr>
        <w:t>Colour</w:t>
      </w:r>
      <w:proofErr w:type="spellEnd"/>
      <w:r w:rsidRPr="00FE0DCB">
        <w:rPr>
          <w:rFonts w:ascii="Times New Roman" w:hAnsi="Times New Roman" w:cs="Times New Roman"/>
          <w:b/>
          <w:bCs/>
        </w:rPr>
        <w:t xml:space="preserve"> Clay Concentration on Adsorption Process</w:t>
      </w:r>
    </w:p>
    <w:p w14:paraId="791D45A6" w14:textId="540899F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present study investigated the relationship between adsorption and red color clay soil concentration by employing various mass (0.04, 0.1, 0.16, 0.2, 0.4 g) of adsorbent (red color clay soil). The adsorbate used was MB dye, which was maintained at a constant amount of 100 mg/L in a fixed volume of 200 ml. The experimental findings are displayed in Table 6, as well as Figures 15 and 16.</w:t>
      </w:r>
    </w:p>
    <w:p w14:paraId="7305F40D"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46709594" w14:textId="2308CD13"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shd w:val="clear" w:color="auto" w:fill="FFFFFF"/>
        </w:rPr>
      </w:pPr>
      <w:bookmarkStart w:id="221" w:name="_Toc150271168"/>
      <w:r w:rsidRPr="00FE0DCB">
        <w:rPr>
          <w:rFonts w:ascii="Times New Roman" w:hAnsi="Times New Roman" w:cs="Times New Roman"/>
          <w:b/>
          <w:bCs/>
          <w:i w:val="0"/>
          <w:iCs w:val="0"/>
          <w:color w:val="auto"/>
          <w:sz w:val="24"/>
          <w:szCs w:val="24"/>
          <w:shd w:val="clear" w:color="auto" w:fill="FFFFFF"/>
        </w:rPr>
        <w:lastRenderedPageBreak/>
        <w:t>Table</w:t>
      </w:r>
      <w:r w:rsidR="00395B6D" w:rsidRPr="00FE0DCB">
        <w:rPr>
          <w:rFonts w:ascii="Times New Roman" w:hAnsi="Times New Roman" w:cs="Times New Roman"/>
          <w:b/>
          <w:bCs/>
          <w:i w:val="0"/>
          <w:iCs w:val="0"/>
          <w:color w:val="auto"/>
          <w:sz w:val="24"/>
          <w:szCs w:val="24"/>
          <w:shd w:val="clear" w:color="auto" w:fill="FFFFFF"/>
        </w:rPr>
        <w:t xml:space="preserv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6</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Values of adsorption capacity and MB dye concentration after experimental procedure</w:t>
      </w:r>
      <w:bookmarkEnd w:id="22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2246"/>
        <w:gridCol w:w="1091"/>
        <w:gridCol w:w="1121"/>
        <w:gridCol w:w="1664"/>
      </w:tblGrid>
      <w:tr w:rsidR="00073532" w:rsidRPr="00FE0DCB" w14:paraId="6D841584" w14:textId="77777777" w:rsidTr="00CF4CE4">
        <w:trPr>
          <w:trHeight w:val="595"/>
        </w:trPr>
        <w:tc>
          <w:tcPr>
            <w:tcW w:w="1729" w:type="pct"/>
            <w:tcBorders>
              <w:top w:val="single" w:sz="4" w:space="0" w:color="auto"/>
              <w:bottom w:val="single" w:sz="4" w:space="0" w:color="auto"/>
            </w:tcBorders>
          </w:tcPr>
          <w:p w14:paraId="6827162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Red color clay soil concentration in (g/L)</w:t>
            </w:r>
          </w:p>
        </w:tc>
        <w:tc>
          <w:tcPr>
            <w:tcW w:w="1200" w:type="pct"/>
            <w:tcBorders>
              <w:top w:val="single" w:sz="4" w:space="0" w:color="auto"/>
              <w:bottom w:val="single" w:sz="4" w:space="0" w:color="auto"/>
            </w:tcBorders>
          </w:tcPr>
          <w:p w14:paraId="3E8A73C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Red color clay soil mass in (g)</w:t>
            </w:r>
          </w:p>
        </w:tc>
        <w:tc>
          <w:tcPr>
            <w:tcW w:w="583" w:type="pct"/>
            <w:tcBorders>
              <w:top w:val="single" w:sz="4" w:space="0" w:color="auto"/>
              <w:bottom w:val="single" w:sz="4" w:space="0" w:color="auto"/>
            </w:tcBorders>
          </w:tcPr>
          <w:p w14:paraId="60891C7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Q</w:t>
            </w:r>
            <w:r w:rsidRPr="00FE0DCB">
              <w:rPr>
                <w:rFonts w:ascii="Times New Roman" w:hAnsi="Times New Roman" w:cs="Times New Roman"/>
                <w:bCs/>
                <w:sz w:val="20"/>
                <w:szCs w:val="20"/>
                <w:vertAlign w:val="subscript"/>
              </w:rPr>
              <w:t>E</w:t>
            </w:r>
            <w:r w:rsidRPr="00FE0DCB">
              <w:rPr>
                <w:rFonts w:ascii="Times New Roman" w:hAnsi="Times New Roman" w:cs="Times New Roman"/>
                <w:bCs/>
                <w:sz w:val="20"/>
                <w:szCs w:val="20"/>
              </w:rPr>
              <w:t xml:space="preserve"> (mg/g)</w:t>
            </w:r>
          </w:p>
        </w:tc>
        <w:tc>
          <w:tcPr>
            <w:tcW w:w="599" w:type="pct"/>
            <w:tcBorders>
              <w:top w:val="single" w:sz="4" w:space="0" w:color="auto"/>
              <w:bottom w:val="single" w:sz="4" w:space="0" w:color="auto"/>
            </w:tcBorders>
          </w:tcPr>
          <w:p w14:paraId="07160CC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C</w:t>
            </w:r>
            <w:r w:rsidRPr="00FE0DCB">
              <w:rPr>
                <w:rFonts w:ascii="Times New Roman" w:hAnsi="Times New Roman" w:cs="Times New Roman"/>
                <w:bCs/>
                <w:sz w:val="20"/>
                <w:szCs w:val="20"/>
                <w:vertAlign w:val="subscript"/>
              </w:rPr>
              <w:t>E</w:t>
            </w:r>
            <w:r w:rsidRPr="00FE0DCB">
              <w:rPr>
                <w:rFonts w:ascii="Times New Roman" w:hAnsi="Times New Roman" w:cs="Times New Roman"/>
                <w:bCs/>
                <w:sz w:val="20"/>
                <w:szCs w:val="20"/>
              </w:rPr>
              <w:t xml:space="preserve"> (mg/L)</w:t>
            </w:r>
          </w:p>
        </w:tc>
        <w:tc>
          <w:tcPr>
            <w:tcW w:w="889" w:type="pct"/>
            <w:tcBorders>
              <w:top w:val="single" w:sz="4" w:space="0" w:color="auto"/>
              <w:bottom w:val="single" w:sz="4" w:space="0" w:color="auto"/>
            </w:tcBorders>
          </w:tcPr>
          <w:p w14:paraId="73F3DD77"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%REMOVAL</w:t>
            </w:r>
          </w:p>
        </w:tc>
      </w:tr>
      <w:tr w:rsidR="00073532" w:rsidRPr="00FE0DCB" w14:paraId="3BB0501D" w14:textId="77777777" w:rsidTr="00CF4CE4">
        <w:trPr>
          <w:trHeight w:val="269"/>
        </w:trPr>
        <w:tc>
          <w:tcPr>
            <w:tcW w:w="1729" w:type="pct"/>
            <w:tcBorders>
              <w:top w:val="single" w:sz="4" w:space="0" w:color="auto"/>
            </w:tcBorders>
          </w:tcPr>
          <w:p w14:paraId="7F3A4962"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0.2</w:t>
            </w:r>
          </w:p>
        </w:tc>
        <w:tc>
          <w:tcPr>
            <w:tcW w:w="1200" w:type="pct"/>
            <w:tcBorders>
              <w:top w:val="single" w:sz="4" w:space="0" w:color="auto"/>
            </w:tcBorders>
          </w:tcPr>
          <w:p w14:paraId="7A1E2C1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0.04</w:t>
            </w:r>
          </w:p>
        </w:tc>
        <w:tc>
          <w:tcPr>
            <w:tcW w:w="583" w:type="pct"/>
            <w:tcBorders>
              <w:top w:val="single" w:sz="4" w:space="0" w:color="auto"/>
            </w:tcBorders>
          </w:tcPr>
          <w:p w14:paraId="728F2395"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474</w:t>
            </w:r>
          </w:p>
        </w:tc>
        <w:tc>
          <w:tcPr>
            <w:tcW w:w="599" w:type="pct"/>
            <w:tcBorders>
              <w:top w:val="single" w:sz="4" w:space="0" w:color="auto"/>
            </w:tcBorders>
          </w:tcPr>
          <w:p w14:paraId="7854FD3E"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5.2</w:t>
            </w:r>
          </w:p>
        </w:tc>
        <w:tc>
          <w:tcPr>
            <w:tcW w:w="889" w:type="pct"/>
            <w:tcBorders>
              <w:top w:val="single" w:sz="4" w:space="0" w:color="auto"/>
            </w:tcBorders>
          </w:tcPr>
          <w:p w14:paraId="6F8425F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95.4</w:t>
            </w:r>
          </w:p>
        </w:tc>
      </w:tr>
      <w:tr w:rsidR="00073532" w:rsidRPr="00FE0DCB" w14:paraId="498E2B47" w14:textId="77777777" w:rsidTr="00CF4CE4">
        <w:trPr>
          <w:trHeight w:val="269"/>
        </w:trPr>
        <w:tc>
          <w:tcPr>
            <w:tcW w:w="1729" w:type="pct"/>
          </w:tcPr>
          <w:p w14:paraId="75FE3FF9"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0.5</w:t>
            </w:r>
          </w:p>
        </w:tc>
        <w:tc>
          <w:tcPr>
            <w:tcW w:w="1200" w:type="pct"/>
          </w:tcPr>
          <w:p w14:paraId="35E932B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0.1</w:t>
            </w:r>
          </w:p>
        </w:tc>
        <w:tc>
          <w:tcPr>
            <w:tcW w:w="583" w:type="pct"/>
          </w:tcPr>
          <w:p w14:paraId="4E4A4DE6"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195.2</w:t>
            </w:r>
          </w:p>
        </w:tc>
        <w:tc>
          <w:tcPr>
            <w:tcW w:w="599" w:type="pct"/>
          </w:tcPr>
          <w:p w14:paraId="139B40BB"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2.4</w:t>
            </w:r>
          </w:p>
        </w:tc>
        <w:tc>
          <w:tcPr>
            <w:tcW w:w="889" w:type="pct"/>
          </w:tcPr>
          <w:p w14:paraId="460F070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97.8</w:t>
            </w:r>
          </w:p>
        </w:tc>
      </w:tr>
      <w:tr w:rsidR="00073532" w:rsidRPr="00FE0DCB" w14:paraId="215F9A6F" w14:textId="77777777" w:rsidTr="00CF4CE4">
        <w:trPr>
          <w:trHeight w:val="269"/>
        </w:trPr>
        <w:tc>
          <w:tcPr>
            <w:tcW w:w="1729" w:type="pct"/>
          </w:tcPr>
          <w:p w14:paraId="6E1F2D6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0.8</w:t>
            </w:r>
          </w:p>
        </w:tc>
        <w:tc>
          <w:tcPr>
            <w:tcW w:w="1200" w:type="pct"/>
          </w:tcPr>
          <w:p w14:paraId="3D1E278E"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0.16</w:t>
            </w:r>
          </w:p>
        </w:tc>
        <w:tc>
          <w:tcPr>
            <w:tcW w:w="583" w:type="pct"/>
          </w:tcPr>
          <w:p w14:paraId="48E049B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125</w:t>
            </w:r>
          </w:p>
        </w:tc>
        <w:tc>
          <w:tcPr>
            <w:tcW w:w="599" w:type="pct"/>
          </w:tcPr>
          <w:p w14:paraId="5F7947E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Pr>
          <w:p w14:paraId="4AC92364"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100.31</w:t>
            </w:r>
          </w:p>
        </w:tc>
      </w:tr>
      <w:tr w:rsidR="00073532" w:rsidRPr="00FE0DCB" w14:paraId="3A69A715" w14:textId="77777777" w:rsidTr="00CF4CE4">
        <w:trPr>
          <w:trHeight w:val="285"/>
        </w:trPr>
        <w:tc>
          <w:tcPr>
            <w:tcW w:w="1729" w:type="pct"/>
          </w:tcPr>
          <w:p w14:paraId="6BB44566"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w:t>
            </w:r>
          </w:p>
        </w:tc>
        <w:tc>
          <w:tcPr>
            <w:tcW w:w="1200" w:type="pct"/>
          </w:tcPr>
          <w:p w14:paraId="7DD7594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0.2</w:t>
            </w:r>
          </w:p>
        </w:tc>
        <w:tc>
          <w:tcPr>
            <w:tcW w:w="583" w:type="pct"/>
          </w:tcPr>
          <w:p w14:paraId="4989097B"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100</w:t>
            </w:r>
          </w:p>
        </w:tc>
        <w:tc>
          <w:tcPr>
            <w:tcW w:w="599" w:type="pct"/>
          </w:tcPr>
          <w:p w14:paraId="293D83EF"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Pr>
          <w:p w14:paraId="37FB2FE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100.6</w:t>
            </w:r>
          </w:p>
        </w:tc>
      </w:tr>
      <w:tr w:rsidR="00073532" w:rsidRPr="00FE0DCB" w14:paraId="4ABDEC15" w14:textId="77777777" w:rsidTr="00CF4CE4">
        <w:trPr>
          <w:trHeight w:val="285"/>
        </w:trPr>
        <w:tc>
          <w:tcPr>
            <w:tcW w:w="1729" w:type="pct"/>
            <w:tcBorders>
              <w:bottom w:val="single" w:sz="4" w:space="0" w:color="auto"/>
            </w:tcBorders>
          </w:tcPr>
          <w:p w14:paraId="023B9544"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1.5</w:t>
            </w:r>
          </w:p>
        </w:tc>
        <w:tc>
          <w:tcPr>
            <w:tcW w:w="1200" w:type="pct"/>
            <w:tcBorders>
              <w:bottom w:val="single" w:sz="4" w:space="0" w:color="auto"/>
            </w:tcBorders>
          </w:tcPr>
          <w:p w14:paraId="42DA13DD"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0.3</w:t>
            </w:r>
          </w:p>
        </w:tc>
        <w:tc>
          <w:tcPr>
            <w:tcW w:w="583" w:type="pct"/>
            <w:tcBorders>
              <w:bottom w:val="single" w:sz="4" w:space="0" w:color="auto"/>
            </w:tcBorders>
          </w:tcPr>
          <w:p w14:paraId="4338EE0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66.6</w:t>
            </w:r>
          </w:p>
        </w:tc>
        <w:tc>
          <w:tcPr>
            <w:tcW w:w="599" w:type="pct"/>
            <w:tcBorders>
              <w:bottom w:val="single" w:sz="4" w:space="0" w:color="auto"/>
            </w:tcBorders>
          </w:tcPr>
          <w:p w14:paraId="7A10BD9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Borders>
              <w:bottom w:val="single" w:sz="4" w:space="0" w:color="auto"/>
            </w:tcBorders>
          </w:tcPr>
          <w:p w14:paraId="6F452589"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100.36</w:t>
            </w:r>
          </w:p>
        </w:tc>
      </w:tr>
    </w:tbl>
    <w:p w14:paraId="7316D072" w14:textId="69D531AF"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Table 6 presents the outcomes that the concentration or mass of red color clay used has considerable impact on the MB dye elimination in the solution. At adsorbent mass from 0.16 to 0.3, the equilibrium concentrations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are zero compared to those for mass of 0.04 and 0.1. This result indicates complete adsorption of the dye from the solution. The Table 6 were further illustrated in Figure 15 and Figure 16. </w:t>
      </w:r>
    </w:p>
    <w:p w14:paraId="4D47980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eastAsia="Calibri" w:hAnsi="Times New Roman" w:cs="Times New Roman"/>
          <w:noProof/>
          <w:sz w:val="20"/>
          <w:szCs w:val="20"/>
        </w:rPr>
        <w:drawing>
          <wp:inline distT="0" distB="0" distL="0" distR="0" wp14:anchorId="32BCA546" wp14:editId="5EEAA96C">
            <wp:extent cx="4516120" cy="3002280"/>
            <wp:effectExtent l="0" t="0" r="0" b="7620"/>
            <wp:docPr id="14" name="Picture 14"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 blue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0401" cy="3005126"/>
                    </a:xfrm>
                    <a:prstGeom prst="rect">
                      <a:avLst/>
                    </a:prstGeom>
                    <a:noFill/>
                  </pic:spPr>
                </pic:pic>
              </a:graphicData>
            </a:graphic>
          </wp:inline>
        </w:drawing>
      </w:r>
    </w:p>
    <w:p w14:paraId="4EA127A1" w14:textId="412CE8AC" w:rsidR="00073532" w:rsidRPr="00FE0DCB" w:rsidRDefault="00073532" w:rsidP="00073532">
      <w:pPr>
        <w:pStyle w:val="Caption"/>
        <w:spacing w:before="100" w:beforeAutospacing="1" w:after="100" w:afterAutospacing="1" w:line="360" w:lineRule="auto"/>
        <w:jc w:val="center"/>
        <w:rPr>
          <w:rFonts w:ascii="Times New Roman" w:eastAsia="Arial" w:hAnsi="Times New Roman" w:cs="Times New Roman"/>
          <w:i w:val="0"/>
          <w:iCs w:val="0"/>
          <w:noProof/>
          <w:color w:val="auto"/>
          <w:sz w:val="24"/>
          <w:szCs w:val="24"/>
          <w:shd w:val="clear" w:color="auto" w:fill="FFFFFF"/>
        </w:rPr>
      </w:pPr>
      <w:bookmarkStart w:id="222" w:name="_Toc150270962"/>
      <w:r w:rsidRPr="00FE0DCB">
        <w:rPr>
          <w:rFonts w:ascii="Times New Roman" w:eastAsia="Arial" w:hAnsi="Times New Roman" w:cs="Times New Roman"/>
          <w:b/>
          <w:bCs/>
          <w:i w:val="0"/>
          <w:iCs w:val="0"/>
          <w:noProof/>
          <w:color w:val="auto"/>
          <w:sz w:val="24"/>
          <w:szCs w:val="24"/>
          <w:shd w:val="clear" w:color="auto" w:fill="FFFFFF"/>
        </w:rPr>
        <w:t>Figure</w:t>
      </w:r>
      <w:r w:rsidR="00395B6D" w:rsidRPr="00FE0DCB">
        <w:rPr>
          <w:rFonts w:ascii="Times New Roman" w:eastAsia="Arial" w:hAnsi="Times New Roman" w:cs="Times New Roman"/>
          <w:b/>
          <w:bCs/>
          <w:i w:val="0"/>
          <w:iCs w:val="0"/>
          <w:noProof/>
          <w:color w:val="auto"/>
          <w:sz w:val="24"/>
          <w:szCs w:val="24"/>
          <w:shd w:val="clear" w:color="auto" w:fill="FFFFFF"/>
        </w:rPr>
        <w:t xml:space="preserve"> </w:t>
      </w:r>
      <w:r w:rsidR="0041467E">
        <w:rPr>
          <w:rFonts w:ascii="Times New Roman" w:eastAsia="Arial" w:hAnsi="Times New Roman" w:cs="Times New Roman"/>
          <w:b/>
          <w:bCs/>
          <w:i w:val="0"/>
          <w:iCs w:val="0"/>
          <w:noProof/>
          <w:color w:val="auto"/>
          <w:sz w:val="24"/>
          <w:szCs w:val="24"/>
          <w:shd w:val="clear" w:color="auto" w:fill="FFFFFF"/>
        </w:rPr>
        <w:t>1</w:t>
      </w:r>
      <w:r w:rsidR="00395B6D" w:rsidRPr="00FE0DCB">
        <w:rPr>
          <w:rFonts w:ascii="Times New Roman" w:eastAsia="Arial" w:hAnsi="Times New Roman" w:cs="Times New Roman"/>
          <w:b/>
          <w:bCs/>
          <w:i w:val="0"/>
          <w:iCs w:val="0"/>
          <w:noProof/>
          <w:color w:val="auto"/>
          <w:sz w:val="24"/>
          <w:szCs w:val="24"/>
          <w:shd w:val="clear" w:color="auto" w:fill="FFFFFF"/>
        </w:rPr>
        <w:t>5</w:t>
      </w:r>
      <w:r w:rsidRPr="00FE0DCB">
        <w:rPr>
          <w:rFonts w:ascii="Times New Roman" w:eastAsia="Arial" w:hAnsi="Times New Roman" w:cs="Times New Roman"/>
          <w:b/>
          <w:bCs/>
          <w:i w:val="0"/>
          <w:iCs w:val="0"/>
          <w:noProof/>
          <w:color w:val="auto"/>
          <w:sz w:val="24"/>
          <w:szCs w:val="24"/>
          <w:shd w:val="clear" w:color="auto" w:fill="FFFFFF"/>
        </w:rPr>
        <w:t>:</w:t>
      </w:r>
      <w:r w:rsidRPr="00FE0DCB">
        <w:rPr>
          <w:rFonts w:ascii="Times New Roman" w:eastAsia="Arial" w:hAnsi="Times New Roman" w:cs="Times New Roman"/>
          <w:i w:val="0"/>
          <w:iCs w:val="0"/>
          <w:noProof/>
          <w:color w:val="auto"/>
          <w:sz w:val="24"/>
          <w:szCs w:val="24"/>
          <w:shd w:val="clear" w:color="auto" w:fill="FFFFFF"/>
        </w:rPr>
        <w:t xml:space="preserve"> Adsorption efficacy of the adsorbent in extracting MB dye from the solution at different mass of red color clay</w:t>
      </w:r>
      <w:bookmarkEnd w:id="222"/>
    </w:p>
    <w:p w14:paraId="177A1D76" w14:textId="549F526D"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Figure </w:t>
      </w:r>
      <w:r w:rsidR="0041467E">
        <w:rPr>
          <w:rFonts w:ascii="Times New Roman" w:hAnsi="Times New Roman" w:cs="Times New Roman"/>
          <w:shd w:val="clear" w:color="auto" w:fill="FFFFFF"/>
        </w:rPr>
        <w:t>1</w:t>
      </w:r>
      <w:r w:rsidRPr="00FE0DCB">
        <w:rPr>
          <w:rFonts w:ascii="Times New Roman" w:hAnsi="Times New Roman" w:cs="Times New Roman"/>
          <w:shd w:val="clear" w:color="auto" w:fill="FFFFFF"/>
        </w:rPr>
        <w:t>5 visually represents the data presented in Table 6. The line graph is a plot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(Adsorption capacity at equilibrium concentration) and the adsorbent (red color clay) mass which </w:t>
      </w:r>
      <w:r w:rsidRPr="00FE0DCB">
        <w:rPr>
          <w:rFonts w:ascii="Times New Roman" w:hAnsi="Times New Roman" w:cs="Times New Roman"/>
          <w:shd w:val="clear" w:color="auto" w:fill="FFFFFF"/>
        </w:rPr>
        <w:lastRenderedPageBreak/>
        <w:t>shows the effect of red color clay mass on MB dye adsorption. The decreasing levels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indicate that higher amounts of red clay result in a lower adsorption or uptake of the MB dye by the red clay. This outcome may be explained by the fact that with increase in red color clay concentration there will be a reduction in the amount of adsorbate (MB dye) adsorbed onto unit weight of red color clay (adsorbent) at a constant concentration of 100 mg/L of MB dye. This finding is in accordance with a study conducted by Vijayakumar et al. (2012), which demonstrated that increasing the dose (mass) of perlite resulted in a decrease in the adsorption capacity of Rhodamine-B. </w:t>
      </w:r>
    </w:p>
    <w:p w14:paraId="42C906C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218F838D" wp14:editId="19B66CE6">
            <wp:extent cx="4660900" cy="2973705"/>
            <wp:effectExtent l="0" t="0" r="635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15714F" w14:textId="1C8BAAE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3" w:name="_Toc150270963"/>
      <w:r w:rsidRPr="00FE0DCB">
        <w:rPr>
          <w:rFonts w:ascii="Times New Roman" w:hAnsi="Times New Roman" w:cs="Times New Roman"/>
          <w:b/>
          <w:bCs/>
          <w:i w:val="0"/>
          <w:iCs w:val="0"/>
          <w:color w:val="auto"/>
          <w:sz w:val="24"/>
          <w:szCs w:val="24"/>
          <w:shd w:val="clear" w:color="auto" w:fill="FFFFFF"/>
        </w:rPr>
        <w:t>Figure</w:t>
      </w:r>
      <w:r w:rsidR="00395B6D" w:rsidRPr="00FE0DCB">
        <w:rPr>
          <w:rFonts w:ascii="Times New Roman" w:hAnsi="Times New Roman" w:cs="Times New Roman"/>
          <w:b/>
          <w:bCs/>
          <w:i w:val="0"/>
          <w:iCs w:val="0"/>
          <w:color w:val="auto"/>
          <w:sz w:val="24"/>
          <w:szCs w:val="24"/>
          <w:shd w:val="clear" w:color="auto" w:fill="FFFFFF"/>
        </w:rPr>
        <w:t xml:space="preserv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6</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The percentage removal of MB dye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w:t>
      </w:r>
      <w:bookmarkEnd w:id="223"/>
    </w:p>
    <w:p w14:paraId="12A8B0F4" w14:textId="0E4F290F"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Additionally, a visual representation of the adsorbent's effect on adsorbate removal is presented in Figure 17. The image visually indicates MB dye adsorption through the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transition from dark blue to light blue.</w:t>
      </w:r>
    </w:p>
    <w:p w14:paraId="6C993E87" w14:textId="77777777" w:rsidR="00073532" w:rsidRPr="00FE0DCB" w:rsidRDefault="00073532" w:rsidP="00073532">
      <w:pPr>
        <w:rPr>
          <w:rFonts w:ascii="Times New Roman" w:hAnsi="Times New Roman" w:cs="Times New Roman"/>
          <w:noProof/>
          <w:shd w:val="clear" w:color="auto" w:fill="FFFFFF"/>
        </w:rPr>
      </w:pPr>
      <w:bookmarkStart w:id="224" w:name="_Toc149745071"/>
    </w:p>
    <w:p w14:paraId="4E00C298" w14:textId="77777777" w:rsidR="00073532" w:rsidRPr="00FE0DCB" w:rsidRDefault="00073532" w:rsidP="00073532">
      <w:pPr>
        <w:rPr>
          <w:rFonts w:ascii="Times New Roman" w:hAnsi="Times New Roman" w:cs="Times New Roman"/>
        </w:rPr>
      </w:pPr>
      <w:r w:rsidRPr="00FE0DCB">
        <w:rPr>
          <w:rFonts w:ascii="Times New Roman" w:hAnsi="Times New Roman" w:cs="Times New Roman"/>
          <w:noProof/>
          <w:shd w:val="clear" w:color="auto" w:fill="FFFFFF"/>
        </w:rPr>
        <w:lastRenderedPageBreak/>
        <w:drawing>
          <wp:inline distT="0" distB="0" distL="0" distR="0" wp14:anchorId="067C81A2" wp14:editId="7185E1AA">
            <wp:extent cx="5219700" cy="3124200"/>
            <wp:effectExtent l="0" t="0" r="0" b="0"/>
            <wp:docPr id="5927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9692"/>
                    <a:stretch/>
                  </pic:blipFill>
                  <pic:spPr bwMode="auto">
                    <a:xfrm>
                      <a:off x="0" y="0"/>
                      <a:ext cx="52197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0E361D4F" w14:textId="0DE6D4C8"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5" w:name="_Toc150270964"/>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7</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Pre-adsorption and post-adsorption samples of MB dye solution</w:t>
      </w:r>
      <w:bookmarkEnd w:id="225"/>
    </w:p>
    <w:bookmarkEnd w:id="224"/>
    <w:p w14:paraId="4E5A94BC" w14:textId="6872239B" w:rsidR="00395B6D" w:rsidRPr="00FE0DCB" w:rsidRDefault="00395B6D" w:rsidP="00395B6D">
      <w:pPr>
        <w:rPr>
          <w:rFonts w:ascii="Times New Roman" w:hAnsi="Times New Roman" w:cs="Times New Roman"/>
          <w:b/>
          <w:bCs/>
        </w:rPr>
      </w:pPr>
      <w:r w:rsidRPr="00FE0DCB">
        <w:rPr>
          <w:rFonts w:ascii="Times New Roman" w:hAnsi="Times New Roman" w:cs="Times New Roman"/>
          <w:b/>
          <w:bCs/>
        </w:rPr>
        <w:t>Comparison of the Adsorption Capacity</w:t>
      </w:r>
    </w:p>
    <w:p w14:paraId="57BB475F" w14:textId="21BDA59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Due to the many methods </w:t>
      </w:r>
      <w:proofErr w:type="spellStart"/>
      <w:r w:rsidRPr="00FE0DCB">
        <w:rPr>
          <w:rFonts w:ascii="Times New Roman" w:hAnsi="Times New Roman" w:cs="Times New Roman"/>
          <w:shd w:val="clear" w:color="auto" w:fill="FFFFFF"/>
        </w:rPr>
        <w:t>utilised</w:t>
      </w:r>
      <w:proofErr w:type="spellEnd"/>
      <w:r w:rsidRPr="00FE0DCB">
        <w:rPr>
          <w:rFonts w:ascii="Times New Roman" w:hAnsi="Times New Roman" w:cs="Times New Roman"/>
          <w:shd w:val="clear" w:color="auto" w:fill="FFFFFF"/>
        </w:rPr>
        <w:t xml:space="preserve"> in earlier investigations, it is tricky to compare the adsorption capacities obtained in this work with those stated in the literature. The red color clay used in this study still produced </w:t>
      </w:r>
      <w:proofErr w:type="spellStart"/>
      <w:r w:rsidRPr="00FE0DCB">
        <w:rPr>
          <w:rFonts w:ascii="Times New Roman" w:hAnsi="Times New Roman" w:cs="Times New Roman"/>
          <w:shd w:val="clear" w:color="auto" w:fill="FFFFFF"/>
        </w:rPr>
        <w:t>favourable</w:t>
      </w:r>
      <w:proofErr w:type="spellEnd"/>
      <w:r w:rsidRPr="00FE0DCB">
        <w:rPr>
          <w:rFonts w:ascii="Times New Roman" w:hAnsi="Times New Roman" w:cs="Times New Roman"/>
          <w:shd w:val="clear" w:color="auto" w:fill="FFFFFF"/>
        </w:rPr>
        <w:t xml:space="preserve"> results for MB dye adsorption onto red color clay soil, even though it did not attain the highest adsorption capacity, according to the data shown in Table 7. A noteworthy finding from Table 7 is that in terms of MB adsorption capacity, the graphene oxide-magnetic iron oxide nanoparticles (GO-MNP) used by Othman et al. (2018) performed better than other materials referred to in the literature. Also, Calcareous Soil utilized by Mondal et al. (2015) seem to possess the lowest MB adsorption capacity than other materials referred to in the literature.</w:t>
      </w:r>
    </w:p>
    <w:p w14:paraId="46ADE0FA"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179CAC04" w14:textId="236F455A" w:rsidR="00073532" w:rsidRPr="00FE0DCB" w:rsidRDefault="00073532" w:rsidP="00073532">
      <w:pPr>
        <w:pStyle w:val="Caption"/>
        <w:keepNext/>
        <w:spacing w:before="100" w:beforeAutospacing="1" w:after="100" w:afterAutospacing="1" w:line="360" w:lineRule="auto"/>
        <w:rPr>
          <w:rFonts w:ascii="Times New Roman" w:eastAsia="Verdana" w:hAnsi="Times New Roman" w:cs="Times New Roman"/>
          <w:i w:val="0"/>
          <w:iCs w:val="0"/>
          <w:color w:val="auto"/>
          <w:sz w:val="24"/>
          <w:szCs w:val="24"/>
        </w:rPr>
      </w:pPr>
      <w:bookmarkStart w:id="226" w:name="_Toc150271169"/>
      <w:r w:rsidRPr="00FE0DCB">
        <w:rPr>
          <w:rFonts w:ascii="Times New Roman" w:eastAsia="Verdana" w:hAnsi="Times New Roman" w:cs="Times New Roman"/>
          <w:b/>
          <w:bCs/>
          <w:i w:val="0"/>
          <w:iCs w:val="0"/>
          <w:color w:val="auto"/>
          <w:sz w:val="24"/>
          <w:szCs w:val="24"/>
        </w:rPr>
        <w:lastRenderedPageBreak/>
        <w:t xml:space="preserve">Table </w:t>
      </w:r>
      <w:r w:rsidRPr="00FE0DCB">
        <w:rPr>
          <w:rFonts w:ascii="Times New Roman" w:eastAsia="Verdana" w:hAnsi="Times New Roman" w:cs="Times New Roman"/>
          <w:b/>
          <w:bCs/>
          <w:i w:val="0"/>
          <w:iCs w:val="0"/>
          <w:color w:val="auto"/>
          <w:sz w:val="24"/>
          <w:szCs w:val="24"/>
        </w:rPr>
        <w:fldChar w:fldCharType="begin"/>
      </w:r>
      <w:r w:rsidRPr="00FE0DCB">
        <w:rPr>
          <w:rFonts w:ascii="Times New Roman" w:eastAsia="Verdana" w:hAnsi="Times New Roman" w:cs="Times New Roman"/>
          <w:b/>
          <w:bCs/>
          <w:i w:val="0"/>
          <w:iCs w:val="0"/>
          <w:color w:val="auto"/>
          <w:sz w:val="24"/>
          <w:szCs w:val="24"/>
        </w:rPr>
        <w:instrText xml:space="preserve"> SEQ Table_4. \* ARABIC </w:instrText>
      </w:r>
      <w:r w:rsidRPr="00FE0DCB">
        <w:rPr>
          <w:rFonts w:ascii="Times New Roman" w:eastAsia="Verdana" w:hAnsi="Times New Roman" w:cs="Times New Roman"/>
          <w:b/>
          <w:bCs/>
          <w:i w:val="0"/>
          <w:iCs w:val="0"/>
          <w:color w:val="auto"/>
          <w:sz w:val="24"/>
          <w:szCs w:val="24"/>
        </w:rPr>
        <w:fldChar w:fldCharType="separate"/>
      </w:r>
      <w:r w:rsidRPr="00FE0DCB">
        <w:rPr>
          <w:rFonts w:ascii="Times New Roman" w:eastAsia="Verdana" w:hAnsi="Times New Roman" w:cs="Times New Roman"/>
          <w:b/>
          <w:bCs/>
          <w:i w:val="0"/>
          <w:iCs w:val="0"/>
          <w:noProof/>
          <w:color w:val="auto"/>
          <w:sz w:val="24"/>
          <w:szCs w:val="24"/>
        </w:rPr>
        <w:t>7</w:t>
      </w:r>
      <w:r w:rsidRPr="00FE0DCB">
        <w:rPr>
          <w:rFonts w:ascii="Times New Roman" w:eastAsia="Verdana" w:hAnsi="Times New Roman" w:cs="Times New Roman"/>
          <w:b/>
          <w:bCs/>
          <w:i w:val="0"/>
          <w:iCs w:val="0"/>
          <w:color w:val="auto"/>
          <w:sz w:val="24"/>
          <w:szCs w:val="24"/>
        </w:rPr>
        <w:fldChar w:fldCharType="end"/>
      </w:r>
      <w:r w:rsidRPr="00FE0DCB">
        <w:rPr>
          <w:rFonts w:ascii="Times New Roman" w:eastAsia="Verdana" w:hAnsi="Times New Roman" w:cs="Times New Roman"/>
          <w:b/>
          <w:bCs/>
          <w:i w:val="0"/>
          <w:iCs w:val="0"/>
          <w:color w:val="auto"/>
          <w:sz w:val="24"/>
          <w:szCs w:val="24"/>
        </w:rPr>
        <w:t>:</w:t>
      </w:r>
      <w:r w:rsidRPr="00FE0DCB">
        <w:rPr>
          <w:rFonts w:ascii="Times New Roman" w:eastAsia="Verdana" w:hAnsi="Times New Roman" w:cs="Times New Roman"/>
          <w:i w:val="0"/>
          <w:iCs w:val="0"/>
          <w:color w:val="auto"/>
          <w:sz w:val="24"/>
          <w:szCs w:val="24"/>
        </w:rPr>
        <w:t xml:space="preserve"> Comparison of the maximum adsorption capacities of some adsorbent used for MB dye adsorption</w:t>
      </w:r>
      <w:bookmarkEnd w:id="22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1500"/>
        <w:gridCol w:w="1053"/>
        <w:gridCol w:w="1260"/>
        <w:gridCol w:w="2095"/>
      </w:tblGrid>
      <w:tr w:rsidR="00073532" w:rsidRPr="00FE0DCB" w14:paraId="6005A923" w14:textId="77777777" w:rsidTr="00CF4CE4">
        <w:tc>
          <w:tcPr>
            <w:tcW w:w="0" w:type="auto"/>
            <w:tcBorders>
              <w:top w:val="single" w:sz="4" w:space="0" w:color="auto"/>
              <w:bottom w:val="single" w:sz="4" w:space="0" w:color="auto"/>
            </w:tcBorders>
            <w:vAlign w:val="center"/>
          </w:tcPr>
          <w:p w14:paraId="707FDD1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Adsorbent</w:t>
            </w:r>
          </w:p>
        </w:tc>
        <w:tc>
          <w:tcPr>
            <w:tcW w:w="1500" w:type="dxa"/>
            <w:tcBorders>
              <w:top w:val="single" w:sz="4" w:space="0" w:color="auto"/>
              <w:bottom w:val="single" w:sz="4" w:space="0" w:color="auto"/>
            </w:tcBorders>
            <w:vAlign w:val="center"/>
          </w:tcPr>
          <w:p w14:paraId="7451615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Co (Initial Concentration, mg/L)</w:t>
            </w:r>
          </w:p>
        </w:tc>
        <w:tc>
          <w:tcPr>
            <w:tcW w:w="1053" w:type="dxa"/>
            <w:tcBorders>
              <w:top w:val="single" w:sz="4" w:space="0" w:color="auto"/>
              <w:bottom w:val="single" w:sz="4" w:space="0" w:color="auto"/>
            </w:tcBorders>
            <w:vAlign w:val="center"/>
          </w:tcPr>
          <w:p w14:paraId="71104A6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qmax</w:t>
            </w:r>
            <w:proofErr w:type="spellEnd"/>
            <w:r w:rsidRPr="00FE0DCB">
              <w:rPr>
                <w:rFonts w:ascii="Times New Roman" w:hAnsi="Times New Roman" w:cs="Times New Roman"/>
                <w:sz w:val="20"/>
                <w:szCs w:val="20"/>
              </w:rPr>
              <w:t xml:space="preserve"> (mg/g)</w:t>
            </w:r>
          </w:p>
        </w:tc>
        <w:tc>
          <w:tcPr>
            <w:tcW w:w="1260" w:type="dxa"/>
            <w:tcBorders>
              <w:top w:val="single" w:sz="4" w:space="0" w:color="auto"/>
              <w:bottom w:val="single" w:sz="4" w:space="0" w:color="auto"/>
            </w:tcBorders>
            <w:vAlign w:val="center"/>
          </w:tcPr>
          <w:p w14:paraId="19033E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Isotherm</w:t>
            </w:r>
          </w:p>
        </w:tc>
        <w:tc>
          <w:tcPr>
            <w:tcW w:w="2095" w:type="dxa"/>
            <w:tcBorders>
              <w:top w:val="single" w:sz="4" w:space="0" w:color="auto"/>
              <w:bottom w:val="single" w:sz="4" w:space="0" w:color="auto"/>
            </w:tcBorders>
            <w:vAlign w:val="center"/>
          </w:tcPr>
          <w:p w14:paraId="2C8AB31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References</w:t>
            </w:r>
          </w:p>
        </w:tc>
      </w:tr>
      <w:tr w:rsidR="00073532" w:rsidRPr="00FE0DCB" w14:paraId="66E3B94A" w14:textId="77777777" w:rsidTr="00CF4CE4">
        <w:tc>
          <w:tcPr>
            <w:tcW w:w="0" w:type="auto"/>
            <w:tcBorders>
              <w:top w:val="single" w:sz="4" w:space="0" w:color="auto"/>
            </w:tcBorders>
            <w:vAlign w:val="center"/>
          </w:tcPr>
          <w:p w14:paraId="5436828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Calcareous Soil</w:t>
            </w:r>
          </w:p>
        </w:tc>
        <w:tc>
          <w:tcPr>
            <w:tcW w:w="1500" w:type="dxa"/>
            <w:tcBorders>
              <w:top w:val="single" w:sz="4" w:space="0" w:color="auto"/>
            </w:tcBorders>
            <w:vAlign w:val="center"/>
          </w:tcPr>
          <w:p w14:paraId="4A3939B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25, 50, 75, 100</w:t>
            </w:r>
          </w:p>
        </w:tc>
        <w:tc>
          <w:tcPr>
            <w:tcW w:w="1053" w:type="dxa"/>
            <w:tcBorders>
              <w:top w:val="single" w:sz="4" w:space="0" w:color="auto"/>
            </w:tcBorders>
            <w:vAlign w:val="center"/>
          </w:tcPr>
          <w:p w14:paraId="1068442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1.76</w:t>
            </w:r>
          </w:p>
        </w:tc>
        <w:tc>
          <w:tcPr>
            <w:tcW w:w="1260" w:type="dxa"/>
            <w:tcBorders>
              <w:top w:val="single" w:sz="4" w:space="0" w:color="auto"/>
            </w:tcBorders>
            <w:vAlign w:val="center"/>
          </w:tcPr>
          <w:p w14:paraId="0B0B4C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tcBorders>
              <w:top w:val="single" w:sz="4" w:space="0" w:color="auto"/>
            </w:tcBorders>
            <w:vAlign w:val="center"/>
          </w:tcPr>
          <w:p w14:paraId="4B8C77F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Mondal et al. (2015)</w:t>
            </w:r>
          </w:p>
        </w:tc>
      </w:tr>
      <w:tr w:rsidR="00073532" w:rsidRPr="00FE0DCB" w14:paraId="0EF86394" w14:textId="77777777" w:rsidTr="00CF4CE4">
        <w:tc>
          <w:tcPr>
            <w:tcW w:w="0" w:type="auto"/>
            <w:vAlign w:val="center"/>
          </w:tcPr>
          <w:p w14:paraId="4948354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Sandy Soil</w:t>
            </w:r>
          </w:p>
        </w:tc>
        <w:tc>
          <w:tcPr>
            <w:tcW w:w="1500" w:type="dxa"/>
            <w:vAlign w:val="center"/>
          </w:tcPr>
          <w:p w14:paraId="7231E0F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1000</w:t>
            </w:r>
          </w:p>
        </w:tc>
        <w:tc>
          <w:tcPr>
            <w:tcW w:w="1053" w:type="dxa"/>
            <w:vAlign w:val="center"/>
          </w:tcPr>
          <w:p w14:paraId="7E90C96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9.690-14.849</w:t>
            </w:r>
          </w:p>
        </w:tc>
        <w:tc>
          <w:tcPr>
            <w:tcW w:w="1260" w:type="dxa"/>
            <w:vAlign w:val="center"/>
          </w:tcPr>
          <w:p w14:paraId="138AAA7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Freundlich</w:t>
            </w:r>
          </w:p>
        </w:tc>
        <w:tc>
          <w:tcPr>
            <w:tcW w:w="2095" w:type="dxa"/>
            <w:vAlign w:val="center"/>
          </w:tcPr>
          <w:p w14:paraId="49BA666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Mundada</w:t>
            </w:r>
            <w:proofErr w:type="spellEnd"/>
            <w:r w:rsidRPr="00FE0DCB">
              <w:rPr>
                <w:rFonts w:ascii="Times New Roman" w:hAnsi="Times New Roman" w:cs="Times New Roman"/>
                <w:sz w:val="20"/>
                <w:szCs w:val="20"/>
              </w:rPr>
              <w:t xml:space="preserve"> et al. (2017)</w:t>
            </w:r>
          </w:p>
        </w:tc>
      </w:tr>
      <w:tr w:rsidR="00073532" w:rsidRPr="00FE0DCB" w14:paraId="376E2DCE" w14:textId="77777777" w:rsidTr="00CF4CE4">
        <w:tc>
          <w:tcPr>
            <w:tcW w:w="0" w:type="auto"/>
            <w:vAlign w:val="center"/>
          </w:tcPr>
          <w:p w14:paraId="6A10E18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Ammonium hydroxide red mud (ARM)</w:t>
            </w:r>
          </w:p>
        </w:tc>
        <w:tc>
          <w:tcPr>
            <w:tcW w:w="1500" w:type="dxa"/>
            <w:vAlign w:val="center"/>
          </w:tcPr>
          <w:p w14:paraId="24A9042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100, 200, 300</w:t>
            </w:r>
          </w:p>
        </w:tc>
        <w:tc>
          <w:tcPr>
            <w:tcW w:w="1053" w:type="dxa"/>
            <w:vAlign w:val="center"/>
          </w:tcPr>
          <w:p w14:paraId="031166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232.2</w:t>
            </w:r>
          </w:p>
        </w:tc>
        <w:tc>
          <w:tcPr>
            <w:tcW w:w="1260" w:type="dxa"/>
            <w:vAlign w:val="center"/>
          </w:tcPr>
          <w:p w14:paraId="4D82BDF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 and Temkin</w:t>
            </w:r>
          </w:p>
        </w:tc>
        <w:tc>
          <w:tcPr>
            <w:tcW w:w="2095" w:type="dxa"/>
            <w:vAlign w:val="center"/>
          </w:tcPr>
          <w:p w14:paraId="2BBE1D1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Hu et al. (2017)</w:t>
            </w:r>
          </w:p>
        </w:tc>
      </w:tr>
      <w:tr w:rsidR="00073532" w:rsidRPr="00FE0DCB" w14:paraId="2AC3A113" w14:textId="77777777" w:rsidTr="00CF4CE4">
        <w:tc>
          <w:tcPr>
            <w:tcW w:w="0" w:type="auto"/>
            <w:vAlign w:val="center"/>
          </w:tcPr>
          <w:p w14:paraId="18E011C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Ammonium hydroxide red mud-200 (ARM-200)</w:t>
            </w:r>
          </w:p>
        </w:tc>
        <w:tc>
          <w:tcPr>
            <w:tcW w:w="1500" w:type="dxa"/>
            <w:vAlign w:val="center"/>
          </w:tcPr>
          <w:p w14:paraId="6715CB6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100, 200, 300</w:t>
            </w:r>
          </w:p>
        </w:tc>
        <w:tc>
          <w:tcPr>
            <w:tcW w:w="1053" w:type="dxa"/>
            <w:vAlign w:val="center"/>
          </w:tcPr>
          <w:p w14:paraId="4A2890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274</w:t>
            </w:r>
          </w:p>
        </w:tc>
        <w:tc>
          <w:tcPr>
            <w:tcW w:w="1260" w:type="dxa"/>
            <w:vAlign w:val="center"/>
          </w:tcPr>
          <w:p w14:paraId="11400C2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Freundlich and Temkin</w:t>
            </w:r>
          </w:p>
        </w:tc>
        <w:tc>
          <w:tcPr>
            <w:tcW w:w="2095" w:type="dxa"/>
            <w:vAlign w:val="center"/>
          </w:tcPr>
          <w:p w14:paraId="61202F4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Hu et al. (2017)</w:t>
            </w:r>
          </w:p>
        </w:tc>
      </w:tr>
      <w:tr w:rsidR="00073532" w:rsidRPr="00FE0DCB" w14:paraId="4D39F9AC" w14:textId="77777777" w:rsidTr="00CF4CE4">
        <w:tc>
          <w:tcPr>
            <w:tcW w:w="0" w:type="auto"/>
            <w:vAlign w:val="center"/>
          </w:tcPr>
          <w:p w14:paraId="2E07124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Coconut shell activated carbon</w:t>
            </w:r>
          </w:p>
        </w:tc>
        <w:tc>
          <w:tcPr>
            <w:tcW w:w="1500" w:type="dxa"/>
            <w:vAlign w:val="center"/>
          </w:tcPr>
          <w:p w14:paraId="6055B0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w:t>
            </w:r>
          </w:p>
        </w:tc>
        <w:tc>
          <w:tcPr>
            <w:tcW w:w="1053" w:type="dxa"/>
            <w:vAlign w:val="center"/>
          </w:tcPr>
          <w:p w14:paraId="5261C00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10.45</w:t>
            </w:r>
          </w:p>
        </w:tc>
        <w:tc>
          <w:tcPr>
            <w:tcW w:w="1260" w:type="dxa"/>
            <w:vAlign w:val="center"/>
          </w:tcPr>
          <w:p w14:paraId="0B107AA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123D1AC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Samal (2014)</w:t>
            </w:r>
          </w:p>
        </w:tc>
      </w:tr>
      <w:tr w:rsidR="00073532" w:rsidRPr="00FE0DCB" w14:paraId="120BDE21" w14:textId="77777777" w:rsidTr="00CF4CE4">
        <w:tc>
          <w:tcPr>
            <w:tcW w:w="0" w:type="auto"/>
            <w:vAlign w:val="center"/>
          </w:tcPr>
          <w:p w14:paraId="442C151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Rhassoul</w:t>
            </w:r>
            <w:proofErr w:type="spellEnd"/>
            <w:r w:rsidRPr="00FE0DCB">
              <w:rPr>
                <w:rFonts w:ascii="Times New Roman" w:hAnsi="Times New Roman" w:cs="Times New Roman"/>
                <w:sz w:val="20"/>
                <w:szCs w:val="20"/>
              </w:rPr>
              <w:t>-clay</w:t>
            </w:r>
          </w:p>
        </w:tc>
        <w:tc>
          <w:tcPr>
            <w:tcW w:w="1500" w:type="dxa"/>
            <w:vAlign w:val="center"/>
          </w:tcPr>
          <w:p w14:paraId="6A32433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2, 4, 6, 8, 10</w:t>
            </w:r>
          </w:p>
        </w:tc>
        <w:tc>
          <w:tcPr>
            <w:tcW w:w="1053" w:type="dxa"/>
            <w:vAlign w:val="center"/>
          </w:tcPr>
          <w:p w14:paraId="2549545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166.7</w:t>
            </w:r>
          </w:p>
        </w:tc>
        <w:tc>
          <w:tcPr>
            <w:tcW w:w="1260" w:type="dxa"/>
            <w:vAlign w:val="center"/>
          </w:tcPr>
          <w:p w14:paraId="09368D9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0CE396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Bentahar et al. (2019)</w:t>
            </w:r>
          </w:p>
        </w:tc>
      </w:tr>
      <w:tr w:rsidR="00073532" w:rsidRPr="00FE0DCB" w14:paraId="30837D99" w14:textId="77777777" w:rsidTr="00CF4CE4">
        <w:tc>
          <w:tcPr>
            <w:tcW w:w="0" w:type="auto"/>
            <w:vAlign w:val="center"/>
          </w:tcPr>
          <w:p w14:paraId="6C554CE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Red clay</w:t>
            </w:r>
          </w:p>
        </w:tc>
        <w:tc>
          <w:tcPr>
            <w:tcW w:w="1500" w:type="dxa"/>
            <w:vAlign w:val="center"/>
          </w:tcPr>
          <w:p w14:paraId="1F7383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10, 20, 30, 40, 50</w:t>
            </w:r>
          </w:p>
        </w:tc>
        <w:tc>
          <w:tcPr>
            <w:tcW w:w="1053" w:type="dxa"/>
            <w:vAlign w:val="center"/>
          </w:tcPr>
          <w:p w14:paraId="2D86844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18.83</w:t>
            </w:r>
          </w:p>
        </w:tc>
        <w:tc>
          <w:tcPr>
            <w:tcW w:w="1260" w:type="dxa"/>
            <w:vAlign w:val="center"/>
          </w:tcPr>
          <w:p w14:paraId="1C8E80A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21EA31C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Bentahar et al. (2019)</w:t>
            </w:r>
          </w:p>
        </w:tc>
      </w:tr>
      <w:tr w:rsidR="00073532" w:rsidRPr="00FE0DCB" w14:paraId="12C275CD" w14:textId="77777777" w:rsidTr="00CF4CE4">
        <w:tc>
          <w:tcPr>
            <w:tcW w:w="0" w:type="auto"/>
            <w:vAlign w:val="center"/>
          </w:tcPr>
          <w:p w14:paraId="3F76312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Graphene oxide- magnetic iron oxide nanoparticles (GO-MNP)</w:t>
            </w:r>
          </w:p>
        </w:tc>
        <w:tc>
          <w:tcPr>
            <w:tcW w:w="1500" w:type="dxa"/>
            <w:vAlign w:val="center"/>
          </w:tcPr>
          <w:p w14:paraId="34492F9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5, 10, 15</w:t>
            </w:r>
          </w:p>
        </w:tc>
        <w:tc>
          <w:tcPr>
            <w:tcW w:w="1053" w:type="dxa"/>
            <w:vAlign w:val="center"/>
          </w:tcPr>
          <w:p w14:paraId="76B470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232.56, 1667.67 and 1428.57</w:t>
            </w:r>
          </w:p>
        </w:tc>
        <w:tc>
          <w:tcPr>
            <w:tcW w:w="1260" w:type="dxa"/>
            <w:vAlign w:val="center"/>
          </w:tcPr>
          <w:p w14:paraId="034FAF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2315B4B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Othman et al. (2018)</w:t>
            </w:r>
          </w:p>
        </w:tc>
      </w:tr>
      <w:tr w:rsidR="00073532" w:rsidRPr="00FE0DCB" w14:paraId="4E14D28D" w14:textId="77777777" w:rsidTr="00CF4CE4">
        <w:tc>
          <w:tcPr>
            <w:tcW w:w="0" w:type="auto"/>
            <w:vAlign w:val="center"/>
          </w:tcPr>
          <w:p w14:paraId="492DEF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Red color clay</w:t>
            </w:r>
          </w:p>
        </w:tc>
        <w:tc>
          <w:tcPr>
            <w:tcW w:w="1500" w:type="dxa"/>
            <w:vAlign w:val="center"/>
          </w:tcPr>
          <w:p w14:paraId="023B54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5-500</w:t>
            </w:r>
          </w:p>
        </w:tc>
        <w:tc>
          <w:tcPr>
            <w:tcW w:w="1053" w:type="dxa"/>
            <w:vAlign w:val="center"/>
          </w:tcPr>
          <w:p w14:paraId="3919FD7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769.23</w:t>
            </w:r>
          </w:p>
        </w:tc>
        <w:tc>
          <w:tcPr>
            <w:tcW w:w="1260" w:type="dxa"/>
            <w:vAlign w:val="center"/>
          </w:tcPr>
          <w:p w14:paraId="351ECA3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794102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This study</w:t>
            </w:r>
          </w:p>
        </w:tc>
      </w:tr>
    </w:tbl>
    <w:p w14:paraId="0FDE5D0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42AF5C79" w14:textId="40466D29" w:rsidR="00395B6D" w:rsidRPr="00FE0DCB" w:rsidRDefault="00395B6D" w:rsidP="00073532">
      <w:pPr>
        <w:spacing w:before="100" w:beforeAutospacing="1" w:after="100" w:afterAutospacing="1" w:line="360" w:lineRule="auto"/>
        <w:jc w:val="both"/>
        <w:rPr>
          <w:rFonts w:ascii="Times New Roman" w:eastAsia="Verdana" w:hAnsi="Times New Roman" w:cs="Times New Roman"/>
          <w:b/>
          <w:bCs/>
        </w:rPr>
      </w:pPr>
      <w:r w:rsidRPr="00FE0DCB">
        <w:rPr>
          <w:rFonts w:ascii="Times New Roman" w:eastAsia="Verdana" w:hAnsi="Times New Roman" w:cs="Times New Roman"/>
          <w:b/>
          <w:bCs/>
        </w:rPr>
        <w:t>Conclusion and Recommendation</w:t>
      </w:r>
    </w:p>
    <w:p w14:paraId="6C9CD4E9" w14:textId="26310C3E"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This research found that the chemical compositions of the red clay soil utilized in this study varied in proportion, as determined through experimental characterization procedures.   Additionally, the outcomes of this research align with prior investigations that have similarly established the alkaline characteristics of the red clay soil specimen. It was observed that optimal adsorption occurred at various pH levels, with minimal variation in the amount of adsorbed material, with the exception of negligible differences in their decimal values. Moreover, a rise in the adsorbent's mass resulted in a reduction in its adsorption capacity (Q</w:t>
      </w:r>
      <w:r w:rsidRPr="00FE0DCB">
        <w:rPr>
          <w:rFonts w:ascii="Times New Roman" w:eastAsia="Verdana" w:hAnsi="Times New Roman" w:cs="Times New Roman"/>
          <w:vertAlign w:val="subscript"/>
        </w:rPr>
        <w:t>E</w:t>
      </w:r>
      <w:r w:rsidRPr="00FE0DCB">
        <w:rPr>
          <w:rFonts w:ascii="Times New Roman" w:eastAsia="Verdana" w:hAnsi="Times New Roman" w:cs="Times New Roman"/>
        </w:rPr>
        <w:t xml:space="preserve">), a finding consistent with those of prior research.  In addition, it was observed that the red color clay soil and MB dye, interact by a sort of adsorption known as chemisorption. The conclusion was dependent on the findings which showed that </w:t>
      </w:r>
      <w:r w:rsidRPr="00FE0DCB">
        <w:rPr>
          <w:rFonts w:ascii="Times New Roman" w:eastAsia="Verdana" w:hAnsi="Times New Roman" w:cs="Times New Roman"/>
        </w:rPr>
        <w:lastRenderedPageBreak/>
        <w:t>Pseudo-second-order kinetics model was considered best fitted in contrast to Pseudo-first-order kinetics model because of high value of the correlation coefficient. Also, it was discovered that the type of adsorption that occurred between the red color clay and MB dye was monolayer in nature with uniform activity distribution. This was as a result based on the experimental outcome, showing that the isotherm model which provided a better fit to the data was Langmuir compared to Freundlich isotherm model because of high value of the correlation coefficient. Based on the results obtained, it can be concluded that red color clay is effective in the removal of MB dye under optimal process conditions of pH 7 and contact time of 60 minutes.</w:t>
      </w:r>
    </w:p>
    <w:p w14:paraId="57A0E88D" w14:textId="77777777"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Furthermore, with this study findings, it can be recommended that further research needs to be carried out;</w:t>
      </w:r>
    </w:p>
    <w:p w14:paraId="53065771" w14:textId="77777777" w:rsidR="00073532" w:rsidRPr="00FE0DCB" w:rsidRDefault="00073532" w:rsidP="00395B6D">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 xml:space="preserve">To determine the effect of other factors such as surface area, presence of other contaminants, temperature on adsorption capacity of red color clay to adsorb MB dye and other dyes </w:t>
      </w:r>
    </w:p>
    <w:p w14:paraId="35556B4F" w14:textId="77777777" w:rsidR="00073532" w:rsidRPr="00FE0DCB" w:rsidRDefault="00073532" w:rsidP="00395B6D">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To determine the best process condition for adsorption of MB dye and other dyes by red color clay</w:t>
      </w:r>
    </w:p>
    <w:p w14:paraId="290286B3"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0F6421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251532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4EEE15E"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3B48BED2"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70CD58CD"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10D49A8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13B60307" w14:textId="77777777" w:rsidR="00073532" w:rsidRPr="00FE0DCB" w:rsidRDefault="00073532" w:rsidP="00073532">
      <w:pPr>
        <w:spacing w:before="100" w:beforeAutospacing="1" w:after="100" w:afterAutospacing="1" w:line="360" w:lineRule="auto"/>
        <w:rPr>
          <w:rFonts w:ascii="Times New Roman" w:eastAsia="Times New Roman" w:hAnsi="Times New Roman" w:cs="Times New Roman"/>
          <w:b/>
          <w:bCs/>
          <w:sz w:val="28"/>
        </w:rPr>
      </w:pPr>
    </w:p>
    <w:p w14:paraId="0D792299" w14:textId="77777777" w:rsidR="00395B6D" w:rsidRPr="00FE0DCB" w:rsidRDefault="00395B6D" w:rsidP="00073532">
      <w:pPr>
        <w:spacing w:before="100" w:beforeAutospacing="1" w:after="100" w:afterAutospacing="1" w:line="360" w:lineRule="auto"/>
        <w:rPr>
          <w:rFonts w:ascii="Times New Roman" w:eastAsia="Times New Roman" w:hAnsi="Times New Roman" w:cs="Times New Roman"/>
          <w:b/>
          <w:bCs/>
          <w:sz w:val="28"/>
        </w:rPr>
      </w:pPr>
    </w:p>
    <w:p w14:paraId="0DE1A893" w14:textId="74C022FC" w:rsidR="00395B6D" w:rsidRPr="00FE0DCB" w:rsidRDefault="00395B6D"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b/>
          <w:bCs/>
        </w:rPr>
      </w:pPr>
      <w:bookmarkStart w:id="227" w:name="_Hlk150259290"/>
      <w:r w:rsidRPr="00FE0DCB">
        <w:rPr>
          <w:rFonts w:ascii="Times New Roman" w:eastAsia="Times New Roman" w:hAnsi="Times New Roman" w:cs="Times New Roman"/>
          <w:b/>
          <w:bCs/>
        </w:rPr>
        <w:lastRenderedPageBreak/>
        <w:t>REFERENCES</w:t>
      </w:r>
    </w:p>
    <w:p w14:paraId="0FBA375B" w14:textId="465A364B" w:rsidR="00073532"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Adeyemo, A. A., Adeoye, I.O. &amp; Bello, O.S. (2017). Adsorption of dyes using different types of clay: a review. Appl Water Sci 7, 543–568. doi.org/10.1007/s13201-015-0322-y</w:t>
      </w:r>
    </w:p>
    <w:p w14:paraId="6199F531" w14:textId="145A08A7" w:rsidR="00A22B78" w:rsidRPr="00FE0DCB" w:rsidRDefault="00DD7808" w:rsidP="0007324A">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DD7808">
        <w:rPr>
          <w:rFonts w:ascii="Times New Roman" w:eastAsia="Times New Roman" w:hAnsi="Times New Roman" w:cs="Times New Roman"/>
        </w:rPr>
        <w:t>Adekunle, J</w:t>
      </w:r>
      <w:r w:rsidR="006F30F2">
        <w:rPr>
          <w:rFonts w:ascii="Times New Roman" w:eastAsia="Times New Roman" w:hAnsi="Times New Roman" w:cs="Times New Roman"/>
        </w:rPr>
        <w:t xml:space="preserve">. </w:t>
      </w:r>
      <w:r w:rsidR="00784E4F" w:rsidRPr="00784E4F">
        <w:rPr>
          <w:rFonts w:ascii="Times New Roman" w:eastAsia="Times New Roman" w:hAnsi="Times New Roman" w:cs="Times New Roman"/>
        </w:rPr>
        <w:t>Paul, I</w:t>
      </w:r>
      <w:r w:rsidR="006F30F2">
        <w:rPr>
          <w:rFonts w:ascii="Times New Roman" w:eastAsia="Times New Roman" w:hAnsi="Times New Roman" w:cs="Times New Roman"/>
        </w:rPr>
        <w:t xml:space="preserve"> Chibuike D. O., </w:t>
      </w:r>
      <w:proofErr w:type="spellStart"/>
      <w:r w:rsidR="00013702" w:rsidRPr="00013702">
        <w:rPr>
          <w:rFonts w:ascii="Times New Roman" w:eastAsia="Times New Roman" w:hAnsi="Times New Roman" w:cs="Times New Roman"/>
        </w:rPr>
        <w:t>Omorinola</w:t>
      </w:r>
      <w:proofErr w:type="spellEnd"/>
      <w:r w:rsidR="00D22C05">
        <w:rPr>
          <w:rFonts w:ascii="Times New Roman" w:eastAsia="Times New Roman" w:hAnsi="Times New Roman" w:cs="Times New Roman"/>
        </w:rPr>
        <w:t>,</w:t>
      </w:r>
      <w:r w:rsidR="00013702" w:rsidRPr="00013702">
        <w:rPr>
          <w:rFonts w:ascii="Times New Roman" w:eastAsia="Times New Roman" w:hAnsi="Times New Roman" w:cs="Times New Roman"/>
        </w:rPr>
        <w:t xml:space="preserve"> A</w:t>
      </w:r>
      <w:r w:rsidR="00D22C05">
        <w:rPr>
          <w:rFonts w:ascii="Times New Roman" w:eastAsia="Times New Roman" w:hAnsi="Times New Roman" w:cs="Times New Roman"/>
        </w:rPr>
        <w:t>.</w:t>
      </w:r>
      <w:r w:rsidR="00013702" w:rsidRPr="00013702">
        <w:rPr>
          <w:rFonts w:ascii="Times New Roman" w:eastAsia="Times New Roman" w:hAnsi="Times New Roman" w:cs="Times New Roman"/>
        </w:rPr>
        <w:t xml:space="preserve"> A</w:t>
      </w:r>
      <w:r w:rsidR="00842023">
        <w:rPr>
          <w:rFonts w:ascii="Times New Roman" w:eastAsia="Times New Roman" w:hAnsi="Times New Roman" w:cs="Times New Roman"/>
        </w:rPr>
        <w:t xml:space="preserve">. </w:t>
      </w:r>
      <w:r w:rsidR="00A22B78" w:rsidRPr="00A22B78">
        <w:rPr>
          <w:rFonts w:ascii="Times New Roman" w:eastAsia="Times New Roman" w:hAnsi="Times New Roman" w:cs="Times New Roman"/>
        </w:rPr>
        <w:t xml:space="preserve">Identification and Characterization of Multidrug Resistant Bacteria from the Gut and the External Surface of Cockroaches </w:t>
      </w:r>
      <w:proofErr w:type="gramStart"/>
      <w:r w:rsidR="00A22B78" w:rsidRPr="00A22B78">
        <w:rPr>
          <w:rFonts w:ascii="Times New Roman" w:eastAsia="Times New Roman" w:hAnsi="Times New Roman" w:cs="Times New Roman"/>
        </w:rPr>
        <w:t xml:space="preserve">( </w:t>
      </w:r>
      <w:proofErr w:type="spellStart"/>
      <w:r w:rsidR="00A22B78" w:rsidRPr="00A22B78">
        <w:rPr>
          <w:rFonts w:ascii="Times New Roman" w:eastAsia="Times New Roman" w:hAnsi="Times New Roman" w:cs="Times New Roman"/>
        </w:rPr>
        <w:t>Periplaneta</w:t>
      </w:r>
      <w:proofErr w:type="spellEnd"/>
      <w:proofErr w:type="gramEnd"/>
      <w:r w:rsidR="00A22B78" w:rsidRPr="00A22B78">
        <w:rPr>
          <w:rFonts w:ascii="Times New Roman" w:eastAsia="Times New Roman" w:hAnsi="Times New Roman" w:cs="Times New Roman"/>
        </w:rPr>
        <w:t xml:space="preserve"> </w:t>
      </w:r>
      <w:proofErr w:type="spellStart"/>
      <w:r w:rsidR="00A22B78" w:rsidRPr="00A22B78">
        <w:rPr>
          <w:rFonts w:ascii="Times New Roman" w:eastAsia="Times New Roman" w:hAnsi="Times New Roman" w:cs="Times New Roman"/>
        </w:rPr>
        <w:t>americana</w:t>
      </w:r>
      <w:proofErr w:type="spellEnd"/>
      <w:r w:rsidR="00A22B78" w:rsidRPr="00A22B78">
        <w:rPr>
          <w:rFonts w:ascii="Times New Roman" w:eastAsia="Times New Roman" w:hAnsi="Times New Roman" w:cs="Times New Roman"/>
        </w:rPr>
        <w:t xml:space="preserve">) Found within Homes in </w:t>
      </w:r>
      <w:proofErr w:type="spellStart"/>
      <w:r w:rsidR="00A22B78" w:rsidRPr="00A22B78">
        <w:rPr>
          <w:rFonts w:ascii="Times New Roman" w:eastAsia="Times New Roman" w:hAnsi="Times New Roman" w:cs="Times New Roman"/>
        </w:rPr>
        <w:t>Abakaliki</w:t>
      </w:r>
      <w:proofErr w:type="spellEnd"/>
      <w:r w:rsidR="00A22B78" w:rsidRPr="00A22B78">
        <w:rPr>
          <w:rFonts w:ascii="Times New Roman" w:eastAsia="Times New Roman" w:hAnsi="Times New Roman" w:cs="Times New Roman"/>
        </w:rPr>
        <w:t xml:space="preserve"> Metropolis</w:t>
      </w:r>
      <w:r w:rsidR="00D22C05">
        <w:rPr>
          <w:rFonts w:ascii="Times New Roman" w:eastAsia="Times New Roman" w:hAnsi="Times New Roman" w:cs="Times New Roman"/>
        </w:rPr>
        <w:t>.</w:t>
      </w:r>
      <w:r w:rsidR="0007324A">
        <w:rPr>
          <w:rFonts w:ascii="Times New Roman" w:eastAsia="Times New Roman" w:hAnsi="Times New Roman" w:cs="Times New Roman"/>
        </w:rPr>
        <w:t xml:space="preserve"> </w:t>
      </w:r>
      <w:r w:rsidR="0007324A" w:rsidRPr="0007324A">
        <w:rPr>
          <w:rFonts w:ascii="Times New Roman" w:eastAsia="Times New Roman" w:hAnsi="Times New Roman" w:cs="Times New Roman"/>
        </w:rPr>
        <w:t>DOI: https://doi.org/10.9734/ajmpcp/2025/v8i2326</w:t>
      </w:r>
    </w:p>
    <w:p w14:paraId="75EA51FB" w14:textId="02CF15C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Akar</w:t>
      </w:r>
      <w:proofErr w:type="spellEnd"/>
      <w:r w:rsidRPr="00FE0DCB">
        <w:rPr>
          <w:rFonts w:ascii="Times New Roman" w:eastAsia="Times New Roman" w:hAnsi="Times New Roman" w:cs="Times New Roman"/>
        </w:rPr>
        <w:t xml:space="preserve"> E, </w:t>
      </w:r>
      <w:proofErr w:type="spellStart"/>
      <w:r w:rsidRPr="00FE0DCB">
        <w:rPr>
          <w:rFonts w:ascii="Times New Roman" w:eastAsia="Times New Roman" w:hAnsi="Times New Roman" w:cs="Times New Roman"/>
        </w:rPr>
        <w:t>Altinisik</w:t>
      </w:r>
      <w:proofErr w:type="spellEnd"/>
      <w:r w:rsidRPr="00FE0DCB">
        <w:rPr>
          <w:rFonts w:ascii="Times New Roman" w:eastAsia="Times New Roman" w:hAnsi="Times New Roman" w:cs="Times New Roman"/>
        </w:rPr>
        <w:t xml:space="preserve"> A, Seki Y (2013) Using of activated carbon produced from spent tea leaves for the removal of malachite green from aqueous solution. </w:t>
      </w:r>
      <w:proofErr w:type="spellStart"/>
      <w:r w:rsidRPr="00FE0DCB">
        <w:rPr>
          <w:rFonts w:ascii="Times New Roman" w:eastAsia="Times New Roman" w:hAnsi="Times New Roman" w:cs="Times New Roman"/>
        </w:rPr>
        <w:t>Ecol</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Eng</w:t>
      </w:r>
      <w:proofErr w:type="spellEnd"/>
      <w:r w:rsidRPr="00FE0DCB">
        <w:rPr>
          <w:rFonts w:ascii="Times New Roman" w:eastAsia="Times New Roman" w:hAnsi="Times New Roman" w:cs="Times New Roman"/>
        </w:rPr>
        <w:t xml:space="preserve"> 52:19–27. Doi: 10.1016/j. ecoleng.2012.12.03</w:t>
      </w:r>
    </w:p>
    <w:p w14:paraId="395805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Allamandola</w:t>
      </w:r>
      <w:proofErr w:type="spellEnd"/>
      <w:r w:rsidRPr="00FE0DCB">
        <w:rPr>
          <w:rFonts w:ascii="Times New Roman" w:eastAsia="Times New Roman" w:hAnsi="Times New Roman" w:cs="Times New Roman"/>
        </w:rPr>
        <w:t>, Louis; et al. (2011-04-13). "Cosmic Distribution of Chemical Complexity". NASA.             Archived from the original on 2014-02</w:t>
      </w:r>
    </w:p>
    <w:p w14:paraId="00DE31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Almeida, C. A. P., </w:t>
      </w:r>
      <w:proofErr w:type="spellStart"/>
      <w:r w:rsidRPr="00FE0DCB">
        <w:rPr>
          <w:rFonts w:ascii="Times New Roman" w:eastAsia="Times New Roman" w:hAnsi="Times New Roman" w:cs="Times New Roman"/>
        </w:rPr>
        <w:t>Debacher</w:t>
      </w:r>
      <w:proofErr w:type="spellEnd"/>
      <w:r w:rsidRPr="00FE0DCB">
        <w:rPr>
          <w:rFonts w:ascii="Times New Roman" w:eastAsia="Times New Roman" w:hAnsi="Times New Roman" w:cs="Times New Roman"/>
        </w:rPr>
        <w:t xml:space="preserve">, N. A., Downs, A. J., Cottet, L., &amp; Mello, C. A. D. (2009). Removal of methylene blue (MB) from colored effluents by adsorption on montmorillonite clay. Journal of Colloid and Interface Science, 332(1), 46–53.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.2008.12.012 10.1016/j.jcis.2008.12.012</w:t>
      </w:r>
    </w:p>
    <w:p w14:paraId="6728BC7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Anirudhan, T. S., &amp; Ramachandran, M. (2015). Adsorptive removal of basic dyes from aqueous solutions by surfactant modified bentonite clay (organoclay): Kinetic and competitive adsorption isotherm. Process Safety and Environmental Protection, 95, 215–225. </w:t>
      </w:r>
      <w:proofErr w:type="gramStart"/>
      <w:r w:rsidRPr="00FE0DCB">
        <w:rPr>
          <w:rFonts w:ascii="Times New Roman" w:eastAsia="Times New Roman" w:hAnsi="Times New Roman" w:cs="Times New Roman"/>
        </w:rPr>
        <w:t>doi:10.1016/j.psep</w:t>
      </w:r>
      <w:proofErr w:type="gramEnd"/>
      <w:r w:rsidRPr="00FE0DCB">
        <w:rPr>
          <w:rFonts w:ascii="Times New Roman" w:eastAsia="Times New Roman" w:hAnsi="Times New Roman" w:cs="Times New Roman"/>
        </w:rPr>
        <w:t>.2015.03.003</w:t>
      </w:r>
    </w:p>
    <w:p w14:paraId="20D40A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Anirudhan, T. S., &amp; Suchithra, P. S. (2009). Adsorption characteristics of humic acid-immobilized amine modified polyacrylamide/bentonite composite for cationic </w:t>
      </w:r>
      <w:proofErr w:type="spellStart"/>
      <w:r w:rsidRPr="00FE0DCB">
        <w:rPr>
          <w:rFonts w:ascii="Times New Roman" w:eastAsia="Times New Roman" w:hAnsi="Times New Roman" w:cs="Times New Roman"/>
        </w:rPr>
        <w:t>dyesin</w:t>
      </w:r>
      <w:proofErr w:type="spellEnd"/>
      <w:r w:rsidRPr="00FE0DCB">
        <w:rPr>
          <w:rFonts w:ascii="Times New Roman" w:eastAsia="Times New Roman" w:hAnsi="Times New Roman" w:cs="Times New Roman"/>
        </w:rPr>
        <w:t xml:space="preserve"> aqueous solutions. Journal of Environmental Sciences, 21(7), 884–891. Doi: 10.1016/s1001-0742(08)62358-x </w:t>
      </w:r>
    </w:p>
    <w:p w14:paraId="01ADA9B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Auta, M., &amp; Hameed, B. H. (2012). Modified mesoporous clay adsorbent for adsorption isotherm and kinetics of methylene blue (MB). Chemical Engineering Journal, 198-199, 219–227.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.2012.05.075 </w:t>
      </w:r>
    </w:p>
    <w:p w14:paraId="7E559B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Avlonitis</w:t>
      </w:r>
      <w:proofErr w:type="spellEnd"/>
      <w:r w:rsidRPr="00FE0DCB">
        <w:rPr>
          <w:rFonts w:ascii="Times New Roman" w:eastAsia="Times New Roman" w:hAnsi="Times New Roman" w:cs="Times New Roman"/>
        </w:rPr>
        <w:t xml:space="preserve">, S. A., Poulios, I., Sotiriou, D., Pappas, M., &amp; </w:t>
      </w:r>
      <w:proofErr w:type="spellStart"/>
      <w:r w:rsidRPr="00FE0DCB">
        <w:rPr>
          <w:rFonts w:ascii="Times New Roman" w:eastAsia="Times New Roman" w:hAnsi="Times New Roman" w:cs="Times New Roman"/>
        </w:rPr>
        <w:t>Moutesidis</w:t>
      </w:r>
      <w:proofErr w:type="spellEnd"/>
      <w:r w:rsidRPr="00FE0DCB">
        <w:rPr>
          <w:rFonts w:ascii="Times New Roman" w:eastAsia="Times New Roman" w:hAnsi="Times New Roman" w:cs="Times New Roman"/>
        </w:rPr>
        <w:t>, K. (2008). Simulated cotton dye effluents treatment and reuse by nanofiltration. Desalination, 221(1–3), 259-267.</w:t>
      </w:r>
    </w:p>
    <w:p w14:paraId="35457B7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Bentahar, Y., </w:t>
      </w:r>
      <w:proofErr w:type="spellStart"/>
      <w:r w:rsidRPr="00FE0DCB">
        <w:rPr>
          <w:rFonts w:ascii="Times New Roman" w:eastAsia="Times New Roman" w:hAnsi="Times New Roman" w:cs="Times New Roman"/>
        </w:rPr>
        <w:t>Draoui</w:t>
      </w:r>
      <w:proofErr w:type="spellEnd"/>
      <w:r w:rsidRPr="00FE0DCB">
        <w:rPr>
          <w:rFonts w:ascii="Times New Roman" w:eastAsia="Times New Roman" w:hAnsi="Times New Roman" w:cs="Times New Roman"/>
        </w:rPr>
        <w:t xml:space="preserve">, K., Hurel, C., </w:t>
      </w:r>
      <w:proofErr w:type="spellStart"/>
      <w:r w:rsidRPr="00FE0DCB">
        <w:rPr>
          <w:rFonts w:ascii="Times New Roman" w:eastAsia="Times New Roman" w:hAnsi="Times New Roman" w:cs="Times New Roman"/>
        </w:rPr>
        <w:t>Ajouyed</w:t>
      </w:r>
      <w:proofErr w:type="spellEnd"/>
      <w:r w:rsidRPr="00FE0DCB">
        <w:rPr>
          <w:rFonts w:ascii="Times New Roman" w:eastAsia="Times New Roman" w:hAnsi="Times New Roman" w:cs="Times New Roman"/>
        </w:rPr>
        <w:t xml:space="preserve">, O., </w:t>
      </w:r>
      <w:proofErr w:type="spellStart"/>
      <w:r w:rsidRPr="00FE0DCB">
        <w:rPr>
          <w:rFonts w:ascii="Times New Roman" w:eastAsia="Times New Roman" w:hAnsi="Times New Roman" w:cs="Times New Roman"/>
        </w:rPr>
        <w:t>Khairoun</w:t>
      </w:r>
      <w:proofErr w:type="spellEnd"/>
      <w:r w:rsidRPr="00FE0DCB">
        <w:rPr>
          <w:rFonts w:ascii="Times New Roman" w:eastAsia="Times New Roman" w:hAnsi="Times New Roman" w:cs="Times New Roman"/>
        </w:rPr>
        <w:t xml:space="preserve">, S., &amp; </w:t>
      </w:r>
      <w:proofErr w:type="spellStart"/>
      <w:r w:rsidRPr="00FE0DCB">
        <w:rPr>
          <w:rFonts w:ascii="Times New Roman" w:eastAsia="Times New Roman" w:hAnsi="Times New Roman" w:cs="Times New Roman"/>
        </w:rPr>
        <w:t>Marmier</w:t>
      </w:r>
      <w:proofErr w:type="spellEnd"/>
      <w:r w:rsidRPr="00FE0DCB">
        <w:rPr>
          <w:rFonts w:ascii="Times New Roman" w:eastAsia="Times New Roman" w:hAnsi="Times New Roman" w:cs="Times New Roman"/>
        </w:rPr>
        <w:t xml:space="preserve">, N. (2019). Physico-chemical characterization and valorization of swelling and non-swelling Moroccan clays in basic dye removal from aqueous solutions. Journal of African Earth Sciences, 154, 80–88. </w:t>
      </w:r>
      <w:proofErr w:type="gramStart"/>
      <w:r w:rsidRPr="00FE0DCB">
        <w:rPr>
          <w:rFonts w:ascii="Times New Roman" w:eastAsia="Times New Roman" w:hAnsi="Times New Roman" w:cs="Times New Roman"/>
        </w:rPr>
        <w:t>doi:10.1016/j.jafrearsci</w:t>
      </w:r>
      <w:proofErr w:type="gramEnd"/>
      <w:r w:rsidRPr="00FE0DCB">
        <w:rPr>
          <w:rFonts w:ascii="Times New Roman" w:eastAsia="Times New Roman" w:hAnsi="Times New Roman" w:cs="Times New Roman"/>
        </w:rPr>
        <w:t xml:space="preserve">.2019.03.017 </w:t>
      </w:r>
    </w:p>
    <w:p w14:paraId="459E0C6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Bhatnagar, A., Vilar, V. J. P., Botelho, C. M. S., &amp; Boaventura, R. A. R. (2011). A review of the use of red mud as adsorbent for the removal of toxic pollutants from water and wastewater. Environmental Technology, 32(3), 231–249. doi:10.1080/09593330.2011.560615</w:t>
      </w:r>
    </w:p>
    <w:p w14:paraId="5B4E772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Cahn, M. D., Bouldin, D. R., &amp; Cravo, M. S. (1993). Amelioration of subsoil acidity in an </w:t>
      </w:r>
      <w:proofErr w:type="spellStart"/>
      <w:r w:rsidRPr="00FE0DCB">
        <w:rPr>
          <w:rFonts w:ascii="Times New Roman" w:eastAsia="Times New Roman" w:hAnsi="Times New Roman" w:cs="Times New Roman"/>
        </w:rPr>
        <w:t>Oxisol</w:t>
      </w:r>
      <w:proofErr w:type="spellEnd"/>
      <w:r w:rsidRPr="00FE0DCB">
        <w:rPr>
          <w:rFonts w:ascii="Times New Roman" w:eastAsia="Times New Roman" w:hAnsi="Times New Roman" w:cs="Times New Roman"/>
        </w:rPr>
        <w:t xml:space="preserve"> of the humid tropics. Biology and fertility of soils, 15, 153-159.</w:t>
      </w:r>
    </w:p>
    <w:p w14:paraId="6C3ED62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Çetintaş, R., &amp; Soyer-Uzun, S. (2018). Relations between structural characteristics and compressive strength in volcanic ash based one–part geopolymer systems. Journal of Building Engineering, 20, 130–136. </w:t>
      </w:r>
      <w:proofErr w:type="gramStart"/>
      <w:r w:rsidRPr="00FE0DCB">
        <w:rPr>
          <w:rFonts w:ascii="Times New Roman" w:eastAsia="Times New Roman" w:hAnsi="Times New Roman" w:cs="Times New Roman"/>
        </w:rPr>
        <w:t>doi:10.1016/j.jobe</w:t>
      </w:r>
      <w:proofErr w:type="gramEnd"/>
      <w:r w:rsidRPr="00FE0DCB">
        <w:rPr>
          <w:rFonts w:ascii="Times New Roman" w:eastAsia="Times New Roman" w:hAnsi="Times New Roman" w:cs="Times New Roman"/>
        </w:rPr>
        <w:t xml:space="preserve">.2018.07.011 </w:t>
      </w:r>
    </w:p>
    <w:p w14:paraId="41ABA4F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Chandana Jayasinghe, Ahmed Imtiaj, Geon Woo Lee, Kyung </w:t>
      </w:r>
      <w:proofErr w:type="spellStart"/>
      <w:r w:rsidRPr="00FE0DCB">
        <w:rPr>
          <w:rFonts w:ascii="Times New Roman" w:eastAsia="Times New Roman" w:hAnsi="Times New Roman" w:cs="Times New Roman"/>
        </w:rPr>
        <w:t>Hoan</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Im</w:t>
      </w:r>
      <w:proofErr w:type="spellEnd"/>
      <w:r w:rsidRPr="00FE0DCB">
        <w:rPr>
          <w:rFonts w:ascii="Times New Roman" w:eastAsia="Times New Roman" w:hAnsi="Times New Roman" w:cs="Times New Roman"/>
        </w:rPr>
        <w:t xml:space="preserve">, Hyun </w:t>
      </w:r>
      <w:proofErr w:type="spellStart"/>
      <w:r w:rsidRPr="00FE0DCB">
        <w:rPr>
          <w:rFonts w:ascii="Times New Roman" w:eastAsia="Times New Roman" w:hAnsi="Times New Roman" w:cs="Times New Roman"/>
        </w:rPr>
        <w:t>Hur</w:t>
      </w:r>
      <w:proofErr w:type="spellEnd"/>
      <w:r w:rsidRPr="00FE0DCB">
        <w:rPr>
          <w:rFonts w:ascii="Times New Roman" w:eastAsia="Times New Roman" w:hAnsi="Times New Roman" w:cs="Times New Roman"/>
        </w:rPr>
        <w:t xml:space="preserve">, Min </w:t>
      </w:r>
      <w:proofErr w:type="spellStart"/>
      <w:r w:rsidRPr="00FE0DCB">
        <w:rPr>
          <w:rFonts w:ascii="Times New Roman" w:eastAsia="Times New Roman" w:hAnsi="Times New Roman" w:cs="Times New Roman"/>
        </w:rPr>
        <w:t>Woong</w:t>
      </w:r>
      <w:proofErr w:type="spellEnd"/>
      <w:r w:rsidRPr="00FE0DCB">
        <w:rPr>
          <w:rFonts w:ascii="Times New Roman" w:eastAsia="Times New Roman" w:hAnsi="Times New Roman" w:cs="Times New Roman"/>
        </w:rPr>
        <w:t xml:space="preserve"> Lee, </w:t>
      </w:r>
      <w:proofErr w:type="spellStart"/>
      <w:r w:rsidRPr="00FE0DCB">
        <w:rPr>
          <w:rFonts w:ascii="Times New Roman" w:eastAsia="Times New Roman" w:hAnsi="Times New Roman" w:cs="Times New Roman"/>
        </w:rPr>
        <w:t>Hee</w:t>
      </w:r>
      <w:proofErr w:type="spellEnd"/>
      <w:r w:rsidRPr="00FE0DCB">
        <w:rPr>
          <w:rFonts w:ascii="Times New Roman" w:eastAsia="Times New Roman" w:hAnsi="Times New Roman" w:cs="Times New Roman"/>
        </w:rPr>
        <w:t xml:space="preserve">-Sun Yang, and Tae-Soo Lee, Degradation of Three Aromatic Dyes by White Rot Fungi and the Production of Ligninolytic Enzymes, national library of medicine, </w:t>
      </w:r>
      <w:proofErr w:type="spellStart"/>
      <w:r w:rsidRPr="00FE0DCB">
        <w:rPr>
          <w:rFonts w:ascii="Times New Roman" w:eastAsia="Times New Roman" w:hAnsi="Times New Roman" w:cs="Times New Roman"/>
        </w:rPr>
        <w:t>Mycobiology</w:t>
      </w:r>
      <w:proofErr w:type="spellEnd"/>
      <w:r w:rsidRPr="00FE0DCB">
        <w:rPr>
          <w:rFonts w:ascii="Times New Roman" w:eastAsia="Times New Roman" w:hAnsi="Times New Roman" w:cs="Times New Roman"/>
        </w:rPr>
        <w:t xml:space="preserve">. 2008 Jun; 36(2): 114–120.Published online 2008 Jun 30. </w:t>
      </w:r>
      <w:proofErr w:type="spellStart"/>
      <w:r w:rsidRPr="00FE0DCB">
        <w:rPr>
          <w:rFonts w:ascii="Times New Roman" w:eastAsia="Times New Roman" w:hAnsi="Times New Roman" w:cs="Times New Roman"/>
        </w:rPr>
        <w:t>doi</w:t>
      </w:r>
      <w:proofErr w:type="spellEnd"/>
      <w:r w:rsidRPr="00FE0DCB">
        <w:rPr>
          <w:rFonts w:ascii="Times New Roman" w:eastAsia="Times New Roman" w:hAnsi="Times New Roman" w:cs="Times New Roman"/>
        </w:rPr>
        <w:t>: 10.4489/MYCO.2008.36.2.114</w:t>
      </w:r>
    </w:p>
    <w:p w14:paraId="70E3595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 H., Zhong A., Wu J., Zhao J., and Yan H. (2012). Adsorption Behaviors and Mechanisms of Methyl Orange on Heat-Treated </w:t>
      </w:r>
      <w:proofErr w:type="spellStart"/>
      <w:r w:rsidRPr="00FE0DCB">
        <w:rPr>
          <w:rFonts w:ascii="Times New Roman" w:eastAsia="Times New Roman" w:hAnsi="Times New Roman" w:cs="Times New Roman"/>
        </w:rPr>
        <w:t>Palygorskite</w:t>
      </w:r>
      <w:proofErr w:type="spellEnd"/>
      <w:r w:rsidRPr="00FE0DCB">
        <w:rPr>
          <w:rFonts w:ascii="Times New Roman" w:eastAsia="Times New Roman" w:hAnsi="Times New Roman" w:cs="Times New Roman"/>
        </w:rPr>
        <w:t xml:space="preserve"> Clays. Industrial &amp; Engineering Chemistry Research, 51(43), 14026-14036</w:t>
      </w:r>
    </w:p>
    <w:p w14:paraId="5CE7236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Chen, H., Zhao, J., Zhong, A., &amp; Jin, Y. (2011). Removal capacity and adsorption mechanism of heat-treated </w:t>
      </w:r>
      <w:proofErr w:type="spellStart"/>
      <w:r w:rsidRPr="00FE0DCB">
        <w:rPr>
          <w:rFonts w:ascii="Times New Roman" w:eastAsia="Times New Roman" w:hAnsi="Times New Roman" w:cs="Times New Roman"/>
        </w:rPr>
        <w:t>palygorskite</w:t>
      </w:r>
      <w:proofErr w:type="spellEnd"/>
      <w:r w:rsidRPr="00FE0DCB">
        <w:rPr>
          <w:rFonts w:ascii="Times New Roman" w:eastAsia="Times New Roman" w:hAnsi="Times New Roman" w:cs="Times New Roman"/>
        </w:rPr>
        <w:t xml:space="preserve"> clay for methylene blue. Chemical Engineering Journal, 174(1), 143–150.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.2011.08.062 </w:t>
      </w:r>
    </w:p>
    <w:p w14:paraId="2A45839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Cheng, H. H., Koskinen, W. C., &amp; Harper, S. S. (1990). The Retention Process: Mechanisms. SSSA Book Series. doi:10.2136/sssabookser2.c3 </w:t>
      </w:r>
    </w:p>
    <w:p w14:paraId="47D58CD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Chong, S. N., &amp; </w:t>
      </w:r>
      <w:proofErr w:type="spellStart"/>
      <w:r w:rsidRPr="00FE0DCB">
        <w:rPr>
          <w:rFonts w:ascii="Times New Roman" w:eastAsia="Times New Roman" w:hAnsi="Times New Roman" w:cs="Times New Roman"/>
        </w:rPr>
        <w:t>Hadibarata</w:t>
      </w:r>
      <w:proofErr w:type="spellEnd"/>
      <w:r w:rsidRPr="00FE0DCB">
        <w:rPr>
          <w:rFonts w:ascii="Times New Roman" w:eastAsia="Times New Roman" w:hAnsi="Times New Roman" w:cs="Times New Roman"/>
        </w:rPr>
        <w:t xml:space="preserve">, T. (2021). Adsorption of phenol red and </w:t>
      </w:r>
      <w:proofErr w:type="spellStart"/>
      <w:r w:rsidRPr="00FE0DCB">
        <w:rPr>
          <w:rFonts w:ascii="Times New Roman" w:eastAsia="Times New Roman" w:hAnsi="Times New Roman" w:cs="Times New Roman"/>
        </w:rPr>
        <w:t>remazol</w:t>
      </w:r>
      <w:proofErr w:type="spellEnd"/>
      <w:r w:rsidRPr="00FE0DCB">
        <w:rPr>
          <w:rFonts w:ascii="Times New Roman" w:eastAsia="Times New Roman" w:hAnsi="Times New Roman" w:cs="Times New Roman"/>
        </w:rPr>
        <w:t xml:space="preserve"> brilliant blue R by coconut shells (Cocos nucifera) and ambarella peels (</w:t>
      </w:r>
      <w:proofErr w:type="spellStart"/>
      <w:r w:rsidRPr="00FE0DCB">
        <w:rPr>
          <w:rFonts w:ascii="Times New Roman" w:eastAsia="Times New Roman" w:hAnsi="Times New Roman" w:cs="Times New Roman"/>
        </w:rPr>
        <w:t>Spondias</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dulcis</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Biointerface</w:t>
      </w:r>
      <w:proofErr w:type="spellEnd"/>
      <w:r w:rsidRPr="00FE0DCB">
        <w:rPr>
          <w:rFonts w:ascii="Times New Roman" w:eastAsia="Times New Roman" w:hAnsi="Times New Roman" w:cs="Times New Roman"/>
        </w:rPr>
        <w:t xml:space="preserve"> Res. Appl. Chem, 11, 8564-8576.</w:t>
      </w:r>
    </w:p>
    <w:p w14:paraId="668930A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Dawodu, F. A., &amp; </w:t>
      </w:r>
      <w:proofErr w:type="spellStart"/>
      <w:r w:rsidRPr="00FE0DCB">
        <w:rPr>
          <w:rFonts w:ascii="Times New Roman" w:eastAsia="Times New Roman" w:hAnsi="Times New Roman" w:cs="Times New Roman"/>
        </w:rPr>
        <w:t>Akpomie</w:t>
      </w:r>
      <w:proofErr w:type="spellEnd"/>
      <w:r w:rsidRPr="00FE0DCB">
        <w:rPr>
          <w:rFonts w:ascii="Times New Roman" w:eastAsia="Times New Roman" w:hAnsi="Times New Roman" w:cs="Times New Roman"/>
        </w:rPr>
        <w:t xml:space="preserve">, K. G. (2014). Simultaneous adsorption of </w:t>
      </w:r>
      <w:proofErr w:type="gramStart"/>
      <w:r w:rsidRPr="00FE0DCB">
        <w:rPr>
          <w:rFonts w:ascii="Times New Roman" w:eastAsia="Times New Roman" w:hAnsi="Times New Roman" w:cs="Times New Roman"/>
        </w:rPr>
        <w:t>Ni(</w:t>
      </w:r>
      <w:proofErr w:type="gramEnd"/>
      <w:r w:rsidRPr="00FE0DCB">
        <w:rPr>
          <w:rFonts w:ascii="Times New Roman" w:eastAsia="Times New Roman" w:hAnsi="Times New Roman" w:cs="Times New Roman"/>
        </w:rPr>
        <w:t xml:space="preserve">II) and Mn(II) ions from aqueous solution unto a Nigerian kaolinite clay. Journal of Materials Research and Technology, 3(2), 129–141. </w:t>
      </w:r>
      <w:proofErr w:type="gramStart"/>
      <w:r w:rsidRPr="00FE0DCB">
        <w:rPr>
          <w:rFonts w:ascii="Times New Roman" w:eastAsia="Times New Roman" w:hAnsi="Times New Roman" w:cs="Times New Roman"/>
        </w:rPr>
        <w:t>doi:10.1016/j.jmrt</w:t>
      </w:r>
      <w:proofErr w:type="gramEnd"/>
      <w:r w:rsidRPr="00FE0DCB">
        <w:rPr>
          <w:rFonts w:ascii="Times New Roman" w:eastAsia="Times New Roman" w:hAnsi="Times New Roman" w:cs="Times New Roman"/>
        </w:rPr>
        <w:t xml:space="preserve">.2014.03.002 </w:t>
      </w:r>
    </w:p>
    <w:p w14:paraId="381B7B7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De Castro, M. L. F. A., Abad, M. L. B., Sumalinog, D. A. G., Abarca, R. R. M., Paoprasert, P., &amp; de Luna, M. D. G. (2018). Adsorption of Methylene Blue dye and </w:t>
      </w:r>
      <w:proofErr w:type="gramStart"/>
      <w:r w:rsidRPr="00FE0DCB">
        <w:rPr>
          <w:rFonts w:ascii="Times New Roman" w:eastAsia="Times New Roman" w:hAnsi="Times New Roman" w:cs="Times New Roman"/>
        </w:rPr>
        <w:t>Cu(</w:t>
      </w:r>
      <w:proofErr w:type="gramEnd"/>
      <w:r w:rsidRPr="00FE0DCB">
        <w:rPr>
          <w:rFonts w:ascii="Times New Roman" w:eastAsia="Times New Roman" w:hAnsi="Times New Roman" w:cs="Times New Roman"/>
        </w:rPr>
        <w:t xml:space="preserve">II) ions on EDTA-modified bentonite: Isotherm, kinetic and thermodynamic studies. Sustainable Environment Research. </w:t>
      </w:r>
      <w:proofErr w:type="gramStart"/>
      <w:r w:rsidRPr="00FE0DCB">
        <w:rPr>
          <w:rFonts w:ascii="Times New Roman" w:eastAsia="Times New Roman" w:hAnsi="Times New Roman" w:cs="Times New Roman"/>
        </w:rPr>
        <w:t>doi:10.1016/j.serj</w:t>
      </w:r>
      <w:proofErr w:type="gramEnd"/>
      <w:r w:rsidRPr="00FE0DCB">
        <w:rPr>
          <w:rFonts w:ascii="Times New Roman" w:eastAsia="Times New Roman" w:hAnsi="Times New Roman" w:cs="Times New Roman"/>
        </w:rPr>
        <w:t>.2018.04.001</w:t>
      </w:r>
    </w:p>
    <w:p w14:paraId="115D2C9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Dixon, J. B., Schulze, D. G., Bigham, J. M., Fitzpatrick, R. W., &amp; Schulze, D. G. (2002). Iron Oxides. SSSA Book Series. doi:10.2136/sssabookser7.c10</w:t>
      </w:r>
    </w:p>
    <w:p w14:paraId="3E83C5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Doğan, M., Özdemir, Y., &amp; Alkan, M. (2007). Adsorption kinetics and mechanism of cationic methyl violet and methylene blue dyes onto sepiolite. Dyes and Pigments, 75(3), 701–713.  </w:t>
      </w:r>
      <w:proofErr w:type="gramStart"/>
      <w:r w:rsidRPr="00FE0DCB">
        <w:rPr>
          <w:rFonts w:ascii="Times New Roman" w:eastAsia="Times New Roman" w:hAnsi="Times New Roman" w:cs="Times New Roman"/>
        </w:rPr>
        <w:t>doi:10.1016/j.dyepig</w:t>
      </w:r>
      <w:proofErr w:type="gramEnd"/>
      <w:r w:rsidRPr="00FE0DCB">
        <w:rPr>
          <w:rFonts w:ascii="Times New Roman" w:eastAsia="Times New Roman" w:hAnsi="Times New Roman" w:cs="Times New Roman"/>
        </w:rPr>
        <w:t xml:space="preserve">.2006.07.023 </w:t>
      </w:r>
    </w:p>
    <w:p w14:paraId="6047ADA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Dollimore, D., Spooner, P., &amp; Turner, A. (1976). The bet method of analysis of gas adsorption data and its relevance to the calculation of surface areas. Surface Technology, 4(2), 121–160. doi:10.1016/0376-4583(76)90024-8 </w:t>
      </w:r>
    </w:p>
    <w:p w14:paraId="38DE90C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Dotto, G. L., &amp; McKay, G. (2020). Current scenario and challenges in adsorption for water treatment. Journal of Environmental Chemical Engineering, 103988.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 xml:space="preserve">.2020.103988 </w:t>
      </w:r>
    </w:p>
    <w:p w14:paraId="4D64EE5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Dubinin, M. M., &amp; </w:t>
      </w:r>
      <w:proofErr w:type="spellStart"/>
      <w:r w:rsidRPr="00FE0DCB">
        <w:rPr>
          <w:rFonts w:ascii="Times New Roman" w:eastAsia="Times New Roman" w:hAnsi="Times New Roman" w:cs="Times New Roman"/>
        </w:rPr>
        <w:t>Radushkevich</w:t>
      </w:r>
      <w:proofErr w:type="spellEnd"/>
      <w:r w:rsidRPr="00FE0DCB">
        <w:rPr>
          <w:rFonts w:ascii="Times New Roman" w:eastAsia="Times New Roman" w:hAnsi="Times New Roman" w:cs="Times New Roman"/>
        </w:rPr>
        <w:t>, L. V. (1947). Equation of the characteristic curve of activated charcoal. Proceedings of the Academy of Sciences of the USSR, 55(4), 327-329.</w:t>
      </w:r>
    </w:p>
    <w:p w14:paraId="34188D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lang w:val="nl-NL"/>
        </w:rPr>
      </w:pPr>
      <w:r w:rsidRPr="00FE0DCB">
        <w:rPr>
          <w:rFonts w:ascii="Times New Roman" w:eastAsia="Times New Roman" w:hAnsi="Times New Roman" w:cs="Times New Roman"/>
        </w:rPr>
        <w:t xml:space="preserve">Elgamouz, A., Tijani, N., Shehadi, I., Hasan, K., &amp; Al-Farooq Kawam, M. (2019). Characterization of the firing </w:t>
      </w:r>
      <w:proofErr w:type="spellStart"/>
      <w:r w:rsidRPr="00FE0DCB">
        <w:rPr>
          <w:rFonts w:ascii="Times New Roman" w:eastAsia="Times New Roman" w:hAnsi="Times New Roman" w:cs="Times New Roman"/>
        </w:rPr>
        <w:t>behaviour</w:t>
      </w:r>
      <w:proofErr w:type="spellEnd"/>
      <w:r w:rsidRPr="00FE0DCB">
        <w:rPr>
          <w:rFonts w:ascii="Times New Roman" w:eastAsia="Times New Roman" w:hAnsi="Times New Roman" w:cs="Times New Roman"/>
        </w:rPr>
        <w:t xml:space="preserve"> of an </w:t>
      </w:r>
      <w:proofErr w:type="spellStart"/>
      <w:r w:rsidRPr="00FE0DCB">
        <w:rPr>
          <w:rFonts w:ascii="Times New Roman" w:eastAsia="Times New Roman" w:hAnsi="Times New Roman" w:cs="Times New Roman"/>
        </w:rPr>
        <w:t>illite</w:t>
      </w:r>
      <w:proofErr w:type="spellEnd"/>
      <w:r w:rsidRPr="00FE0DCB">
        <w:rPr>
          <w:rFonts w:ascii="Times New Roman" w:eastAsia="Times New Roman" w:hAnsi="Times New Roman" w:cs="Times New Roman"/>
        </w:rPr>
        <w:t xml:space="preserve">-kaolinite clay mineral and its potential use as membrane support. </w:t>
      </w:r>
      <w:r w:rsidRPr="00FE0DCB">
        <w:rPr>
          <w:rFonts w:ascii="Times New Roman" w:eastAsia="Times New Roman" w:hAnsi="Times New Roman" w:cs="Times New Roman"/>
          <w:lang w:val="nl-NL"/>
        </w:rPr>
        <w:t xml:space="preserve">Heliyon, 5(8), e02281. doi:10.1016/j.heliyon.2019.e02281 </w:t>
      </w:r>
    </w:p>
    <w:p w14:paraId="2D0581B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lang w:val="nl-NL"/>
        </w:rPr>
        <w:t xml:space="preserve">Fan, S., Wang, Y., Wang, Z., Tang, J., Tang, J., &amp; Li, X. (2017). </w:t>
      </w:r>
      <w:r w:rsidRPr="00FE0DCB">
        <w:rPr>
          <w:rFonts w:ascii="Times New Roman" w:eastAsia="Times New Roman" w:hAnsi="Times New Roman" w:cs="Times New Roman"/>
        </w:rPr>
        <w:t xml:space="preserve">Removal of methylene blue from aqueous solution by sewage sludge-derived biochar: Adsorption kinetics, equilibrium, thermodynamics and mechanism. Journal of Environmental Chemical Engineering, 5(1), 601–611.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.2016.12.019</w:t>
      </w:r>
    </w:p>
    <w:p w14:paraId="474D12F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Forgacs, E., </w:t>
      </w:r>
      <w:proofErr w:type="spellStart"/>
      <w:r w:rsidRPr="00FE0DCB">
        <w:rPr>
          <w:rFonts w:ascii="Times New Roman" w:eastAsia="Times New Roman" w:hAnsi="Times New Roman" w:cs="Times New Roman"/>
        </w:rPr>
        <w:t>Cserháti</w:t>
      </w:r>
      <w:proofErr w:type="spellEnd"/>
      <w:r w:rsidRPr="00FE0DCB">
        <w:rPr>
          <w:rFonts w:ascii="Times New Roman" w:eastAsia="Times New Roman" w:hAnsi="Times New Roman" w:cs="Times New Roman"/>
        </w:rPr>
        <w:t>, T., &amp; Oros, G. (2004). Removal of synthetic dyes from wastewaters: A review. Environment International, 30(7), 953–971. https://doi.org/10.1016/j.envint.2004.02.001.</w:t>
      </w:r>
    </w:p>
    <w:p w14:paraId="72DD088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Fu Y, </w:t>
      </w:r>
      <w:proofErr w:type="spellStart"/>
      <w:r w:rsidRPr="00FE0DCB">
        <w:rPr>
          <w:rFonts w:ascii="Times New Roman" w:eastAsia="Times New Roman" w:hAnsi="Times New Roman" w:cs="Times New Roman"/>
        </w:rPr>
        <w:t>Viraraghavan</w:t>
      </w:r>
      <w:proofErr w:type="spellEnd"/>
      <w:r w:rsidRPr="00FE0DCB">
        <w:rPr>
          <w:rFonts w:ascii="Times New Roman" w:eastAsia="Times New Roman" w:hAnsi="Times New Roman" w:cs="Times New Roman"/>
        </w:rPr>
        <w:t xml:space="preserve"> T (2001) Fungal decolorization of dye wastewaters: a review.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79:251–262. doi:10.1016/ S0960-8524(01)00028-1</w:t>
      </w:r>
    </w:p>
    <w:p w14:paraId="249E41B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Gomes, C., Rautureau, M., Poustis, J. &amp; &amp; Gomes J. (2021). Benefits </w:t>
      </w:r>
      <w:proofErr w:type="gramStart"/>
      <w:r w:rsidRPr="00FE0DCB">
        <w:rPr>
          <w:rFonts w:ascii="Times New Roman" w:eastAsia="Times New Roman" w:hAnsi="Times New Roman" w:cs="Times New Roman"/>
        </w:rPr>
        <w:t>And</w:t>
      </w:r>
      <w:proofErr w:type="gramEnd"/>
      <w:r w:rsidRPr="00FE0DCB">
        <w:rPr>
          <w:rFonts w:ascii="Times New Roman" w:eastAsia="Times New Roman" w:hAnsi="Times New Roman" w:cs="Times New Roman"/>
        </w:rPr>
        <w:t xml:space="preserve"> Risks Of Clays And Clay Minerals To Human Health From Ancestral To Current Times: A Synoptic Overview. Clays Clay Miner. 69, 612–632. doi.org/10.1007/s42860-021-00160-7</w:t>
      </w:r>
    </w:p>
    <w:p w14:paraId="664B2B4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Goto, A. (2020). Measurement of total carbon in soil and compost by TOC solid sample measurement system. Shimadzu Application News no 078</w:t>
      </w:r>
    </w:p>
    <w:p w14:paraId="6CC8D01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Gurses</w:t>
      </w:r>
      <w:proofErr w:type="spellEnd"/>
      <w:r w:rsidRPr="00FE0DCB">
        <w:rPr>
          <w:rFonts w:ascii="Times New Roman" w:eastAsia="Times New Roman" w:hAnsi="Times New Roman" w:cs="Times New Roman"/>
        </w:rPr>
        <w:t xml:space="preserve">, A., Dogar, C., Yalcin, M., </w:t>
      </w:r>
      <w:proofErr w:type="spellStart"/>
      <w:r w:rsidRPr="00FE0DCB">
        <w:rPr>
          <w:rFonts w:ascii="Times New Roman" w:eastAsia="Times New Roman" w:hAnsi="Times New Roman" w:cs="Times New Roman"/>
        </w:rPr>
        <w:t>Acikyildiz</w:t>
      </w:r>
      <w:proofErr w:type="spellEnd"/>
      <w:r w:rsidRPr="00FE0DCB">
        <w:rPr>
          <w:rFonts w:ascii="Times New Roman" w:eastAsia="Times New Roman" w:hAnsi="Times New Roman" w:cs="Times New Roman"/>
        </w:rPr>
        <w:t xml:space="preserve">, M., Bayrak, R., &amp; Karaca, S. (2006). The adsorption kinetics of the cationic dye, methylene blue, onto clay. Journal of Hazardous Materials, 131(1-3), 217–228.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.2005.09.036 </w:t>
      </w:r>
    </w:p>
    <w:p w14:paraId="6EE3AEC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Hajjaji, M., Alami, A., &amp; </w:t>
      </w:r>
      <w:proofErr w:type="spellStart"/>
      <w:r w:rsidRPr="00FE0DCB">
        <w:rPr>
          <w:rFonts w:ascii="Times New Roman" w:eastAsia="Times New Roman" w:hAnsi="Times New Roman" w:cs="Times New Roman"/>
        </w:rPr>
        <w:t>Bouadili</w:t>
      </w:r>
      <w:proofErr w:type="spellEnd"/>
      <w:r w:rsidRPr="00FE0DCB">
        <w:rPr>
          <w:rFonts w:ascii="Times New Roman" w:eastAsia="Times New Roman" w:hAnsi="Times New Roman" w:cs="Times New Roman"/>
        </w:rPr>
        <w:t xml:space="preserve">, A. (2006). Removal of methylene blue from aqueous solution by fibrous clay minerals. Journal of Hazardous Materials, 135(1-3), 188–192.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.2005.11.048 </w:t>
      </w:r>
    </w:p>
    <w:p w14:paraId="2FB54A4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lastRenderedPageBreak/>
        <w:t>Hisarli</w:t>
      </w:r>
      <w:proofErr w:type="spellEnd"/>
      <w:r w:rsidRPr="00FE0DCB">
        <w:rPr>
          <w:rFonts w:ascii="Times New Roman" w:eastAsia="Times New Roman" w:hAnsi="Times New Roman" w:cs="Times New Roman"/>
        </w:rPr>
        <w:t xml:space="preserve">, G. (2005). The effects of acid and alkali modification on the adsorption performance of fuller’s earth for basic dye. Journal of Colloid and Interface Science, 281(1), 18–26.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.2004.08.089</w:t>
      </w:r>
    </w:p>
    <w:p w14:paraId="58EF905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Hu, Z.-P., Gao, Z.-M., Liu, X., &amp; Yuan, Z.-Y. (2017). High-surface-area activated red mud for efficient removal of methylene blue from wastewater. Adsorption Science &amp; Technology, 36(1-2), 62–79.  doi:10.1177/0263617416684348 </w:t>
      </w:r>
    </w:p>
    <w:p w14:paraId="7981077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Ihsanullah</w:t>
      </w:r>
      <w:proofErr w:type="spellEnd"/>
      <w:r w:rsidRPr="00FE0DCB">
        <w:rPr>
          <w:rFonts w:ascii="Times New Roman" w:eastAsia="Times New Roman" w:hAnsi="Times New Roman" w:cs="Times New Roman"/>
        </w:rPr>
        <w:t xml:space="preserve"> I., Bilal M., &amp; Jamal A. (2022). Recent Developments in the Removal of Dyes from Water by Starch-Based Adsorbents. The Chemical Record, 22(7), e202100312</w:t>
      </w:r>
    </w:p>
    <w:p w14:paraId="66081A0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Irmina</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Ćwieląg-Piasecka</w:t>
      </w:r>
      <w:proofErr w:type="spellEnd"/>
      <w:r w:rsidRPr="00FE0DCB">
        <w:rPr>
          <w:rFonts w:ascii="Times New Roman" w:eastAsia="Times New Roman" w:hAnsi="Times New Roman" w:cs="Times New Roman"/>
        </w:rPr>
        <w:t>. (2023). Soil Organic Matter Composition and pH as Factors Affecting Retention of Carbaryl, Carbofuran and Metolachlor in Soil. Molecules, 28(14), 5552–5552. https://doi.org/10.3390/molecules28145552</w:t>
      </w:r>
    </w:p>
    <w:p w14:paraId="5FDA4DA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lang w:val="nl-NL"/>
        </w:rPr>
      </w:pPr>
      <w:r w:rsidRPr="00FE0DCB">
        <w:rPr>
          <w:rFonts w:ascii="Times New Roman" w:eastAsia="Times New Roman" w:hAnsi="Times New Roman" w:cs="Times New Roman"/>
        </w:rPr>
        <w:t xml:space="preserve">Isah, U.A., Abdulraheem, G., </w:t>
      </w:r>
      <w:proofErr w:type="spellStart"/>
      <w:proofErr w:type="gramStart"/>
      <w:r w:rsidRPr="00FE0DCB">
        <w:rPr>
          <w:rFonts w:ascii="Times New Roman" w:eastAsia="Times New Roman" w:hAnsi="Times New Roman" w:cs="Times New Roman"/>
        </w:rPr>
        <w:t>Bala,S</w:t>
      </w:r>
      <w:proofErr w:type="spellEnd"/>
      <w:r w:rsidRPr="00FE0DCB">
        <w:rPr>
          <w:rFonts w:ascii="Times New Roman" w:eastAsia="Times New Roman" w:hAnsi="Times New Roman" w:cs="Times New Roman"/>
        </w:rPr>
        <w:t>.</w:t>
      </w:r>
      <w:proofErr w:type="gramEnd"/>
      <w:r w:rsidRPr="00FE0DCB">
        <w:rPr>
          <w:rFonts w:ascii="Times New Roman" w:eastAsia="Times New Roman" w:hAnsi="Times New Roman" w:cs="Times New Roman"/>
        </w:rPr>
        <w:t xml:space="preserve">, Muhammad, S., Abdullahi, M., 2015. Kinetics, equilibrium, and thermodynamics studies of C.I. Reactive Blue 19 dye adsorption on coconut shell-based activated carbon. </w:t>
      </w:r>
      <w:r w:rsidRPr="00FE0DCB">
        <w:rPr>
          <w:rFonts w:ascii="Times New Roman" w:eastAsia="Times New Roman" w:hAnsi="Times New Roman" w:cs="Times New Roman"/>
          <w:lang w:val="nl-NL"/>
        </w:rPr>
        <w:t>Int. Biodeterior. Biodegrad. 102, 265- 273. Janaki, V., Vij</w:t>
      </w:r>
    </w:p>
    <w:p w14:paraId="54E145A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lang w:val="nl-NL"/>
        </w:rPr>
        <w:t xml:space="preserve">Jahani, D., Nazari, A., Ghourbanpour, J., &amp; Ameli, A. (2020). </w:t>
      </w:r>
      <w:r w:rsidRPr="00FE0DCB">
        <w:rPr>
          <w:rFonts w:ascii="Times New Roman" w:eastAsia="Times New Roman" w:hAnsi="Times New Roman" w:cs="Times New Roman"/>
        </w:rPr>
        <w:t xml:space="preserve">Polyvinyl Alcohol/Calcium Carbonate Nanocomposites as Efficient and Cost-Effective Cationic Dye Adsorbents. Polymers, 12(10), 2179. Márquez, C. O., García, V. J., </w:t>
      </w:r>
      <w:proofErr w:type="spellStart"/>
      <w:r w:rsidRPr="00FE0DCB">
        <w:rPr>
          <w:rFonts w:ascii="Times New Roman" w:eastAsia="Times New Roman" w:hAnsi="Times New Roman" w:cs="Times New Roman"/>
        </w:rPr>
        <w:t>Guaypatin</w:t>
      </w:r>
      <w:proofErr w:type="spellEnd"/>
      <w:r w:rsidRPr="00FE0DCB">
        <w:rPr>
          <w:rFonts w:ascii="Times New Roman" w:eastAsia="Times New Roman" w:hAnsi="Times New Roman" w:cs="Times New Roman"/>
        </w:rPr>
        <w:t>, J. R., Fernández-Martínez, F., &amp; Ríos, A. C. (2021). Cationic and Anionic Dye Adsorption on a Natural Clayey Composite. Applied Sciences, 11(11), 5127. https://doi.org/10.3390/app11115127</w:t>
      </w:r>
    </w:p>
    <w:p w14:paraId="613AC10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Jawad, A. H., &amp; Abdulhameed, A. S. (2019). Mesoporous Iraqi red kaolin clay as an efficient adsorbent for methylene blue dye: Adsorption kinetic, isotherm and mechanism study. Surfaces and Interfaces, 100422. </w:t>
      </w:r>
      <w:proofErr w:type="gramStart"/>
      <w:r w:rsidRPr="00FE0DCB">
        <w:rPr>
          <w:rFonts w:ascii="Times New Roman" w:eastAsia="Times New Roman" w:hAnsi="Times New Roman" w:cs="Times New Roman"/>
        </w:rPr>
        <w:t>doi:10.1016/j.surfin</w:t>
      </w:r>
      <w:proofErr w:type="gramEnd"/>
      <w:r w:rsidRPr="00FE0DCB">
        <w:rPr>
          <w:rFonts w:ascii="Times New Roman" w:eastAsia="Times New Roman" w:hAnsi="Times New Roman" w:cs="Times New Roman"/>
        </w:rPr>
        <w:t xml:space="preserve">.2019.100422 </w:t>
      </w:r>
    </w:p>
    <w:p w14:paraId="260D33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Jawad, A. H., Abdulhameed, A. S., &amp; </w:t>
      </w:r>
      <w:proofErr w:type="spellStart"/>
      <w:r w:rsidRPr="00FE0DCB">
        <w:rPr>
          <w:rFonts w:ascii="Times New Roman" w:eastAsia="Times New Roman" w:hAnsi="Times New Roman" w:cs="Times New Roman"/>
        </w:rPr>
        <w:t>Mastuli</w:t>
      </w:r>
      <w:proofErr w:type="spellEnd"/>
      <w:r w:rsidRPr="00FE0DCB">
        <w:rPr>
          <w:rFonts w:ascii="Times New Roman" w:eastAsia="Times New Roman" w:hAnsi="Times New Roman" w:cs="Times New Roman"/>
        </w:rPr>
        <w:t xml:space="preserve">, M. S. (2020). Acid-factionalized biomass material for methylene blue dye removal: a comprehensive adsorption and mechanism study. Journal of Taibah University for Science, 14(1), 305–313. doi:10.1080/16583655.2020.1736767 </w:t>
      </w:r>
    </w:p>
    <w:p w14:paraId="6383EB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Jones, K. L., &amp; O’Melia, C. R. (2000). Protein and humic acid adsorption onto hydrophilic membrane surfaces: effects of pH and ionic strength. Journal of Membrane Science, 165(1), 31–46. doi:10.1016/s0376-7388(99)00218-5</w:t>
      </w:r>
    </w:p>
    <w:p w14:paraId="56DE54C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Kalam S., Abu-Khamsin S. A., Kamal M. S., &amp; Patil S. (2021). Surfactant Adsorption Isotherms: A Review. ACS Omega, 6(48), 32342-32348</w:t>
      </w:r>
    </w:p>
    <w:p w14:paraId="2A6823F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Kausar, A., Iqbal, M., Javed, A., Aftab, K., Nazli, Z.-H., Bhatti, H. N., &amp; </w:t>
      </w:r>
      <w:proofErr w:type="spellStart"/>
      <w:r w:rsidRPr="00FE0DCB">
        <w:rPr>
          <w:rFonts w:ascii="Times New Roman" w:eastAsia="Times New Roman" w:hAnsi="Times New Roman" w:cs="Times New Roman"/>
        </w:rPr>
        <w:t>Nouren</w:t>
      </w:r>
      <w:proofErr w:type="spellEnd"/>
      <w:r w:rsidRPr="00FE0DCB">
        <w:rPr>
          <w:rFonts w:ascii="Times New Roman" w:eastAsia="Times New Roman" w:hAnsi="Times New Roman" w:cs="Times New Roman"/>
        </w:rPr>
        <w:t xml:space="preserve">, S. (2018). Dyes adsorption using clay and modified clay: A review. Journal of Molecular Liquids, 256, 395–407. </w:t>
      </w:r>
      <w:proofErr w:type="gramStart"/>
      <w:r w:rsidRPr="00FE0DCB">
        <w:rPr>
          <w:rFonts w:ascii="Times New Roman" w:eastAsia="Times New Roman" w:hAnsi="Times New Roman" w:cs="Times New Roman"/>
        </w:rPr>
        <w:t>doi:10.1016/j.molliq</w:t>
      </w:r>
      <w:proofErr w:type="gramEnd"/>
      <w:r w:rsidRPr="00FE0DCB">
        <w:rPr>
          <w:rFonts w:ascii="Times New Roman" w:eastAsia="Times New Roman" w:hAnsi="Times New Roman" w:cs="Times New Roman"/>
        </w:rPr>
        <w:t xml:space="preserve">.2018.02.034 </w:t>
      </w:r>
    </w:p>
    <w:p w14:paraId="7837F53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Kaya, A. C., Zaslansky, P., </w:t>
      </w:r>
      <w:proofErr w:type="spellStart"/>
      <w:r w:rsidRPr="00FE0DCB">
        <w:rPr>
          <w:rFonts w:ascii="Times New Roman" w:eastAsia="Times New Roman" w:hAnsi="Times New Roman" w:cs="Times New Roman"/>
        </w:rPr>
        <w:t>Ipekoglu</w:t>
      </w:r>
      <w:proofErr w:type="spellEnd"/>
      <w:r w:rsidRPr="00FE0DCB">
        <w:rPr>
          <w:rFonts w:ascii="Times New Roman" w:eastAsia="Times New Roman" w:hAnsi="Times New Roman" w:cs="Times New Roman"/>
        </w:rPr>
        <w:t xml:space="preserve">, M., &amp; Fleck, C. (2018). Strain hardening reduces energy absorption efficiency of austenitic </w:t>
      </w:r>
      <w:proofErr w:type="gramStart"/>
      <w:r w:rsidRPr="00FE0DCB">
        <w:rPr>
          <w:rFonts w:ascii="Times New Roman" w:eastAsia="Times New Roman" w:hAnsi="Times New Roman" w:cs="Times New Roman"/>
        </w:rPr>
        <w:t>stainless steel</w:t>
      </w:r>
      <w:proofErr w:type="gramEnd"/>
      <w:r w:rsidRPr="00FE0DCB">
        <w:rPr>
          <w:rFonts w:ascii="Times New Roman" w:eastAsia="Times New Roman" w:hAnsi="Times New Roman" w:cs="Times New Roman"/>
        </w:rPr>
        <w:t xml:space="preserve"> foams while porosity does not. Materials &amp; Design, 143, 297–308. </w:t>
      </w:r>
      <w:proofErr w:type="gramStart"/>
      <w:r w:rsidRPr="00FE0DCB">
        <w:rPr>
          <w:rFonts w:ascii="Times New Roman" w:eastAsia="Times New Roman" w:hAnsi="Times New Roman" w:cs="Times New Roman"/>
        </w:rPr>
        <w:t>doi:10.1016/j.matdes</w:t>
      </w:r>
      <w:proofErr w:type="gramEnd"/>
      <w:r w:rsidRPr="00FE0DCB">
        <w:rPr>
          <w:rFonts w:ascii="Times New Roman" w:eastAsia="Times New Roman" w:hAnsi="Times New Roman" w:cs="Times New Roman"/>
        </w:rPr>
        <w:t xml:space="preserve">.2018.02.009 </w:t>
      </w:r>
    </w:p>
    <w:p w14:paraId="15C669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Kaya-</w:t>
      </w:r>
      <w:proofErr w:type="spellStart"/>
      <w:r w:rsidRPr="00FE0DCB">
        <w:rPr>
          <w:rFonts w:ascii="Times New Roman" w:eastAsia="Times New Roman" w:hAnsi="Times New Roman" w:cs="Times New Roman"/>
        </w:rPr>
        <w:t>Özkiper</w:t>
      </w:r>
      <w:proofErr w:type="spellEnd"/>
      <w:r w:rsidRPr="00FE0DCB">
        <w:rPr>
          <w:rFonts w:ascii="Times New Roman" w:eastAsia="Times New Roman" w:hAnsi="Times New Roman" w:cs="Times New Roman"/>
        </w:rPr>
        <w:t xml:space="preserve">, K., Uzun, A., &amp; Soyer-Uzun, S. (2020). Red Mud- and Metakaolin-based Geopolymers for Adsorption and Photocatalytic Degradation of Methylene Blue: Towards Self-Cleaning Construction Materials. Journal of Cleaner Production, 125120. </w:t>
      </w:r>
      <w:proofErr w:type="gramStart"/>
      <w:r w:rsidRPr="00FE0DCB">
        <w:rPr>
          <w:rFonts w:ascii="Times New Roman" w:eastAsia="Times New Roman" w:hAnsi="Times New Roman" w:cs="Times New Roman"/>
        </w:rPr>
        <w:t>doi:10.1016/j.jclepro</w:t>
      </w:r>
      <w:proofErr w:type="gramEnd"/>
      <w:r w:rsidRPr="00FE0DCB">
        <w:rPr>
          <w:rFonts w:ascii="Times New Roman" w:eastAsia="Times New Roman" w:hAnsi="Times New Roman" w:cs="Times New Roman"/>
        </w:rPr>
        <w:t xml:space="preserve">.2020.125120 </w:t>
      </w:r>
    </w:p>
    <w:p w14:paraId="77D5302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Khan, M. I. (2020). Adsorption of methylene blue onto natural Saudi Red Clay: isotherms, kinetics and thermodynamic studies. Materials Research Express, 7(5), 055507. doi:10.1088/2053-1591/ab903c </w:t>
      </w:r>
    </w:p>
    <w:p w14:paraId="48A4B30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Khan, M. I. (2020). Adsorption of methylene blue onto natural Saudi Red Clay: isotherms, kinetics and thermodynamic studies. Materials Research Express, 7(5), 055507. doi:10.1088/2053-1591/ab903c </w:t>
      </w:r>
    </w:p>
    <w:p w14:paraId="717558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Kim, Y., Kim, T.-H., &amp; Ergün, T. (2015). The instability of the Pearson correlation coefficient in the presence of coincidental outliers. Finance Research Letters, 13, 243–257. https://doi.org/10.1016/j.frl.2014.12.005</w:t>
      </w:r>
    </w:p>
    <w:p w14:paraId="3DC0E21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Kodama H., &amp; Grim R. E. (2022). clay mineral. Encyclopedia Britannica. Retrieved from https://www.britannica.com/science/clay-mineral (04/18/2023)</w:t>
      </w:r>
    </w:p>
    <w:p w14:paraId="2BAF4D4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Kong, L., &amp; Guo, A. (2010). Analysis of Engineering Properties of Red Clay during Drying Process. </w:t>
      </w:r>
      <w:proofErr w:type="spellStart"/>
      <w:r w:rsidRPr="00FE0DCB">
        <w:rPr>
          <w:rFonts w:ascii="Times New Roman" w:eastAsia="Times New Roman" w:hAnsi="Times New Roman" w:cs="Times New Roman"/>
        </w:rPr>
        <w:t>GeoFlorida</w:t>
      </w:r>
      <w:proofErr w:type="spellEnd"/>
      <w:r w:rsidRPr="00FE0DCB">
        <w:rPr>
          <w:rFonts w:ascii="Times New Roman" w:eastAsia="Times New Roman" w:hAnsi="Times New Roman" w:cs="Times New Roman"/>
        </w:rPr>
        <w:t xml:space="preserve"> 2010. doi:10.1061/41095(365)27 </w:t>
      </w:r>
    </w:p>
    <w:p w14:paraId="7F344EF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Kuang, Y., Zhang, X., &amp; Zhou, S. (2020). Adsorption of Methylene Blue in Water onto Activated Carbon by Surfactant Modification. Water, 12(2), 587. doi:10.3390/w12020587 </w:t>
      </w:r>
    </w:p>
    <w:p w14:paraId="14C75AF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Kumari N., &amp; Mohan C. (2021). Basics of clay minerals and their characteristic properties - Clay </w:t>
      </w:r>
      <w:proofErr w:type="spellStart"/>
      <w:r w:rsidRPr="00FE0DCB">
        <w:rPr>
          <w:rFonts w:ascii="Times New Roman" w:eastAsia="Times New Roman" w:hAnsi="Times New Roman" w:cs="Times New Roman"/>
        </w:rPr>
        <w:t>Clay</w:t>
      </w:r>
      <w:proofErr w:type="spellEnd"/>
      <w:r w:rsidRPr="00FE0DCB">
        <w:rPr>
          <w:rFonts w:ascii="Times New Roman" w:eastAsia="Times New Roman" w:hAnsi="Times New Roman" w:cs="Times New Roman"/>
        </w:rPr>
        <w:t xml:space="preserve"> Miner.</w:t>
      </w:r>
    </w:p>
    <w:p w14:paraId="3EF87BF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 Z., Chang P.-H., Jiang W.-T., Jean J.-S., &amp; Hong H. (2011). Mechanism of methylene blue removal from water by swelling clays. Chemical Engineering Journal, 168(3), 1193-1200.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.2011.02.009 </w:t>
      </w:r>
    </w:p>
    <w:p w14:paraId="5DB9415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 Z., Hanafy H., Zhang L., </w:t>
      </w:r>
      <w:proofErr w:type="spellStart"/>
      <w:r w:rsidRPr="00FE0DCB">
        <w:rPr>
          <w:rFonts w:ascii="Times New Roman" w:eastAsia="Times New Roman" w:hAnsi="Times New Roman" w:cs="Times New Roman"/>
        </w:rPr>
        <w:t>Sellaoui</w:t>
      </w:r>
      <w:proofErr w:type="spellEnd"/>
      <w:r w:rsidRPr="00FE0DCB">
        <w:rPr>
          <w:rFonts w:ascii="Times New Roman" w:eastAsia="Times New Roman" w:hAnsi="Times New Roman" w:cs="Times New Roman"/>
        </w:rPr>
        <w:t xml:space="preserve"> L., </w:t>
      </w:r>
      <w:proofErr w:type="spellStart"/>
      <w:r w:rsidRPr="00FE0DCB">
        <w:rPr>
          <w:rFonts w:ascii="Times New Roman" w:eastAsia="Times New Roman" w:hAnsi="Times New Roman" w:cs="Times New Roman"/>
        </w:rPr>
        <w:t>Schadeck</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Netto</w:t>
      </w:r>
      <w:proofErr w:type="spellEnd"/>
      <w:r w:rsidRPr="00FE0DCB">
        <w:rPr>
          <w:rFonts w:ascii="Times New Roman" w:eastAsia="Times New Roman" w:hAnsi="Times New Roman" w:cs="Times New Roman"/>
        </w:rPr>
        <w:t xml:space="preserve"> M., Oliveira M. L. S., &amp; Li Q. (2020). Adsorption of </w:t>
      </w:r>
      <w:proofErr w:type="spellStart"/>
      <w:r w:rsidRPr="00FE0DCB">
        <w:rPr>
          <w:rFonts w:ascii="Times New Roman" w:eastAsia="Times New Roman" w:hAnsi="Times New Roman" w:cs="Times New Roman"/>
        </w:rPr>
        <w:t>congo</w:t>
      </w:r>
      <w:proofErr w:type="spellEnd"/>
      <w:r w:rsidRPr="00FE0DCB">
        <w:rPr>
          <w:rFonts w:ascii="Times New Roman" w:eastAsia="Times New Roman" w:hAnsi="Times New Roman" w:cs="Times New Roman"/>
        </w:rPr>
        <w:t xml:space="preserve"> red and methylene blue dyes on an </w:t>
      </w:r>
      <w:proofErr w:type="spellStart"/>
      <w:r w:rsidRPr="00FE0DCB">
        <w:rPr>
          <w:rFonts w:ascii="Times New Roman" w:eastAsia="Times New Roman" w:hAnsi="Times New Roman" w:cs="Times New Roman"/>
        </w:rPr>
        <w:t>ashitaba</w:t>
      </w:r>
      <w:proofErr w:type="spellEnd"/>
      <w:r w:rsidRPr="00FE0DCB">
        <w:rPr>
          <w:rFonts w:ascii="Times New Roman" w:eastAsia="Times New Roman" w:hAnsi="Times New Roman" w:cs="Times New Roman"/>
        </w:rPr>
        <w:t xml:space="preserve"> waste and a walnut shell-based activated carbon from aqueous solutions: Experiments, characterization and physical interpretations. Chemical Engineering Journal, 124263.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.2020.124263 </w:t>
      </w:r>
    </w:p>
    <w:p w14:paraId="270DB6A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Lim S., Kim J. H., Park H., Kwak C., Yang J., Kim J., &amp; Lee J. (2021). Role of electrostatic interactions in the adsorption of dye molecules by Ti3C2-MXenes. RSC Advances, 11(11), 6201-6211.  doi:10.1039/d0ra10876f </w:t>
      </w:r>
    </w:p>
    <w:p w14:paraId="5424CFA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Lu, K., Wang, T., Zhai, L., Wu, W., Dong, S., Gao, S., &amp; Mao, L. (2019). Adsorption behavior and mechanism of Fe-Mn binary oxide nanoparticles: Adsorption of methylene blue. Journal of Colloid and Interface Science, 539, 553–562.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.2018.12.094</w:t>
      </w:r>
    </w:p>
    <w:p w14:paraId="234003B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Lyu H., Gao B., He F., Zimmerman A. R., Ding C., Tang J., &amp; Crittenden J. C. (2018). Experimental and modeling investigations of ball-milled biochar for the removal of aqueous methylene blue. Chemical Engineering Journal, 335, 110–119.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.2017.10.130 </w:t>
      </w:r>
    </w:p>
    <w:p w14:paraId="69DBD54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 H. SALEHI1, O. HASHEMI BENI1, H. et al (2011) Refining Soil Organic Matter Determination by Loss-on-Ignition MOTAGHIAN1 1Department of Soil Science, College </w:t>
      </w:r>
      <w:r w:rsidRPr="00FE0DCB">
        <w:rPr>
          <w:rFonts w:ascii="Times New Roman" w:eastAsia="Times New Roman" w:hAnsi="Times New Roman" w:cs="Times New Roman"/>
        </w:rPr>
        <w:lastRenderedPageBreak/>
        <w:t xml:space="preserve">of Agriculture, </w:t>
      </w:r>
      <w:proofErr w:type="spellStart"/>
      <w:r w:rsidRPr="00FE0DCB">
        <w:rPr>
          <w:rFonts w:ascii="Times New Roman" w:eastAsia="Times New Roman" w:hAnsi="Times New Roman" w:cs="Times New Roman"/>
        </w:rPr>
        <w:t>Shahrekord</w:t>
      </w:r>
      <w:proofErr w:type="spellEnd"/>
      <w:r w:rsidRPr="00FE0DCB">
        <w:rPr>
          <w:rFonts w:ascii="Times New Roman" w:eastAsia="Times New Roman" w:hAnsi="Times New Roman" w:cs="Times New Roman"/>
        </w:rPr>
        <w:t xml:space="preserve"> University, </w:t>
      </w:r>
      <w:proofErr w:type="spellStart"/>
      <w:r w:rsidRPr="00FE0DCB">
        <w:rPr>
          <w:rFonts w:ascii="Times New Roman" w:eastAsia="Times New Roman" w:hAnsi="Times New Roman" w:cs="Times New Roman"/>
        </w:rPr>
        <w:t>Shahrekord</w:t>
      </w:r>
      <w:proofErr w:type="spellEnd"/>
      <w:r w:rsidRPr="00FE0DCB">
        <w:rPr>
          <w:rFonts w:ascii="Times New Roman" w:eastAsia="Times New Roman" w:hAnsi="Times New Roman" w:cs="Times New Roman"/>
        </w:rPr>
        <w:t xml:space="preserve"> (Iran) 2Department of Soil Science, College of Agriculture, Vali-e-</w:t>
      </w:r>
      <w:proofErr w:type="spellStart"/>
      <w:r w:rsidRPr="00FE0DCB">
        <w:rPr>
          <w:rFonts w:ascii="Times New Roman" w:eastAsia="Times New Roman" w:hAnsi="Times New Roman" w:cs="Times New Roman"/>
        </w:rPr>
        <w:t>Asr</w:t>
      </w:r>
      <w:proofErr w:type="spellEnd"/>
      <w:r w:rsidRPr="00FE0DCB">
        <w:rPr>
          <w:rFonts w:ascii="Times New Roman" w:eastAsia="Times New Roman" w:hAnsi="Times New Roman" w:cs="Times New Roman"/>
        </w:rPr>
        <w:t xml:space="preserve"> University, </w:t>
      </w:r>
      <w:proofErr w:type="spellStart"/>
      <w:r w:rsidRPr="00FE0DCB">
        <w:rPr>
          <w:rFonts w:ascii="Times New Roman" w:eastAsia="Times New Roman" w:hAnsi="Times New Roman" w:cs="Times New Roman"/>
        </w:rPr>
        <w:t>Rafsanjan</w:t>
      </w:r>
      <w:proofErr w:type="spellEnd"/>
      <w:r w:rsidRPr="00FE0DCB">
        <w:rPr>
          <w:rFonts w:ascii="Times New Roman" w:eastAsia="Times New Roman" w:hAnsi="Times New Roman" w:cs="Times New Roman"/>
        </w:rPr>
        <w:t xml:space="preserve"> (Iran).</w:t>
      </w:r>
    </w:p>
    <w:p w14:paraId="3191F56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Malik, A., &amp; Grohmann, E. (2012). Environmental protection strategies for sustainable development. In Environmental Protection Strategies for Sustainable Development. https://doi.org/10.1007/978-94-007-1591-2.</w:t>
      </w:r>
    </w:p>
    <w:p w14:paraId="4780973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Minasny</w:t>
      </w:r>
      <w:proofErr w:type="spellEnd"/>
      <w:r w:rsidRPr="00FE0DCB">
        <w:rPr>
          <w:rFonts w:ascii="Times New Roman" w:eastAsia="Times New Roman" w:hAnsi="Times New Roman" w:cs="Times New Roman"/>
        </w:rPr>
        <w:t>, B., McBratney, A. B., Brough, D. M., &amp; Jacquier, D. (2011). Models relating soil pH measurements in water and calcium chloride that incorporate electrolyte concentration. European Journal of Soil Science, 62(5), 728-732.</w:t>
      </w:r>
    </w:p>
    <w:p w14:paraId="2B35B2D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Misran, E., Bani, O., </w:t>
      </w:r>
      <w:proofErr w:type="spellStart"/>
      <w:r w:rsidRPr="00FE0DCB">
        <w:rPr>
          <w:rFonts w:ascii="Times New Roman" w:eastAsia="Times New Roman" w:hAnsi="Times New Roman" w:cs="Times New Roman"/>
        </w:rPr>
        <w:t>Situmeang</w:t>
      </w:r>
      <w:proofErr w:type="spellEnd"/>
      <w:r w:rsidRPr="00FE0DCB">
        <w:rPr>
          <w:rFonts w:ascii="Times New Roman" w:eastAsia="Times New Roman" w:hAnsi="Times New Roman" w:cs="Times New Roman"/>
        </w:rPr>
        <w:t xml:space="preserve">, E. M., &amp; </w:t>
      </w:r>
      <w:proofErr w:type="spellStart"/>
      <w:r w:rsidRPr="00FE0DCB">
        <w:rPr>
          <w:rFonts w:ascii="Times New Roman" w:eastAsia="Times New Roman" w:hAnsi="Times New Roman" w:cs="Times New Roman"/>
        </w:rPr>
        <w:t>Purba</w:t>
      </w:r>
      <w:proofErr w:type="spellEnd"/>
      <w:r w:rsidRPr="00FE0DCB">
        <w:rPr>
          <w:rFonts w:ascii="Times New Roman" w:eastAsia="Times New Roman" w:hAnsi="Times New Roman" w:cs="Times New Roman"/>
        </w:rPr>
        <w:t>, A. S. (2018). Removal efficiency of methylene blue using activated carbon from waste banana stem: Study on pH influence. IOP Conference Series: Earth and Environmental Science, 122, 012085. https://doi.org/10.1088/1755-1315/122/1/012085</w:t>
      </w:r>
    </w:p>
    <w:p w14:paraId="461A626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Mokhtar, A., Abdelkrim, S., </w:t>
      </w:r>
      <w:proofErr w:type="spellStart"/>
      <w:r w:rsidRPr="00FE0DCB">
        <w:rPr>
          <w:rFonts w:ascii="Times New Roman" w:eastAsia="Times New Roman" w:hAnsi="Times New Roman" w:cs="Times New Roman"/>
        </w:rPr>
        <w:t>Djelad</w:t>
      </w:r>
      <w:proofErr w:type="spellEnd"/>
      <w:r w:rsidRPr="00FE0DCB">
        <w:rPr>
          <w:rFonts w:ascii="Times New Roman" w:eastAsia="Times New Roman" w:hAnsi="Times New Roman" w:cs="Times New Roman"/>
        </w:rPr>
        <w:t xml:space="preserve">, A., </w:t>
      </w:r>
      <w:proofErr w:type="spellStart"/>
      <w:r w:rsidRPr="00FE0DCB">
        <w:rPr>
          <w:rFonts w:ascii="Times New Roman" w:eastAsia="Times New Roman" w:hAnsi="Times New Roman" w:cs="Times New Roman"/>
        </w:rPr>
        <w:t>Sardi</w:t>
      </w:r>
      <w:proofErr w:type="spellEnd"/>
      <w:r w:rsidRPr="00FE0DCB">
        <w:rPr>
          <w:rFonts w:ascii="Times New Roman" w:eastAsia="Times New Roman" w:hAnsi="Times New Roman" w:cs="Times New Roman"/>
        </w:rPr>
        <w:t xml:space="preserve">, A., </w:t>
      </w:r>
      <w:proofErr w:type="spellStart"/>
      <w:r w:rsidRPr="00FE0DCB">
        <w:rPr>
          <w:rFonts w:ascii="Times New Roman" w:eastAsia="Times New Roman" w:hAnsi="Times New Roman" w:cs="Times New Roman"/>
        </w:rPr>
        <w:t>Boukoussa</w:t>
      </w:r>
      <w:proofErr w:type="spellEnd"/>
      <w:r w:rsidRPr="00FE0DCB">
        <w:rPr>
          <w:rFonts w:ascii="Times New Roman" w:eastAsia="Times New Roman" w:hAnsi="Times New Roman" w:cs="Times New Roman"/>
        </w:rPr>
        <w:t xml:space="preserve">, B., Sassi, M., &amp; </w:t>
      </w:r>
      <w:proofErr w:type="spellStart"/>
      <w:r w:rsidRPr="00FE0DCB">
        <w:rPr>
          <w:rFonts w:ascii="Times New Roman" w:eastAsia="Times New Roman" w:hAnsi="Times New Roman" w:cs="Times New Roman"/>
        </w:rPr>
        <w:t>Bengueddach</w:t>
      </w:r>
      <w:proofErr w:type="spellEnd"/>
      <w:r w:rsidRPr="00FE0DCB">
        <w:rPr>
          <w:rFonts w:ascii="Times New Roman" w:eastAsia="Times New Roman" w:hAnsi="Times New Roman" w:cs="Times New Roman"/>
        </w:rPr>
        <w:t xml:space="preserve">, A. (2019). Adsorption behavior of cationic and anionic dyes on magadiite-chitosan composite beads. Carbohydrate Polymers, 115399. </w:t>
      </w:r>
      <w:proofErr w:type="gramStart"/>
      <w:r w:rsidRPr="00FE0DCB">
        <w:rPr>
          <w:rFonts w:ascii="Times New Roman" w:eastAsia="Times New Roman" w:hAnsi="Times New Roman" w:cs="Times New Roman"/>
        </w:rPr>
        <w:t>doi:10.1016/j.carbpol</w:t>
      </w:r>
      <w:proofErr w:type="gramEnd"/>
      <w:r w:rsidRPr="00FE0DCB">
        <w:rPr>
          <w:rFonts w:ascii="Times New Roman" w:eastAsia="Times New Roman" w:hAnsi="Times New Roman" w:cs="Times New Roman"/>
        </w:rPr>
        <w:t xml:space="preserve">.2019.115399 </w:t>
      </w:r>
    </w:p>
    <w:p w14:paraId="7D3DFF2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Moshi, A. O., Wild, A., &amp; Greenland, D. J. (1974). Effect of organic matter on the charge and phosphate adsorption characteristics of kikuyu red clay from </w:t>
      </w:r>
      <w:proofErr w:type="spellStart"/>
      <w:r w:rsidRPr="00FE0DCB">
        <w:rPr>
          <w:rFonts w:ascii="Times New Roman" w:eastAsia="Times New Roman" w:hAnsi="Times New Roman" w:cs="Times New Roman"/>
        </w:rPr>
        <w:t>kenya</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Geoderma</w:t>
      </w:r>
      <w:proofErr w:type="spellEnd"/>
      <w:r w:rsidRPr="00FE0DCB">
        <w:rPr>
          <w:rFonts w:ascii="Times New Roman" w:eastAsia="Times New Roman" w:hAnsi="Times New Roman" w:cs="Times New Roman"/>
        </w:rPr>
        <w:t xml:space="preserve">, 11(4), 275–285. doi:10.1016/0016-7061(74)90054-8 </w:t>
      </w:r>
    </w:p>
    <w:p w14:paraId="4E717C8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Mouni, L., Belkhiri, L., Bollinger, J.-C., </w:t>
      </w:r>
      <w:proofErr w:type="spellStart"/>
      <w:r w:rsidRPr="00FE0DCB">
        <w:rPr>
          <w:rFonts w:ascii="Times New Roman" w:eastAsia="Times New Roman" w:hAnsi="Times New Roman" w:cs="Times New Roman"/>
        </w:rPr>
        <w:t>Bouzaza</w:t>
      </w:r>
      <w:proofErr w:type="spellEnd"/>
      <w:r w:rsidRPr="00FE0DCB">
        <w:rPr>
          <w:rFonts w:ascii="Times New Roman" w:eastAsia="Times New Roman" w:hAnsi="Times New Roman" w:cs="Times New Roman"/>
        </w:rPr>
        <w:t xml:space="preserve">, A., Assadi, A., Tirri, A., … Remini, H. (2018). Removal of Methylene Blue from aqueous solutions by adsorption on Kaolin: Kinetic and equilibrium studies. Applied Clay Science, 153, 38–45.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.2017.11.034 </w:t>
      </w:r>
    </w:p>
    <w:p w14:paraId="72C3952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Nelson, D. W., and Sommers, L. E. (1996</w:t>
      </w:r>
      <w:proofErr w:type="gramStart"/>
      <w:r w:rsidRPr="00FE0DCB">
        <w:rPr>
          <w:rFonts w:ascii="Times New Roman" w:eastAsia="Times New Roman" w:hAnsi="Times New Roman" w:cs="Times New Roman"/>
        </w:rPr>
        <w:t>)..</w:t>
      </w:r>
      <w:proofErr w:type="gramEnd"/>
      <w:r w:rsidRPr="00FE0DCB">
        <w:rPr>
          <w:rFonts w:ascii="Times New Roman" w:eastAsia="Times New Roman" w:hAnsi="Times New Roman" w:cs="Times New Roman"/>
        </w:rPr>
        <w:t xml:space="preserve"> Total Carbon, Organic Carbon, and Organic Matter. In: J. M. Bigham et al. (ed.) Soil Science Society of America and American Society of Agronomy. Methods of Soil Analysis. Part 3. Chemical Methods-SSSA Book Series no. 5. Chapter 34. p 1001-1006.</w:t>
      </w:r>
    </w:p>
    <w:p w14:paraId="543E870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Nelson, D.W. and L.E. Sommers, 1982. Total carbon, organic carbon and organic matter: In: A.L. Page, R.H. Miller and D.R. Keeney) Methods of soil analysis. Part 2 Chemical and Microbiological Properties, pp: 539-579.</w:t>
      </w:r>
    </w:p>
    <w:p w14:paraId="7DD02EC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Ngulube, T., Gumbo, J. R., Masindi, V., &amp; Maity, A. (2017). An update on synthetic dyes adsorption onto </w:t>
      </w:r>
      <w:proofErr w:type="gramStart"/>
      <w:r w:rsidRPr="00FE0DCB">
        <w:rPr>
          <w:rFonts w:ascii="Times New Roman" w:eastAsia="Times New Roman" w:hAnsi="Times New Roman" w:cs="Times New Roman"/>
        </w:rPr>
        <w:t>clay based</w:t>
      </w:r>
      <w:proofErr w:type="gramEnd"/>
      <w:r w:rsidRPr="00FE0DCB">
        <w:rPr>
          <w:rFonts w:ascii="Times New Roman" w:eastAsia="Times New Roman" w:hAnsi="Times New Roman" w:cs="Times New Roman"/>
        </w:rPr>
        <w:t xml:space="preserve"> minerals: A state-of-art review. Journal of Environmental Management, 191, 35–57.  </w:t>
      </w:r>
      <w:proofErr w:type="gramStart"/>
      <w:r w:rsidRPr="00FE0DCB">
        <w:rPr>
          <w:rFonts w:ascii="Times New Roman" w:eastAsia="Times New Roman" w:hAnsi="Times New Roman" w:cs="Times New Roman"/>
        </w:rPr>
        <w:t>doi:10.1016/j.jenvman</w:t>
      </w:r>
      <w:proofErr w:type="gramEnd"/>
      <w:r w:rsidRPr="00FE0DCB">
        <w:rPr>
          <w:rFonts w:ascii="Times New Roman" w:eastAsia="Times New Roman" w:hAnsi="Times New Roman" w:cs="Times New Roman"/>
        </w:rPr>
        <w:t xml:space="preserve">.2016.12.031 </w:t>
      </w:r>
    </w:p>
    <w:p w14:paraId="369F6A7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Nguyen, D. H., Tran, H. N., Chao, H.-P., &amp; Lin, C.-C. (2019). Effect of nitric acid oxidation on the surface of </w:t>
      </w:r>
      <w:proofErr w:type="spellStart"/>
      <w:r w:rsidRPr="00FE0DCB">
        <w:rPr>
          <w:rFonts w:ascii="Times New Roman" w:eastAsia="Times New Roman" w:hAnsi="Times New Roman" w:cs="Times New Roman"/>
        </w:rPr>
        <w:t>hydrochars</w:t>
      </w:r>
      <w:proofErr w:type="spellEnd"/>
      <w:r w:rsidRPr="00FE0DCB">
        <w:rPr>
          <w:rFonts w:ascii="Times New Roman" w:eastAsia="Times New Roman" w:hAnsi="Times New Roman" w:cs="Times New Roman"/>
        </w:rPr>
        <w:t xml:space="preserve"> to sorb methylene blue: An adsorption mechanism comparison. Adsorption Science &amp; Technology, 37(7-8), 607–622. doi:10.1177/0263617419867519</w:t>
      </w:r>
    </w:p>
    <w:p w14:paraId="1CC395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Omura, T., 1994. Design of chlorine-fast reactive dyes. 4. Degradation of amino-containing azo dyes by sodium-hypochlorite. Dyes Pigments 26, 33–50</w:t>
      </w:r>
    </w:p>
    <w:p w14:paraId="16575D2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Othman, N. H., Alias, N. H., </w:t>
      </w:r>
      <w:proofErr w:type="spellStart"/>
      <w:r w:rsidRPr="00FE0DCB">
        <w:rPr>
          <w:rFonts w:ascii="Times New Roman" w:eastAsia="Times New Roman" w:hAnsi="Times New Roman" w:cs="Times New Roman"/>
        </w:rPr>
        <w:t>Shahruddin</w:t>
      </w:r>
      <w:proofErr w:type="spellEnd"/>
      <w:r w:rsidRPr="00FE0DCB">
        <w:rPr>
          <w:rFonts w:ascii="Times New Roman" w:eastAsia="Times New Roman" w:hAnsi="Times New Roman" w:cs="Times New Roman"/>
        </w:rPr>
        <w:t xml:space="preserve">, M. Z., Abu Bakar, N. F., Nik Him, N. R., &amp; Lau, W. J. (2018). Adsorption kinetics of methylene blue dyes onto magnetic graphene oxide. Journal of Environmental Chemical Engineering, 6(2), 2803–2811.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 xml:space="preserve">.2018.04.024 </w:t>
      </w:r>
    </w:p>
    <w:p w14:paraId="309E508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Ouyang J., Zhou L., Liu Z., Heng J. Y. Y., &amp; Chen W. (2020). Biomass-derived activated carbons for the removal of pharmaceutical </w:t>
      </w:r>
      <w:proofErr w:type="spellStart"/>
      <w:r w:rsidRPr="00FE0DCB">
        <w:rPr>
          <w:rFonts w:ascii="Times New Roman" w:eastAsia="Times New Roman" w:hAnsi="Times New Roman" w:cs="Times New Roman"/>
        </w:rPr>
        <w:t>mircopollutants</w:t>
      </w:r>
      <w:proofErr w:type="spellEnd"/>
      <w:r w:rsidRPr="00FE0DCB">
        <w:rPr>
          <w:rFonts w:ascii="Times New Roman" w:eastAsia="Times New Roman" w:hAnsi="Times New Roman" w:cs="Times New Roman"/>
        </w:rPr>
        <w:t xml:space="preserve"> from wastewater: A review. Separation and Purification Technology, 253, 117536. </w:t>
      </w:r>
      <w:proofErr w:type="gramStart"/>
      <w:r w:rsidRPr="00FE0DCB">
        <w:rPr>
          <w:rFonts w:ascii="Times New Roman" w:eastAsia="Times New Roman" w:hAnsi="Times New Roman" w:cs="Times New Roman"/>
        </w:rPr>
        <w:t>doi:10.1016/j.seppur</w:t>
      </w:r>
      <w:proofErr w:type="gramEnd"/>
      <w:r w:rsidRPr="00FE0DCB">
        <w:rPr>
          <w:rFonts w:ascii="Times New Roman" w:eastAsia="Times New Roman" w:hAnsi="Times New Roman" w:cs="Times New Roman"/>
        </w:rPr>
        <w:t xml:space="preserve">.2020.117536 </w:t>
      </w:r>
    </w:p>
    <w:p w14:paraId="44851C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Özacar</w:t>
      </w:r>
      <w:proofErr w:type="spellEnd"/>
      <w:r w:rsidRPr="00FE0DCB">
        <w:rPr>
          <w:rFonts w:ascii="Times New Roman" w:eastAsia="Times New Roman" w:hAnsi="Times New Roman" w:cs="Times New Roman"/>
        </w:rPr>
        <w:t xml:space="preserve">, M., &amp; </w:t>
      </w:r>
      <w:proofErr w:type="spellStart"/>
      <w:r w:rsidRPr="00FE0DCB">
        <w:rPr>
          <w:rFonts w:ascii="Times New Roman" w:eastAsia="Times New Roman" w:hAnsi="Times New Roman" w:cs="Times New Roman"/>
        </w:rPr>
        <w:t>Şengil</w:t>
      </w:r>
      <w:proofErr w:type="spellEnd"/>
      <w:r w:rsidRPr="00FE0DCB">
        <w:rPr>
          <w:rFonts w:ascii="Times New Roman" w:eastAsia="Times New Roman" w:hAnsi="Times New Roman" w:cs="Times New Roman"/>
        </w:rPr>
        <w:t xml:space="preserve">, İ. A. (2005). Adsorption of metal complex dyes from aqueous solutions by pine sawdust. Bioresource Technology, 96(7), 791–795. </w:t>
      </w:r>
      <w:proofErr w:type="gramStart"/>
      <w:r w:rsidRPr="00FE0DCB">
        <w:rPr>
          <w:rFonts w:ascii="Times New Roman" w:eastAsia="Times New Roman" w:hAnsi="Times New Roman" w:cs="Times New Roman"/>
        </w:rPr>
        <w:t>doi:10.1016/j.biortech</w:t>
      </w:r>
      <w:proofErr w:type="gramEnd"/>
      <w:r w:rsidRPr="00FE0DCB">
        <w:rPr>
          <w:rFonts w:ascii="Times New Roman" w:eastAsia="Times New Roman" w:hAnsi="Times New Roman" w:cs="Times New Roman"/>
        </w:rPr>
        <w:t xml:space="preserve">.2004.07.011 </w:t>
      </w:r>
    </w:p>
    <w:p w14:paraId="41AF77D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Pan, B., &amp; Xing, B. (2008). Adsorption Mechanisms of Organic Chemicals on Carbon Nanotubes. Environmental Science &amp; Technology, 42(24), 9005–9013. doi:10.1021/es801777n </w:t>
      </w:r>
    </w:p>
    <w:p w14:paraId="0395148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Paneysar</w:t>
      </w:r>
      <w:proofErr w:type="spellEnd"/>
      <w:r w:rsidRPr="00FE0DCB">
        <w:rPr>
          <w:rFonts w:ascii="Times New Roman" w:eastAsia="Times New Roman" w:hAnsi="Times New Roman" w:cs="Times New Roman"/>
        </w:rPr>
        <w:t>, J. S., Sawant, S., Ip, M. H., Bhullar, S. K., Barton, S., Ambre, P., &amp; Coutinho, E. (2019). Nanofibers for textile wastewater management. Water Practice and Technology, 14(2), 297–310. https://doi.org/10.2166/wpt.2019.014.</w:t>
      </w:r>
    </w:p>
    <w:p w14:paraId="094132F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Pearson, R. K. (2002). Outliers in process modeling and identification. IEEE Transactions on Control Systems Technology, 10(1), 55–63. https://doi.org/10.1109/87.974338</w:t>
      </w:r>
    </w:p>
    <w:p w14:paraId="254D293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Praveen TK, Dharmaraj S, Jitendra B, Dhanabal SP, </w:t>
      </w:r>
      <w:proofErr w:type="spellStart"/>
      <w:r w:rsidRPr="00FE0DCB">
        <w:rPr>
          <w:rFonts w:ascii="Times New Roman" w:eastAsia="Times New Roman" w:hAnsi="Times New Roman" w:cs="Times New Roman"/>
        </w:rPr>
        <w:t>Manimaran</w:t>
      </w:r>
      <w:proofErr w:type="spellEnd"/>
      <w:r w:rsidRPr="00FE0DCB">
        <w:rPr>
          <w:rFonts w:ascii="Times New Roman" w:eastAsia="Times New Roman" w:hAnsi="Times New Roman" w:cs="Times New Roman"/>
        </w:rPr>
        <w:t xml:space="preserve"> S, </w:t>
      </w:r>
      <w:proofErr w:type="spellStart"/>
      <w:r w:rsidRPr="00FE0DCB">
        <w:rPr>
          <w:rFonts w:ascii="Times New Roman" w:eastAsia="Times New Roman" w:hAnsi="Times New Roman" w:cs="Times New Roman"/>
        </w:rPr>
        <w:t>Nanjan</w:t>
      </w:r>
      <w:proofErr w:type="spellEnd"/>
      <w:r w:rsidRPr="00FE0DCB">
        <w:rPr>
          <w:rFonts w:ascii="Times New Roman" w:eastAsia="Times New Roman" w:hAnsi="Times New Roman" w:cs="Times New Roman"/>
        </w:rPr>
        <w:t xml:space="preserve"> MJ, Rema R. (2009) Hepatoprotective activity of PDM extract of Scoparia Dulcis L. against CCl4 induced acute liver injury in mice. Indian J. </w:t>
      </w:r>
      <w:proofErr w:type="spellStart"/>
      <w:r w:rsidRPr="00FE0DCB">
        <w:rPr>
          <w:rFonts w:ascii="Times New Roman" w:eastAsia="Times New Roman" w:hAnsi="Times New Roman" w:cs="Times New Roman"/>
        </w:rPr>
        <w:t>Pharmacol</w:t>
      </w:r>
      <w:proofErr w:type="spellEnd"/>
      <w:r w:rsidRPr="00FE0DCB">
        <w:rPr>
          <w:rFonts w:ascii="Times New Roman" w:eastAsia="Times New Roman" w:hAnsi="Times New Roman" w:cs="Times New Roman"/>
        </w:rPr>
        <w:t>. 41, 110-114</w:t>
      </w:r>
    </w:p>
    <w:p w14:paraId="1C32E3A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Qi Y., Bai M., Zhou H., Shi H., Li P., &amp; He B. (2021). Study on the Mechanical Properties of Red Clay under Drying-Wetting Cycles. Advances in Materials Science and Engineering, 1 – 16 </w:t>
      </w:r>
    </w:p>
    <w:p w14:paraId="6754016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Rakhila, Y., Ezza-hi, A., </w:t>
      </w:r>
      <w:proofErr w:type="spellStart"/>
      <w:r w:rsidRPr="00FE0DCB">
        <w:rPr>
          <w:rFonts w:ascii="Times New Roman" w:eastAsia="Times New Roman" w:hAnsi="Times New Roman" w:cs="Times New Roman"/>
        </w:rPr>
        <w:t>Elmchaouri</w:t>
      </w:r>
      <w:proofErr w:type="spellEnd"/>
      <w:r w:rsidRPr="00FE0DCB">
        <w:rPr>
          <w:rFonts w:ascii="Times New Roman" w:eastAsia="Times New Roman" w:hAnsi="Times New Roman" w:cs="Times New Roman"/>
        </w:rPr>
        <w:t xml:space="preserve">, A. &amp; </w:t>
      </w:r>
      <w:proofErr w:type="spellStart"/>
      <w:r w:rsidRPr="00FE0DCB">
        <w:rPr>
          <w:rFonts w:ascii="Times New Roman" w:eastAsia="Times New Roman" w:hAnsi="Times New Roman" w:cs="Times New Roman"/>
        </w:rPr>
        <w:t>Mestari</w:t>
      </w:r>
      <w:proofErr w:type="spellEnd"/>
      <w:r w:rsidRPr="00FE0DCB">
        <w:rPr>
          <w:rFonts w:ascii="Times New Roman" w:eastAsia="Times New Roman" w:hAnsi="Times New Roman" w:cs="Times New Roman"/>
        </w:rPr>
        <w:t>, A. (2018). Synthesis and Characterization of a Red Clay Based New Composite Ceramic Material. Advances in Materials Physics and Chemistry, 8, 295-310.</w:t>
      </w:r>
    </w:p>
    <w:p w14:paraId="1CC71C7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Rani S., &amp; Chaudhary S. (2022). Adsorption of methylene blue and crystal violet dye from waste water using Citrus limetta peel as an adsorbent. Materials Today: Proceedings, 60(1), 336-344.</w:t>
      </w:r>
    </w:p>
    <w:p w14:paraId="1D9CF79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Rápó, E., &amp; </w:t>
      </w:r>
      <w:proofErr w:type="spellStart"/>
      <w:r w:rsidRPr="00FE0DCB">
        <w:rPr>
          <w:rFonts w:ascii="Times New Roman" w:eastAsia="Times New Roman" w:hAnsi="Times New Roman" w:cs="Times New Roman"/>
        </w:rPr>
        <w:t>Tonk</w:t>
      </w:r>
      <w:proofErr w:type="spellEnd"/>
      <w:r w:rsidRPr="00FE0DCB">
        <w:rPr>
          <w:rFonts w:ascii="Times New Roman" w:eastAsia="Times New Roman" w:hAnsi="Times New Roman" w:cs="Times New Roman"/>
        </w:rPr>
        <w:t>, S. (2021). Factors Affecting Synthetic Dye Adsorption; Desorption Studies: A Review of Results from the Last Five Years (2017–2021). Molecules, 26(17), 5419. https://doi.org/10.3390/molecules26175419</w:t>
      </w:r>
    </w:p>
    <w:p w14:paraId="29D2882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Rauf, N., Tahir, S. S., Kang, J.-H., &amp; Chang, Y.-S. (2012). Equilibrium, thermodynamics and kinetics studies for the removal of alpha and beta endosulfan by adsorption onto bentonite clay. Chemical Engineering Journal, 192, 369–376.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.2012.03.047</w:t>
      </w:r>
    </w:p>
    <w:p w14:paraId="0CBE6AD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Rehman, M. U., Manan, A., Uzair, M., Khan, A. S., Ullah, A., Ahmad, A. S., … Khan, M. A. (2021). Physicochemical characterization of Pakistani clay for adsorption of methylene blue: Kinetic, isotherm and thermodynamic study. Materials Chemistry and Physics, 269, 124722. </w:t>
      </w:r>
      <w:proofErr w:type="gramStart"/>
      <w:r w:rsidRPr="00FE0DCB">
        <w:rPr>
          <w:rFonts w:ascii="Times New Roman" w:eastAsia="Times New Roman" w:hAnsi="Times New Roman" w:cs="Times New Roman"/>
        </w:rPr>
        <w:t>doi:10.1016/j.matchemphys</w:t>
      </w:r>
      <w:proofErr w:type="gramEnd"/>
      <w:r w:rsidRPr="00FE0DCB">
        <w:rPr>
          <w:rFonts w:ascii="Times New Roman" w:eastAsia="Times New Roman" w:hAnsi="Times New Roman" w:cs="Times New Roman"/>
        </w:rPr>
        <w:t xml:space="preserve">.2021.124722 </w:t>
      </w:r>
    </w:p>
    <w:p w14:paraId="001624D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Robinson T, McMullan G, Marchant R, Nigam P (2001) Remediation of dyes in textile effluent: a critical review on current treatment technologies with a proposed alternative.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77:247–255. doi:10.1016/S0960-8524(00)00080-8</w:t>
      </w:r>
    </w:p>
    <w:p w14:paraId="6C90C27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Romdhane, D. F., </w:t>
      </w:r>
      <w:proofErr w:type="spellStart"/>
      <w:r w:rsidRPr="00FE0DCB">
        <w:rPr>
          <w:rFonts w:ascii="Times New Roman" w:eastAsia="Times New Roman" w:hAnsi="Times New Roman" w:cs="Times New Roman"/>
        </w:rPr>
        <w:t>Satlaoui</w:t>
      </w:r>
      <w:proofErr w:type="spellEnd"/>
      <w:r w:rsidRPr="00FE0DCB">
        <w:rPr>
          <w:rFonts w:ascii="Times New Roman" w:eastAsia="Times New Roman" w:hAnsi="Times New Roman" w:cs="Times New Roman"/>
        </w:rPr>
        <w:t xml:space="preserve">, Y., </w:t>
      </w:r>
      <w:proofErr w:type="spellStart"/>
      <w:r w:rsidRPr="00FE0DCB">
        <w:rPr>
          <w:rFonts w:ascii="Times New Roman" w:eastAsia="Times New Roman" w:hAnsi="Times New Roman" w:cs="Times New Roman"/>
        </w:rPr>
        <w:t>Nasraoui</w:t>
      </w:r>
      <w:proofErr w:type="spellEnd"/>
      <w:r w:rsidRPr="00FE0DCB">
        <w:rPr>
          <w:rFonts w:ascii="Times New Roman" w:eastAsia="Times New Roman" w:hAnsi="Times New Roman" w:cs="Times New Roman"/>
        </w:rPr>
        <w:t xml:space="preserve">, R., Charef, A., &amp; </w:t>
      </w:r>
      <w:proofErr w:type="spellStart"/>
      <w:r w:rsidRPr="00FE0DCB">
        <w:rPr>
          <w:rFonts w:ascii="Times New Roman" w:eastAsia="Times New Roman" w:hAnsi="Times New Roman" w:cs="Times New Roman"/>
        </w:rPr>
        <w:t>Azouzi</w:t>
      </w:r>
      <w:proofErr w:type="spellEnd"/>
      <w:r w:rsidRPr="00FE0DCB">
        <w:rPr>
          <w:rFonts w:ascii="Times New Roman" w:eastAsia="Times New Roman" w:hAnsi="Times New Roman" w:cs="Times New Roman"/>
        </w:rPr>
        <w:t>, R. (2020). Adsorption, Modeling, Thermodynamic, and Kinetic Studies of Methyl Red Removal from Textile-Polluted Water Using Natural and Purified Organic Matter Rich Clays as Low-Cost Adsorbent. Journal of Chemistry, 2020, e4376173. https://doi.org/10.1155/2020/4376173</w:t>
      </w:r>
    </w:p>
    <w:p w14:paraId="0881586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Saha, P., Chowdhury, S., Gupta, S., &amp; Kumar, I. (2010). Insight into adsorption equilibrium, kinetics and thermodynamics of Malachite Green onto clayey soil of Indian origin. Chemical Engineering Journal, 165(3), 874–882.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.2010.10.048 </w:t>
      </w:r>
    </w:p>
    <w:p w14:paraId="652A253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Sakin Omer, O., Hussein, M. A., Hussein, B. H. M., &amp; </w:t>
      </w:r>
      <w:proofErr w:type="spellStart"/>
      <w:r w:rsidRPr="00FE0DCB">
        <w:rPr>
          <w:rFonts w:ascii="Times New Roman" w:eastAsia="Times New Roman" w:hAnsi="Times New Roman" w:cs="Times New Roman"/>
        </w:rPr>
        <w:t>Mgaidi</w:t>
      </w:r>
      <w:proofErr w:type="spellEnd"/>
      <w:r w:rsidRPr="00FE0DCB">
        <w:rPr>
          <w:rFonts w:ascii="Times New Roman" w:eastAsia="Times New Roman" w:hAnsi="Times New Roman" w:cs="Times New Roman"/>
        </w:rPr>
        <w:t xml:space="preserve">, A. (2018). Adsorption thermodynamics of cationic dyes (methylene blue and crystal violet) to a natural clay mineral from aqueous solution between 293.15 and 323.15 K. Arabian Journal of Chemistry, 11(5), 615–623. </w:t>
      </w:r>
    </w:p>
    <w:p w14:paraId="1CE1893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Samal, D. P. (2014). Characterization of activated carbon and study of adsorption of methylene blue dye using activated carbon (Doctoral dissertation).</w:t>
      </w:r>
    </w:p>
    <w:p w14:paraId="135ACB1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Schumacher, B. A. (2002). Methods for the determination of total organic carbon (TOC) in soils and sediments (pp. 1-23). Washington, DC: US Environmental Protection Agency, Office of Research and Development, Ecological Risk Assessment Support Center.</w:t>
      </w:r>
    </w:p>
    <w:p w14:paraId="1D2E1AB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Shao N., Tang S., Li S., Chen H., &amp; Zhang Z. (2019). Defective Analcime/Geopolymer Composite Membrane Derived from Fly Ash for Ultrafast and Highly Efficient Filtration of Organic Pollutants. Journal of Hazardous Materials, 121736.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.2019.121736 </w:t>
      </w:r>
    </w:p>
    <w:p w14:paraId="0CC3541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Sips, R. (1948). On the structure of a catalyst surface. The Journal of Chemical Physics, 16(5), 490-495.</w:t>
      </w:r>
    </w:p>
    <w:p w14:paraId="3C7CE08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Smilek, J., Sedláček, P., Kalina, M., &amp; </w:t>
      </w:r>
      <w:proofErr w:type="spellStart"/>
      <w:r w:rsidRPr="00FE0DCB">
        <w:rPr>
          <w:rFonts w:ascii="Times New Roman" w:eastAsia="Times New Roman" w:hAnsi="Times New Roman" w:cs="Times New Roman"/>
        </w:rPr>
        <w:t>Klučáková</w:t>
      </w:r>
      <w:proofErr w:type="spellEnd"/>
      <w:r w:rsidRPr="00FE0DCB">
        <w:rPr>
          <w:rFonts w:ascii="Times New Roman" w:eastAsia="Times New Roman" w:hAnsi="Times New Roman" w:cs="Times New Roman"/>
        </w:rPr>
        <w:t xml:space="preserve">, M. (2015). On the role of humic acids’ carboxyl groups in the binding of charged organic compounds. Chemosphere, 138, 503–510.  </w:t>
      </w:r>
      <w:proofErr w:type="gramStart"/>
      <w:r w:rsidRPr="00FE0DCB">
        <w:rPr>
          <w:rFonts w:ascii="Times New Roman" w:eastAsia="Times New Roman" w:hAnsi="Times New Roman" w:cs="Times New Roman"/>
        </w:rPr>
        <w:t>doi:10.1016/j.chemosphere</w:t>
      </w:r>
      <w:proofErr w:type="gramEnd"/>
      <w:r w:rsidRPr="00FE0DCB">
        <w:rPr>
          <w:rFonts w:ascii="Times New Roman" w:eastAsia="Times New Roman" w:hAnsi="Times New Roman" w:cs="Times New Roman"/>
        </w:rPr>
        <w:t xml:space="preserve">.2015.06.093 </w:t>
      </w:r>
    </w:p>
    <w:p w14:paraId="1DBD5D8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Sumanjit, Rani, S., &amp; Mahajan, R. K. (2016). Equilibrium, kinetics and thermodynamic parameters for adsorptive removal of dye Basic Blue 9 by ground nut shells and Eichhornia. Arabian Journal of Chemistry, 9, S1464–S1477. </w:t>
      </w:r>
      <w:proofErr w:type="gramStart"/>
      <w:r w:rsidRPr="00FE0DCB">
        <w:rPr>
          <w:rFonts w:ascii="Times New Roman" w:eastAsia="Times New Roman" w:hAnsi="Times New Roman" w:cs="Times New Roman"/>
        </w:rPr>
        <w:t>doi:10.1016/j.arabjc</w:t>
      </w:r>
      <w:proofErr w:type="gramEnd"/>
      <w:r w:rsidRPr="00FE0DCB">
        <w:rPr>
          <w:rFonts w:ascii="Times New Roman" w:eastAsia="Times New Roman" w:hAnsi="Times New Roman" w:cs="Times New Roman"/>
        </w:rPr>
        <w:t xml:space="preserve">.2012.03.013 10.1016/j.arabjc.2012.03.0 </w:t>
      </w:r>
    </w:p>
    <w:p w14:paraId="04BAB5E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SUNDRARAJAN, M., VISHNU, G., &amp; JOSEPH, K. (2007). Ozonation of light-shaded exhausted reactive dye bath for reuse. Dyes and Pigments, 75(2), 273–278. https://doi.org/10.1016/j.dyepig.2006.05.036.</w:t>
      </w:r>
    </w:p>
    <w:p w14:paraId="09E123E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Suraj Poudel (2020) organic matter determination (</w:t>
      </w:r>
      <w:proofErr w:type="spellStart"/>
      <w:r w:rsidRPr="00FE0DCB">
        <w:rPr>
          <w:rFonts w:ascii="Times New Roman" w:eastAsia="Times New Roman" w:hAnsi="Times New Roman" w:cs="Times New Roman"/>
        </w:rPr>
        <w:t>walkley</w:t>
      </w:r>
      <w:proofErr w:type="spellEnd"/>
      <w:r w:rsidRPr="00FE0DCB">
        <w:rPr>
          <w:rFonts w:ascii="Times New Roman" w:eastAsia="Times New Roman" w:hAnsi="Times New Roman" w:cs="Times New Roman"/>
        </w:rPr>
        <w:t>-black method) institute of agriculture and animal science, DOI:10.13140/RG.2.2.22043.00807</w:t>
      </w:r>
    </w:p>
    <w:p w14:paraId="1D2C201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Tang X., Ran G., Li J., Zhang Z., &amp; Xiang C. (2020). Extremely efficient and rapidly adsorb methylene blue using porous adsorbent prepared from waste paper: Kinetics and equilibrium studies. Journal of Hazardous Materials, 123579.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.2020.123579 </w:t>
      </w:r>
    </w:p>
    <w:p w14:paraId="40D8599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Thu Huyen Nguyen, Dao, T.-U. T., Gia Vu Pham, T S, </w:t>
      </w:r>
      <w:proofErr w:type="spellStart"/>
      <w:r w:rsidRPr="00FE0DCB">
        <w:rPr>
          <w:rFonts w:ascii="Times New Roman" w:eastAsia="Times New Roman" w:hAnsi="Times New Roman" w:cs="Times New Roman"/>
        </w:rPr>
        <w:t>Thi</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Thuong</w:t>
      </w:r>
      <w:proofErr w:type="spellEnd"/>
      <w:r w:rsidRPr="00FE0DCB">
        <w:rPr>
          <w:rFonts w:ascii="Times New Roman" w:eastAsia="Times New Roman" w:hAnsi="Times New Roman" w:cs="Times New Roman"/>
        </w:rPr>
        <w:t xml:space="preserve"> Nguyen, Hai, T., </w:t>
      </w:r>
      <w:proofErr w:type="spellStart"/>
      <w:r w:rsidRPr="00FE0DCB">
        <w:rPr>
          <w:rFonts w:ascii="Times New Roman" w:eastAsia="Times New Roman" w:hAnsi="Times New Roman" w:cs="Times New Roman"/>
        </w:rPr>
        <w:t>Manh</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Nhuong</w:t>
      </w:r>
      <w:proofErr w:type="spellEnd"/>
      <w:r w:rsidRPr="00FE0DCB">
        <w:rPr>
          <w:rFonts w:ascii="Times New Roman" w:eastAsia="Times New Roman" w:hAnsi="Times New Roman" w:cs="Times New Roman"/>
        </w:rPr>
        <w:t xml:space="preserve"> Chu, Nguyen, Q., &amp; Nguyen Anh Tien. (2020). Effect of pH on the adsorption </w:t>
      </w:r>
      <w:proofErr w:type="spellStart"/>
      <w:r w:rsidRPr="00FE0DCB">
        <w:rPr>
          <w:rFonts w:ascii="Times New Roman" w:eastAsia="Times New Roman" w:hAnsi="Times New Roman" w:cs="Times New Roman"/>
        </w:rPr>
        <w:t>behaviour</w:t>
      </w:r>
      <w:proofErr w:type="spellEnd"/>
      <w:r w:rsidRPr="00FE0DCB">
        <w:rPr>
          <w:rFonts w:ascii="Times New Roman" w:eastAsia="Times New Roman" w:hAnsi="Times New Roman" w:cs="Times New Roman"/>
        </w:rPr>
        <w:t xml:space="preserve"> of Congo Red Dye on the Mg-Al layered double hydroxide. 736(2), 022077–022077. https://doi.org/10.1088/1757-899x/736/2/022077</w:t>
      </w:r>
    </w:p>
    <w:p w14:paraId="46F1CF0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Toor, M., &amp; Jin, B. (2012). Adsorption characteristics, isotherm, kinetics, and diffusion of modified natural bentonite for removing diazo dye. Chemical Engineering Journal, 187, 79–88.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.2012.01.089 </w:t>
      </w:r>
    </w:p>
    <w:p w14:paraId="459FD28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Ullah, S., Ur Rahman, A., Ullah, F., Rashid, A., Arshad, T., </w:t>
      </w:r>
      <w:proofErr w:type="spellStart"/>
      <w:r w:rsidRPr="00FE0DCB">
        <w:rPr>
          <w:rFonts w:ascii="Times New Roman" w:eastAsia="Times New Roman" w:hAnsi="Times New Roman" w:cs="Times New Roman"/>
        </w:rPr>
        <w:t>Viglašová</w:t>
      </w:r>
      <w:proofErr w:type="spellEnd"/>
      <w:r w:rsidRPr="00FE0DCB">
        <w:rPr>
          <w:rFonts w:ascii="Times New Roman" w:eastAsia="Times New Roman" w:hAnsi="Times New Roman" w:cs="Times New Roman"/>
        </w:rPr>
        <w:t xml:space="preserve">, E., </w:t>
      </w:r>
      <w:proofErr w:type="spellStart"/>
      <w:r w:rsidRPr="00FE0DCB">
        <w:rPr>
          <w:rFonts w:ascii="Times New Roman" w:eastAsia="Times New Roman" w:hAnsi="Times New Roman" w:cs="Times New Roman"/>
        </w:rPr>
        <w:t>Galamboš</w:t>
      </w:r>
      <w:proofErr w:type="spellEnd"/>
      <w:r w:rsidRPr="00FE0DCB">
        <w:rPr>
          <w:rFonts w:ascii="Times New Roman" w:eastAsia="Times New Roman" w:hAnsi="Times New Roman" w:cs="Times New Roman"/>
        </w:rPr>
        <w:t xml:space="preserve">, M., Mahmoodi, N. M., &amp; Ullah, H. (2021). Adsorption of Malachite Green Dye onto </w:t>
      </w:r>
      <w:r w:rsidRPr="00FE0DCB">
        <w:rPr>
          <w:rFonts w:ascii="Times New Roman" w:eastAsia="Times New Roman" w:hAnsi="Times New Roman" w:cs="Times New Roman"/>
        </w:rPr>
        <w:lastRenderedPageBreak/>
        <w:t>Mesoporous Natural Inorganic Clays: Their Equilibrium Isotherm and Kinetics Studies. Water, 13(7), 965. https://doi.org/10.3390/w13070965</w:t>
      </w:r>
    </w:p>
    <w:p w14:paraId="1F5B509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Vijayakumar, G., Tamilarasan, R., &amp; </w:t>
      </w:r>
      <w:proofErr w:type="spellStart"/>
      <w:r w:rsidRPr="00FE0DCB">
        <w:rPr>
          <w:rFonts w:ascii="Times New Roman" w:eastAsia="Times New Roman" w:hAnsi="Times New Roman" w:cs="Times New Roman"/>
        </w:rPr>
        <w:t>Dharmendirakumar</w:t>
      </w:r>
      <w:proofErr w:type="spellEnd"/>
      <w:r w:rsidRPr="00FE0DCB">
        <w:rPr>
          <w:rFonts w:ascii="Times New Roman" w:eastAsia="Times New Roman" w:hAnsi="Times New Roman" w:cs="Times New Roman"/>
        </w:rPr>
        <w:t>, M. (2012). Adsorption, Kinetic, Equilibrium and Thermodynamic studies on the removal of basic dye Rhodamine-B from aqueous solution by the use of natural adsorbent perlite. J. Mater. Environ. Sci, 3(1), 157-170.</w:t>
      </w:r>
    </w:p>
    <w:p w14:paraId="0D30884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Wahyuhadi</w:t>
      </w:r>
      <w:proofErr w:type="spellEnd"/>
      <w:r w:rsidRPr="00FE0DCB">
        <w:rPr>
          <w:rFonts w:ascii="Times New Roman" w:eastAsia="Times New Roman" w:hAnsi="Times New Roman" w:cs="Times New Roman"/>
        </w:rPr>
        <w:t xml:space="preserve">, M. E., Riana </w:t>
      </w:r>
      <w:proofErr w:type="spellStart"/>
      <w:r w:rsidRPr="00FE0DCB">
        <w:rPr>
          <w:rFonts w:ascii="Times New Roman" w:eastAsia="Times New Roman" w:hAnsi="Times New Roman" w:cs="Times New Roman"/>
        </w:rPr>
        <w:t>Ayu</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Kusumadewi</w:t>
      </w:r>
      <w:proofErr w:type="spellEnd"/>
      <w:r w:rsidRPr="00FE0DCB">
        <w:rPr>
          <w:rFonts w:ascii="Times New Roman" w:eastAsia="Times New Roman" w:hAnsi="Times New Roman" w:cs="Times New Roman"/>
        </w:rPr>
        <w:t xml:space="preserve">, &amp; </w:t>
      </w:r>
      <w:proofErr w:type="spellStart"/>
      <w:r w:rsidRPr="00FE0DCB">
        <w:rPr>
          <w:rFonts w:ascii="Times New Roman" w:eastAsia="Times New Roman" w:hAnsi="Times New Roman" w:cs="Times New Roman"/>
        </w:rPr>
        <w:t>Rositayanti</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Hadisoebroto</w:t>
      </w:r>
      <w:proofErr w:type="spellEnd"/>
      <w:r w:rsidRPr="00FE0DCB">
        <w:rPr>
          <w:rFonts w:ascii="Times New Roman" w:eastAsia="Times New Roman" w:hAnsi="Times New Roman" w:cs="Times New Roman"/>
        </w:rPr>
        <w:t>. (2023). Effect of Contact Time on The Adsorption Process of Activated Carbon from Banana Peel in Reducing Heavy Metal Cd and Dyes Using a Stirring Tub (Pilot Scale). IOP Conference Series, 1203(1), 012035–012035. https://doi.org/10.1088/1755-1315/1203/1/012035</w:t>
      </w:r>
    </w:p>
    <w:p w14:paraId="19E7EAB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Wang Y., Li K., Li J., &amp; Tang S. (2021). Influence of Soil Particle Size on the Engineering Properties and Microstructure of a Red Clay. Journals of Applied Sciences, 11(22).</w:t>
      </w:r>
    </w:p>
    <w:p w14:paraId="71239AA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G., Wang, S., Sun, Z., Zheng, S., &amp; Xi, Y. (2017). Structures of nonionic surfactant modified montmorillonites and their enhanced adsorption capacities towards a cationic organic dye. Applied Clay Science, 148, 1–10.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.2017.08.001 </w:t>
      </w:r>
    </w:p>
    <w:p w14:paraId="7DF02F3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S., &amp; Zhu, Z. H. (2005). Sono chemical treatment of fly ash for dye removal from wastewater. Journal of Hazardous Materials, 126(1-3), 91–95.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.2005.06.009 </w:t>
      </w:r>
    </w:p>
    <w:p w14:paraId="025110B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S., Ang, H. M., &amp; </w:t>
      </w:r>
      <w:proofErr w:type="spellStart"/>
      <w:r w:rsidRPr="00FE0DCB">
        <w:rPr>
          <w:rFonts w:ascii="Times New Roman" w:eastAsia="Times New Roman" w:hAnsi="Times New Roman" w:cs="Times New Roman"/>
        </w:rPr>
        <w:t>Tadé</w:t>
      </w:r>
      <w:proofErr w:type="spellEnd"/>
      <w:r w:rsidRPr="00FE0DCB">
        <w:rPr>
          <w:rFonts w:ascii="Times New Roman" w:eastAsia="Times New Roman" w:hAnsi="Times New Roman" w:cs="Times New Roman"/>
        </w:rPr>
        <w:t xml:space="preserve">, M. O. (2008). Novel applications of red mud as coagulant, adsorbent and catalyst for environmentally benign processes. Chemosphere, 72(11), 1621–1635.  </w:t>
      </w:r>
      <w:proofErr w:type="gramStart"/>
      <w:r w:rsidRPr="00FE0DCB">
        <w:rPr>
          <w:rFonts w:ascii="Times New Roman" w:eastAsia="Times New Roman" w:hAnsi="Times New Roman" w:cs="Times New Roman"/>
        </w:rPr>
        <w:t>doi:10.1016/j.chemosphere</w:t>
      </w:r>
      <w:proofErr w:type="gramEnd"/>
      <w:r w:rsidRPr="00FE0DCB">
        <w:rPr>
          <w:rFonts w:ascii="Times New Roman" w:eastAsia="Times New Roman" w:hAnsi="Times New Roman" w:cs="Times New Roman"/>
        </w:rPr>
        <w:t xml:space="preserve">.2008.05.013 </w:t>
      </w:r>
    </w:p>
    <w:p w14:paraId="7AFA7F4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Wissem, H., &amp; Mongi, S. (2015). Ammonium sorption by soils profile of semi-arid areas. Journal of Environmental Science, Toxicology and Food Technology, 9(1), 133-141.</w:t>
      </w:r>
    </w:p>
    <w:p w14:paraId="76F11E2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Wu, T., Cai, X., Tan, S., Li, H., Liu, J., &amp; Yang, W. (2011). Adsorption characteristics of acrylonitrile, p-</w:t>
      </w:r>
      <w:proofErr w:type="spellStart"/>
      <w:r w:rsidRPr="00FE0DCB">
        <w:rPr>
          <w:rFonts w:ascii="Times New Roman" w:eastAsia="Times New Roman" w:hAnsi="Times New Roman" w:cs="Times New Roman"/>
        </w:rPr>
        <w:t>toluenesulfonic</w:t>
      </w:r>
      <w:proofErr w:type="spellEnd"/>
      <w:r w:rsidRPr="00FE0DCB">
        <w:rPr>
          <w:rFonts w:ascii="Times New Roman" w:eastAsia="Times New Roman" w:hAnsi="Times New Roman" w:cs="Times New Roman"/>
        </w:rPr>
        <w:t xml:space="preserve"> acid, 1-naphthalenesulfonic acid and methyl blue on </w:t>
      </w:r>
      <w:r w:rsidRPr="00FE0DCB">
        <w:rPr>
          <w:rFonts w:ascii="Times New Roman" w:eastAsia="Times New Roman" w:hAnsi="Times New Roman" w:cs="Times New Roman"/>
        </w:rPr>
        <w:lastRenderedPageBreak/>
        <w:t xml:space="preserve">graphene in aqueous solutions. Chemical Engineering Journal, 173(1), 144–149.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.2011.07.050</w:t>
      </w:r>
    </w:p>
    <w:p w14:paraId="1B1FD0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Xia, M., Liu, H., Wang, H., Sun, F., Zou, X., Chen, T., &amp; Xie, Q. (2021). Impact of the interaction between hematite and halloysite on environmental fate of organic pollutants. Applied Clay Science, 209, 106123.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.2021.106123 </w:t>
      </w:r>
    </w:p>
    <w:p w14:paraId="2E987A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Xue H., Wang X., Xu Q., Dhaouadi F., </w:t>
      </w:r>
      <w:proofErr w:type="spellStart"/>
      <w:r w:rsidRPr="00FE0DCB">
        <w:rPr>
          <w:rFonts w:ascii="Times New Roman" w:eastAsia="Times New Roman" w:hAnsi="Times New Roman" w:cs="Times New Roman"/>
        </w:rPr>
        <w:t>Sellaoui</w:t>
      </w:r>
      <w:proofErr w:type="spellEnd"/>
      <w:r w:rsidRPr="00FE0DCB">
        <w:rPr>
          <w:rFonts w:ascii="Times New Roman" w:eastAsia="Times New Roman" w:hAnsi="Times New Roman" w:cs="Times New Roman"/>
        </w:rPr>
        <w:t xml:space="preserve"> L., </w:t>
      </w:r>
      <w:proofErr w:type="spellStart"/>
      <w:r w:rsidRPr="00FE0DCB">
        <w:rPr>
          <w:rFonts w:ascii="Times New Roman" w:eastAsia="Times New Roman" w:hAnsi="Times New Roman" w:cs="Times New Roman"/>
        </w:rPr>
        <w:t>Seliem</w:t>
      </w:r>
      <w:proofErr w:type="spellEnd"/>
      <w:r w:rsidRPr="00FE0DCB">
        <w:rPr>
          <w:rFonts w:ascii="Times New Roman" w:eastAsia="Times New Roman" w:hAnsi="Times New Roman" w:cs="Times New Roman"/>
        </w:rPr>
        <w:t xml:space="preserve"> M. K., Lamine A. B., </w:t>
      </w:r>
      <w:proofErr w:type="spellStart"/>
      <w:r w:rsidRPr="00FE0DCB">
        <w:rPr>
          <w:rFonts w:ascii="Times New Roman" w:eastAsia="Times New Roman" w:hAnsi="Times New Roman" w:cs="Times New Roman"/>
        </w:rPr>
        <w:t>Belmabrouk</w:t>
      </w:r>
      <w:proofErr w:type="spellEnd"/>
      <w:r w:rsidRPr="00FE0DCB">
        <w:rPr>
          <w:rFonts w:ascii="Times New Roman" w:eastAsia="Times New Roman" w:hAnsi="Times New Roman" w:cs="Times New Roman"/>
        </w:rPr>
        <w:t xml:space="preserve"> H., </w:t>
      </w:r>
      <w:proofErr w:type="spellStart"/>
      <w:r w:rsidRPr="00FE0DCB">
        <w:rPr>
          <w:rFonts w:ascii="Times New Roman" w:eastAsia="Times New Roman" w:hAnsi="Times New Roman" w:cs="Times New Roman"/>
        </w:rPr>
        <w:t>Bajahzar</w:t>
      </w:r>
      <w:proofErr w:type="spellEnd"/>
      <w:r w:rsidRPr="00FE0DCB">
        <w:rPr>
          <w:rFonts w:ascii="Times New Roman" w:eastAsia="Times New Roman" w:hAnsi="Times New Roman" w:cs="Times New Roman"/>
        </w:rPr>
        <w:t xml:space="preserve"> A., Bonilla-</w:t>
      </w:r>
      <w:proofErr w:type="spellStart"/>
      <w:r w:rsidRPr="00FE0DCB">
        <w:rPr>
          <w:rFonts w:ascii="Times New Roman" w:eastAsia="Times New Roman" w:hAnsi="Times New Roman" w:cs="Times New Roman"/>
        </w:rPr>
        <w:t>Petriciolet</w:t>
      </w:r>
      <w:proofErr w:type="spellEnd"/>
      <w:r w:rsidRPr="00FE0DCB">
        <w:rPr>
          <w:rFonts w:ascii="Times New Roman" w:eastAsia="Times New Roman" w:hAnsi="Times New Roman" w:cs="Times New Roman"/>
        </w:rPr>
        <w:t xml:space="preserve"> A., Li Z., &amp; Li Q. (2022). Adsorption of methylene blue from aqueous solution on activated carbons and composite prepared from an agricultural waste biomass: A comparative study by experimental and advanced modeling analysis. Chemical Engineering Journal, 430(2), 132801, 1385-8947.</w:t>
      </w:r>
    </w:p>
    <w:p w14:paraId="2AA6C3F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Yago</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Neco</w:t>
      </w:r>
      <w:proofErr w:type="spellEnd"/>
      <w:r w:rsidRPr="00FE0DCB">
        <w:rPr>
          <w:rFonts w:ascii="Times New Roman" w:eastAsia="Times New Roman" w:hAnsi="Times New Roman" w:cs="Times New Roman"/>
        </w:rPr>
        <w:t xml:space="preserve"> Teixeira </w:t>
      </w:r>
      <w:proofErr w:type="spellStart"/>
      <w:proofErr w:type="gramStart"/>
      <w:r w:rsidRPr="00FE0DCB">
        <w:rPr>
          <w:rFonts w:ascii="Times New Roman" w:eastAsia="Times New Roman" w:hAnsi="Times New Roman" w:cs="Times New Roman"/>
        </w:rPr>
        <w:t>a,b</w:t>
      </w:r>
      <w:proofErr w:type="spellEnd"/>
      <w:proofErr w:type="gramEnd"/>
      <w:r w:rsidRPr="00FE0DCB">
        <w:rPr>
          <w:rFonts w:ascii="Times New Roman" w:eastAsia="Times New Roman" w:hAnsi="Times New Roman" w:cs="Times New Roman"/>
        </w:rPr>
        <w:t xml:space="preserve"> ,(2022) Francisco Jose de Paula Filho </w:t>
      </w:r>
      <w:proofErr w:type="spellStart"/>
      <w:r w:rsidRPr="00FE0DCB">
        <w:rPr>
          <w:rFonts w:ascii="Times New Roman" w:eastAsia="Times New Roman" w:hAnsi="Times New Roman" w:cs="Times New Roman"/>
        </w:rPr>
        <w:t>a,b</w:t>
      </w:r>
      <w:proofErr w:type="spellEnd"/>
      <w:r w:rsidRPr="00FE0DCB">
        <w:rPr>
          <w:rFonts w:ascii="Times New Roman" w:eastAsia="Times New Roman" w:hAnsi="Times New Roman" w:cs="Times New Roman"/>
        </w:rPr>
        <w:t xml:space="preserve">,* , </w:t>
      </w:r>
      <w:proofErr w:type="spellStart"/>
      <w:r w:rsidRPr="00FE0DCB">
        <w:rPr>
          <w:rFonts w:ascii="Times New Roman" w:eastAsia="Times New Roman" w:hAnsi="Times New Roman" w:cs="Times New Roman"/>
        </w:rPr>
        <w:t>Vinícius</w:t>
      </w:r>
      <w:proofErr w:type="spellEnd"/>
      <w:r w:rsidRPr="00FE0DCB">
        <w:rPr>
          <w:rFonts w:ascii="Times New Roman" w:eastAsia="Times New Roman" w:hAnsi="Times New Roman" w:cs="Times New Roman"/>
        </w:rPr>
        <w:t xml:space="preserve"> Pereira Bacurau c , Jorge Marcell Coelho Menezes b , Anderson Zhong Fan c , Ricardo Paulo Fonseca Melo Removal of Methylene Blue from a synthetic effluent by ionic </w:t>
      </w:r>
      <w:proofErr w:type="spellStart"/>
      <w:r w:rsidRPr="00FE0DCB">
        <w:rPr>
          <w:rFonts w:ascii="Times New Roman" w:eastAsia="Times New Roman" w:hAnsi="Times New Roman" w:cs="Times New Roman"/>
        </w:rPr>
        <w:t>flocculation.heliyon</w:t>
      </w:r>
      <w:proofErr w:type="spellEnd"/>
      <w:r w:rsidRPr="00FE0DCB">
        <w:rPr>
          <w:rFonts w:ascii="Times New Roman" w:eastAsia="Times New Roman" w:hAnsi="Times New Roman" w:cs="Times New Roman"/>
        </w:rPr>
        <w:t xml:space="preserve"> journal, https://doi.org/10.1016/j.heliyon.2022.e10868</w:t>
      </w:r>
    </w:p>
    <w:p w14:paraId="5AB7DBE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Yagub MT, Sen TK, Afroze S, Ang HM (2014) Dye and its removal from aqueous solution by adsorption: a review. Adv Colloid Interface Sci 209:172–184. </w:t>
      </w:r>
      <w:proofErr w:type="gramStart"/>
      <w:r w:rsidRPr="00FE0DCB">
        <w:rPr>
          <w:rFonts w:ascii="Times New Roman" w:eastAsia="Times New Roman" w:hAnsi="Times New Roman" w:cs="Times New Roman"/>
        </w:rPr>
        <w:t>doi:10.1016/j.cis</w:t>
      </w:r>
      <w:proofErr w:type="gramEnd"/>
      <w:r w:rsidRPr="00FE0DCB">
        <w:rPr>
          <w:rFonts w:ascii="Times New Roman" w:eastAsia="Times New Roman" w:hAnsi="Times New Roman" w:cs="Times New Roman"/>
        </w:rPr>
        <w:t>.2014.04.002.</w:t>
      </w:r>
    </w:p>
    <w:p w14:paraId="5A7B0CB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Yan, M., Huang, W., &amp; Li, Z. (2019). Chitosan cross-linked graphene oxide/lignosulfonate composite aerogel for enhanced adsorption of methylene blue in water. International Journal of Biological Macromolecules. </w:t>
      </w:r>
      <w:proofErr w:type="gramStart"/>
      <w:r w:rsidRPr="00FE0DCB">
        <w:rPr>
          <w:rFonts w:ascii="Times New Roman" w:eastAsia="Times New Roman" w:hAnsi="Times New Roman" w:cs="Times New Roman"/>
        </w:rPr>
        <w:t>doi:10.1016/j.ijbiomac</w:t>
      </w:r>
      <w:proofErr w:type="gramEnd"/>
      <w:r w:rsidRPr="00FE0DCB">
        <w:rPr>
          <w:rFonts w:ascii="Times New Roman" w:eastAsia="Times New Roman" w:hAnsi="Times New Roman" w:cs="Times New Roman"/>
        </w:rPr>
        <w:t xml:space="preserve">.2019.06.144 </w:t>
      </w:r>
    </w:p>
    <w:p w14:paraId="3DA3E1B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Yang, G., Wu, L., Xian, Q., Shen, F., Wu, J., &amp; Zhang, Y. (2016). Removal of Congo Red and Methylene Blue from Aqueous Solutions by Vermicompost-Derived </w:t>
      </w:r>
      <w:proofErr w:type="spellStart"/>
      <w:r w:rsidRPr="00FE0DCB">
        <w:rPr>
          <w:rFonts w:ascii="Times New Roman" w:eastAsia="Times New Roman" w:hAnsi="Times New Roman" w:cs="Times New Roman"/>
        </w:rPr>
        <w:t>Biochars</w:t>
      </w:r>
      <w:proofErr w:type="spellEnd"/>
      <w:r w:rsidRPr="00FE0DCB">
        <w:rPr>
          <w:rFonts w:ascii="Times New Roman" w:eastAsia="Times New Roman" w:hAnsi="Times New Roman" w:cs="Times New Roman"/>
        </w:rPr>
        <w:t xml:space="preserve">. PLOS ONE, 11(5), e0154562.  </w:t>
      </w:r>
      <w:proofErr w:type="gramStart"/>
      <w:r w:rsidRPr="00FE0DCB">
        <w:rPr>
          <w:rFonts w:ascii="Times New Roman" w:eastAsia="Times New Roman" w:hAnsi="Times New Roman" w:cs="Times New Roman"/>
        </w:rPr>
        <w:t>doi:10.1371/journal.pone</w:t>
      </w:r>
      <w:proofErr w:type="gramEnd"/>
      <w:r w:rsidRPr="00FE0DCB">
        <w:rPr>
          <w:rFonts w:ascii="Times New Roman" w:eastAsia="Times New Roman" w:hAnsi="Times New Roman" w:cs="Times New Roman"/>
        </w:rPr>
        <w:t xml:space="preserve">.0154562 </w:t>
      </w:r>
    </w:p>
    <w:p w14:paraId="5316C80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Ye, T., &amp; Pollack, G. H. (2022). Do aqueous solutions contain net charge? PLOS ONE, 17(10), e0275953. https://doi.org/10.1371/journal.pone.0275953</w:t>
      </w:r>
    </w:p>
    <w:p w14:paraId="2C0578C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Yoo, D. K., Ahmed, I., Sarker, M., Lee, H. J., Vinu, A., &amp; </w:t>
      </w:r>
      <w:proofErr w:type="spellStart"/>
      <w:r w:rsidRPr="00FE0DCB">
        <w:rPr>
          <w:rFonts w:ascii="Times New Roman" w:eastAsia="Times New Roman" w:hAnsi="Times New Roman" w:cs="Times New Roman"/>
        </w:rPr>
        <w:t>Jhung</w:t>
      </w:r>
      <w:proofErr w:type="spellEnd"/>
      <w:r w:rsidRPr="00FE0DCB">
        <w:rPr>
          <w:rFonts w:ascii="Times New Roman" w:eastAsia="Times New Roman" w:hAnsi="Times New Roman" w:cs="Times New Roman"/>
        </w:rPr>
        <w:t xml:space="preserve">, S. H. (2021). Metal–organic frameworks containing uncoordinated nitrogen: Preparation, modification, and application in adsorption. Materials Today. </w:t>
      </w:r>
      <w:proofErr w:type="gramStart"/>
      <w:r w:rsidRPr="00FE0DCB">
        <w:rPr>
          <w:rFonts w:ascii="Times New Roman" w:eastAsia="Times New Roman" w:hAnsi="Times New Roman" w:cs="Times New Roman"/>
        </w:rPr>
        <w:t>doi:10.1016/j.mattod</w:t>
      </w:r>
      <w:proofErr w:type="gramEnd"/>
      <w:r w:rsidRPr="00FE0DCB">
        <w:rPr>
          <w:rFonts w:ascii="Times New Roman" w:eastAsia="Times New Roman" w:hAnsi="Times New Roman" w:cs="Times New Roman"/>
        </w:rPr>
        <w:t xml:space="preserve">.2021.07.021 </w:t>
      </w:r>
    </w:p>
    <w:p w14:paraId="68F682B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Yu S., Jian-</w:t>
      </w:r>
      <w:proofErr w:type="spellStart"/>
      <w:r w:rsidRPr="00FE0DCB">
        <w:rPr>
          <w:rFonts w:ascii="Times New Roman" w:eastAsia="Times New Roman" w:hAnsi="Times New Roman" w:cs="Times New Roman"/>
        </w:rPr>
        <w:t>qiang</w:t>
      </w:r>
      <w:proofErr w:type="spellEnd"/>
      <w:r w:rsidRPr="00FE0DCB">
        <w:rPr>
          <w:rFonts w:ascii="Times New Roman" w:eastAsia="Times New Roman" w:hAnsi="Times New Roman" w:cs="Times New Roman"/>
        </w:rPr>
        <w:t xml:space="preserve"> W., </w:t>
      </w:r>
      <w:proofErr w:type="spellStart"/>
      <w:r w:rsidRPr="00FE0DCB">
        <w:rPr>
          <w:rFonts w:ascii="Times New Roman" w:eastAsia="Times New Roman" w:hAnsi="Times New Roman" w:cs="Times New Roman"/>
        </w:rPr>
        <w:t>Xue-jun</w:t>
      </w:r>
      <w:proofErr w:type="spellEnd"/>
      <w:r w:rsidRPr="00FE0DCB">
        <w:rPr>
          <w:rFonts w:ascii="Times New Roman" w:eastAsia="Times New Roman" w:hAnsi="Times New Roman" w:cs="Times New Roman"/>
        </w:rPr>
        <w:t xml:space="preserve"> C., Si-</w:t>
      </w:r>
      <w:proofErr w:type="spellStart"/>
      <w:r w:rsidRPr="00FE0DCB">
        <w:rPr>
          <w:rFonts w:ascii="Times New Roman" w:eastAsia="Times New Roman" w:hAnsi="Times New Roman" w:cs="Times New Roman"/>
        </w:rPr>
        <w:t>zhe</w:t>
      </w:r>
      <w:proofErr w:type="spellEnd"/>
      <w:r w:rsidRPr="00FE0DCB">
        <w:rPr>
          <w:rFonts w:ascii="Times New Roman" w:eastAsia="Times New Roman" w:hAnsi="Times New Roman" w:cs="Times New Roman"/>
        </w:rPr>
        <w:t xml:space="preserve"> Y., Ru-long B., Xin Y., </w:t>
      </w:r>
      <w:proofErr w:type="spellStart"/>
      <w:r w:rsidRPr="00FE0DCB">
        <w:rPr>
          <w:rFonts w:ascii="Times New Roman" w:eastAsia="Times New Roman" w:hAnsi="Times New Roman" w:cs="Times New Roman"/>
        </w:rPr>
        <w:t>Xiaochen</w:t>
      </w:r>
      <w:proofErr w:type="spellEnd"/>
      <w:r w:rsidRPr="00FE0DCB">
        <w:rPr>
          <w:rFonts w:ascii="Times New Roman" w:eastAsia="Times New Roman" w:hAnsi="Times New Roman" w:cs="Times New Roman"/>
        </w:rPr>
        <w:t xml:space="preserve"> Z., &amp; Yu H. (2022). Study the effects of dry-wet cycles and cadmium pollution on the mechanical properties and microstructure of red clay. Environmental Pollution, 302, 119037, 0269-7491.</w:t>
      </w:r>
    </w:p>
    <w:p w14:paraId="54028BD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Zainol, M., Muhamad, H., Sahid, I. B., &amp; Seman, I. A. (2016). Adsorption-desorption of hexaconazole in soils with respect to soil properties, temperature, and </w:t>
      </w:r>
      <w:proofErr w:type="spellStart"/>
      <w:r w:rsidRPr="00FE0DCB">
        <w:rPr>
          <w:rFonts w:ascii="Times New Roman" w:eastAsia="Times New Roman" w:hAnsi="Times New Roman" w:cs="Times New Roman"/>
        </w:rPr>
        <w:t>pH.</w:t>
      </w:r>
      <w:proofErr w:type="spellEnd"/>
      <w:r w:rsidRPr="00FE0DCB">
        <w:rPr>
          <w:rFonts w:ascii="Times New Roman" w:eastAsia="Times New Roman" w:hAnsi="Times New Roman" w:cs="Times New Roman"/>
        </w:rPr>
        <w:t xml:space="preserve"> Turkish Journal of Agriculture-Food Science and Technology, 4(6), 493-497.</w:t>
      </w:r>
    </w:p>
    <w:p w14:paraId="00BA8DC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Zhou X-J, Guo W-Q, Yang S-S, et al (2013) Ultrasonic-assisted ozone oxidation process of triphenylmethane dye degradation: evidence for the promotion effects of ultrasonic on malachite green decolorization and degradation mechanism.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128:827–830. </w:t>
      </w:r>
      <w:proofErr w:type="gramStart"/>
      <w:r w:rsidRPr="00FE0DCB">
        <w:rPr>
          <w:rFonts w:ascii="Times New Roman" w:eastAsia="Times New Roman" w:hAnsi="Times New Roman" w:cs="Times New Roman"/>
        </w:rPr>
        <w:t>doi:10.1016/j.biortech</w:t>
      </w:r>
      <w:proofErr w:type="gramEnd"/>
      <w:r w:rsidRPr="00FE0DCB">
        <w:rPr>
          <w:rFonts w:ascii="Times New Roman" w:eastAsia="Times New Roman" w:hAnsi="Times New Roman" w:cs="Times New Roman"/>
        </w:rPr>
        <w:t>.2012.10.086</w:t>
      </w:r>
    </w:p>
    <w:p w14:paraId="0FDD84E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Zhou, Y. F., &amp; Haynes, R. J. A (2012). Comparison of Water Treatment Sludge and Red Mud as Adsorbents of As and Se in Aqueous Solution and Their Capacity for Desorption and Regeneration. Water Air Soil </w:t>
      </w:r>
      <w:proofErr w:type="spellStart"/>
      <w:r w:rsidRPr="00FE0DCB">
        <w:rPr>
          <w:rFonts w:ascii="Times New Roman" w:eastAsia="Times New Roman" w:hAnsi="Times New Roman" w:cs="Times New Roman"/>
        </w:rPr>
        <w:t>Pollut</w:t>
      </w:r>
      <w:proofErr w:type="spellEnd"/>
      <w:r w:rsidRPr="00FE0DCB">
        <w:rPr>
          <w:rFonts w:ascii="Times New Roman" w:eastAsia="Times New Roman" w:hAnsi="Times New Roman" w:cs="Times New Roman"/>
        </w:rPr>
        <w:t xml:space="preserve"> 223, 5563–5573.</w:t>
      </w:r>
    </w:p>
    <w:p w14:paraId="404141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Zhu, L., &amp; Chen, B. (2000). Sorption Behavior </w:t>
      </w:r>
      <w:proofErr w:type="spellStart"/>
      <w:r w:rsidRPr="00FE0DCB">
        <w:rPr>
          <w:rFonts w:ascii="Times New Roman" w:eastAsia="Times New Roman" w:hAnsi="Times New Roman" w:cs="Times New Roman"/>
        </w:rPr>
        <w:t>ofp</w:t>
      </w:r>
      <w:proofErr w:type="spellEnd"/>
      <w:r w:rsidRPr="00FE0DCB">
        <w:rPr>
          <w:rFonts w:ascii="Times New Roman" w:eastAsia="Times New Roman" w:hAnsi="Times New Roman" w:cs="Times New Roman"/>
        </w:rPr>
        <w:t xml:space="preserve">-Nitrophenol on the Interface between Anion−Cation </w:t>
      </w:r>
      <w:proofErr w:type="spellStart"/>
      <w:r w:rsidRPr="00FE0DCB">
        <w:rPr>
          <w:rFonts w:ascii="Times New Roman" w:eastAsia="Times New Roman" w:hAnsi="Times New Roman" w:cs="Times New Roman"/>
        </w:rPr>
        <w:t>Organobentonite</w:t>
      </w:r>
      <w:proofErr w:type="spellEnd"/>
      <w:r w:rsidRPr="00FE0DCB">
        <w:rPr>
          <w:rFonts w:ascii="Times New Roman" w:eastAsia="Times New Roman" w:hAnsi="Times New Roman" w:cs="Times New Roman"/>
        </w:rPr>
        <w:t xml:space="preserve"> and Water. Environmental Science &amp; Technology, 34(14), 2997–3002.  doi:10.1021/es991460z</w:t>
      </w:r>
    </w:p>
    <w:p w14:paraId="226A7E7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Zhu, W., Jiang, X., Jiang, K., Liu, F., You, F., &amp; Yao, C. (2021). Fabrication of Reusable Carboxymethyl Cellulose/Graphene Oxide Composite Aerogel with Large Surface Area for Adsorption of Methylene Blue (MB). Nanomaterials, 11(6), 1609. doi:10.3390/nano11061609</w:t>
      </w:r>
      <w:bookmarkEnd w:id="227"/>
    </w:p>
    <w:p w14:paraId="204D08E0" w14:textId="77777777" w:rsidR="00395B6D" w:rsidRPr="00FE0DCB" w:rsidRDefault="00395B6D"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
    <w:p w14:paraId="462E1BF1"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046021F0"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p>
    <w:p w14:paraId="39F67B30" w14:textId="77777777" w:rsidR="005231D4" w:rsidRPr="00FE0DCB" w:rsidRDefault="005231D4" w:rsidP="005231D4">
      <w:pPr>
        <w:rPr>
          <w:rFonts w:ascii="Times New Roman" w:hAnsi="Times New Roman" w:cs="Times New Roman"/>
        </w:rPr>
      </w:pPr>
    </w:p>
    <w:sectPr w:rsidR="005231D4" w:rsidRPr="00FE0DC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435CC" w14:textId="77777777" w:rsidR="00557FA6" w:rsidRDefault="00557FA6" w:rsidP="00A3521F">
      <w:pPr>
        <w:spacing w:after="0" w:line="240" w:lineRule="auto"/>
      </w:pPr>
      <w:r>
        <w:separator/>
      </w:r>
    </w:p>
  </w:endnote>
  <w:endnote w:type="continuationSeparator" w:id="0">
    <w:p w14:paraId="7F088F99" w14:textId="77777777" w:rsidR="00557FA6" w:rsidRDefault="00557FA6" w:rsidP="00A35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CE718" w14:textId="77777777" w:rsidR="00A3521F" w:rsidRDefault="00A35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7FB8" w14:textId="77777777" w:rsidR="00A3521F" w:rsidRDefault="00A35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4040" w14:textId="77777777" w:rsidR="00A3521F" w:rsidRDefault="00A35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0DD19" w14:textId="77777777" w:rsidR="00557FA6" w:rsidRDefault="00557FA6" w:rsidP="00A3521F">
      <w:pPr>
        <w:spacing w:after="0" w:line="240" w:lineRule="auto"/>
      </w:pPr>
      <w:r>
        <w:separator/>
      </w:r>
    </w:p>
  </w:footnote>
  <w:footnote w:type="continuationSeparator" w:id="0">
    <w:p w14:paraId="4C13763C" w14:textId="77777777" w:rsidR="00557FA6" w:rsidRDefault="00557FA6" w:rsidP="00A35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109E" w14:textId="5C362296" w:rsidR="00A3521F" w:rsidRDefault="00A3521F">
    <w:pPr>
      <w:pStyle w:val="Header"/>
    </w:pPr>
    <w:r>
      <w:rPr>
        <w:noProof/>
      </w:rPr>
      <w:pict w14:anchorId="24C60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B844E" w14:textId="0588A9E5" w:rsidR="00A3521F" w:rsidRDefault="00A3521F">
    <w:pPr>
      <w:pStyle w:val="Header"/>
    </w:pPr>
    <w:r>
      <w:rPr>
        <w:noProof/>
      </w:rPr>
      <w:pict w14:anchorId="19FFC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5104" w14:textId="009C5999" w:rsidR="00A3521F" w:rsidRDefault="00A3521F">
    <w:pPr>
      <w:pStyle w:val="Header"/>
    </w:pPr>
    <w:r>
      <w:rPr>
        <w:noProof/>
      </w:rPr>
      <w:pict w14:anchorId="6421D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E30D3"/>
    <w:multiLevelType w:val="hybridMultilevel"/>
    <w:tmpl w:val="9A36A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6C6855"/>
    <w:multiLevelType w:val="hybridMultilevel"/>
    <w:tmpl w:val="922C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80"/>
    <w:rsid w:val="0001030F"/>
    <w:rsid w:val="00013702"/>
    <w:rsid w:val="0007324A"/>
    <w:rsid w:val="00073532"/>
    <w:rsid w:val="00395B6D"/>
    <w:rsid w:val="003D5E56"/>
    <w:rsid w:val="0041467E"/>
    <w:rsid w:val="0045431F"/>
    <w:rsid w:val="00504622"/>
    <w:rsid w:val="00520330"/>
    <w:rsid w:val="005231D4"/>
    <w:rsid w:val="00557FA6"/>
    <w:rsid w:val="00590D21"/>
    <w:rsid w:val="006B65E2"/>
    <w:rsid w:val="006F30F2"/>
    <w:rsid w:val="00784E4F"/>
    <w:rsid w:val="00842023"/>
    <w:rsid w:val="00866758"/>
    <w:rsid w:val="008F207D"/>
    <w:rsid w:val="009934F0"/>
    <w:rsid w:val="009D0D74"/>
    <w:rsid w:val="00A22B78"/>
    <w:rsid w:val="00A3521F"/>
    <w:rsid w:val="00A94DC9"/>
    <w:rsid w:val="00AA45F1"/>
    <w:rsid w:val="00CA0212"/>
    <w:rsid w:val="00D06F59"/>
    <w:rsid w:val="00D2178C"/>
    <w:rsid w:val="00D22C05"/>
    <w:rsid w:val="00D72724"/>
    <w:rsid w:val="00DD7808"/>
    <w:rsid w:val="00DF4359"/>
    <w:rsid w:val="00E07880"/>
    <w:rsid w:val="00E9424C"/>
    <w:rsid w:val="00EE172E"/>
    <w:rsid w:val="00EF05AF"/>
    <w:rsid w:val="00F363BF"/>
    <w:rsid w:val="00F8753B"/>
    <w:rsid w:val="00FE0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58DAD7"/>
  <w15:chartTrackingRefBased/>
  <w15:docId w15:val="{52963B7B-72C2-4EE5-AE09-9EB9E2C7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8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078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78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78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78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78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8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8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8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078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E078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78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78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78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78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8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8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880"/>
    <w:rPr>
      <w:rFonts w:eastAsiaTheme="majorEastAsia" w:cstheme="majorBidi"/>
      <w:color w:val="272727" w:themeColor="text1" w:themeTint="D8"/>
    </w:rPr>
  </w:style>
  <w:style w:type="paragraph" w:styleId="Title">
    <w:name w:val="Title"/>
    <w:basedOn w:val="Normal"/>
    <w:next w:val="Normal"/>
    <w:link w:val="TitleChar"/>
    <w:uiPriority w:val="10"/>
    <w:qFormat/>
    <w:rsid w:val="00E078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8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8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8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880"/>
    <w:pPr>
      <w:spacing w:before="160"/>
      <w:jc w:val="center"/>
    </w:pPr>
    <w:rPr>
      <w:i/>
      <w:iCs/>
      <w:color w:val="404040" w:themeColor="text1" w:themeTint="BF"/>
    </w:rPr>
  </w:style>
  <w:style w:type="character" w:customStyle="1" w:styleId="QuoteChar">
    <w:name w:val="Quote Char"/>
    <w:basedOn w:val="DefaultParagraphFont"/>
    <w:link w:val="Quote"/>
    <w:uiPriority w:val="29"/>
    <w:rsid w:val="00E07880"/>
    <w:rPr>
      <w:i/>
      <w:iCs/>
      <w:color w:val="404040" w:themeColor="text1" w:themeTint="BF"/>
    </w:rPr>
  </w:style>
  <w:style w:type="paragraph" w:styleId="ListParagraph">
    <w:name w:val="List Paragraph"/>
    <w:basedOn w:val="Normal"/>
    <w:uiPriority w:val="34"/>
    <w:qFormat/>
    <w:rsid w:val="00E07880"/>
    <w:pPr>
      <w:ind w:left="720"/>
      <w:contextualSpacing/>
    </w:pPr>
  </w:style>
  <w:style w:type="character" w:styleId="IntenseEmphasis">
    <w:name w:val="Intense Emphasis"/>
    <w:basedOn w:val="DefaultParagraphFont"/>
    <w:uiPriority w:val="21"/>
    <w:qFormat/>
    <w:rsid w:val="00E07880"/>
    <w:rPr>
      <w:i/>
      <w:iCs/>
      <w:color w:val="2F5496" w:themeColor="accent1" w:themeShade="BF"/>
    </w:rPr>
  </w:style>
  <w:style w:type="paragraph" w:styleId="IntenseQuote">
    <w:name w:val="Intense Quote"/>
    <w:basedOn w:val="Normal"/>
    <w:next w:val="Normal"/>
    <w:link w:val="IntenseQuoteChar"/>
    <w:uiPriority w:val="30"/>
    <w:qFormat/>
    <w:rsid w:val="00E078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7880"/>
    <w:rPr>
      <w:i/>
      <w:iCs/>
      <w:color w:val="2F5496" w:themeColor="accent1" w:themeShade="BF"/>
    </w:rPr>
  </w:style>
  <w:style w:type="character" w:styleId="IntenseReference">
    <w:name w:val="Intense Reference"/>
    <w:basedOn w:val="DefaultParagraphFont"/>
    <w:uiPriority w:val="32"/>
    <w:qFormat/>
    <w:rsid w:val="00E07880"/>
    <w:rPr>
      <w:b/>
      <w:bCs/>
      <w:smallCaps/>
      <w:color w:val="2F5496" w:themeColor="accent1" w:themeShade="BF"/>
      <w:spacing w:val="5"/>
    </w:rPr>
  </w:style>
  <w:style w:type="character" w:styleId="Hyperlink">
    <w:name w:val="Hyperlink"/>
    <w:basedOn w:val="DefaultParagraphFont"/>
    <w:uiPriority w:val="99"/>
    <w:unhideWhenUsed/>
    <w:qFormat/>
    <w:rsid w:val="009934F0"/>
    <w:rPr>
      <w:color w:val="0563C1" w:themeColor="hyperlink"/>
      <w:u w:val="single"/>
    </w:rPr>
  </w:style>
  <w:style w:type="paragraph" w:styleId="Caption">
    <w:name w:val="caption"/>
    <w:basedOn w:val="Normal"/>
    <w:next w:val="Normal"/>
    <w:uiPriority w:val="35"/>
    <w:unhideWhenUsed/>
    <w:qFormat/>
    <w:rsid w:val="005231D4"/>
    <w:pPr>
      <w:spacing w:after="200" w:line="240" w:lineRule="auto"/>
    </w:pPr>
    <w:rPr>
      <w:i/>
      <w:iCs/>
      <w:color w:val="44546A" w:themeColor="text2"/>
      <w:kern w:val="0"/>
      <w:sz w:val="18"/>
      <w:szCs w:val="18"/>
      <w:lang w:val="en-GB"/>
      <w14:ligatures w14:val="none"/>
    </w:rPr>
  </w:style>
  <w:style w:type="paragraph" w:customStyle="1" w:styleId="STYLE2">
    <w:name w:val="STYLE 2"/>
    <w:basedOn w:val="Heading2"/>
    <w:next w:val="Heading2"/>
    <w:link w:val="STYLE2Char"/>
    <w:autoRedefine/>
    <w:qFormat/>
    <w:rsid w:val="005231D4"/>
    <w:pPr>
      <w:tabs>
        <w:tab w:val="right" w:leader="dot" w:pos="8210"/>
      </w:tabs>
      <w:spacing w:before="100" w:beforeAutospacing="1" w:after="100" w:afterAutospacing="1" w:line="360" w:lineRule="auto"/>
    </w:pPr>
    <w:rPr>
      <w:rFonts w:ascii="Times New Roman" w:hAnsi="Times New Roman" w:cs="Times New Roman"/>
      <w:b/>
      <w:bCs/>
      <w:noProof/>
      <w:color w:val="auto"/>
      <w:kern w:val="0"/>
      <w:sz w:val="24"/>
      <w:szCs w:val="24"/>
      <w:lang w:val="en-GB"/>
      <w14:ligatures w14:val="none"/>
    </w:rPr>
  </w:style>
  <w:style w:type="character" w:customStyle="1" w:styleId="STYLE2Char">
    <w:name w:val="STYLE 2 Char"/>
    <w:basedOn w:val="DefaultParagraphFont"/>
    <w:link w:val="STYLE2"/>
    <w:rsid w:val="005231D4"/>
    <w:rPr>
      <w:rFonts w:ascii="Times New Roman" w:eastAsiaTheme="majorEastAsia" w:hAnsi="Times New Roman" w:cs="Times New Roman"/>
      <w:b/>
      <w:bCs/>
      <w:noProof/>
      <w:kern w:val="0"/>
      <w:lang w:val="en-GB"/>
      <w14:ligatures w14:val="none"/>
    </w:rPr>
  </w:style>
  <w:style w:type="table" w:styleId="TableGrid">
    <w:name w:val="Table Grid"/>
    <w:basedOn w:val="TableNormal"/>
    <w:qFormat/>
    <w:rsid w:val="0007353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21F"/>
  </w:style>
  <w:style w:type="paragraph" w:styleId="Footer">
    <w:name w:val="footer"/>
    <w:basedOn w:val="Normal"/>
    <w:link w:val="FooterChar"/>
    <w:uiPriority w:val="99"/>
    <w:unhideWhenUsed/>
    <w:rsid w:val="00A35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sonal\Downloads\Adsorption%20kinetics%20result-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ersonal\Downloads\Adsorption%20kinetics%20result-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PH3 CALIBERATION</c:f>
              <c:strCache>
                <c:ptCount val="1"/>
                <c:pt idx="0">
                  <c:v>PH3 CALIBERATION</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0562117235346"/>
                  <c:y val="0.445510717410324"/>
                </c:manualLayout>
              </c:layout>
              <c:tx>
                <c:rich>
                  <a:bodyPr rot="0" spcFirstLastPara="1" vertOverflow="ellipsis" vert="horz" wrap="square" anchor="ctr" anchorCtr="1"/>
                  <a:lstStyle/>
                  <a:p>
                    <a:pPr>
                      <a:defRPr lang="en-GB"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a:solidFill>
                          <a:srgbClr val="0070C0"/>
                        </a:solidFill>
                      </a:rPr>
                      <a:t>y = 0.1442x + 0.1738</a:t>
                    </a:r>
                    <a:br>
                      <a:rPr lang="en-US">
                        <a:solidFill>
                          <a:srgbClr val="0070C0"/>
                        </a:solidFill>
                      </a:rPr>
                    </a:br>
                    <a:r>
                      <a:rPr lang="en-US">
                        <a:solidFill>
                          <a:srgbClr val="0070C0"/>
                        </a:solidFill>
                      </a:rPr>
                      <a:t>R² = 0.9903</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CALI'!$H$3:$H$7</c:f>
              <c:numCache>
                <c:formatCode>General</c:formatCode>
                <c:ptCount val="5"/>
                <c:pt idx="0">
                  <c:v>0.21029999999999999</c:v>
                </c:pt>
                <c:pt idx="1">
                  <c:v>0.91920000000000002</c:v>
                </c:pt>
                <c:pt idx="2">
                  <c:v>1.7774000000000001</c:v>
                </c:pt>
                <c:pt idx="3">
                  <c:v>2.3521000000000001</c:v>
                </c:pt>
                <c:pt idx="4">
                  <c:v>2.9662999999999999</c:v>
                </c:pt>
              </c:numCache>
            </c:numRef>
          </c:yVal>
          <c:smooth val="0"/>
          <c:extLst>
            <c:ext xmlns:c16="http://schemas.microsoft.com/office/drawing/2014/chart" uri="{C3380CC4-5D6E-409C-BE32-E72D297353CC}">
              <c16:uniqueId val="{00000001-D393-42C2-8498-683664B5071D}"/>
            </c:ext>
          </c:extLst>
        </c:ser>
        <c:ser>
          <c:idx val="1"/>
          <c:order val="1"/>
          <c:tx>
            <c:strRef>
              <c:f>PH7 CALIBERATION</c:f>
              <c:strCache>
                <c:ptCount val="1"/>
                <c:pt idx="0">
                  <c:v>PH7 CALIBERATION</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4388232720909899"/>
                  <c:y val="0.18981481481481499"/>
                </c:manualLayout>
              </c:layout>
              <c:tx>
                <c:rich>
                  <a:bodyPr rot="0" spcFirstLastPara="1" vertOverflow="ellipsis" vert="horz" wrap="square" anchor="ctr" anchorCtr="1"/>
                  <a:lstStyle/>
                  <a:p>
                    <a:pPr>
                      <a:defRPr lang="en-GB"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a:solidFill>
                          <a:srgbClr val="FF0000"/>
                        </a:solidFill>
                      </a:rPr>
                      <a:t>y = 0.1516x + 0.1549</a:t>
                    </a:r>
                    <a:br>
                      <a:rPr lang="en-US">
                        <a:solidFill>
                          <a:srgbClr val="FF0000"/>
                        </a:solidFill>
                      </a:rPr>
                    </a:br>
                    <a:r>
                      <a:rPr lang="en-US">
                        <a:solidFill>
                          <a:srgbClr val="FF0000"/>
                        </a:solidFill>
                      </a:rPr>
                      <a:t>R² = 0.9947</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CALI'!$I$3:$I$7</c:f>
              <c:numCache>
                <c:formatCode>General</c:formatCode>
                <c:ptCount val="5"/>
                <c:pt idx="0">
                  <c:v>0.21890000000000001</c:v>
                </c:pt>
                <c:pt idx="1">
                  <c:v>0.98480000000000001</c:v>
                </c:pt>
                <c:pt idx="2">
                  <c:v>1.6860999999999999</c:v>
                </c:pt>
                <c:pt idx="3">
                  <c:v>2.5177</c:v>
                </c:pt>
                <c:pt idx="4">
                  <c:v>3.1006</c:v>
                </c:pt>
              </c:numCache>
            </c:numRef>
          </c:yVal>
          <c:smooth val="0"/>
          <c:extLst>
            <c:ext xmlns:c16="http://schemas.microsoft.com/office/drawing/2014/chart" uri="{C3380CC4-5D6E-409C-BE32-E72D297353CC}">
              <c16:uniqueId val="{00000003-D393-42C2-8498-683664B5071D}"/>
            </c:ext>
          </c:extLst>
        </c:ser>
        <c:ser>
          <c:idx val="2"/>
          <c:order val="2"/>
          <c:tx>
            <c:strRef>
              <c:f>PH11 CALIBERATION</c:f>
              <c:strCache>
                <c:ptCount val="1"/>
                <c:pt idx="0">
                  <c:v>PH11 CALIBERATION</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11610454943132099"/>
                  <c:y val="-1.2790536599591701E-2"/>
                </c:manualLayout>
              </c:layout>
              <c:tx>
                <c:rich>
                  <a:bodyPr rot="0" spcFirstLastPara="1" vertOverflow="ellipsis" vert="horz" wrap="square" anchor="ctr" anchorCtr="1"/>
                  <a:lstStyle/>
                  <a:p>
                    <a:pPr>
                      <a:defRPr lang="en-GB"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r>
                      <a:rPr lang="en-US">
                        <a:solidFill>
                          <a:srgbClr val="00B050"/>
                        </a:solidFill>
                      </a:rPr>
                      <a:t>y = 0.1389x + 0.2151</a:t>
                    </a:r>
                    <a:br>
                      <a:rPr lang="en-US">
                        <a:solidFill>
                          <a:srgbClr val="00B050"/>
                        </a:solidFill>
                      </a:rPr>
                    </a:br>
                    <a:r>
                      <a:rPr lang="en-US">
                        <a:solidFill>
                          <a:srgbClr val="00B050"/>
                        </a:solidFill>
                      </a:rPr>
                      <a:t>R² = 0.9873</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CALI'!$J$3:$J$7</c:f>
              <c:numCache>
                <c:formatCode>General</c:formatCode>
                <c:ptCount val="5"/>
                <c:pt idx="0">
                  <c:v>0.2661</c:v>
                </c:pt>
                <c:pt idx="1">
                  <c:v>0.90490000000000004</c:v>
                </c:pt>
                <c:pt idx="2">
                  <c:v>1.7149000000000001</c:v>
                </c:pt>
                <c:pt idx="3">
                  <c:v>2.4257</c:v>
                </c:pt>
                <c:pt idx="4">
                  <c:v>2.8483999999999998</c:v>
                </c:pt>
              </c:numCache>
            </c:numRef>
          </c:yVal>
          <c:smooth val="0"/>
          <c:extLst>
            <c:ext xmlns:c16="http://schemas.microsoft.com/office/drawing/2014/chart" uri="{C3380CC4-5D6E-409C-BE32-E72D297353CC}">
              <c16:uniqueId val="{00000005-D393-42C2-8498-683664B5071D}"/>
            </c:ext>
          </c:extLst>
        </c:ser>
        <c:dLbls>
          <c:showLegendKey val="0"/>
          <c:showVal val="0"/>
          <c:showCatName val="0"/>
          <c:showSerName val="0"/>
          <c:showPercent val="0"/>
          <c:showBubbleSize val="0"/>
        </c:dLbls>
        <c:axId val="178410640"/>
        <c:axId val="178413552"/>
      </c:scatterChart>
      <c:valAx>
        <c:axId val="17841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MB dye Concentration (mg/L)</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13552"/>
        <c:crosses val="autoZero"/>
        <c:crossBetween val="midCat"/>
      </c:valAx>
      <c:valAx>
        <c:axId val="17841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10640"/>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9416666666666704"/>
          <c:y val="0.15439814814814801"/>
        </c:manualLayout>
      </c:layout>
      <c:overlay val="0"/>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REMOVAL % VS SORBENT LOAD</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'SORBENT VARIABLE '!$H$13:$H$17</c:f>
              <c:numCache>
                <c:formatCode>General</c:formatCode>
                <c:ptCount val="5"/>
                <c:pt idx="0">
                  <c:v>0.04</c:v>
                </c:pt>
                <c:pt idx="1">
                  <c:v>0.1</c:v>
                </c:pt>
                <c:pt idx="2">
                  <c:v>0.16</c:v>
                </c:pt>
                <c:pt idx="3">
                  <c:v>0.2</c:v>
                </c:pt>
                <c:pt idx="4">
                  <c:v>0.3</c:v>
                </c:pt>
              </c:numCache>
            </c:numRef>
          </c:cat>
          <c:val>
            <c:numRef>
              <c:f>'SORBENT VARIABLE '!$K$13:$K$17</c:f>
              <c:numCache>
                <c:formatCode>General</c:formatCode>
                <c:ptCount val="5"/>
                <c:pt idx="0">
                  <c:v>95.458558166221678</c:v>
                </c:pt>
                <c:pt idx="1">
                  <c:v>98.322445194569113</c:v>
                </c:pt>
                <c:pt idx="2">
                  <c:v>100.31187865704709</c:v>
                </c:pt>
                <c:pt idx="3">
                  <c:v>100.60841524740103</c:v>
                </c:pt>
                <c:pt idx="4">
                  <c:v>100.36925524058398</c:v>
                </c:pt>
              </c:numCache>
            </c:numRef>
          </c:val>
          <c:extLst>
            <c:ext xmlns:c16="http://schemas.microsoft.com/office/drawing/2014/chart" uri="{C3380CC4-5D6E-409C-BE32-E72D297353CC}">
              <c16:uniqueId val="{00000000-41EA-4DFA-9E36-0D2CF9967256}"/>
            </c:ext>
          </c:extLst>
        </c:ser>
        <c:dLbls>
          <c:showLegendKey val="0"/>
          <c:showVal val="0"/>
          <c:showCatName val="0"/>
          <c:showSerName val="0"/>
          <c:showPercent val="0"/>
          <c:showBubbleSize val="0"/>
        </c:dLbls>
        <c:gapWidth val="150"/>
        <c:axId val="271383200"/>
        <c:axId val="271399008"/>
      </c:barChart>
      <c:catAx>
        <c:axId val="271383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Red Color Clay Mass (g)</a:t>
                </a:r>
              </a:p>
            </c:rich>
          </c:tx>
          <c:layout>
            <c:manualLayout>
              <c:xMode val="edge"/>
              <c:yMode val="edge"/>
              <c:x val="0.33354732878603094"/>
              <c:y val="0.900984403976530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99008"/>
        <c:crosses val="autoZero"/>
        <c:auto val="1"/>
        <c:lblAlgn val="ctr"/>
        <c:lblOffset val="100"/>
        <c:noMultiLvlLbl val="1"/>
      </c:catAx>
      <c:valAx>
        <c:axId val="27139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 Removal of  MB dye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8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"PH3"</c:f>
              <c:strCache>
                <c:ptCount val="1"/>
                <c:pt idx="0">
                  <c:v>PH3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kinetics result-2.xlsx]PH EXPERIMENT'!$B$5:$B$10</c:f>
              <c:numCache>
                <c:formatCode>General</c:formatCode>
                <c:ptCount val="6"/>
                <c:pt idx="0">
                  <c:v>0</c:v>
                </c:pt>
                <c:pt idx="1">
                  <c:v>5</c:v>
                </c:pt>
                <c:pt idx="2">
                  <c:v>20</c:v>
                </c:pt>
                <c:pt idx="3">
                  <c:v>40</c:v>
                </c:pt>
                <c:pt idx="4">
                  <c:v>60</c:v>
                </c:pt>
                <c:pt idx="5">
                  <c:v>240</c:v>
                </c:pt>
              </c:numCache>
            </c:numRef>
          </c:xVal>
          <c:yVal>
            <c:numRef>
              <c:f>'[Adsorption kinetics result-2.xlsx]PH EXPERIMENT'!$E$5:$E$10</c:f>
              <c:numCache>
                <c:formatCode>General</c:formatCode>
                <c:ptCount val="6"/>
                <c:pt idx="0">
                  <c:v>0</c:v>
                </c:pt>
                <c:pt idx="1">
                  <c:v>20.3506944444444</c:v>
                </c:pt>
                <c:pt idx="2">
                  <c:v>20.2694444444444</c:v>
                </c:pt>
                <c:pt idx="3">
                  <c:v>20.255555555555599</c:v>
                </c:pt>
                <c:pt idx="4">
                  <c:v>20.2361111111111</c:v>
                </c:pt>
                <c:pt idx="5">
                  <c:v>20.1388888888889</c:v>
                </c:pt>
              </c:numCache>
            </c:numRef>
          </c:yVal>
          <c:smooth val="0"/>
          <c:extLst>
            <c:ext xmlns:c16="http://schemas.microsoft.com/office/drawing/2014/chart" uri="{C3380CC4-5D6E-409C-BE32-E72D297353CC}">
              <c16:uniqueId val="{00000000-5256-4DFB-8E86-EE3352373DD3}"/>
            </c:ext>
          </c:extLst>
        </c:ser>
        <c:ser>
          <c:idx val="1"/>
          <c:order val="1"/>
          <c:tx>
            <c:strRef>
              <c:f>"PH7"</c:f>
              <c:strCache>
                <c:ptCount val="1"/>
                <c:pt idx="0">
                  <c:v>PH7</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kinetics result-2.xlsx]PH EXPERIMENT'!$B$14:$B$19</c:f>
              <c:numCache>
                <c:formatCode>General</c:formatCode>
                <c:ptCount val="6"/>
                <c:pt idx="0">
                  <c:v>0</c:v>
                </c:pt>
                <c:pt idx="1">
                  <c:v>5</c:v>
                </c:pt>
                <c:pt idx="2">
                  <c:v>20</c:v>
                </c:pt>
                <c:pt idx="3">
                  <c:v>40</c:v>
                </c:pt>
                <c:pt idx="4">
                  <c:v>60</c:v>
                </c:pt>
                <c:pt idx="5">
                  <c:v>240</c:v>
                </c:pt>
              </c:numCache>
            </c:numRef>
          </c:xVal>
          <c:yVal>
            <c:numRef>
              <c:f>'[Adsorption kinetics result-2.xlsx]PH EXPERIMENT'!$E$14:$E$19</c:f>
              <c:numCache>
                <c:formatCode>General</c:formatCode>
                <c:ptCount val="6"/>
                <c:pt idx="0">
                  <c:v>0</c:v>
                </c:pt>
                <c:pt idx="1">
                  <c:v>20.090728476821202</c:v>
                </c:pt>
                <c:pt idx="2">
                  <c:v>19.7960264900662</c:v>
                </c:pt>
                <c:pt idx="3">
                  <c:v>19.754966887417201</c:v>
                </c:pt>
                <c:pt idx="4">
                  <c:v>19.926490066225199</c:v>
                </c:pt>
                <c:pt idx="5">
                  <c:v>19.530463576158901</c:v>
                </c:pt>
              </c:numCache>
            </c:numRef>
          </c:yVal>
          <c:smooth val="0"/>
          <c:extLst>
            <c:ext xmlns:c16="http://schemas.microsoft.com/office/drawing/2014/chart" uri="{C3380CC4-5D6E-409C-BE32-E72D297353CC}">
              <c16:uniqueId val="{00000001-5256-4DFB-8E86-EE3352373DD3}"/>
            </c:ext>
          </c:extLst>
        </c:ser>
        <c:ser>
          <c:idx val="2"/>
          <c:order val="2"/>
          <c:tx>
            <c:strRef>
              <c:f>"PH11"</c:f>
              <c:strCache>
                <c:ptCount val="1"/>
                <c:pt idx="0">
                  <c:v>PH11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kinetics result-2.xlsx]PH EXPERIMENT'!$B$23:$B$28</c:f>
              <c:numCache>
                <c:formatCode>General</c:formatCode>
                <c:ptCount val="6"/>
                <c:pt idx="0">
                  <c:v>0</c:v>
                </c:pt>
                <c:pt idx="1">
                  <c:v>5</c:v>
                </c:pt>
                <c:pt idx="2">
                  <c:v>20</c:v>
                </c:pt>
                <c:pt idx="3">
                  <c:v>40</c:v>
                </c:pt>
                <c:pt idx="4">
                  <c:v>60</c:v>
                </c:pt>
                <c:pt idx="5">
                  <c:v>240</c:v>
                </c:pt>
              </c:numCache>
            </c:numRef>
          </c:xVal>
          <c:yVal>
            <c:numRef>
              <c:f>'[Adsorption kinetics result-2.xlsx]PH EXPERIMENT'!$E$23:$E$28</c:f>
              <c:numCache>
                <c:formatCode>General</c:formatCode>
                <c:ptCount val="6"/>
                <c:pt idx="0">
                  <c:v>0</c:v>
                </c:pt>
                <c:pt idx="1">
                  <c:v>19.935507246376801</c:v>
                </c:pt>
                <c:pt idx="2">
                  <c:v>19.4905797101449</c:v>
                </c:pt>
                <c:pt idx="3">
                  <c:v>19.320289855072499</c:v>
                </c:pt>
                <c:pt idx="4">
                  <c:v>19.262318840579699</c:v>
                </c:pt>
                <c:pt idx="5">
                  <c:v>19.161594202898499</c:v>
                </c:pt>
              </c:numCache>
            </c:numRef>
          </c:yVal>
          <c:smooth val="0"/>
          <c:extLst>
            <c:ext xmlns:c16="http://schemas.microsoft.com/office/drawing/2014/chart" uri="{C3380CC4-5D6E-409C-BE32-E72D297353CC}">
              <c16:uniqueId val="{00000002-5256-4DFB-8E86-EE3352373DD3}"/>
            </c:ext>
          </c:extLst>
        </c:ser>
        <c:dLbls>
          <c:showLegendKey val="0"/>
          <c:showVal val="0"/>
          <c:showCatName val="0"/>
          <c:showSerName val="0"/>
          <c:showPercent val="0"/>
          <c:showBubbleSize val="0"/>
        </c:dLbls>
        <c:axId val="2079601408"/>
        <c:axId val="2079601824"/>
      </c:scatterChart>
      <c:valAx>
        <c:axId val="2079601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(mins)</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601824"/>
        <c:crosses val="autoZero"/>
        <c:crossBetween val="midCat"/>
      </c:valAx>
      <c:valAx>
        <c:axId val="207960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QT (mg/g)</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601408"/>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032200357782"/>
          <c:y val="0.110472972972973"/>
          <c:w val="0.63924865831842603"/>
          <c:h val="0.62952702702702701"/>
        </c:manualLayout>
      </c:layout>
      <c:barChart>
        <c:barDir val="col"/>
        <c:grouping val="clustered"/>
        <c:varyColors val="0"/>
        <c:ser>
          <c:idx val="0"/>
          <c:order val="0"/>
          <c:tx>
            <c:strRef>
              <c:f>PH3, PH7, PH11.</c:f>
              <c:strCache>
                <c:ptCount val="1"/>
                <c:pt idx="0">
                  <c:v>PH3, PH7, PH11.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'PH EXPERIMENT'!$G$6:$G$8</c:f>
              <c:numCache>
                <c:formatCode>General</c:formatCode>
                <c:ptCount val="3"/>
                <c:pt idx="0">
                  <c:v>3</c:v>
                </c:pt>
                <c:pt idx="1">
                  <c:v>7</c:v>
                </c:pt>
                <c:pt idx="2">
                  <c:v>11</c:v>
                </c:pt>
              </c:numCache>
            </c:numRef>
          </c:cat>
          <c:val>
            <c:numRef>
              <c:f>'PH EXPERIMENT'!$H$6:$H$8</c:f>
              <c:numCache>
                <c:formatCode>General</c:formatCode>
                <c:ptCount val="3"/>
                <c:pt idx="0">
                  <c:v>19.397916666666699</c:v>
                </c:pt>
                <c:pt idx="1">
                  <c:v>19.513907284768202</c:v>
                </c:pt>
                <c:pt idx="2">
                  <c:v>19.082608695652201</c:v>
                </c:pt>
              </c:numCache>
            </c:numRef>
          </c:val>
          <c:extLst>
            <c:ext xmlns:c16="http://schemas.microsoft.com/office/drawing/2014/chart" uri="{C3380CC4-5D6E-409C-BE32-E72D297353CC}">
              <c16:uniqueId val="{00000000-E983-4CF8-AD5D-E3DB3D9C1BCE}"/>
            </c:ext>
          </c:extLst>
        </c:ser>
        <c:dLbls>
          <c:showLegendKey val="0"/>
          <c:showVal val="0"/>
          <c:showCatName val="0"/>
          <c:showSerName val="0"/>
          <c:showPercent val="0"/>
          <c:showBubbleSize val="0"/>
        </c:dLbls>
        <c:gapWidth val="150"/>
        <c:axId val="2079593920"/>
        <c:axId val="2079580608"/>
      </c:barChart>
      <c:catAx>
        <c:axId val="207959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pH Levels</a:t>
                </a:r>
              </a:p>
            </c:rich>
          </c:tx>
          <c:layout>
            <c:manualLayout>
              <c:xMode val="edge"/>
              <c:yMode val="edge"/>
              <c:x val="0.34561543385829702"/>
              <c:y val="0.873648648648649"/>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580608"/>
        <c:crosses val="autoZero"/>
        <c:auto val="1"/>
        <c:lblAlgn val="ctr"/>
        <c:lblOffset val="100"/>
        <c:noMultiLvlLbl val="1"/>
      </c:catAx>
      <c:valAx>
        <c:axId val="2079580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QE (mg/g)</a:t>
                </a:r>
              </a:p>
            </c:rich>
          </c:tx>
          <c:layout>
            <c:manualLayout>
              <c:xMode val="edge"/>
              <c:yMode val="edge"/>
              <c:x val="7.6770580441170896E-2"/>
              <c:y val="0.24257956602535299"/>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59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a:p>
            <a:pPr>
              <a:defRPr/>
            </a:pPr>
            <a:endParaRPr lang="en-US"/>
          </a:p>
        </c:rich>
      </c:tx>
      <c:layout>
        <c:manualLayout>
          <c:xMode val="edge"/>
          <c:yMode val="edge"/>
          <c:x val="0.15094788723928601"/>
          <c:y val="5.4274290480045102E-3"/>
        </c:manualLayout>
      </c:layout>
      <c:overlay val="0"/>
      <c:spPr>
        <a:noFill/>
        <a:ln>
          <a:noFill/>
        </a:ln>
        <a:effectLst/>
      </c:spPr>
      <c:txPr>
        <a:bodyPr rot="0" spcFirstLastPara="1" vertOverflow="ellipsis" vert="horz" wrap="square" anchor="ctr" anchorCtr="1"/>
        <a:lstStyle/>
        <a:p>
          <a:pPr>
            <a:defRPr lang="en-GB"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25090461020617"/>
          <c:y val="0.109137292417887"/>
          <c:w val="0.679481877742381"/>
          <c:h val="0.71298508131434801"/>
        </c:manualLayout>
      </c:layout>
      <c:scatterChart>
        <c:scatterStyle val="lineMarker"/>
        <c:varyColors val="0"/>
        <c:ser>
          <c:idx val="0"/>
          <c:order val="0"/>
          <c:tx>
            <c:strRef>
              <c:f>5mg/l,50mg/l,100mg/l,200mg/l,400mg/l,500mg/l.</c:f>
              <c:strCache>
                <c:ptCount val="1"/>
                <c:pt idx="0">
                  <c:v>5mg/l,50mg/l,100mg/l,200mg/l,400mg/l,500mg/l.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'MB DYE ADSORPTION EXPERIMENT'!$F$30:$F$36</c:f>
              <c:numCache>
                <c:formatCode>General</c:formatCode>
                <c:ptCount val="7"/>
                <c:pt idx="0">
                  <c:v>0</c:v>
                </c:pt>
                <c:pt idx="1">
                  <c:v>5</c:v>
                </c:pt>
                <c:pt idx="2">
                  <c:v>50</c:v>
                </c:pt>
                <c:pt idx="3">
                  <c:v>100</c:v>
                </c:pt>
                <c:pt idx="4">
                  <c:v>200</c:v>
                </c:pt>
                <c:pt idx="5">
                  <c:v>400</c:v>
                </c:pt>
                <c:pt idx="6">
                  <c:v>500</c:v>
                </c:pt>
              </c:numCache>
            </c:numRef>
          </c:xVal>
          <c:yVal>
            <c:numRef>
              <c:f>'MB DYE ADSORPTION EXPERIMENT'!$H$30:$H$36</c:f>
              <c:numCache>
                <c:formatCode>General</c:formatCode>
                <c:ptCount val="7"/>
                <c:pt idx="0">
                  <c:v>0</c:v>
                </c:pt>
                <c:pt idx="1">
                  <c:v>0</c:v>
                </c:pt>
                <c:pt idx="2">
                  <c:v>253.89511873350901</c:v>
                </c:pt>
                <c:pt idx="3">
                  <c:v>676.01912742744003</c:v>
                </c:pt>
                <c:pt idx="4">
                  <c:v>712.13720316623005</c:v>
                </c:pt>
                <c:pt idx="5">
                  <c:v>725.59366754617395</c:v>
                </c:pt>
                <c:pt idx="6">
                  <c:v>812.99472295514499</c:v>
                </c:pt>
              </c:numCache>
            </c:numRef>
          </c:yVal>
          <c:smooth val="0"/>
          <c:extLst>
            <c:ext xmlns:c16="http://schemas.microsoft.com/office/drawing/2014/chart" uri="{C3380CC4-5D6E-409C-BE32-E72D297353CC}">
              <c16:uniqueId val="{00000001-4D8D-4665-9698-FF26BEEBF977}"/>
            </c:ext>
          </c:extLst>
        </c:ser>
        <c:ser>
          <c:idx val="1"/>
          <c:order val="1"/>
          <c:tx>
            <c:strRef>
              <c:f>outline for 300mg/l</c:f>
              <c:strCache>
                <c:ptCount val="1"/>
                <c:pt idx="0">
                  <c:v>outline for 300mg/l</c:v>
                </c:pt>
              </c:strCache>
            </c:strRef>
          </c:tx>
          <c:spPr>
            <a:ln w="19050" cap="rnd">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round/>
            </a:ln>
            <a:effectLst>
              <a:glow rad="241300">
                <a:schemeClr val="accent1">
                  <a:lumMod val="75000"/>
                </a:schemeClr>
              </a:glow>
            </a:effectLst>
          </c:spPr>
          <c:marker>
            <c:symbol val="circle"/>
            <c:size val="5"/>
            <c:spPr>
              <a:solidFill>
                <a:schemeClr val="accent2"/>
              </a:solidFill>
              <a:ln w="9525">
                <a:solidFill>
                  <a:schemeClr val="accent2"/>
                </a:solidFill>
              </a:ln>
              <a:effectLst>
                <a:glow rad="241300">
                  <a:schemeClr val="accent1">
                    <a:lumMod val="75000"/>
                  </a:schemeClr>
                </a:glo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D8D-4665-9698-FF26BEEBF977}"/>
                </c:ext>
              </c:extLst>
            </c:dLbl>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xVal>
            <c:numRef>
              <c:f>'MB DYE ADSORPTION EXPERIMENT'!$C$35</c:f>
              <c:numCache>
                <c:formatCode>General</c:formatCode>
                <c:ptCount val="1"/>
                <c:pt idx="0">
                  <c:v>231.253298153034</c:v>
                </c:pt>
              </c:numCache>
            </c:numRef>
          </c:xVal>
          <c:yVal>
            <c:numRef>
              <c:f>'MB DYE ADSORPTION EXPERIMENT'!$D$35</c:f>
              <c:numCache>
                <c:formatCode>General</c:formatCode>
                <c:ptCount val="1"/>
                <c:pt idx="0">
                  <c:v>476.56662269129299</c:v>
                </c:pt>
              </c:numCache>
            </c:numRef>
          </c:yVal>
          <c:smooth val="0"/>
          <c:extLst>
            <c:ext xmlns:c16="http://schemas.microsoft.com/office/drawing/2014/chart" uri="{C3380CC4-5D6E-409C-BE32-E72D297353CC}">
              <c16:uniqueId val="{00000004-4D8D-4665-9698-FF26BEEBF977}"/>
            </c:ext>
          </c:extLst>
        </c:ser>
        <c:dLbls>
          <c:showLegendKey val="0"/>
          <c:showVal val="0"/>
          <c:showCatName val="0"/>
          <c:showSerName val="0"/>
          <c:showPercent val="0"/>
          <c:showBubbleSize val="0"/>
        </c:dLbls>
        <c:axId val="1598287711"/>
        <c:axId val="1598291455"/>
      </c:scatterChart>
      <c:valAx>
        <c:axId val="15982877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Dye Concentration (mg/L)</a:t>
                </a:r>
              </a:p>
            </c:rich>
          </c:tx>
          <c:layout>
            <c:manualLayout>
              <c:xMode val="edge"/>
              <c:yMode val="edge"/>
              <c:x val="0.28475506401394501"/>
              <c:y val="0.90965732087227402"/>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8291455"/>
        <c:crosses val="autoZero"/>
        <c:crossBetween val="midCat"/>
      </c:valAx>
      <c:valAx>
        <c:axId val="1598291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QE (mg/g)</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82877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GRAPHS!$S$49:$S$55</c:f>
              <c:numCache>
                <c:formatCode>General</c:formatCode>
                <c:ptCount val="7"/>
                <c:pt idx="0">
                  <c:v>5.29</c:v>
                </c:pt>
                <c:pt idx="1">
                  <c:v>50.84</c:v>
                </c:pt>
                <c:pt idx="2">
                  <c:v>138.02000000000001</c:v>
                </c:pt>
                <c:pt idx="3">
                  <c:v>261.45999999999998</c:v>
                </c:pt>
                <c:pt idx="4">
                  <c:v>313.82</c:v>
                </c:pt>
                <c:pt idx="5">
                  <c:v>404.06</c:v>
                </c:pt>
                <c:pt idx="6">
                  <c:v>538.24</c:v>
                </c:pt>
              </c:numCache>
            </c:numRef>
          </c:cat>
          <c:val>
            <c:numRef>
              <c:f>GRAPHS!$W$49:$W$55</c:f>
              <c:numCache>
                <c:formatCode>General</c:formatCode>
                <c:ptCount val="7"/>
                <c:pt idx="0">
                  <c:v>100</c:v>
                </c:pt>
                <c:pt idx="1">
                  <c:v>99.8780384007772</c:v>
                </c:pt>
                <c:pt idx="2">
                  <c:v>97.954007390233301</c:v>
                </c:pt>
                <c:pt idx="3">
                  <c:v>54.472217809996103</c:v>
                </c:pt>
                <c:pt idx="4">
                  <c:v>26.310210262878599</c:v>
                </c:pt>
                <c:pt idx="5">
                  <c:v>35.914321875705703</c:v>
                </c:pt>
                <c:pt idx="6">
                  <c:v>61.770739539246797</c:v>
                </c:pt>
              </c:numCache>
            </c:numRef>
          </c:val>
          <c:extLst>
            <c:ext xmlns:c16="http://schemas.microsoft.com/office/drawing/2014/chart" uri="{C3380CC4-5D6E-409C-BE32-E72D297353CC}">
              <c16:uniqueId val="{00000000-847D-4BF3-92A1-778E6DCB03F7}"/>
            </c:ext>
          </c:extLst>
        </c:ser>
        <c:dLbls>
          <c:showLegendKey val="0"/>
          <c:showVal val="0"/>
          <c:showCatName val="0"/>
          <c:showSerName val="0"/>
          <c:showPercent val="0"/>
          <c:showBubbleSize val="0"/>
        </c:dLbls>
        <c:gapWidth val="150"/>
        <c:axId val="631600896"/>
        <c:axId val="631597568"/>
      </c:barChart>
      <c:catAx>
        <c:axId val="631600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Initial Concentration of MB Dye (mg/L)</a:t>
                </a:r>
              </a:p>
            </c:rich>
          </c:tx>
          <c:layout>
            <c:manualLayout>
              <c:xMode val="edge"/>
              <c:yMode val="edge"/>
              <c:x val="0.21769313210848601"/>
              <c:y val="0.911087780694080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597568"/>
        <c:crosses val="autoZero"/>
        <c:auto val="1"/>
        <c:lblAlgn val="ctr"/>
        <c:lblOffset val="100"/>
        <c:noMultiLvlLbl val="0"/>
      </c:catAx>
      <c:valAx>
        <c:axId val="63159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 Removal of  MB Dye Concentration (mg/l)</a:t>
                </a:r>
              </a:p>
            </c:rich>
          </c:tx>
          <c:layout>
            <c:manualLayout>
              <c:xMode val="edge"/>
              <c:yMode val="edge"/>
              <c:x val="8.3333333333333297E-3"/>
              <c:y val="0.17565179352580901"/>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60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08513635209"/>
          <c:y val="7.2476571032177806E-2"/>
          <c:w val="0.78979271113622396"/>
          <c:h val="0.728996220701837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1"/>
                </a:solidFill>
                <a:ln w="9525">
                  <a:solidFill>
                    <a:schemeClr val="accent1"/>
                  </a:solidFill>
                </a:ln>
                <a:effectLst>
                  <a:glow rad="292100">
                    <a:srgbClr val="FF0000"/>
                  </a:glow>
                </a:effectLst>
              </c:spPr>
            </c:marker>
            <c:bubble3D val="0"/>
            <c:spPr>
              <a:ln w="19050" cap="rnd">
                <a:noFill/>
                <a:round/>
              </a:ln>
              <a:effectLst>
                <a:glow rad="292100">
                  <a:srgbClr val="FF0000"/>
                </a:glow>
              </a:effectLst>
            </c:spPr>
            <c:extLst>
              <c:ext xmlns:c16="http://schemas.microsoft.com/office/drawing/2014/chart" uri="{C3380CC4-5D6E-409C-BE32-E72D297353CC}">
                <c16:uniqueId val="{00000001-F1D9-4079-BBC6-043C9291FBF5}"/>
              </c:ext>
            </c:extLst>
          </c:dPt>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6631640856864602"/>
                  <c:y val="4.15665448956535E-2"/>
                </c:manualLayout>
              </c:layout>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GRAPHS!$J$48:$J$55</c:f>
              <c:numCache>
                <c:formatCode>General</c:formatCode>
                <c:ptCount val="8"/>
                <c:pt idx="0">
                  <c:v>0</c:v>
                </c:pt>
                <c:pt idx="1">
                  <c:v>0</c:v>
                </c:pt>
                <c:pt idx="2">
                  <c:v>6.2005277044854798E-2</c:v>
                </c:pt>
                <c:pt idx="3">
                  <c:v>2.8238789999999998</c:v>
                </c:pt>
                <c:pt idx="4">
                  <c:v>119.03693931398401</c:v>
                </c:pt>
                <c:pt idx="5">
                  <c:v>218.50923482849601</c:v>
                </c:pt>
                <c:pt idx="6">
                  <c:v>258.94459102902402</c:v>
                </c:pt>
                <c:pt idx="7">
                  <c:v>205.76517150395799</c:v>
                </c:pt>
              </c:numCache>
            </c:numRef>
          </c:xVal>
          <c:yVal>
            <c:numRef>
              <c:f>GRAPHS!$L$48:$L$55</c:f>
              <c:numCache>
                <c:formatCode>General</c:formatCode>
                <c:ptCount val="8"/>
                <c:pt idx="0">
                  <c:v>0</c:v>
                </c:pt>
                <c:pt idx="1">
                  <c:v>0</c:v>
                </c:pt>
                <c:pt idx="2">
                  <c:v>2.4421610527272902E-4</c:v>
                </c:pt>
                <c:pt idx="3">
                  <c:v>4.1772176043984796E-3</c:v>
                </c:pt>
                <c:pt idx="4">
                  <c:v>0.16715450166728299</c:v>
                </c:pt>
                <c:pt idx="5">
                  <c:v>0.45850721478251799</c:v>
                </c:pt>
                <c:pt idx="6">
                  <c:v>0.35687272727272701</c:v>
                </c:pt>
                <c:pt idx="7">
                  <c:v>0.25309533468559797</c:v>
                </c:pt>
              </c:numCache>
            </c:numRef>
          </c:yVal>
          <c:smooth val="0"/>
          <c:extLst>
            <c:ext xmlns:c16="http://schemas.microsoft.com/office/drawing/2014/chart" uri="{C3380CC4-5D6E-409C-BE32-E72D297353CC}">
              <c16:uniqueId val="{00000004-F1D9-4079-BBC6-043C9291FBF5}"/>
            </c:ext>
          </c:extLst>
        </c:ser>
        <c:dLbls>
          <c:showLegendKey val="0"/>
          <c:showVal val="0"/>
          <c:showCatName val="0"/>
          <c:showSerName val="0"/>
          <c:showPercent val="0"/>
          <c:showBubbleSize val="0"/>
        </c:dLbls>
        <c:axId val="875916912"/>
        <c:axId val="875918576"/>
      </c:scatterChart>
      <c:valAx>
        <c:axId val="875916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CE</a:t>
                </a:r>
                <a:r>
                  <a:rPr lang="en-US" altLang="en-US" b="1">
                    <a:solidFill>
                      <a:schemeClr val="tx1"/>
                    </a:solidFill>
                    <a:latin typeface="Times New Roman" panose="02020603050405020304" charset="0"/>
                    <a:cs typeface="Times New Roman" panose="02020603050405020304" charset="0"/>
                  </a:rPr>
                  <a:t> (mg/L)</a:t>
                </a:r>
              </a:p>
            </c:rich>
          </c:tx>
          <c:layout>
            <c:manualLayout>
              <c:xMode val="edge"/>
              <c:yMode val="edge"/>
              <c:x val="0.45866071253513202"/>
              <c:y val="0.872124364429645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5918576"/>
        <c:crosses val="autoZero"/>
        <c:crossBetween val="midCat"/>
      </c:valAx>
      <c:valAx>
        <c:axId val="87591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sz="1000" b="1">
                    <a:solidFill>
                      <a:schemeClr val="tx1"/>
                    </a:solidFill>
                    <a:latin typeface="Times New Roman" panose="02020603050405020304" charset="0"/>
                    <a:cs typeface="Times New Roman" panose="02020603050405020304" charset="0"/>
                  </a:rPr>
                  <a:t>CE/QE</a:t>
                </a:r>
              </a:p>
            </c:rich>
          </c:tx>
          <c:layout>
            <c:manualLayout>
              <c:xMode val="edge"/>
              <c:yMode val="edge"/>
              <c:x val="8.83145977380893E-3"/>
              <c:y val="0.35782398900957901"/>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591691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634106051429"/>
          <c:y val="8.5352311730264502E-2"/>
          <c:w val="0.768442817025494"/>
          <c:h val="0.66333610008150701"/>
        </c:manualLayout>
      </c:layout>
      <c:scatterChart>
        <c:scatterStyle val="lineMarker"/>
        <c:varyColors val="0"/>
        <c:ser>
          <c:idx val="0"/>
          <c:order val="0"/>
          <c:tx>
            <c:strRef>
              <c:f>PFOK!$E$40</c:f>
              <c:strCache>
                <c:ptCount val="1"/>
                <c:pt idx="0">
                  <c:v>LOG (QE-QT) FOR 100mg/L MB</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2214708754254799E-2"/>
                  <c:y val="-0.28715330515985099"/>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1">
                            <a:lumMod val="40000"/>
                            <a:lumOff val="60000"/>
                          </a:schemeClr>
                        </a:solidFill>
                      </a:rPr>
                      <a:t>y = -0.0149x + 2.4544</a:t>
                    </a:r>
                    <a:br>
                      <a:rPr lang="en-US" baseline="0">
                        <a:solidFill>
                          <a:schemeClr val="accent1">
                            <a:lumMod val="40000"/>
                            <a:lumOff val="60000"/>
                          </a:schemeClr>
                        </a:solidFill>
                      </a:rPr>
                    </a:br>
                    <a:r>
                      <a:rPr lang="en-US" baseline="0">
                        <a:solidFill>
                          <a:schemeClr val="accent1">
                            <a:lumMod val="40000"/>
                            <a:lumOff val="60000"/>
                          </a:schemeClr>
                        </a:solidFill>
                      </a:rPr>
                      <a:t>R² = 0.6736</a:t>
                    </a:r>
                    <a:endParaRPr lang="en-US">
                      <a:solidFill>
                        <a:schemeClr val="accent1">
                          <a:lumMod val="40000"/>
                          <a:lumOff val="60000"/>
                        </a:schemeClr>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PFOK!$E$41:$E$45</c:f>
              <c:numCache>
                <c:formatCode>General</c:formatCode>
                <c:ptCount val="5"/>
                <c:pt idx="0">
                  <c:v>2.82995898413493</c:v>
                </c:pt>
                <c:pt idx="1">
                  <c:v>2.0684013037369402</c:v>
                </c:pt>
                <c:pt idx="2">
                  <c:v>1.9959851431751301</c:v>
                </c:pt>
                <c:pt idx="3">
                  <c:v>1.90968226115577</c:v>
                </c:pt>
                <c:pt idx="4">
                  <c:v>1.6064776194700701</c:v>
                </c:pt>
              </c:numCache>
            </c:numRef>
          </c:yVal>
          <c:smooth val="0"/>
          <c:extLst>
            <c:ext xmlns:c16="http://schemas.microsoft.com/office/drawing/2014/chart" uri="{C3380CC4-5D6E-409C-BE32-E72D297353CC}">
              <c16:uniqueId val="{00000001-8529-4ECF-8856-95C502E6A15A}"/>
            </c:ext>
          </c:extLst>
        </c:ser>
        <c:ser>
          <c:idx val="1"/>
          <c:order val="1"/>
          <c:tx>
            <c:strRef>
              <c:f>PFOK!$F$40</c:f>
              <c:strCache>
                <c:ptCount val="1"/>
                <c:pt idx="0">
                  <c:v>LOG (QE-QT) FOR 200mg/L MB</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75596316879751"/>
                  <c:y val="-0.31789312979274498"/>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-0.0201x + 2.5502</a:t>
                    </a:r>
                    <a:br>
                      <a:rPr lang="en-US" baseline="0">
                        <a:solidFill>
                          <a:schemeClr val="accent2"/>
                        </a:solidFill>
                      </a:rPr>
                    </a:br>
                    <a:r>
                      <a:rPr lang="en-US" baseline="0">
                        <a:solidFill>
                          <a:schemeClr val="accent2"/>
                        </a:solidFill>
                      </a:rPr>
                      <a:t>R² = 0.845</a:t>
                    </a:r>
                    <a:endParaRPr lang="en-US">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xVal>
            <c:numRef>
              <c:f>PFOK!$D$41:$D$45</c:f>
              <c:numCache>
                <c:formatCode>General</c:formatCode>
                <c:ptCount val="5"/>
                <c:pt idx="0">
                  <c:v>0</c:v>
                </c:pt>
                <c:pt idx="1">
                  <c:v>5</c:v>
                </c:pt>
                <c:pt idx="2">
                  <c:v>20</c:v>
                </c:pt>
                <c:pt idx="3">
                  <c:v>40</c:v>
                </c:pt>
                <c:pt idx="4">
                  <c:v>60</c:v>
                </c:pt>
              </c:numCache>
            </c:numRef>
          </c:xVal>
          <c:yVal>
            <c:numRef>
              <c:f>PFOK!$F$41:$F$45</c:f>
              <c:numCache>
                <c:formatCode>General</c:formatCode>
                <c:ptCount val="5"/>
                <c:pt idx="0">
                  <c:v>2.8525636745884499</c:v>
                </c:pt>
                <c:pt idx="1">
                  <c:v>2.2927877687685401</c:v>
                </c:pt>
                <c:pt idx="2">
                  <c:v>1.89830105100781</c:v>
                </c:pt>
                <c:pt idx="3">
                  <c:v>1.7696656530800801</c:v>
                </c:pt>
                <c:pt idx="4">
                  <c:v>1.4240666834078299</c:v>
                </c:pt>
              </c:numCache>
            </c:numRef>
          </c:yVal>
          <c:smooth val="0"/>
          <c:extLst>
            <c:ext xmlns:c16="http://schemas.microsoft.com/office/drawing/2014/chart" uri="{C3380CC4-5D6E-409C-BE32-E72D297353CC}">
              <c16:uniqueId val="{00000007-8529-4ECF-8856-95C502E6A15A}"/>
            </c:ext>
          </c:extLst>
        </c:ser>
        <c:ser>
          <c:idx val="2"/>
          <c:order val="2"/>
          <c:tx>
            <c:strRef>
              <c:f>PFOK!$G$40</c:f>
              <c:strCache>
                <c:ptCount val="1"/>
                <c:pt idx="0">
                  <c:v>LOG (QE-QT) FOR 300mg/L MB</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5441862784723301"/>
                  <c:y val="3.3479715603737699E-2"/>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-0.0117x + 2.2006</a:t>
                    </a:r>
                    <a:br>
                      <a:rPr lang="en-US" baseline="0">
                        <a:solidFill>
                          <a:schemeClr val="accent3"/>
                        </a:solidFill>
                      </a:rPr>
                    </a:br>
                    <a:r>
                      <a:rPr lang="en-US" baseline="0">
                        <a:solidFill>
                          <a:schemeClr val="accent3"/>
                        </a:solidFill>
                      </a:rPr>
                      <a:t>R² = 0.8028</a:t>
                    </a:r>
                    <a:endParaRPr lang="en-US">
                      <a:solidFill>
                        <a:schemeClr val="accent3"/>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PFOK!$G$41:$G$45</c:f>
              <c:numCache>
                <c:formatCode>General</c:formatCode>
                <c:ptCount val="5"/>
                <c:pt idx="0">
                  <c:v>2.0643196694417298</c:v>
                </c:pt>
                <c:pt idx="1">
                  <c:v>2.3703236117378301</c:v>
                </c:pt>
                <c:pt idx="2">
                  <c:v>1.8932939320278801</c:v>
                </c:pt>
                <c:pt idx="3">
                  <c:v>1.6586216922925101</c:v>
                </c:pt>
                <c:pt idx="4">
                  <c:v>1.5516945585269499</c:v>
                </c:pt>
              </c:numCache>
            </c:numRef>
          </c:yVal>
          <c:smooth val="0"/>
          <c:extLst>
            <c:ext xmlns:c16="http://schemas.microsoft.com/office/drawing/2014/chart" uri="{C3380CC4-5D6E-409C-BE32-E72D297353CC}">
              <c16:uniqueId val="{00000009-8529-4ECF-8856-95C502E6A15A}"/>
            </c:ext>
          </c:extLst>
        </c:ser>
        <c:ser>
          <c:idx val="3"/>
          <c:order val="3"/>
          <c:tx>
            <c:strRef>
              <c:f>PFOK!$H$40</c:f>
              <c:strCache>
                <c:ptCount val="1"/>
                <c:pt idx="0">
                  <c:v>LOG (QE-QT) FOR 500mg/L MB</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4990776939595799"/>
                  <c:y val="-0.28069819264044998"/>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-0.0251x + 2.5858</a:t>
                    </a:r>
                    <a:br>
                      <a:rPr lang="en-US" baseline="0">
                        <a:solidFill>
                          <a:schemeClr val="accent4"/>
                        </a:solidFill>
                      </a:rPr>
                    </a:br>
                    <a:r>
                      <a:rPr lang="en-US" baseline="0">
                        <a:solidFill>
                          <a:schemeClr val="accent4"/>
                        </a:solidFill>
                      </a:rPr>
                      <a:t>R² = 0.8759</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4"/>
                </a:solidFill>
                <a:prstDash val="sysDot"/>
              </a:ln>
              <a:effectLst/>
            </c:spPr>
            <c:trendlineType val="linear"/>
            <c:dispRSqr val="0"/>
            <c:dispEq val="0"/>
          </c:trendline>
          <c:xVal>
            <c:numRef>
              <c:f>PFOK!$D$41:$D$45</c:f>
              <c:numCache>
                <c:formatCode>General</c:formatCode>
                <c:ptCount val="5"/>
                <c:pt idx="0">
                  <c:v>0</c:v>
                </c:pt>
                <c:pt idx="1">
                  <c:v>5</c:v>
                </c:pt>
                <c:pt idx="2">
                  <c:v>20</c:v>
                </c:pt>
                <c:pt idx="3">
                  <c:v>40</c:v>
                </c:pt>
                <c:pt idx="4">
                  <c:v>60</c:v>
                </c:pt>
              </c:numCache>
            </c:numRef>
          </c:xVal>
          <c:yVal>
            <c:numRef>
              <c:f>PFOK!$H$41:$H$45</c:f>
              <c:numCache>
                <c:formatCode>General</c:formatCode>
                <c:ptCount val="5"/>
                <c:pt idx="0">
                  <c:v>2.9100877266532299</c:v>
                </c:pt>
                <c:pt idx="1">
                  <c:v>2.1594969577954601</c:v>
                </c:pt>
                <c:pt idx="2">
                  <c:v>1.9568131518260901</c:v>
                </c:pt>
                <c:pt idx="3">
                  <c:v>1.6892655050762899</c:v>
                </c:pt>
                <c:pt idx="4">
                  <c:v>1.0745733038071701</c:v>
                </c:pt>
              </c:numCache>
            </c:numRef>
          </c:yVal>
          <c:smooth val="0"/>
          <c:extLst>
            <c:ext xmlns:c16="http://schemas.microsoft.com/office/drawing/2014/chart" uri="{C3380CC4-5D6E-409C-BE32-E72D297353CC}">
              <c16:uniqueId val="{0000000C-8529-4ECF-8856-95C502E6A15A}"/>
            </c:ext>
          </c:extLst>
        </c:ser>
        <c:ser>
          <c:idx val="4"/>
          <c:order val="4"/>
          <c:tx>
            <c:strRef>
              <c:f>PFOK!$I$40</c:f>
              <c:strCache>
                <c:ptCount val="1"/>
                <c:pt idx="0">
                  <c:v>LOG (QE-QT) FOR 400mg/L MB</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1"/>
            <c:dispEq val="1"/>
            <c:trendlineLbl>
              <c:layout>
                <c:manualLayout>
                  <c:x val="4.71105665987556E-2"/>
                  <c:y val="0.213233281737219"/>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5"/>
                        </a:solidFill>
                      </a:rPr>
                      <a:t>y = -0.0167x + 2.6072</a:t>
                    </a:r>
                    <a:br>
                      <a:rPr lang="en-US" baseline="0">
                        <a:solidFill>
                          <a:schemeClr val="accent5"/>
                        </a:solidFill>
                      </a:rPr>
                    </a:br>
                    <a:r>
                      <a:rPr lang="en-US" baseline="0">
                        <a:solidFill>
                          <a:schemeClr val="accent5"/>
                        </a:solidFill>
                      </a:rPr>
                      <a:t>R² = 0.826</a:t>
                    </a:r>
                    <a:endParaRPr lang="en-US">
                      <a:solidFill>
                        <a:schemeClr val="accent5"/>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PFOK!$I$41:$I$45</c:f>
              <c:numCache>
                <c:formatCode>General</c:formatCode>
                <c:ptCount val="5"/>
                <c:pt idx="0">
                  <c:v>2.8606934838621898</c:v>
                </c:pt>
                <c:pt idx="1">
                  <c:v>2.4118106466046498</c:v>
                </c:pt>
                <c:pt idx="2">
                  <c:v>2.1201135928220798</c:v>
                </c:pt>
                <c:pt idx="3">
                  <c:v>1.7933517014968301</c:v>
                </c:pt>
                <c:pt idx="4">
                  <c:v>1.76378347085414</c:v>
                </c:pt>
              </c:numCache>
            </c:numRef>
          </c:yVal>
          <c:smooth val="0"/>
          <c:extLst>
            <c:ext xmlns:c16="http://schemas.microsoft.com/office/drawing/2014/chart" uri="{C3380CC4-5D6E-409C-BE32-E72D297353CC}">
              <c16:uniqueId val="{0000000F-8529-4ECF-8856-95C502E6A15A}"/>
            </c:ext>
          </c:extLst>
        </c:ser>
        <c:dLbls>
          <c:showLegendKey val="0"/>
          <c:showVal val="0"/>
          <c:showCatName val="0"/>
          <c:showSerName val="0"/>
          <c:showPercent val="0"/>
          <c:showBubbleSize val="0"/>
        </c:dLbls>
        <c:axId val="1842731968"/>
        <c:axId val="1842729248"/>
      </c:scatterChart>
      <c:valAx>
        <c:axId val="184273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sz="1050" b="1">
                    <a:solidFill>
                      <a:schemeClr val="tx1"/>
                    </a:solidFill>
                    <a:latin typeface="Times New Roman" panose="02020603050405020304" charset="0"/>
                    <a:cs typeface="Times New Roman" panose="02020603050405020304" charset="0"/>
                  </a:rPr>
                  <a:t>TIME</a:t>
                </a:r>
                <a:r>
                  <a:rPr lang="en-GB" sz="1050" b="1" baseline="0">
                    <a:solidFill>
                      <a:schemeClr val="tx1"/>
                    </a:solidFill>
                    <a:latin typeface="Times New Roman" panose="02020603050405020304" charset="0"/>
                    <a:cs typeface="Times New Roman" panose="02020603050405020304" charset="0"/>
                  </a:rPr>
                  <a:t> (MINS)</a:t>
                </a:r>
                <a:endParaRPr lang="en-GB" sz="1050" b="1">
                  <a:solidFill>
                    <a:schemeClr val="tx1"/>
                  </a:solidFill>
                  <a:latin typeface="Times New Roman" panose="02020603050405020304" charset="0"/>
                  <a:cs typeface="Times New Roman" panose="02020603050405020304" charset="0"/>
                </a:endParaRPr>
              </a:p>
            </c:rich>
          </c:tx>
          <c:layout>
            <c:manualLayout>
              <c:xMode val="edge"/>
              <c:yMode val="edge"/>
              <c:x val="0.387101940724563"/>
              <c:y val="0.837203415812340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42729248"/>
        <c:crosses val="autoZero"/>
        <c:crossBetween val="midCat"/>
      </c:valAx>
      <c:valAx>
        <c:axId val="184272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b="1">
                    <a:solidFill>
                      <a:schemeClr val="tx1"/>
                    </a:solidFill>
                    <a:latin typeface="Times New Roman" panose="02020603050405020304" charset="0"/>
                    <a:cs typeface="Times New Roman" panose="02020603050405020304" charset="0"/>
                  </a:rPr>
                  <a:t>LOG</a:t>
                </a:r>
                <a:r>
                  <a:rPr lang="en-GB" b="1" baseline="0">
                    <a:solidFill>
                      <a:schemeClr val="tx1"/>
                    </a:solidFill>
                    <a:latin typeface="Times New Roman" panose="02020603050405020304" charset="0"/>
                    <a:cs typeface="Times New Roman" panose="02020603050405020304" charset="0"/>
                  </a:rPr>
                  <a:t> (QE-QT)</a:t>
                </a:r>
                <a:endParaRPr lang="en-GB" b="1">
                  <a:solidFill>
                    <a:schemeClr val="tx1"/>
                  </a:solidFill>
                  <a:latin typeface="Times New Roman" panose="02020603050405020304" charset="0"/>
                  <a:cs typeface="Times New Roman" panose="02020603050405020304" charset="0"/>
                </a:endParaRPr>
              </a:p>
            </c:rich>
          </c:tx>
          <c:layout>
            <c:manualLayout>
              <c:xMode val="edge"/>
              <c:yMode val="edge"/>
              <c:x val="6.7589890424535998E-4"/>
              <c:y val="0.21374400849466499"/>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42731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1486512711"/>
          <c:y val="6.1184849465846597E-2"/>
          <c:w val="0.82454880652047302"/>
          <c:h val="0.71589511168663"/>
        </c:manualLayout>
      </c:layout>
      <c:scatterChart>
        <c:scatterStyle val="lineMarker"/>
        <c:varyColors val="0"/>
        <c:ser>
          <c:idx val="0"/>
          <c:order val="0"/>
          <c:tx>
            <c:strRef>
              <c:f>100 mg/L</c:f>
              <c:strCache>
                <c:ptCount val="1"/>
                <c:pt idx="0">
                  <c:v>100 mg/L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1148913660984401"/>
                  <c:y val="-0.172597926277545"/>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1"/>
                        </a:solidFill>
                      </a:rPr>
                      <a:t>y = 0.0015x + 0.0041</a:t>
                    </a:r>
                    <a:br>
                      <a:rPr lang="en-US" baseline="0">
                        <a:solidFill>
                          <a:schemeClr val="accent1"/>
                        </a:solidFill>
                      </a:rPr>
                    </a:br>
                    <a:r>
                      <a:rPr lang="en-US" baseline="0">
                        <a:solidFill>
                          <a:schemeClr val="accent1"/>
                        </a:solidFill>
                      </a:rPr>
                      <a:t>R² = 0.9994</a:t>
                    </a:r>
                    <a:endParaRPr lang="en-US">
                      <a:solidFill>
                        <a:schemeClr val="accent1"/>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GRAPHS!$C$80:$C$85</c:f>
              <c:numCache>
                <c:formatCode>General</c:formatCode>
                <c:ptCount val="6"/>
                <c:pt idx="0">
                  <c:v>0</c:v>
                </c:pt>
                <c:pt idx="1">
                  <c:v>8.9451667506757603E-3</c:v>
                </c:pt>
                <c:pt idx="2">
                  <c:v>3.4665690519847199E-2</c:v>
                </c:pt>
                <c:pt idx="3">
                  <c:v>6.7250001877543805E-2</c:v>
                </c:pt>
                <c:pt idx="4">
                  <c:v>9.4397482297767205E-2</c:v>
                </c:pt>
                <c:pt idx="5">
                  <c:v>0.35501954051701001</c:v>
                </c:pt>
              </c:numCache>
            </c:numRef>
          </c:yVal>
          <c:smooth val="0"/>
          <c:extLst>
            <c:ext xmlns:c16="http://schemas.microsoft.com/office/drawing/2014/chart" uri="{C3380CC4-5D6E-409C-BE32-E72D297353CC}">
              <c16:uniqueId val="{00000001-F41C-4021-831B-8C6B66ECBEB7}"/>
            </c:ext>
          </c:extLst>
        </c:ser>
        <c:ser>
          <c:idx val="1"/>
          <c:order val="1"/>
          <c:tx>
            <c:strRef>
              <c:f>200 mg/L</c:f>
              <c:strCache>
                <c:ptCount val="1"/>
                <c:pt idx="0">
                  <c:v>200 mg/L</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08574125929695"/>
                  <c:y val="0.21157314602477101"/>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0.0014x + 0.003</a:t>
                    </a:r>
                    <a:br>
                      <a:rPr lang="en-US" baseline="0">
                        <a:solidFill>
                          <a:schemeClr val="accent2"/>
                        </a:solidFill>
                      </a:rPr>
                    </a:br>
                    <a:r>
                      <a:rPr lang="en-US" baseline="0">
                        <a:solidFill>
                          <a:schemeClr val="accent2"/>
                        </a:solidFill>
                      </a:rPr>
                      <a:t>R² = 0.9998</a:t>
                    </a:r>
                    <a:endParaRPr lang="en-US">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GRAPHS!$D$80:$D$85</c:f>
              <c:numCache>
                <c:formatCode>General</c:formatCode>
                <c:ptCount val="6"/>
                <c:pt idx="0">
                  <c:v>0</c:v>
                </c:pt>
                <c:pt idx="1">
                  <c:v>9.6918552614755106E-3</c:v>
                </c:pt>
                <c:pt idx="2">
                  <c:v>3.1594852289897203E-2</c:v>
                </c:pt>
                <c:pt idx="3">
                  <c:v>6.12277867528268E-2</c:v>
                </c:pt>
                <c:pt idx="4">
                  <c:v>8.7516236109106096E-2</c:v>
                </c:pt>
                <c:pt idx="5">
                  <c:v>0.33701370878102899</c:v>
                </c:pt>
              </c:numCache>
            </c:numRef>
          </c:yVal>
          <c:smooth val="0"/>
          <c:extLst>
            <c:ext xmlns:c16="http://schemas.microsoft.com/office/drawing/2014/chart" uri="{C3380CC4-5D6E-409C-BE32-E72D297353CC}">
              <c16:uniqueId val="{00000003-F41C-4021-831B-8C6B66ECBEB7}"/>
            </c:ext>
          </c:extLst>
        </c:ser>
        <c:ser>
          <c:idx val="2"/>
          <c:order val="2"/>
          <c:tx>
            <c:strRef>
              <c:f>300 mg/L</c:f>
              <c:strCache>
                <c:ptCount val="1"/>
                <c:pt idx="0">
                  <c:v>300 mg/L</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0.0023x + 0.0099</a:t>
                    </a:r>
                    <a:br>
                      <a:rPr lang="en-US" baseline="0">
                        <a:solidFill>
                          <a:schemeClr val="accent3"/>
                        </a:solidFill>
                      </a:rPr>
                    </a:br>
                    <a:r>
                      <a:rPr lang="en-US" baseline="0">
                        <a:solidFill>
                          <a:schemeClr val="accent3"/>
                        </a:solidFill>
                      </a:rPr>
                      <a:t>R² = 0.9993</a:t>
                    </a:r>
                    <a:endParaRPr lang="en-US">
                      <a:solidFill>
                        <a:schemeClr val="accent3"/>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GRAPHS!$E$80:$E$85</c:f>
              <c:numCache>
                <c:formatCode>General</c:formatCode>
                <c:ptCount val="6"/>
                <c:pt idx="0">
                  <c:v>0</c:v>
                </c:pt>
                <c:pt idx="1">
                  <c:v>2.5072355908376399E-2</c:v>
                </c:pt>
                <c:pt idx="2">
                  <c:v>5.62106043752316E-2</c:v>
                </c:pt>
                <c:pt idx="3">
                  <c:v>0.102971642044489</c:v>
                </c:pt>
                <c:pt idx="4">
                  <c:v>0.150602260027319</c:v>
                </c:pt>
                <c:pt idx="5">
                  <c:v>0.55296933774079304</c:v>
                </c:pt>
              </c:numCache>
            </c:numRef>
          </c:yVal>
          <c:smooth val="0"/>
          <c:extLst>
            <c:ext xmlns:c16="http://schemas.microsoft.com/office/drawing/2014/chart" uri="{C3380CC4-5D6E-409C-BE32-E72D297353CC}">
              <c16:uniqueId val="{00000005-F41C-4021-831B-8C6B66ECBEB7}"/>
            </c:ext>
          </c:extLst>
        </c:ser>
        <c:ser>
          <c:idx val="3"/>
          <c:order val="3"/>
          <c:tx>
            <c:strRef>
              <c:f>400 mg/L</c:f>
              <c:strCache>
                <c:ptCount val="1"/>
                <c:pt idx="0">
                  <c:v>400 mg/L</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8218890968937399"/>
                  <c:y val="-1.71352477999074E-2"/>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0.0014x + 0.0046</a:t>
                    </a:r>
                    <a:br>
                      <a:rPr lang="en-US" baseline="0">
                        <a:solidFill>
                          <a:schemeClr val="accent4"/>
                        </a:solidFill>
                      </a:rPr>
                    </a:br>
                    <a:r>
                      <a:rPr lang="en-US" baseline="0">
                        <a:solidFill>
                          <a:schemeClr val="accent4"/>
                        </a:solidFill>
                      </a:rPr>
                      <a:t>R² = 0.9995</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GRAPHS!$G$80:$G$85</c:f>
              <c:numCache>
                <c:formatCode>General</c:formatCode>
                <c:ptCount val="6"/>
                <c:pt idx="0">
                  <c:v>0</c:v>
                </c:pt>
                <c:pt idx="1">
                  <c:v>1.0695639904049601E-2</c:v>
                </c:pt>
                <c:pt idx="2">
                  <c:v>3.3685146094878299E-2</c:v>
                </c:pt>
                <c:pt idx="3">
                  <c:v>6.0290316166235598E-2</c:v>
                </c:pt>
                <c:pt idx="4">
                  <c:v>8.98814229249012E-2</c:v>
                </c:pt>
                <c:pt idx="5">
                  <c:v>0.33076363636363598</c:v>
                </c:pt>
              </c:numCache>
            </c:numRef>
          </c:yVal>
          <c:smooth val="0"/>
          <c:extLst>
            <c:ext xmlns:c16="http://schemas.microsoft.com/office/drawing/2014/chart" uri="{C3380CC4-5D6E-409C-BE32-E72D297353CC}">
              <c16:uniqueId val="{00000007-F41C-4021-831B-8C6B66ECBEB7}"/>
            </c:ext>
          </c:extLst>
        </c:ser>
        <c:dLbls>
          <c:showLegendKey val="0"/>
          <c:showVal val="0"/>
          <c:showCatName val="0"/>
          <c:showSerName val="0"/>
          <c:showPercent val="0"/>
          <c:showBubbleSize val="0"/>
        </c:dLbls>
        <c:axId val="1475776559"/>
        <c:axId val="1475766991"/>
      </c:scatterChart>
      <c:valAx>
        <c:axId val="1475776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r>
                  <a:rPr lang="en-US" sz="900" b="1">
                    <a:latin typeface="Times New Roman" panose="02020603050405020304" charset="0"/>
                    <a:cs typeface="Times New Roman" panose="02020603050405020304" charset="0"/>
                  </a:rPr>
                  <a:t>TIME (MINS</a:t>
                </a:r>
                <a:r>
                  <a:rPr lang="en-US"/>
                  <a:t>)</a:t>
                </a:r>
              </a:p>
            </c:rich>
          </c:tx>
          <c:layout>
            <c:manualLayout>
              <c:xMode val="edge"/>
              <c:yMode val="edge"/>
              <c:x val="0.411566022486754"/>
              <c:y val="0.89381676918096498"/>
            </c:manualLayout>
          </c:layout>
          <c:overlay val="0"/>
          <c:spPr>
            <a:noFill/>
            <a:ln>
              <a:noFill/>
            </a:ln>
            <a:effectLst/>
          </c:spPr>
          <c:txPr>
            <a:bodyPr rot="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475766991"/>
        <c:crosses val="autoZero"/>
        <c:crossBetween val="midCat"/>
      </c:valAx>
      <c:valAx>
        <c:axId val="1475766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r>
                  <a:rPr lang="en-US" sz="1200" b="1">
                    <a:latin typeface="Times New Roman" panose="02020603050405020304" charset="0"/>
                    <a:cs typeface="Times New Roman" panose="02020603050405020304" charset="0"/>
                  </a:rPr>
                  <a:t>t/qt</a:t>
                </a:r>
              </a:p>
            </c:rich>
          </c:tx>
          <c:layout>
            <c:manualLayout>
              <c:xMode val="edge"/>
              <c:yMode val="edge"/>
              <c:x val="2.4518656700562185E-3"/>
              <c:y val="0.35835493788490635"/>
            </c:manualLayout>
          </c:layout>
          <c:overlay val="0"/>
          <c:spPr>
            <a:noFill/>
            <a:ln>
              <a:noFill/>
            </a:ln>
            <a:effectLst/>
          </c:spPr>
          <c:txPr>
            <a:bodyPr rot="-540000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47577655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en-GB"/>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"5mg/l"</c:f>
              <c:strCache>
                <c:ptCount val="1"/>
                <c:pt idx="0">
                  <c:v>5mg/l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EXPERIMENT'!$N$31:$N$36</c:f>
              <c:numCache>
                <c:formatCode>General</c:formatCode>
                <c:ptCount val="6"/>
                <c:pt idx="0">
                  <c:v>0</c:v>
                </c:pt>
                <c:pt idx="1">
                  <c:v>29.682119205298001</c:v>
                </c:pt>
                <c:pt idx="2">
                  <c:v>28.549668874172198</c:v>
                </c:pt>
                <c:pt idx="3">
                  <c:v>29.245033112582799</c:v>
                </c:pt>
                <c:pt idx="4">
                  <c:v>29.294701986755001</c:v>
                </c:pt>
                <c:pt idx="5">
                  <c:v>28.804635761589399</c:v>
                </c:pt>
              </c:numCache>
            </c:numRef>
          </c:yVal>
          <c:smooth val="0"/>
          <c:extLst>
            <c:ext xmlns:c16="http://schemas.microsoft.com/office/drawing/2014/chart" uri="{C3380CC4-5D6E-409C-BE32-E72D297353CC}">
              <c16:uniqueId val="{00000000-7844-45AF-AED4-89F4ADBAA82E}"/>
            </c:ext>
          </c:extLst>
        </c:ser>
        <c:ser>
          <c:idx val="1"/>
          <c:order val="1"/>
          <c:tx>
            <c:strRef>
              <c:f>"50mg/l"</c:f>
              <c:strCache>
                <c:ptCount val="1"/>
                <c:pt idx="0">
                  <c:v>50mg/l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EXPERIMENT'!$O$31:$O$36</c:f>
              <c:numCache>
                <c:formatCode>General</c:formatCode>
                <c:ptCount val="6"/>
                <c:pt idx="0">
                  <c:v>0</c:v>
                </c:pt>
                <c:pt idx="1">
                  <c:v>127.333443271768</c:v>
                </c:pt>
                <c:pt idx="2">
                  <c:v>256.52704485488101</c:v>
                </c:pt>
                <c:pt idx="3">
                  <c:v>256.253298153034</c:v>
                </c:pt>
                <c:pt idx="4">
                  <c:v>253.89511873350901</c:v>
                </c:pt>
                <c:pt idx="5">
                  <c:v>255.13852242744099</c:v>
                </c:pt>
              </c:numCache>
            </c:numRef>
          </c:yVal>
          <c:smooth val="0"/>
          <c:extLst>
            <c:ext xmlns:c16="http://schemas.microsoft.com/office/drawing/2014/chart" uri="{C3380CC4-5D6E-409C-BE32-E72D297353CC}">
              <c16:uniqueId val="{00000001-7844-45AF-AED4-89F4ADBAA82E}"/>
            </c:ext>
          </c:extLst>
        </c:ser>
        <c:ser>
          <c:idx val="2"/>
          <c:order val="2"/>
          <c:tx>
            <c:strRef>
              <c:f>"100mg/l"</c:f>
              <c:strCache>
                <c:ptCount val="1"/>
                <c:pt idx="0">
                  <c:v>100mg/l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EXPERIMENT'!$P$31:$P$36</c:f>
              <c:numCache>
                <c:formatCode>General</c:formatCode>
                <c:ptCount val="6"/>
                <c:pt idx="0">
                  <c:v>0</c:v>
                </c:pt>
                <c:pt idx="1">
                  <c:v>111.792214485488</c:v>
                </c:pt>
                <c:pt idx="2">
                  <c:v>115.387864485488</c:v>
                </c:pt>
                <c:pt idx="3">
                  <c:v>118.959104485488</c:v>
                </c:pt>
                <c:pt idx="4">
                  <c:v>127.122034485488</c:v>
                </c:pt>
                <c:pt idx="5">
                  <c:v>135.20382548548801</c:v>
                </c:pt>
              </c:numCache>
            </c:numRef>
          </c:yVal>
          <c:smooth val="0"/>
          <c:extLst>
            <c:ext xmlns:c16="http://schemas.microsoft.com/office/drawing/2014/chart" uri="{C3380CC4-5D6E-409C-BE32-E72D297353CC}">
              <c16:uniqueId val="{00000002-7844-45AF-AED4-89F4ADBAA82E}"/>
            </c:ext>
          </c:extLst>
        </c:ser>
        <c:ser>
          <c:idx val="3"/>
          <c:order val="3"/>
          <c:tx>
            <c:strRef>
              <c:f>"200mg/l"</c:f>
              <c:strCache>
                <c:ptCount val="1"/>
                <c:pt idx="0">
                  <c:v>200mg/l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EXPERIMENT'!$Q$31:$Q$36</c:f>
              <c:numCache>
                <c:formatCode>General</c:formatCode>
                <c:ptCount val="6"/>
                <c:pt idx="0">
                  <c:v>0</c:v>
                </c:pt>
                <c:pt idx="1">
                  <c:v>515.89709762533005</c:v>
                </c:pt>
                <c:pt idx="2">
                  <c:v>633.01451187335499</c:v>
                </c:pt>
                <c:pt idx="3">
                  <c:v>653.29815303430496</c:v>
                </c:pt>
                <c:pt idx="4">
                  <c:v>685.58707124011005</c:v>
                </c:pt>
                <c:pt idx="5">
                  <c:v>712.13720316623005</c:v>
                </c:pt>
              </c:numCache>
            </c:numRef>
          </c:yVal>
          <c:smooth val="0"/>
          <c:extLst>
            <c:ext xmlns:c16="http://schemas.microsoft.com/office/drawing/2014/chart" uri="{C3380CC4-5D6E-409C-BE32-E72D297353CC}">
              <c16:uniqueId val="{00000003-7844-45AF-AED4-89F4ADBAA82E}"/>
            </c:ext>
          </c:extLst>
        </c:ser>
        <c:ser>
          <c:idx val="4"/>
          <c:order val="4"/>
          <c:tx>
            <c:strRef>
              <c:f>"300mg/l"</c:f>
              <c:strCache>
                <c:ptCount val="1"/>
                <c:pt idx="0">
                  <c:v>300mg/l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EXPERIMENT'!$R$31:$R$36</c:f>
              <c:numCache>
                <c:formatCode>General</c:formatCode>
                <c:ptCount val="6"/>
                <c:pt idx="0">
                  <c:v>0</c:v>
                </c:pt>
                <c:pt idx="1">
                  <c:v>199.42282321900001</c:v>
                </c:pt>
                <c:pt idx="2">
                  <c:v>355.80474934036999</c:v>
                </c:pt>
                <c:pt idx="3">
                  <c:v>388.45646437994998</c:v>
                </c:pt>
                <c:pt idx="4">
                  <c:v>398.40039577836501</c:v>
                </c:pt>
                <c:pt idx="5">
                  <c:v>434.02044854881501</c:v>
                </c:pt>
              </c:numCache>
            </c:numRef>
          </c:yVal>
          <c:smooth val="0"/>
          <c:extLst>
            <c:ext xmlns:c16="http://schemas.microsoft.com/office/drawing/2014/chart" uri="{C3380CC4-5D6E-409C-BE32-E72D297353CC}">
              <c16:uniqueId val="{00000004-7844-45AF-AED4-89F4ADBAA82E}"/>
            </c:ext>
          </c:extLst>
        </c:ser>
        <c:ser>
          <c:idx val="5"/>
          <c:order val="5"/>
          <c:tx>
            <c:strRef>
              <c:f>"400mg/l"</c:f>
              <c:strCache>
                <c:ptCount val="1"/>
                <c:pt idx="0">
                  <c:v>400mg/l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EXPERIMENT'!$S$31:$S$36</c:f>
              <c:numCache>
                <c:formatCode>General</c:formatCode>
                <c:ptCount val="6"/>
                <c:pt idx="0">
                  <c:v>0</c:v>
                </c:pt>
                <c:pt idx="1">
                  <c:v>467.48021108179501</c:v>
                </c:pt>
                <c:pt idx="2">
                  <c:v>593.73350923482997</c:v>
                </c:pt>
                <c:pt idx="3">
                  <c:v>663.45646437995003</c:v>
                </c:pt>
                <c:pt idx="4">
                  <c:v>667.54617414248003</c:v>
                </c:pt>
                <c:pt idx="5">
                  <c:v>725.59366754617497</c:v>
                </c:pt>
              </c:numCache>
            </c:numRef>
          </c:yVal>
          <c:smooth val="0"/>
          <c:extLst>
            <c:ext xmlns:c16="http://schemas.microsoft.com/office/drawing/2014/chart" uri="{C3380CC4-5D6E-409C-BE32-E72D297353CC}">
              <c16:uniqueId val="{00000005-7844-45AF-AED4-89F4ADBAA82E}"/>
            </c:ext>
          </c:extLst>
        </c:ser>
        <c:ser>
          <c:idx val="6"/>
          <c:order val="6"/>
          <c:tx>
            <c:strRef>
              <c:f>"500mg/l"</c:f>
              <c:strCache>
                <c:ptCount val="1"/>
                <c:pt idx="0">
                  <c:v>500mg/l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EXPERIMENT'!$T$31:$T$36</c:f>
              <c:numCache>
                <c:formatCode>General</c:formatCode>
                <c:ptCount val="6"/>
                <c:pt idx="0">
                  <c:v>0</c:v>
                </c:pt>
                <c:pt idx="1">
                  <c:v>668.61807387862996</c:v>
                </c:pt>
                <c:pt idx="2">
                  <c:v>722.46042216359001</c:v>
                </c:pt>
                <c:pt idx="3">
                  <c:v>764.09960422163499</c:v>
                </c:pt>
                <c:pt idx="4">
                  <c:v>801.12137203166503</c:v>
                </c:pt>
                <c:pt idx="5">
                  <c:v>812.99472295514499</c:v>
                </c:pt>
              </c:numCache>
            </c:numRef>
          </c:yVal>
          <c:smooth val="0"/>
          <c:extLst>
            <c:ext xmlns:c16="http://schemas.microsoft.com/office/drawing/2014/chart" uri="{C3380CC4-5D6E-409C-BE32-E72D297353CC}">
              <c16:uniqueId val="{00000006-7844-45AF-AED4-89F4ADBAA82E}"/>
            </c:ext>
          </c:extLst>
        </c:ser>
        <c:dLbls>
          <c:showLegendKey val="0"/>
          <c:showVal val="0"/>
          <c:showCatName val="0"/>
          <c:showSerName val="0"/>
          <c:showPercent val="0"/>
          <c:showBubbleSize val="0"/>
        </c:dLbls>
        <c:axId val="2079596416"/>
        <c:axId val="2079597248"/>
      </c:scatterChart>
      <c:valAx>
        <c:axId val="2079596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T</a:t>
                </a:r>
                <a:r>
                  <a:rPr lang="en-US" altLang="en-US" b="1">
                    <a:solidFill>
                      <a:schemeClr val="tx1"/>
                    </a:solidFill>
                    <a:latin typeface="Times New Roman" panose="02020603050405020304" charset="0"/>
                    <a:cs typeface="Times New Roman" panose="02020603050405020304" charset="0"/>
                  </a:rPr>
                  <a:t>ime (mins)</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79597248"/>
        <c:crosses val="autoZero"/>
        <c:crossBetween val="midCat"/>
      </c:valAx>
      <c:valAx>
        <c:axId val="207959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QT</a:t>
                </a:r>
                <a:r>
                  <a:rPr lang="en-US" altLang="en-US" b="1">
                    <a:solidFill>
                      <a:schemeClr val="tx1"/>
                    </a:solidFill>
                    <a:latin typeface="Times New Roman" panose="02020603050405020304" charset="0"/>
                    <a:cs typeface="Times New Roman" panose="02020603050405020304" charset="0"/>
                  </a:rPr>
                  <a:t> (mg/g)</a:t>
                </a:r>
              </a:p>
            </c:rich>
          </c:tx>
          <c:layout>
            <c:manualLayout>
              <c:xMode val="edge"/>
              <c:yMode val="edge"/>
              <c:x val="3.4991423670669E-2"/>
              <c:y val="0.34713444027852203"/>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795964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33E7E-4FB2-4760-B148-9B42F5DDE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47</Pages>
  <Words>10957</Words>
  <Characters>62457</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Abdullateef</dc:creator>
  <cp:keywords/>
  <dc:description/>
  <cp:lastModifiedBy>SDI 1084</cp:lastModifiedBy>
  <cp:revision>26</cp:revision>
  <dcterms:created xsi:type="dcterms:W3CDTF">2025-09-13T10:54:00Z</dcterms:created>
  <dcterms:modified xsi:type="dcterms:W3CDTF">2025-09-15T12:31:00Z</dcterms:modified>
</cp:coreProperties>
</file>