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0C861" w14:textId="77777777" w:rsidR="004F3DA7" w:rsidRDefault="004F3DA7" w:rsidP="004F3DA7">
      <w:pPr>
        <w:jc w:val="center"/>
        <w:rPr>
          <w:rFonts w:ascii="Times New Roman" w:hAnsi="Times New Roman" w:cs="Times New Roman"/>
          <w:b/>
          <w:bCs/>
          <w:sz w:val="28"/>
          <w:szCs w:val="28"/>
        </w:rPr>
      </w:pPr>
      <w:r>
        <w:rPr>
          <w:rFonts w:ascii="Times New Roman" w:hAnsi="Times New Roman" w:cs="Times New Roman"/>
          <w:b/>
          <w:bCs/>
          <w:sz w:val="28"/>
          <w:szCs w:val="28"/>
        </w:rPr>
        <w:t xml:space="preserve">Screening of </w:t>
      </w:r>
      <w:r>
        <w:rPr>
          <w:rFonts w:ascii="Times New Roman" w:hAnsi="Times New Roman" w:cs="Times New Roman"/>
          <w:b/>
          <w:bCs/>
          <w:i/>
          <w:iCs/>
          <w:sz w:val="28"/>
          <w:szCs w:val="28"/>
        </w:rPr>
        <w:t>Candida glabrata</w:t>
      </w:r>
      <w:r>
        <w:rPr>
          <w:rFonts w:ascii="Times New Roman" w:hAnsi="Times New Roman" w:cs="Times New Roman"/>
          <w:b/>
          <w:bCs/>
          <w:sz w:val="28"/>
          <w:szCs w:val="28"/>
        </w:rPr>
        <w:t xml:space="preserve"> Isolated from clinical samples for pyruvic     acid production potentials</w:t>
      </w:r>
    </w:p>
    <w:p w14:paraId="7AF4A334" w14:textId="77777777" w:rsidR="00C72F6A" w:rsidRDefault="00C72F6A" w:rsidP="004F3DA7">
      <w:pPr>
        <w:pStyle w:val="NormalWeb"/>
        <w:jc w:val="both"/>
        <w:rPr>
          <w:rStyle w:val="Strong"/>
        </w:rPr>
      </w:pPr>
    </w:p>
    <w:p w14:paraId="00401D76" w14:textId="77777777" w:rsidR="00C72F6A" w:rsidRDefault="00C72F6A" w:rsidP="004F3DA7">
      <w:pPr>
        <w:pStyle w:val="NormalWeb"/>
        <w:jc w:val="both"/>
        <w:rPr>
          <w:rStyle w:val="Strong"/>
        </w:rPr>
      </w:pPr>
    </w:p>
    <w:p w14:paraId="23D3D09C" w14:textId="77777777" w:rsidR="00C72F6A" w:rsidRDefault="00C72F6A" w:rsidP="004F3DA7">
      <w:pPr>
        <w:pStyle w:val="NormalWeb"/>
        <w:jc w:val="both"/>
        <w:rPr>
          <w:rStyle w:val="Strong"/>
        </w:rPr>
      </w:pPr>
    </w:p>
    <w:p w14:paraId="044354A3" w14:textId="77777777" w:rsidR="00C72F6A" w:rsidRDefault="00C72F6A" w:rsidP="004F3DA7">
      <w:pPr>
        <w:pStyle w:val="NormalWeb"/>
        <w:jc w:val="both"/>
        <w:rPr>
          <w:rStyle w:val="Strong"/>
        </w:rPr>
      </w:pPr>
    </w:p>
    <w:p w14:paraId="4CD8C820" w14:textId="0FF6A5CD" w:rsidR="004F3DA7" w:rsidRDefault="004F3DA7" w:rsidP="004F3DA7">
      <w:pPr>
        <w:pStyle w:val="NormalWeb"/>
        <w:jc w:val="both"/>
      </w:pPr>
      <w:r>
        <w:rPr>
          <w:rStyle w:val="Strong"/>
        </w:rPr>
        <w:t xml:space="preserve">                                                               </w:t>
      </w:r>
      <w:r w:rsidRPr="00902FE0">
        <w:rPr>
          <w:rStyle w:val="Strong"/>
          <w:sz w:val="22"/>
          <w:szCs w:val="22"/>
        </w:rPr>
        <w:t>ABSTRACT</w:t>
      </w:r>
    </w:p>
    <w:p w14:paraId="33823FC1" w14:textId="77777777" w:rsidR="004F3DA7" w:rsidRPr="003D6F96" w:rsidRDefault="004F3DA7" w:rsidP="004F3DA7">
      <w:pPr>
        <w:pStyle w:val="NormalWeb"/>
        <w:jc w:val="both"/>
        <w:rPr>
          <w:sz w:val="22"/>
          <w:szCs w:val="22"/>
        </w:rPr>
      </w:pPr>
      <w:r w:rsidRPr="003D6F96">
        <w:rPr>
          <w:sz w:val="22"/>
          <w:szCs w:val="22"/>
        </w:rPr>
        <w:t xml:space="preserve">The increasing demand for pyruvic acid as a versatile platform chemical in the food, pharmaceutical, agricultural, and cosmetic industries has stimulated interest in cost-effective microbial fermentation strategies. This study investigated the potential of </w:t>
      </w:r>
      <w:r w:rsidRPr="003D6F96">
        <w:rPr>
          <w:rStyle w:val="Emphasis"/>
          <w:rFonts w:eastAsiaTheme="majorEastAsia"/>
          <w:sz w:val="22"/>
          <w:szCs w:val="22"/>
        </w:rPr>
        <w:t>Candida glabrata</w:t>
      </w:r>
      <w:r w:rsidRPr="003D6F96">
        <w:rPr>
          <w:sz w:val="22"/>
          <w:szCs w:val="22"/>
        </w:rPr>
        <w:t xml:space="preserve"> isolates from clinical samples for pyruvic acid production. Swab samples were collected from hospitals in Port Harcourt, Rivers State, Nigeria, and processed for yeast isolation. A total of ten yeast isolates (GC1–GC10) were obtained and subjected to biochemical tests, molecular identification, and phylogenetic analysis. All isolates were negative for germ tube and urease tests but positive for glucose fermentation, consistent with </w:t>
      </w:r>
      <w:r w:rsidRPr="003D6F96">
        <w:rPr>
          <w:rStyle w:val="Emphasis"/>
          <w:rFonts w:eastAsiaTheme="majorEastAsia"/>
          <w:sz w:val="22"/>
          <w:szCs w:val="22"/>
        </w:rPr>
        <w:t>Candida glabrata</w:t>
      </w:r>
      <w:r w:rsidRPr="003D6F96">
        <w:rPr>
          <w:sz w:val="22"/>
          <w:szCs w:val="22"/>
        </w:rPr>
        <w:t xml:space="preserve">. Molecular characterization confirmed high similarity of isolates GC1 (94.6%) and GC3 (96.2%) to </w:t>
      </w:r>
      <w:r w:rsidRPr="003D6F96">
        <w:rPr>
          <w:rStyle w:val="Emphasis"/>
          <w:rFonts w:eastAsiaTheme="majorEastAsia"/>
          <w:sz w:val="22"/>
          <w:szCs w:val="22"/>
        </w:rPr>
        <w:t>C. glabrata</w:t>
      </w:r>
      <w:r w:rsidRPr="003D6F96">
        <w:rPr>
          <w:sz w:val="22"/>
          <w:szCs w:val="22"/>
        </w:rPr>
        <w:t xml:space="preserve">. Screening under submerged fermentation conditions revealed significant variation in pyruvic acid yield, ranging from 2.1 g/L to 31.3 g/L. Isolate GC3 produced the highest concentration (31.3 g/L), followed closely by GC1 (29.7 g/L), while isolates GC2 (2.1 g/L) and GC10 (3.7 g/L) exhibited the lowest yields. The variability in production suggests strain-specific differences in metabolic efficiency and pyruvate accumulation. Compared with previously reported yields from conventional yeast fermentations, the concentrations achieved in this study demonstrate the industrial promise of clinical </w:t>
      </w:r>
      <w:r w:rsidRPr="003D6F96">
        <w:rPr>
          <w:rStyle w:val="Emphasis"/>
          <w:rFonts w:eastAsiaTheme="majorEastAsia"/>
          <w:sz w:val="22"/>
          <w:szCs w:val="22"/>
        </w:rPr>
        <w:t>C. glabrata</w:t>
      </w:r>
      <w:r w:rsidRPr="003D6F96">
        <w:rPr>
          <w:sz w:val="22"/>
          <w:szCs w:val="22"/>
        </w:rPr>
        <w:t xml:space="preserve"> isolates as robust producers</w:t>
      </w:r>
      <w:r>
        <w:rPr>
          <w:sz w:val="22"/>
          <w:szCs w:val="22"/>
        </w:rPr>
        <w:t xml:space="preserve"> of pyruvic acid. It is concluded that the study</w:t>
      </w:r>
      <w:r w:rsidRPr="003D6F96">
        <w:rPr>
          <w:sz w:val="22"/>
          <w:szCs w:val="22"/>
        </w:rPr>
        <w:t xml:space="preserve"> </w:t>
      </w:r>
      <w:proofErr w:type="gramStart"/>
      <w:r w:rsidRPr="003D6F96">
        <w:rPr>
          <w:sz w:val="22"/>
          <w:szCs w:val="22"/>
        </w:rPr>
        <w:t>establish</w:t>
      </w:r>
      <w:proofErr w:type="gramEnd"/>
      <w:r w:rsidRPr="003D6F96">
        <w:rPr>
          <w:sz w:val="22"/>
          <w:szCs w:val="22"/>
        </w:rPr>
        <w:t xml:space="preserve"> a valuable link between clinical microbiology and industrial biotechnology, highlighting the potential of clinical yeast isolates as novel resources for sustainable organic acid production.</w:t>
      </w:r>
    </w:p>
    <w:p w14:paraId="26D49792" w14:textId="77777777" w:rsidR="004F3DA7" w:rsidRPr="003D6F96" w:rsidRDefault="004F3DA7" w:rsidP="004F3DA7">
      <w:pPr>
        <w:pStyle w:val="NormalWeb"/>
        <w:jc w:val="both"/>
      </w:pPr>
      <w:r w:rsidRPr="00E86CD6">
        <w:rPr>
          <w:b/>
          <w:sz w:val="22"/>
          <w:szCs w:val="22"/>
        </w:rPr>
        <w:t>Key:</w:t>
      </w:r>
      <w:r w:rsidRPr="00E86CD6">
        <w:rPr>
          <w:b/>
          <w:bCs/>
          <w:sz w:val="22"/>
          <w:szCs w:val="22"/>
        </w:rPr>
        <w:t xml:space="preserve"> </w:t>
      </w:r>
      <w:r w:rsidRPr="00E86CD6">
        <w:rPr>
          <w:b/>
          <w:bCs/>
          <w:i/>
          <w:sz w:val="22"/>
          <w:szCs w:val="22"/>
        </w:rPr>
        <w:t>Candida</w:t>
      </w:r>
      <w:r w:rsidRPr="00E86CD6">
        <w:rPr>
          <w:b/>
          <w:bCs/>
          <w:sz w:val="22"/>
          <w:szCs w:val="22"/>
        </w:rPr>
        <w:t xml:space="preserve"> </w:t>
      </w:r>
      <w:r w:rsidRPr="00E86CD6">
        <w:rPr>
          <w:b/>
          <w:bCs/>
          <w:i/>
          <w:sz w:val="22"/>
          <w:szCs w:val="22"/>
        </w:rPr>
        <w:t>glabrata</w:t>
      </w:r>
      <w:r w:rsidRPr="00E86CD6">
        <w:rPr>
          <w:b/>
          <w:sz w:val="22"/>
          <w:szCs w:val="22"/>
        </w:rPr>
        <w:t>,</w:t>
      </w:r>
      <w:r w:rsidRPr="00E86CD6">
        <w:rPr>
          <w:b/>
          <w:bCs/>
          <w:sz w:val="22"/>
          <w:szCs w:val="22"/>
        </w:rPr>
        <w:t xml:space="preserve"> Clinical samples, Pyruvic acid, Screening</w:t>
      </w:r>
    </w:p>
    <w:p w14:paraId="44C78851" w14:textId="77777777" w:rsidR="004F3DA7" w:rsidRPr="00E86CD6" w:rsidRDefault="004F3DA7" w:rsidP="004F3DA7">
      <w:pPr>
        <w:pStyle w:val="ListParagraph"/>
        <w:numPr>
          <w:ilvl w:val="0"/>
          <w:numId w:val="1"/>
        </w:numPr>
        <w:spacing w:line="240" w:lineRule="auto"/>
        <w:jc w:val="both"/>
        <w:rPr>
          <w:rFonts w:ascii="Times New Roman" w:hAnsi="Times New Roman" w:cs="Times New Roman"/>
          <w:b/>
        </w:rPr>
      </w:pPr>
      <w:r w:rsidRPr="00E86CD6">
        <w:rPr>
          <w:rFonts w:ascii="Times New Roman" w:hAnsi="Times New Roman" w:cs="Times New Roman"/>
          <w:b/>
        </w:rPr>
        <w:t xml:space="preserve">INTRODUCTION AND </w:t>
      </w:r>
      <w:r w:rsidRPr="00E86CD6">
        <w:rPr>
          <w:rFonts w:ascii="Times New Roman" w:eastAsia="Times New Roman" w:hAnsi="Times New Roman" w:cs="Times New Roman"/>
          <w:b/>
          <w:bCs/>
        </w:rPr>
        <w:t>BACKGROUND TO THE STUDY</w:t>
      </w:r>
    </w:p>
    <w:p w14:paraId="35C561D2" w14:textId="77777777" w:rsidR="004F3DA7" w:rsidRPr="005E5322" w:rsidRDefault="004F3DA7" w:rsidP="004F3DA7">
      <w:pPr>
        <w:spacing w:before="100" w:beforeAutospacing="1" w:after="100" w:afterAutospacing="1" w:line="240" w:lineRule="auto"/>
        <w:jc w:val="both"/>
        <w:rPr>
          <w:rFonts w:ascii="Times New Roman" w:eastAsia="Times New Roman" w:hAnsi="Times New Roman" w:cs="Times New Roman"/>
        </w:rPr>
      </w:pPr>
      <w:r w:rsidRPr="005E5322">
        <w:rPr>
          <w:rFonts w:ascii="Times New Roman" w:eastAsia="Times New Roman" w:hAnsi="Times New Roman" w:cs="Times New Roman"/>
        </w:rPr>
        <w:t xml:space="preserve">Pyruvic acid (C₃H₄O₃) is a key α-keto acid that occupies a central position in cellular metabolism, serving as an essential intermediate in glycolysis, gluconeogenesis, and the tricarboxylic acid (TCA) cycle (Soma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2022). It plays a crucial role in several industries due to its diverse applications as a precursor for amino acids, organic acids, pharmaceuticals, food additives, and cosmetics (Yang &amp; Xing, 2017; Anh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2020). Pyruvic acid is widely utilized in the manufacture of L-tyrosine, L-tryptophan, alanine, and other high-value metabolites, while also serving as a food flavor enhancer and skin-care agent in cosmetic formulations (Luo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2020). The growing industrial demand for pyruvate and its derivatives has heightened the need for efficient and sustainable production methods (Soma </w:t>
      </w:r>
      <w:r w:rsidRPr="005E5322">
        <w:rPr>
          <w:rFonts w:ascii="Times New Roman" w:eastAsia="Times New Roman" w:hAnsi="Times New Roman" w:cs="Times New Roman"/>
          <w:i/>
        </w:rPr>
        <w:t>et al</w:t>
      </w:r>
      <w:r w:rsidRPr="005E5322">
        <w:rPr>
          <w:rFonts w:ascii="Times New Roman" w:eastAsia="Times New Roman" w:hAnsi="Times New Roman" w:cs="Times New Roman"/>
        </w:rPr>
        <w:t>., 2022).</w:t>
      </w:r>
      <w:r w:rsidRPr="00E86CD6">
        <w:rPr>
          <w:rFonts w:ascii="Times New Roman" w:eastAsia="Times New Roman" w:hAnsi="Times New Roman" w:cs="Times New Roman"/>
        </w:rPr>
        <w:t xml:space="preserve"> </w:t>
      </w:r>
      <w:r w:rsidRPr="005E5322">
        <w:rPr>
          <w:rFonts w:ascii="Times New Roman" w:eastAsia="Times New Roman" w:hAnsi="Times New Roman" w:cs="Times New Roman"/>
        </w:rPr>
        <w:t xml:space="preserve">Traditionally, pyruvic acid has been produced by chemical synthesis or through oxidative processes, but these methods are limited by high production costs, low yields, and environmental concerns (Luo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2020). In recent years, microbial fermentation has emerged as a cost-effective and eco-friendly alternative, with yeasts and bacteria being employed to achieve high pyruvate yields under controlled conditions (Xu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2021). Among microbial producers, yeasts have shown significant promise due to their robustness, substrate </w:t>
      </w:r>
      <w:r w:rsidRPr="005E5322">
        <w:rPr>
          <w:rFonts w:ascii="Times New Roman" w:eastAsia="Times New Roman" w:hAnsi="Times New Roman" w:cs="Times New Roman"/>
        </w:rPr>
        <w:lastRenderedPageBreak/>
        <w:t>versatility, and ability to accumulate pyruvic acid in substantial amounts (Yang &amp; Xing, 2017).</w:t>
      </w:r>
      <w:r w:rsidRPr="00E86CD6">
        <w:rPr>
          <w:rFonts w:ascii="Times New Roman" w:eastAsia="Times New Roman" w:hAnsi="Times New Roman" w:cs="Times New Roman"/>
        </w:rPr>
        <w:t xml:space="preserve"> </w:t>
      </w:r>
      <w:r w:rsidRPr="005E5322">
        <w:rPr>
          <w:rFonts w:ascii="Times New Roman" w:eastAsia="Times New Roman" w:hAnsi="Times New Roman" w:cs="Times New Roman"/>
        </w:rPr>
        <w:t xml:space="preserve">Candida glabrata, a non-albicans yeast frequently isolated from clinical specimens, has attracted biotechnological interest beyond its role as an opportunistic pathogen. It is known for its high fermentative capacity, stress tolerance, and ability to produce various metabolites of industrial value (Kaur </w:t>
      </w:r>
      <w:r w:rsidRPr="005E5322">
        <w:rPr>
          <w:rFonts w:ascii="Times New Roman" w:eastAsia="Times New Roman" w:hAnsi="Times New Roman" w:cs="Times New Roman"/>
          <w:i/>
        </w:rPr>
        <w:t>et al</w:t>
      </w:r>
      <w:r w:rsidRPr="005E5322">
        <w:rPr>
          <w:rFonts w:ascii="Times New Roman" w:eastAsia="Times New Roman" w:hAnsi="Times New Roman" w:cs="Times New Roman"/>
        </w:rPr>
        <w:t xml:space="preserve">., 2021). Screening </w:t>
      </w:r>
      <w:r w:rsidRPr="00E86CD6">
        <w:rPr>
          <w:rFonts w:ascii="Times New Roman" w:eastAsia="Times New Roman" w:hAnsi="Times New Roman" w:cs="Times New Roman"/>
          <w:i/>
          <w:iCs/>
        </w:rPr>
        <w:t>C. glabrata</w:t>
      </w:r>
      <w:r w:rsidRPr="005E5322">
        <w:rPr>
          <w:rFonts w:ascii="Times New Roman" w:eastAsia="Times New Roman" w:hAnsi="Times New Roman" w:cs="Times New Roman"/>
        </w:rPr>
        <w:t xml:space="preserve"> isolates from clinical samples provides an opportunity to identify strains with enhanced pyruvic acid production potential, thereby linking clinical microbiology with industrial biotechnology.</w:t>
      </w:r>
    </w:p>
    <w:p w14:paraId="70467952" w14:textId="2612964E" w:rsidR="004F3DA7" w:rsidRDefault="004F3DA7" w:rsidP="004F3DA7">
      <w:pPr>
        <w:pStyle w:val="Heading2"/>
        <w:spacing w:before="0" w:line="240" w:lineRule="auto"/>
        <w:rPr>
          <w:rFonts w:ascii="Times New Roman" w:hAnsi="Times New Roman" w:cs="Times New Roman"/>
          <w:b/>
          <w:color w:val="auto"/>
          <w:sz w:val="22"/>
          <w:szCs w:val="22"/>
        </w:rPr>
      </w:pPr>
    </w:p>
    <w:p w14:paraId="321D04CE" w14:textId="1E4E1DD7" w:rsidR="00C72F6A" w:rsidRDefault="00C72F6A" w:rsidP="00C72F6A"/>
    <w:p w14:paraId="35DB9421" w14:textId="77777777" w:rsidR="00C72F6A" w:rsidRPr="00C72F6A" w:rsidRDefault="00C72F6A" w:rsidP="00C72F6A"/>
    <w:p w14:paraId="5AA93C4B" w14:textId="77777777" w:rsidR="004F3DA7" w:rsidRPr="00E86CD6" w:rsidRDefault="004F3DA7" w:rsidP="004F3DA7">
      <w:pPr>
        <w:pStyle w:val="Heading2"/>
        <w:spacing w:before="0" w:line="240" w:lineRule="auto"/>
        <w:rPr>
          <w:rFonts w:ascii="Times New Roman" w:hAnsi="Times New Roman" w:cs="Times New Roman"/>
          <w:b/>
          <w:color w:val="auto"/>
          <w:sz w:val="22"/>
          <w:szCs w:val="22"/>
        </w:rPr>
      </w:pPr>
      <w:r w:rsidRPr="00E86CD6">
        <w:rPr>
          <w:rFonts w:ascii="Times New Roman" w:hAnsi="Times New Roman" w:cs="Times New Roman"/>
          <w:b/>
          <w:color w:val="auto"/>
          <w:sz w:val="22"/>
          <w:szCs w:val="22"/>
        </w:rPr>
        <w:t>2.0 MATERIALS AND METHODOLOGY</w:t>
      </w:r>
    </w:p>
    <w:p w14:paraId="297AECAD" w14:textId="77777777" w:rsidR="004F3DA7" w:rsidRPr="00E86CD6" w:rsidRDefault="004F3DA7" w:rsidP="004F3DA7">
      <w:pPr>
        <w:pStyle w:val="Heading3"/>
        <w:spacing w:before="0" w:beforeAutospacing="0" w:after="0" w:afterAutospacing="0"/>
        <w:rPr>
          <w:sz w:val="22"/>
          <w:szCs w:val="22"/>
        </w:rPr>
      </w:pPr>
      <w:r w:rsidRPr="00E86CD6">
        <w:rPr>
          <w:sz w:val="22"/>
          <w:szCs w:val="22"/>
        </w:rPr>
        <w:t>2.1 Sample Collection</w:t>
      </w:r>
    </w:p>
    <w:p w14:paraId="6BD6841C" w14:textId="77777777" w:rsidR="004F3DA7" w:rsidRPr="00E86CD6" w:rsidRDefault="004F3DA7" w:rsidP="004F3DA7">
      <w:pPr>
        <w:pStyle w:val="Heading3"/>
        <w:spacing w:before="0" w:beforeAutospacing="0" w:after="0" w:afterAutospacing="0"/>
        <w:jc w:val="both"/>
        <w:rPr>
          <w:b w:val="0"/>
          <w:sz w:val="22"/>
          <w:szCs w:val="22"/>
        </w:rPr>
      </w:pPr>
      <w:r w:rsidRPr="00E86CD6">
        <w:rPr>
          <w:b w:val="0"/>
          <w:sz w:val="22"/>
          <w:szCs w:val="22"/>
        </w:rPr>
        <w:t xml:space="preserve">Four swab stick samples of High Vaginal Swabs (HVS) were collected from different hospitals within Port Harcourt metropolis, Rivers State, Nigeria. The samples were labeled A, B, C, and D. Each sample was collected using sterile swab sticks and placed in sterile containers. The collected samples were transported in an ice chest to the Microbiology Laboratory, Rivers State University, </w:t>
      </w:r>
      <w:proofErr w:type="spellStart"/>
      <w:r w:rsidRPr="00E86CD6">
        <w:rPr>
          <w:b w:val="0"/>
          <w:sz w:val="22"/>
          <w:szCs w:val="22"/>
        </w:rPr>
        <w:t>Nkpolu-Oroworukwo</w:t>
      </w:r>
      <w:proofErr w:type="spellEnd"/>
      <w:r w:rsidRPr="00E86CD6">
        <w:rPr>
          <w:b w:val="0"/>
          <w:sz w:val="22"/>
          <w:szCs w:val="22"/>
        </w:rPr>
        <w:t>, Port Harcourt, for further analysis.</w:t>
      </w:r>
    </w:p>
    <w:p w14:paraId="1F970928" w14:textId="77777777" w:rsidR="004F3DA7" w:rsidRPr="00E86CD6" w:rsidRDefault="004F3DA7" w:rsidP="004F3DA7">
      <w:pPr>
        <w:pStyle w:val="Heading3"/>
        <w:spacing w:after="0" w:afterAutospacing="0"/>
        <w:rPr>
          <w:sz w:val="22"/>
          <w:szCs w:val="22"/>
        </w:rPr>
      </w:pPr>
      <w:r w:rsidRPr="00E86CD6">
        <w:rPr>
          <w:sz w:val="22"/>
          <w:szCs w:val="22"/>
        </w:rPr>
        <w:t>2.2 Isolation and Sub-Culture of Yeast Isolates</w:t>
      </w:r>
    </w:p>
    <w:p w14:paraId="0046F510" w14:textId="77777777" w:rsidR="004F3DA7" w:rsidRPr="00E86CD6" w:rsidRDefault="004F3DA7" w:rsidP="004F3DA7">
      <w:pPr>
        <w:pStyle w:val="Heading3"/>
        <w:spacing w:before="0" w:beforeAutospacing="0" w:after="0" w:afterAutospacing="0"/>
        <w:jc w:val="both"/>
        <w:rPr>
          <w:b w:val="0"/>
          <w:sz w:val="22"/>
          <w:szCs w:val="22"/>
        </w:rPr>
      </w:pPr>
      <w:r w:rsidRPr="00E86CD6">
        <w:rPr>
          <w:b w:val="0"/>
          <w:sz w:val="22"/>
          <w:szCs w:val="22"/>
        </w:rPr>
        <w:t>Each swab sample was suspended in sterile physiological saline. A 9 mL aliquot of the suspension was sterilized at 121 °C for 15 minutes at 15 psi to maintain cell integrity and viability. Using the spread plate technique, 1 mL of the suspension was serially diluted in 10-fold dilutions. Aliquots (0.1 mL) from appropriate dilutions were inoculated onto Potato Dextrose Agar (PDA) plates supplemented with 0.1% lactic acid to inhibit bacterial growth. Plates were incubated at 25 °C for 3–7 days (Agwa et al., 2018). Distinct yeast colonies were purified by repeated sub-culturing on sterile PDA plates and preserved for further studies.</w:t>
      </w:r>
    </w:p>
    <w:p w14:paraId="3D341CC3" w14:textId="77777777" w:rsidR="004F3DA7" w:rsidRPr="00E86CD6" w:rsidRDefault="004F3DA7" w:rsidP="004F3DA7">
      <w:pPr>
        <w:pStyle w:val="Heading3"/>
        <w:spacing w:before="0" w:beforeAutospacing="0" w:after="0" w:afterAutospacing="0"/>
        <w:jc w:val="both"/>
        <w:rPr>
          <w:sz w:val="22"/>
          <w:szCs w:val="22"/>
        </w:rPr>
      </w:pPr>
    </w:p>
    <w:p w14:paraId="1340364B" w14:textId="77777777" w:rsidR="004F3DA7" w:rsidRPr="00E86CD6" w:rsidRDefault="004F3DA7" w:rsidP="004F3DA7">
      <w:pPr>
        <w:pStyle w:val="Heading3"/>
        <w:spacing w:before="0" w:beforeAutospacing="0" w:after="0" w:afterAutospacing="0"/>
        <w:rPr>
          <w:sz w:val="22"/>
          <w:szCs w:val="22"/>
        </w:rPr>
      </w:pPr>
      <w:r w:rsidRPr="00E86CD6">
        <w:rPr>
          <w:sz w:val="22"/>
          <w:szCs w:val="22"/>
        </w:rPr>
        <w:t>2.3 Biochemical Characterization of Yeast Isolates</w:t>
      </w:r>
    </w:p>
    <w:p w14:paraId="216F87C1" w14:textId="77777777" w:rsidR="004F3DA7" w:rsidRPr="00E86CD6" w:rsidRDefault="004F3DA7" w:rsidP="004F3DA7">
      <w:pPr>
        <w:pStyle w:val="Heading3"/>
        <w:spacing w:before="0" w:beforeAutospacing="0" w:after="0" w:afterAutospacing="0"/>
        <w:jc w:val="both"/>
        <w:rPr>
          <w:sz w:val="22"/>
          <w:szCs w:val="22"/>
        </w:rPr>
      </w:pPr>
      <w:r w:rsidRPr="00E86CD6">
        <w:rPr>
          <w:b w:val="0"/>
          <w:sz w:val="22"/>
          <w:szCs w:val="22"/>
        </w:rPr>
        <w:t>Preliminary biochemical characterization of the yeast isolates was carried out using standard microbiological methods (Cheesbrough, 2000). Tests performed included the germ tube test, carbohydrate fermentation (glucose, sucrose, lactose, maltose, and galactose), and urease production. Characterization was supported with dichotomous keys as described by Frazier and West-Hoff (2000).</w:t>
      </w:r>
    </w:p>
    <w:p w14:paraId="4EB7CCE8" w14:textId="77777777" w:rsidR="004F3DA7" w:rsidRPr="00E86CD6" w:rsidRDefault="004F3DA7" w:rsidP="004F3DA7">
      <w:pPr>
        <w:pStyle w:val="Heading3"/>
        <w:tabs>
          <w:tab w:val="left" w:pos="6210"/>
        </w:tabs>
        <w:spacing w:after="0" w:afterAutospacing="0"/>
        <w:rPr>
          <w:sz w:val="22"/>
          <w:szCs w:val="22"/>
        </w:rPr>
      </w:pPr>
      <w:r w:rsidRPr="00E86CD6">
        <w:rPr>
          <w:sz w:val="22"/>
          <w:szCs w:val="22"/>
        </w:rPr>
        <w:t>2.4 Molecular Identification of Yeast Isolates</w:t>
      </w:r>
      <w:r w:rsidRPr="00E86CD6">
        <w:rPr>
          <w:sz w:val="22"/>
          <w:szCs w:val="22"/>
        </w:rPr>
        <w:tab/>
      </w:r>
    </w:p>
    <w:p w14:paraId="7C3CB94B" w14:textId="77777777" w:rsidR="004F3DA7" w:rsidRPr="00E86CD6" w:rsidRDefault="004F3DA7" w:rsidP="004F3DA7">
      <w:pPr>
        <w:pStyle w:val="Heading4"/>
        <w:spacing w:line="240" w:lineRule="auto"/>
        <w:rPr>
          <w:rFonts w:ascii="Times New Roman" w:hAnsi="Times New Roman" w:cs="Times New Roman"/>
          <w:b/>
          <w:i w:val="0"/>
          <w:color w:val="auto"/>
        </w:rPr>
      </w:pPr>
      <w:r w:rsidRPr="00E86CD6">
        <w:rPr>
          <w:rFonts w:ascii="Times New Roman" w:hAnsi="Times New Roman" w:cs="Times New Roman"/>
          <w:b/>
          <w:i w:val="0"/>
          <w:color w:val="auto"/>
        </w:rPr>
        <w:t>2.4.1 DNA Extraction</w:t>
      </w:r>
    </w:p>
    <w:p w14:paraId="409D6A5B" w14:textId="77777777" w:rsidR="004F3DA7" w:rsidRDefault="004F3DA7" w:rsidP="004F3DA7">
      <w:pPr>
        <w:pStyle w:val="NormalWeb"/>
        <w:spacing w:before="0" w:beforeAutospacing="0" w:after="0" w:afterAutospacing="0"/>
        <w:jc w:val="both"/>
        <w:rPr>
          <w:sz w:val="22"/>
          <w:szCs w:val="22"/>
        </w:rPr>
      </w:pPr>
      <w:r w:rsidRPr="00E86CD6">
        <w:rPr>
          <w:sz w:val="22"/>
          <w:szCs w:val="22"/>
        </w:rPr>
        <w:t>Genomic DNA was extracted from pure yeast isolates using the ZR fungal/bacterial DNA mini-prep extraction kit (</w:t>
      </w:r>
      <w:proofErr w:type="spellStart"/>
      <w:r w:rsidRPr="00E86CD6">
        <w:rPr>
          <w:sz w:val="22"/>
          <w:szCs w:val="22"/>
        </w:rPr>
        <w:t>Inqaba</w:t>
      </w:r>
      <w:proofErr w:type="spellEnd"/>
      <w:r w:rsidRPr="00E86CD6">
        <w:rPr>
          <w:sz w:val="22"/>
          <w:szCs w:val="22"/>
        </w:rPr>
        <w:t xml:space="preserve"> </w:t>
      </w:r>
      <w:proofErr w:type="spellStart"/>
      <w:r w:rsidRPr="00E86CD6">
        <w:rPr>
          <w:sz w:val="22"/>
          <w:szCs w:val="22"/>
        </w:rPr>
        <w:t>Biotec</w:t>
      </w:r>
      <w:proofErr w:type="spellEnd"/>
      <w:r w:rsidRPr="00E86CD6">
        <w:rPr>
          <w:sz w:val="22"/>
          <w:szCs w:val="22"/>
        </w:rPr>
        <w:t xml:space="preserve">, South Africa). The protocol involved mechanical disruption in bead-beating tubes followed by lysis, purification with Zymo-Spin columns, and final elution in 100 µL DNA elution buffer. Extracted DNA was stored at –20 °C until further use (Lever </w:t>
      </w:r>
      <w:r w:rsidRPr="00E86CD6">
        <w:rPr>
          <w:i/>
          <w:sz w:val="22"/>
          <w:szCs w:val="22"/>
        </w:rPr>
        <w:t>et al</w:t>
      </w:r>
      <w:r w:rsidRPr="00E86CD6">
        <w:rPr>
          <w:sz w:val="22"/>
          <w:szCs w:val="22"/>
        </w:rPr>
        <w:t>., 2015).</w:t>
      </w:r>
    </w:p>
    <w:p w14:paraId="7206057D" w14:textId="77777777" w:rsidR="004F3DA7" w:rsidRDefault="004F3DA7" w:rsidP="004F3DA7">
      <w:pPr>
        <w:pStyle w:val="NormalWeb"/>
        <w:spacing w:before="0" w:beforeAutospacing="0" w:after="0" w:afterAutospacing="0"/>
        <w:jc w:val="both"/>
        <w:rPr>
          <w:b/>
          <w:sz w:val="22"/>
          <w:szCs w:val="22"/>
        </w:rPr>
      </w:pPr>
      <w:r w:rsidRPr="00482C67">
        <w:rPr>
          <w:b/>
          <w:sz w:val="22"/>
          <w:szCs w:val="22"/>
        </w:rPr>
        <w:t>2.4.2 DNA Quantification</w:t>
      </w:r>
    </w:p>
    <w:p w14:paraId="6C0D83D8" w14:textId="77777777" w:rsidR="004F3DA7" w:rsidRDefault="004F3DA7" w:rsidP="004F3DA7">
      <w:pPr>
        <w:pStyle w:val="NormalWeb"/>
        <w:spacing w:before="0" w:beforeAutospacing="0" w:after="0" w:afterAutospacing="0"/>
        <w:jc w:val="both"/>
        <w:rPr>
          <w:sz w:val="22"/>
          <w:szCs w:val="22"/>
        </w:rPr>
      </w:pPr>
      <w:r w:rsidRPr="00482C67">
        <w:rPr>
          <w:sz w:val="22"/>
          <w:szCs w:val="22"/>
        </w:rPr>
        <w:t>DNA concentration and purity were determined using a Nanodrop 1000 spectrophotometer. The instrument was calibrated with sterile distilled water and normal saline. Two microliters (2 µL) of DNA extract were loaded on the pedestal, and concentration was recorded in ng/µL (Lever et al., 2015).</w:t>
      </w:r>
    </w:p>
    <w:p w14:paraId="5D87E3FD" w14:textId="77777777" w:rsidR="004F3DA7" w:rsidRDefault="004F3DA7" w:rsidP="004F3DA7">
      <w:pPr>
        <w:pStyle w:val="Heading4"/>
        <w:rPr>
          <w:rFonts w:ascii="Times New Roman" w:hAnsi="Times New Roman" w:cs="Times New Roman"/>
          <w:b/>
          <w:i w:val="0"/>
          <w:color w:val="auto"/>
        </w:rPr>
      </w:pPr>
      <w:r w:rsidRPr="00482C67">
        <w:rPr>
          <w:rFonts w:ascii="Times New Roman" w:hAnsi="Times New Roman" w:cs="Times New Roman"/>
          <w:b/>
          <w:i w:val="0"/>
          <w:color w:val="auto"/>
        </w:rPr>
        <w:lastRenderedPageBreak/>
        <w:t>2.4.3 ITS Amplification</w:t>
      </w:r>
    </w:p>
    <w:p w14:paraId="414237C1" w14:textId="77777777" w:rsidR="004F3DA7" w:rsidRPr="00482C67" w:rsidRDefault="004F3DA7" w:rsidP="004F3DA7">
      <w:pPr>
        <w:pStyle w:val="Heading4"/>
        <w:jc w:val="both"/>
        <w:rPr>
          <w:rFonts w:ascii="Times New Roman" w:hAnsi="Times New Roman" w:cs="Times New Roman"/>
          <w:b/>
          <w:i w:val="0"/>
          <w:color w:val="auto"/>
        </w:rPr>
      </w:pPr>
      <w:r w:rsidRPr="00482C67">
        <w:rPr>
          <w:rFonts w:ascii="Times New Roman" w:hAnsi="Times New Roman" w:cs="Times New Roman"/>
          <w:i w:val="0"/>
          <w:color w:val="auto"/>
        </w:rPr>
        <w:t>The Internal Transcribed Spacer (ITS) region of the isolates was amplified using primers ITS1F (5’-CTTGGTCATTTAGAGGAAGTAA-3’) and ITS4 (5’-TCCTCCGCTTATTGATATGC-3’). PCR was carried out in 30 µL reaction volumes using Dream Taq Master Mix (</w:t>
      </w:r>
      <w:proofErr w:type="spellStart"/>
      <w:r w:rsidRPr="00482C67">
        <w:rPr>
          <w:rFonts w:ascii="Times New Roman" w:hAnsi="Times New Roman" w:cs="Times New Roman"/>
          <w:i w:val="0"/>
          <w:color w:val="auto"/>
        </w:rPr>
        <w:t>Inqaba</w:t>
      </w:r>
      <w:proofErr w:type="spellEnd"/>
      <w:r w:rsidRPr="00482C67">
        <w:rPr>
          <w:rFonts w:ascii="Times New Roman" w:hAnsi="Times New Roman" w:cs="Times New Roman"/>
          <w:i w:val="0"/>
          <w:color w:val="auto"/>
        </w:rPr>
        <w:t>, South Africa). Conditions were: initial denaturation at 95 °C for 5 min; 35 cycles of denaturation (95 °C for 30 s), annealing (53 °C for 30 s), and extension (72 °C for 30 s); followed by final extension at 72 °C for 5 min. Products were resolved on 1% agarose gel at 120 V for 15 min and visualized using a blue light transilluminator (</w:t>
      </w:r>
      <w:proofErr w:type="spellStart"/>
      <w:r w:rsidRPr="00482C67">
        <w:rPr>
          <w:rFonts w:ascii="Times New Roman" w:hAnsi="Times New Roman" w:cs="Times New Roman"/>
          <w:i w:val="0"/>
          <w:color w:val="auto"/>
        </w:rPr>
        <w:t>Bellemian</w:t>
      </w:r>
      <w:proofErr w:type="spellEnd"/>
      <w:r w:rsidRPr="00482C67">
        <w:rPr>
          <w:rFonts w:ascii="Times New Roman" w:hAnsi="Times New Roman" w:cs="Times New Roman"/>
          <w:i w:val="0"/>
          <w:color w:val="auto"/>
        </w:rPr>
        <w:t xml:space="preserve"> </w:t>
      </w:r>
      <w:r w:rsidRPr="00EF53E3">
        <w:rPr>
          <w:rFonts w:ascii="Times New Roman" w:hAnsi="Times New Roman" w:cs="Times New Roman"/>
          <w:color w:val="auto"/>
        </w:rPr>
        <w:t>et al</w:t>
      </w:r>
      <w:r w:rsidRPr="00482C67">
        <w:rPr>
          <w:rFonts w:ascii="Times New Roman" w:hAnsi="Times New Roman" w:cs="Times New Roman"/>
          <w:i w:val="0"/>
          <w:color w:val="auto"/>
        </w:rPr>
        <w:t>., 2010).</w:t>
      </w:r>
    </w:p>
    <w:p w14:paraId="2461AE99" w14:textId="77777777" w:rsidR="004F3DA7" w:rsidRPr="00482C67" w:rsidRDefault="004F3DA7" w:rsidP="004F3DA7">
      <w:pPr>
        <w:pStyle w:val="NormalWeb"/>
        <w:spacing w:before="0" w:beforeAutospacing="0" w:after="0" w:afterAutospacing="0"/>
        <w:jc w:val="both"/>
        <w:rPr>
          <w:sz w:val="22"/>
          <w:szCs w:val="22"/>
        </w:rPr>
      </w:pPr>
    </w:p>
    <w:p w14:paraId="5273E1FF" w14:textId="77777777" w:rsidR="004F3DA7" w:rsidRDefault="004F3DA7" w:rsidP="004F3DA7">
      <w:pPr>
        <w:pStyle w:val="Heading4"/>
        <w:rPr>
          <w:rFonts w:ascii="Times New Roman" w:hAnsi="Times New Roman" w:cs="Times New Roman"/>
          <w:b/>
          <w:i w:val="0"/>
          <w:color w:val="auto"/>
        </w:rPr>
      </w:pPr>
      <w:r w:rsidRPr="00482C67">
        <w:rPr>
          <w:rFonts w:ascii="Times New Roman" w:hAnsi="Times New Roman" w:cs="Times New Roman"/>
          <w:b/>
          <w:i w:val="0"/>
          <w:color w:val="auto"/>
        </w:rPr>
        <w:t>2.4.4 Sequencing</w:t>
      </w:r>
    </w:p>
    <w:p w14:paraId="42B1D93D" w14:textId="77777777" w:rsidR="004F3DA7" w:rsidRPr="00482C67" w:rsidRDefault="004F3DA7" w:rsidP="004F3DA7">
      <w:pPr>
        <w:pStyle w:val="Heading4"/>
        <w:jc w:val="both"/>
        <w:rPr>
          <w:rFonts w:ascii="Times New Roman" w:hAnsi="Times New Roman" w:cs="Times New Roman"/>
          <w:b/>
          <w:i w:val="0"/>
          <w:color w:val="auto"/>
        </w:rPr>
      </w:pPr>
      <w:r w:rsidRPr="00482C67">
        <w:rPr>
          <w:rFonts w:ascii="Times New Roman" w:hAnsi="Times New Roman" w:cs="Times New Roman"/>
          <w:i w:val="0"/>
          <w:color w:val="auto"/>
        </w:rPr>
        <w:t xml:space="preserve">PCR products were sequenced using the </w:t>
      </w:r>
      <w:proofErr w:type="spellStart"/>
      <w:r w:rsidRPr="00482C67">
        <w:rPr>
          <w:rFonts w:ascii="Times New Roman" w:hAnsi="Times New Roman" w:cs="Times New Roman"/>
          <w:i w:val="0"/>
          <w:color w:val="auto"/>
        </w:rPr>
        <w:t>BigDye</w:t>
      </w:r>
      <w:proofErr w:type="spellEnd"/>
      <w:r w:rsidRPr="00482C67">
        <w:rPr>
          <w:rFonts w:ascii="Times New Roman" w:hAnsi="Times New Roman" w:cs="Times New Roman"/>
          <w:i w:val="0"/>
          <w:color w:val="auto"/>
        </w:rPr>
        <w:t xml:space="preserve"> Terminator kit on an ABI 3510 sequencer (</w:t>
      </w:r>
      <w:proofErr w:type="spellStart"/>
      <w:r w:rsidRPr="00482C67">
        <w:rPr>
          <w:rFonts w:ascii="Times New Roman" w:hAnsi="Times New Roman" w:cs="Times New Roman"/>
          <w:i w:val="0"/>
          <w:color w:val="auto"/>
        </w:rPr>
        <w:t>Inqaba</w:t>
      </w:r>
      <w:proofErr w:type="spellEnd"/>
      <w:r w:rsidRPr="00482C67">
        <w:rPr>
          <w:rFonts w:ascii="Times New Roman" w:hAnsi="Times New Roman" w:cs="Times New Roman"/>
          <w:i w:val="0"/>
          <w:color w:val="auto"/>
        </w:rPr>
        <w:t xml:space="preserve"> </w:t>
      </w:r>
      <w:proofErr w:type="spellStart"/>
      <w:r w:rsidRPr="00482C67">
        <w:rPr>
          <w:rFonts w:ascii="Times New Roman" w:hAnsi="Times New Roman" w:cs="Times New Roman"/>
          <w:i w:val="0"/>
          <w:color w:val="auto"/>
        </w:rPr>
        <w:t>Biotec</w:t>
      </w:r>
      <w:proofErr w:type="spellEnd"/>
      <w:r w:rsidRPr="00482C67">
        <w:rPr>
          <w:rFonts w:ascii="Times New Roman" w:hAnsi="Times New Roman" w:cs="Times New Roman"/>
          <w:i w:val="0"/>
          <w:color w:val="auto"/>
        </w:rPr>
        <w:t xml:space="preserve">, Pretoria, South Africa). Sequencing was performed in 10 µL reactions consisting of </w:t>
      </w:r>
      <w:proofErr w:type="spellStart"/>
      <w:r w:rsidRPr="00482C67">
        <w:rPr>
          <w:rFonts w:ascii="Times New Roman" w:hAnsi="Times New Roman" w:cs="Times New Roman"/>
          <w:i w:val="0"/>
          <w:color w:val="auto"/>
        </w:rPr>
        <w:t>BigDye</w:t>
      </w:r>
      <w:proofErr w:type="spellEnd"/>
      <w:r w:rsidRPr="00482C67">
        <w:rPr>
          <w:rFonts w:ascii="Times New Roman" w:hAnsi="Times New Roman" w:cs="Times New Roman"/>
          <w:i w:val="0"/>
          <w:color w:val="auto"/>
        </w:rPr>
        <w:t xml:space="preserve"> Terminator v1.1/v3.1, 5× sequencing buffer, PCR primers, and 2–10 ng of DNA template per 100 bp. Cycling conditions were 32 cycles of 96 °C for 10 s, 55 °C for 5 s, and 60 °C for 4 min (Mardis, 2017).</w:t>
      </w:r>
    </w:p>
    <w:p w14:paraId="3BE7DEB0" w14:textId="77777777" w:rsidR="004F3DA7" w:rsidRDefault="004F3DA7" w:rsidP="004F3DA7">
      <w:pPr>
        <w:pStyle w:val="Heading4"/>
        <w:rPr>
          <w:rFonts w:ascii="Times New Roman" w:hAnsi="Times New Roman" w:cs="Times New Roman"/>
          <w:b/>
          <w:i w:val="0"/>
          <w:color w:val="auto"/>
        </w:rPr>
      </w:pPr>
      <w:r w:rsidRPr="00482C67">
        <w:rPr>
          <w:rFonts w:ascii="Times New Roman" w:hAnsi="Times New Roman" w:cs="Times New Roman"/>
          <w:b/>
          <w:i w:val="0"/>
          <w:color w:val="auto"/>
        </w:rPr>
        <w:t>2.4.5 Phylogenetic Analysis</w:t>
      </w:r>
    </w:p>
    <w:p w14:paraId="4956E47F" w14:textId="77777777" w:rsidR="004F3DA7" w:rsidRPr="00482C67" w:rsidRDefault="004F3DA7" w:rsidP="004F3DA7">
      <w:pPr>
        <w:pStyle w:val="Heading4"/>
        <w:jc w:val="both"/>
        <w:rPr>
          <w:rFonts w:ascii="Times New Roman" w:hAnsi="Times New Roman" w:cs="Times New Roman"/>
          <w:i w:val="0"/>
          <w:color w:val="auto"/>
        </w:rPr>
      </w:pPr>
      <w:r w:rsidRPr="00482C67">
        <w:rPr>
          <w:rFonts w:ascii="Times New Roman" w:hAnsi="Times New Roman" w:cs="Times New Roman"/>
          <w:i w:val="0"/>
          <w:color w:val="auto"/>
        </w:rPr>
        <w:t xml:space="preserve">Sequences were edited using Trace Edit, and BLASTN was used to retrieve homologous sequences from the NCBI database. Multiple sequence alignment was performed using </w:t>
      </w:r>
      <w:proofErr w:type="spellStart"/>
      <w:r w:rsidRPr="00482C67">
        <w:rPr>
          <w:rFonts w:ascii="Times New Roman" w:hAnsi="Times New Roman" w:cs="Times New Roman"/>
          <w:i w:val="0"/>
          <w:color w:val="auto"/>
        </w:rPr>
        <w:t>ClustalX</w:t>
      </w:r>
      <w:proofErr w:type="spellEnd"/>
      <w:r w:rsidRPr="00482C67">
        <w:rPr>
          <w:rFonts w:ascii="Times New Roman" w:hAnsi="Times New Roman" w:cs="Times New Roman"/>
          <w:i w:val="0"/>
          <w:color w:val="auto"/>
        </w:rPr>
        <w:t xml:space="preserve">. Phylogenetic trees were constructed with the Neighbor-Joining method in MEGA 6.0 software. Bootstrap analysis with 500 replicates was used to assess tree reliability, and evolutionary distances were calculated using the Jukes–Cantor model (Jukes &amp; Cantor, 1969; Kapli </w:t>
      </w:r>
      <w:r w:rsidRPr="00482C67">
        <w:rPr>
          <w:rFonts w:ascii="Times New Roman" w:hAnsi="Times New Roman" w:cs="Times New Roman"/>
          <w:color w:val="auto"/>
        </w:rPr>
        <w:t>et al</w:t>
      </w:r>
      <w:r w:rsidRPr="00482C67">
        <w:rPr>
          <w:rFonts w:ascii="Times New Roman" w:hAnsi="Times New Roman" w:cs="Times New Roman"/>
          <w:i w:val="0"/>
          <w:color w:val="auto"/>
        </w:rPr>
        <w:t>., 2020).</w:t>
      </w:r>
    </w:p>
    <w:p w14:paraId="2588BED2" w14:textId="77777777" w:rsidR="004F3DA7" w:rsidRDefault="004F3DA7" w:rsidP="004F3DA7">
      <w:pPr>
        <w:pStyle w:val="Heading3"/>
        <w:spacing w:before="0" w:beforeAutospacing="0" w:after="0" w:afterAutospacing="0"/>
        <w:rPr>
          <w:sz w:val="22"/>
          <w:szCs w:val="22"/>
        </w:rPr>
      </w:pPr>
    </w:p>
    <w:p w14:paraId="0A0D3A3C" w14:textId="77777777" w:rsidR="004F3DA7" w:rsidRDefault="004F3DA7" w:rsidP="004F3DA7">
      <w:pPr>
        <w:pStyle w:val="Heading3"/>
        <w:spacing w:before="0" w:beforeAutospacing="0" w:after="0" w:afterAutospacing="0"/>
        <w:rPr>
          <w:sz w:val="22"/>
          <w:szCs w:val="22"/>
        </w:rPr>
      </w:pPr>
      <w:r w:rsidRPr="00E86CD6">
        <w:rPr>
          <w:sz w:val="22"/>
          <w:szCs w:val="22"/>
        </w:rPr>
        <w:t>2.5 Screening of Yeast Isolates for Pyruvic Acid Production</w:t>
      </w:r>
      <w:r>
        <w:rPr>
          <w:sz w:val="22"/>
          <w:szCs w:val="22"/>
        </w:rPr>
        <w:t xml:space="preserve"> Potentials</w:t>
      </w:r>
    </w:p>
    <w:p w14:paraId="387FCF43" w14:textId="77777777" w:rsidR="004F3DA7" w:rsidRDefault="004F3DA7" w:rsidP="004F3DA7">
      <w:pPr>
        <w:pStyle w:val="Heading3"/>
        <w:spacing w:before="0" w:beforeAutospacing="0" w:after="0" w:afterAutospacing="0"/>
        <w:jc w:val="both"/>
        <w:rPr>
          <w:b w:val="0"/>
          <w:sz w:val="22"/>
          <w:szCs w:val="22"/>
        </w:rPr>
      </w:pPr>
      <w:r w:rsidRPr="00482C67">
        <w:rPr>
          <w:b w:val="0"/>
          <w:sz w:val="22"/>
          <w:szCs w:val="22"/>
        </w:rPr>
        <w:t xml:space="preserve">Screening was carried out under submerged fermentation conditions. The fermentation medium contained (g/L): glucose 30, soy peptone 10, KH₂PO₄ 1, </w:t>
      </w:r>
      <w:proofErr w:type="spellStart"/>
      <w:r w:rsidRPr="00482C67">
        <w:rPr>
          <w:b w:val="0"/>
          <w:sz w:val="22"/>
          <w:szCs w:val="22"/>
        </w:rPr>
        <w:t>MgSO</w:t>
      </w:r>
      <w:proofErr w:type="spellEnd"/>
      <w:r w:rsidRPr="00482C67">
        <w:rPr>
          <w:b w:val="0"/>
          <w:sz w:val="22"/>
          <w:szCs w:val="22"/>
        </w:rPr>
        <w:t xml:space="preserve">₄·7H₂O 0.5. </w:t>
      </w:r>
      <w:r w:rsidRPr="00482C67">
        <w:rPr>
          <w:rStyle w:val="Emphasis"/>
          <w:rFonts w:eastAsiaTheme="majorEastAsia"/>
          <w:b w:val="0"/>
          <w:sz w:val="22"/>
          <w:szCs w:val="22"/>
        </w:rPr>
        <w:t>Chlorella vulgaris</w:t>
      </w:r>
      <w:r w:rsidRPr="00482C67">
        <w:rPr>
          <w:b w:val="0"/>
          <w:sz w:val="22"/>
          <w:szCs w:val="22"/>
        </w:rPr>
        <w:t xml:space="preserve"> biomass was added as an additional carbon source. The pH was adjusted to 6.5 prior to sterilization. A 0.1% inoculum of each yeast isolate was inoculated into 10 mL of sterile medium in 250 mL Erlenmeyer flasks. Incubation was performed at 37 °C for 48 h under static conditions. After fermentation, the culture broth was cent</w:t>
      </w:r>
      <w:r>
        <w:rPr>
          <w:b w:val="0"/>
          <w:sz w:val="22"/>
          <w:szCs w:val="22"/>
        </w:rPr>
        <w:t>rifuged at 5,000 rpm for 10 min.</w:t>
      </w:r>
    </w:p>
    <w:p w14:paraId="1A3F1169" w14:textId="77777777" w:rsidR="004F3DA7" w:rsidRPr="007B5B32" w:rsidRDefault="004F3DA7" w:rsidP="004F3DA7">
      <w:pPr>
        <w:pStyle w:val="Heading3"/>
        <w:spacing w:before="0" w:beforeAutospacing="0" w:after="0" w:afterAutospacing="0"/>
        <w:jc w:val="both"/>
        <w:rPr>
          <w:b w:val="0"/>
          <w:sz w:val="22"/>
          <w:szCs w:val="22"/>
        </w:rPr>
      </w:pPr>
    </w:p>
    <w:p w14:paraId="008BBB58" w14:textId="77777777" w:rsidR="004F3DA7" w:rsidRPr="007B5B32" w:rsidRDefault="004F3DA7" w:rsidP="004F3DA7">
      <w:pPr>
        <w:pStyle w:val="Heading4"/>
        <w:numPr>
          <w:ilvl w:val="2"/>
          <w:numId w:val="2"/>
        </w:numPr>
        <w:spacing w:before="0" w:line="240" w:lineRule="auto"/>
        <w:rPr>
          <w:rFonts w:ascii="Times New Roman" w:hAnsi="Times New Roman" w:cs="Times New Roman"/>
          <w:b/>
          <w:i w:val="0"/>
        </w:rPr>
      </w:pPr>
      <w:r w:rsidRPr="007B5B32">
        <w:rPr>
          <w:rFonts w:ascii="Times New Roman" w:hAnsi="Times New Roman" w:cs="Times New Roman"/>
          <w:b/>
          <w:i w:val="0"/>
          <w:color w:val="auto"/>
        </w:rPr>
        <w:t>Sample preparation</w:t>
      </w:r>
    </w:p>
    <w:p w14:paraId="0B9EDC6A" w14:textId="77777777" w:rsidR="004F3DA7" w:rsidRDefault="004F3DA7" w:rsidP="004F3DA7">
      <w:pPr>
        <w:pStyle w:val="NormalWeb"/>
        <w:spacing w:before="0" w:beforeAutospacing="0"/>
        <w:jc w:val="both"/>
        <w:rPr>
          <w:sz w:val="22"/>
          <w:szCs w:val="22"/>
        </w:rPr>
      </w:pPr>
      <w:r w:rsidRPr="007B5B32">
        <w:rPr>
          <w:sz w:val="22"/>
          <w:szCs w:val="22"/>
        </w:rPr>
        <w:t xml:space="preserve">At the end of fermentation (48 h), culture broths were removed from the incubator and centrifuged at 5,000 × g for 10 min to pellet cells. The supernatant was decanted and filtered through a 0.45 µm membrane filter to obtain a cell-free filtrate. Filtrates were stored on ice and </w:t>
      </w:r>
      <w:proofErr w:type="spellStart"/>
      <w:r w:rsidRPr="007B5B32">
        <w:rPr>
          <w:sz w:val="22"/>
          <w:szCs w:val="22"/>
        </w:rPr>
        <w:t>analysed</w:t>
      </w:r>
      <w:proofErr w:type="spellEnd"/>
      <w:r w:rsidRPr="007B5B32">
        <w:rPr>
          <w:sz w:val="22"/>
          <w:szCs w:val="22"/>
        </w:rPr>
        <w:t xml:space="preserve"> the same day. Prior to titration, 10.0 mL aliquots of each clarified culture filtrate were transferred into clean 125 mL Erlenmeyer flasks for titration.</w:t>
      </w:r>
    </w:p>
    <w:p w14:paraId="687A7FE2" w14:textId="77777777" w:rsidR="004F3DA7" w:rsidRDefault="004F3DA7" w:rsidP="004F3DA7">
      <w:pPr>
        <w:pStyle w:val="NormalWeb"/>
        <w:numPr>
          <w:ilvl w:val="2"/>
          <w:numId w:val="2"/>
        </w:numPr>
        <w:spacing w:before="0" w:beforeAutospacing="0" w:after="0" w:afterAutospacing="0"/>
        <w:jc w:val="both"/>
        <w:rPr>
          <w:b/>
          <w:bCs/>
          <w:sz w:val="22"/>
          <w:szCs w:val="22"/>
        </w:rPr>
      </w:pPr>
      <w:r w:rsidRPr="009B547A">
        <w:rPr>
          <w:b/>
          <w:bCs/>
          <w:sz w:val="22"/>
          <w:szCs w:val="22"/>
        </w:rPr>
        <w:t>Titrimetric determination of pyruvic acid</w:t>
      </w:r>
    </w:p>
    <w:p w14:paraId="3E890157" w14:textId="77777777" w:rsidR="004F3DA7" w:rsidRPr="009B547A" w:rsidRDefault="004F3DA7" w:rsidP="004F3DA7">
      <w:pPr>
        <w:pStyle w:val="NormalWeb"/>
        <w:spacing w:before="0" w:beforeAutospacing="0" w:after="0" w:afterAutospacing="0"/>
        <w:jc w:val="both"/>
        <w:rPr>
          <w:sz w:val="22"/>
          <w:szCs w:val="22"/>
        </w:rPr>
      </w:pPr>
      <w:r w:rsidRPr="009B547A">
        <w:t xml:space="preserve">The concentration of pyruvic acid in the clarified culture filtrates was determined by titration against standard sodium hydroxide solution, following a modified method of Agu et al. (2015). Sodium hydroxide (NaOH), 0.10 N, </w:t>
      </w:r>
      <w:proofErr w:type="spellStart"/>
      <w:r w:rsidRPr="009B547A">
        <w:t>standardised</w:t>
      </w:r>
      <w:proofErr w:type="spellEnd"/>
      <w:r w:rsidRPr="009B547A">
        <w:t xml:space="preserve"> against oxalic acid as primary standard, Phenolphthalein</w:t>
      </w:r>
      <w:r>
        <w:t xml:space="preserve"> indicator (1% w/v in ethanol) and </w:t>
      </w:r>
      <w:r w:rsidRPr="009B547A">
        <w:t xml:space="preserve">distilled water. A 10.00 mL aliquot of the culture filtrate was transferred into a 125 mL Erlenmeyer flask, Two to three drops of phenolphthalein indicator were </w:t>
      </w:r>
      <w:proofErr w:type="spellStart"/>
      <w:proofErr w:type="gramStart"/>
      <w:r w:rsidRPr="009B547A">
        <w:t>added,The</w:t>
      </w:r>
      <w:proofErr w:type="spellEnd"/>
      <w:proofErr w:type="gramEnd"/>
      <w:r w:rsidRPr="009B547A">
        <w:t xml:space="preserve"> sample was titrated against </w:t>
      </w:r>
      <w:proofErr w:type="spellStart"/>
      <w:r w:rsidRPr="009B547A">
        <w:t>standardised</w:t>
      </w:r>
      <w:proofErr w:type="spellEnd"/>
      <w:r w:rsidRPr="009B547A">
        <w:t xml:space="preserve"> 0.10 N NaOH solution with constant swirling until a faint pink </w:t>
      </w:r>
      <w:proofErr w:type="spellStart"/>
      <w:r w:rsidRPr="009B547A">
        <w:t>colour</w:t>
      </w:r>
      <w:proofErr w:type="spellEnd"/>
      <w:r w:rsidRPr="009B547A">
        <w:t xml:space="preserve"> persisted for at least 30 </w:t>
      </w:r>
      <w:proofErr w:type="spellStart"/>
      <w:r w:rsidRPr="009B547A">
        <w:t>seconds,The</w:t>
      </w:r>
      <w:proofErr w:type="spellEnd"/>
      <w:r w:rsidRPr="009B547A">
        <w:t xml:space="preserve"> blank (uninoculated medium) was also titrated, and the blank </w:t>
      </w:r>
      <w:proofErr w:type="spellStart"/>
      <w:r w:rsidRPr="009B547A">
        <w:t>titre</w:t>
      </w:r>
      <w:proofErr w:type="spellEnd"/>
      <w:r w:rsidRPr="009B547A">
        <w:t xml:space="preserve"> was subtracted from each sample </w:t>
      </w:r>
      <w:proofErr w:type="spellStart"/>
      <w:r w:rsidRPr="009B547A">
        <w:t>titre</w:t>
      </w:r>
      <w:proofErr w:type="spellEnd"/>
      <w:r w:rsidRPr="009B547A">
        <w:t xml:space="preserve"> to correct for background acidity.</w:t>
      </w:r>
    </w:p>
    <w:p w14:paraId="29054EE8" w14:textId="77777777" w:rsidR="004F3DA7" w:rsidRPr="007B5B32" w:rsidRDefault="004F3DA7" w:rsidP="004F3DA7">
      <w:pPr>
        <w:spacing w:before="100" w:beforeAutospacing="1" w:after="0" w:line="240" w:lineRule="auto"/>
        <w:rPr>
          <w:rFonts w:ascii="Times New Roman" w:eastAsia="Times New Roman" w:hAnsi="Times New Roman" w:cs="Times New Roman"/>
          <w:sz w:val="24"/>
          <w:szCs w:val="24"/>
        </w:rPr>
      </w:pPr>
      <w:r w:rsidRPr="007B5B32">
        <w:rPr>
          <w:rFonts w:ascii="Times New Roman" w:eastAsia="Times New Roman" w:hAnsi="Times New Roman" w:cs="Times New Roman"/>
          <w:b/>
          <w:bCs/>
          <w:sz w:val="24"/>
          <w:szCs w:val="24"/>
        </w:rPr>
        <w:lastRenderedPageBreak/>
        <w:t>Calculation</w:t>
      </w:r>
      <w:r w:rsidRPr="007B5B32">
        <w:rPr>
          <w:rFonts w:ascii="Times New Roman" w:eastAsia="Times New Roman" w:hAnsi="Times New Roman" w:cs="Times New Roman"/>
          <w:sz w:val="24"/>
          <w:szCs w:val="24"/>
        </w:rPr>
        <w:br/>
        <w:t>Since pyruvic acid (C₃H₄O₃, molar mass = 88.06 g·mol⁻¹) is monoprotic, the equivalent weight is equal to its molecular weight. The concentration of pyruvic acid in the fermentation broth was calculated using the formula:</w:t>
      </w:r>
    </w:p>
    <w:p w14:paraId="4BB0EE20" w14:textId="77777777" w:rsidR="004F3DA7" w:rsidRPr="007B5B32" w:rsidRDefault="004F3DA7" w:rsidP="004F3DA7">
      <w:pPr>
        <w:spacing w:after="0" w:line="240" w:lineRule="auto"/>
        <w:rPr>
          <w:rFonts w:ascii="Times New Roman" w:eastAsia="Times New Roman" w:hAnsi="Times New Roman" w:cs="Times New Roman"/>
          <w:sz w:val="24"/>
          <w:szCs w:val="24"/>
        </w:rPr>
      </w:pPr>
      <w:r w:rsidRPr="009B547A">
        <w:rPr>
          <w:rFonts w:ascii="Times New Roman" w:eastAsia="Times New Roman" w:hAnsi="Times New Roman" w:cs="Times New Roman"/>
          <w:b/>
          <w:sz w:val="24"/>
          <w:szCs w:val="24"/>
        </w:rPr>
        <w:t>Pyruvic acid (gL−1)</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=V×N×88.0610\</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text</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{Pyruvic acid (</w:t>
      </w:r>
      <w:proofErr w:type="spellStart"/>
      <w:r w:rsidRPr="007B5B32">
        <w:rPr>
          <w:rFonts w:ascii="Times New Roman" w:eastAsia="Times New Roman" w:hAnsi="Times New Roman" w:cs="Times New Roman"/>
          <w:sz w:val="24"/>
          <w:szCs w:val="24"/>
        </w:rPr>
        <w:t>g·L</w:t>
      </w:r>
      <w:proofErr w:type="spellEnd"/>
      <w:r w:rsidRPr="007B5B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w:t>
      </w:r>
      <w:proofErr w:type="gramStart"/>
      <w:r w:rsidRPr="007B5B32">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text</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 = \frac{V \times N \times 88.06}</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Pyruvic acid (g</w:t>
      </w:r>
      <w:r w:rsidRPr="007B5B32">
        <w:rPr>
          <w:rFonts w:ascii="Times New Roman" w:eastAsia="Times New Roman" w:hAnsi="Times New Roman" w:cs="Times New Roman"/>
          <w:sz w:val="24"/>
          <w:szCs w:val="24"/>
        </w:rPr>
        <w:t>L−1)</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 xml:space="preserve">=10V×N×88.06​ </w:t>
      </w:r>
    </w:p>
    <w:p w14:paraId="5DAC2547" w14:textId="77777777" w:rsidR="004F3DA7" w:rsidRPr="007B5B32" w:rsidRDefault="004F3DA7" w:rsidP="004F3DA7">
      <w:pPr>
        <w:spacing w:before="100" w:beforeAutospacing="1" w:after="0" w:line="240" w:lineRule="auto"/>
        <w:rPr>
          <w:rFonts w:ascii="Times New Roman" w:eastAsia="Times New Roman" w:hAnsi="Times New Roman" w:cs="Times New Roman"/>
          <w:sz w:val="24"/>
          <w:szCs w:val="24"/>
        </w:rPr>
      </w:pPr>
      <w:r w:rsidRPr="007B5B32">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VVV</w:t>
      </w:r>
      <w:r w:rsidRPr="007B5B32">
        <w:rPr>
          <w:rFonts w:ascii="Times New Roman" w:eastAsia="Times New Roman" w:hAnsi="Times New Roman" w:cs="Times New Roman"/>
          <w:sz w:val="24"/>
          <w:szCs w:val="24"/>
        </w:rPr>
        <w:t xml:space="preserve"> = volume of NaOH used (mL, after blank correction),</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NNN = normality of NaOH,</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88.06 = equivalent weight of pyruvic acid (g·eq⁻¹),</w:t>
      </w:r>
      <w:r>
        <w:rPr>
          <w:rFonts w:ascii="Times New Roman" w:eastAsia="Times New Roman" w:hAnsi="Times New Roman" w:cs="Times New Roman"/>
          <w:sz w:val="24"/>
          <w:szCs w:val="24"/>
        </w:rPr>
        <w:t xml:space="preserve"> </w:t>
      </w:r>
      <w:r w:rsidRPr="007B5B32">
        <w:rPr>
          <w:rFonts w:ascii="Times New Roman" w:eastAsia="Times New Roman" w:hAnsi="Times New Roman" w:cs="Times New Roman"/>
          <w:sz w:val="24"/>
          <w:szCs w:val="24"/>
        </w:rPr>
        <w:t xml:space="preserve">10 = aliquot volume in </w:t>
      </w:r>
      <w:proofErr w:type="spellStart"/>
      <w:r w:rsidRPr="007B5B32">
        <w:rPr>
          <w:rFonts w:ascii="Times New Roman" w:eastAsia="Times New Roman" w:hAnsi="Times New Roman" w:cs="Times New Roman"/>
          <w:sz w:val="24"/>
          <w:szCs w:val="24"/>
        </w:rPr>
        <w:t>mL.</w:t>
      </w:r>
      <w:proofErr w:type="spellEnd"/>
    </w:p>
    <w:p w14:paraId="301F04F6" w14:textId="77777777" w:rsidR="004F3DA7" w:rsidRPr="00637449" w:rsidRDefault="004F3DA7" w:rsidP="004F3DA7">
      <w:pPr>
        <w:pStyle w:val="Heading2"/>
        <w:rPr>
          <w:rFonts w:ascii="Times New Roman" w:hAnsi="Times New Roman" w:cs="Times New Roman"/>
          <w:b/>
          <w:color w:val="auto"/>
          <w:sz w:val="22"/>
          <w:szCs w:val="22"/>
        </w:rPr>
      </w:pPr>
      <w:r>
        <w:rPr>
          <w:rFonts w:ascii="Times New Roman" w:hAnsi="Times New Roman" w:cs="Times New Roman"/>
          <w:b/>
          <w:color w:val="auto"/>
          <w:sz w:val="22"/>
          <w:szCs w:val="22"/>
        </w:rPr>
        <w:t xml:space="preserve">3.0 </w:t>
      </w:r>
      <w:r w:rsidRPr="00637449">
        <w:rPr>
          <w:rFonts w:ascii="Times New Roman" w:hAnsi="Times New Roman" w:cs="Times New Roman"/>
          <w:b/>
          <w:color w:val="auto"/>
          <w:sz w:val="22"/>
          <w:szCs w:val="22"/>
        </w:rPr>
        <w:t>RESULTS AND DISCUSSION</w:t>
      </w:r>
    </w:p>
    <w:p w14:paraId="310E27FC" w14:textId="77777777" w:rsidR="004F3DA7" w:rsidRPr="00637449" w:rsidRDefault="004F3DA7" w:rsidP="004F3DA7">
      <w:pPr>
        <w:pStyle w:val="Heading3"/>
        <w:spacing w:before="0" w:beforeAutospacing="0" w:after="0" w:afterAutospacing="0"/>
        <w:rPr>
          <w:sz w:val="22"/>
          <w:szCs w:val="22"/>
        </w:rPr>
      </w:pPr>
      <w:r w:rsidRPr="00637449">
        <w:rPr>
          <w:sz w:val="22"/>
          <w:szCs w:val="22"/>
        </w:rPr>
        <w:t>3.1 Total Fungal Count from Swab Samples</w:t>
      </w:r>
    </w:p>
    <w:p w14:paraId="0720C77E" w14:textId="6021FF74" w:rsidR="004F3DA7" w:rsidRDefault="004F3DA7" w:rsidP="004F3DA7">
      <w:pPr>
        <w:pStyle w:val="Heading3"/>
        <w:spacing w:before="0" w:beforeAutospacing="0" w:after="0" w:afterAutospacing="0"/>
        <w:jc w:val="both"/>
        <w:rPr>
          <w:b w:val="0"/>
          <w:sz w:val="22"/>
          <w:szCs w:val="22"/>
        </w:rPr>
      </w:pPr>
      <w:r w:rsidRPr="00637449">
        <w:rPr>
          <w:b w:val="0"/>
          <w:sz w:val="22"/>
          <w:szCs w:val="22"/>
        </w:rPr>
        <w:t xml:space="preserve">The total fungal population recovered from swab samples is shown in Table 1. Among the samples </w:t>
      </w:r>
      <w:proofErr w:type="spellStart"/>
      <w:r w:rsidRPr="00637449">
        <w:rPr>
          <w:b w:val="0"/>
          <w:sz w:val="22"/>
          <w:szCs w:val="22"/>
        </w:rPr>
        <w:t>analysed</w:t>
      </w:r>
      <w:proofErr w:type="spellEnd"/>
      <w:r w:rsidRPr="00637449">
        <w:rPr>
          <w:b w:val="0"/>
          <w:sz w:val="22"/>
          <w:szCs w:val="22"/>
        </w:rPr>
        <w:t xml:space="preserve">, sample A had the highest fungal load of </w:t>
      </w:r>
      <w:r w:rsidRPr="00637449">
        <w:rPr>
          <w:rStyle w:val="Strong"/>
          <w:sz w:val="22"/>
          <w:szCs w:val="22"/>
        </w:rPr>
        <w:t>4.2 × 10⁴ CFU/mL</w:t>
      </w:r>
      <w:r w:rsidRPr="00637449">
        <w:rPr>
          <w:b w:val="0"/>
          <w:sz w:val="22"/>
          <w:szCs w:val="22"/>
        </w:rPr>
        <w:t xml:space="preserve">, followed by sample C with </w:t>
      </w:r>
      <w:r w:rsidRPr="00637449">
        <w:rPr>
          <w:rStyle w:val="Strong"/>
          <w:sz w:val="22"/>
          <w:szCs w:val="22"/>
        </w:rPr>
        <w:t>3.7 × 10⁴</w:t>
      </w:r>
      <w:r w:rsidRPr="00637449">
        <w:rPr>
          <w:rStyle w:val="Strong"/>
          <w:b/>
          <w:sz w:val="22"/>
          <w:szCs w:val="22"/>
        </w:rPr>
        <w:t xml:space="preserve"> </w:t>
      </w:r>
      <w:r w:rsidRPr="00637449">
        <w:rPr>
          <w:rStyle w:val="Strong"/>
          <w:sz w:val="22"/>
          <w:szCs w:val="22"/>
        </w:rPr>
        <w:t>CFU/</w:t>
      </w:r>
      <w:proofErr w:type="spellStart"/>
      <w:r w:rsidRPr="00637449">
        <w:rPr>
          <w:rStyle w:val="Strong"/>
          <w:sz w:val="22"/>
          <w:szCs w:val="22"/>
        </w:rPr>
        <w:t>mL</w:t>
      </w:r>
      <w:r w:rsidRPr="00637449">
        <w:rPr>
          <w:b w:val="0"/>
          <w:sz w:val="22"/>
          <w:szCs w:val="22"/>
        </w:rPr>
        <w:t>.</w:t>
      </w:r>
      <w:proofErr w:type="spellEnd"/>
      <w:r w:rsidRPr="00637449">
        <w:rPr>
          <w:b w:val="0"/>
          <w:sz w:val="22"/>
          <w:szCs w:val="22"/>
        </w:rPr>
        <w:t xml:space="preserve"> Sample B recorded a fungal count of </w:t>
      </w:r>
      <w:r w:rsidRPr="00637449">
        <w:rPr>
          <w:rStyle w:val="Strong"/>
          <w:sz w:val="22"/>
          <w:szCs w:val="22"/>
        </w:rPr>
        <w:t>3.5 × 10⁴ CFU/mL</w:t>
      </w:r>
      <w:r w:rsidRPr="00637449">
        <w:rPr>
          <w:b w:val="0"/>
          <w:sz w:val="22"/>
          <w:szCs w:val="22"/>
        </w:rPr>
        <w:t xml:space="preserve">, while sample D had the lowest population of </w:t>
      </w:r>
      <w:r w:rsidRPr="00637449">
        <w:rPr>
          <w:rStyle w:val="Strong"/>
          <w:sz w:val="22"/>
          <w:szCs w:val="22"/>
        </w:rPr>
        <w:t>3.1 × 10⁴ CFU/</w:t>
      </w:r>
      <w:proofErr w:type="spellStart"/>
      <w:r w:rsidRPr="00637449">
        <w:rPr>
          <w:rStyle w:val="Strong"/>
          <w:sz w:val="22"/>
          <w:szCs w:val="22"/>
        </w:rPr>
        <w:t>mL</w:t>
      </w:r>
      <w:r w:rsidRPr="00637449">
        <w:rPr>
          <w:b w:val="0"/>
          <w:sz w:val="22"/>
          <w:szCs w:val="22"/>
        </w:rPr>
        <w:t>.</w:t>
      </w:r>
      <w:proofErr w:type="spellEnd"/>
      <w:r w:rsidRPr="00637449">
        <w:rPr>
          <w:b w:val="0"/>
          <w:sz w:val="22"/>
          <w:szCs w:val="22"/>
        </w:rPr>
        <w:t xml:space="preserve"> These results indicate that all swab samples contained cultivable fungi, with noticeable variation in microbial load across the different sources.</w:t>
      </w:r>
    </w:p>
    <w:p w14:paraId="0F91D131" w14:textId="77777777" w:rsidR="004F3DA7" w:rsidRPr="00637449" w:rsidRDefault="004F3DA7" w:rsidP="004F3DA7">
      <w:pPr>
        <w:pStyle w:val="Heading3"/>
        <w:spacing w:before="0" w:beforeAutospacing="0" w:after="0" w:afterAutospacing="0"/>
        <w:jc w:val="both"/>
        <w:rPr>
          <w:b w:val="0"/>
          <w:sz w:val="22"/>
          <w:szCs w:val="22"/>
        </w:rPr>
      </w:pPr>
    </w:p>
    <w:p w14:paraId="681302EA" w14:textId="77777777" w:rsidR="004F3DA7" w:rsidRPr="00637449" w:rsidRDefault="004F3DA7" w:rsidP="004F3DA7">
      <w:pPr>
        <w:pStyle w:val="Heading3"/>
        <w:spacing w:before="0" w:beforeAutospacing="0" w:after="0" w:afterAutospacing="0"/>
        <w:rPr>
          <w:sz w:val="22"/>
          <w:szCs w:val="22"/>
        </w:rPr>
      </w:pPr>
      <w:r w:rsidRPr="00637449">
        <w:rPr>
          <w:sz w:val="22"/>
          <w:szCs w:val="22"/>
        </w:rPr>
        <w:t>3.2 Biochemical Characteristics of the Yeast Isolates</w:t>
      </w:r>
    </w:p>
    <w:p w14:paraId="3C63BB1A" w14:textId="1351F3F6" w:rsidR="004F3DA7" w:rsidRDefault="004F3DA7" w:rsidP="004F3DA7">
      <w:pPr>
        <w:pStyle w:val="NormalWeb"/>
        <w:spacing w:before="0" w:beforeAutospacing="0" w:after="0" w:afterAutospacing="0"/>
        <w:jc w:val="both"/>
        <w:rPr>
          <w:b/>
          <w:i/>
          <w:sz w:val="22"/>
          <w:szCs w:val="22"/>
        </w:rPr>
      </w:pPr>
      <w:r w:rsidRPr="00637449">
        <w:rPr>
          <w:sz w:val="22"/>
          <w:szCs w:val="22"/>
        </w:rPr>
        <w:t xml:space="preserve">The biochemical properties of the yeast isolates obtained from the swab samples are presented in Table 2. All ten isolates (GC1–GC10) tested negative for germ tube formation but were positive for glucose fermentation. None of the isolates showed fermentation for lactose, maltose, galactose, or sucrose, and all were negative for urease activity. Based on these biochemical reactions, all isolates were tentatively identified as belonging to the genus </w:t>
      </w:r>
      <w:r w:rsidRPr="00637449">
        <w:rPr>
          <w:rStyle w:val="Strong"/>
          <w:b w:val="0"/>
          <w:i/>
          <w:sz w:val="22"/>
          <w:szCs w:val="22"/>
        </w:rPr>
        <w:t>Candida</w:t>
      </w:r>
      <w:r w:rsidRPr="00637449">
        <w:rPr>
          <w:b/>
          <w:i/>
          <w:sz w:val="22"/>
          <w:szCs w:val="22"/>
        </w:rPr>
        <w:t>.</w:t>
      </w:r>
    </w:p>
    <w:p w14:paraId="590DA418" w14:textId="77777777" w:rsidR="004F3DA7" w:rsidRPr="009F7BBF" w:rsidRDefault="004F3DA7" w:rsidP="004F3DA7">
      <w:pPr>
        <w:pStyle w:val="NormalWeb"/>
        <w:spacing w:before="0" w:beforeAutospacing="0" w:after="0" w:afterAutospacing="0"/>
        <w:jc w:val="both"/>
        <w:rPr>
          <w:b/>
          <w:i/>
          <w:sz w:val="22"/>
          <w:szCs w:val="22"/>
        </w:rPr>
      </w:pPr>
    </w:p>
    <w:p w14:paraId="7B5D09C7" w14:textId="77777777" w:rsidR="004F3DA7" w:rsidRPr="00637449" w:rsidRDefault="004F3DA7" w:rsidP="004F3DA7">
      <w:pPr>
        <w:pStyle w:val="Heading3"/>
        <w:spacing w:before="0" w:beforeAutospacing="0" w:after="0" w:afterAutospacing="0"/>
        <w:rPr>
          <w:sz w:val="22"/>
          <w:szCs w:val="22"/>
        </w:rPr>
      </w:pPr>
      <w:r w:rsidRPr="00637449">
        <w:rPr>
          <w:sz w:val="22"/>
          <w:szCs w:val="22"/>
        </w:rPr>
        <w:t xml:space="preserve">3.3 Molecular </w:t>
      </w:r>
      <w:proofErr w:type="spellStart"/>
      <w:r w:rsidRPr="00637449">
        <w:rPr>
          <w:sz w:val="22"/>
          <w:szCs w:val="22"/>
        </w:rPr>
        <w:t>Characterisation</w:t>
      </w:r>
      <w:proofErr w:type="spellEnd"/>
      <w:r w:rsidRPr="00637449">
        <w:rPr>
          <w:sz w:val="22"/>
          <w:szCs w:val="22"/>
        </w:rPr>
        <w:t xml:space="preserve"> of the Yeast Isolates</w:t>
      </w:r>
    </w:p>
    <w:p w14:paraId="3B4D0810" w14:textId="77777777" w:rsidR="004F3DA7" w:rsidRPr="00637449" w:rsidRDefault="004F3DA7" w:rsidP="004F3DA7">
      <w:pPr>
        <w:pStyle w:val="NormalWeb"/>
        <w:spacing w:before="0" w:beforeAutospacing="0" w:after="0" w:afterAutospacing="0"/>
        <w:jc w:val="both"/>
        <w:rPr>
          <w:sz w:val="22"/>
          <w:szCs w:val="22"/>
        </w:rPr>
      </w:pPr>
      <w:r w:rsidRPr="00637449">
        <w:rPr>
          <w:sz w:val="22"/>
          <w:szCs w:val="22"/>
        </w:rPr>
        <w:t>The gel electrophoresis results of amplified genomic DNA extracts are shown in Figure 1. Distinct bands were observed, corresponding to ITS regions at approximately 600 bp. The amplified fragments for isolates GC1 and GC3 were clearly resolved against the 500 bp DNA ladder.</w:t>
      </w:r>
    </w:p>
    <w:p w14:paraId="153B0F87" w14:textId="77777777" w:rsidR="004F3DA7" w:rsidRDefault="004F3DA7" w:rsidP="004F3DA7">
      <w:pPr>
        <w:pStyle w:val="NormalWeb"/>
        <w:spacing w:before="0" w:beforeAutospacing="0" w:after="0" w:afterAutospacing="0"/>
        <w:jc w:val="both"/>
        <w:rPr>
          <w:sz w:val="22"/>
          <w:szCs w:val="22"/>
        </w:rPr>
      </w:pPr>
      <w:r w:rsidRPr="00637449">
        <w:rPr>
          <w:sz w:val="22"/>
          <w:szCs w:val="22"/>
        </w:rPr>
        <w:t xml:space="preserve">The phylogenetic analysis (Figure 2) further revealed that isolate </w:t>
      </w:r>
      <w:r w:rsidRPr="00637449">
        <w:rPr>
          <w:rStyle w:val="Strong"/>
          <w:b w:val="0"/>
          <w:sz w:val="22"/>
          <w:szCs w:val="22"/>
        </w:rPr>
        <w:t>GC3 shared 96.2% similarity with Candida glabrata</w:t>
      </w:r>
      <w:r w:rsidRPr="00637449">
        <w:rPr>
          <w:sz w:val="22"/>
          <w:szCs w:val="22"/>
        </w:rPr>
        <w:t xml:space="preserve">, while isolate </w:t>
      </w:r>
      <w:r w:rsidRPr="00637449">
        <w:rPr>
          <w:rStyle w:val="Strong"/>
          <w:b w:val="0"/>
          <w:sz w:val="22"/>
          <w:szCs w:val="22"/>
        </w:rPr>
        <w:t>GC1 showed 94.6% similarity with Candida glabrata</w:t>
      </w:r>
      <w:r w:rsidRPr="00637449">
        <w:rPr>
          <w:sz w:val="22"/>
          <w:szCs w:val="22"/>
        </w:rPr>
        <w:t>. This confirmed the close evolutionary relationship of the clinical isolates with Candida glabrata species.</w:t>
      </w:r>
    </w:p>
    <w:p w14:paraId="15CF6CFC" w14:textId="77777777" w:rsidR="004F3DA7" w:rsidRPr="00637449" w:rsidRDefault="004F3DA7" w:rsidP="004F3DA7">
      <w:pPr>
        <w:pStyle w:val="NormalWeb"/>
        <w:spacing w:before="0" w:beforeAutospacing="0" w:after="0" w:afterAutospacing="0"/>
        <w:jc w:val="both"/>
        <w:rPr>
          <w:sz w:val="22"/>
          <w:szCs w:val="22"/>
        </w:rPr>
      </w:pPr>
    </w:p>
    <w:p w14:paraId="5194C933" w14:textId="77777777" w:rsidR="004F3DA7" w:rsidRDefault="004F3DA7" w:rsidP="004F3DA7">
      <w:pPr>
        <w:pStyle w:val="Heading3"/>
        <w:spacing w:before="0" w:beforeAutospacing="0" w:after="0" w:afterAutospacing="0"/>
        <w:rPr>
          <w:sz w:val="22"/>
          <w:szCs w:val="22"/>
        </w:rPr>
      </w:pPr>
      <w:r w:rsidRPr="00637449">
        <w:rPr>
          <w:sz w:val="22"/>
          <w:szCs w:val="22"/>
        </w:rPr>
        <w:t xml:space="preserve">3.4 </w:t>
      </w:r>
      <w:r w:rsidRPr="00E86CD6">
        <w:rPr>
          <w:sz w:val="22"/>
          <w:szCs w:val="22"/>
        </w:rPr>
        <w:t>Screening of Yeast Isolates for Pyruvic Acid Production</w:t>
      </w:r>
      <w:r>
        <w:rPr>
          <w:sz w:val="22"/>
          <w:szCs w:val="22"/>
        </w:rPr>
        <w:t xml:space="preserve"> Potentials</w:t>
      </w:r>
    </w:p>
    <w:p w14:paraId="53F79892" w14:textId="43CE735B" w:rsidR="004F3DA7" w:rsidRDefault="004F3DA7" w:rsidP="004F3DA7">
      <w:pPr>
        <w:pStyle w:val="Heading3"/>
        <w:spacing w:before="0" w:beforeAutospacing="0" w:after="0" w:afterAutospacing="0"/>
        <w:jc w:val="both"/>
        <w:rPr>
          <w:sz w:val="22"/>
          <w:szCs w:val="22"/>
        </w:rPr>
      </w:pPr>
      <w:r w:rsidRPr="00CF2B20">
        <w:rPr>
          <w:b w:val="0"/>
          <w:sz w:val="22"/>
          <w:szCs w:val="22"/>
        </w:rPr>
        <w:t xml:space="preserve">The pyruvic acid yields of the different </w:t>
      </w:r>
      <w:r w:rsidRPr="00CF2B20">
        <w:rPr>
          <w:b w:val="0"/>
          <w:i/>
          <w:sz w:val="22"/>
          <w:szCs w:val="22"/>
        </w:rPr>
        <w:t>Candida</w:t>
      </w:r>
      <w:r w:rsidRPr="00CF2B20">
        <w:rPr>
          <w:b w:val="0"/>
          <w:sz w:val="22"/>
          <w:szCs w:val="22"/>
        </w:rPr>
        <w:t xml:space="preserve"> isolates are shown in Table 3. Isolate </w:t>
      </w:r>
      <w:r w:rsidRPr="00CF2B20">
        <w:rPr>
          <w:rStyle w:val="Strong"/>
          <w:sz w:val="22"/>
          <w:szCs w:val="22"/>
        </w:rPr>
        <w:t>GC3 exhibited the highest production of pyruvic acid at 31.3 g/L</w:t>
      </w:r>
      <w:r w:rsidRPr="00CF2B20">
        <w:rPr>
          <w:b w:val="0"/>
          <w:sz w:val="22"/>
          <w:szCs w:val="22"/>
        </w:rPr>
        <w:t xml:space="preserve">, closely followed by </w:t>
      </w:r>
      <w:r w:rsidRPr="00CF2B20">
        <w:rPr>
          <w:rStyle w:val="Strong"/>
          <w:sz w:val="22"/>
          <w:szCs w:val="22"/>
        </w:rPr>
        <w:t>GC1 with 29.7 g/L</w:t>
      </w:r>
      <w:r w:rsidRPr="00CF2B20">
        <w:rPr>
          <w:b w:val="0"/>
          <w:sz w:val="22"/>
          <w:szCs w:val="22"/>
        </w:rPr>
        <w:t xml:space="preserve">. Moderate yields were recorded for GC7 (8.3 g/L) and GC9 (7.4 g/L), while isolates GC4, GC5, GC6, and GC8 produced between 4.2–5.9 g/L. The lowest yields were observed in </w:t>
      </w:r>
      <w:r w:rsidRPr="00CF2B20">
        <w:rPr>
          <w:rStyle w:val="Strong"/>
          <w:sz w:val="22"/>
          <w:szCs w:val="22"/>
        </w:rPr>
        <w:t>GC2 (2.1 g/L)</w:t>
      </w:r>
      <w:r w:rsidRPr="00CF2B20">
        <w:rPr>
          <w:sz w:val="22"/>
          <w:szCs w:val="22"/>
        </w:rPr>
        <w:t xml:space="preserve"> </w:t>
      </w:r>
      <w:r w:rsidRPr="00CF2B20">
        <w:rPr>
          <w:b w:val="0"/>
          <w:sz w:val="22"/>
          <w:szCs w:val="22"/>
        </w:rPr>
        <w:t>and</w:t>
      </w:r>
      <w:r w:rsidRPr="00CF2B20">
        <w:rPr>
          <w:sz w:val="22"/>
          <w:szCs w:val="22"/>
        </w:rPr>
        <w:t xml:space="preserve"> </w:t>
      </w:r>
      <w:r w:rsidRPr="00CF2B20">
        <w:rPr>
          <w:rStyle w:val="Strong"/>
          <w:sz w:val="22"/>
          <w:szCs w:val="22"/>
        </w:rPr>
        <w:t>GC10 (3.7 g/L)</w:t>
      </w:r>
      <w:r w:rsidRPr="00CF2B20">
        <w:rPr>
          <w:sz w:val="22"/>
          <w:szCs w:val="22"/>
        </w:rPr>
        <w:t>.</w:t>
      </w:r>
    </w:p>
    <w:p w14:paraId="622C3AD4" w14:textId="55D9CFE0" w:rsidR="00C72F6A" w:rsidRDefault="00C72F6A" w:rsidP="004F3DA7">
      <w:pPr>
        <w:pStyle w:val="Heading3"/>
        <w:spacing w:before="0" w:beforeAutospacing="0" w:after="0" w:afterAutospacing="0"/>
        <w:jc w:val="both"/>
        <w:rPr>
          <w:sz w:val="22"/>
          <w:szCs w:val="22"/>
        </w:rPr>
      </w:pPr>
    </w:p>
    <w:p w14:paraId="20089DB1" w14:textId="05965690" w:rsidR="00C72F6A" w:rsidRDefault="00C72F6A" w:rsidP="004F3DA7">
      <w:pPr>
        <w:pStyle w:val="Heading3"/>
        <w:spacing w:before="0" w:beforeAutospacing="0" w:after="0" w:afterAutospacing="0"/>
        <w:jc w:val="both"/>
        <w:rPr>
          <w:sz w:val="22"/>
          <w:szCs w:val="22"/>
        </w:rPr>
      </w:pPr>
    </w:p>
    <w:p w14:paraId="73837BD2" w14:textId="16321942" w:rsidR="00C72F6A" w:rsidRDefault="00C72F6A" w:rsidP="004F3DA7">
      <w:pPr>
        <w:pStyle w:val="Heading3"/>
        <w:spacing w:before="0" w:beforeAutospacing="0" w:after="0" w:afterAutospacing="0"/>
        <w:jc w:val="both"/>
        <w:rPr>
          <w:sz w:val="22"/>
          <w:szCs w:val="22"/>
        </w:rPr>
      </w:pPr>
    </w:p>
    <w:p w14:paraId="1AFFB718" w14:textId="5F1FDD72" w:rsidR="00C72F6A" w:rsidRDefault="00C72F6A" w:rsidP="004F3DA7">
      <w:pPr>
        <w:pStyle w:val="Heading3"/>
        <w:spacing w:before="0" w:beforeAutospacing="0" w:after="0" w:afterAutospacing="0"/>
        <w:jc w:val="both"/>
        <w:rPr>
          <w:sz w:val="22"/>
          <w:szCs w:val="22"/>
        </w:rPr>
      </w:pPr>
    </w:p>
    <w:p w14:paraId="647F546D" w14:textId="03D6B6AA" w:rsidR="00C72F6A" w:rsidRDefault="00C72F6A" w:rsidP="004F3DA7">
      <w:pPr>
        <w:pStyle w:val="Heading3"/>
        <w:spacing w:before="0" w:beforeAutospacing="0" w:after="0" w:afterAutospacing="0"/>
        <w:jc w:val="both"/>
        <w:rPr>
          <w:sz w:val="22"/>
          <w:szCs w:val="22"/>
        </w:rPr>
      </w:pPr>
    </w:p>
    <w:p w14:paraId="5F2A3BCC" w14:textId="7244E91B" w:rsidR="00C72F6A" w:rsidRDefault="00C72F6A" w:rsidP="004F3DA7">
      <w:pPr>
        <w:pStyle w:val="Heading3"/>
        <w:spacing w:before="0" w:beforeAutospacing="0" w:after="0" w:afterAutospacing="0"/>
        <w:jc w:val="both"/>
        <w:rPr>
          <w:sz w:val="22"/>
          <w:szCs w:val="22"/>
        </w:rPr>
      </w:pPr>
    </w:p>
    <w:p w14:paraId="58AFB581" w14:textId="67D30A13" w:rsidR="00C72F6A" w:rsidRDefault="00C72F6A" w:rsidP="004F3DA7">
      <w:pPr>
        <w:pStyle w:val="Heading3"/>
        <w:spacing w:before="0" w:beforeAutospacing="0" w:after="0" w:afterAutospacing="0"/>
        <w:jc w:val="both"/>
        <w:rPr>
          <w:sz w:val="22"/>
          <w:szCs w:val="22"/>
        </w:rPr>
      </w:pPr>
    </w:p>
    <w:p w14:paraId="2636708B" w14:textId="11883EB8" w:rsidR="00C72F6A" w:rsidRDefault="00C72F6A" w:rsidP="004F3DA7">
      <w:pPr>
        <w:pStyle w:val="Heading3"/>
        <w:spacing w:before="0" w:beforeAutospacing="0" w:after="0" w:afterAutospacing="0"/>
        <w:jc w:val="both"/>
        <w:rPr>
          <w:sz w:val="22"/>
          <w:szCs w:val="22"/>
        </w:rPr>
      </w:pPr>
    </w:p>
    <w:p w14:paraId="32DAD17E" w14:textId="0FA38E8A" w:rsidR="00C72F6A" w:rsidRDefault="00C72F6A" w:rsidP="004F3DA7">
      <w:pPr>
        <w:pStyle w:val="Heading3"/>
        <w:spacing w:before="0" w:beforeAutospacing="0" w:after="0" w:afterAutospacing="0"/>
        <w:jc w:val="both"/>
        <w:rPr>
          <w:sz w:val="22"/>
          <w:szCs w:val="22"/>
        </w:rPr>
      </w:pPr>
    </w:p>
    <w:p w14:paraId="10A00DB7" w14:textId="673AE731" w:rsidR="00C72F6A" w:rsidRDefault="00C72F6A" w:rsidP="004F3DA7">
      <w:pPr>
        <w:pStyle w:val="Heading3"/>
        <w:spacing w:before="0" w:beforeAutospacing="0" w:after="0" w:afterAutospacing="0"/>
        <w:jc w:val="both"/>
        <w:rPr>
          <w:sz w:val="22"/>
          <w:szCs w:val="22"/>
        </w:rPr>
      </w:pPr>
    </w:p>
    <w:p w14:paraId="59C4281A" w14:textId="55435D76" w:rsidR="00C72F6A" w:rsidRDefault="00C72F6A" w:rsidP="004F3DA7">
      <w:pPr>
        <w:pStyle w:val="Heading3"/>
        <w:spacing w:before="0" w:beforeAutospacing="0" w:after="0" w:afterAutospacing="0"/>
        <w:jc w:val="both"/>
        <w:rPr>
          <w:sz w:val="22"/>
          <w:szCs w:val="22"/>
        </w:rPr>
      </w:pPr>
    </w:p>
    <w:p w14:paraId="146566EA" w14:textId="77777777" w:rsidR="00C72F6A" w:rsidRDefault="00C72F6A" w:rsidP="004F3DA7">
      <w:pPr>
        <w:pStyle w:val="Heading3"/>
        <w:spacing w:before="0" w:beforeAutospacing="0" w:after="0" w:afterAutospacing="0"/>
        <w:jc w:val="both"/>
        <w:rPr>
          <w:sz w:val="22"/>
          <w:szCs w:val="22"/>
        </w:rPr>
      </w:pPr>
    </w:p>
    <w:p w14:paraId="5CA4FA38" w14:textId="77777777" w:rsidR="004F3DA7" w:rsidRPr="00CF2B20" w:rsidRDefault="004F3DA7" w:rsidP="004F3DA7">
      <w:pPr>
        <w:pStyle w:val="Heading3"/>
        <w:spacing w:before="0" w:beforeAutospacing="0" w:after="0" w:afterAutospacing="0"/>
        <w:jc w:val="both"/>
        <w:rPr>
          <w:b w:val="0"/>
          <w:sz w:val="22"/>
          <w:szCs w:val="22"/>
        </w:rPr>
      </w:pPr>
    </w:p>
    <w:p w14:paraId="402026BD" w14:textId="5404C055" w:rsidR="004F3DA7" w:rsidRDefault="004F3DA7" w:rsidP="004F3DA7">
      <w:pPr>
        <w:spacing w:line="240" w:lineRule="auto"/>
        <w:jc w:val="both"/>
        <w:rPr>
          <w:rFonts w:ascii="Times New Roman" w:hAnsi="Times New Roman" w:cs="Times New Roman"/>
          <w:b/>
        </w:rPr>
      </w:pPr>
      <w:r>
        <w:rPr>
          <w:rFonts w:ascii="Times New Roman" w:hAnsi="Times New Roman" w:cs="Times New Roman"/>
          <w:b/>
          <w:bCs/>
        </w:rPr>
        <w:t>Table 1: Fungal population of swab stick sample</w:t>
      </w:r>
    </w:p>
    <w:tbl>
      <w:tblPr>
        <w:tblW w:w="10960" w:type="dxa"/>
        <w:tblInd w:w="-788" w:type="dxa"/>
        <w:tblCellMar>
          <w:left w:w="0" w:type="dxa"/>
          <w:right w:w="0" w:type="dxa"/>
        </w:tblCellMar>
        <w:tblLook w:val="04A0" w:firstRow="1" w:lastRow="0" w:firstColumn="1" w:lastColumn="0" w:noHBand="0" w:noVBand="1"/>
      </w:tblPr>
      <w:tblGrid>
        <w:gridCol w:w="4960"/>
        <w:gridCol w:w="2260"/>
        <w:gridCol w:w="1260"/>
        <w:gridCol w:w="2480"/>
      </w:tblGrid>
      <w:tr w:rsidR="004F3DA7" w14:paraId="135E33A1" w14:textId="77777777" w:rsidTr="00F0671F">
        <w:trPr>
          <w:trHeight w:val="520"/>
        </w:trPr>
        <w:tc>
          <w:tcPr>
            <w:tcW w:w="4960" w:type="dxa"/>
            <w:tcBorders>
              <w:top w:val="single" w:sz="8" w:space="0" w:color="000000"/>
              <w:left w:val="nil"/>
              <w:bottom w:val="single" w:sz="8" w:space="0" w:color="000000"/>
              <w:right w:val="nil"/>
            </w:tcBorders>
            <w:tcMar>
              <w:top w:w="15" w:type="dxa"/>
              <w:left w:w="108" w:type="dxa"/>
              <w:bottom w:w="0" w:type="dxa"/>
              <w:right w:w="108" w:type="dxa"/>
            </w:tcMar>
            <w:hideMark/>
          </w:tcPr>
          <w:p w14:paraId="2C7AE5D2"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bCs/>
              </w:rPr>
              <w:t xml:space="preserve">              Sample</w:t>
            </w:r>
          </w:p>
        </w:tc>
        <w:tc>
          <w:tcPr>
            <w:tcW w:w="2260" w:type="dxa"/>
            <w:tcBorders>
              <w:top w:val="single" w:sz="8" w:space="0" w:color="000000"/>
              <w:left w:val="nil"/>
              <w:bottom w:val="single" w:sz="8" w:space="0" w:color="000000"/>
              <w:right w:val="nil"/>
            </w:tcBorders>
            <w:tcMar>
              <w:top w:w="15" w:type="dxa"/>
              <w:left w:w="108" w:type="dxa"/>
              <w:bottom w:w="0" w:type="dxa"/>
              <w:right w:w="108" w:type="dxa"/>
            </w:tcMar>
            <w:hideMark/>
          </w:tcPr>
          <w:p w14:paraId="01CF75DF"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bCs/>
              </w:rPr>
              <w:t xml:space="preserve">      </w:t>
            </w:r>
          </w:p>
        </w:tc>
        <w:tc>
          <w:tcPr>
            <w:tcW w:w="1260" w:type="dxa"/>
            <w:tcBorders>
              <w:top w:val="single" w:sz="8" w:space="0" w:color="000000"/>
              <w:left w:val="nil"/>
              <w:bottom w:val="single" w:sz="8" w:space="0" w:color="000000"/>
              <w:right w:val="nil"/>
            </w:tcBorders>
            <w:tcMar>
              <w:top w:w="15" w:type="dxa"/>
              <w:left w:w="108" w:type="dxa"/>
              <w:bottom w:w="0" w:type="dxa"/>
              <w:right w:w="108" w:type="dxa"/>
            </w:tcMar>
            <w:hideMark/>
          </w:tcPr>
          <w:p w14:paraId="0EE9918E"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bCs/>
              </w:rPr>
              <w:t> </w:t>
            </w:r>
          </w:p>
          <w:p w14:paraId="3181A824"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bCs/>
              </w:rPr>
              <w:t> </w:t>
            </w:r>
          </w:p>
        </w:tc>
        <w:tc>
          <w:tcPr>
            <w:tcW w:w="2480" w:type="dxa"/>
            <w:tcBorders>
              <w:top w:val="single" w:sz="8" w:space="0" w:color="000000"/>
              <w:left w:val="nil"/>
              <w:bottom w:val="single" w:sz="8" w:space="0" w:color="000000"/>
              <w:right w:val="nil"/>
            </w:tcBorders>
            <w:tcMar>
              <w:top w:w="15" w:type="dxa"/>
              <w:left w:w="108" w:type="dxa"/>
              <w:bottom w:w="0" w:type="dxa"/>
              <w:right w:w="108" w:type="dxa"/>
            </w:tcMar>
            <w:hideMark/>
          </w:tcPr>
          <w:p w14:paraId="561C365B"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bCs/>
              </w:rPr>
              <w:t xml:space="preserve">       </w:t>
            </w:r>
            <w:proofErr w:type="gramStart"/>
            <w:r>
              <w:rPr>
                <w:rFonts w:ascii="Times New Roman" w:hAnsi="Times New Roman" w:cs="Times New Roman"/>
                <w:bCs/>
              </w:rPr>
              <w:t>TFC(</w:t>
            </w:r>
            <w:proofErr w:type="gramEnd"/>
            <w:r>
              <w:rPr>
                <w:rFonts w:ascii="Times New Roman" w:hAnsi="Times New Roman" w:cs="Times New Roman"/>
                <w:bCs/>
              </w:rPr>
              <w:t>CFU/ml</w:t>
            </w:r>
          </w:p>
        </w:tc>
      </w:tr>
      <w:tr w:rsidR="004F3DA7" w14:paraId="69620322" w14:textId="77777777" w:rsidTr="00F0671F">
        <w:trPr>
          <w:trHeight w:val="392"/>
        </w:trPr>
        <w:tc>
          <w:tcPr>
            <w:tcW w:w="4960" w:type="dxa"/>
            <w:tcBorders>
              <w:top w:val="single" w:sz="8" w:space="0" w:color="000000"/>
              <w:left w:val="nil"/>
              <w:bottom w:val="nil"/>
              <w:right w:val="nil"/>
            </w:tcBorders>
            <w:tcMar>
              <w:top w:w="15" w:type="dxa"/>
              <w:left w:w="108" w:type="dxa"/>
              <w:bottom w:w="0" w:type="dxa"/>
              <w:right w:w="108" w:type="dxa"/>
            </w:tcMar>
            <w:hideMark/>
          </w:tcPr>
          <w:p w14:paraId="1FEF508D"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A </w:t>
            </w:r>
          </w:p>
        </w:tc>
        <w:tc>
          <w:tcPr>
            <w:tcW w:w="2260" w:type="dxa"/>
            <w:tcBorders>
              <w:top w:val="single" w:sz="8" w:space="0" w:color="000000"/>
              <w:left w:val="nil"/>
              <w:bottom w:val="nil"/>
              <w:right w:val="nil"/>
            </w:tcBorders>
            <w:tcMar>
              <w:top w:w="15" w:type="dxa"/>
              <w:left w:w="108" w:type="dxa"/>
              <w:bottom w:w="0" w:type="dxa"/>
              <w:right w:w="108" w:type="dxa"/>
            </w:tcMar>
            <w:hideMark/>
          </w:tcPr>
          <w:p w14:paraId="3AF1F961"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1260" w:type="dxa"/>
            <w:tcBorders>
              <w:top w:val="single" w:sz="8" w:space="0" w:color="000000"/>
              <w:left w:val="nil"/>
              <w:bottom w:val="nil"/>
              <w:right w:val="nil"/>
            </w:tcBorders>
            <w:tcMar>
              <w:top w:w="15" w:type="dxa"/>
              <w:left w:w="108" w:type="dxa"/>
              <w:bottom w:w="0" w:type="dxa"/>
              <w:right w:w="108" w:type="dxa"/>
            </w:tcMar>
            <w:hideMark/>
          </w:tcPr>
          <w:p w14:paraId="6FF8D501"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2480" w:type="dxa"/>
            <w:tcBorders>
              <w:top w:val="single" w:sz="8" w:space="0" w:color="000000"/>
              <w:left w:val="nil"/>
              <w:bottom w:val="nil"/>
              <w:right w:val="nil"/>
            </w:tcBorders>
            <w:tcMar>
              <w:top w:w="15" w:type="dxa"/>
              <w:left w:w="108" w:type="dxa"/>
              <w:bottom w:w="0" w:type="dxa"/>
              <w:right w:w="108" w:type="dxa"/>
            </w:tcMar>
            <w:hideMark/>
          </w:tcPr>
          <w:p w14:paraId="38106E3E"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4.2X10</w:t>
            </w:r>
            <w:r>
              <w:rPr>
                <w:rFonts w:ascii="Times New Roman" w:hAnsi="Times New Roman" w:cs="Times New Roman"/>
                <w:vertAlign w:val="superscript"/>
              </w:rPr>
              <w:t>4</w:t>
            </w:r>
          </w:p>
        </w:tc>
      </w:tr>
      <w:tr w:rsidR="004F3DA7" w14:paraId="4334EDDE" w14:textId="77777777" w:rsidTr="00F0671F">
        <w:trPr>
          <w:trHeight w:val="421"/>
        </w:trPr>
        <w:tc>
          <w:tcPr>
            <w:tcW w:w="4960" w:type="dxa"/>
            <w:tcBorders>
              <w:top w:val="nil"/>
              <w:left w:val="nil"/>
              <w:bottom w:val="nil"/>
              <w:right w:val="nil"/>
            </w:tcBorders>
            <w:tcMar>
              <w:top w:w="15" w:type="dxa"/>
              <w:left w:w="108" w:type="dxa"/>
              <w:bottom w:w="0" w:type="dxa"/>
              <w:right w:w="108" w:type="dxa"/>
            </w:tcMar>
            <w:hideMark/>
          </w:tcPr>
          <w:p w14:paraId="701F1B8C"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B </w:t>
            </w:r>
          </w:p>
        </w:tc>
        <w:tc>
          <w:tcPr>
            <w:tcW w:w="2260" w:type="dxa"/>
            <w:tcBorders>
              <w:top w:val="nil"/>
              <w:left w:val="nil"/>
              <w:bottom w:val="nil"/>
              <w:right w:val="nil"/>
            </w:tcBorders>
            <w:tcMar>
              <w:top w:w="15" w:type="dxa"/>
              <w:left w:w="108" w:type="dxa"/>
              <w:bottom w:w="0" w:type="dxa"/>
              <w:right w:w="108" w:type="dxa"/>
            </w:tcMar>
            <w:hideMark/>
          </w:tcPr>
          <w:p w14:paraId="7470AEC9" w14:textId="77777777" w:rsidR="004F3DA7" w:rsidRDefault="004F3DA7" w:rsidP="00F0671F">
            <w:pPr>
              <w:spacing w:line="240" w:lineRule="auto"/>
              <w:jc w:val="both"/>
              <w:rPr>
                <w:rFonts w:ascii="Times New Roman" w:hAnsi="Times New Roman" w:cs="Times New Roman"/>
              </w:rPr>
            </w:pPr>
          </w:p>
        </w:tc>
        <w:tc>
          <w:tcPr>
            <w:tcW w:w="1260" w:type="dxa"/>
            <w:tcBorders>
              <w:top w:val="nil"/>
              <w:left w:val="nil"/>
              <w:bottom w:val="nil"/>
              <w:right w:val="nil"/>
            </w:tcBorders>
            <w:tcMar>
              <w:top w:w="15" w:type="dxa"/>
              <w:left w:w="108" w:type="dxa"/>
              <w:bottom w:w="0" w:type="dxa"/>
              <w:right w:w="108" w:type="dxa"/>
            </w:tcMar>
            <w:hideMark/>
          </w:tcPr>
          <w:p w14:paraId="21EE48A3" w14:textId="77777777" w:rsidR="004F3DA7" w:rsidRDefault="004F3DA7" w:rsidP="00F0671F">
            <w:pPr>
              <w:spacing w:line="240" w:lineRule="auto"/>
              <w:jc w:val="both"/>
              <w:rPr>
                <w:rFonts w:ascii="Times New Roman" w:hAnsi="Times New Roman" w:cs="Times New Roman"/>
              </w:rPr>
            </w:pPr>
          </w:p>
        </w:tc>
        <w:tc>
          <w:tcPr>
            <w:tcW w:w="2480" w:type="dxa"/>
            <w:tcBorders>
              <w:top w:val="nil"/>
              <w:left w:val="nil"/>
              <w:bottom w:val="nil"/>
              <w:right w:val="nil"/>
            </w:tcBorders>
            <w:tcMar>
              <w:top w:w="15" w:type="dxa"/>
              <w:left w:w="108" w:type="dxa"/>
              <w:bottom w:w="0" w:type="dxa"/>
              <w:right w:w="108" w:type="dxa"/>
            </w:tcMar>
            <w:hideMark/>
          </w:tcPr>
          <w:p w14:paraId="4D65532E"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3.5X10</w:t>
            </w:r>
            <w:r>
              <w:rPr>
                <w:rFonts w:ascii="Times New Roman" w:hAnsi="Times New Roman" w:cs="Times New Roman"/>
                <w:vertAlign w:val="superscript"/>
              </w:rPr>
              <w:t>4</w:t>
            </w:r>
          </w:p>
        </w:tc>
      </w:tr>
      <w:tr w:rsidR="004F3DA7" w14:paraId="2517E707" w14:textId="77777777" w:rsidTr="00F0671F">
        <w:trPr>
          <w:trHeight w:val="748"/>
        </w:trPr>
        <w:tc>
          <w:tcPr>
            <w:tcW w:w="4960" w:type="dxa"/>
            <w:tcBorders>
              <w:top w:val="nil"/>
              <w:left w:val="nil"/>
              <w:bottom w:val="nil"/>
              <w:right w:val="nil"/>
            </w:tcBorders>
            <w:tcMar>
              <w:top w:w="15" w:type="dxa"/>
              <w:left w:w="108" w:type="dxa"/>
              <w:bottom w:w="0" w:type="dxa"/>
              <w:right w:w="108" w:type="dxa"/>
            </w:tcMar>
            <w:hideMark/>
          </w:tcPr>
          <w:p w14:paraId="6096358A"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C</w:t>
            </w:r>
          </w:p>
        </w:tc>
        <w:tc>
          <w:tcPr>
            <w:tcW w:w="2260" w:type="dxa"/>
            <w:tcBorders>
              <w:top w:val="nil"/>
              <w:left w:val="nil"/>
              <w:bottom w:val="nil"/>
              <w:right w:val="nil"/>
            </w:tcBorders>
            <w:tcMar>
              <w:top w:w="15" w:type="dxa"/>
              <w:left w:w="108" w:type="dxa"/>
              <w:bottom w:w="0" w:type="dxa"/>
              <w:right w:w="108" w:type="dxa"/>
            </w:tcMar>
            <w:hideMark/>
          </w:tcPr>
          <w:p w14:paraId="7D90CB71"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1260" w:type="dxa"/>
            <w:tcBorders>
              <w:top w:val="nil"/>
              <w:left w:val="nil"/>
              <w:bottom w:val="nil"/>
              <w:right w:val="nil"/>
            </w:tcBorders>
            <w:tcMar>
              <w:top w:w="15" w:type="dxa"/>
              <w:left w:w="108" w:type="dxa"/>
              <w:bottom w:w="0" w:type="dxa"/>
              <w:right w:w="108" w:type="dxa"/>
            </w:tcMar>
            <w:hideMark/>
          </w:tcPr>
          <w:p w14:paraId="36D9A5DD"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2480" w:type="dxa"/>
            <w:tcBorders>
              <w:top w:val="nil"/>
              <w:left w:val="nil"/>
              <w:bottom w:val="nil"/>
              <w:right w:val="nil"/>
            </w:tcBorders>
            <w:tcMar>
              <w:top w:w="15" w:type="dxa"/>
              <w:left w:w="108" w:type="dxa"/>
              <w:bottom w:w="0" w:type="dxa"/>
              <w:right w:w="108" w:type="dxa"/>
            </w:tcMar>
            <w:hideMark/>
          </w:tcPr>
          <w:p w14:paraId="56BCD3D8"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3.7X10</w:t>
            </w:r>
            <w:r>
              <w:rPr>
                <w:rFonts w:ascii="Times New Roman" w:hAnsi="Times New Roman" w:cs="Times New Roman"/>
                <w:vertAlign w:val="superscript"/>
              </w:rPr>
              <w:t>4</w:t>
            </w:r>
          </w:p>
        </w:tc>
      </w:tr>
      <w:tr w:rsidR="004F3DA7" w14:paraId="2DFC56DF" w14:textId="77777777" w:rsidTr="00F0671F">
        <w:trPr>
          <w:trHeight w:val="356"/>
        </w:trPr>
        <w:tc>
          <w:tcPr>
            <w:tcW w:w="4960" w:type="dxa"/>
            <w:tcBorders>
              <w:top w:val="nil"/>
              <w:left w:val="nil"/>
              <w:bottom w:val="single" w:sz="8" w:space="0" w:color="000000"/>
              <w:right w:val="nil"/>
            </w:tcBorders>
            <w:tcMar>
              <w:top w:w="15" w:type="dxa"/>
              <w:left w:w="108" w:type="dxa"/>
              <w:bottom w:w="0" w:type="dxa"/>
              <w:right w:w="108" w:type="dxa"/>
            </w:tcMar>
            <w:hideMark/>
          </w:tcPr>
          <w:p w14:paraId="2106BE0D"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D </w:t>
            </w:r>
          </w:p>
        </w:tc>
        <w:tc>
          <w:tcPr>
            <w:tcW w:w="2260" w:type="dxa"/>
            <w:tcBorders>
              <w:top w:val="nil"/>
              <w:left w:val="nil"/>
              <w:bottom w:val="single" w:sz="8" w:space="0" w:color="000000"/>
              <w:right w:val="nil"/>
            </w:tcBorders>
            <w:tcMar>
              <w:top w:w="15" w:type="dxa"/>
              <w:left w:w="108" w:type="dxa"/>
              <w:bottom w:w="0" w:type="dxa"/>
              <w:right w:w="108" w:type="dxa"/>
            </w:tcMar>
            <w:hideMark/>
          </w:tcPr>
          <w:p w14:paraId="1AB5CFA4"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w:t>
            </w:r>
          </w:p>
          <w:p w14:paraId="4BEB9507"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1260" w:type="dxa"/>
            <w:tcBorders>
              <w:top w:val="nil"/>
              <w:left w:val="nil"/>
              <w:bottom w:val="single" w:sz="8" w:space="0" w:color="000000"/>
              <w:right w:val="nil"/>
            </w:tcBorders>
            <w:tcMar>
              <w:top w:w="15" w:type="dxa"/>
              <w:left w:w="108" w:type="dxa"/>
              <w:bottom w:w="0" w:type="dxa"/>
              <w:right w:w="108" w:type="dxa"/>
            </w:tcMar>
            <w:hideMark/>
          </w:tcPr>
          <w:p w14:paraId="27C10E34"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w:t>
            </w:r>
          </w:p>
        </w:tc>
        <w:tc>
          <w:tcPr>
            <w:tcW w:w="2480" w:type="dxa"/>
            <w:tcBorders>
              <w:top w:val="nil"/>
              <w:left w:val="nil"/>
              <w:bottom w:val="single" w:sz="8" w:space="0" w:color="000000"/>
              <w:right w:val="nil"/>
            </w:tcBorders>
            <w:tcMar>
              <w:top w:w="15" w:type="dxa"/>
              <w:left w:w="108" w:type="dxa"/>
              <w:bottom w:w="0" w:type="dxa"/>
              <w:right w:w="108" w:type="dxa"/>
            </w:tcMar>
            <w:hideMark/>
          </w:tcPr>
          <w:p w14:paraId="344AA081" w14:textId="77777777" w:rsidR="004F3DA7" w:rsidRDefault="004F3DA7" w:rsidP="00F0671F">
            <w:pPr>
              <w:spacing w:line="240" w:lineRule="auto"/>
              <w:jc w:val="both"/>
              <w:rPr>
                <w:rFonts w:ascii="Times New Roman" w:hAnsi="Times New Roman" w:cs="Times New Roman"/>
              </w:rPr>
            </w:pPr>
            <w:r>
              <w:rPr>
                <w:rFonts w:ascii="Times New Roman" w:hAnsi="Times New Roman" w:cs="Times New Roman"/>
              </w:rPr>
              <w:t xml:space="preserve">              3.1X10</w:t>
            </w:r>
            <w:r>
              <w:rPr>
                <w:rFonts w:ascii="Times New Roman" w:hAnsi="Times New Roman" w:cs="Times New Roman"/>
                <w:vertAlign w:val="superscript"/>
              </w:rPr>
              <w:t>4</w:t>
            </w:r>
          </w:p>
        </w:tc>
      </w:tr>
    </w:tbl>
    <w:p w14:paraId="449D72F7" w14:textId="77777777" w:rsidR="004F3DA7" w:rsidRPr="00212417" w:rsidRDefault="004F3DA7" w:rsidP="004F3DA7">
      <w:pPr>
        <w:spacing w:line="240" w:lineRule="auto"/>
        <w:jc w:val="both"/>
        <w:rPr>
          <w:rFonts w:ascii="Times New Roman" w:hAnsi="Times New Roman" w:cs="Times New Roman"/>
          <w:strike/>
          <w:color w:val="000000"/>
        </w:rPr>
      </w:pPr>
      <w:r>
        <w:rPr>
          <w:rFonts w:ascii="Times New Roman" w:hAnsi="Times New Roman" w:cs="Times New Roman"/>
        </w:rPr>
        <w:t>Key: TFC= Total fungal Count</w:t>
      </w:r>
    </w:p>
    <w:tbl>
      <w:tblPr>
        <w:tblW w:w="10498" w:type="dxa"/>
        <w:jc w:val="center"/>
        <w:tblBorders>
          <w:top w:val="single" w:sz="8" w:space="0" w:color="auto"/>
          <w:bottom w:val="single" w:sz="8" w:space="0" w:color="auto"/>
        </w:tblBorders>
        <w:tblLook w:val="04A0" w:firstRow="1" w:lastRow="0" w:firstColumn="1" w:lastColumn="0" w:noHBand="0" w:noVBand="1"/>
      </w:tblPr>
      <w:tblGrid>
        <w:gridCol w:w="1067"/>
        <w:gridCol w:w="1067"/>
        <w:gridCol w:w="1067"/>
        <w:gridCol w:w="1067"/>
        <w:gridCol w:w="1067"/>
        <w:gridCol w:w="1067"/>
        <w:gridCol w:w="1067"/>
        <w:gridCol w:w="1110"/>
        <w:gridCol w:w="1919"/>
      </w:tblGrid>
      <w:tr w:rsidR="004F3DA7" w14:paraId="155D2EF4" w14:textId="77777777" w:rsidTr="00C5388B">
        <w:trPr>
          <w:trHeight w:val="1672"/>
          <w:jc w:val="center"/>
        </w:trPr>
        <w:tc>
          <w:tcPr>
            <w:tcW w:w="1067" w:type="dxa"/>
            <w:tcBorders>
              <w:top w:val="single" w:sz="8" w:space="0" w:color="000000"/>
              <w:left w:val="nil"/>
              <w:bottom w:val="single" w:sz="8" w:space="0" w:color="000000"/>
              <w:right w:val="nil"/>
            </w:tcBorders>
            <w:textDirection w:val="btLr"/>
            <w:hideMark/>
          </w:tcPr>
          <w:p w14:paraId="6750524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ISLATE</w:t>
            </w:r>
          </w:p>
        </w:tc>
        <w:tc>
          <w:tcPr>
            <w:tcW w:w="1067" w:type="dxa"/>
            <w:tcBorders>
              <w:top w:val="single" w:sz="8" w:space="0" w:color="000000"/>
              <w:left w:val="nil"/>
              <w:bottom w:val="single" w:sz="8" w:space="0" w:color="000000"/>
              <w:right w:val="nil"/>
            </w:tcBorders>
            <w:textDirection w:val="btLr"/>
            <w:hideMark/>
          </w:tcPr>
          <w:p w14:paraId="0F718B38"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rPr>
              <w:t>GERM  TUBE</w:t>
            </w:r>
            <w:proofErr w:type="gramEnd"/>
          </w:p>
        </w:tc>
        <w:tc>
          <w:tcPr>
            <w:tcW w:w="1067" w:type="dxa"/>
            <w:tcBorders>
              <w:top w:val="single" w:sz="8" w:space="0" w:color="000000"/>
              <w:left w:val="nil"/>
              <w:bottom w:val="single" w:sz="8" w:space="0" w:color="000000"/>
              <w:right w:val="nil"/>
            </w:tcBorders>
            <w:textDirection w:val="btLr"/>
            <w:hideMark/>
          </w:tcPr>
          <w:p w14:paraId="11F6AEE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GLUCOSE</w:t>
            </w:r>
          </w:p>
        </w:tc>
        <w:tc>
          <w:tcPr>
            <w:tcW w:w="1067" w:type="dxa"/>
            <w:tcBorders>
              <w:top w:val="single" w:sz="8" w:space="0" w:color="000000"/>
              <w:left w:val="nil"/>
              <w:bottom w:val="single" w:sz="8" w:space="0" w:color="000000"/>
              <w:right w:val="nil"/>
            </w:tcBorders>
            <w:shd w:val="clear" w:color="auto" w:fill="FFFFFF"/>
            <w:textDirection w:val="btLr"/>
            <w:hideMark/>
          </w:tcPr>
          <w:p w14:paraId="3F9F7E73"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LACTOSE</w:t>
            </w:r>
          </w:p>
        </w:tc>
        <w:tc>
          <w:tcPr>
            <w:tcW w:w="1067" w:type="dxa"/>
            <w:tcBorders>
              <w:top w:val="single" w:sz="8" w:space="0" w:color="000000"/>
              <w:left w:val="nil"/>
              <w:bottom w:val="single" w:sz="8" w:space="0" w:color="000000"/>
              <w:right w:val="nil"/>
            </w:tcBorders>
            <w:textDirection w:val="btLr"/>
            <w:hideMark/>
          </w:tcPr>
          <w:p w14:paraId="64C2C8A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MALTOSE</w:t>
            </w:r>
          </w:p>
        </w:tc>
        <w:tc>
          <w:tcPr>
            <w:tcW w:w="1067" w:type="dxa"/>
            <w:tcBorders>
              <w:top w:val="single" w:sz="8" w:space="0" w:color="000000"/>
              <w:left w:val="nil"/>
              <w:bottom w:val="single" w:sz="8" w:space="0" w:color="000000"/>
              <w:right w:val="nil"/>
            </w:tcBorders>
            <w:textDirection w:val="btLr"/>
            <w:hideMark/>
          </w:tcPr>
          <w:p w14:paraId="1F98CEC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GALACTOSE</w:t>
            </w:r>
          </w:p>
        </w:tc>
        <w:tc>
          <w:tcPr>
            <w:tcW w:w="1067" w:type="dxa"/>
            <w:tcBorders>
              <w:top w:val="single" w:sz="8" w:space="0" w:color="000000"/>
              <w:left w:val="nil"/>
              <w:bottom w:val="single" w:sz="8" w:space="0" w:color="000000"/>
              <w:right w:val="nil"/>
            </w:tcBorders>
            <w:textDirection w:val="btLr"/>
            <w:hideMark/>
          </w:tcPr>
          <w:p w14:paraId="4441FB9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SUCROSE</w:t>
            </w:r>
          </w:p>
        </w:tc>
        <w:tc>
          <w:tcPr>
            <w:tcW w:w="1110" w:type="dxa"/>
            <w:tcBorders>
              <w:top w:val="single" w:sz="8" w:space="0" w:color="000000"/>
              <w:left w:val="nil"/>
              <w:bottom w:val="single" w:sz="8" w:space="0" w:color="000000"/>
              <w:right w:val="nil"/>
            </w:tcBorders>
            <w:textDirection w:val="btLr"/>
            <w:hideMark/>
          </w:tcPr>
          <w:p w14:paraId="325DB263"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UREA</w:t>
            </w:r>
          </w:p>
        </w:tc>
        <w:tc>
          <w:tcPr>
            <w:tcW w:w="1919" w:type="dxa"/>
            <w:tcBorders>
              <w:top w:val="single" w:sz="8" w:space="0" w:color="000000"/>
              <w:left w:val="nil"/>
              <w:bottom w:val="single" w:sz="8" w:space="0" w:color="000000"/>
              <w:right w:val="nil"/>
            </w:tcBorders>
            <w:textDirection w:val="btLr"/>
            <w:hideMark/>
          </w:tcPr>
          <w:p w14:paraId="4F91545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PROBABLE GENERAL</w:t>
            </w:r>
          </w:p>
        </w:tc>
      </w:tr>
      <w:tr w:rsidR="004F3DA7" w14:paraId="3D97C7F7" w14:textId="77777777" w:rsidTr="00C5388B">
        <w:trPr>
          <w:trHeight w:val="549"/>
          <w:jc w:val="center"/>
        </w:trPr>
        <w:tc>
          <w:tcPr>
            <w:tcW w:w="1067" w:type="dxa"/>
            <w:tcBorders>
              <w:top w:val="nil"/>
              <w:left w:val="nil"/>
              <w:bottom w:val="nil"/>
              <w:right w:val="nil"/>
            </w:tcBorders>
            <w:shd w:val="clear" w:color="auto" w:fill="FFFFFF"/>
            <w:hideMark/>
          </w:tcPr>
          <w:p w14:paraId="32DEF399"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1          </w:t>
            </w:r>
          </w:p>
        </w:tc>
        <w:tc>
          <w:tcPr>
            <w:tcW w:w="1067" w:type="dxa"/>
            <w:tcBorders>
              <w:top w:val="nil"/>
              <w:left w:val="nil"/>
              <w:bottom w:val="nil"/>
              <w:right w:val="nil"/>
            </w:tcBorders>
            <w:shd w:val="clear" w:color="auto" w:fill="FFFFFF"/>
            <w:hideMark/>
          </w:tcPr>
          <w:p w14:paraId="2E340DD3"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1E0317F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7BA4C8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1176216"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91ACDE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545A87BD"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0162F8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5E2B48E1"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32179AF4" w14:textId="77777777" w:rsidTr="00C5388B">
        <w:trPr>
          <w:trHeight w:val="485"/>
          <w:jc w:val="center"/>
        </w:trPr>
        <w:tc>
          <w:tcPr>
            <w:tcW w:w="1067" w:type="dxa"/>
            <w:shd w:val="clear" w:color="auto" w:fill="FFFFFF"/>
            <w:hideMark/>
          </w:tcPr>
          <w:p w14:paraId="02DF1B9C"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2</w:t>
            </w:r>
          </w:p>
        </w:tc>
        <w:tc>
          <w:tcPr>
            <w:tcW w:w="1067" w:type="dxa"/>
            <w:shd w:val="clear" w:color="auto" w:fill="FFFFFF"/>
            <w:hideMark/>
          </w:tcPr>
          <w:p w14:paraId="4432F116"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7157A26C"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49FEFA6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55D8198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5E57418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5479C5D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shd w:val="clear" w:color="auto" w:fill="FFFFFF"/>
            <w:hideMark/>
          </w:tcPr>
          <w:p w14:paraId="5EA69A5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shd w:val="clear" w:color="auto" w:fill="FFFFFF"/>
            <w:hideMark/>
          </w:tcPr>
          <w:p w14:paraId="387D183C"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3B0FBC62" w14:textId="77777777" w:rsidTr="00C5388B">
        <w:trPr>
          <w:trHeight w:val="485"/>
          <w:jc w:val="center"/>
        </w:trPr>
        <w:tc>
          <w:tcPr>
            <w:tcW w:w="1067" w:type="dxa"/>
            <w:tcBorders>
              <w:top w:val="nil"/>
              <w:left w:val="nil"/>
              <w:bottom w:val="nil"/>
              <w:right w:val="nil"/>
            </w:tcBorders>
            <w:shd w:val="clear" w:color="auto" w:fill="FFFFFF"/>
            <w:hideMark/>
          </w:tcPr>
          <w:p w14:paraId="4EA03E5C"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3</w:t>
            </w:r>
          </w:p>
        </w:tc>
        <w:tc>
          <w:tcPr>
            <w:tcW w:w="1067" w:type="dxa"/>
            <w:tcBorders>
              <w:top w:val="nil"/>
              <w:left w:val="nil"/>
              <w:bottom w:val="nil"/>
              <w:right w:val="nil"/>
            </w:tcBorders>
            <w:shd w:val="clear" w:color="auto" w:fill="FFFFFF"/>
            <w:hideMark/>
          </w:tcPr>
          <w:p w14:paraId="7485205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236B06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71A309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2C5F9A6"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007408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143521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EB1D88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47CDBE70"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1EF78935" w14:textId="77777777" w:rsidTr="00C5388B">
        <w:trPr>
          <w:trHeight w:val="485"/>
          <w:jc w:val="center"/>
        </w:trPr>
        <w:tc>
          <w:tcPr>
            <w:tcW w:w="1067" w:type="dxa"/>
            <w:shd w:val="clear" w:color="auto" w:fill="FFFFFF"/>
            <w:hideMark/>
          </w:tcPr>
          <w:p w14:paraId="65BAD27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4</w:t>
            </w:r>
          </w:p>
        </w:tc>
        <w:tc>
          <w:tcPr>
            <w:tcW w:w="1067" w:type="dxa"/>
            <w:shd w:val="clear" w:color="auto" w:fill="FFFFFF"/>
            <w:hideMark/>
          </w:tcPr>
          <w:p w14:paraId="4B2826E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5E6903F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7DCA26B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4F3B603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33E6167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1CF789FA"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shd w:val="clear" w:color="auto" w:fill="FFFFFF"/>
            <w:hideMark/>
          </w:tcPr>
          <w:p w14:paraId="5F74F3A4"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shd w:val="clear" w:color="auto" w:fill="FFFFFF"/>
            <w:hideMark/>
          </w:tcPr>
          <w:p w14:paraId="24B3C0C8"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202C1413" w14:textId="77777777" w:rsidTr="00C5388B">
        <w:trPr>
          <w:trHeight w:val="485"/>
          <w:jc w:val="center"/>
        </w:trPr>
        <w:tc>
          <w:tcPr>
            <w:tcW w:w="1067" w:type="dxa"/>
            <w:tcBorders>
              <w:top w:val="nil"/>
              <w:left w:val="nil"/>
              <w:bottom w:val="nil"/>
              <w:right w:val="nil"/>
            </w:tcBorders>
            <w:shd w:val="clear" w:color="auto" w:fill="FFFFFF"/>
            <w:hideMark/>
          </w:tcPr>
          <w:p w14:paraId="195773D9"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5</w:t>
            </w:r>
          </w:p>
        </w:tc>
        <w:tc>
          <w:tcPr>
            <w:tcW w:w="1067" w:type="dxa"/>
            <w:tcBorders>
              <w:top w:val="nil"/>
              <w:left w:val="nil"/>
              <w:bottom w:val="nil"/>
              <w:right w:val="nil"/>
            </w:tcBorders>
            <w:shd w:val="clear" w:color="auto" w:fill="FFFFFF"/>
            <w:hideMark/>
          </w:tcPr>
          <w:p w14:paraId="4B040B2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52C76E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5DBAFA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17ED7042"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0AF8535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3A30A3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50CD0F9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65DB111B"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04DEDE33" w14:textId="77777777" w:rsidTr="00C5388B">
        <w:trPr>
          <w:trHeight w:val="485"/>
          <w:jc w:val="center"/>
        </w:trPr>
        <w:tc>
          <w:tcPr>
            <w:tcW w:w="1067" w:type="dxa"/>
            <w:shd w:val="clear" w:color="auto" w:fill="FFFFFF"/>
            <w:hideMark/>
          </w:tcPr>
          <w:p w14:paraId="560AD98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6</w:t>
            </w:r>
          </w:p>
        </w:tc>
        <w:tc>
          <w:tcPr>
            <w:tcW w:w="1067" w:type="dxa"/>
            <w:shd w:val="clear" w:color="auto" w:fill="FFFFFF"/>
            <w:hideMark/>
          </w:tcPr>
          <w:p w14:paraId="79479B2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4B173CB2"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55804E4E"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3648F7C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28566749"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15C514C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shd w:val="clear" w:color="auto" w:fill="FFFFFF"/>
            <w:hideMark/>
          </w:tcPr>
          <w:p w14:paraId="44BA745A"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shd w:val="clear" w:color="auto" w:fill="FFFFFF"/>
            <w:hideMark/>
          </w:tcPr>
          <w:p w14:paraId="400E6FAC"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2B4F8522" w14:textId="77777777" w:rsidTr="00C5388B">
        <w:trPr>
          <w:trHeight w:val="485"/>
          <w:jc w:val="center"/>
        </w:trPr>
        <w:tc>
          <w:tcPr>
            <w:tcW w:w="1067" w:type="dxa"/>
            <w:tcBorders>
              <w:top w:val="nil"/>
              <w:left w:val="nil"/>
              <w:bottom w:val="nil"/>
              <w:right w:val="nil"/>
            </w:tcBorders>
            <w:shd w:val="clear" w:color="auto" w:fill="FFFFFF"/>
            <w:hideMark/>
          </w:tcPr>
          <w:p w14:paraId="74FEED4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7</w:t>
            </w:r>
          </w:p>
        </w:tc>
        <w:tc>
          <w:tcPr>
            <w:tcW w:w="1067" w:type="dxa"/>
            <w:tcBorders>
              <w:top w:val="nil"/>
              <w:left w:val="nil"/>
              <w:bottom w:val="nil"/>
              <w:right w:val="nil"/>
            </w:tcBorders>
            <w:shd w:val="clear" w:color="auto" w:fill="FFFFFF"/>
            <w:hideMark/>
          </w:tcPr>
          <w:p w14:paraId="72E23AD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BF97B1D"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5CF4FC59"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D81C31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62529C2"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ABFD55D"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C691B1D"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27420892"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19182304" w14:textId="77777777" w:rsidTr="00C5388B">
        <w:trPr>
          <w:trHeight w:val="485"/>
          <w:jc w:val="center"/>
        </w:trPr>
        <w:tc>
          <w:tcPr>
            <w:tcW w:w="1067" w:type="dxa"/>
            <w:shd w:val="clear" w:color="auto" w:fill="FFFFFF"/>
            <w:hideMark/>
          </w:tcPr>
          <w:p w14:paraId="24B336C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GC 8</w:t>
            </w:r>
          </w:p>
        </w:tc>
        <w:tc>
          <w:tcPr>
            <w:tcW w:w="1067" w:type="dxa"/>
            <w:shd w:val="clear" w:color="auto" w:fill="FFFFFF"/>
            <w:hideMark/>
          </w:tcPr>
          <w:p w14:paraId="0A4855F2"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1415D18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2412D1E6"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010B3974"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26A7C2E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shd w:val="clear" w:color="auto" w:fill="FFFFFF"/>
            <w:hideMark/>
          </w:tcPr>
          <w:p w14:paraId="0CECCE65"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shd w:val="clear" w:color="auto" w:fill="FFFFFF"/>
            <w:hideMark/>
          </w:tcPr>
          <w:p w14:paraId="73B6B9B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shd w:val="clear" w:color="auto" w:fill="FFFFFF"/>
            <w:hideMark/>
          </w:tcPr>
          <w:p w14:paraId="43FE97F3"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7C942B11" w14:textId="77777777" w:rsidTr="00C5388B">
        <w:trPr>
          <w:trHeight w:val="485"/>
          <w:jc w:val="center"/>
        </w:trPr>
        <w:tc>
          <w:tcPr>
            <w:tcW w:w="1067" w:type="dxa"/>
            <w:tcBorders>
              <w:top w:val="nil"/>
              <w:left w:val="nil"/>
              <w:bottom w:val="nil"/>
              <w:right w:val="nil"/>
            </w:tcBorders>
            <w:shd w:val="clear" w:color="auto" w:fill="FFFFFF"/>
            <w:hideMark/>
          </w:tcPr>
          <w:p w14:paraId="4E040CD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GC 9</w:t>
            </w:r>
          </w:p>
        </w:tc>
        <w:tc>
          <w:tcPr>
            <w:tcW w:w="1067" w:type="dxa"/>
            <w:tcBorders>
              <w:top w:val="nil"/>
              <w:left w:val="nil"/>
              <w:bottom w:val="nil"/>
              <w:right w:val="nil"/>
            </w:tcBorders>
            <w:shd w:val="clear" w:color="auto" w:fill="FFFFFF"/>
            <w:hideMark/>
          </w:tcPr>
          <w:p w14:paraId="0C6DA3B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52F91BA"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CF6876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8B462EA"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B437A5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6B9DC9B"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5351278F"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6B677F86"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r w:rsidR="004F3DA7" w14:paraId="4BBA2E47" w14:textId="77777777" w:rsidTr="00C5388B">
        <w:trPr>
          <w:trHeight w:val="485"/>
          <w:jc w:val="center"/>
        </w:trPr>
        <w:tc>
          <w:tcPr>
            <w:tcW w:w="1067" w:type="dxa"/>
            <w:tcBorders>
              <w:bottom w:val="single" w:sz="8" w:space="0" w:color="000000"/>
            </w:tcBorders>
            <w:hideMark/>
          </w:tcPr>
          <w:p w14:paraId="5B4520E3"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GC10</w:t>
            </w:r>
          </w:p>
        </w:tc>
        <w:tc>
          <w:tcPr>
            <w:tcW w:w="1067" w:type="dxa"/>
            <w:tcBorders>
              <w:bottom w:val="single" w:sz="8" w:space="0" w:color="000000"/>
            </w:tcBorders>
            <w:hideMark/>
          </w:tcPr>
          <w:p w14:paraId="060B8C1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bottom w:val="single" w:sz="8" w:space="0" w:color="000000"/>
            </w:tcBorders>
            <w:hideMark/>
          </w:tcPr>
          <w:p w14:paraId="040A3037"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bottom w:val="single" w:sz="8" w:space="0" w:color="000000"/>
            </w:tcBorders>
            <w:shd w:val="clear" w:color="auto" w:fill="FFFFFF"/>
            <w:hideMark/>
          </w:tcPr>
          <w:p w14:paraId="15E86A0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bottom w:val="single" w:sz="8" w:space="0" w:color="000000"/>
            </w:tcBorders>
            <w:hideMark/>
          </w:tcPr>
          <w:p w14:paraId="10374870"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bottom w:val="single" w:sz="8" w:space="0" w:color="000000"/>
            </w:tcBorders>
            <w:hideMark/>
          </w:tcPr>
          <w:p w14:paraId="33E29A46"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067" w:type="dxa"/>
            <w:tcBorders>
              <w:bottom w:val="single" w:sz="8" w:space="0" w:color="000000"/>
            </w:tcBorders>
            <w:hideMark/>
          </w:tcPr>
          <w:p w14:paraId="17454201"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110" w:type="dxa"/>
            <w:tcBorders>
              <w:bottom w:val="single" w:sz="8" w:space="0" w:color="000000"/>
            </w:tcBorders>
            <w:hideMark/>
          </w:tcPr>
          <w:p w14:paraId="5701DA48" w14:textId="77777777" w:rsidR="004F3DA7" w:rsidRDefault="004F3DA7" w:rsidP="00C5388B">
            <w:pPr>
              <w:spacing w:after="0" w:line="240" w:lineRule="auto"/>
              <w:ind w:left="90"/>
              <w:jc w:val="both"/>
              <w:rPr>
                <w:rFonts w:ascii="Times New Roman" w:hAnsi="Times New Roman" w:cs="Times New Roman"/>
              </w:rPr>
            </w:pPr>
            <w:r>
              <w:rPr>
                <w:rFonts w:ascii="Times New Roman" w:hAnsi="Times New Roman" w:cs="Times New Roman"/>
              </w:rPr>
              <w:t xml:space="preserve">    -</w:t>
            </w:r>
          </w:p>
        </w:tc>
        <w:tc>
          <w:tcPr>
            <w:tcW w:w="1919" w:type="dxa"/>
            <w:tcBorders>
              <w:bottom w:val="single" w:sz="8" w:space="0" w:color="000000"/>
            </w:tcBorders>
            <w:hideMark/>
          </w:tcPr>
          <w:p w14:paraId="7D1FE5A7" w14:textId="77777777" w:rsidR="004F3DA7" w:rsidRDefault="004F3DA7" w:rsidP="00C5388B">
            <w:pPr>
              <w:spacing w:after="0" w:line="240" w:lineRule="auto"/>
              <w:ind w:left="90"/>
              <w:jc w:val="both"/>
              <w:rPr>
                <w:rFonts w:ascii="Times New Roman" w:hAnsi="Times New Roman" w:cs="Times New Roman"/>
              </w:rPr>
            </w:pPr>
            <w:proofErr w:type="gramStart"/>
            <w:r>
              <w:rPr>
                <w:rFonts w:ascii="Times New Roman" w:hAnsi="Times New Roman" w:cs="Times New Roman"/>
                <w:i/>
                <w:iCs/>
              </w:rPr>
              <w:t xml:space="preserve">Candida  </w:t>
            </w:r>
            <w:proofErr w:type="spellStart"/>
            <w:r>
              <w:rPr>
                <w:rFonts w:ascii="Times New Roman" w:hAnsi="Times New Roman" w:cs="Times New Roman"/>
              </w:rPr>
              <w:t>sp</w:t>
            </w:r>
            <w:proofErr w:type="spellEnd"/>
            <w:proofErr w:type="gramEnd"/>
          </w:p>
        </w:tc>
      </w:tr>
    </w:tbl>
    <w:p w14:paraId="408E4850" w14:textId="77777777" w:rsidR="004F3DA7" w:rsidRDefault="004F3DA7" w:rsidP="004F3DA7">
      <w:pPr>
        <w:spacing w:after="0" w:line="240" w:lineRule="auto"/>
        <w:jc w:val="both"/>
        <w:rPr>
          <w:rFonts w:ascii="Times New Roman" w:hAnsi="Times New Roman" w:cs="Times New Roman"/>
          <w:b/>
          <w:bCs/>
        </w:rPr>
      </w:pPr>
    </w:p>
    <w:p w14:paraId="2D78FBD5" w14:textId="77777777" w:rsidR="004F3DA7" w:rsidRDefault="004F3DA7" w:rsidP="004F3DA7">
      <w:pPr>
        <w:spacing w:after="0" w:line="240" w:lineRule="auto"/>
        <w:jc w:val="both"/>
        <w:rPr>
          <w:rFonts w:ascii="Times New Roman" w:hAnsi="Times New Roman" w:cs="Times New Roman"/>
          <w:b/>
          <w:bCs/>
        </w:rPr>
      </w:pPr>
    </w:p>
    <w:p w14:paraId="1561DAE5" w14:textId="55536747" w:rsidR="004F3DA7" w:rsidRDefault="004F3DA7" w:rsidP="004F3DA7">
      <w:pPr>
        <w:spacing w:after="0" w:line="240" w:lineRule="auto"/>
        <w:jc w:val="both"/>
        <w:rPr>
          <w:rFonts w:ascii="Times New Roman" w:hAnsi="Times New Roman" w:cs="Times New Roman"/>
          <w:b/>
          <w:bCs/>
        </w:rPr>
      </w:pPr>
      <w:r>
        <w:rPr>
          <w:rFonts w:ascii="Times New Roman" w:hAnsi="Times New Roman" w:cs="Times New Roman"/>
          <w:b/>
          <w:bCs/>
        </w:rPr>
        <w:t>Table.2: Biochemical characteristics of yeast isolated from swab stick sample</w:t>
      </w:r>
    </w:p>
    <w:p w14:paraId="00813642" w14:textId="77777777" w:rsidR="00C5388B" w:rsidRDefault="00C5388B" w:rsidP="004F3DA7">
      <w:pPr>
        <w:spacing w:after="0" w:line="240" w:lineRule="auto"/>
        <w:jc w:val="both"/>
        <w:rPr>
          <w:rFonts w:ascii="Times New Roman" w:hAnsi="Times New Roman" w:cs="Times New Roman"/>
          <w:b/>
          <w:bCs/>
        </w:rPr>
      </w:pPr>
    </w:p>
    <w:p w14:paraId="636FD965" w14:textId="77777777" w:rsidR="00C5388B" w:rsidRDefault="00C5388B" w:rsidP="004F3DA7">
      <w:pPr>
        <w:spacing w:after="0" w:line="240" w:lineRule="auto"/>
        <w:jc w:val="both"/>
        <w:rPr>
          <w:rFonts w:ascii="Times New Roman" w:hAnsi="Times New Roman" w:cs="Times New Roman"/>
          <w:b/>
          <w:bCs/>
        </w:rPr>
      </w:pPr>
    </w:p>
    <w:p w14:paraId="2BB0FDF0" w14:textId="77777777" w:rsidR="00C5388B" w:rsidRDefault="00C5388B" w:rsidP="004F3DA7">
      <w:pPr>
        <w:spacing w:after="0" w:line="240" w:lineRule="auto"/>
        <w:jc w:val="both"/>
        <w:rPr>
          <w:rFonts w:ascii="Times New Roman" w:hAnsi="Times New Roman" w:cs="Times New Roman"/>
          <w:b/>
          <w:bCs/>
        </w:rPr>
      </w:pPr>
    </w:p>
    <w:p w14:paraId="746D48C9" w14:textId="77777777" w:rsidR="00C5388B" w:rsidRDefault="00C5388B" w:rsidP="004F3DA7">
      <w:pPr>
        <w:spacing w:after="0" w:line="240" w:lineRule="auto"/>
        <w:jc w:val="both"/>
        <w:rPr>
          <w:rFonts w:ascii="Times New Roman" w:hAnsi="Times New Roman" w:cs="Times New Roman"/>
          <w:b/>
          <w:bCs/>
        </w:rPr>
      </w:pPr>
    </w:p>
    <w:p w14:paraId="2CD9CF4A" w14:textId="77777777" w:rsidR="00C5388B" w:rsidRDefault="00C5388B" w:rsidP="004F3DA7">
      <w:pPr>
        <w:spacing w:after="0" w:line="240" w:lineRule="auto"/>
        <w:jc w:val="both"/>
        <w:rPr>
          <w:rFonts w:ascii="Times New Roman" w:hAnsi="Times New Roman" w:cs="Times New Roman"/>
          <w:b/>
          <w:bCs/>
        </w:rPr>
      </w:pPr>
    </w:p>
    <w:p w14:paraId="720A1326" w14:textId="77777777" w:rsidR="00C5388B" w:rsidRDefault="00C5388B" w:rsidP="004F3DA7">
      <w:pPr>
        <w:spacing w:after="0" w:line="240" w:lineRule="auto"/>
        <w:jc w:val="both"/>
        <w:rPr>
          <w:rFonts w:ascii="Times New Roman" w:hAnsi="Times New Roman" w:cs="Times New Roman"/>
          <w:b/>
          <w:bCs/>
        </w:rPr>
      </w:pPr>
    </w:p>
    <w:p w14:paraId="5DB818F5" w14:textId="77777777" w:rsidR="00C5388B" w:rsidRDefault="00C5388B" w:rsidP="004F3DA7">
      <w:pPr>
        <w:spacing w:after="0" w:line="240" w:lineRule="auto"/>
        <w:jc w:val="both"/>
        <w:rPr>
          <w:rFonts w:ascii="Times New Roman" w:hAnsi="Times New Roman" w:cs="Times New Roman"/>
          <w:b/>
          <w:bCs/>
        </w:rPr>
      </w:pPr>
    </w:p>
    <w:p w14:paraId="424F4FEC" w14:textId="77777777" w:rsidR="00C5388B" w:rsidRDefault="00C5388B" w:rsidP="004F3DA7">
      <w:pPr>
        <w:spacing w:after="0" w:line="240" w:lineRule="auto"/>
        <w:jc w:val="both"/>
        <w:rPr>
          <w:rFonts w:ascii="Times New Roman" w:hAnsi="Times New Roman" w:cs="Times New Roman"/>
          <w:b/>
          <w:bCs/>
        </w:rPr>
      </w:pPr>
    </w:p>
    <w:p w14:paraId="3001B6C0" w14:textId="77777777" w:rsidR="00C5388B" w:rsidRDefault="00C5388B" w:rsidP="004F3DA7">
      <w:pPr>
        <w:spacing w:after="0" w:line="240" w:lineRule="auto"/>
        <w:jc w:val="both"/>
        <w:rPr>
          <w:rFonts w:ascii="Times New Roman" w:hAnsi="Times New Roman" w:cs="Times New Roman"/>
          <w:b/>
          <w:bCs/>
        </w:rPr>
      </w:pPr>
    </w:p>
    <w:p w14:paraId="656F9D14" w14:textId="77777777" w:rsidR="00C5388B" w:rsidRDefault="00C5388B" w:rsidP="004F3DA7">
      <w:pPr>
        <w:spacing w:after="0" w:line="240" w:lineRule="auto"/>
        <w:jc w:val="both"/>
        <w:rPr>
          <w:rFonts w:ascii="Times New Roman" w:hAnsi="Times New Roman" w:cs="Times New Roman"/>
          <w:b/>
          <w:bCs/>
        </w:rPr>
      </w:pPr>
    </w:p>
    <w:p w14:paraId="7A2C251D" w14:textId="77777777" w:rsidR="00C5388B" w:rsidRDefault="00C5388B" w:rsidP="004F3DA7">
      <w:pPr>
        <w:spacing w:after="0" w:line="240" w:lineRule="auto"/>
        <w:jc w:val="both"/>
        <w:rPr>
          <w:rFonts w:ascii="Times New Roman" w:hAnsi="Times New Roman" w:cs="Times New Roman"/>
          <w:b/>
          <w:bCs/>
        </w:rPr>
      </w:pPr>
    </w:p>
    <w:p w14:paraId="20F93AFF" w14:textId="77777777" w:rsidR="00C5388B" w:rsidRDefault="00C5388B" w:rsidP="004F3DA7">
      <w:pPr>
        <w:spacing w:after="0" w:line="240" w:lineRule="auto"/>
        <w:jc w:val="both"/>
        <w:rPr>
          <w:rFonts w:ascii="Times New Roman" w:hAnsi="Times New Roman" w:cs="Times New Roman"/>
          <w:b/>
          <w:bCs/>
        </w:rPr>
      </w:pPr>
    </w:p>
    <w:p w14:paraId="3947A29B" w14:textId="77777777" w:rsidR="00C5388B" w:rsidRDefault="00C5388B" w:rsidP="004F3DA7">
      <w:pPr>
        <w:spacing w:after="0" w:line="240" w:lineRule="auto"/>
        <w:jc w:val="both"/>
        <w:rPr>
          <w:rFonts w:ascii="Times New Roman" w:hAnsi="Times New Roman" w:cs="Times New Roman"/>
          <w:b/>
          <w:bCs/>
        </w:rPr>
      </w:pPr>
    </w:p>
    <w:p w14:paraId="0CB8D113" w14:textId="77777777" w:rsidR="00C5388B" w:rsidRDefault="00C5388B" w:rsidP="004F3DA7">
      <w:pPr>
        <w:spacing w:after="0" w:line="240" w:lineRule="auto"/>
        <w:jc w:val="both"/>
        <w:rPr>
          <w:rFonts w:ascii="Times New Roman" w:hAnsi="Times New Roman" w:cs="Times New Roman"/>
          <w:b/>
        </w:rPr>
      </w:pPr>
    </w:p>
    <w:p w14:paraId="661745BA" w14:textId="77777777" w:rsidR="004F3DA7" w:rsidRDefault="004F3DA7" w:rsidP="004F3DA7">
      <w:pPr>
        <w:rPr>
          <w:rFonts w:ascii="Times New Roman" w:hAnsi="Times New Roman" w:cs="Times New Roman"/>
        </w:rPr>
      </w:pPr>
    </w:p>
    <w:p w14:paraId="25DAD5CD" w14:textId="77777777" w:rsidR="004F3DA7" w:rsidRDefault="004F3DA7" w:rsidP="004F3DA7">
      <w:pPr>
        <w:rPr>
          <w:rFonts w:ascii="Times New Roman" w:hAnsi="Times New Roman" w:cs="Times New Roman"/>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0BEF9D7D" wp14:editId="0279792A">
                <wp:simplePos x="0" y="0"/>
                <wp:positionH relativeFrom="margin">
                  <wp:posOffset>244667</wp:posOffset>
                </wp:positionH>
                <wp:positionV relativeFrom="paragraph">
                  <wp:posOffset>15270</wp:posOffset>
                </wp:positionV>
                <wp:extent cx="4181475" cy="318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B2B88" w14:textId="77777777" w:rsidR="004F3DA7" w:rsidRDefault="004F3DA7" w:rsidP="004F3DA7">
                            <w:pPr>
                              <w:pStyle w:val="NormalWeb"/>
                              <w:spacing w:before="0" w:beforeAutospacing="0" w:after="200" w:afterAutospacing="0"/>
                              <w:textAlignment w:val="baseline"/>
                            </w:pPr>
                            <w:r>
                              <w:rPr>
                                <w:color w:val="000000"/>
                                <w:kern w:val="24"/>
                              </w:rPr>
                              <w:t xml:space="preserve">                      L                        1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F9D7D" id="Rectangle 3" o:spid="_x0000_s1026" style="position:absolute;margin-left:19.25pt;margin-top:1.2pt;width:329.25pt;height:2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" stroked="f">
                <v:textbox>
                  <w:txbxContent>
                    <w:p w14:paraId="3EFB2B88" w14:textId="77777777" w:rsidR="004F3DA7" w:rsidRDefault="004F3DA7" w:rsidP="004F3DA7">
                      <w:pPr>
                        <w:pStyle w:val="NormalWeb"/>
                        <w:spacing w:before="0" w:beforeAutospacing="0" w:after="200" w:afterAutospacing="0"/>
                        <w:textAlignment w:val="baseline"/>
                      </w:pPr>
                      <w:r>
                        <w:rPr>
                          <w:color w:val="000000"/>
                          <w:kern w:val="24"/>
                        </w:rPr>
                        <w:t xml:space="preserve">                      L                        1                  2    </w:t>
                      </w:r>
                    </w:p>
                  </w:txbxContent>
                </v:textbox>
                <w10:wrap anchorx="margin"/>
              </v:rect>
            </w:pict>
          </mc:Fallback>
        </mc:AlternateContent>
      </w:r>
      <w:r>
        <w:rPr>
          <w:noProof/>
        </w:rPr>
        <w:drawing>
          <wp:anchor distT="0" distB="0" distL="0" distR="0" simplePos="0" relativeHeight="251660288" behindDoc="0" locked="0" layoutInCell="1" allowOverlap="1" wp14:anchorId="0929EEF1" wp14:editId="28C04D40">
            <wp:simplePos x="0" y="0"/>
            <wp:positionH relativeFrom="margin">
              <wp:posOffset>711200</wp:posOffset>
            </wp:positionH>
            <wp:positionV relativeFrom="paragraph">
              <wp:posOffset>235585</wp:posOffset>
            </wp:positionV>
            <wp:extent cx="4651375" cy="268795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375" cy="26879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748DC28" w14:textId="77777777" w:rsidR="004F3DA7" w:rsidRDefault="004F3DA7" w:rsidP="004F3DA7">
      <w:pPr>
        <w:rPr>
          <w:rFonts w:ascii="Times New Roman" w:hAnsi="Times New Roman" w:cs="Times New Roman"/>
        </w:rPr>
      </w:pPr>
    </w:p>
    <w:p w14:paraId="2132DDB3" w14:textId="77777777" w:rsidR="004F3DA7" w:rsidRDefault="004F3DA7" w:rsidP="004F3DA7">
      <w:pPr>
        <w:spacing w:line="240" w:lineRule="auto"/>
        <w:jc w:val="both"/>
        <w:rPr>
          <w:rFonts w:ascii="Times New Roman" w:hAnsi="Times New Roman" w:cs="Times New Roman"/>
          <w:color w:val="000000"/>
        </w:rPr>
      </w:pPr>
    </w:p>
    <w:p w14:paraId="376FD679" w14:textId="77777777" w:rsidR="004F3DA7" w:rsidRDefault="004F3DA7" w:rsidP="004F3DA7">
      <w:pPr>
        <w:spacing w:line="240" w:lineRule="auto"/>
        <w:jc w:val="right"/>
        <w:rPr>
          <w:rFonts w:ascii="Times New Roman" w:hAnsi="Times New Roman" w:cs="Times New Roman"/>
          <w:color w:val="000000"/>
        </w:rPr>
      </w:pPr>
      <w:r>
        <w:rPr>
          <w:rFonts w:ascii="Times New Roman" w:hAnsi="Times New Roman" w:cs="Times New Roman"/>
          <w:color w:val="000000"/>
        </w:rPr>
        <w:t>1000bp</w:t>
      </w:r>
    </w:p>
    <w:p w14:paraId="5883AD82" w14:textId="77777777" w:rsidR="004F3DA7" w:rsidRDefault="004F3DA7" w:rsidP="004F3DA7">
      <w:pPr>
        <w:spacing w:line="240" w:lineRule="auto"/>
        <w:jc w:val="both"/>
        <w:rPr>
          <w:rFonts w:ascii="Times New Roman" w:hAnsi="Times New Roman" w:cs="Times New Roman"/>
          <w:color w:val="000000"/>
        </w:rPr>
      </w:pPr>
    </w:p>
    <w:p w14:paraId="4EA42DFD" w14:textId="77777777" w:rsidR="004F3DA7" w:rsidRDefault="004F3DA7" w:rsidP="004F3DA7">
      <w:pPr>
        <w:tabs>
          <w:tab w:val="center" w:pos="4680"/>
          <w:tab w:val="right" w:pos="9360"/>
        </w:tabs>
        <w:spacing w:line="240" w:lineRule="auto"/>
        <w:rPr>
          <w:rFonts w:ascii="Times New Roman" w:hAnsi="Times New Roman" w:cs="Times New Roman"/>
          <w:color w:val="000000"/>
        </w:rPr>
      </w:pPr>
      <w:r>
        <w:rPr>
          <w:rFonts w:ascii="Times New Roman" w:hAnsi="Times New Roman" w:cs="Times New Roman"/>
          <w:color w:val="000000"/>
        </w:rPr>
        <w:tab/>
        <w:t>55</w:t>
      </w:r>
      <w:r>
        <w:rPr>
          <w:rFonts w:ascii="Times New Roman" w:hAnsi="Times New Roman" w:cs="Times New Roman"/>
          <w:color w:val="000000"/>
        </w:rPr>
        <w:tab/>
        <w:t>550bp</w:t>
      </w:r>
    </w:p>
    <w:p w14:paraId="0B8533FB" w14:textId="77777777" w:rsidR="004F3DA7" w:rsidRDefault="004F3DA7" w:rsidP="004F3DA7">
      <w:pPr>
        <w:spacing w:line="240" w:lineRule="auto"/>
        <w:jc w:val="both"/>
        <w:rPr>
          <w:rFonts w:ascii="Times New Roman" w:hAnsi="Times New Roman" w:cs="Times New Roman"/>
          <w:color w:val="000000"/>
        </w:rPr>
      </w:pPr>
      <w:bookmarkStart w:id="0" w:name="_Toc85737060"/>
      <w:bookmarkStart w:id="1" w:name="_Toc85737221"/>
      <w:bookmarkStart w:id="2" w:name="_Toc96426976"/>
      <w:bookmarkStart w:id="3" w:name="_Toc96427272"/>
      <w:bookmarkStart w:id="4" w:name="_Toc96428653"/>
      <w:bookmarkStart w:id="5" w:name="_Toc110584924"/>
    </w:p>
    <w:p w14:paraId="1027DB56" w14:textId="77777777" w:rsidR="004F3DA7" w:rsidRDefault="004F3DA7" w:rsidP="004F3DA7">
      <w:pPr>
        <w:pStyle w:val="Subtitle"/>
        <w:jc w:val="both"/>
        <w:rPr>
          <w:rFonts w:cs="Times New Roman"/>
          <w:color w:val="000000"/>
          <w:sz w:val="22"/>
          <w:szCs w:val="22"/>
        </w:rPr>
      </w:pPr>
    </w:p>
    <w:p w14:paraId="641619BA" w14:textId="77777777" w:rsidR="004F3DA7" w:rsidRDefault="004F3DA7" w:rsidP="004F3DA7">
      <w:pPr>
        <w:pStyle w:val="Subtitle"/>
        <w:jc w:val="both"/>
        <w:rPr>
          <w:rFonts w:cs="Times New Roman"/>
          <w:color w:val="000000"/>
          <w:sz w:val="22"/>
          <w:szCs w:val="22"/>
        </w:rPr>
      </w:pPr>
    </w:p>
    <w:p w14:paraId="3EE5EA35" w14:textId="77777777" w:rsidR="004F3DA7" w:rsidRDefault="004F3DA7" w:rsidP="004F3DA7">
      <w:pPr>
        <w:pStyle w:val="Subtitle"/>
        <w:jc w:val="both"/>
        <w:rPr>
          <w:rFonts w:cs="Times New Roman"/>
          <w:color w:val="000000"/>
          <w:sz w:val="22"/>
          <w:szCs w:val="22"/>
        </w:rPr>
      </w:pPr>
    </w:p>
    <w:p w14:paraId="1556D3D7" w14:textId="77777777" w:rsidR="004F3DA7" w:rsidRDefault="004F3DA7" w:rsidP="004F3DA7">
      <w:pPr>
        <w:pStyle w:val="Subtitle"/>
        <w:jc w:val="both"/>
        <w:rPr>
          <w:rFonts w:cs="Times New Roman"/>
          <w:color w:val="000000"/>
          <w:sz w:val="22"/>
          <w:szCs w:val="22"/>
        </w:rPr>
      </w:pPr>
      <w:r>
        <w:rPr>
          <w:rFonts w:cs="Times New Roman"/>
          <w:color w:val="000000"/>
          <w:sz w:val="22"/>
          <w:szCs w:val="22"/>
        </w:rPr>
        <w:t>Figure 1: Gel electrophoresis pattern and band of the genomic DNA extracts obtained after gene amplification</w:t>
      </w:r>
      <w:bookmarkEnd w:id="0"/>
      <w:bookmarkEnd w:id="1"/>
      <w:bookmarkEnd w:id="2"/>
      <w:bookmarkEnd w:id="3"/>
      <w:bookmarkEnd w:id="4"/>
      <w:bookmarkEnd w:id="5"/>
      <w:r>
        <w:rPr>
          <w:rFonts w:cs="Times New Roman"/>
          <w:color w:val="000000"/>
          <w:sz w:val="22"/>
          <w:szCs w:val="22"/>
        </w:rPr>
        <w:t xml:space="preserve"> GC1 and GC3</w:t>
      </w:r>
    </w:p>
    <w:p w14:paraId="3F0997C0" w14:textId="77777777" w:rsidR="004F3DA7" w:rsidRDefault="004F3DA7" w:rsidP="004F3DA7">
      <w:pPr>
        <w:rPr>
          <w:rFonts w:ascii="Times New Roman" w:hAnsi="Times New Roman" w:cs="Times New Roman"/>
        </w:rPr>
      </w:pPr>
    </w:p>
    <w:p w14:paraId="6E0F86E0" w14:textId="77777777" w:rsidR="004F3DA7" w:rsidRDefault="004F3DA7" w:rsidP="004F3DA7">
      <w:pPr>
        <w:widowControl w:val="0"/>
        <w:spacing w:line="240" w:lineRule="auto"/>
        <w:jc w:val="both"/>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14:anchorId="74605579" wp14:editId="2EBBED9E">
            <wp:extent cx="6246495" cy="25888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6495" cy="2588895"/>
                    </a:xfrm>
                    <a:prstGeom prst="rect">
                      <a:avLst/>
                    </a:prstGeom>
                    <a:noFill/>
                    <a:ln>
                      <a:noFill/>
                    </a:ln>
                  </pic:spPr>
                </pic:pic>
              </a:graphicData>
            </a:graphic>
          </wp:inline>
        </w:drawing>
      </w:r>
    </w:p>
    <w:p w14:paraId="64B62F51" w14:textId="77777777" w:rsidR="004F3DA7" w:rsidRPr="00212417" w:rsidRDefault="004F3DA7" w:rsidP="004F3DA7">
      <w:pPr>
        <w:widowControl w:val="0"/>
        <w:spacing w:line="240" w:lineRule="auto"/>
        <w:jc w:val="both"/>
        <w:rPr>
          <w:rFonts w:ascii="Times New Roman" w:hAnsi="Times New Roman" w:cs="Times New Roman"/>
          <w:b/>
          <w:bCs/>
          <w:color w:val="000000"/>
        </w:rPr>
      </w:pPr>
      <w:r>
        <w:rPr>
          <w:rFonts w:ascii="Times New Roman" w:hAnsi="Times New Roman" w:cs="Times New Roman"/>
          <w:b/>
          <w:bCs/>
          <w:color w:val="000000"/>
        </w:rPr>
        <w:t>Figure 2: Phylogenetic trees showing the evolutionary distance between the fungal isolates</w:t>
      </w:r>
    </w:p>
    <w:tbl>
      <w:tblPr>
        <w:tblW w:w="8283" w:type="dxa"/>
        <w:jc w:val="center"/>
        <w:tblBorders>
          <w:top w:val="single" w:sz="8" w:space="0" w:color="auto"/>
          <w:bottom w:val="single" w:sz="8" w:space="0" w:color="auto"/>
        </w:tblBorders>
        <w:shd w:val="clear" w:color="auto" w:fill="FFFFFF"/>
        <w:tblLook w:val="04A0" w:firstRow="1" w:lastRow="0" w:firstColumn="1" w:lastColumn="0" w:noHBand="0" w:noVBand="1"/>
      </w:tblPr>
      <w:tblGrid>
        <w:gridCol w:w="1284"/>
        <w:gridCol w:w="395"/>
        <w:gridCol w:w="752"/>
        <w:gridCol w:w="1084"/>
        <w:gridCol w:w="541"/>
        <w:gridCol w:w="93"/>
        <w:gridCol w:w="222"/>
        <w:gridCol w:w="222"/>
        <w:gridCol w:w="301"/>
        <w:gridCol w:w="3389"/>
      </w:tblGrid>
      <w:tr w:rsidR="004F3DA7" w14:paraId="42CE0129" w14:textId="77777777" w:rsidTr="00C5388B">
        <w:trPr>
          <w:trHeight w:val="410"/>
          <w:jc w:val="center"/>
        </w:trPr>
        <w:tc>
          <w:tcPr>
            <w:tcW w:w="1284" w:type="dxa"/>
            <w:tcBorders>
              <w:top w:val="single" w:sz="8" w:space="0" w:color="000000"/>
              <w:left w:val="nil"/>
              <w:bottom w:val="single" w:sz="8" w:space="0" w:color="000000"/>
              <w:right w:val="nil"/>
            </w:tcBorders>
            <w:shd w:val="clear" w:color="auto" w:fill="FFFFFF"/>
            <w:hideMark/>
          </w:tcPr>
          <w:p w14:paraId="3C421EA7"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ISOLATE</w:t>
            </w:r>
          </w:p>
        </w:tc>
        <w:tc>
          <w:tcPr>
            <w:tcW w:w="395" w:type="dxa"/>
            <w:tcBorders>
              <w:top w:val="single" w:sz="8" w:space="0" w:color="000000"/>
              <w:left w:val="nil"/>
              <w:bottom w:val="single" w:sz="8" w:space="0" w:color="000000"/>
              <w:right w:val="nil"/>
            </w:tcBorders>
            <w:shd w:val="clear" w:color="auto" w:fill="FFFFFF"/>
            <w:hideMark/>
          </w:tcPr>
          <w:p w14:paraId="4F9EB98B" w14:textId="77777777" w:rsidR="004F3DA7" w:rsidRDefault="004F3DA7" w:rsidP="00C5388B">
            <w:pPr>
              <w:spacing w:line="240" w:lineRule="auto"/>
              <w:jc w:val="both"/>
              <w:rPr>
                <w:rFonts w:ascii="Times New Roman" w:hAnsi="Times New Roman" w:cs="Times New Roman"/>
              </w:rPr>
            </w:pPr>
          </w:p>
        </w:tc>
        <w:tc>
          <w:tcPr>
            <w:tcW w:w="752" w:type="dxa"/>
            <w:tcBorders>
              <w:top w:val="single" w:sz="8" w:space="0" w:color="000000"/>
              <w:left w:val="nil"/>
              <w:bottom w:val="single" w:sz="8" w:space="0" w:color="000000"/>
              <w:right w:val="nil"/>
            </w:tcBorders>
            <w:shd w:val="clear" w:color="auto" w:fill="FFFFFF"/>
            <w:hideMark/>
          </w:tcPr>
          <w:p w14:paraId="1740F146" w14:textId="77777777" w:rsidR="004F3DA7" w:rsidRDefault="004F3DA7" w:rsidP="00C5388B">
            <w:pPr>
              <w:spacing w:line="240" w:lineRule="auto"/>
              <w:jc w:val="both"/>
              <w:rPr>
                <w:rFonts w:ascii="Times New Roman" w:hAnsi="Times New Roman" w:cs="Times New Roman"/>
              </w:rPr>
            </w:pPr>
          </w:p>
        </w:tc>
        <w:tc>
          <w:tcPr>
            <w:tcW w:w="1084" w:type="dxa"/>
            <w:tcBorders>
              <w:top w:val="single" w:sz="8" w:space="0" w:color="000000"/>
              <w:left w:val="nil"/>
              <w:bottom w:val="single" w:sz="8" w:space="0" w:color="000000"/>
              <w:right w:val="nil"/>
            </w:tcBorders>
            <w:shd w:val="clear" w:color="auto" w:fill="FFFFFF"/>
            <w:hideMark/>
          </w:tcPr>
          <w:p w14:paraId="3174D3DC" w14:textId="77777777" w:rsidR="004F3DA7" w:rsidRDefault="004F3DA7" w:rsidP="00C5388B">
            <w:pPr>
              <w:spacing w:line="240" w:lineRule="auto"/>
              <w:jc w:val="both"/>
              <w:rPr>
                <w:rFonts w:ascii="Times New Roman" w:hAnsi="Times New Roman" w:cs="Times New Roman"/>
              </w:rPr>
            </w:pPr>
          </w:p>
        </w:tc>
        <w:tc>
          <w:tcPr>
            <w:tcW w:w="634" w:type="dxa"/>
            <w:gridSpan w:val="2"/>
            <w:tcBorders>
              <w:top w:val="single" w:sz="8" w:space="0" w:color="000000"/>
              <w:left w:val="nil"/>
              <w:bottom w:val="single" w:sz="8" w:space="0" w:color="000000"/>
              <w:right w:val="nil"/>
            </w:tcBorders>
            <w:shd w:val="clear" w:color="auto" w:fill="FFFFFF"/>
            <w:hideMark/>
          </w:tcPr>
          <w:p w14:paraId="69F0790F" w14:textId="77777777" w:rsidR="004F3DA7" w:rsidRDefault="004F3DA7" w:rsidP="00C5388B">
            <w:pPr>
              <w:spacing w:line="240" w:lineRule="auto"/>
              <w:jc w:val="both"/>
              <w:rPr>
                <w:rFonts w:ascii="Times New Roman" w:hAnsi="Times New Roman" w:cs="Times New Roman"/>
              </w:rPr>
            </w:pPr>
          </w:p>
        </w:tc>
        <w:tc>
          <w:tcPr>
            <w:tcW w:w="222" w:type="dxa"/>
            <w:tcBorders>
              <w:top w:val="single" w:sz="8" w:space="0" w:color="000000"/>
              <w:left w:val="nil"/>
              <w:bottom w:val="single" w:sz="8" w:space="0" w:color="000000"/>
              <w:right w:val="nil"/>
            </w:tcBorders>
            <w:shd w:val="clear" w:color="auto" w:fill="FFFFFF"/>
            <w:hideMark/>
          </w:tcPr>
          <w:p w14:paraId="496121FE" w14:textId="77777777" w:rsidR="004F3DA7" w:rsidRDefault="004F3DA7" w:rsidP="00C5388B">
            <w:pPr>
              <w:spacing w:line="240" w:lineRule="auto"/>
              <w:jc w:val="both"/>
              <w:rPr>
                <w:rFonts w:ascii="Times New Roman" w:hAnsi="Times New Roman" w:cs="Times New Roman"/>
              </w:rPr>
            </w:pPr>
          </w:p>
        </w:tc>
        <w:tc>
          <w:tcPr>
            <w:tcW w:w="222" w:type="dxa"/>
            <w:tcBorders>
              <w:top w:val="single" w:sz="8" w:space="0" w:color="000000"/>
              <w:left w:val="nil"/>
              <w:bottom w:val="single" w:sz="8" w:space="0" w:color="000000"/>
              <w:right w:val="nil"/>
            </w:tcBorders>
            <w:shd w:val="clear" w:color="auto" w:fill="FFFFFF"/>
            <w:hideMark/>
          </w:tcPr>
          <w:p w14:paraId="2E61FC8B" w14:textId="77777777" w:rsidR="004F3DA7" w:rsidRDefault="004F3DA7" w:rsidP="00C5388B">
            <w:pPr>
              <w:spacing w:line="240" w:lineRule="auto"/>
              <w:jc w:val="both"/>
              <w:rPr>
                <w:rFonts w:ascii="Times New Roman" w:hAnsi="Times New Roman" w:cs="Times New Roman"/>
              </w:rPr>
            </w:pPr>
          </w:p>
        </w:tc>
        <w:tc>
          <w:tcPr>
            <w:tcW w:w="301" w:type="dxa"/>
            <w:tcBorders>
              <w:top w:val="single" w:sz="8" w:space="0" w:color="000000"/>
              <w:left w:val="nil"/>
              <w:bottom w:val="single" w:sz="8" w:space="0" w:color="000000"/>
              <w:right w:val="nil"/>
            </w:tcBorders>
            <w:shd w:val="clear" w:color="auto" w:fill="FFFFFF"/>
            <w:hideMark/>
          </w:tcPr>
          <w:p w14:paraId="00223039" w14:textId="77777777" w:rsidR="004F3DA7" w:rsidRDefault="004F3DA7" w:rsidP="00C5388B">
            <w:pPr>
              <w:spacing w:line="240" w:lineRule="auto"/>
              <w:jc w:val="both"/>
              <w:rPr>
                <w:rFonts w:ascii="Times New Roman" w:hAnsi="Times New Roman" w:cs="Times New Roman"/>
              </w:rPr>
            </w:pPr>
          </w:p>
        </w:tc>
        <w:tc>
          <w:tcPr>
            <w:tcW w:w="3389" w:type="dxa"/>
            <w:tcBorders>
              <w:top w:val="single" w:sz="8" w:space="0" w:color="000000"/>
              <w:left w:val="nil"/>
              <w:bottom w:val="single" w:sz="8" w:space="0" w:color="000000"/>
              <w:right w:val="nil"/>
            </w:tcBorders>
            <w:shd w:val="clear" w:color="auto" w:fill="FFFFFF"/>
            <w:hideMark/>
          </w:tcPr>
          <w:p w14:paraId="3AA0B860"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Pyruvic acid yield (g/l)</w:t>
            </w:r>
          </w:p>
        </w:tc>
      </w:tr>
      <w:tr w:rsidR="004F3DA7" w14:paraId="6BFB1B92" w14:textId="77777777" w:rsidTr="00C5388B">
        <w:trPr>
          <w:trHeight w:val="371"/>
          <w:jc w:val="center"/>
        </w:trPr>
        <w:tc>
          <w:tcPr>
            <w:tcW w:w="1284" w:type="dxa"/>
            <w:tcBorders>
              <w:top w:val="nil"/>
              <w:left w:val="nil"/>
              <w:bottom w:val="nil"/>
              <w:right w:val="nil"/>
            </w:tcBorders>
            <w:shd w:val="clear" w:color="auto" w:fill="FFFFFF"/>
            <w:hideMark/>
          </w:tcPr>
          <w:p w14:paraId="740F524A"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1</w:t>
            </w:r>
          </w:p>
        </w:tc>
        <w:tc>
          <w:tcPr>
            <w:tcW w:w="395" w:type="dxa"/>
            <w:tcBorders>
              <w:top w:val="nil"/>
              <w:left w:val="nil"/>
              <w:bottom w:val="nil"/>
              <w:right w:val="nil"/>
            </w:tcBorders>
            <w:shd w:val="clear" w:color="auto" w:fill="FFFFFF"/>
            <w:hideMark/>
          </w:tcPr>
          <w:p w14:paraId="0AD4DD44" w14:textId="77777777" w:rsidR="004F3DA7"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23394143" w14:textId="77777777" w:rsidR="004F3DA7"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66896CB9" w14:textId="77777777" w:rsidR="004F3DA7"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411CD6B0" w14:textId="77777777" w:rsidR="004F3DA7"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0A6503D8" w14:textId="77777777" w:rsidR="004F3DA7"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60512A24" w14:textId="77777777" w:rsidR="004F3DA7"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24CA9B85" w14:textId="77777777" w:rsidR="004F3DA7"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0BBCFB23"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bCs/>
              </w:rPr>
              <w:t xml:space="preserve">             29.7</w:t>
            </w:r>
          </w:p>
        </w:tc>
      </w:tr>
      <w:tr w:rsidR="004F3DA7" w14:paraId="55BB9D73" w14:textId="77777777" w:rsidTr="00C5388B">
        <w:trPr>
          <w:trHeight w:val="371"/>
          <w:jc w:val="center"/>
        </w:trPr>
        <w:tc>
          <w:tcPr>
            <w:tcW w:w="1284" w:type="dxa"/>
            <w:shd w:val="clear" w:color="auto" w:fill="FFFFFF"/>
            <w:hideMark/>
          </w:tcPr>
          <w:p w14:paraId="1B5D902D"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GC 2</w:t>
            </w:r>
          </w:p>
        </w:tc>
        <w:tc>
          <w:tcPr>
            <w:tcW w:w="395" w:type="dxa"/>
            <w:shd w:val="clear" w:color="auto" w:fill="FFFFFF"/>
            <w:hideMark/>
          </w:tcPr>
          <w:p w14:paraId="6F70C39E" w14:textId="77777777" w:rsidR="004F3DA7" w:rsidRDefault="004F3DA7" w:rsidP="00C5388B">
            <w:pPr>
              <w:spacing w:line="240" w:lineRule="auto"/>
              <w:jc w:val="both"/>
              <w:rPr>
                <w:rFonts w:ascii="Times New Roman" w:hAnsi="Times New Roman" w:cs="Times New Roman"/>
              </w:rPr>
            </w:pPr>
          </w:p>
        </w:tc>
        <w:tc>
          <w:tcPr>
            <w:tcW w:w="752" w:type="dxa"/>
            <w:shd w:val="clear" w:color="auto" w:fill="FFFFFF"/>
            <w:hideMark/>
          </w:tcPr>
          <w:p w14:paraId="540D8A38" w14:textId="77777777" w:rsidR="004F3DA7" w:rsidRDefault="004F3DA7" w:rsidP="00C5388B">
            <w:pPr>
              <w:spacing w:line="240" w:lineRule="auto"/>
              <w:jc w:val="both"/>
              <w:rPr>
                <w:rFonts w:ascii="Times New Roman" w:hAnsi="Times New Roman" w:cs="Times New Roman"/>
              </w:rPr>
            </w:pPr>
          </w:p>
        </w:tc>
        <w:tc>
          <w:tcPr>
            <w:tcW w:w="1084" w:type="dxa"/>
            <w:shd w:val="clear" w:color="auto" w:fill="FFFFFF"/>
            <w:hideMark/>
          </w:tcPr>
          <w:p w14:paraId="267C7012" w14:textId="77777777" w:rsidR="004F3DA7" w:rsidRDefault="004F3DA7" w:rsidP="00C5388B">
            <w:pPr>
              <w:spacing w:line="240" w:lineRule="auto"/>
              <w:jc w:val="both"/>
              <w:rPr>
                <w:rFonts w:ascii="Times New Roman" w:hAnsi="Times New Roman" w:cs="Times New Roman"/>
              </w:rPr>
            </w:pPr>
          </w:p>
        </w:tc>
        <w:tc>
          <w:tcPr>
            <w:tcW w:w="541" w:type="dxa"/>
            <w:shd w:val="clear" w:color="auto" w:fill="FFFFFF"/>
            <w:hideMark/>
          </w:tcPr>
          <w:p w14:paraId="0EE42155" w14:textId="77777777" w:rsidR="004F3DA7"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60DF7598" w14:textId="77777777" w:rsidR="004F3DA7" w:rsidRDefault="004F3DA7" w:rsidP="00C5388B">
            <w:pPr>
              <w:spacing w:line="240" w:lineRule="auto"/>
              <w:jc w:val="both"/>
              <w:rPr>
                <w:rFonts w:ascii="Times New Roman" w:hAnsi="Times New Roman" w:cs="Times New Roman"/>
              </w:rPr>
            </w:pPr>
          </w:p>
        </w:tc>
        <w:tc>
          <w:tcPr>
            <w:tcW w:w="222" w:type="dxa"/>
            <w:shd w:val="clear" w:color="auto" w:fill="FFFFFF"/>
            <w:hideMark/>
          </w:tcPr>
          <w:p w14:paraId="77AF3F80" w14:textId="77777777" w:rsidR="004F3DA7" w:rsidRDefault="004F3DA7" w:rsidP="00C5388B">
            <w:pPr>
              <w:spacing w:line="240" w:lineRule="auto"/>
              <w:jc w:val="both"/>
              <w:rPr>
                <w:rFonts w:ascii="Times New Roman" w:hAnsi="Times New Roman" w:cs="Times New Roman"/>
              </w:rPr>
            </w:pPr>
          </w:p>
        </w:tc>
        <w:tc>
          <w:tcPr>
            <w:tcW w:w="301" w:type="dxa"/>
            <w:shd w:val="clear" w:color="auto" w:fill="FFFFFF"/>
            <w:hideMark/>
          </w:tcPr>
          <w:p w14:paraId="1924184C" w14:textId="77777777" w:rsidR="004F3DA7" w:rsidRDefault="004F3DA7" w:rsidP="00C5388B">
            <w:pPr>
              <w:spacing w:line="240" w:lineRule="auto"/>
              <w:jc w:val="both"/>
              <w:rPr>
                <w:rFonts w:ascii="Times New Roman" w:hAnsi="Times New Roman" w:cs="Times New Roman"/>
              </w:rPr>
            </w:pPr>
          </w:p>
        </w:tc>
        <w:tc>
          <w:tcPr>
            <w:tcW w:w="3389" w:type="dxa"/>
            <w:shd w:val="clear" w:color="auto" w:fill="FFFFFF"/>
            <w:hideMark/>
          </w:tcPr>
          <w:p w14:paraId="18C4ECC2"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2.1</w:t>
            </w:r>
          </w:p>
        </w:tc>
      </w:tr>
      <w:tr w:rsidR="004F3DA7" w14:paraId="08D3C99B" w14:textId="77777777" w:rsidTr="00C5388B">
        <w:trPr>
          <w:trHeight w:val="371"/>
          <w:jc w:val="center"/>
        </w:trPr>
        <w:tc>
          <w:tcPr>
            <w:tcW w:w="1284" w:type="dxa"/>
            <w:tcBorders>
              <w:top w:val="nil"/>
              <w:left w:val="nil"/>
              <w:bottom w:val="nil"/>
              <w:right w:val="nil"/>
            </w:tcBorders>
            <w:shd w:val="clear" w:color="auto" w:fill="FFFFFF"/>
            <w:hideMark/>
          </w:tcPr>
          <w:p w14:paraId="19942FDA"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3</w:t>
            </w:r>
          </w:p>
        </w:tc>
        <w:tc>
          <w:tcPr>
            <w:tcW w:w="395" w:type="dxa"/>
            <w:tcBorders>
              <w:top w:val="nil"/>
              <w:left w:val="nil"/>
              <w:bottom w:val="nil"/>
              <w:right w:val="nil"/>
            </w:tcBorders>
            <w:shd w:val="clear" w:color="auto" w:fill="FFFFFF"/>
            <w:hideMark/>
          </w:tcPr>
          <w:p w14:paraId="64FC8753" w14:textId="77777777" w:rsidR="004F3DA7"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46E05FC8" w14:textId="77777777" w:rsidR="004F3DA7"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28C75353" w14:textId="77777777" w:rsidR="004F3DA7"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01D45E90" w14:textId="77777777" w:rsidR="004F3DA7"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4B3C71C2" w14:textId="77777777" w:rsidR="004F3DA7"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68E50933" w14:textId="77777777" w:rsidR="004F3DA7"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359EE5AF" w14:textId="77777777" w:rsidR="004F3DA7"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2BDE4397"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bCs/>
              </w:rPr>
              <w:t xml:space="preserve">             31.3</w:t>
            </w:r>
          </w:p>
        </w:tc>
      </w:tr>
      <w:tr w:rsidR="004F3DA7" w14:paraId="24614E53" w14:textId="77777777" w:rsidTr="00C5388B">
        <w:trPr>
          <w:trHeight w:val="371"/>
          <w:jc w:val="center"/>
        </w:trPr>
        <w:tc>
          <w:tcPr>
            <w:tcW w:w="1284" w:type="dxa"/>
            <w:shd w:val="clear" w:color="auto" w:fill="FFFFFF"/>
            <w:hideMark/>
          </w:tcPr>
          <w:p w14:paraId="3FE9F94E"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4</w:t>
            </w:r>
          </w:p>
        </w:tc>
        <w:tc>
          <w:tcPr>
            <w:tcW w:w="395" w:type="dxa"/>
            <w:shd w:val="clear" w:color="auto" w:fill="FFFFFF"/>
            <w:hideMark/>
          </w:tcPr>
          <w:p w14:paraId="0E0DEF72" w14:textId="77777777" w:rsidR="004F3DA7" w:rsidRDefault="004F3DA7" w:rsidP="00C5388B">
            <w:pPr>
              <w:spacing w:line="240" w:lineRule="auto"/>
              <w:jc w:val="both"/>
              <w:rPr>
                <w:rFonts w:ascii="Times New Roman" w:hAnsi="Times New Roman" w:cs="Times New Roman"/>
              </w:rPr>
            </w:pPr>
          </w:p>
        </w:tc>
        <w:tc>
          <w:tcPr>
            <w:tcW w:w="752" w:type="dxa"/>
            <w:shd w:val="clear" w:color="auto" w:fill="FFFFFF"/>
            <w:hideMark/>
          </w:tcPr>
          <w:p w14:paraId="47A78E2E" w14:textId="77777777" w:rsidR="004F3DA7" w:rsidRDefault="004F3DA7" w:rsidP="00C5388B">
            <w:pPr>
              <w:spacing w:line="240" w:lineRule="auto"/>
              <w:jc w:val="both"/>
              <w:rPr>
                <w:rFonts w:ascii="Times New Roman" w:hAnsi="Times New Roman" w:cs="Times New Roman"/>
              </w:rPr>
            </w:pPr>
          </w:p>
        </w:tc>
        <w:tc>
          <w:tcPr>
            <w:tcW w:w="1084" w:type="dxa"/>
            <w:shd w:val="clear" w:color="auto" w:fill="FFFFFF"/>
            <w:hideMark/>
          </w:tcPr>
          <w:p w14:paraId="0206432C" w14:textId="77777777" w:rsidR="004F3DA7" w:rsidRDefault="004F3DA7" w:rsidP="00C5388B">
            <w:pPr>
              <w:spacing w:line="240" w:lineRule="auto"/>
              <w:jc w:val="both"/>
              <w:rPr>
                <w:rFonts w:ascii="Times New Roman" w:hAnsi="Times New Roman" w:cs="Times New Roman"/>
              </w:rPr>
            </w:pPr>
          </w:p>
        </w:tc>
        <w:tc>
          <w:tcPr>
            <w:tcW w:w="541" w:type="dxa"/>
            <w:shd w:val="clear" w:color="auto" w:fill="FFFFFF"/>
            <w:hideMark/>
          </w:tcPr>
          <w:p w14:paraId="454B94E6" w14:textId="77777777" w:rsidR="004F3DA7"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7F9C11F2" w14:textId="77777777" w:rsidR="004F3DA7" w:rsidRDefault="004F3DA7" w:rsidP="00C5388B">
            <w:pPr>
              <w:spacing w:line="240" w:lineRule="auto"/>
              <w:jc w:val="both"/>
              <w:rPr>
                <w:rFonts w:ascii="Times New Roman" w:hAnsi="Times New Roman" w:cs="Times New Roman"/>
              </w:rPr>
            </w:pPr>
          </w:p>
        </w:tc>
        <w:tc>
          <w:tcPr>
            <w:tcW w:w="222" w:type="dxa"/>
            <w:shd w:val="clear" w:color="auto" w:fill="FFFFFF"/>
            <w:hideMark/>
          </w:tcPr>
          <w:p w14:paraId="21697251" w14:textId="77777777" w:rsidR="004F3DA7" w:rsidRDefault="004F3DA7" w:rsidP="00C5388B">
            <w:pPr>
              <w:spacing w:line="240" w:lineRule="auto"/>
              <w:jc w:val="both"/>
              <w:rPr>
                <w:rFonts w:ascii="Times New Roman" w:hAnsi="Times New Roman" w:cs="Times New Roman"/>
              </w:rPr>
            </w:pPr>
          </w:p>
        </w:tc>
        <w:tc>
          <w:tcPr>
            <w:tcW w:w="301" w:type="dxa"/>
            <w:shd w:val="clear" w:color="auto" w:fill="FFFFFF"/>
            <w:hideMark/>
          </w:tcPr>
          <w:p w14:paraId="65535B93" w14:textId="77777777" w:rsidR="004F3DA7" w:rsidRDefault="004F3DA7" w:rsidP="00C5388B">
            <w:pPr>
              <w:spacing w:line="240" w:lineRule="auto"/>
              <w:jc w:val="both"/>
              <w:rPr>
                <w:rFonts w:ascii="Times New Roman" w:hAnsi="Times New Roman" w:cs="Times New Roman"/>
              </w:rPr>
            </w:pPr>
          </w:p>
        </w:tc>
        <w:tc>
          <w:tcPr>
            <w:tcW w:w="3389" w:type="dxa"/>
            <w:shd w:val="clear" w:color="auto" w:fill="FFFFFF"/>
            <w:hideMark/>
          </w:tcPr>
          <w:p w14:paraId="49ED018D"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5.8</w:t>
            </w:r>
          </w:p>
        </w:tc>
      </w:tr>
      <w:tr w:rsidR="004F3DA7" w14:paraId="0094669B" w14:textId="77777777" w:rsidTr="00C5388B">
        <w:trPr>
          <w:trHeight w:val="371"/>
          <w:jc w:val="center"/>
        </w:trPr>
        <w:tc>
          <w:tcPr>
            <w:tcW w:w="1284" w:type="dxa"/>
            <w:tcBorders>
              <w:top w:val="nil"/>
              <w:left w:val="nil"/>
              <w:bottom w:val="nil"/>
              <w:right w:val="nil"/>
            </w:tcBorders>
            <w:shd w:val="clear" w:color="auto" w:fill="FFFFFF"/>
            <w:hideMark/>
          </w:tcPr>
          <w:p w14:paraId="4406804C"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5</w:t>
            </w:r>
          </w:p>
        </w:tc>
        <w:tc>
          <w:tcPr>
            <w:tcW w:w="395" w:type="dxa"/>
            <w:tcBorders>
              <w:top w:val="nil"/>
              <w:left w:val="nil"/>
              <w:bottom w:val="nil"/>
              <w:right w:val="nil"/>
            </w:tcBorders>
            <w:shd w:val="clear" w:color="auto" w:fill="FFFFFF"/>
            <w:hideMark/>
          </w:tcPr>
          <w:p w14:paraId="4874BBA6" w14:textId="77777777" w:rsidR="004F3DA7"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414FB98E" w14:textId="77777777" w:rsidR="004F3DA7"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2A8E45CB" w14:textId="77777777" w:rsidR="004F3DA7"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2F1841FB" w14:textId="77777777" w:rsidR="004F3DA7"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50A80DBA" w14:textId="77777777" w:rsidR="004F3DA7"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5A2386B7" w14:textId="77777777" w:rsidR="004F3DA7"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1FF3F4C5" w14:textId="77777777" w:rsidR="004F3DA7"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6D01FEAF"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4.2</w:t>
            </w:r>
          </w:p>
        </w:tc>
      </w:tr>
      <w:tr w:rsidR="004F3DA7" w14:paraId="3AD2EC1B" w14:textId="77777777" w:rsidTr="00C5388B">
        <w:trPr>
          <w:trHeight w:val="371"/>
          <w:jc w:val="center"/>
        </w:trPr>
        <w:tc>
          <w:tcPr>
            <w:tcW w:w="1284" w:type="dxa"/>
            <w:shd w:val="clear" w:color="auto" w:fill="FFFFFF"/>
            <w:hideMark/>
          </w:tcPr>
          <w:p w14:paraId="5830F27E"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6</w:t>
            </w:r>
          </w:p>
        </w:tc>
        <w:tc>
          <w:tcPr>
            <w:tcW w:w="395" w:type="dxa"/>
            <w:shd w:val="clear" w:color="auto" w:fill="FFFFFF"/>
            <w:hideMark/>
          </w:tcPr>
          <w:p w14:paraId="68D3AFBA" w14:textId="77777777" w:rsidR="004F3DA7" w:rsidRDefault="004F3DA7" w:rsidP="00C5388B">
            <w:pPr>
              <w:spacing w:line="240" w:lineRule="auto"/>
              <w:jc w:val="both"/>
              <w:rPr>
                <w:rFonts w:ascii="Times New Roman" w:hAnsi="Times New Roman" w:cs="Times New Roman"/>
              </w:rPr>
            </w:pPr>
          </w:p>
        </w:tc>
        <w:tc>
          <w:tcPr>
            <w:tcW w:w="752" w:type="dxa"/>
            <w:shd w:val="clear" w:color="auto" w:fill="FFFFFF"/>
            <w:hideMark/>
          </w:tcPr>
          <w:p w14:paraId="1C0963B7" w14:textId="77777777" w:rsidR="004F3DA7" w:rsidRDefault="004F3DA7" w:rsidP="00C5388B">
            <w:pPr>
              <w:spacing w:line="240" w:lineRule="auto"/>
              <w:jc w:val="both"/>
              <w:rPr>
                <w:rFonts w:ascii="Times New Roman" w:hAnsi="Times New Roman" w:cs="Times New Roman"/>
              </w:rPr>
            </w:pPr>
          </w:p>
        </w:tc>
        <w:tc>
          <w:tcPr>
            <w:tcW w:w="1084" w:type="dxa"/>
            <w:shd w:val="clear" w:color="auto" w:fill="FFFFFF"/>
            <w:hideMark/>
          </w:tcPr>
          <w:p w14:paraId="2F432199" w14:textId="77777777" w:rsidR="004F3DA7" w:rsidRDefault="004F3DA7" w:rsidP="00C5388B">
            <w:pPr>
              <w:spacing w:line="240" w:lineRule="auto"/>
              <w:jc w:val="both"/>
              <w:rPr>
                <w:rFonts w:ascii="Times New Roman" w:hAnsi="Times New Roman" w:cs="Times New Roman"/>
              </w:rPr>
            </w:pPr>
          </w:p>
        </w:tc>
        <w:tc>
          <w:tcPr>
            <w:tcW w:w="541" w:type="dxa"/>
            <w:shd w:val="clear" w:color="auto" w:fill="FFFFFF"/>
            <w:hideMark/>
          </w:tcPr>
          <w:p w14:paraId="3D6CB450" w14:textId="77777777" w:rsidR="004F3DA7"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0E4E30B7" w14:textId="77777777" w:rsidR="004F3DA7" w:rsidRDefault="004F3DA7" w:rsidP="00C5388B">
            <w:pPr>
              <w:spacing w:line="240" w:lineRule="auto"/>
              <w:jc w:val="both"/>
              <w:rPr>
                <w:rFonts w:ascii="Times New Roman" w:hAnsi="Times New Roman" w:cs="Times New Roman"/>
              </w:rPr>
            </w:pPr>
          </w:p>
        </w:tc>
        <w:tc>
          <w:tcPr>
            <w:tcW w:w="222" w:type="dxa"/>
            <w:shd w:val="clear" w:color="auto" w:fill="FFFFFF"/>
            <w:hideMark/>
          </w:tcPr>
          <w:p w14:paraId="68AF932D" w14:textId="77777777" w:rsidR="004F3DA7" w:rsidRDefault="004F3DA7" w:rsidP="00C5388B">
            <w:pPr>
              <w:spacing w:line="240" w:lineRule="auto"/>
              <w:jc w:val="both"/>
              <w:rPr>
                <w:rFonts w:ascii="Times New Roman" w:hAnsi="Times New Roman" w:cs="Times New Roman"/>
              </w:rPr>
            </w:pPr>
          </w:p>
        </w:tc>
        <w:tc>
          <w:tcPr>
            <w:tcW w:w="301" w:type="dxa"/>
            <w:shd w:val="clear" w:color="auto" w:fill="FFFFFF"/>
            <w:hideMark/>
          </w:tcPr>
          <w:p w14:paraId="32AE161E" w14:textId="77777777" w:rsidR="004F3DA7" w:rsidRDefault="004F3DA7" w:rsidP="00C5388B">
            <w:pPr>
              <w:spacing w:line="240" w:lineRule="auto"/>
              <w:jc w:val="both"/>
              <w:rPr>
                <w:rFonts w:ascii="Times New Roman" w:hAnsi="Times New Roman" w:cs="Times New Roman"/>
              </w:rPr>
            </w:pPr>
          </w:p>
        </w:tc>
        <w:tc>
          <w:tcPr>
            <w:tcW w:w="3389" w:type="dxa"/>
            <w:shd w:val="clear" w:color="auto" w:fill="FFFFFF"/>
            <w:hideMark/>
          </w:tcPr>
          <w:p w14:paraId="5B933E89"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5.7</w:t>
            </w:r>
          </w:p>
        </w:tc>
      </w:tr>
      <w:tr w:rsidR="004F3DA7" w14:paraId="74E7E8ED" w14:textId="77777777" w:rsidTr="00C5388B">
        <w:trPr>
          <w:trHeight w:val="371"/>
          <w:jc w:val="center"/>
        </w:trPr>
        <w:tc>
          <w:tcPr>
            <w:tcW w:w="1284" w:type="dxa"/>
            <w:tcBorders>
              <w:top w:val="nil"/>
              <w:left w:val="nil"/>
              <w:bottom w:val="nil"/>
              <w:right w:val="nil"/>
            </w:tcBorders>
            <w:shd w:val="clear" w:color="auto" w:fill="FFFFFF"/>
            <w:hideMark/>
          </w:tcPr>
          <w:p w14:paraId="48B89595"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7</w:t>
            </w:r>
          </w:p>
        </w:tc>
        <w:tc>
          <w:tcPr>
            <w:tcW w:w="395" w:type="dxa"/>
            <w:tcBorders>
              <w:top w:val="nil"/>
              <w:left w:val="nil"/>
              <w:bottom w:val="nil"/>
              <w:right w:val="nil"/>
            </w:tcBorders>
            <w:shd w:val="clear" w:color="auto" w:fill="FFFFFF"/>
            <w:hideMark/>
          </w:tcPr>
          <w:p w14:paraId="6C4F63CC" w14:textId="77777777" w:rsidR="004F3DA7"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3CB46DD0" w14:textId="77777777" w:rsidR="004F3DA7"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70E5A332" w14:textId="77777777" w:rsidR="004F3DA7"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34B29ED0" w14:textId="77777777" w:rsidR="004F3DA7"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43836FE6" w14:textId="77777777" w:rsidR="004F3DA7"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24689855" w14:textId="77777777" w:rsidR="004F3DA7"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5BA8BD2F" w14:textId="77777777" w:rsidR="004F3DA7"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736E98C6"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8.3</w:t>
            </w:r>
          </w:p>
        </w:tc>
      </w:tr>
      <w:tr w:rsidR="004F3DA7" w14:paraId="039AC260" w14:textId="77777777" w:rsidTr="00C5388B">
        <w:trPr>
          <w:trHeight w:val="371"/>
          <w:jc w:val="center"/>
        </w:trPr>
        <w:tc>
          <w:tcPr>
            <w:tcW w:w="1284" w:type="dxa"/>
            <w:shd w:val="clear" w:color="auto" w:fill="FFFFFF"/>
            <w:hideMark/>
          </w:tcPr>
          <w:p w14:paraId="7FDFB5D1"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8</w:t>
            </w:r>
          </w:p>
        </w:tc>
        <w:tc>
          <w:tcPr>
            <w:tcW w:w="395" w:type="dxa"/>
            <w:shd w:val="clear" w:color="auto" w:fill="FFFFFF"/>
            <w:hideMark/>
          </w:tcPr>
          <w:p w14:paraId="444F1E84" w14:textId="77777777" w:rsidR="004F3DA7" w:rsidRDefault="004F3DA7" w:rsidP="00C5388B">
            <w:pPr>
              <w:spacing w:line="240" w:lineRule="auto"/>
              <w:jc w:val="both"/>
              <w:rPr>
                <w:rFonts w:ascii="Times New Roman" w:hAnsi="Times New Roman" w:cs="Times New Roman"/>
              </w:rPr>
            </w:pPr>
          </w:p>
        </w:tc>
        <w:tc>
          <w:tcPr>
            <w:tcW w:w="752" w:type="dxa"/>
            <w:shd w:val="clear" w:color="auto" w:fill="FFFFFF"/>
            <w:hideMark/>
          </w:tcPr>
          <w:p w14:paraId="2A529714" w14:textId="77777777" w:rsidR="004F3DA7" w:rsidRDefault="004F3DA7" w:rsidP="00C5388B">
            <w:pPr>
              <w:spacing w:line="240" w:lineRule="auto"/>
              <w:jc w:val="both"/>
              <w:rPr>
                <w:rFonts w:ascii="Times New Roman" w:hAnsi="Times New Roman" w:cs="Times New Roman"/>
              </w:rPr>
            </w:pPr>
          </w:p>
        </w:tc>
        <w:tc>
          <w:tcPr>
            <w:tcW w:w="1084" w:type="dxa"/>
            <w:shd w:val="clear" w:color="auto" w:fill="FFFFFF"/>
            <w:hideMark/>
          </w:tcPr>
          <w:p w14:paraId="3D7AAE09" w14:textId="77777777" w:rsidR="004F3DA7" w:rsidRDefault="004F3DA7" w:rsidP="00C5388B">
            <w:pPr>
              <w:spacing w:line="240" w:lineRule="auto"/>
              <w:jc w:val="both"/>
              <w:rPr>
                <w:rFonts w:ascii="Times New Roman" w:hAnsi="Times New Roman" w:cs="Times New Roman"/>
              </w:rPr>
            </w:pPr>
          </w:p>
        </w:tc>
        <w:tc>
          <w:tcPr>
            <w:tcW w:w="541" w:type="dxa"/>
            <w:shd w:val="clear" w:color="auto" w:fill="FFFFFF"/>
            <w:hideMark/>
          </w:tcPr>
          <w:p w14:paraId="26736BF5" w14:textId="77777777" w:rsidR="004F3DA7"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350163EE" w14:textId="77777777" w:rsidR="004F3DA7" w:rsidRDefault="004F3DA7" w:rsidP="00C5388B">
            <w:pPr>
              <w:spacing w:line="240" w:lineRule="auto"/>
              <w:jc w:val="both"/>
              <w:rPr>
                <w:rFonts w:ascii="Times New Roman" w:hAnsi="Times New Roman" w:cs="Times New Roman"/>
              </w:rPr>
            </w:pPr>
          </w:p>
        </w:tc>
        <w:tc>
          <w:tcPr>
            <w:tcW w:w="222" w:type="dxa"/>
            <w:shd w:val="clear" w:color="auto" w:fill="FFFFFF"/>
            <w:hideMark/>
          </w:tcPr>
          <w:p w14:paraId="116377B5" w14:textId="77777777" w:rsidR="004F3DA7" w:rsidRDefault="004F3DA7" w:rsidP="00C5388B">
            <w:pPr>
              <w:spacing w:line="240" w:lineRule="auto"/>
              <w:jc w:val="both"/>
              <w:rPr>
                <w:rFonts w:ascii="Times New Roman" w:hAnsi="Times New Roman" w:cs="Times New Roman"/>
              </w:rPr>
            </w:pPr>
          </w:p>
        </w:tc>
        <w:tc>
          <w:tcPr>
            <w:tcW w:w="301" w:type="dxa"/>
            <w:shd w:val="clear" w:color="auto" w:fill="FFFFFF"/>
            <w:hideMark/>
          </w:tcPr>
          <w:p w14:paraId="2FF410DA" w14:textId="77777777" w:rsidR="004F3DA7" w:rsidRDefault="004F3DA7" w:rsidP="00C5388B">
            <w:pPr>
              <w:spacing w:line="240" w:lineRule="auto"/>
              <w:jc w:val="both"/>
              <w:rPr>
                <w:rFonts w:ascii="Times New Roman" w:hAnsi="Times New Roman" w:cs="Times New Roman"/>
              </w:rPr>
            </w:pPr>
          </w:p>
        </w:tc>
        <w:tc>
          <w:tcPr>
            <w:tcW w:w="3389" w:type="dxa"/>
            <w:shd w:val="clear" w:color="auto" w:fill="FFFFFF"/>
            <w:hideMark/>
          </w:tcPr>
          <w:p w14:paraId="41375A94"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5.9</w:t>
            </w:r>
          </w:p>
        </w:tc>
      </w:tr>
      <w:tr w:rsidR="004F3DA7" w14:paraId="15A6446E" w14:textId="77777777" w:rsidTr="00C5388B">
        <w:trPr>
          <w:trHeight w:val="371"/>
          <w:jc w:val="center"/>
        </w:trPr>
        <w:tc>
          <w:tcPr>
            <w:tcW w:w="1284" w:type="dxa"/>
            <w:tcBorders>
              <w:top w:val="nil"/>
              <w:left w:val="nil"/>
              <w:bottom w:val="nil"/>
              <w:right w:val="nil"/>
            </w:tcBorders>
            <w:shd w:val="clear" w:color="auto" w:fill="FFFFFF"/>
            <w:hideMark/>
          </w:tcPr>
          <w:p w14:paraId="631F91D9"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 9</w:t>
            </w:r>
          </w:p>
        </w:tc>
        <w:tc>
          <w:tcPr>
            <w:tcW w:w="395" w:type="dxa"/>
            <w:tcBorders>
              <w:top w:val="nil"/>
              <w:left w:val="nil"/>
              <w:bottom w:val="nil"/>
              <w:right w:val="nil"/>
            </w:tcBorders>
            <w:shd w:val="clear" w:color="auto" w:fill="FFFFFF"/>
            <w:hideMark/>
          </w:tcPr>
          <w:p w14:paraId="4D2B1BC8" w14:textId="77777777" w:rsidR="004F3DA7"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09D59B5B" w14:textId="77777777" w:rsidR="004F3DA7"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62B5A169" w14:textId="77777777" w:rsidR="004F3DA7"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6CFE318D" w14:textId="77777777" w:rsidR="004F3DA7"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6EBFEA74" w14:textId="77777777" w:rsidR="004F3DA7"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53924446" w14:textId="77777777" w:rsidR="004F3DA7"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2D520D12" w14:textId="77777777" w:rsidR="004F3DA7"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3FCC24A2"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7.4</w:t>
            </w:r>
          </w:p>
        </w:tc>
      </w:tr>
      <w:tr w:rsidR="004F3DA7" w14:paraId="7A09EDB9" w14:textId="77777777" w:rsidTr="00C5388B">
        <w:trPr>
          <w:trHeight w:val="371"/>
          <w:jc w:val="center"/>
        </w:trPr>
        <w:tc>
          <w:tcPr>
            <w:tcW w:w="1284" w:type="dxa"/>
            <w:tcBorders>
              <w:bottom w:val="single" w:sz="8" w:space="0" w:color="000000"/>
            </w:tcBorders>
            <w:shd w:val="clear" w:color="auto" w:fill="FFFFFF"/>
            <w:hideMark/>
          </w:tcPr>
          <w:p w14:paraId="269BE0D1"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GC10</w:t>
            </w:r>
          </w:p>
        </w:tc>
        <w:tc>
          <w:tcPr>
            <w:tcW w:w="395" w:type="dxa"/>
            <w:tcBorders>
              <w:bottom w:val="single" w:sz="8" w:space="0" w:color="000000"/>
            </w:tcBorders>
            <w:shd w:val="clear" w:color="auto" w:fill="FFFFFF"/>
            <w:hideMark/>
          </w:tcPr>
          <w:p w14:paraId="450C75E3" w14:textId="77777777" w:rsidR="004F3DA7" w:rsidRDefault="004F3DA7" w:rsidP="00C5388B">
            <w:pPr>
              <w:spacing w:line="240" w:lineRule="auto"/>
              <w:jc w:val="both"/>
              <w:rPr>
                <w:rFonts w:ascii="Times New Roman" w:hAnsi="Times New Roman" w:cs="Times New Roman"/>
              </w:rPr>
            </w:pPr>
          </w:p>
        </w:tc>
        <w:tc>
          <w:tcPr>
            <w:tcW w:w="752" w:type="dxa"/>
            <w:tcBorders>
              <w:bottom w:val="single" w:sz="8" w:space="0" w:color="000000"/>
            </w:tcBorders>
            <w:shd w:val="clear" w:color="auto" w:fill="FFFFFF"/>
            <w:hideMark/>
          </w:tcPr>
          <w:p w14:paraId="0A1355A4" w14:textId="77777777" w:rsidR="004F3DA7" w:rsidRDefault="004F3DA7" w:rsidP="00C5388B">
            <w:pPr>
              <w:spacing w:line="240" w:lineRule="auto"/>
              <w:jc w:val="both"/>
              <w:rPr>
                <w:rFonts w:ascii="Times New Roman" w:hAnsi="Times New Roman" w:cs="Times New Roman"/>
              </w:rPr>
            </w:pPr>
          </w:p>
        </w:tc>
        <w:tc>
          <w:tcPr>
            <w:tcW w:w="1084" w:type="dxa"/>
            <w:tcBorders>
              <w:bottom w:val="single" w:sz="8" w:space="0" w:color="000000"/>
            </w:tcBorders>
            <w:shd w:val="clear" w:color="auto" w:fill="FFFFFF"/>
            <w:hideMark/>
          </w:tcPr>
          <w:p w14:paraId="22C935B1" w14:textId="77777777" w:rsidR="004F3DA7" w:rsidRDefault="004F3DA7" w:rsidP="00C5388B">
            <w:pPr>
              <w:spacing w:line="240" w:lineRule="auto"/>
              <w:jc w:val="both"/>
              <w:rPr>
                <w:rFonts w:ascii="Times New Roman" w:hAnsi="Times New Roman" w:cs="Times New Roman"/>
              </w:rPr>
            </w:pPr>
          </w:p>
        </w:tc>
        <w:tc>
          <w:tcPr>
            <w:tcW w:w="541" w:type="dxa"/>
            <w:tcBorders>
              <w:bottom w:val="single" w:sz="8" w:space="0" w:color="000000"/>
            </w:tcBorders>
            <w:shd w:val="clear" w:color="auto" w:fill="FFFFFF"/>
            <w:hideMark/>
          </w:tcPr>
          <w:p w14:paraId="1C1D9B39" w14:textId="77777777" w:rsidR="004F3DA7" w:rsidRDefault="004F3DA7" w:rsidP="00C5388B">
            <w:pPr>
              <w:spacing w:line="240" w:lineRule="auto"/>
              <w:jc w:val="both"/>
              <w:rPr>
                <w:rFonts w:ascii="Times New Roman" w:hAnsi="Times New Roman" w:cs="Times New Roman"/>
              </w:rPr>
            </w:pPr>
          </w:p>
        </w:tc>
        <w:tc>
          <w:tcPr>
            <w:tcW w:w="315" w:type="dxa"/>
            <w:gridSpan w:val="2"/>
            <w:tcBorders>
              <w:bottom w:val="single" w:sz="8" w:space="0" w:color="000000"/>
            </w:tcBorders>
            <w:shd w:val="clear" w:color="auto" w:fill="FFFFFF"/>
            <w:hideMark/>
          </w:tcPr>
          <w:p w14:paraId="36D89DF8" w14:textId="77777777" w:rsidR="004F3DA7" w:rsidRDefault="004F3DA7" w:rsidP="00C5388B">
            <w:pPr>
              <w:spacing w:line="240" w:lineRule="auto"/>
              <w:jc w:val="both"/>
              <w:rPr>
                <w:rFonts w:ascii="Times New Roman" w:hAnsi="Times New Roman" w:cs="Times New Roman"/>
              </w:rPr>
            </w:pPr>
          </w:p>
        </w:tc>
        <w:tc>
          <w:tcPr>
            <w:tcW w:w="222" w:type="dxa"/>
            <w:tcBorders>
              <w:bottom w:val="single" w:sz="8" w:space="0" w:color="000000"/>
            </w:tcBorders>
            <w:shd w:val="clear" w:color="auto" w:fill="FFFFFF"/>
            <w:hideMark/>
          </w:tcPr>
          <w:p w14:paraId="2F30F8C7" w14:textId="77777777" w:rsidR="004F3DA7" w:rsidRDefault="004F3DA7" w:rsidP="00C5388B">
            <w:pPr>
              <w:spacing w:line="240" w:lineRule="auto"/>
              <w:jc w:val="both"/>
              <w:rPr>
                <w:rFonts w:ascii="Times New Roman" w:hAnsi="Times New Roman" w:cs="Times New Roman"/>
              </w:rPr>
            </w:pPr>
          </w:p>
        </w:tc>
        <w:tc>
          <w:tcPr>
            <w:tcW w:w="301" w:type="dxa"/>
            <w:tcBorders>
              <w:bottom w:val="single" w:sz="8" w:space="0" w:color="000000"/>
            </w:tcBorders>
            <w:shd w:val="clear" w:color="auto" w:fill="FFFFFF"/>
            <w:hideMark/>
          </w:tcPr>
          <w:p w14:paraId="04C4C14A" w14:textId="77777777" w:rsidR="004F3DA7" w:rsidRDefault="004F3DA7" w:rsidP="00C5388B">
            <w:pPr>
              <w:spacing w:line="240" w:lineRule="auto"/>
              <w:jc w:val="both"/>
              <w:rPr>
                <w:rFonts w:ascii="Times New Roman" w:hAnsi="Times New Roman" w:cs="Times New Roman"/>
              </w:rPr>
            </w:pPr>
          </w:p>
        </w:tc>
        <w:tc>
          <w:tcPr>
            <w:tcW w:w="3389" w:type="dxa"/>
            <w:tcBorders>
              <w:bottom w:val="single" w:sz="8" w:space="0" w:color="000000"/>
            </w:tcBorders>
            <w:shd w:val="clear" w:color="auto" w:fill="FFFFFF"/>
            <w:hideMark/>
          </w:tcPr>
          <w:p w14:paraId="0B37E2F1" w14:textId="77777777" w:rsidR="004F3DA7" w:rsidRDefault="004F3DA7" w:rsidP="00C5388B">
            <w:pPr>
              <w:spacing w:line="240" w:lineRule="auto"/>
              <w:jc w:val="both"/>
              <w:rPr>
                <w:rFonts w:ascii="Times New Roman" w:hAnsi="Times New Roman" w:cs="Times New Roman"/>
              </w:rPr>
            </w:pPr>
            <w:r>
              <w:rPr>
                <w:rFonts w:ascii="Times New Roman" w:hAnsi="Times New Roman" w:cs="Times New Roman"/>
              </w:rPr>
              <w:t xml:space="preserve">             3.7</w:t>
            </w:r>
          </w:p>
        </w:tc>
      </w:tr>
    </w:tbl>
    <w:p w14:paraId="1CFAEF86" w14:textId="77777777" w:rsidR="00C5388B" w:rsidRDefault="004F3DA7" w:rsidP="004F3DA7">
      <w:pPr>
        <w:widowControl w:val="0"/>
        <w:spacing w:line="240" w:lineRule="auto"/>
        <w:jc w:val="both"/>
        <w:rPr>
          <w:rFonts w:ascii="Times New Roman" w:hAnsi="Times New Roman" w:cs="Times New Roman"/>
          <w:b/>
          <w:bCs/>
        </w:rPr>
      </w:pPr>
      <w:r>
        <w:rPr>
          <w:rFonts w:ascii="Times New Roman" w:hAnsi="Times New Roman" w:cs="Times New Roman"/>
          <w:b/>
          <w:bCs/>
        </w:rPr>
        <w:t xml:space="preserve"> </w:t>
      </w:r>
    </w:p>
    <w:p w14:paraId="04918B63" w14:textId="77777777" w:rsidR="00C5388B" w:rsidRDefault="00C5388B" w:rsidP="004F3DA7">
      <w:pPr>
        <w:widowControl w:val="0"/>
        <w:spacing w:line="240" w:lineRule="auto"/>
        <w:jc w:val="both"/>
        <w:rPr>
          <w:rFonts w:ascii="Times New Roman" w:hAnsi="Times New Roman" w:cs="Times New Roman"/>
          <w:b/>
          <w:bCs/>
        </w:rPr>
      </w:pPr>
      <w:bookmarkStart w:id="6" w:name="_GoBack"/>
      <w:bookmarkEnd w:id="6"/>
    </w:p>
    <w:p w14:paraId="48DB2E6A" w14:textId="77777777" w:rsidR="00C5388B" w:rsidRDefault="00C5388B" w:rsidP="004F3DA7">
      <w:pPr>
        <w:widowControl w:val="0"/>
        <w:spacing w:line="240" w:lineRule="auto"/>
        <w:jc w:val="both"/>
        <w:rPr>
          <w:rFonts w:ascii="Times New Roman" w:hAnsi="Times New Roman" w:cs="Times New Roman"/>
          <w:b/>
          <w:bCs/>
        </w:rPr>
      </w:pPr>
    </w:p>
    <w:p w14:paraId="69F1B88F" w14:textId="5E9D0524" w:rsidR="004F3DA7" w:rsidRPr="007F79F5" w:rsidRDefault="004F3DA7" w:rsidP="004F3DA7">
      <w:pPr>
        <w:widowControl w:val="0"/>
        <w:spacing w:line="240" w:lineRule="auto"/>
        <w:jc w:val="both"/>
        <w:rPr>
          <w:rFonts w:ascii="Times New Roman" w:hAnsi="Times New Roman" w:cs="Times New Roman"/>
          <w:b/>
          <w:bCs/>
        </w:rPr>
      </w:pPr>
      <w:r>
        <w:rPr>
          <w:rFonts w:ascii="Times New Roman" w:hAnsi="Times New Roman" w:cs="Times New Roman"/>
          <w:b/>
          <w:bCs/>
        </w:rPr>
        <w:t>Table 3: Pyruvic acid production potential of yeast isolates.</w:t>
      </w:r>
    </w:p>
    <w:p w14:paraId="79422495" w14:textId="77777777" w:rsidR="004F3DA7" w:rsidRDefault="004F3DA7" w:rsidP="004F3DA7">
      <w:pPr>
        <w:widowControl w:val="0"/>
        <w:spacing w:line="240" w:lineRule="auto"/>
        <w:jc w:val="both"/>
        <w:rPr>
          <w:rFonts w:ascii="Times New Roman" w:hAnsi="Times New Roman" w:cs="Times New Roman"/>
          <w:b/>
          <w:color w:val="000000"/>
        </w:rPr>
        <w:sectPr w:rsidR="004F3D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98251C6" w14:textId="77777777" w:rsidR="004F3DA7" w:rsidRDefault="004F3DA7" w:rsidP="004F3DA7">
      <w:pPr>
        <w:pStyle w:val="Heading3"/>
        <w:spacing w:before="0" w:beforeAutospacing="0" w:after="0" w:afterAutospacing="0"/>
      </w:pPr>
      <w:r>
        <w:rPr>
          <w:rStyle w:val="Strong"/>
          <w:b/>
          <w:bCs/>
        </w:rPr>
        <w:lastRenderedPageBreak/>
        <w:t>Discussion</w:t>
      </w:r>
    </w:p>
    <w:p w14:paraId="17881DA1" w14:textId="7D21CF34" w:rsidR="004F3DA7" w:rsidRDefault="004F3DA7" w:rsidP="004F3DA7">
      <w:pPr>
        <w:pStyle w:val="NormalWeb"/>
        <w:spacing w:before="0" w:beforeAutospacing="0" w:after="0" w:afterAutospacing="0"/>
        <w:jc w:val="both"/>
      </w:pPr>
      <w:r>
        <w:t>The total fungal counts obtained from swab samples (Table 1) revealed variation in fungal populations across the sampled sites, ranging from 3.1 × 10⁴ to 4.2 × 10⁴ CFU/</w:t>
      </w:r>
      <w:proofErr w:type="spellStart"/>
      <w:r>
        <w:t>mL.</w:t>
      </w:r>
      <w:proofErr w:type="spellEnd"/>
      <w:r>
        <w:t xml:space="preserve"> Sample A recorded the highest load (4.2 × 10⁴ CFU/mL), while sample D showed the lowest (3.1 × 10⁴ CFU/mL). These findings indicate that all swabbed environments harbored viable fungal populations, although the differences in counts may reflect variation in environmental hygiene, frequency of human contact, and availability of nutrients that support fungal survival. Similar ranges of fungal loads have been reported in clinical and environmental swab samples, where counts between 10³–10⁵ CFU/mL are commonly observed (Adeyeye </w:t>
      </w:r>
      <w:r w:rsidRPr="00875304">
        <w:rPr>
          <w:i/>
        </w:rPr>
        <w:t>et al</w:t>
      </w:r>
      <w:r>
        <w:t xml:space="preserve">., 2022; Nwankwo </w:t>
      </w:r>
      <w:r w:rsidRPr="00875304">
        <w:rPr>
          <w:i/>
        </w:rPr>
        <w:t>et al</w:t>
      </w:r>
      <w:r>
        <w:t xml:space="preserve">., 2024). The presence of fungi across all samples highlights the ubiquity of opportunistic yeasts in clinical environments, suggesting possible risks of colonization and infection under immunocompromised conditions. The biochemical characterization of the isolates (Table 2) confirmed that all ten yeasts were negative for germ tube formation and urease activity, which excluded </w:t>
      </w:r>
      <w:r>
        <w:rPr>
          <w:rStyle w:val="Emphasis"/>
          <w:rFonts w:eastAsiaTheme="majorEastAsia"/>
        </w:rPr>
        <w:t>Candida albicans</w:t>
      </w:r>
      <w:r>
        <w:t xml:space="preserve"> and </w:t>
      </w:r>
      <w:r>
        <w:rPr>
          <w:rStyle w:val="Emphasis"/>
          <w:rFonts w:eastAsiaTheme="majorEastAsia"/>
        </w:rPr>
        <w:t>Cryptococcus</w:t>
      </w:r>
      <w:r>
        <w:t xml:space="preserve"> species, respectively. All isolates fermented glucose but were unable to ferment lactose, maltose, galactose, or sucrose. These characteristics are consistent with the metabolic profile of </w:t>
      </w:r>
      <w:r>
        <w:rPr>
          <w:rStyle w:val="Emphasis"/>
          <w:rFonts w:eastAsiaTheme="majorEastAsia"/>
        </w:rPr>
        <w:t>Candida glabrata</w:t>
      </w:r>
      <w:r>
        <w:t xml:space="preserve">, a non-albicans Candida species frequently isolated from clinical sources (Kumari </w:t>
      </w:r>
      <w:r w:rsidRPr="00875304">
        <w:rPr>
          <w:i/>
        </w:rPr>
        <w:t>et al</w:t>
      </w:r>
      <w:r>
        <w:t xml:space="preserve">., 2023). This was further supported by molecular analysis (Figures 1 and 2), where ITS sequencing and phylogenetic analysis revealed high similarity of GC1 (94.6%) and GC3 (96.2%) to </w:t>
      </w:r>
      <w:r>
        <w:rPr>
          <w:rStyle w:val="Emphasis"/>
          <w:rFonts w:eastAsiaTheme="majorEastAsia"/>
        </w:rPr>
        <w:t>Candida glabrata</w:t>
      </w:r>
      <w:r>
        <w:t xml:space="preserve">. The absence of diversity among the isolates suggests that the swab samples were dominated by closely related strains of </w:t>
      </w:r>
      <w:r>
        <w:rPr>
          <w:rStyle w:val="Emphasis"/>
          <w:rFonts w:eastAsiaTheme="majorEastAsia"/>
        </w:rPr>
        <w:t>C. glabrata</w:t>
      </w:r>
      <w:r>
        <w:t xml:space="preserve">, which is known for its adaptability to diverse environments, including mucosal surfaces and hospital settings. Screening of the isolates for pyruvic acid production revealed significant differences in yield (Table.3). Isolate GC3 produced the highest concentration (31.3 g/L), followed by GC1 (29.7 g/L). Moderate producers included GC7 (8.3 g/L) and GC9 (7.4 g/L), while GC2 and GC10 showed the lowest yields at 2.1 g/L and 3.7 g/L, respectively. The observed variability among isolates highlights differences in the metabolic capacity of </w:t>
      </w:r>
      <w:r>
        <w:rPr>
          <w:rStyle w:val="Emphasis"/>
          <w:rFonts w:eastAsiaTheme="majorEastAsia"/>
        </w:rPr>
        <w:t>C. glabrata</w:t>
      </w:r>
      <w:r>
        <w:t xml:space="preserve"> strains, particularly in their ability to channel glucose through glycolysis and fermentative pathways to accumulate pyruvic acid. High-yielding isolates (GC1 and GC3) may possess enhanced glycolytic enzyme activities or reduced diversion of pyruvate into downstream pathways such as ethanol or lactic acid formation, thereby leading to greater accumulation of pyruvic acid in the culture broth (Zhang </w:t>
      </w:r>
      <w:r w:rsidRPr="00875304">
        <w:rPr>
          <w:i/>
        </w:rPr>
        <w:t>et al</w:t>
      </w:r>
      <w:r>
        <w:t xml:space="preserve">., 2023). The high yield of pyruvic acid obtained in this study is notable when compared with previous reports. For instance, Patel et al. (2022) reported pyruvic acid concentrations below 20 g/L from conventional yeast strains under unoptimized conditions, while engineered </w:t>
      </w:r>
      <w:r>
        <w:rPr>
          <w:rStyle w:val="Emphasis"/>
          <w:rFonts w:eastAsiaTheme="majorEastAsia"/>
        </w:rPr>
        <w:t>Candida</w:t>
      </w:r>
      <w:r>
        <w:t xml:space="preserve"> species have been shown to produce between 25–35 g/L under controlled fermentations (Tan </w:t>
      </w:r>
      <w:r w:rsidRPr="00875304">
        <w:rPr>
          <w:i/>
        </w:rPr>
        <w:t>et al</w:t>
      </w:r>
      <w:r>
        <w:t xml:space="preserve">., 2025). The yields recorded for isolates GC1 and GC3 (≈30 g/L) therefore indicate strong potential for biotechnological exploitation. In contrast, the lower yields observed in isolates such as GC2 and GC10 may be due to metabolic inefficiency, low pyruvate tolerance, or suboptimal adaptation to the fermentation conditions employed in this study. The ability of </w:t>
      </w:r>
      <w:r>
        <w:rPr>
          <w:rStyle w:val="Emphasis"/>
          <w:rFonts w:eastAsiaTheme="majorEastAsia"/>
        </w:rPr>
        <w:t>C. glabrata</w:t>
      </w:r>
      <w:r>
        <w:t xml:space="preserve"> isolates to accumulate pyruvic acid is of particular industrial interest. Pyruvic acid is an important platform chemical widely applied in the food, pharmaceutical, cosmetic, and agricultural sectors, serving as a precursor for amino acids (such as alanine and tryptophan), synthetic resins, agrochemicals, and skin-care products (Luo </w:t>
      </w:r>
      <w:r w:rsidRPr="00875304">
        <w:rPr>
          <w:i/>
        </w:rPr>
        <w:t>et al.,</w:t>
      </w:r>
      <w:r>
        <w:t xml:space="preserve"> 2020; Soma </w:t>
      </w:r>
      <w:r w:rsidRPr="00875304">
        <w:rPr>
          <w:i/>
        </w:rPr>
        <w:t>et al</w:t>
      </w:r>
      <w:r>
        <w:t xml:space="preserve">., 2022). Microbial production offers a sustainable alternative to chemical synthesis, which often involves harsh reaction conditions and generates environmentally harmful byproducts. The results of this study therefore underscore the potential of clinical </w:t>
      </w:r>
      <w:r>
        <w:rPr>
          <w:rStyle w:val="Emphasis"/>
          <w:rFonts w:eastAsiaTheme="majorEastAsia"/>
        </w:rPr>
        <w:t>C. glabrata</w:t>
      </w:r>
      <w:r>
        <w:t xml:space="preserve"> isolates as robust producers of pyruvic acid. The marked variation among </w:t>
      </w:r>
      <w:r>
        <w:lastRenderedPageBreak/>
        <w:t xml:space="preserve">isolates also highlights the importance of strain screening in microbial bioprocess development. As observed here, only a subset of the isolates (notably GC1 and GC3) demonstrated industrially relevant yields, while others were weak producers. This trend is consistent with reports by Rao </w:t>
      </w:r>
      <w:r w:rsidRPr="00CD7697">
        <w:rPr>
          <w:i/>
        </w:rPr>
        <w:t>et al</w:t>
      </w:r>
      <w:r>
        <w:t xml:space="preserve">. (2023), who emphasized that genetic diversity, metabolic flux distribution, and stress tolerance strongly influence metabolite yields in yeast fermentations. Optimization of fermentation conditions such as pH, aeration, nitrogen supplementation, and glucose concentration could further enhance the productivity of the high-yielding isolates. Additionally, metabolic engineering strategies, such as the knockout of ethanol-producing pathways, may redirect carbon flux more efficiently toward pyruvate accumulation (Chen </w:t>
      </w:r>
      <w:r w:rsidRPr="00616827">
        <w:rPr>
          <w:i/>
        </w:rPr>
        <w:t>et al.</w:t>
      </w:r>
      <w:r>
        <w:t>, 2024).</w:t>
      </w:r>
    </w:p>
    <w:p w14:paraId="5BE57756" w14:textId="77777777" w:rsidR="004F3DA7" w:rsidRDefault="004F3DA7" w:rsidP="004F3DA7">
      <w:pPr>
        <w:spacing w:after="0" w:line="240" w:lineRule="auto"/>
      </w:pPr>
    </w:p>
    <w:p w14:paraId="0D2013E2" w14:textId="77777777" w:rsidR="004F3DA7" w:rsidRPr="0093529D" w:rsidRDefault="004F3DA7" w:rsidP="004F3DA7">
      <w:pPr>
        <w:pStyle w:val="Heading3"/>
        <w:spacing w:before="0" w:beforeAutospacing="0" w:after="0" w:afterAutospacing="0"/>
        <w:rPr>
          <w:sz w:val="22"/>
          <w:szCs w:val="22"/>
        </w:rPr>
      </w:pPr>
      <w:r w:rsidRPr="0093529D">
        <w:rPr>
          <w:sz w:val="22"/>
          <w:szCs w:val="22"/>
        </w:rPr>
        <w:t>4.0 Conclusion</w:t>
      </w:r>
    </w:p>
    <w:p w14:paraId="22A77F53" w14:textId="77777777" w:rsidR="004F3DA7" w:rsidRDefault="004F3DA7" w:rsidP="004F3DA7">
      <w:pPr>
        <w:pStyle w:val="NormalWeb"/>
        <w:spacing w:before="0" w:beforeAutospacing="0" w:after="0" w:afterAutospacing="0"/>
        <w:jc w:val="both"/>
      </w:pPr>
      <w:r>
        <w:t xml:space="preserve">This study demonstrated that clinical samples harbor </w:t>
      </w:r>
      <w:r>
        <w:rPr>
          <w:rStyle w:val="Emphasis"/>
          <w:rFonts w:eastAsiaTheme="majorEastAsia"/>
        </w:rPr>
        <w:t>Candida glabrata</w:t>
      </w:r>
      <w:r>
        <w:t xml:space="preserve"> isolates with significant biotechnological potential for pyruvic acid production. Molecular identification confirmed isolates GC1 and GC3 as </w:t>
      </w:r>
      <w:r>
        <w:rPr>
          <w:rStyle w:val="Emphasis"/>
          <w:rFonts w:eastAsiaTheme="majorEastAsia"/>
        </w:rPr>
        <w:t>C. glabrata</w:t>
      </w:r>
      <w:r>
        <w:t xml:space="preserve">, with phylogenetic analysis revealing strong evolutionary relatedness. Screening of the isolates showed marked variability in pyruvic acid yields, with GC3 (31.3 g/L) and GC1 (29.7 g/L) emerging as the most efficient producers, while other isolates recorded moderate to low outputs (2.1–8.3 g/L). These results underscore the influence of strain-specific metabolic capacity on pyruvic acid accumulation. The observed yields, which are comparable to or higher than those reported in conventional yeast fermentations, highlight the industrial promise of clinical </w:t>
      </w:r>
      <w:r>
        <w:rPr>
          <w:rStyle w:val="Emphasis"/>
          <w:rFonts w:eastAsiaTheme="majorEastAsia"/>
        </w:rPr>
        <w:t>C. glabrata</w:t>
      </w:r>
      <w:r>
        <w:t xml:space="preserve"> isolates as cost-effective and sustainable platforms for pyruvate biosynthesis. </w:t>
      </w:r>
    </w:p>
    <w:p w14:paraId="0ECC4BCD" w14:textId="77777777" w:rsidR="004F3DA7" w:rsidRDefault="004F3DA7" w:rsidP="004F3DA7">
      <w:pPr>
        <w:spacing w:after="0" w:line="240" w:lineRule="auto"/>
      </w:pPr>
    </w:p>
    <w:p w14:paraId="4E84B73C" w14:textId="77777777" w:rsidR="004F3DA7" w:rsidRPr="00381A8E" w:rsidRDefault="004F3DA7" w:rsidP="004F3DA7">
      <w:pPr>
        <w:spacing w:before="100" w:beforeAutospacing="1" w:after="0" w:line="240" w:lineRule="auto"/>
        <w:outlineLvl w:val="2"/>
        <w:rPr>
          <w:rFonts w:ascii="Times New Roman" w:eastAsia="Times New Roman" w:hAnsi="Times New Roman" w:cs="Times New Roman"/>
          <w:b/>
          <w:bCs/>
        </w:rPr>
      </w:pPr>
      <w:r w:rsidRPr="00890A4F">
        <w:rPr>
          <w:rFonts w:ascii="Times New Roman" w:eastAsia="Times New Roman" w:hAnsi="Times New Roman" w:cs="Times New Roman"/>
          <w:b/>
          <w:bCs/>
        </w:rPr>
        <w:t>REFERENCES</w:t>
      </w:r>
    </w:p>
    <w:p w14:paraId="547668BD"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Adeyeye, A. O., Okafor, U. C., &amp; Eze, C. N. (2022). Fungal contamination of clinical and environmental surfaces: Implications for infection control. </w:t>
      </w:r>
      <w:r w:rsidRPr="00890A4F">
        <w:rPr>
          <w:rFonts w:ascii="Times New Roman" w:eastAsia="Times New Roman" w:hAnsi="Times New Roman" w:cs="Times New Roman"/>
          <w:i/>
          <w:iCs/>
        </w:rPr>
        <w:t>Journal of Medical Mycology, 32</w:t>
      </w:r>
      <w:r w:rsidRPr="00890A4F">
        <w:rPr>
          <w:rFonts w:ascii="Times New Roman" w:eastAsia="Times New Roman" w:hAnsi="Times New Roman" w:cs="Times New Roman"/>
        </w:rPr>
        <w:t xml:space="preserve">(4), 101215. </w:t>
      </w:r>
    </w:p>
    <w:p w14:paraId="5D9D02BC"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Agwa, O. K., Ossai, C. M., &amp; </w:t>
      </w:r>
      <w:proofErr w:type="spellStart"/>
      <w:r w:rsidRPr="00381A8E">
        <w:rPr>
          <w:rFonts w:ascii="Times New Roman" w:eastAsia="Times New Roman" w:hAnsi="Times New Roman" w:cs="Times New Roman"/>
        </w:rPr>
        <w:t>Ajuzieogu</w:t>
      </w:r>
      <w:proofErr w:type="spellEnd"/>
      <w:r w:rsidRPr="00381A8E">
        <w:rPr>
          <w:rFonts w:ascii="Times New Roman" w:eastAsia="Times New Roman" w:hAnsi="Times New Roman" w:cs="Times New Roman"/>
        </w:rPr>
        <w:t xml:space="preserve">, U. V. (2018). Isolation and identification of yeast species from clinical and environmental samples. </w:t>
      </w:r>
      <w:r w:rsidRPr="00890A4F">
        <w:rPr>
          <w:rFonts w:ascii="Times New Roman" w:eastAsia="Times New Roman" w:hAnsi="Times New Roman" w:cs="Times New Roman"/>
          <w:i/>
          <w:iCs/>
        </w:rPr>
        <w:t>African Journal of Microbiology Research, 12</w:t>
      </w:r>
      <w:r w:rsidRPr="00381A8E">
        <w:rPr>
          <w:rFonts w:ascii="Times New Roman" w:eastAsia="Times New Roman" w:hAnsi="Times New Roman" w:cs="Times New Roman"/>
        </w:rPr>
        <w:t>(14), 32</w:t>
      </w:r>
      <w:r w:rsidRPr="00890A4F">
        <w:rPr>
          <w:rFonts w:ascii="Times New Roman" w:eastAsia="Times New Roman" w:hAnsi="Times New Roman" w:cs="Times New Roman"/>
        </w:rPr>
        <w:t xml:space="preserve">2–329. </w:t>
      </w:r>
    </w:p>
    <w:p w14:paraId="6B7ECB99"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Agu, K. C., Nwankwo, I. U., &amp; Madu, C. N. (2015). Titrimetric determination of organic acids from fermentation broth of yeasts. </w:t>
      </w:r>
      <w:r w:rsidRPr="00890A4F">
        <w:rPr>
          <w:rFonts w:ascii="Times New Roman" w:eastAsia="Times New Roman" w:hAnsi="Times New Roman" w:cs="Times New Roman"/>
          <w:i/>
          <w:iCs/>
        </w:rPr>
        <w:t>Nigerian Journal of Biotechnology, 29</w:t>
      </w:r>
      <w:r w:rsidRPr="00381A8E">
        <w:rPr>
          <w:rFonts w:ascii="Times New Roman" w:eastAsia="Times New Roman" w:hAnsi="Times New Roman" w:cs="Times New Roman"/>
        </w:rPr>
        <w:t>, 23–30.</w:t>
      </w:r>
    </w:p>
    <w:p w14:paraId="7A559C99" w14:textId="77777777" w:rsidR="004F3DA7" w:rsidRPr="00890A4F" w:rsidRDefault="004F3DA7" w:rsidP="004F3DA7">
      <w:pPr>
        <w:spacing w:after="0" w:line="240" w:lineRule="auto"/>
        <w:ind w:left="576" w:right="-144" w:hanging="720"/>
        <w:jc w:val="both"/>
        <w:rPr>
          <w:rFonts w:ascii="Times New Roman" w:eastAsia="Times New Roman" w:hAnsi="Times New Roman" w:cs="Times New Roman"/>
        </w:rPr>
      </w:pPr>
      <w:r w:rsidRPr="00381A8E">
        <w:rPr>
          <w:rFonts w:ascii="Times New Roman" w:eastAsia="Times New Roman" w:hAnsi="Times New Roman" w:cs="Times New Roman"/>
        </w:rPr>
        <w:t xml:space="preserve">Anh, N. T., Lee, J. H., &amp; Lee, Y. J. (2020). Industrial applications of pyruvate and its derivatives. </w:t>
      </w:r>
      <w:r w:rsidRPr="00890A4F">
        <w:rPr>
          <w:rFonts w:ascii="Times New Roman" w:eastAsia="Times New Roman" w:hAnsi="Times New Roman" w:cs="Times New Roman"/>
          <w:i/>
          <w:iCs/>
        </w:rPr>
        <w:t>Biotechnology Advances, 43</w:t>
      </w:r>
      <w:r w:rsidRPr="00890A4F">
        <w:rPr>
          <w:rFonts w:ascii="Times New Roman" w:eastAsia="Times New Roman" w:hAnsi="Times New Roman" w:cs="Times New Roman"/>
        </w:rPr>
        <w:t>, 107582.</w:t>
      </w:r>
    </w:p>
    <w:p w14:paraId="416588B3" w14:textId="77777777" w:rsidR="004F3DA7" w:rsidRPr="00890A4F" w:rsidRDefault="004F3DA7" w:rsidP="004F3DA7">
      <w:pPr>
        <w:spacing w:after="0" w:line="240" w:lineRule="auto"/>
        <w:ind w:left="576" w:right="-144" w:hanging="720"/>
        <w:jc w:val="both"/>
        <w:rPr>
          <w:rFonts w:ascii="Times New Roman" w:hAnsi="Times New Roman" w:cs="Times New Roman"/>
        </w:rPr>
      </w:pPr>
      <w:proofErr w:type="spellStart"/>
      <w:r w:rsidRPr="00381A8E">
        <w:rPr>
          <w:rFonts w:ascii="Times New Roman" w:eastAsia="Times New Roman" w:hAnsi="Times New Roman" w:cs="Times New Roman"/>
        </w:rPr>
        <w:t>Bellemian</w:t>
      </w:r>
      <w:proofErr w:type="spellEnd"/>
      <w:r w:rsidRPr="00381A8E">
        <w:rPr>
          <w:rFonts w:ascii="Times New Roman" w:eastAsia="Times New Roman" w:hAnsi="Times New Roman" w:cs="Times New Roman"/>
        </w:rPr>
        <w:t xml:space="preserve">, A., Reischer, G., &amp; Sommer, R. (2010). DNA-based microbial identification methods. </w:t>
      </w:r>
      <w:r w:rsidRPr="00890A4F">
        <w:rPr>
          <w:rFonts w:ascii="Times New Roman" w:eastAsia="Times New Roman" w:hAnsi="Times New Roman" w:cs="Times New Roman"/>
          <w:i/>
          <w:iCs/>
        </w:rPr>
        <w:t>Applied and Environmental Microbiology, 76</w:t>
      </w:r>
      <w:r w:rsidRPr="00381A8E">
        <w:rPr>
          <w:rFonts w:ascii="Times New Roman" w:eastAsia="Times New Roman" w:hAnsi="Times New Roman" w:cs="Times New Roman"/>
        </w:rPr>
        <w:t>(21), 7103–7111.</w:t>
      </w:r>
    </w:p>
    <w:p w14:paraId="6F3A2340" w14:textId="77777777" w:rsidR="004F3DA7" w:rsidRPr="00890A4F" w:rsidRDefault="004F3DA7" w:rsidP="004F3DA7">
      <w:pPr>
        <w:spacing w:after="0" w:line="240" w:lineRule="auto"/>
        <w:ind w:left="576" w:right="-144" w:hanging="720"/>
        <w:jc w:val="both"/>
        <w:rPr>
          <w:rFonts w:ascii="Times New Roman" w:eastAsia="Times New Roman" w:hAnsi="Times New Roman" w:cs="Times New Roman"/>
        </w:rPr>
      </w:pPr>
      <w:r w:rsidRPr="00381A8E">
        <w:rPr>
          <w:rFonts w:ascii="Times New Roman" w:eastAsia="Times New Roman" w:hAnsi="Times New Roman" w:cs="Times New Roman"/>
        </w:rPr>
        <w:t xml:space="preserve">Chen, Y., Li, X., &amp; Zhao, H. (2024). Metabolic engineering of yeast for enhanced pyruvate production: Recent advances and future perspectives. </w:t>
      </w:r>
      <w:r w:rsidRPr="00890A4F">
        <w:rPr>
          <w:rFonts w:ascii="Times New Roman" w:eastAsia="Times New Roman" w:hAnsi="Times New Roman" w:cs="Times New Roman"/>
          <w:i/>
          <w:iCs/>
        </w:rPr>
        <w:t>Metabolic Engineering Communications, 18</w:t>
      </w:r>
      <w:r w:rsidRPr="00890A4F">
        <w:rPr>
          <w:rFonts w:ascii="Times New Roman" w:eastAsia="Times New Roman" w:hAnsi="Times New Roman" w:cs="Times New Roman"/>
        </w:rPr>
        <w:t>, e00225.</w:t>
      </w:r>
    </w:p>
    <w:p w14:paraId="2467417E"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Cheesbrough, M. (2000). </w:t>
      </w:r>
      <w:r w:rsidRPr="00890A4F">
        <w:rPr>
          <w:rFonts w:ascii="Times New Roman" w:eastAsia="Times New Roman" w:hAnsi="Times New Roman" w:cs="Times New Roman"/>
          <w:i/>
          <w:iCs/>
        </w:rPr>
        <w:t>District laboratory practice in tropical countries</w:t>
      </w:r>
      <w:r w:rsidRPr="00381A8E">
        <w:rPr>
          <w:rFonts w:ascii="Times New Roman" w:eastAsia="Times New Roman" w:hAnsi="Times New Roman" w:cs="Times New Roman"/>
        </w:rPr>
        <w:t xml:space="preserve"> (Part 2). Cambridge University Press.</w:t>
      </w:r>
    </w:p>
    <w:p w14:paraId="28484056"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Frazier, W. C., &amp; Westhoff, D. C. (2000). </w:t>
      </w:r>
      <w:r w:rsidRPr="00890A4F">
        <w:rPr>
          <w:rFonts w:ascii="Times New Roman" w:eastAsia="Times New Roman" w:hAnsi="Times New Roman" w:cs="Times New Roman"/>
          <w:i/>
          <w:iCs/>
        </w:rPr>
        <w:t>Food microbiology</w:t>
      </w:r>
      <w:r w:rsidRPr="00381A8E">
        <w:rPr>
          <w:rFonts w:ascii="Times New Roman" w:eastAsia="Times New Roman" w:hAnsi="Times New Roman" w:cs="Times New Roman"/>
        </w:rPr>
        <w:t xml:space="preserve"> (4th ed.). McGraw-Hill.</w:t>
      </w:r>
    </w:p>
    <w:p w14:paraId="76D8FA9B"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Jukes, T. H., &amp; Cantor, C. R. (1969). Evolution of protein molecules. In H. N. Munro (Ed.), </w:t>
      </w:r>
      <w:r w:rsidRPr="00890A4F">
        <w:rPr>
          <w:rFonts w:ascii="Times New Roman" w:eastAsia="Times New Roman" w:hAnsi="Times New Roman" w:cs="Times New Roman"/>
          <w:i/>
          <w:iCs/>
        </w:rPr>
        <w:t>Mammalian Protein Metabolism</w:t>
      </w:r>
      <w:r w:rsidRPr="00381A8E">
        <w:rPr>
          <w:rFonts w:ascii="Times New Roman" w:eastAsia="Times New Roman" w:hAnsi="Times New Roman" w:cs="Times New Roman"/>
        </w:rPr>
        <w:t xml:space="preserve"> (pp. 21–132). Academic Press.</w:t>
      </w:r>
    </w:p>
    <w:p w14:paraId="7D130491"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Kapli, P., Yang, Z., &amp; Telford, M. J. (2020). Phylogenetic tree construction and reliability testing in the genomic era. </w:t>
      </w:r>
      <w:r w:rsidRPr="00890A4F">
        <w:rPr>
          <w:rFonts w:ascii="Times New Roman" w:eastAsia="Times New Roman" w:hAnsi="Times New Roman" w:cs="Times New Roman"/>
          <w:i/>
          <w:iCs/>
        </w:rPr>
        <w:t>Nature Reviews Genetics, 21</w:t>
      </w:r>
      <w:r w:rsidRPr="00890A4F">
        <w:rPr>
          <w:rFonts w:ascii="Times New Roman" w:eastAsia="Times New Roman" w:hAnsi="Times New Roman" w:cs="Times New Roman"/>
        </w:rPr>
        <w:t xml:space="preserve">(7), 385–403. </w:t>
      </w:r>
    </w:p>
    <w:p w14:paraId="5DA31D0B"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Kaur, H., Singh, P., &amp; Kumar, S. (2021). Clinical and industrial importance of Candida glabrata: An overview. </w:t>
      </w:r>
      <w:r w:rsidRPr="00890A4F">
        <w:rPr>
          <w:rFonts w:ascii="Times New Roman" w:eastAsia="Times New Roman" w:hAnsi="Times New Roman" w:cs="Times New Roman"/>
          <w:i/>
          <w:iCs/>
        </w:rPr>
        <w:t>Frontiers in Microbiology, 12</w:t>
      </w:r>
      <w:r w:rsidRPr="00890A4F">
        <w:rPr>
          <w:rFonts w:ascii="Times New Roman" w:eastAsia="Times New Roman" w:hAnsi="Times New Roman" w:cs="Times New Roman"/>
        </w:rPr>
        <w:t xml:space="preserve">, 713354. </w:t>
      </w:r>
    </w:p>
    <w:p w14:paraId="559E1E43"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Kumari, S., Sharma, N., &amp; Singh, A. (2023). Non-albicans Candida infections: Epidemiology, pathogenicity, and emerging resistance. </w:t>
      </w:r>
      <w:r w:rsidRPr="00890A4F">
        <w:rPr>
          <w:rFonts w:ascii="Times New Roman" w:eastAsia="Times New Roman" w:hAnsi="Times New Roman" w:cs="Times New Roman"/>
          <w:i/>
          <w:iCs/>
        </w:rPr>
        <w:t>Journal of Fungi, 9</w:t>
      </w:r>
      <w:r w:rsidRPr="00890A4F">
        <w:rPr>
          <w:rFonts w:ascii="Times New Roman" w:eastAsia="Times New Roman" w:hAnsi="Times New Roman" w:cs="Times New Roman"/>
        </w:rPr>
        <w:t xml:space="preserve">(3), 276. </w:t>
      </w:r>
    </w:p>
    <w:p w14:paraId="2DFBE66E"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lastRenderedPageBreak/>
        <w:t xml:space="preserve">Lever, M. A., Torti, A., </w:t>
      </w:r>
      <w:proofErr w:type="spellStart"/>
      <w:r w:rsidRPr="00381A8E">
        <w:rPr>
          <w:rFonts w:ascii="Times New Roman" w:eastAsia="Times New Roman" w:hAnsi="Times New Roman" w:cs="Times New Roman"/>
        </w:rPr>
        <w:t>Eickenbusch</w:t>
      </w:r>
      <w:proofErr w:type="spellEnd"/>
      <w:r w:rsidRPr="00381A8E">
        <w:rPr>
          <w:rFonts w:ascii="Times New Roman" w:eastAsia="Times New Roman" w:hAnsi="Times New Roman" w:cs="Times New Roman"/>
        </w:rPr>
        <w:t xml:space="preserve">, P., Michaud, A. B., </w:t>
      </w:r>
      <w:proofErr w:type="spellStart"/>
      <w:r w:rsidRPr="00381A8E">
        <w:rPr>
          <w:rFonts w:ascii="Times New Roman" w:eastAsia="Times New Roman" w:hAnsi="Times New Roman" w:cs="Times New Roman"/>
        </w:rPr>
        <w:t>Šantl-Temkiv</w:t>
      </w:r>
      <w:proofErr w:type="spellEnd"/>
      <w:r w:rsidRPr="00381A8E">
        <w:rPr>
          <w:rFonts w:ascii="Times New Roman" w:eastAsia="Times New Roman" w:hAnsi="Times New Roman" w:cs="Times New Roman"/>
        </w:rPr>
        <w:t xml:space="preserve">, T., &amp; Jørgensen, B. B. (2015). A modular method for the extraction of DNA and RNA, and the separation of DNA pools from diverse environmental sample types. </w:t>
      </w:r>
      <w:r w:rsidRPr="00890A4F">
        <w:rPr>
          <w:rFonts w:ascii="Times New Roman" w:eastAsia="Times New Roman" w:hAnsi="Times New Roman" w:cs="Times New Roman"/>
          <w:i/>
          <w:iCs/>
        </w:rPr>
        <w:t>Frontiers in Microbiology, 6</w:t>
      </w:r>
      <w:r w:rsidRPr="00890A4F">
        <w:rPr>
          <w:rFonts w:ascii="Times New Roman" w:eastAsia="Times New Roman" w:hAnsi="Times New Roman" w:cs="Times New Roman"/>
        </w:rPr>
        <w:t xml:space="preserve">, 476. </w:t>
      </w:r>
    </w:p>
    <w:p w14:paraId="33C3C7A1"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Luo, H., Xu, J., &amp; Gao, Z. (2020). Pyruvate and its applications in food, pharmaceuticals, and agriculture. </w:t>
      </w:r>
      <w:r w:rsidRPr="00890A4F">
        <w:rPr>
          <w:rFonts w:ascii="Times New Roman" w:eastAsia="Times New Roman" w:hAnsi="Times New Roman" w:cs="Times New Roman"/>
          <w:i/>
          <w:iCs/>
        </w:rPr>
        <w:t>Applied Microbiology and Biotechnology, 104</w:t>
      </w:r>
      <w:r w:rsidRPr="00890A4F">
        <w:rPr>
          <w:rFonts w:ascii="Times New Roman" w:eastAsia="Times New Roman" w:hAnsi="Times New Roman" w:cs="Times New Roman"/>
        </w:rPr>
        <w:t xml:space="preserve">(18), 7727–7741. </w:t>
      </w:r>
    </w:p>
    <w:p w14:paraId="78CE31C5"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Mardis, E. R. (2017). Next-generation sequencing platforms. </w:t>
      </w:r>
      <w:r w:rsidRPr="00890A4F">
        <w:rPr>
          <w:rFonts w:ascii="Times New Roman" w:eastAsia="Times New Roman" w:hAnsi="Times New Roman" w:cs="Times New Roman"/>
          <w:i/>
          <w:iCs/>
        </w:rPr>
        <w:t>Annual Review of Analytical Chemistry, 10</w:t>
      </w:r>
      <w:r w:rsidRPr="00381A8E">
        <w:rPr>
          <w:rFonts w:ascii="Times New Roman" w:eastAsia="Times New Roman" w:hAnsi="Times New Roman" w:cs="Times New Roman"/>
        </w:rPr>
        <w:t>(1</w:t>
      </w:r>
      <w:r w:rsidRPr="00890A4F">
        <w:rPr>
          <w:rFonts w:ascii="Times New Roman" w:eastAsia="Times New Roman" w:hAnsi="Times New Roman" w:cs="Times New Roman"/>
        </w:rPr>
        <w:t xml:space="preserve">), 387–404. </w:t>
      </w:r>
    </w:p>
    <w:p w14:paraId="19583AF2"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Nwankwo, I. U., Agu, K. C., &amp; Obi, R. (2024). Fungal diversity in clinical environments: Implications for nosocomial infections. </w:t>
      </w:r>
      <w:r w:rsidRPr="00890A4F">
        <w:rPr>
          <w:rFonts w:ascii="Times New Roman" w:eastAsia="Times New Roman" w:hAnsi="Times New Roman" w:cs="Times New Roman"/>
          <w:i/>
          <w:iCs/>
        </w:rPr>
        <w:t>Medical Mycology Journal, 65</w:t>
      </w:r>
      <w:r w:rsidRPr="00890A4F">
        <w:rPr>
          <w:rFonts w:ascii="Times New Roman" w:eastAsia="Times New Roman" w:hAnsi="Times New Roman" w:cs="Times New Roman"/>
        </w:rPr>
        <w:t xml:space="preserve">(2), 145–154. </w:t>
      </w:r>
    </w:p>
    <w:p w14:paraId="68DA0A70"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Patel, R., Singh, D., &amp; Verma, R. (2022). Microbial fermentation for pyruvic acid production: Challenges and prospects. </w:t>
      </w:r>
      <w:r w:rsidRPr="00890A4F">
        <w:rPr>
          <w:rFonts w:ascii="Times New Roman" w:eastAsia="Times New Roman" w:hAnsi="Times New Roman" w:cs="Times New Roman"/>
          <w:i/>
          <w:iCs/>
        </w:rPr>
        <w:t>Journal of Biotechnology, 348</w:t>
      </w:r>
      <w:r w:rsidRPr="00890A4F">
        <w:rPr>
          <w:rFonts w:ascii="Times New Roman" w:eastAsia="Times New Roman" w:hAnsi="Times New Roman" w:cs="Times New Roman"/>
        </w:rPr>
        <w:t xml:space="preserve">, 56–64. </w:t>
      </w:r>
    </w:p>
    <w:p w14:paraId="0FCF5131"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Rao, S., Kumar, A., &amp; Das, M. (2023). Strain-specific metabolic capacity in yeast fermentations: Implications for industrial biotechnology. </w:t>
      </w:r>
      <w:r w:rsidRPr="00890A4F">
        <w:rPr>
          <w:rFonts w:ascii="Times New Roman" w:eastAsia="Times New Roman" w:hAnsi="Times New Roman" w:cs="Times New Roman"/>
          <w:i/>
          <w:iCs/>
        </w:rPr>
        <w:t>Biotechnology Reports, 39</w:t>
      </w:r>
      <w:r w:rsidRPr="00890A4F">
        <w:rPr>
          <w:rFonts w:ascii="Times New Roman" w:eastAsia="Times New Roman" w:hAnsi="Times New Roman" w:cs="Times New Roman"/>
        </w:rPr>
        <w:t xml:space="preserve">, e00785. </w:t>
      </w:r>
    </w:p>
    <w:p w14:paraId="1F6A8ADC"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Soma, Y., </w:t>
      </w:r>
      <w:proofErr w:type="spellStart"/>
      <w:r w:rsidRPr="00381A8E">
        <w:rPr>
          <w:rFonts w:ascii="Times New Roman" w:eastAsia="Times New Roman" w:hAnsi="Times New Roman" w:cs="Times New Roman"/>
        </w:rPr>
        <w:t>Tsuruno</w:t>
      </w:r>
      <w:proofErr w:type="spellEnd"/>
      <w:r w:rsidRPr="00381A8E">
        <w:rPr>
          <w:rFonts w:ascii="Times New Roman" w:eastAsia="Times New Roman" w:hAnsi="Times New Roman" w:cs="Times New Roman"/>
        </w:rPr>
        <w:t xml:space="preserve">, K., &amp; Hanai, T. (2022). Microbial production of pyruvic acid: Recent advances and future challenges. </w:t>
      </w:r>
      <w:r w:rsidRPr="00890A4F">
        <w:rPr>
          <w:rFonts w:ascii="Times New Roman" w:eastAsia="Times New Roman" w:hAnsi="Times New Roman" w:cs="Times New Roman"/>
          <w:i/>
          <w:iCs/>
        </w:rPr>
        <w:t>Applied Microbiology and Biotechnology, 106</w:t>
      </w:r>
      <w:r w:rsidRPr="00890A4F">
        <w:rPr>
          <w:rFonts w:ascii="Times New Roman" w:eastAsia="Times New Roman" w:hAnsi="Times New Roman" w:cs="Times New Roman"/>
        </w:rPr>
        <w:t xml:space="preserve">(6), 2233–2247. </w:t>
      </w:r>
    </w:p>
    <w:p w14:paraId="555DED64"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Tan, Z., Zhang, H., &amp; Wang, Y. (2025). Engineered </w:t>
      </w:r>
      <w:r w:rsidRPr="00381A8E">
        <w:rPr>
          <w:rFonts w:ascii="Times New Roman" w:eastAsia="Times New Roman" w:hAnsi="Times New Roman" w:cs="Times New Roman"/>
          <w:i/>
        </w:rPr>
        <w:t>Candida</w:t>
      </w:r>
      <w:r w:rsidRPr="00381A8E">
        <w:rPr>
          <w:rFonts w:ascii="Times New Roman" w:eastAsia="Times New Roman" w:hAnsi="Times New Roman" w:cs="Times New Roman"/>
        </w:rPr>
        <w:t xml:space="preserve"> species for efficient pyruvate biosynthesis. </w:t>
      </w:r>
      <w:r w:rsidRPr="00890A4F">
        <w:rPr>
          <w:rFonts w:ascii="Times New Roman" w:eastAsia="Times New Roman" w:hAnsi="Times New Roman" w:cs="Times New Roman"/>
          <w:i/>
          <w:iCs/>
        </w:rPr>
        <w:t>Microbial Cell Factories, 24</w:t>
      </w:r>
      <w:r w:rsidRPr="00890A4F">
        <w:rPr>
          <w:rFonts w:ascii="Times New Roman" w:eastAsia="Times New Roman" w:hAnsi="Times New Roman" w:cs="Times New Roman"/>
        </w:rPr>
        <w:t xml:space="preserve">(1), 35. </w:t>
      </w:r>
    </w:p>
    <w:p w14:paraId="0F68FC82"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Xu, Q., Zheng, P., &amp; Sun, J. (2021). Microbial fermentation of pyruvate: Advances and perspectives. </w:t>
      </w:r>
      <w:r w:rsidRPr="00890A4F">
        <w:rPr>
          <w:rFonts w:ascii="Times New Roman" w:eastAsia="Times New Roman" w:hAnsi="Times New Roman" w:cs="Times New Roman"/>
          <w:i/>
          <w:iCs/>
        </w:rPr>
        <w:t>Bioresource Technology, 337</w:t>
      </w:r>
      <w:r w:rsidRPr="00890A4F">
        <w:rPr>
          <w:rFonts w:ascii="Times New Roman" w:eastAsia="Times New Roman" w:hAnsi="Times New Roman" w:cs="Times New Roman"/>
        </w:rPr>
        <w:t xml:space="preserve">, 125403. </w:t>
      </w:r>
    </w:p>
    <w:p w14:paraId="49ABBF46" w14:textId="77777777" w:rsidR="004F3DA7" w:rsidRPr="00890A4F"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Yang, H., &amp; Xing, J. (2017). Industrial applications of pyruvate and microbial production strategies. </w:t>
      </w:r>
      <w:r w:rsidRPr="00890A4F">
        <w:rPr>
          <w:rFonts w:ascii="Times New Roman" w:eastAsia="Times New Roman" w:hAnsi="Times New Roman" w:cs="Times New Roman"/>
          <w:i/>
          <w:iCs/>
        </w:rPr>
        <w:t>Biotechnology Advances, 35</w:t>
      </w:r>
      <w:r w:rsidRPr="00381A8E">
        <w:rPr>
          <w:rFonts w:ascii="Times New Roman" w:eastAsia="Times New Roman" w:hAnsi="Times New Roman" w:cs="Times New Roman"/>
        </w:rPr>
        <w:t>(7), 70</w:t>
      </w:r>
      <w:r w:rsidRPr="00890A4F">
        <w:rPr>
          <w:rFonts w:ascii="Times New Roman" w:eastAsia="Times New Roman" w:hAnsi="Times New Roman" w:cs="Times New Roman"/>
        </w:rPr>
        <w:t xml:space="preserve">9–721. </w:t>
      </w:r>
    </w:p>
    <w:p w14:paraId="5CD5B52C" w14:textId="77777777" w:rsidR="004F3DA7" w:rsidRPr="00381A8E" w:rsidRDefault="004F3DA7" w:rsidP="004F3DA7">
      <w:pPr>
        <w:spacing w:after="0" w:line="240" w:lineRule="auto"/>
        <w:ind w:left="576" w:right="-144" w:hanging="720"/>
        <w:jc w:val="both"/>
        <w:rPr>
          <w:rFonts w:ascii="Times New Roman" w:hAnsi="Times New Roman" w:cs="Times New Roman"/>
        </w:rPr>
      </w:pPr>
      <w:r w:rsidRPr="00381A8E">
        <w:rPr>
          <w:rFonts w:ascii="Times New Roman" w:eastAsia="Times New Roman" w:hAnsi="Times New Roman" w:cs="Times New Roman"/>
        </w:rPr>
        <w:t xml:space="preserve">Zhang, L., Wu, X., &amp; Chen, J. (2023). Pyruvate metabolism and regulation in yeast: Implications for biotechnology. </w:t>
      </w:r>
      <w:r w:rsidRPr="00890A4F">
        <w:rPr>
          <w:rFonts w:ascii="Times New Roman" w:eastAsia="Times New Roman" w:hAnsi="Times New Roman" w:cs="Times New Roman"/>
          <w:i/>
          <w:iCs/>
        </w:rPr>
        <w:t>Frontiers in Bioengineering and Biotechnology, 11</w:t>
      </w:r>
      <w:r w:rsidRPr="00890A4F">
        <w:rPr>
          <w:rFonts w:ascii="Times New Roman" w:eastAsia="Times New Roman" w:hAnsi="Times New Roman" w:cs="Times New Roman"/>
        </w:rPr>
        <w:t xml:space="preserve">, 112345. </w:t>
      </w:r>
    </w:p>
    <w:p w14:paraId="0D944389" w14:textId="77777777" w:rsidR="003D24AF" w:rsidRDefault="003D24AF" w:rsidP="004F3DA7">
      <w:pPr>
        <w:spacing w:after="0" w:line="240" w:lineRule="auto"/>
      </w:pPr>
    </w:p>
    <w:sectPr w:rsidR="003D2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12DA3" w14:textId="77777777" w:rsidR="004678E7" w:rsidRDefault="004678E7">
      <w:pPr>
        <w:spacing w:after="0" w:line="240" w:lineRule="auto"/>
      </w:pPr>
      <w:r>
        <w:separator/>
      </w:r>
    </w:p>
  </w:endnote>
  <w:endnote w:type="continuationSeparator" w:id="0">
    <w:p w14:paraId="6D04E769" w14:textId="77777777" w:rsidR="004678E7" w:rsidRDefault="0046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5A81" w14:textId="77777777" w:rsidR="00C72F6A" w:rsidRDefault="00C7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18D9" w14:textId="77777777" w:rsidR="003D24AF" w:rsidRDefault="004F3DA7">
    <w:pPr>
      <w:pStyle w:val="Footer"/>
      <w:jc w:val="center"/>
    </w:pPr>
    <w:r>
      <w:fldChar w:fldCharType="begin"/>
    </w:r>
    <w:r>
      <w:instrText xml:space="preserve"> PAGE   \* MERGEFORMAT </w:instrText>
    </w:r>
    <w:r>
      <w:fldChar w:fldCharType="separate"/>
    </w:r>
    <w:r>
      <w:rPr>
        <w:noProof/>
      </w:rPr>
      <w:t>8</w:t>
    </w:r>
    <w:r>
      <w:rPr>
        <w:noProof/>
      </w:rPr>
      <w:fldChar w:fldCharType="end"/>
    </w:r>
  </w:p>
  <w:p w14:paraId="0962EC1E" w14:textId="77777777" w:rsidR="003D24AF" w:rsidRDefault="003D24AF">
    <w:pPr>
      <w:pStyle w:val="Footer"/>
    </w:pPr>
  </w:p>
  <w:p w14:paraId="3308DF9D" w14:textId="77777777" w:rsidR="003D24AF" w:rsidRDefault="003D24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4AD59" w14:textId="77777777" w:rsidR="00C72F6A" w:rsidRDefault="00C7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259E" w14:textId="77777777" w:rsidR="004678E7" w:rsidRDefault="004678E7">
      <w:pPr>
        <w:spacing w:after="0" w:line="240" w:lineRule="auto"/>
      </w:pPr>
      <w:r>
        <w:separator/>
      </w:r>
    </w:p>
  </w:footnote>
  <w:footnote w:type="continuationSeparator" w:id="0">
    <w:p w14:paraId="6ED44C35" w14:textId="77777777" w:rsidR="004678E7" w:rsidRDefault="0046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9D6C" w14:textId="18E6B082" w:rsidR="00C72F6A" w:rsidRDefault="004678E7">
    <w:pPr>
      <w:pStyle w:val="Header"/>
    </w:pPr>
    <w:r>
      <w:rPr>
        <w:noProof/>
      </w:rPr>
      <w:pict w14:anchorId="0128E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40FD" w14:textId="1DF075A2" w:rsidR="00C72F6A" w:rsidRDefault="004678E7">
    <w:pPr>
      <w:pStyle w:val="Header"/>
    </w:pPr>
    <w:r>
      <w:rPr>
        <w:noProof/>
      </w:rPr>
      <w:pict w14:anchorId="71A3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D94" w14:textId="18039573" w:rsidR="00C72F6A" w:rsidRDefault="004678E7">
    <w:pPr>
      <w:pStyle w:val="Header"/>
    </w:pPr>
    <w:r>
      <w:rPr>
        <w:noProof/>
      </w:rPr>
      <w:pict w14:anchorId="31049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4F068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E24A99"/>
    <w:multiLevelType w:val="multilevel"/>
    <w:tmpl w:val="031203C4"/>
    <w:lvl w:ilvl="0">
      <w:start w:val="2"/>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A7"/>
    <w:rsid w:val="003B3B14"/>
    <w:rsid w:val="003D24AF"/>
    <w:rsid w:val="004678E7"/>
    <w:rsid w:val="004734D7"/>
    <w:rsid w:val="004969FF"/>
    <w:rsid w:val="004F3DA7"/>
    <w:rsid w:val="00526CD2"/>
    <w:rsid w:val="00701B40"/>
    <w:rsid w:val="00870B98"/>
    <w:rsid w:val="00BD54C6"/>
    <w:rsid w:val="00C5388B"/>
    <w:rsid w:val="00C72F6A"/>
    <w:rsid w:val="00D4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B496F"/>
  <w15:chartTrackingRefBased/>
  <w15:docId w15:val="{1C6A8A3E-5E52-4ED6-A1B9-27CC2A84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DA7"/>
  </w:style>
  <w:style w:type="paragraph" w:styleId="Heading2">
    <w:name w:val="heading 2"/>
    <w:basedOn w:val="Normal"/>
    <w:next w:val="Normal"/>
    <w:link w:val="Heading2Char"/>
    <w:uiPriority w:val="9"/>
    <w:semiHidden/>
    <w:unhideWhenUsed/>
    <w:qFormat/>
    <w:rsid w:val="004F3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3D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F3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F3D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3D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3DA7"/>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4F3D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3DA7"/>
    <w:rPr>
      <w:i/>
      <w:iCs/>
    </w:rPr>
  </w:style>
  <w:style w:type="paragraph" w:styleId="ListParagraph">
    <w:name w:val="List Paragraph"/>
    <w:basedOn w:val="Normal"/>
    <w:qFormat/>
    <w:rsid w:val="004F3DA7"/>
    <w:pPr>
      <w:ind w:left="720"/>
      <w:contextualSpacing/>
    </w:pPr>
    <w:rPr>
      <w:rFonts w:ascii="Calibri" w:eastAsia="Calibri" w:hAnsi="Calibri" w:cs="SimSun"/>
    </w:rPr>
  </w:style>
  <w:style w:type="character" w:styleId="Strong">
    <w:name w:val="Strong"/>
    <w:basedOn w:val="DefaultParagraphFont"/>
    <w:uiPriority w:val="22"/>
    <w:qFormat/>
    <w:rsid w:val="004F3DA7"/>
    <w:rPr>
      <w:b/>
      <w:bCs/>
    </w:rPr>
  </w:style>
  <w:style w:type="character" w:customStyle="1" w:styleId="FooterChar">
    <w:name w:val="Footer Char"/>
    <w:link w:val="Footer"/>
    <w:rsid w:val="004F3DA7"/>
    <w:rPr>
      <w:rFonts w:ascii="Calibri" w:eastAsia="Calibri" w:hAnsi="Calibri" w:cs="Times New Roman"/>
    </w:rPr>
  </w:style>
  <w:style w:type="paragraph" w:styleId="Footer">
    <w:name w:val="footer"/>
    <w:basedOn w:val="Normal"/>
    <w:link w:val="FooterChar"/>
    <w:rsid w:val="004F3DA7"/>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4F3DA7"/>
  </w:style>
  <w:style w:type="character" w:customStyle="1" w:styleId="SubtitleChar">
    <w:name w:val="Subtitle Char"/>
    <w:link w:val="Subtitle"/>
    <w:rsid w:val="004F3DA7"/>
    <w:rPr>
      <w:rFonts w:ascii="Times New Roman" w:eastAsia="Times New Roman" w:hAnsi="Times New Roman" w:cs="SimSun"/>
      <w:b/>
      <w:kern w:val="36"/>
      <w:sz w:val="24"/>
      <w:szCs w:val="24"/>
    </w:rPr>
  </w:style>
  <w:style w:type="paragraph" w:styleId="Subtitle">
    <w:name w:val="Subtitle"/>
    <w:basedOn w:val="Normal"/>
    <w:next w:val="Normal"/>
    <w:link w:val="SubtitleChar"/>
    <w:qFormat/>
    <w:rsid w:val="004F3DA7"/>
    <w:pPr>
      <w:spacing w:before="100" w:beforeAutospacing="1" w:after="100" w:afterAutospacing="1" w:line="240" w:lineRule="auto"/>
      <w:ind w:left="1530" w:hanging="1260"/>
      <w:outlineLvl w:val="0"/>
    </w:pPr>
    <w:rPr>
      <w:rFonts w:ascii="Times New Roman" w:eastAsia="Times New Roman" w:hAnsi="Times New Roman" w:cs="SimSun"/>
      <w:b/>
      <w:kern w:val="36"/>
      <w:sz w:val="24"/>
      <w:szCs w:val="24"/>
    </w:rPr>
  </w:style>
  <w:style w:type="character" w:customStyle="1" w:styleId="SubtitleChar1">
    <w:name w:val="Subtitle Char1"/>
    <w:basedOn w:val="DefaultParagraphFont"/>
    <w:uiPriority w:val="11"/>
    <w:rsid w:val="004F3DA7"/>
    <w:rPr>
      <w:rFonts w:eastAsiaTheme="minorEastAsia"/>
      <w:color w:val="5A5A5A" w:themeColor="text1" w:themeTint="A5"/>
      <w:spacing w:val="15"/>
    </w:rPr>
  </w:style>
  <w:style w:type="character" w:styleId="Hyperlink">
    <w:name w:val="Hyperlink"/>
    <w:basedOn w:val="DefaultParagraphFont"/>
    <w:uiPriority w:val="99"/>
    <w:unhideWhenUsed/>
    <w:rsid w:val="00BD54C6"/>
    <w:rPr>
      <w:color w:val="0563C1" w:themeColor="hyperlink"/>
      <w:u w:val="single"/>
    </w:rPr>
  </w:style>
  <w:style w:type="character" w:styleId="UnresolvedMention">
    <w:name w:val="Unresolved Mention"/>
    <w:basedOn w:val="DefaultParagraphFont"/>
    <w:uiPriority w:val="99"/>
    <w:semiHidden/>
    <w:unhideWhenUsed/>
    <w:rsid w:val="00BD54C6"/>
    <w:rPr>
      <w:color w:val="605E5C"/>
      <w:shd w:val="clear" w:color="auto" w:fill="E1DFDD"/>
    </w:rPr>
  </w:style>
  <w:style w:type="paragraph" w:styleId="Header">
    <w:name w:val="header"/>
    <w:basedOn w:val="Normal"/>
    <w:link w:val="HeaderChar"/>
    <w:uiPriority w:val="99"/>
    <w:unhideWhenUsed/>
    <w:rsid w:val="00C7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3591</Words>
  <Characters>20469</Characters>
  <Application>Microsoft Office Word</Application>
  <DocSecurity>0</DocSecurity>
  <Lines>170</Lines>
  <Paragraphs>48</Paragraphs>
  <ScaleCrop>false</ScaleCrop>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2025-09-21T13:40:00Z</dcterms:created>
  <dcterms:modified xsi:type="dcterms:W3CDTF">2025-09-22T08:24:00Z</dcterms:modified>
</cp:coreProperties>
</file>