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D10C" w14:textId="77777777" w:rsidR="000F6BE2" w:rsidRPr="000F6BE2" w:rsidRDefault="000F6BE2" w:rsidP="000F6BE2">
      <w:pPr>
        <w:suppressLineNumbers/>
        <w:ind w:firstLine="0"/>
        <w:jc w:val="center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0F6BE2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Case report </w:t>
      </w:r>
    </w:p>
    <w:p w14:paraId="4F5895A4" w14:textId="77777777" w:rsidR="00B03002" w:rsidRPr="002F002B" w:rsidRDefault="00B03002" w:rsidP="00B03002">
      <w:pPr>
        <w:suppressLineNumbers/>
        <w:ind w:firstLine="0"/>
        <w:jc w:val="center"/>
        <w:rPr>
          <w:rFonts w:asciiTheme="majorBidi" w:hAnsiTheme="majorBidi" w:cstheme="majorBidi"/>
          <w:b/>
          <w:bCs/>
          <w:lang w:val="en-US"/>
        </w:rPr>
      </w:pPr>
      <w:bookmarkStart w:id="0" w:name="_Hlk208916096"/>
      <w:r w:rsidRPr="002F002B">
        <w:rPr>
          <w:rFonts w:asciiTheme="majorBidi" w:hAnsiTheme="majorBidi" w:cstheme="majorBidi"/>
          <w:b/>
          <w:bCs/>
          <w:lang w:val="en-US"/>
        </w:rPr>
        <w:t xml:space="preserve">ATYPICAL PRESENTATION OF RHEUMATOID ARTHRITIS </w:t>
      </w:r>
    </w:p>
    <w:bookmarkEnd w:id="0"/>
    <w:p w14:paraId="147194A4" w14:textId="77777777" w:rsidR="00B03002" w:rsidRPr="002F002B" w:rsidRDefault="00B03002" w:rsidP="00B03002">
      <w:pPr>
        <w:suppressLineNumbers/>
        <w:ind w:firstLine="0"/>
        <w:jc w:val="center"/>
        <w:rPr>
          <w:rFonts w:asciiTheme="majorBidi" w:hAnsiTheme="majorBidi" w:cstheme="majorBidi"/>
          <w:lang w:val="en-US"/>
        </w:rPr>
      </w:pPr>
    </w:p>
    <w:p w14:paraId="1FF51373" w14:textId="77777777" w:rsidR="00B03002" w:rsidRPr="002F002B" w:rsidRDefault="00B03002" w:rsidP="00A2037D">
      <w:pPr>
        <w:suppressLineNumbers/>
        <w:ind w:firstLine="0"/>
        <w:rPr>
          <w:rFonts w:asciiTheme="majorBidi" w:eastAsia="Aptos" w:hAnsiTheme="majorBidi" w:cstheme="majorBidi"/>
          <w:b/>
          <w:bCs/>
          <w:lang w:val="en-US"/>
        </w:rPr>
      </w:pPr>
      <w:bookmarkStart w:id="1" w:name="_GoBack"/>
      <w:bookmarkEnd w:id="1"/>
    </w:p>
    <w:p w14:paraId="17F7ED42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</w:p>
    <w:p w14:paraId="1D55C596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ABSTRACT</w:t>
      </w:r>
    </w:p>
    <w:p w14:paraId="7E89BF57" w14:textId="77777777" w:rsidR="009F104C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proofErr w:type="gramStart"/>
      <w:r w:rsidRPr="002F002B">
        <w:rPr>
          <w:rFonts w:asciiTheme="majorBidi" w:hAnsiTheme="majorBidi" w:cstheme="majorBidi"/>
          <w:b/>
          <w:bCs/>
          <w:i/>
          <w:iCs/>
          <w:lang w:val="en-US"/>
        </w:rPr>
        <w:t>Introduction</w:t>
      </w:r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:</w:t>
      </w:r>
      <w:proofErr w:type="gramEnd"/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2F002B">
        <w:rPr>
          <w:rFonts w:asciiTheme="majorBidi" w:hAnsiTheme="majorBidi" w:cstheme="majorBidi"/>
          <w:lang w:val="en-US"/>
        </w:rPr>
        <w:t xml:space="preserve">Rheumatoid arthritis (RA) is the most common auto-immune inflammatory disease. Atypical extra-articular manifestations may </w:t>
      </w:r>
      <w:proofErr w:type="spellStart"/>
      <w:r w:rsidRPr="002F002B">
        <w:rPr>
          <w:rFonts w:asciiTheme="majorBidi" w:hAnsiTheme="majorBidi" w:cstheme="majorBidi"/>
          <w:lang w:val="en-US"/>
        </w:rPr>
        <w:t>obscurethe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diagnosis when they present as the initial symptoms. </w:t>
      </w:r>
    </w:p>
    <w:p w14:paraId="057E611F" w14:textId="77777777" w:rsidR="009F104C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b/>
          <w:bCs/>
          <w:i/>
          <w:iCs/>
          <w:lang w:val="en-US"/>
        </w:rPr>
        <w:t xml:space="preserve">Case </w:t>
      </w:r>
      <w:proofErr w:type="gramStart"/>
      <w:r w:rsidRPr="002F002B">
        <w:rPr>
          <w:rFonts w:asciiTheme="majorBidi" w:hAnsiTheme="majorBidi" w:cstheme="majorBidi"/>
          <w:b/>
          <w:bCs/>
          <w:i/>
          <w:iCs/>
          <w:lang w:val="en-US"/>
        </w:rPr>
        <w:t>presentation</w:t>
      </w:r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:</w:t>
      </w:r>
      <w:proofErr w:type="gramEnd"/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2F002B">
        <w:rPr>
          <w:rFonts w:asciiTheme="majorBidi" w:hAnsiTheme="majorBidi" w:cstheme="majorBidi"/>
          <w:lang w:val="en-US"/>
        </w:rPr>
        <w:t xml:space="preserve">A 58-year-old male patient with dyslipidemia and coronary artery disease was initially diagnosed with multifocal tuberculosis based on presumptive findings, including bilateral granulomatous </w:t>
      </w:r>
      <w:proofErr w:type="spellStart"/>
      <w:r w:rsidRPr="002F002B">
        <w:rPr>
          <w:rFonts w:asciiTheme="majorBidi" w:hAnsiTheme="majorBidi" w:cstheme="majorBidi"/>
          <w:lang w:val="en-US"/>
        </w:rPr>
        <w:t>panuveitis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, nodular scleritis, hypercalcemia, </w:t>
      </w:r>
      <w:proofErr w:type="spellStart"/>
      <w:r w:rsidRPr="002F002B">
        <w:rPr>
          <w:rFonts w:asciiTheme="majorBidi" w:hAnsiTheme="majorBidi" w:cstheme="majorBidi"/>
          <w:lang w:val="en-US"/>
        </w:rPr>
        <w:t>subrenal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aortitis, unilateral sacroiliitis with infiltration of the soft parts, and a positive tuberculin skin test (21 mm). He was treated with anti-tuberculous therapy and corticosteroids, with an initially favorable response. However, three years later, the patient presented with </w:t>
      </w:r>
      <w:proofErr w:type="spellStart"/>
      <w:r w:rsidRPr="002F002B">
        <w:rPr>
          <w:rFonts w:asciiTheme="majorBidi" w:hAnsiTheme="majorBidi" w:cstheme="majorBidi"/>
          <w:lang w:val="en-US"/>
        </w:rPr>
        <w:t>scléromalacie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, extension of the aortitis and bilateral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sacroiliitis.The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final diagnosis was a complex and atypical form of rheumatoid arthritis.</w:t>
      </w:r>
    </w:p>
    <w:p w14:paraId="5C60A71F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proofErr w:type="gramStart"/>
      <w:r w:rsidRPr="002F002B">
        <w:rPr>
          <w:rFonts w:asciiTheme="majorBidi" w:hAnsiTheme="majorBidi" w:cstheme="majorBidi"/>
          <w:b/>
          <w:bCs/>
          <w:i/>
          <w:iCs/>
          <w:lang w:val="en-US"/>
        </w:rPr>
        <w:t>Conclusion</w:t>
      </w:r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:</w:t>
      </w:r>
      <w:proofErr w:type="gramEnd"/>
      <w:r w:rsidR="009F104C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2F002B">
        <w:rPr>
          <w:rFonts w:asciiTheme="majorBidi" w:hAnsiTheme="majorBidi" w:cstheme="majorBidi"/>
          <w:lang w:val="en-US"/>
        </w:rPr>
        <w:t>This case illustrates the diagnostic, therapeutic, and prognostic challenges posed by atypical presentations of RA.</w:t>
      </w:r>
    </w:p>
    <w:p w14:paraId="02F82755" w14:textId="77777777" w:rsidR="00B03002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Keywords:</w:t>
      </w:r>
      <w:r w:rsidRPr="002F002B">
        <w:rPr>
          <w:rFonts w:asciiTheme="majorBidi" w:hAnsiTheme="majorBidi" w:cstheme="majorBidi"/>
          <w:lang w:val="en-US"/>
        </w:rPr>
        <w:t xml:space="preserve"> Rheumatoid arthritis, aortitis, sacroiliitis.</w:t>
      </w:r>
    </w:p>
    <w:p w14:paraId="05099DE8" w14:textId="77777777" w:rsidR="009F104C" w:rsidRPr="002F002B" w:rsidRDefault="009F104C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5CFB7F56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INTRODUCTION</w:t>
      </w:r>
    </w:p>
    <w:p w14:paraId="3750DD9A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Rheumatoid arthritis (RA) is the most prevalent autoimmune inflammatory rheumatologic </w:t>
      </w:r>
      <w:proofErr w:type="spellStart"/>
      <w:r w:rsidRPr="002F002B">
        <w:rPr>
          <w:rFonts w:asciiTheme="majorBidi" w:hAnsiTheme="majorBidi" w:cstheme="majorBidi"/>
          <w:lang w:val="en-US"/>
        </w:rPr>
        <w:t>conditionwith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a clear female predominance. Joint involvement in RA is fundamentally symmetrical, sparing the distal interphalangeal joints [1]. Extra-articular involvement is commonly represented by cardiovascular, pulmonary, gastrointestinal, and neurological </w:t>
      </w:r>
      <w:proofErr w:type="gramStart"/>
      <w:r w:rsidRPr="002F002B">
        <w:rPr>
          <w:rFonts w:asciiTheme="majorBidi" w:hAnsiTheme="majorBidi" w:cstheme="majorBidi"/>
          <w:lang w:val="en-US"/>
        </w:rPr>
        <w:t>manifestations</w:t>
      </w:r>
      <w:bookmarkStart w:id="2" w:name="_Hlk201738774"/>
      <w:bookmarkStart w:id="3" w:name="_Hlk203082811"/>
      <w:r w:rsidRPr="002F002B">
        <w:rPr>
          <w:rFonts w:asciiTheme="majorBidi" w:hAnsiTheme="majorBidi" w:cstheme="majorBidi"/>
          <w:lang w:val="en-US"/>
        </w:rPr>
        <w:t>[</w:t>
      </w:r>
      <w:proofErr w:type="gramEnd"/>
      <w:r w:rsidRPr="002F002B">
        <w:rPr>
          <w:rFonts w:asciiTheme="majorBidi" w:hAnsiTheme="majorBidi" w:cstheme="majorBidi"/>
          <w:lang w:val="en-US"/>
        </w:rPr>
        <w:t>2]</w:t>
      </w:r>
      <w:bookmarkEnd w:id="2"/>
      <w:r w:rsidRPr="002F002B">
        <w:rPr>
          <w:rFonts w:asciiTheme="majorBidi" w:hAnsiTheme="majorBidi" w:cstheme="majorBidi"/>
          <w:lang w:val="en-US"/>
        </w:rPr>
        <w:t>.</w:t>
      </w:r>
      <w:bookmarkEnd w:id="3"/>
      <w:r w:rsidRPr="002F002B">
        <w:rPr>
          <w:rFonts w:asciiTheme="majorBidi" w:hAnsiTheme="majorBidi" w:cstheme="majorBidi"/>
          <w:lang w:val="en-US"/>
        </w:rPr>
        <w:t xml:space="preserve">However, the coexistence of aortitis, sacroiliitis and </w:t>
      </w:r>
      <w:proofErr w:type="spellStart"/>
      <w:r w:rsidRPr="002F002B">
        <w:rPr>
          <w:rFonts w:asciiTheme="majorBidi" w:hAnsiTheme="majorBidi" w:cstheme="majorBidi"/>
          <w:lang w:val="en-US"/>
        </w:rPr>
        <w:t>scleromalacia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in RA is rarely reported in the literature.</w:t>
      </w:r>
    </w:p>
    <w:p w14:paraId="34521F8F" w14:textId="77777777" w:rsidR="00B03002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We report a unique case of RA that </w:t>
      </w:r>
      <w:bookmarkStart w:id="4" w:name="_Hlk203161591"/>
      <w:r w:rsidRPr="002F002B">
        <w:rPr>
          <w:rFonts w:asciiTheme="majorBidi" w:hAnsiTheme="majorBidi" w:cstheme="majorBidi"/>
          <w:lang w:val="en-US"/>
        </w:rPr>
        <w:t>initially mimicked multifocal tuberculosis based on several presumptive clinical arguments. This highlights the diagnostic, therapeutic, and prognostic complexities of such atypical RA forms.</w:t>
      </w:r>
      <w:bookmarkEnd w:id="4"/>
    </w:p>
    <w:p w14:paraId="4D9176C8" w14:textId="77777777" w:rsidR="009F104C" w:rsidRPr="002F002B" w:rsidRDefault="009F104C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6086BB95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CASE PRESENTATION</w:t>
      </w:r>
    </w:p>
    <w:p w14:paraId="2BD736AB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A 58-year-old male, smoker, with dyslipidemia and coronary insufficiency, presented in January 2019 with bilateral ocular redness and </w:t>
      </w:r>
      <w:bookmarkStart w:id="5" w:name="_Hlk203074047"/>
      <w:r w:rsidRPr="002F002B">
        <w:rPr>
          <w:rFonts w:asciiTheme="majorBidi" w:hAnsiTheme="majorBidi" w:cstheme="majorBidi"/>
          <w:lang w:val="en-US"/>
        </w:rPr>
        <w:t xml:space="preserve">blurred vision </w:t>
      </w:r>
      <w:bookmarkEnd w:id="5"/>
      <w:r w:rsidRPr="002F002B">
        <w:rPr>
          <w:rFonts w:asciiTheme="majorBidi" w:hAnsiTheme="majorBidi" w:cstheme="majorBidi"/>
          <w:lang w:val="en-US"/>
        </w:rPr>
        <w:t xml:space="preserve">progressing for six months. He had no other functional complaints. Ophthalmologic evaluation revealed bilateral visual acuity of 1/10, granulomatous </w:t>
      </w:r>
      <w:proofErr w:type="spellStart"/>
      <w:r w:rsidRPr="002F002B">
        <w:rPr>
          <w:rFonts w:asciiTheme="majorBidi" w:hAnsiTheme="majorBidi" w:cstheme="majorBidi"/>
          <w:lang w:val="en-US"/>
        </w:rPr>
        <w:t>panuveitis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complicated by bilateral macular edema and bilateral nodular scleritis.</w:t>
      </w:r>
    </w:p>
    <w:p w14:paraId="7A591B67" w14:textId="77777777" w:rsidR="009F104C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There was no particularity in physical exam. Tuberculin skin testing was positive at 21 mm. Laboratory tests showed an inflammatory syndrome with C-reactive protein at 45 mg/L, erythrocyte sedimentation rate at 53 mm/h, polyclonal hypergammaglobulinemia and hypercalcemia at 2.63 mmol/L. Other routine blood tests were in the normal range. Viral serologies (hepatitis B and C viruses), syphilis, and </w:t>
      </w:r>
      <w:proofErr w:type="spellStart"/>
      <w:r w:rsidRPr="002F002B">
        <w:rPr>
          <w:rFonts w:asciiTheme="majorBidi" w:hAnsiTheme="majorBidi" w:cstheme="majorBidi"/>
          <w:lang w:val="en-US"/>
        </w:rPr>
        <w:t>Widal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tests were negative. Computed </w:t>
      </w:r>
      <w:proofErr w:type="spellStart"/>
      <w:r w:rsidRPr="002F002B">
        <w:rPr>
          <w:rFonts w:asciiTheme="majorBidi" w:hAnsiTheme="majorBidi" w:cstheme="majorBidi"/>
          <w:lang w:val="en-US"/>
        </w:rPr>
        <w:t>tomographyscan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revealed </w:t>
      </w:r>
      <w:proofErr w:type="spellStart"/>
      <w:r w:rsidRPr="002F002B">
        <w:rPr>
          <w:rFonts w:asciiTheme="majorBidi" w:hAnsiTheme="majorBidi" w:cstheme="majorBidi"/>
          <w:lang w:val="en-US"/>
        </w:rPr>
        <w:t>subrenal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aortitis (Figure 1) and right sacroiliac joint space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widening,subchondral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bone sclerosis with erosions and adjacent soft tissue infiltratio</w:t>
      </w:r>
      <w:r w:rsidR="009F104C">
        <w:rPr>
          <w:rFonts w:asciiTheme="majorBidi" w:hAnsiTheme="majorBidi" w:cstheme="majorBidi"/>
          <w:lang w:val="en-US"/>
        </w:rPr>
        <w:t>n.</w:t>
      </w:r>
    </w:p>
    <w:p w14:paraId="477D4417" w14:textId="77777777" w:rsidR="00B03002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1500C449" wp14:editId="5976DAEB">
            <wp:extent cx="3472360" cy="2583180"/>
            <wp:effectExtent l="0" t="0" r="0" b="0"/>
            <wp:docPr id="15917963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35" cy="2591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A01FF" w14:textId="77777777" w:rsidR="009F104C" w:rsidRPr="002F002B" w:rsidRDefault="009F104C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341B4CBC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Figure 1:</w:t>
      </w:r>
      <w:r w:rsidRPr="002F002B">
        <w:rPr>
          <w:rFonts w:asciiTheme="majorBidi" w:hAnsiTheme="majorBidi" w:cstheme="majorBidi"/>
          <w:lang w:val="en-US"/>
        </w:rPr>
        <w:t xml:space="preserve"> Abdominal computed tomography scan in axial section after injection of contrast agent showing a circumferential and regular parietal thickening of the </w:t>
      </w:r>
      <w:proofErr w:type="spellStart"/>
      <w:r w:rsidRPr="002F002B">
        <w:rPr>
          <w:rFonts w:asciiTheme="majorBidi" w:hAnsiTheme="majorBidi" w:cstheme="majorBidi"/>
          <w:lang w:val="en-US"/>
        </w:rPr>
        <w:t>subrenal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abdominal aorta related to aortitis (white arrow).</w:t>
      </w:r>
    </w:p>
    <w:p w14:paraId="165B8B83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5103D171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Bone biopsy was not performed due to technical limitations. The diagnosis of multifocal tuberculosis was considered the most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probable.</w:t>
      </w:r>
      <w:bookmarkStart w:id="6" w:name="_Hlk203163582"/>
      <w:r w:rsidRPr="002F002B">
        <w:rPr>
          <w:rFonts w:asciiTheme="majorBidi" w:hAnsiTheme="majorBidi" w:cstheme="majorBidi"/>
          <w:lang w:val="en-US"/>
        </w:rPr>
        <w:t>Anti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>-tuberculous therapy was initiated</w:t>
      </w:r>
      <w:bookmarkEnd w:id="6"/>
      <w:r w:rsidRPr="002F002B">
        <w:rPr>
          <w:rFonts w:asciiTheme="majorBidi" w:hAnsiTheme="majorBidi" w:cstheme="majorBidi"/>
          <w:lang w:val="en-US"/>
        </w:rPr>
        <w:t xml:space="preserve">. High </w:t>
      </w:r>
      <w:proofErr w:type="spellStart"/>
      <w:r w:rsidRPr="002F002B">
        <w:rPr>
          <w:rFonts w:asciiTheme="majorBidi" w:hAnsiTheme="majorBidi" w:cstheme="majorBidi"/>
          <w:lang w:val="en-US"/>
        </w:rPr>
        <w:t>doseof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corticosteroids was added 15 days after, seeing the presence of macular edema. A favorable response was noted with notably an improvement in visual acuity to 7/10. Repeat computed tomography scan was planned at 9 months. But the patient was lost to follow-up.</w:t>
      </w:r>
    </w:p>
    <w:p w14:paraId="1A86C660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In April 2022, he presented with a one-month history of blurred vision and eye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pain.Ophthalmologic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examination revealed reduced visual acuity (4/10) and bilateral </w:t>
      </w:r>
      <w:proofErr w:type="spellStart"/>
      <w:r w:rsidRPr="002F002B">
        <w:rPr>
          <w:rFonts w:asciiTheme="majorBidi" w:hAnsiTheme="majorBidi" w:cstheme="majorBidi"/>
          <w:lang w:val="en-US"/>
        </w:rPr>
        <w:t>scleromalacia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. He also reported bilateral, symmetric inflammatory arthralgias of large and small joints sparing distal </w:t>
      </w:r>
      <w:bookmarkStart w:id="7" w:name="_Hlk202960637"/>
      <w:r w:rsidRPr="002F002B">
        <w:rPr>
          <w:rFonts w:asciiTheme="majorBidi" w:hAnsiTheme="majorBidi" w:cstheme="majorBidi"/>
          <w:lang w:val="en-US"/>
        </w:rPr>
        <w:t xml:space="preserve">interphalangeal joints </w:t>
      </w:r>
      <w:bookmarkEnd w:id="7"/>
      <w:r w:rsidRPr="002F002B">
        <w:rPr>
          <w:rFonts w:asciiTheme="majorBidi" w:hAnsiTheme="majorBidi" w:cstheme="majorBidi"/>
          <w:lang w:val="en-US"/>
        </w:rPr>
        <w:t xml:space="preserve">and bilateral buttock pain evolving for one year. Clinical examination found positive squeeze tests in both hands and feet, and a three cm rheumatoid nodule on the extensor surface of the left elbow. Laboratory testing objected biological inflammation. Serologies for hepatitis C and B viruses and human immunodeficiency viruses were negative. QuantiFERON-TB and Mycobacterium tuberculosis testing in sputum and urine were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negative.Musculoskeletal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ultrasound showed active synovitis in right metacarpophalangeal joints, left flexor tenosynovitis, and widespread erosions in metacarpophalangeal and interphalangeal joints proximal joints. Repeat computed </w:t>
      </w:r>
      <w:proofErr w:type="spellStart"/>
      <w:r w:rsidRPr="002F002B">
        <w:rPr>
          <w:rFonts w:asciiTheme="majorBidi" w:hAnsiTheme="majorBidi" w:cstheme="majorBidi"/>
          <w:lang w:val="en-US"/>
        </w:rPr>
        <w:t>tomographyscan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showed bilateral sacroiliitis (Figure 2) and progression of aortitis into the thoracic aorta.</w:t>
      </w:r>
    </w:p>
    <w:p w14:paraId="3F75210C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0B81B0D7" w14:textId="77777777" w:rsidR="00B03002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3FB93E44" wp14:editId="409688D3">
            <wp:extent cx="4547870" cy="3066415"/>
            <wp:effectExtent l="0" t="0" r="5080" b="635"/>
            <wp:docPr id="13902999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9D5AA" w14:textId="77777777" w:rsidR="009F104C" w:rsidRPr="002F002B" w:rsidRDefault="009F104C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3C369F05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Figure 2:</w:t>
      </w:r>
      <w:r w:rsidRPr="002F002B">
        <w:rPr>
          <w:rFonts w:asciiTheme="majorBidi" w:hAnsiTheme="majorBidi" w:cstheme="majorBidi"/>
          <w:lang w:val="en-US"/>
        </w:rPr>
        <w:t xml:space="preserve"> Computed tomography scan of the pelvis showing erosions with </w:t>
      </w:r>
      <w:proofErr w:type="spellStart"/>
      <w:r w:rsidRPr="002F002B">
        <w:rPr>
          <w:rFonts w:asciiTheme="majorBidi" w:hAnsiTheme="majorBidi" w:cstheme="majorBidi"/>
          <w:lang w:val="en-US"/>
        </w:rPr>
        <w:t>osteocondensation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of the sacroiliac joint edges on the anterior and posterior sides, more marked on the right without narrowing of the joint space (white arrows).</w:t>
      </w:r>
    </w:p>
    <w:p w14:paraId="167F4881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2C0D2D7E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Immunological testing revealed high tires of anti-cyclic citrullinated peptide antibodies (anti-CCP &gt;250 U/mL), negative anti-neutrophil cytoplasmic antibodies and normal IgG4 levels. HLA-B27 typing was negative. Based on the 2010 ACR/EULAR criteria, a diagnosis of seropositive erosive RA was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retained.Given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the severity of ocular involvement, a multidisciplinary meeting between rheumatology, internal medicine, and ophthalmology specialists recommended pulse therapy with methylprednisolone (1 g/day for 3 days) followed by oral prednisone at 1 mg/kg/day. While awaiting approval for infliximab biotherapy from the National Health Insurance Fund, monthly cyclophosphamide pulses were initiated. Two months later, the patient presented a fatal myocardial infarction, following an abrupt discontinuation of his anti-anginal medications.</w:t>
      </w:r>
    </w:p>
    <w:p w14:paraId="10971032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</w:p>
    <w:p w14:paraId="0E550457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DISCUSSION</w:t>
      </w:r>
    </w:p>
    <w:p w14:paraId="6E943D97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Beyond its typical presentation with peripheral joint involvement, RA can initially manifest with uncommon clinical features that obscure diagnosis, as illustrated by our observation in </w:t>
      </w:r>
      <w:proofErr w:type="spellStart"/>
      <w:r w:rsidRPr="002F002B">
        <w:rPr>
          <w:rFonts w:asciiTheme="majorBidi" w:hAnsiTheme="majorBidi" w:cstheme="majorBidi"/>
          <w:lang w:val="en-US"/>
        </w:rPr>
        <w:t>whichthe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initial presentation was highly suggestive of multifocal tuberculosis.</w:t>
      </w:r>
    </w:p>
    <w:p w14:paraId="480BCEB4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color w:val="C00000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Sacroiliitis is a hallmark of spondyloarthropathies. It has been </w:t>
      </w:r>
      <w:r w:rsidRPr="002F002B">
        <w:rPr>
          <w:rFonts w:asciiTheme="majorBidi" w:hAnsiTheme="majorBidi" w:cstheme="majorBidi"/>
          <w:color w:val="000000" w:themeColor="text1"/>
          <w:lang w:val="en-US"/>
        </w:rPr>
        <w:t xml:space="preserve">described in certain systemic diseases, in the literature, notably lupus, sarcoidosis and </w:t>
      </w:r>
      <w:proofErr w:type="spellStart"/>
      <w:r w:rsidRPr="002F002B">
        <w:rPr>
          <w:rFonts w:asciiTheme="majorBidi" w:hAnsiTheme="majorBidi" w:cstheme="majorBidi"/>
          <w:color w:val="000000" w:themeColor="text1"/>
          <w:lang w:val="en-US"/>
        </w:rPr>
        <w:t>Behçet's</w:t>
      </w:r>
      <w:proofErr w:type="spellEnd"/>
      <w:r w:rsidRPr="002F002B">
        <w:rPr>
          <w:rFonts w:asciiTheme="majorBidi" w:hAnsiTheme="majorBidi" w:cstheme="majorBidi"/>
          <w:color w:val="000000" w:themeColor="text1"/>
          <w:lang w:val="en-US"/>
        </w:rPr>
        <w:t xml:space="preserve"> disease, independently of associated ankylosing spondylitis [3]. </w:t>
      </w:r>
    </w:p>
    <w:p w14:paraId="0805AB2E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color w:val="000000" w:themeColor="text1"/>
          <w:lang w:val="en-US"/>
        </w:rPr>
        <w:t xml:space="preserve">The reel frequency of sacroiliitis in RA seems to be uncertain. A Moroccan review found only seven cases of seropositive RA with radiographic sacroiliitis among 1000 </w:t>
      </w:r>
      <w:proofErr w:type="spellStart"/>
      <w:r w:rsidRPr="002F002B">
        <w:rPr>
          <w:rFonts w:asciiTheme="majorBidi" w:hAnsiTheme="majorBidi" w:cstheme="majorBidi"/>
          <w:color w:val="000000" w:themeColor="text1"/>
          <w:lang w:val="en-US"/>
        </w:rPr>
        <w:t>patients</w:t>
      </w:r>
      <w:r w:rsidRPr="002F002B">
        <w:rPr>
          <w:rFonts w:asciiTheme="majorBidi" w:hAnsiTheme="majorBidi" w:cstheme="majorBidi"/>
          <w:lang w:val="en-US"/>
        </w:rPr>
        <w:t>with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RA over 22 years, corresponding to a frequency of 0.7%. In RA, sacroiliitis typically appears late, is erosive with geodes, and may not start in the inferior third of the </w:t>
      </w:r>
      <w:proofErr w:type="spellStart"/>
      <w:r w:rsidRPr="002F002B">
        <w:rPr>
          <w:rFonts w:asciiTheme="majorBidi" w:hAnsiTheme="majorBidi" w:cstheme="majorBidi"/>
          <w:lang w:val="en-US"/>
        </w:rPr>
        <w:t>sacro-iliite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2F002B">
        <w:rPr>
          <w:rFonts w:asciiTheme="majorBidi" w:hAnsiTheme="majorBidi" w:cstheme="majorBidi"/>
          <w:lang w:val="en-US"/>
        </w:rPr>
        <w:t>joint</w:t>
      </w:r>
      <w:bookmarkStart w:id="8" w:name="_Hlk203164656"/>
      <w:r w:rsidRPr="002F002B">
        <w:rPr>
          <w:rFonts w:asciiTheme="majorBidi" w:hAnsiTheme="majorBidi" w:cstheme="majorBidi"/>
          <w:lang w:val="en-US"/>
        </w:rPr>
        <w:t>[</w:t>
      </w:r>
      <w:proofErr w:type="gramEnd"/>
      <w:r w:rsidRPr="002F002B">
        <w:rPr>
          <w:rFonts w:asciiTheme="majorBidi" w:hAnsiTheme="majorBidi" w:cstheme="majorBidi"/>
          <w:lang w:val="en-US"/>
        </w:rPr>
        <w:t>4].</w:t>
      </w:r>
      <w:bookmarkEnd w:id="8"/>
      <w:r w:rsidRPr="002F002B">
        <w:rPr>
          <w:rFonts w:asciiTheme="majorBidi" w:hAnsiTheme="majorBidi" w:cstheme="majorBidi"/>
          <w:lang w:val="en-US"/>
        </w:rPr>
        <w:t xml:space="preserve">In our case, associated </w:t>
      </w:r>
      <w:proofErr w:type="spellStart"/>
      <w:r w:rsidRPr="002F002B">
        <w:rPr>
          <w:rFonts w:asciiTheme="majorBidi" w:hAnsiTheme="majorBidi" w:cstheme="majorBidi"/>
          <w:lang w:val="en-US"/>
        </w:rPr>
        <w:t>spondylarthritis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was ruled out based on the negative HLA-B27 status.</w:t>
      </w:r>
    </w:p>
    <w:p w14:paraId="5C84CABE" w14:textId="77777777" w:rsidR="00B03002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 xml:space="preserve">Aortitis involves inflammation of the aortic wall, leading to disorganization of arterial layers and wall thickening [5]. It may progress to stenosis or aneurysm formation with risk of rupture. In practice, diagnosis of aortitis relies on imaging: angio-computed tomography, angio-magnetic resonance imaging and Positron Emission Tomography scan [6]. Infectious causes of </w:t>
      </w:r>
      <w:proofErr w:type="spellStart"/>
      <w:proofErr w:type="gramStart"/>
      <w:r w:rsidRPr="002F002B">
        <w:rPr>
          <w:rFonts w:asciiTheme="majorBidi" w:hAnsiTheme="majorBidi" w:cstheme="majorBidi"/>
          <w:lang w:val="en-US"/>
        </w:rPr>
        <w:t>aortitis,especially</w:t>
      </w:r>
      <w:proofErr w:type="spellEnd"/>
      <w:proofErr w:type="gramEnd"/>
      <w:r w:rsidRPr="002F002B">
        <w:rPr>
          <w:rFonts w:asciiTheme="majorBidi" w:hAnsiTheme="majorBidi" w:cstheme="majorBidi"/>
          <w:lang w:val="en-US"/>
        </w:rPr>
        <w:t xml:space="preserve"> tuberculosis, </w:t>
      </w:r>
      <w:proofErr w:type="spellStart"/>
      <w:r w:rsidRPr="002F002B">
        <w:rPr>
          <w:rFonts w:asciiTheme="majorBidi" w:hAnsiTheme="majorBidi" w:cstheme="majorBidi"/>
          <w:lang w:val="en-US"/>
        </w:rPr>
        <w:t>syphilisand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infections by Salmonella or common pathogens such as Staphylococcus and Streptococcus, must be excluded first. Inflammatory causes include Takayasu arteritis, giant cell arteritis, and </w:t>
      </w:r>
      <w:proofErr w:type="spellStart"/>
      <w:r w:rsidRPr="002F002B">
        <w:rPr>
          <w:rFonts w:asciiTheme="majorBidi" w:hAnsiTheme="majorBidi" w:cstheme="majorBidi"/>
          <w:lang w:val="en-US"/>
        </w:rPr>
        <w:t>Behçet’s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 disease. RA rarely causes aortitis; in one autopsy series of 188 RA patients, only 10 cases of aortitis (0.05%) were found [7].  Aortitis typically complicates seropositive, destructive, and erosive RA [5], as seen in our patient.</w:t>
      </w:r>
      <w:r w:rsidR="009F104C">
        <w:rPr>
          <w:rFonts w:asciiTheme="majorBidi" w:hAnsiTheme="majorBidi" w:cstheme="majorBidi"/>
          <w:lang w:val="en-US"/>
        </w:rPr>
        <w:t xml:space="preserve"> </w:t>
      </w:r>
      <w:r w:rsidRPr="002F002B">
        <w:rPr>
          <w:rFonts w:asciiTheme="majorBidi" w:hAnsiTheme="majorBidi" w:cstheme="majorBidi"/>
          <w:lang w:val="en-US"/>
        </w:rPr>
        <w:t xml:space="preserve">It is well known that RA is the most common inflammatory cause of scleritis. However, </w:t>
      </w:r>
      <w:r w:rsidRPr="002F002B">
        <w:rPr>
          <w:rFonts w:asciiTheme="majorBidi" w:hAnsiTheme="majorBidi" w:cstheme="majorBidi"/>
          <w:lang w:val="en-US"/>
        </w:rPr>
        <w:lastRenderedPageBreak/>
        <w:t xml:space="preserve">necrotizing scleritis or perforating </w:t>
      </w:r>
      <w:proofErr w:type="spellStart"/>
      <w:r w:rsidRPr="002F002B">
        <w:rPr>
          <w:rFonts w:asciiTheme="majorBidi" w:hAnsiTheme="majorBidi" w:cstheme="majorBidi"/>
          <w:lang w:val="en-US"/>
        </w:rPr>
        <w:t>scleromalacia</w:t>
      </w:r>
      <w:proofErr w:type="spellEnd"/>
      <w:r w:rsidRPr="002F002B">
        <w:rPr>
          <w:rFonts w:asciiTheme="majorBidi" w:hAnsiTheme="majorBidi" w:cstheme="majorBidi"/>
          <w:lang w:val="en-US"/>
        </w:rPr>
        <w:t xml:space="preserve">, is found almost exclusively in advanced PR, for which it constitutes a criterion of severity [8]. In our case, the initial improvement in ocular symptoms was likely due to corticosteroid therapy. Delayed RA diagnosis led to subsequent </w:t>
      </w:r>
      <w:proofErr w:type="spellStart"/>
      <w:r w:rsidRPr="002F002B">
        <w:rPr>
          <w:rFonts w:asciiTheme="majorBidi" w:hAnsiTheme="majorBidi" w:cstheme="majorBidi"/>
          <w:lang w:val="en-US"/>
        </w:rPr>
        <w:t>scleromalacia</w:t>
      </w:r>
      <w:proofErr w:type="spellEnd"/>
      <w:r w:rsidRPr="002F002B">
        <w:rPr>
          <w:rFonts w:asciiTheme="majorBidi" w:hAnsiTheme="majorBidi" w:cstheme="majorBidi"/>
          <w:lang w:val="en-US"/>
        </w:rPr>
        <w:t>, extended aortitis and bilateral sacroiliitis.</w:t>
      </w:r>
    </w:p>
    <w:p w14:paraId="6D62BC5A" w14:textId="77777777" w:rsidR="009F104C" w:rsidRPr="002F002B" w:rsidRDefault="009F104C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7FE0C705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</w:p>
    <w:p w14:paraId="6D40149B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b/>
          <w:bCs/>
          <w:lang w:val="en-US"/>
        </w:rPr>
      </w:pPr>
      <w:r w:rsidRPr="002F002B">
        <w:rPr>
          <w:rFonts w:asciiTheme="majorBidi" w:hAnsiTheme="majorBidi" w:cstheme="majorBidi"/>
          <w:b/>
          <w:bCs/>
          <w:lang w:val="en-US"/>
        </w:rPr>
        <w:t>CONCLUSION</w:t>
      </w:r>
    </w:p>
    <w:p w14:paraId="4E638002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  <w:r w:rsidRPr="002F002B">
        <w:rPr>
          <w:rFonts w:asciiTheme="majorBidi" w:hAnsiTheme="majorBidi" w:cstheme="majorBidi"/>
          <w:lang w:val="en-US"/>
        </w:rPr>
        <w:t>RA is the most frequent inflammatory cause of scleritis and should be considered even in complex cases with atypical extra-articular features, as demonstrated by this case presentation.</w:t>
      </w:r>
    </w:p>
    <w:p w14:paraId="5A32B6C0" w14:textId="77777777" w:rsidR="00B03002" w:rsidRPr="002F002B" w:rsidRDefault="00B03002" w:rsidP="00B03002">
      <w:pPr>
        <w:suppressLineNumbers/>
        <w:spacing w:line="240" w:lineRule="auto"/>
        <w:ind w:firstLine="0"/>
        <w:rPr>
          <w:rFonts w:asciiTheme="majorBidi" w:hAnsiTheme="majorBidi" w:cstheme="majorBidi"/>
          <w:lang w:val="en-US"/>
        </w:rPr>
      </w:pPr>
    </w:p>
    <w:p w14:paraId="6699BE69" w14:textId="77777777" w:rsidR="00B03002" w:rsidRPr="002F002B" w:rsidRDefault="00B03002" w:rsidP="00B03002">
      <w:pPr>
        <w:suppressLineNumbers/>
        <w:ind w:firstLine="0"/>
        <w:jc w:val="left"/>
        <w:rPr>
          <w:rFonts w:asciiTheme="majorBidi" w:hAnsiTheme="majorBidi" w:cstheme="majorBidi"/>
        </w:rPr>
      </w:pPr>
      <w:r w:rsidRPr="002F002B">
        <w:rPr>
          <w:rFonts w:asciiTheme="majorBidi" w:hAnsiTheme="majorBidi" w:cstheme="majorBidi"/>
          <w:b/>
          <w:bCs/>
        </w:rPr>
        <w:t xml:space="preserve">REFERENCES </w:t>
      </w:r>
    </w:p>
    <w:p w14:paraId="43434526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1. </w:t>
      </w:r>
      <w:proofErr w:type="spellStart"/>
      <w:r w:rsidRPr="00AC49F8">
        <w:rPr>
          <w:rFonts w:asciiTheme="majorBidi" w:hAnsiTheme="majorBidi" w:cstheme="majorBidi"/>
          <w:lang w:val="fr-FR"/>
        </w:rPr>
        <w:t>Aletaha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D, </w:t>
      </w:r>
      <w:proofErr w:type="spellStart"/>
      <w:r w:rsidRPr="00AC49F8">
        <w:rPr>
          <w:rFonts w:asciiTheme="majorBidi" w:hAnsiTheme="majorBidi" w:cstheme="majorBidi"/>
          <w:lang w:val="fr-FR"/>
        </w:rPr>
        <w:t>Neogi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T, </w:t>
      </w:r>
      <w:proofErr w:type="spellStart"/>
      <w:r w:rsidRPr="00AC49F8">
        <w:rPr>
          <w:rFonts w:asciiTheme="majorBidi" w:hAnsiTheme="majorBidi" w:cstheme="majorBidi"/>
          <w:lang w:val="fr-FR"/>
        </w:rPr>
        <w:t>Silman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A.J, </w:t>
      </w:r>
      <w:proofErr w:type="spellStart"/>
      <w:r w:rsidRPr="00AC49F8">
        <w:rPr>
          <w:rFonts w:asciiTheme="majorBidi" w:hAnsiTheme="majorBidi" w:cstheme="majorBidi"/>
          <w:lang w:val="fr-FR"/>
        </w:rPr>
        <w:t>Funovits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J, </w:t>
      </w:r>
      <w:proofErr w:type="spellStart"/>
      <w:r w:rsidRPr="00AC49F8">
        <w:rPr>
          <w:rFonts w:asciiTheme="majorBidi" w:hAnsiTheme="majorBidi" w:cstheme="majorBidi"/>
          <w:lang w:val="fr-FR"/>
        </w:rPr>
        <w:t>Felson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D.T, Bingham C.O. et al. </w:t>
      </w:r>
      <w:proofErr w:type="spellStart"/>
      <w:r w:rsidRPr="00AC49F8">
        <w:rPr>
          <w:rFonts w:asciiTheme="majorBidi" w:hAnsiTheme="majorBidi" w:cstheme="majorBidi"/>
          <w:lang w:val="fr-FR"/>
        </w:rPr>
        <w:t>Rheumatoid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arthritis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classification </w:t>
      </w:r>
      <w:proofErr w:type="spellStart"/>
      <w:proofErr w:type="gramStart"/>
      <w:r w:rsidRPr="00AC49F8">
        <w:rPr>
          <w:rFonts w:asciiTheme="majorBidi" w:hAnsiTheme="majorBidi" w:cstheme="majorBidi"/>
          <w:lang w:val="fr-FR"/>
        </w:rPr>
        <w:t>criteria</w:t>
      </w:r>
      <w:proofErr w:type="spellEnd"/>
      <w:r w:rsidRPr="00AC49F8">
        <w:rPr>
          <w:rFonts w:asciiTheme="majorBidi" w:hAnsiTheme="majorBidi" w:cstheme="majorBidi"/>
          <w:lang w:val="fr-FR"/>
        </w:rPr>
        <w:t>: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An American </w:t>
      </w:r>
      <w:proofErr w:type="spellStart"/>
      <w:r w:rsidRPr="00AC49F8">
        <w:rPr>
          <w:rFonts w:asciiTheme="majorBidi" w:hAnsiTheme="majorBidi" w:cstheme="majorBidi"/>
          <w:lang w:val="fr-FR"/>
        </w:rPr>
        <w:t>College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of </w:t>
      </w:r>
      <w:proofErr w:type="spellStart"/>
      <w:r w:rsidRPr="00AC49F8">
        <w:rPr>
          <w:rFonts w:asciiTheme="majorBidi" w:hAnsiTheme="majorBidi" w:cstheme="majorBidi"/>
          <w:lang w:val="fr-FR"/>
        </w:rPr>
        <w:t>Rheumatology</w:t>
      </w:r>
      <w:proofErr w:type="spellEnd"/>
      <w:r w:rsidRPr="00AC49F8">
        <w:rPr>
          <w:rFonts w:asciiTheme="majorBidi" w:hAnsiTheme="majorBidi" w:cstheme="majorBidi"/>
          <w:lang w:val="fr-FR"/>
        </w:rPr>
        <w:t>/</w:t>
      </w:r>
      <w:proofErr w:type="spellStart"/>
      <w:r w:rsidRPr="00AC49F8">
        <w:rPr>
          <w:rFonts w:asciiTheme="majorBidi" w:hAnsiTheme="majorBidi" w:cstheme="majorBidi"/>
          <w:lang w:val="fr-FR"/>
        </w:rPr>
        <w:t>European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League Against </w:t>
      </w:r>
      <w:proofErr w:type="spellStart"/>
      <w:r w:rsidRPr="00AC49F8">
        <w:rPr>
          <w:rFonts w:asciiTheme="majorBidi" w:hAnsiTheme="majorBidi" w:cstheme="majorBidi"/>
          <w:lang w:val="fr-FR"/>
        </w:rPr>
        <w:t>Rheumatism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collaborative initiative. 2010.</w:t>
      </w:r>
    </w:p>
    <w:p w14:paraId="06C0ABC8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2. </w:t>
      </w:r>
      <w:proofErr w:type="spellStart"/>
      <w:r w:rsidRPr="00AC49F8">
        <w:rPr>
          <w:rFonts w:asciiTheme="majorBidi" w:hAnsiTheme="majorBidi" w:cstheme="majorBidi"/>
          <w:lang w:val="fr-FR"/>
        </w:rPr>
        <w:t>Fabiana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Assunta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Figus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, Matteo </w:t>
      </w:r>
      <w:proofErr w:type="spellStart"/>
      <w:r w:rsidRPr="00AC49F8">
        <w:rPr>
          <w:rFonts w:asciiTheme="majorBidi" w:hAnsiTheme="majorBidi" w:cstheme="majorBidi"/>
          <w:lang w:val="fr-FR"/>
        </w:rPr>
        <w:t>Piga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, Irene </w:t>
      </w:r>
      <w:proofErr w:type="spellStart"/>
      <w:r w:rsidRPr="00AC49F8">
        <w:rPr>
          <w:rFonts w:asciiTheme="majorBidi" w:hAnsiTheme="majorBidi" w:cstheme="majorBidi"/>
          <w:lang w:val="fr-FR"/>
        </w:rPr>
        <w:t>Azzolin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, Rebecca McConnell, </w:t>
      </w:r>
      <w:proofErr w:type="spellStart"/>
      <w:r w:rsidRPr="00AC49F8">
        <w:rPr>
          <w:rFonts w:asciiTheme="majorBidi" w:hAnsiTheme="majorBidi" w:cstheme="majorBidi"/>
          <w:lang w:val="fr-FR"/>
        </w:rPr>
        <w:t>Annamaria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Iagnocco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Rheumatoid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AC49F8">
        <w:rPr>
          <w:rFonts w:asciiTheme="majorBidi" w:hAnsiTheme="majorBidi" w:cstheme="majorBidi"/>
          <w:lang w:val="fr-FR"/>
        </w:rPr>
        <w:t>arthritis</w:t>
      </w:r>
      <w:proofErr w:type="spellEnd"/>
      <w:r w:rsidRPr="00AC49F8">
        <w:rPr>
          <w:rFonts w:asciiTheme="majorBidi" w:hAnsiTheme="majorBidi" w:cstheme="majorBidi"/>
          <w:lang w:val="fr-FR"/>
        </w:rPr>
        <w:t>: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Extra-</w:t>
      </w:r>
      <w:proofErr w:type="spellStart"/>
      <w:r w:rsidRPr="00AC49F8">
        <w:rPr>
          <w:rFonts w:asciiTheme="majorBidi" w:hAnsiTheme="majorBidi" w:cstheme="majorBidi"/>
          <w:lang w:val="fr-FR"/>
        </w:rPr>
        <w:t>articular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manifestations and </w:t>
      </w:r>
      <w:proofErr w:type="spellStart"/>
      <w:r w:rsidRPr="00AC49F8">
        <w:rPr>
          <w:rFonts w:asciiTheme="majorBidi" w:hAnsiTheme="majorBidi" w:cstheme="majorBidi"/>
          <w:lang w:val="fr-FR"/>
        </w:rPr>
        <w:t>comorbidities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Autoimmun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Rev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2021 </w:t>
      </w:r>
      <w:proofErr w:type="gramStart"/>
      <w:r w:rsidRPr="00AC49F8">
        <w:rPr>
          <w:rFonts w:asciiTheme="majorBidi" w:hAnsiTheme="majorBidi" w:cstheme="majorBidi"/>
          <w:lang w:val="fr-FR"/>
        </w:rPr>
        <w:t>Apr;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20(4):102776. </w:t>
      </w:r>
      <w:proofErr w:type="spellStart"/>
      <w:proofErr w:type="gramStart"/>
      <w:r w:rsidRPr="00AC49F8">
        <w:rPr>
          <w:rFonts w:asciiTheme="majorBidi" w:hAnsiTheme="majorBidi" w:cstheme="majorBidi"/>
          <w:lang w:val="fr-FR"/>
        </w:rPr>
        <w:t>doi</w:t>
      </w:r>
      <w:proofErr w:type="spellEnd"/>
      <w:r w:rsidRPr="00AC49F8">
        <w:rPr>
          <w:rFonts w:asciiTheme="majorBidi" w:hAnsiTheme="majorBidi" w:cstheme="majorBidi"/>
          <w:lang w:val="fr-FR"/>
        </w:rPr>
        <w:t>: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10.1016/j.autrev.2021.102776.</w:t>
      </w:r>
    </w:p>
    <w:p w14:paraId="288ADD7E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3. </w:t>
      </w:r>
      <w:proofErr w:type="spellStart"/>
      <w:r w:rsidRPr="00AC49F8">
        <w:rPr>
          <w:rFonts w:asciiTheme="majorBidi" w:hAnsiTheme="majorBidi" w:cstheme="majorBidi"/>
          <w:lang w:val="fr-FR"/>
        </w:rPr>
        <w:t>Akasbi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LN, </w:t>
      </w:r>
      <w:proofErr w:type="spellStart"/>
      <w:r w:rsidRPr="00AC49F8">
        <w:rPr>
          <w:rFonts w:asciiTheme="majorBidi" w:hAnsiTheme="majorBidi" w:cstheme="majorBidi"/>
          <w:lang w:val="fr-FR"/>
        </w:rPr>
        <w:t>Ouazzani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FZ, Kadi N, Mansouri N, </w:t>
      </w:r>
      <w:proofErr w:type="spellStart"/>
      <w:r w:rsidRPr="00AC49F8">
        <w:rPr>
          <w:rFonts w:asciiTheme="majorBidi" w:hAnsiTheme="majorBidi" w:cstheme="majorBidi"/>
          <w:lang w:val="fr-FR"/>
        </w:rPr>
        <w:t>Tahiri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L, </w:t>
      </w:r>
      <w:proofErr w:type="spellStart"/>
      <w:r w:rsidRPr="00AC49F8">
        <w:rPr>
          <w:rFonts w:asciiTheme="majorBidi" w:hAnsiTheme="majorBidi" w:cstheme="majorBidi"/>
          <w:lang w:val="fr-FR"/>
        </w:rPr>
        <w:t>Harzy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T. </w:t>
      </w:r>
      <w:proofErr w:type="spellStart"/>
      <w:r w:rsidRPr="00AC49F8">
        <w:rPr>
          <w:rFonts w:asciiTheme="majorBidi" w:hAnsiTheme="majorBidi" w:cstheme="majorBidi"/>
          <w:lang w:val="fr-FR"/>
        </w:rPr>
        <w:t>Sacroiliac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joint </w:t>
      </w:r>
      <w:proofErr w:type="spellStart"/>
      <w:r w:rsidRPr="00AC49F8">
        <w:rPr>
          <w:rFonts w:asciiTheme="majorBidi" w:hAnsiTheme="majorBidi" w:cstheme="majorBidi"/>
          <w:lang w:val="fr-FR"/>
        </w:rPr>
        <w:t>involvement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in </w:t>
      </w:r>
      <w:proofErr w:type="spellStart"/>
      <w:r w:rsidRPr="00AC49F8">
        <w:rPr>
          <w:rFonts w:asciiTheme="majorBidi" w:hAnsiTheme="majorBidi" w:cstheme="majorBidi"/>
          <w:lang w:val="fr-FR"/>
        </w:rPr>
        <w:t>rheumatology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Annals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of </w:t>
      </w:r>
      <w:proofErr w:type="spellStart"/>
      <w:r w:rsidRPr="00AC49F8">
        <w:rPr>
          <w:rFonts w:asciiTheme="majorBidi" w:hAnsiTheme="majorBidi" w:cstheme="majorBidi"/>
          <w:lang w:val="fr-FR"/>
        </w:rPr>
        <w:t>medicine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and </w:t>
      </w:r>
      <w:proofErr w:type="spellStart"/>
      <w:r w:rsidRPr="00AC49F8">
        <w:rPr>
          <w:rFonts w:asciiTheme="majorBidi" w:hAnsiTheme="majorBidi" w:cstheme="majorBidi"/>
          <w:lang w:val="fr-FR"/>
        </w:rPr>
        <w:t>therapeutics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amether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January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AC49F8">
        <w:rPr>
          <w:rFonts w:asciiTheme="majorBidi" w:hAnsiTheme="majorBidi" w:cstheme="majorBidi"/>
          <w:lang w:val="fr-FR"/>
        </w:rPr>
        <w:t>2010;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Volume 2, No. </w:t>
      </w:r>
      <w:proofErr w:type="gramStart"/>
      <w:r w:rsidRPr="00AC49F8">
        <w:rPr>
          <w:rFonts w:asciiTheme="majorBidi" w:hAnsiTheme="majorBidi" w:cstheme="majorBidi"/>
          <w:lang w:val="fr-FR"/>
        </w:rPr>
        <w:t>1: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9-13.</w:t>
      </w:r>
    </w:p>
    <w:p w14:paraId="725FE956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4. Alaoui F.Z, AL </w:t>
      </w:r>
      <w:proofErr w:type="spellStart"/>
      <w:r w:rsidRPr="00AC49F8">
        <w:rPr>
          <w:rFonts w:asciiTheme="majorBidi" w:hAnsiTheme="majorBidi" w:cstheme="majorBidi"/>
          <w:lang w:val="fr-FR"/>
        </w:rPr>
        <w:t>Haloui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H, </w:t>
      </w:r>
      <w:proofErr w:type="spellStart"/>
      <w:r w:rsidRPr="00AC49F8">
        <w:rPr>
          <w:rFonts w:asciiTheme="majorBidi" w:hAnsiTheme="majorBidi" w:cstheme="majorBidi"/>
          <w:lang w:val="fr-FR"/>
        </w:rPr>
        <w:t>Echchilali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K, </w:t>
      </w:r>
      <w:proofErr w:type="spellStart"/>
      <w:r w:rsidRPr="00AC49F8">
        <w:rPr>
          <w:rFonts w:asciiTheme="majorBidi" w:hAnsiTheme="majorBidi" w:cstheme="majorBidi"/>
          <w:lang w:val="fr-FR"/>
        </w:rPr>
        <w:t>Benamour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S. </w:t>
      </w:r>
      <w:proofErr w:type="spellStart"/>
      <w:r w:rsidRPr="00AC49F8">
        <w:rPr>
          <w:rFonts w:asciiTheme="majorBidi" w:hAnsiTheme="majorBidi" w:cstheme="majorBidi"/>
          <w:lang w:val="fr-FR"/>
        </w:rPr>
        <w:t>Sacroiliac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involvement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in </w:t>
      </w:r>
      <w:proofErr w:type="spellStart"/>
      <w:r w:rsidRPr="00AC49F8">
        <w:rPr>
          <w:rFonts w:asciiTheme="majorBidi" w:hAnsiTheme="majorBidi" w:cstheme="majorBidi"/>
          <w:lang w:val="fr-FR"/>
        </w:rPr>
        <w:t>rheumatoid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arthritis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(7 cases). </w:t>
      </w:r>
      <w:proofErr w:type="spellStart"/>
      <w:r w:rsidRPr="00AC49F8">
        <w:rPr>
          <w:rFonts w:asciiTheme="majorBidi" w:hAnsiTheme="majorBidi" w:cstheme="majorBidi"/>
          <w:lang w:val="fr-FR"/>
        </w:rPr>
        <w:t>Rev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Maroc Chir </w:t>
      </w:r>
      <w:proofErr w:type="spellStart"/>
      <w:r w:rsidRPr="00AC49F8">
        <w:rPr>
          <w:rFonts w:asciiTheme="majorBidi" w:hAnsiTheme="majorBidi" w:cstheme="majorBidi"/>
          <w:lang w:val="fr-FR"/>
        </w:rPr>
        <w:t>Orthop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Traumato </w:t>
      </w:r>
      <w:proofErr w:type="gramStart"/>
      <w:r w:rsidRPr="00AC49F8">
        <w:rPr>
          <w:rFonts w:asciiTheme="majorBidi" w:hAnsiTheme="majorBidi" w:cstheme="majorBidi"/>
          <w:lang w:val="fr-FR"/>
        </w:rPr>
        <w:t>2006;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27: 22-24.</w:t>
      </w:r>
    </w:p>
    <w:p w14:paraId="64877BC8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5. </w:t>
      </w:r>
      <w:proofErr w:type="spellStart"/>
      <w:r w:rsidRPr="00AC49F8">
        <w:rPr>
          <w:rFonts w:asciiTheme="majorBidi" w:hAnsiTheme="majorBidi" w:cstheme="majorBidi"/>
          <w:lang w:val="fr-FR"/>
        </w:rPr>
        <w:t>Fekih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Y, </w:t>
      </w:r>
      <w:proofErr w:type="spellStart"/>
      <w:r w:rsidRPr="00AC49F8">
        <w:rPr>
          <w:rFonts w:asciiTheme="majorBidi" w:hAnsiTheme="majorBidi" w:cstheme="majorBidi"/>
          <w:lang w:val="fr-FR"/>
        </w:rPr>
        <w:t>Aydi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Z, Daoud F, Rachdi I, </w:t>
      </w:r>
      <w:proofErr w:type="spellStart"/>
      <w:r w:rsidRPr="00AC49F8">
        <w:rPr>
          <w:rFonts w:asciiTheme="majorBidi" w:hAnsiTheme="majorBidi" w:cstheme="majorBidi"/>
          <w:lang w:val="fr-FR"/>
        </w:rPr>
        <w:t>Baili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L, Ben </w:t>
      </w:r>
      <w:proofErr w:type="spellStart"/>
      <w:r w:rsidRPr="00AC49F8">
        <w:rPr>
          <w:rFonts w:asciiTheme="majorBidi" w:hAnsiTheme="majorBidi" w:cstheme="majorBidi"/>
          <w:lang w:val="fr-FR"/>
        </w:rPr>
        <w:t>Dhaou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B et al. </w:t>
      </w:r>
      <w:proofErr w:type="spellStart"/>
      <w:r w:rsidRPr="00AC49F8">
        <w:rPr>
          <w:rFonts w:asciiTheme="majorBidi" w:hAnsiTheme="majorBidi" w:cstheme="majorBidi"/>
          <w:lang w:val="fr-FR"/>
        </w:rPr>
        <w:t>Aortitis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in </w:t>
      </w:r>
      <w:proofErr w:type="spellStart"/>
      <w:r w:rsidRPr="00AC49F8">
        <w:rPr>
          <w:rFonts w:asciiTheme="majorBidi" w:hAnsiTheme="majorBidi" w:cstheme="majorBidi"/>
          <w:lang w:val="fr-FR"/>
        </w:rPr>
        <w:t>rheumatoid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arthritis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Rev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Med Int. 2016 (37</w:t>
      </w:r>
      <w:proofErr w:type="gramStart"/>
      <w:r w:rsidRPr="00AC49F8">
        <w:rPr>
          <w:rFonts w:asciiTheme="majorBidi" w:hAnsiTheme="majorBidi" w:cstheme="majorBidi"/>
          <w:lang w:val="fr-FR"/>
        </w:rPr>
        <w:t>):</w:t>
      </w:r>
      <w:proofErr w:type="gramEnd"/>
      <w:r w:rsidRPr="00AC49F8">
        <w:rPr>
          <w:rFonts w:asciiTheme="majorBidi" w:hAnsiTheme="majorBidi" w:cstheme="majorBidi"/>
          <w:lang w:val="fr-FR"/>
        </w:rPr>
        <w:t xml:space="preserve"> 179–180.</w:t>
      </w:r>
    </w:p>
    <w:p w14:paraId="3CA48518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6. </w:t>
      </w:r>
      <w:proofErr w:type="spellStart"/>
      <w:r w:rsidRPr="00AC49F8">
        <w:rPr>
          <w:rFonts w:asciiTheme="majorBidi" w:hAnsiTheme="majorBidi" w:cstheme="majorBidi"/>
          <w:lang w:val="fr-FR"/>
        </w:rPr>
        <w:t>Espitiaa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O, Toquet C, Jamet B, </w:t>
      </w:r>
      <w:proofErr w:type="spellStart"/>
      <w:r w:rsidRPr="00AC49F8">
        <w:rPr>
          <w:rFonts w:asciiTheme="majorBidi" w:hAnsiTheme="majorBidi" w:cstheme="majorBidi"/>
          <w:lang w:val="fr-FR"/>
        </w:rPr>
        <w:t>Serfaty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J. M, </w:t>
      </w:r>
      <w:proofErr w:type="spellStart"/>
      <w:r w:rsidRPr="00AC49F8">
        <w:rPr>
          <w:rFonts w:asciiTheme="majorBidi" w:hAnsiTheme="majorBidi" w:cstheme="majorBidi"/>
          <w:lang w:val="fr-FR"/>
        </w:rPr>
        <w:t>Agard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C. </w:t>
      </w:r>
      <w:proofErr w:type="spellStart"/>
      <w:r w:rsidRPr="00AC49F8">
        <w:rPr>
          <w:rFonts w:asciiTheme="majorBidi" w:hAnsiTheme="majorBidi" w:cstheme="majorBidi"/>
          <w:lang w:val="fr-FR"/>
        </w:rPr>
        <w:t>Aortitis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Rev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MedInt.</w:t>
      </w:r>
      <w:proofErr w:type="gramStart"/>
      <w:r w:rsidRPr="00AC49F8">
        <w:rPr>
          <w:rFonts w:asciiTheme="majorBidi" w:hAnsiTheme="majorBidi" w:cstheme="majorBidi"/>
          <w:lang w:val="fr-FR"/>
        </w:rPr>
        <w:t>2024;</w:t>
      </w:r>
      <w:proofErr w:type="gramEnd"/>
      <w:r w:rsidRPr="00AC49F8">
        <w:rPr>
          <w:rFonts w:asciiTheme="majorBidi" w:hAnsiTheme="majorBidi" w:cstheme="majorBidi"/>
          <w:lang w:val="fr-FR"/>
        </w:rPr>
        <w:t>45: 767–75.</w:t>
      </w:r>
    </w:p>
    <w:p w14:paraId="0E92B09B" w14:textId="77777777" w:rsidR="00AC49F8" w:rsidRPr="00AC49F8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hAnsiTheme="majorBidi" w:cstheme="majorBidi"/>
          <w:lang w:val="fr-FR"/>
        </w:rPr>
      </w:pPr>
      <w:r w:rsidRPr="00AC49F8">
        <w:rPr>
          <w:rFonts w:asciiTheme="majorBidi" w:hAnsiTheme="majorBidi" w:cstheme="majorBidi"/>
          <w:lang w:val="fr-FR"/>
        </w:rPr>
        <w:t xml:space="preserve">7. Rousselin C, </w:t>
      </w:r>
      <w:proofErr w:type="spellStart"/>
      <w:r w:rsidRPr="00AC49F8">
        <w:rPr>
          <w:rFonts w:asciiTheme="majorBidi" w:hAnsiTheme="majorBidi" w:cstheme="majorBidi"/>
          <w:lang w:val="fr-FR"/>
        </w:rPr>
        <w:t>Pontana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F, </w:t>
      </w:r>
      <w:proofErr w:type="spellStart"/>
      <w:r w:rsidRPr="00AC49F8">
        <w:rPr>
          <w:rFonts w:asciiTheme="majorBidi" w:hAnsiTheme="majorBidi" w:cstheme="majorBidi"/>
          <w:lang w:val="fr-FR"/>
        </w:rPr>
        <w:t>Puecha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P, Lambert M. </w:t>
      </w:r>
      <w:proofErr w:type="spellStart"/>
      <w:r w:rsidRPr="00AC49F8">
        <w:rPr>
          <w:rFonts w:asciiTheme="majorBidi" w:hAnsiTheme="majorBidi" w:cstheme="majorBidi"/>
          <w:lang w:val="fr-FR"/>
        </w:rPr>
        <w:t>Differential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diagnosis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of </w:t>
      </w:r>
      <w:proofErr w:type="spellStart"/>
      <w:r w:rsidRPr="00AC49F8">
        <w:rPr>
          <w:rFonts w:asciiTheme="majorBidi" w:hAnsiTheme="majorBidi" w:cstheme="majorBidi"/>
          <w:lang w:val="fr-FR"/>
        </w:rPr>
        <w:t>inflammatory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aortitis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AC49F8">
        <w:rPr>
          <w:rFonts w:asciiTheme="majorBidi" w:hAnsiTheme="majorBidi" w:cstheme="majorBidi"/>
          <w:lang w:val="fr-FR"/>
        </w:rPr>
        <w:t>Rev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Med Int. </w:t>
      </w:r>
      <w:proofErr w:type="gramStart"/>
      <w:r w:rsidRPr="00AC49F8">
        <w:rPr>
          <w:rFonts w:asciiTheme="majorBidi" w:hAnsiTheme="majorBidi" w:cstheme="majorBidi"/>
          <w:lang w:val="fr-FR"/>
        </w:rPr>
        <w:t>2016;</w:t>
      </w:r>
      <w:proofErr w:type="gramEnd"/>
      <w:r w:rsidRPr="00AC49F8">
        <w:rPr>
          <w:rFonts w:asciiTheme="majorBidi" w:hAnsiTheme="majorBidi" w:cstheme="majorBidi"/>
          <w:lang w:val="fr-FR"/>
        </w:rPr>
        <w:t>37:256–63.</w:t>
      </w:r>
    </w:p>
    <w:p w14:paraId="119B9DD9" w14:textId="2C8DD758" w:rsidR="00A2037D" w:rsidRPr="002F002B" w:rsidRDefault="00AC49F8" w:rsidP="00AC49F8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  <w:r w:rsidRPr="00AC49F8">
        <w:rPr>
          <w:rFonts w:asciiTheme="majorBidi" w:hAnsiTheme="majorBidi" w:cstheme="majorBidi"/>
          <w:lang w:val="fr-FR"/>
        </w:rPr>
        <w:t xml:space="preserve">8. Gaelle C, </w:t>
      </w:r>
      <w:proofErr w:type="spellStart"/>
      <w:r w:rsidRPr="00AC49F8">
        <w:rPr>
          <w:rFonts w:asciiTheme="majorBidi" w:hAnsiTheme="majorBidi" w:cstheme="majorBidi"/>
          <w:lang w:val="fr-FR"/>
        </w:rPr>
        <w:t>Eric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G, Luca S. </w:t>
      </w:r>
      <w:proofErr w:type="spellStart"/>
      <w:r w:rsidRPr="00AC49F8">
        <w:rPr>
          <w:rFonts w:asciiTheme="majorBidi" w:hAnsiTheme="majorBidi" w:cstheme="majorBidi"/>
          <w:lang w:val="fr-FR"/>
        </w:rPr>
        <w:t>Corneoscleral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involvement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in </w:t>
      </w:r>
      <w:proofErr w:type="spellStart"/>
      <w:r w:rsidRPr="00AC49F8">
        <w:rPr>
          <w:rFonts w:asciiTheme="majorBidi" w:hAnsiTheme="majorBidi" w:cstheme="majorBidi"/>
          <w:lang w:val="fr-FR"/>
        </w:rPr>
        <w:t>inflammatory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C49F8">
        <w:rPr>
          <w:rFonts w:asciiTheme="majorBidi" w:hAnsiTheme="majorBidi" w:cstheme="majorBidi"/>
          <w:lang w:val="fr-FR"/>
        </w:rPr>
        <w:t>rheumatism</w:t>
      </w:r>
      <w:proofErr w:type="spellEnd"/>
      <w:r w:rsidRPr="00AC49F8">
        <w:rPr>
          <w:rFonts w:asciiTheme="majorBidi" w:hAnsiTheme="majorBidi" w:cstheme="majorBidi"/>
          <w:lang w:val="fr-FR"/>
        </w:rPr>
        <w:t xml:space="preserve">. Revue du Rhumatisme. July </w:t>
      </w:r>
      <w:proofErr w:type="gramStart"/>
      <w:r w:rsidRPr="00AC49F8">
        <w:rPr>
          <w:rFonts w:asciiTheme="majorBidi" w:hAnsiTheme="majorBidi" w:cstheme="majorBidi"/>
          <w:lang w:val="fr-FR"/>
        </w:rPr>
        <w:t>2019;</w:t>
      </w:r>
      <w:proofErr w:type="gramEnd"/>
      <w:r w:rsidRPr="00AC49F8">
        <w:rPr>
          <w:rFonts w:asciiTheme="majorBidi" w:hAnsiTheme="majorBidi" w:cstheme="majorBidi"/>
          <w:lang w:val="fr-FR"/>
        </w:rPr>
        <w:t>86, Issue 4:350–7.</w:t>
      </w:r>
    </w:p>
    <w:p w14:paraId="1A03480E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0AEFF9BC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334C6110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14346C65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3A2F2067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3CFAF4B9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028B26DE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2F5EB4F8" w14:textId="77777777" w:rsidR="00A2037D" w:rsidRPr="002F002B" w:rsidRDefault="00A2037D" w:rsidP="00A2037D">
      <w:pPr>
        <w:pStyle w:val="ListParagraph"/>
        <w:suppressLineNumbers/>
        <w:autoSpaceDN w:val="0"/>
        <w:spacing w:line="240" w:lineRule="auto"/>
        <w:ind w:left="714" w:firstLine="0"/>
        <w:jc w:val="left"/>
        <w:rPr>
          <w:rFonts w:asciiTheme="majorBidi" w:eastAsia="Calibri" w:hAnsiTheme="majorBidi" w:cstheme="majorBidi"/>
          <w:b/>
          <w:bCs/>
          <w:kern w:val="0"/>
        </w:rPr>
      </w:pPr>
    </w:p>
    <w:p w14:paraId="5F5148EA" w14:textId="77777777" w:rsidR="002F002B" w:rsidRDefault="002F002B" w:rsidP="00A2037D">
      <w:pPr>
        <w:pStyle w:val="ListParagraph"/>
        <w:suppressLineNumbers/>
        <w:autoSpaceDN w:val="0"/>
        <w:spacing w:line="240" w:lineRule="auto"/>
        <w:ind w:left="714" w:firstLine="0"/>
        <w:jc w:val="center"/>
        <w:rPr>
          <w:rFonts w:asciiTheme="majorBidi" w:eastAsia="Calibri" w:hAnsiTheme="majorBidi" w:cstheme="majorBidi"/>
          <w:b/>
          <w:bCs/>
          <w:kern w:val="0"/>
        </w:rPr>
      </w:pPr>
    </w:p>
    <w:p w14:paraId="4C671A0A" w14:textId="77777777" w:rsidR="002F002B" w:rsidRDefault="002F002B" w:rsidP="00A2037D">
      <w:pPr>
        <w:pStyle w:val="ListParagraph"/>
        <w:suppressLineNumbers/>
        <w:autoSpaceDN w:val="0"/>
        <w:spacing w:line="240" w:lineRule="auto"/>
        <w:ind w:left="714" w:firstLine="0"/>
        <w:jc w:val="center"/>
        <w:rPr>
          <w:rFonts w:asciiTheme="majorBidi" w:eastAsia="Calibri" w:hAnsiTheme="majorBidi" w:cstheme="majorBidi"/>
          <w:b/>
          <w:bCs/>
          <w:kern w:val="0"/>
        </w:rPr>
      </w:pPr>
    </w:p>
    <w:p w14:paraId="2A5ED417" w14:textId="77777777" w:rsidR="002F002B" w:rsidRDefault="002F002B" w:rsidP="00A2037D">
      <w:pPr>
        <w:pStyle w:val="ListParagraph"/>
        <w:suppressLineNumbers/>
        <w:autoSpaceDN w:val="0"/>
        <w:spacing w:line="240" w:lineRule="auto"/>
        <w:ind w:left="714" w:firstLine="0"/>
        <w:jc w:val="center"/>
        <w:rPr>
          <w:rFonts w:asciiTheme="majorBidi" w:eastAsia="Calibri" w:hAnsiTheme="majorBidi" w:cstheme="majorBidi"/>
          <w:b/>
          <w:bCs/>
          <w:kern w:val="0"/>
        </w:rPr>
      </w:pPr>
    </w:p>
    <w:p w14:paraId="12FB43C2" w14:textId="77777777" w:rsidR="002F002B" w:rsidRDefault="002F002B" w:rsidP="00A2037D">
      <w:pPr>
        <w:pStyle w:val="ListParagraph"/>
        <w:suppressLineNumbers/>
        <w:autoSpaceDN w:val="0"/>
        <w:spacing w:line="240" w:lineRule="auto"/>
        <w:ind w:left="714" w:firstLine="0"/>
        <w:jc w:val="center"/>
        <w:rPr>
          <w:rFonts w:asciiTheme="majorBidi" w:eastAsia="Calibri" w:hAnsiTheme="majorBidi" w:cstheme="majorBidi"/>
          <w:b/>
          <w:bCs/>
          <w:kern w:val="0"/>
        </w:rPr>
      </w:pPr>
    </w:p>
    <w:p w14:paraId="4C63354E" w14:textId="77777777" w:rsidR="002F002B" w:rsidRDefault="002F002B" w:rsidP="00A2037D">
      <w:pPr>
        <w:pStyle w:val="ListParagraph"/>
        <w:suppressLineNumbers/>
        <w:autoSpaceDN w:val="0"/>
        <w:spacing w:line="240" w:lineRule="auto"/>
        <w:ind w:left="714" w:firstLine="0"/>
        <w:jc w:val="center"/>
        <w:rPr>
          <w:rFonts w:asciiTheme="majorBidi" w:eastAsia="Calibri" w:hAnsiTheme="majorBidi" w:cstheme="majorBidi"/>
          <w:b/>
          <w:bCs/>
          <w:kern w:val="0"/>
        </w:rPr>
      </w:pPr>
    </w:p>
    <w:sectPr w:rsidR="002F002B" w:rsidSect="00A20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6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2C90" w14:textId="77777777" w:rsidR="00F866A2" w:rsidRDefault="00F866A2">
      <w:pPr>
        <w:spacing w:line="240" w:lineRule="auto"/>
      </w:pPr>
      <w:r>
        <w:separator/>
      </w:r>
    </w:p>
  </w:endnote>
  <w:endnote w:type="continuationSeparator" w:id="0">
    <w:p w14:paraId="7BE1419F" w14:textId="77777777" w:rsidR="00F866A2" w:rsidRDefault="00F86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BD32" w14:textId="77777777" w:rsidR="00D03EB6" w:rsidRDefault="00D0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962771"/>
      <w:docPartObj>
        <w:docPartGallery w:val="Page Numbers (Bottom of Page)"/>
        <w:docPartUnique/>
      </w:docPartObj>
    </w:sdtPr>
    <w:sdtEndPr/>
    <w:sdtContent>
      <w:p w14:paraId="59359B80" w14:textId="77777777" w:rsidR="00D03EB6" w:rsidRDefault="002F00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9B651F" w14:textId="77777777" w:rsidR="00D03EB6" w:rsidRDefault="00D03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1D45" w14:textId="77777777" w:rsidR="00D03EB6" w:rsidRDefault="00D0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1A2B" w14:textId="77777777" w:rsidR="00F866A2" w:rsidRDefault="00F866A2">
      <w:pPr>
        <w:spacing w:line="240" w:lineRule="auto"/>
      </w:pPr>
      <w:r>
        <w:separator/>
      </w:r>
    </w:p>
  </w:footnote>
  <w:footnote w:type="continuationSeparator" w:id="0">
    <w:p w14:paraId="397B0843" w14:textId="77777777" w:rsidR="00F866A2" w:rsidRDefault="00F86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B538" w14:textId="2024B585" w:rsidR="00D03EB6" w:rsidRDefault="002E3C86">
    <w:pPr>
      <w:pStyle w:val="Header"/>
    </w:pPr>
    <w:r>
      <w:rPr>
        <w:noProof/>
      </w:rPr>
      <w:pict w14:anchorId="26518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702626" o:spid="_x0000_s2050" type="#_x0000_t136" style="position:absolute;left:0;text-align:left;margin-left:0;margin-top:0;width:546.95pt;height:10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7441" w14:textId="0ED4D59A" w:rsidR="00D03EB6" w:rsidRDefault="002E3C86">
    <w:pPr>
      <w:pStyle w:val="Header"/>
    </w:pPr>
    <w:r>
      <w:rPr>
        <w:noProof/>
      </w:rPr>
      <w:pict w14:anchorId="75C7D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702627" o:spid="_x0000_s2051" type="#_x0000_t136" style="position:absolute;left:0;text-align:left;margin-left:0;margin-top:0;width:546.95pt;height:10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C7737" w14:textId="41044CEA" w:rsidR="00D03EB6" w:rsidRDefault="002E3C86">
    <w:pPr>
      <w:pStyle w:val="Header"/>
    </w:pPr>
    <w:r>
      <w:rPr>
        <w:noProof/>
      </w:rPr>
      <w:pict w14:anchorId="50680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702625" o:spid="_x0000_s2049" type="#_x0000_t136" style="position:absolute;left:0;text-align:left;margin-left:0;margin-top:0;width:546.95pt;height:10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F2"/>
    <w:multiLevelType w:val="hybridMultilevel"/>
    <w:tmpl w:val="672A28C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053182"/>
    <w:multiLevelType w:val="hybridMultilevel"/>
    <w:tmpl w:val="C1D22F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02"/>
    <w:rsid w:val="00047BEA"/>
    <w:rsid w:val="000F6BE2"/>
    <w:rsid w:val="002606E4"/>
    <w:rsid w:val="002E3C86"/>
    <w:rsid w:val="002F002B"/>
    <w:rsid w:val="005D5900"/>
    <w:rsid w:val="00681E12"/>
    <w:rsid w:val="009F104C"/>
    <w:rsid w:val="00A2037D"/>
    <w:rsid w:val="00AC49F8"/>
    <w:rsid w:val="00B03002"/>
    <w:rsid w:val="00C2263B"/>
    <w:rsid w:val="00C7533B"/>
    <w:rsid w:val="00CC170B"/>
    <w:rsid w:val="00D03EB6"/>
    <w:rsid w:val="00DC1F5C"/>
    <w:rsid w:val="00E81961"/>
    <w:rsid w:val="00F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E11273"/>
  <w15:docId w15:val="{C33D5CE8-2F3D-44B8-8E71-AD25579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002"/>
    <w:pPr>
      <w:spacing w:after="0" w:line="360" w:lineRule="auto"/>
      <w:ind w:firstLine="851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00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002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B0300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002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02"/>
    <w:rPr>
      <w:rFonts w:ascii="Tahoma" w:hAnsi="Tahoma" w:cs="Tahoma"/>
      <w:kern w:val="2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3002"/>
  </w:style>
  <w:style w:type="paragraph" w:styleId="ListParagraph">
    <w:name w:val="List Paragraph"/>
    <w:basedOn w:val="Normal"/>
    <w:uiPriority w:val="34"/>
    <w:qFormat/>
    <w:rsid w:val="00B0300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030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SDI 1084</cp:lastModifiedBy>
  <cp:revision>8</cp:revision>
  <dcterms:created xsi:type="dcterms:W3CDTF">2025-09-14T22:27:00Z</dcterms:created>
  <dcterms:modified xsi:type="dcterms:W3CDTF">2025-09-16T10:24:00Z</dcterms:modified>
</cp:coreProperties>
</file>