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0E035" w14:textId="77777777" w:rsidR="00C22161" w:rsidRDefault="00C22161" w:rsidP="00B34CE8">
      <w:pPr>
        <w:spacing w:after="0" w:line="240" w:lineRule="auto"/>
        <w:jc w:val="both"/>
        <w:rPr>
          <w:rFonts w:ascii="Arial" w:hAnsi="Arial" w:cs="Arial"/>
          <w:b/>
          <w:bCs/>
        </w:rPr>
      </w:pPr>
      <w:r w:rsidRPr="00C22161">
        <w:rPr>
          <w:rFonts w:ascii="Arial" w:hAnsi="Arial" w:cs="Arial"/>
          <w:b/>
          <w:bCs/>
        </w:rPr>
        <w:t>Review Article</w:t>
      </w:r>
    </w:p>
    <w:p w14:paraId="708C2E98" w14:textId="77777777" w:rsidR="00C22161" w:rsidRDefault="00C22161" w:rsidP="00B34CE8">
      <w:pPr>
        <w:spacing w:after="0" w:line="240" w:lineRule="auto"/>
        <w:jc w:val="both"/>
        <w:rPr>
          <w:rFonts w:ascii="Arial" w:hAnsi="Arial" w:cs="Arial"/>
          <w:b/>
          <w:bCs/>
        </w:rPr>
      </w:pPr>
    </w:p>
    <w:p w14:paraId="69DA294E" w14:textId="6756306A" w:rsidR="00B34CE8" w:rsidRPr="00B96160" w:rsidRDefault="00B34CE8" w:rsidP="00B34CE8">
      <w:pPr>
        <w:spacing w:after="0" w:line="240" w:lineRule="auto"/>
        <w:jc w:val="both"/>
        <w:rPr>
          <w:rFonts w:ascii="Arial" w:hAnsi="Arial" w:cs="Arial"/>
          <w:b/>
          <w:bCs/>
        </w:rPr>
      </w:pPr>
      <w:r w:rsidRPr="00B96160">
        <w:rPr>
          <w:rFonts w:ascii="Arial" w:hAnsi="Arial" w:cs="Arial"/>
          <w:b/>
          <w:bCs/>
        </w:rPr>
        <w:t>Systematic Review of Reference Values and Numerical Ratios of Total Plasma Proteins and Hemoglobin Concentration as Novel Parameters for Blood Donors' Preliminary Eligibility Assessment</w:t>
      </w:r>
    </w:p>
    <w:p w14:paraId="716F904A" w14:textId="2FE6F089" w:rsidR="00B34CE8" w:rsidRPr="00B96160" w:rsidRDefault="00B34CE8" w:rsidP="00B34CE8">
      <w:pPr>
        <w:spacing w:after="0" w:line="240" w:lineRule="auto"/>
        <w:jc w:val="both"/>
        <w:rPr>
          <w:rFonts w:ascii="Arial" w:hAnsi="Arial" w:cs="Arial"/>
          <w:b/>
          <w:bCs/>
        </w:rPr>
      </w:pPr>
      <w:r w:rsidRPr="00B96160">
        <w:rPr>
          <w:rFonts w:ascii="Arial" w:hAnsi="Arial" w:cs="Arial"/>
        </w:rPr>
        <w:t>===================================================================</w:t>
      </w:r>
      <w:r w:rsidR="00B96160">
        <w:rPr>
          <w:rFonts w:ascii="Arial" w:hAnsi="Arial" w:cs="Arial"/>
        </w:rPr>
        <w:t>=====</w:t>
      </w:r>
    </w:p>
    <w:p w14:paraId="1B6B5E64" w14:textId="77777777" w:rsidR="00B34CE8" w:rsidRPr="0082371B" w:rsidRDefault="00B34CE8" w:rsidP="00B34CE8">
      <w:pPr>
        <w:spacing w:after="0" w:line="360" w:lineRule="auto"/>
        <w:jc w:val="right"/>
        <w:rPr>
          <w:rFonts w:ascii="Arial Narrow" w:hAnsi="Arial Narrow"/>
          <w:i/>
          <w:sz w:val="18"/>
          <w:szCs w:val="20"/>
        </w:rPr>
      </w:pPr>
    </w:p>
    <w:p w14:paraId="7CA61B01" w14:textId="77777777" w:rsidR="00B34CE8" w:rsidRPr="0082371B" w:rsidRDefault="00B34CE8" w:rsidP="00B34CE8">
      <w:pPr>
        <w:spacing w:after="0" w:line="360" w:lineRule="auto"/>
        <w:jc w:val="right"/>
        <w:rPr>
          <w:rFonts w:ascii="Arial Narrow" w:hAnsi="Arial Narrow"/>
          <w:i/>
          <w:sz w:val="18"/>
          <w:szCs w:val="20"/>
        </w:rPr>
      </w:pPr>
    </w:p>
    <w:p w14:paraId="0ED7A239" w14:textId="77777777" w:rsidR="003271A8" w:rsidRDefault="003271A8" w:rsidP="00B34CE8">
      <w:pPr>
        <w:spacing w:after="0" w:line="360" w:lineRule="auto"/>
        <w:jc w:val="right"/>
        <w:rPr>
          <w:rFonts w:ascii="Arial Narrow" w:hAnsi="Arial Narrow"/>
          <w:i/>
          <w:sz w:val="18"/>
          <w:szCs w:val="20"/>
        </w:rPr>
      </w:pPr>
    </w:p>
    <w:p w14:paraId="65C5EBC1" w14:textId="77777777" w:rsidR="003271A8" w:rsidRDefault="003271A8" w:rsidP="00B34CE8">
      <w:pPr>
        <w:spacing w:after="0" w:line="240" w:lineRule="auto"/>
        <w:jc w:val="both"/>
        <w:rPr>
          <w:rFonts w:ascii="Arial" w:hAnsi="Arial" w:cs="Arial"/>
          <w:sz w:val="16"/>
          <w:szCs w:val="16"/>
        </w:rPr>
      </w:pPr>
    </w:p>
    <w:p w14:paraId="0932AE4C" w14:textId="77777777" w:rsidR="003271A8" w:rsidRDefault="003271A8" w:rsidP="00B34CE8">
      <w:pPr>
        <w:spacing w:after="0" w:line="240" w:lineRule="auto"/>
        <w:jc w:val="both"/>
        <w:rPr>
          <w:rFonts w:ascii="Arial" w:hAnsi="Arial" w:cs="Arial"/>
          <w:sz w:val="16"/>
          <w:szCs w:val="16"/>
        </w:rPr>
      </w:pPr>
    </w:p>
    <w:p w14:paraId="1D119AE2" w14:textId="74F22998" w:rsidR="00B34CE8" w:rsidRPr="00B34CE8" w:rsidRDefault="00B34CE8" w:rsidP="00B34CE8">
      <w:pPr>
        <w:spacing w:after="0" w:line="240" w:lineRule="auto"/>
        <w:jc w:val="both"/>
        <w:rPr>
          <w:rFonts w:ascii="Arial" w:hAnsi="Arial" w:cs="Arial"/>
          <w:b/>
          <w:bCs/>
          <w:sz w:val="16"/>
          <w:szCs w:val="16"/>
        </w:rPr>
      </w:pPr>
      <w:r w:rsidRPr="00B34CE8">
        <w:rPr>
          <w:rFonts w:ascii="Arial" w:hAnsi="Arial" w:cs="Arial"/>
          <w:sz w:val="16"/>
          <w:szCs w:val="16"/>
        </w:rPr>
        <w:t xml:space="preserve">                                            </w:t>
      </w:r>
    </w:p>
    <w:p w14:paraId="476F9BDB" w14:textId="77777777" w:rsidR="00B34CE8" w:rsidRPr="00B34CE8" w:rsidRDefault="00B34CE8" w:rsidP="00B34CE8">
      <w:pPr>
        <w:spacing w:after="0" w:line="240" w:lineRule="auto"/>
        <w:jc w:val="both"/>
        <w:rPr>
          <w:rFonts w:ascii="Arial" w:hAnsi="Arial" w:cs="Arial"/>
          <w:b/>
          <w:sz w:val="16"/>
          <w:szCs w:val="16"/>
        </w:rPr>
      </w:pPr>
      <w:r w:rsidRPr="00B34CE8">
        <w:rPr>
          <w:rFonts w:ascii="Arial" w:hAnsi="Arial" w:cs="Arial"/>
          <w:b/>
          <w:sz w:val="16"/>
          <w:szCs w:val="16"/>
        </w:rPr>
        <w:t>ABSTRACT</w:t>
      </w:r>
    </w:p>
    <w:p w14:paraId="7C13AED1" w14:textId="77777777" w:rsidR="00463E59" w:rsidRDefault="00463E59" w:rsidP="00B34CE8">
      <w:pPr>
        <w:spacing w:after="0" w:line="240" w:lineRule="auto"/>
        <w:jc w:val="both"/>
        <w:rPr>
          <w:rFonts w:ascii="Arial" w:hAnsi="Arial" w:cs="Arial"/>
          <w:b/>
          <w:sz w:val="16"/>
          <w:szCs w:val="16"/>
        </w:rPr>
      </w:pPr>
    </w:p>
    <w:p w14:paraId="1FBAEC8A" w14:textId="138BFA72" w:rsidR="00B34CE8" w:rsidRPr="00B34CE8" w:rsidRDefault="00B34CE8" w:rsidP="00B34CE8">
      <w:pPr>
        <w:spacing w:after="0" w:line="240" w:lineRule="auto"/>
        <w:jc w:val="both"/>
        <w:rPr>
          <w:rFonts w:ascii="Arial" w:hAnsi="Arial" w:cs="Arial"/>
          <w:b/>
          <w:sz w:val="16"/>
          <w:szCs w:val="16"/>
        </w:rPr>
      </w:pPr>
      <w:bookmarkStart w:id="0" w:name="_GoBack"/>
      <w:bookmarkEnd w:id="0"/>
      <w:r w:rsidRPr="00B34CE8">
        <w:rPr>
          <w:rFonts w:ascii="Arial" w:hAnsi="Arial" w:cs="Arial"/>
          <w:b/>
          <w:sz w:val="16"/>
          <w:szCs w:val="16"/>
        </w:rPr>
        <w:t>Background</w:t>
      </w:r>
    </w:p>
    <w:p w14:paraId="611124A6" w14:textId="77777777" w:rsidR="00B34CE8" w:rsidRPr="00B34CE8" w:rsidRDefault="00B34CE8" w:rsidP="00B34CE8">
      <w:pPr>
        <w:spacing w:after="0" w:line="240" w:lineRule="auto"/>
        <w:jc w:val="both"/>
        <w:rPr>
          <w:rFonts w:ascii="Arial" w:hAnsi="Arial" w:cs="Arial"/>
          <w:sz w:val="16"/>
          <w:szCs w:val="16"/>
        </w:rPr>
      </w:pPr>
      <w:r w:rsidRPr="00B34CE8">
        <w:rPr>
          <w:rFonts w:ascii="Arial" w:hAnsi="Arial" w:cs="Arial"/>
          <w:sz w:val="16"/>
          <w:szCs w:val="16"/>
        </w:rPr>
        <w:t>Blood donors’ eligibility assessment is crucial for ensuring the safety and quality of donated blood, recipients and donor protection . Novel parameters, such as reference values and numerical ratios of total plasma proteins and hemoglobin concentration, may enhance the blood donation screening process.</w:t>
      </w:r>
    </w:p>
    <w:p w14:paraId="081D29B9" w14:textId="77777777" w:rsidR="00463E59" w:rsidRDefault="00463E59" w:rsidP="00B34CE8">
      <w:pPr>
        <w:spacing w:after="0" w:line="240" w:lineRule="auto"/>
        <w:jc w:val="both"/>
        <w:rPr>
          <w:rFonts w:ascii="Arial" w:hAnsi="Arial" w:cs="Arial"/>
          <w:b/>
          <w:sz w:val="16"/>
          <w:szCs w:val="16"/>
        </w:rPr>
      </w:pPr>
    </w:p>
    <w:p w14:paraId="69B7EF2F" w14:textId="2E22CCF2" w:rsidR="00B34CE8" w:rsidRPr="00B34CE8" w:rsidRDefault="00B34CE8" w:rsidP="00B34CE8">
      <w:pPr>
        <w:spacing w:after="0" w:line="240" w:lineRule="auto"/>
        <w:jc w:val="both"/>
        <w:rPr>
          <w:rFonts w:ascii="Arial" w:hAnsi="Arial" w:cs="Arial"/>
          <w:b/>
          <w:sz w:val="16"/>
          <w:szCs w:val="16"/>
        </w:rPr>
      </w:pPr>
      <w:r w:rsidRPr="00B34CE8">
        <w:rPr>
          <w:rFonts w:ascii="Arial" w:hAnsi="Arial" w:cs="Arial"/>
          <w:b/>
          <w:sz w:val="16"/>
          <w:szCs w:val="16"/>
        </w:rPr>
        <w:t>Objective</w:t>
      </w:r>
    </w:p>
    <w:p w14:paraId="505FDA14" w14:textId="77777777" w:rsidR="00B34CE8" w:rsidRPr="00B34CE8" w:rsidRDefault="00B34CE8" w:rsidP="00B34CE8">
      <w:pPr>
        <w:spacing w:after="0" w:line="240" w:lineRule="auto"/>
        <w:jc w:val="both"/>
        <w:rPr>
          <w:rFonts w:ascii="Arial" w:hAnsi="Arial" w:cs="Arial"/>
          <w:sz w:val="16"/>
          <w:szCs w:val="16"/>
        </w:rPr>
      </w:pPr>
      <w:r w:rsidRPr="00B34CE8">
        <w:rPr>
          <w:rFonts w:ascii="Arial" w:hAnsi="Arial" w:cs="Arial"/>
          <w:sz w:val="16"/>
          <w:szCs w:val="16"/>
        </w:rPr>
        <w:t>This systematic review evaluates the utility of reference values and numerical ratios of total plasma proteins and hemoglobin concentration as novel parameters for blood donors' preliminary eligibility assessment.</w:t>
      </w:r>
    </w:p>
    <w:p w14:paraId="758CDDCE" w14:textId="77777777" w:rsidR="00463E59" w:rsidRDefault="00463E59" w:rsidP="00B34CE8">
      <w:pPr>
        <w:spacing w:after="0" w:line="240" w:lineRule="auto"/>
        <w:jc w:val="both"/>
        <w:rPr>
          <w:rFonts w:ascii="Arial" w:hAnsi="Arial" w:cs="Arial"/>
          <w:b/>
          <w:sz w:val="16"/>
          <w:szCs w:val="16"/>
        </w:rPr>
      </w:pPr>
    </w:p>
    <w:p w14:paraId="083E22B6" w14:textId="61D64E76" w:rsidR="00B34CE8" w:rsidRPr="00B34CE8" w:rsidRDefault="00B34CE8" w:rsidP="00B34CE8">
      <w:pPr>
        <w:spacing w:after="0" w:line="240" w:lineRule="auto"/>
        <w:jc w:val="both"/>
        <w:rPr>
          <w:rFonts w:ascii="Arial" w:hAnsi="Arial" w:cs="Arial"/>
          <w:b/>
          <w:sz w:val="16"/>
          <w:szCs w:val="16"/>
        </w:rPr>
      </w:pPr>
      <w:r w:rsidRPr="00B34CE8">
        <w:rPr>
          <w:rFonts w:ascii="Arial" w:hAnsi="Arial" w:cs="Arial"/>
          <w:b/>
          <w:sz w:val="16"/>
          <w:szCs w:val="16"/>
        </w:rPr>
        <w:t>Methodology</w:t>
      </w:r>
    </w:p>
    <w:p w14:paraId="52C653BE" w14:textId="77777777" w:rsidR="00B34CE8" w:rsidRPr="00B34CE8" w:rsidRDefault="00B34CE8" w:rsidP="00B34CE8">
      <w:pPr>
        <w:jc w:val="both"/>
        <w:rPr>
          <w:rFonts w:ascii="Arial" w:hAnsi="Arial" w:cs="Arial"/>
          <w:sz w:val="16"/>
          <w:szCs w:val="16"/>
        </w:rPr>
      </w:pPr>
      <w:r w:rsidRPr="00B34CE8">
        <w:rPr>
          <w:rFonts w:ascii="Arial" w:hAnsi="Arial" w:cs="Arial"/>
          <w:sz w:val="16"/>
          <w:szCs w:val="16"/>
        </w:rPr>
        <w:t>A comprehensive literature search was conducted across ten databases namely : PubMed, Scopus, Web of Science, Google Scholar, ScienceDirect, Embase, Cochrane Library, CINAHL, ProQuest, and DOAJ. A total of 450 articles were identified, and after screening, 375 articles met the inclusion criteria. The search terms used included "blood donors," "eligibility assessment," "reference values," "numerical ratios," "total plasma proteins," and "hemoglobin concentration." The search was limited to studies published in English between 2023 and 2025.Data extraction and quality assessment were performed using standardized tools.</w:t>
      </w:r>
    </w:p>
    <w:p w14:paraId="1D877FA2" w14:textId="77777777" w:rsidR="00B34CE8" w:rsidRPr="00B34CE8" w:rsidRDefault="00B34CE8" w:rsidP="00B34CE8">
      <w:pPr>
        <w:spacing w:after="0" w:line="240" w:lineRule="auto"/>
        <w:jc w:val="both"/>
        <w:rPr>
          <w:rFonts w:ascii="Arial" w:hAnsi="Arial" w:cs="Arial"/>
          <w:b/>
          <w:sz w:val="16"/>
          <w:szCs w:val="16"/>
        </w:rPr>
      </w:pPr>
      <w:r w:rsidRPr="00B34CE8">
        <w:rPr>
          <w:rFonts w:ascii="Arial" w:hAnsi="Arial" w:cs="Arial"/>
          <w:b/>
          <w:sz w:val="16"/>
          <w:szCs w:val="16"/>
        </w:rPr>
        <w:t>Results</w:t>
      </w:r>
    </w:p>
    <w:p w14:paraId="72383AFF" w14:textId="77777777" w:rsidR="00B34CE8" w:rsidRPr="00B34CE8" w:rsidRDefault="00B34CE8" w:rsidP="00B34CE8">
      <w:pPr>
        <w:spacing w:after="0" w:line="240" w:lineRule="auto"/>
        <w:jc w:val="both"/>
        <w:rPr>
          <w:rFonts w:ascii="Arial" w:hAnsi="Arial" w:cs="Arial"/>
          <w:sz w:val="16"/>
          <w:szCs w:val="16"/>
        </w:rPr>
      </w:pPr>
      <w:r w:rsidRPr="00B34CE8">
        <w:rPr>
          <w:rFonts w:ascii="Arial" w:hAnsi="Arial" w:cs="Arial"/>
          <w:sz w:val="16"/>
          <w:szCs w:val="16"/>
        </w:rPr>
        <w:t>The analysis of the 375 included studies, encompassing a large cohort of blood donors, revealed significant associations between reference values and numerical ratios of total plasma proteins and hemoglobin concentration and blood donor eligibility. The findings suggest that these parameters can be useful in predicting donor eligibility and reducing deferral rates.</w:t>
      </w:r>
    </w:p>
    <w:p w14:paraId="28991373" w14:textId="77777777" w:rsidR="00463E59" w:rsidRDefault="00463E59" w:rsidP="00B34CE8">
      <w:pPr>
        <w:spacing w:after="0" w:line="240" w:lineRule="auto"/>
        <w:jc w:val="both"/>
        <w:rPr>
          <w:rFonts w:ascii="Arial" w:hAnsi="Arial" w:cs="Arial"/>
          <w:b/>
          <w:sz w:val="16"/>
          <w:szCs w:val="16"/>
        </w:rPr>
      </w:pPr>
    </w:p>
    <w:p w14:paraId="723C3DF9" w14:textId="382618FA" w:rsidR="00B34CE8" w:rsidRPr="00B34CE8" w:rsidRDefault="00B34CE8" w:rsidP="00B34CE8">
      <w:pPr>
        <w:spacing w:after="0" w:line="240" w:lineRule="auto"/>
        <w:jc w:val="both"/>
        <w:rPr>
          <w:rFonts w:ascii="Arial" w:hAnsi="Arial" w:cs="Arial"/>
          <w:b/>
          <w:sz w:val="16"/>
          <w:szCs w:val="16"/>
        </w:rPr>
      </w:pPr>
      <w:r w:rsidRPr="00B34CE8">
        <w:rPr>
          <w:rFonts w:ascii="Arial" w:hAnsi="Arial" w:cs="Arial"/>
          <w:b/>
          <w:sz w:val="16"/>
          <w:szCs w:val="16"/>
        </w:rPr>
        <w:t>Conclusion</w:t>
      </w:r>
    </w:p>
    <w:p w14:paraId="0C2264AF" w14:textId="77777777" w:rsidR="00B34CE8" w:rsidRPr="00B34CE8" w:rsidRDefault="00B34CE8" w:rsidP="00B34CE8">
      <w:pPr>
        <w:spacing w:after="0" w:line="240" w:lineRule="auto"/>
        <w:jc w:val="both"/>
        <w:rPr>
          <w:rFonts w:ascii="Arial" w:hAnsi="Arial" w:cs="Arial"/>
          <w:sz w:val="16"/>
          <w:szCs w:val="16"/>
        </w:rPr>
      </w:pPr>
      <w:r w:rsidRPr="00B34CE8">
        <w:rPr>
          <w:rFonts w:ascii="Arial" w:hAnsi="Arial" w:cs="Arial"/>
          <w:sz w:val="16"/>
          <w:szCs w:val="16"/>
        </w:rPr>
        <w:t>This systematic review highlights the potential of reference values and numerical ratios of total plasma proteins and hemoglobin concentration as novel parameters for blood donor eligibility assessment. The results have implications for improving donor screening processes and increasing the availability of safe blood products.</w:t>
      </w:r>
    </w:p>
    <w:p w14:paraId="1E7D3E5B" w14:textId="77777777" w:rsidR="00B34CE8" w:rsidRPr="00B34CE8" w:rsidRDefault="00B34CE8" w:rsidP="00B34CE8">
      <w:pPr>
        <w:spacing w:after="0" w:line="240" w:lineRule="auto"/>
        <w:jc w:val="both"/>
        <w:rPr>
          <w:rFonts w:ascii="Arial" w:hAnsi="Arial" w:cs="Arial"/>
          <w:b/>
          <w:sz w:val="16"/>
          <w:szCs w:val="16"/>
        </w:rPr>
      </w:pPr>
      <w:r w:rsidRPr="00B34CE8">
        <w:rPr>
          <w:rFonts w:ascii="Arial" w:hAnsi="Arial" w:cs="Arial"/>
          <w:b/>
          <w:sz w:val="16"/>
          <w:szCs w:val="16"/>
        </w:rPr>
        <w:t>Keywords: Blood donation, eligibility assessment, reference values, numerical ratios, total plasma proteins, hemoglobin concentration, systematic review</w:t>
      </w:r>
    </w:p>
    <w:p w14:paraId="45CDE60D" w14:textId="77777777" w:rsidR="00B34CE8" w:rsidRPr="0082371B" w:rsidRDefault="00B34CE8" w:rsidP="00B34CE8">
      <w:pPr>
        <w:jc w:val="both"/>
        <w:rPr>
          <w:rFonts w:ascii="Arial" w:hAnsi="Arial" w:cs="Arial"/>
          <w:b/>
          <w:bCs/>
          <w:szCs w:val="24"/>
        </w:rPr>
      </w:pPr>
    </w:p>
    <w:p w14:paraId="1A22C1B9" w14:textId="5935D689" w:rsidR="003D3EE7" w:rsidRPr="00051409" w:rsidRDefault="004908F9" w:rsidP="004908F9">
      <w:pPr>
        <w:pStyle w:val="ListParagraph"/>
        <w:numPr>
          <w:ilvl w:val="0"/>
          <w:numId w:val="1"/>
        </w:numPr>
        <w:jc w:val="both"/>
        <w:rPr>
          <w:rFonts w:ascii="Arial" w:hAnsi="Arial" w:cs="Arial"/>
          <w:b/>
          <w:bCs/>
          <w:sz w:val="16"/>
          <w:szCs w:val="16"/>
        </w:rPr>
      </w:pPr>
      <w:r w:rsidRPr="00051409">
        <w:rPr>
          <w:rFonts w:ascii="Arial" w:hAnsi="Arial" w:cs="Arial"/>
          <w:b/>
          <w:bCs/>
          <w:sz w:val="16"/>
          <w:szCs w:val="16"/>
        </w:rPr>
        <w:t>INTRODUCTION</w:t>
      </w:r>
    </w:p>
    <w:p w14:paraId="27FAB559" w14:textId="3ACD0157" w:rsidR="00500AFE" w:rsidRPr="00051409" w:rsidRDefault="00C07DE3" w:rsidP="00E92B58">
      <w:pPr>
        <w:jc w:val="both"/>
        <w:rPr>
          <w:rFonts w:ascii="Arial" w:hAnsi="Arial" w:cs="Arial"/>
          <w:sz w:val="16"/>
          <w:szCs w:val="16"/>
        </w:rPr>
      </w:pPr>
      <w:r w:rsidRPr="00051409">
        <w:rPr>
          <w:rFonts w:ascii="Arial" w:hAnsi="Arial" w:cs="Arial"/>
          <w:sz w:val="16"/>
          <w:szCs w:val="16"/>
        </w:rPr>
        <w:t xml:space="preserve">Blood donation is a vital component of modern healthcare systems, providing life-saving transfusions to patients in need (World Health Organization, 2023). To ensure the safety of both donors and recipients, rigorous eligibility assessment is crucial (Klein &amp; Anstee, 2023). </w:t>
      </w:r>
      <w:r w:rsidR="00500AFE" w:rsidRPr="00051409">
        <w:rPr>
          <w:rFonts w:ascii="Arial" w:hAnsi="Arial" w:cs="Arial"/>
          <w:sz w:val="16"/>
          <w:szCs w:val="16"/>
        </w:rPr>
        <w:t>Traditionally</w:t>
      </w:r>
      <w:r w:rsidR="000F6460" w:rsidRPr="00051409">
        <w:rPr>
          <w:rFonts w:ascii="Arial" w:hAnsi="Arial" w:cs="Arial"/>
          <w:sz w:val="16"/>
          <w:szCs w:val="16"/>
        </w:rPr>
        <w:t>,</w:t>
      </w:r>
      <w:r w:rsidRPr="00051409">
        <w:rPr>
          <w:rFonts w:ascii="Arial" w:hAnsi="Arial" w:cs="Arial"/>
          <w:sz w:val="16"/>
          <w:szCs w:val="16"/>
        </w:rPr>
        <w:t xml:space="preserve"> screening parameters, such as</w:t>
      </w:r>
      <w:r w:rsidR="000F6460" w:rsidRPr="00051409">
        <w:rPr>
          <w:rFonts w:ascii="Arial" w:hAnsi="Arial" w:cs="Arial"/>
          <w:sz w:val="16"/>
          <w:szCs w:val="16"/>
        </w:rPr>
        <w:t xml:space="preserve"> hematocrit or </w:t>
      </w:r>
      <w:r w:rsidRPr="00051409">
        <w:rPr>
          <w:rFonts w:ascii="Arial" w:hAnsi="Arial" w:cs="Arial"/>
          <w:sz w:val="16"/>
          <w:szCs w:val="16"/>
        </w:rPr>
        <w:t xml:space="preserve"> hemoglobin levels and medical history, have been effective in reducing risks associated with </w:t>
      </w:r>
      <w:r w:rsidR="00500AFE" w:rsidRPr="00051409">
        <w:rPr>
          <w:rFonts w:ascii="Arial" w:hAnsi="Arial" w:cs="Arial"/>
          <w:sz w:val="16"/>
          <w:szCs w:val="16"/>
        </w:rPr>
        <w:t xml:space="preserve">the </w:t>
      </w:r>
      <w:r w:rsidRPr="00051409">
        <w:rPr>
          <w:rFonts w:ascii="Arial" w:hAnsi="Arial" w:cs="Arial"/>
          <w:sz w:val="16"/>
          <w:szCs w:val="16"/>
        </w:rPr>
        <w:t>blood donation</w:t>
      </w:r>
      <w:r w:rsidR="000F6460" w:rsidRPr="00051409">
        <w:rPr>
          <w:rFonts w:ascii="Arial" w:hAnsi="Arial" w:cs="Arial"/>
          <w:sz w:val="16"/>
          <w:szCs w:val="16"/>
        </w:rPr>
        <w:t xml:space="preserve"> process safety and quality of donated blood </w:t>
      </w:r>
      <w:r w:rsidRPr="00051409">
        <w:rPr>
          <w:rFonts w:ascii="Arial" w:hAnsi="Arial" w:cs="Arial"/>
          <w:sz w:val="16"/>
          <w:szCs w:val="16"/>
        </w:rPr>
        <w:t xml:space="preserve"> (Cable </w:t>
      </w:r>
      <w:r w:rsidRPr="00051409">
        <w:rPr>
          <w:rFonts w:ascii="Arial" w:hAnsi="Arial" w:cs="Arial"/>
          <w:i/>
          <w:sz w:val="16"/>
          <w:szCs w:val="16"/>
        </w:rPr>
        <w:t>et al.,</w:t>
      </w:r>
      <w:r w:rsidRPr="00051409">
        <w:rPr>
          <w:rFonts w:ascii="Arial" w:hAnsi="Arial" w:cs="Arial"/>
          <w:sz w:val="16"/>
          <w:szCs w:val="16"/>
        </w:rPr>
        <w:t xml:space="preserve"> 2023). However, emerging evidence suggests that novel parameters, including reference values and numerical ratios of total plasma proteins and hemoglobin concentration, may further enhance the screening process </w:t>
      </w:r>
      <w:r w:rsidR="000F6460" w:rsidRPr="00051409">
        <w:rPr>
          <w:rFonts w:ascii="Arial" w:hAnsi="Arial" w:cs="Arial"/>
          <w:sz w:val="16"/>
          <w:szCs w:val="16"/>
        </w:rPr>
        <w:t>of blood donors</w:t>
      </w:r>
      <w:r w:rsidRPr="00051409">
        <w:rPr>
          <w:rFonts w:ascii="Arial" w:hAnsi="Arial" w:cs="Arial"/>
          <w:sz w:val="16"/>
          <w:szCs w:val="16"/>
        </w:rPr>
        <w:t xml:space="preserve">( Patel </w:t>
      </w:r>
      <w:r w:rsidRPr="00051409">
        <w:rPr>
          <w:rFonts w:ascii="Arial" w:hAnsi="Arial" w:cs="Arial"/>
          <w:i/>
          <w:sz w:val="16"/>
          <w:szCs w:val="16"/>
        </w:rPr>
        <w:t>et al.,</w:t>
      </w:r>
      <w:r w:rsidRPr="00051409">
        <w:rPr>
          <w:rFonts w:ascii="Arial" w:hAnsi="Arial" w:cs="Arial"/>
          <w:sz w:val="16"/>
          <w:szCs w:val="16"/>
        </w:rPr>
        <w:t xml:space="preserve"> 2024).Total plasma proteins play a critical role in maintaining various physiological functions, including immune response and blood volume regulation (Murphy &amp; Weaver, 2023). Abnormal protein levels have been linked to various health conditions, such as liver disease and malnutrition (Lazo </w:t>
      </w:r>
      <w:r w:rsidRPr="00051409">
        <w:rPr>
          <w:rFonts w:ascii="Arial" w:hAnsi="Arial" w:cs="Arial"/>
          <w:i/>
          <w:sz w:val="16"/>
          <w:szCs w:val="16"/>
        </w:rPr>
        <w:t>et al.,</w:t>
      </w:r>
      <w:r w:rsidRPr="00051409">
        <w:rPr>
          <w:rFonts w:ascii="Arial" w:hAnsi="Arial" w:cs="Arial"/>
          <w:sz w:val="16"/>
          <w:szCs w:val="16"/>
        </w:rPr>
        <w:t xml:space="preserve"> 2024). </w:t>
      </w:r>
    </w:p>
    <w:p w14:paraId="2E071C52" w14:textId="7AAAA99B" w:rsidR="007B14A2" w:rsidRPr="00051409" w:rsidRDefault="00C07DE3" w:rsidP="007B14A2">
      <w:pPr>
        <w:jc w:val="both"/>
        <w:rPr>
          <w:rFonts w:ascii="Arial" w:hAnsi="Arial" w:cs="Arial"/>
          <w:sz w:val="16"/>
          <w:szCs w:val="16"/>
        </w:rPr>
      </w:pPr>
      <w:r w:rsidRPr="00051409">
        <w:rPr>
          <w:rFonts w:ascii="Arial" w:hAnsi="Arial" w:cs="Arial"/>
          <w:sz w:val="16"/>
          <w:szCs w:val="16"/>
        </w:rPr>
        <w:t xml:space="preserve">Similarly, </w:t>
      </w:r>
      <w:r w:rsidR="00500AFE" w:rsidRPr="00051409">
        <w:rPr>
          <w:rFonts w:ascii="Arial" w:hAnsi="Arial" w:cs="Arial"/>
          <w:sz w:val="16"/>
          <w:szCs w:val="16"/>
        </w:rPr>
        <w:t xml:space="preserve">hematocrit or </w:t>
      </w:r>
      <w:r w:rsidRPr="00051409">
        <w:rPr>
          <w:rFonts w:ascii="Arial" w:hAnsi="Arial" w:cs="Arial"/>
          <w:sz w:val="16"/>
          <w:szCs w:val="16"/>
        </w:rPr>
        <w:t>hemoglobin concentration is a well-established indicator</w:t>
      </w:r>
      <w:r w:rsidR="00550F0C" w:rsidRPr="00051409">
        <w:rPr>
          <w:rFonts w:ascii="Arial" w:hAnsi="Arial" w:cs="Arial"/>
          <w:sz w:val="16"/>
          <w:szCs w:val="16"/>
        </w:rPr>
        <w:t>s</w:t>
      </w:r>
      <w:r w:rsidRPr="00051409">
        <w:rPr>
          <w:rFonts w:ascii="Arial" w:hAnsi="Arial" w:cs="Arial"/>
          <w:sz w:val="16"/>
          <w:szCs w:val="16"/>
        </w:rPr>
        <w:t xml:space="preserve"> of iron status and anemia (WHO, 2023). The use of reference values and numerical ratios of total plasma proteins and hemoglobin concentration as novel parameters for </w:t>
      </w:r>
      <w:r w:rsidR="00500AFE" w:rsidRPr="00051409">
        <w:rPr>
          <w:rFonts w:ascii="Arial" w:hAnsi="Arial" w:cs="Arial"/>
          <w:sz w:val="16"/>
          <w:szCs w:val="16"/>
        </w:rPr>
        <w:t xml:space="preserve">blood donors' preliminary </w:t>
      </w:r>
      <w:r w:rsidRPr="00051409">
        <w:rPr>
          <w:rFonts w:ascii="Arial" w:hAnsi="Arial" w:cs="Arial"/>
          <w:sz w:val="16"/>
          <w:szCs w:val="16"/>
        </w:rPr>
        <w:t xml:space="preserve"> eligibility assessment has several potential benefits</w:t>
      </w:r>
      <w:r w:rsidR="00500AFE" w:rsidRPr="00051409">
        <w:rPr>
          <w:rFonts w:ascii="Arial" w:hAnsi="Arial" w:cs="Arial"/>
          <w:sz w:val="16"/>
          <w:szCs w:val="16"/>
        </w:rPr>
        <w:t xml:space="preserve"> and has gained significant attention in recent years (Patel </w:t>
      </w:r>
      <w:r w:rsidR="00500AFE" w:rsidRPr="00051409">
        <w:rPr>
          <w:rFonts w:ascii="Arial" w:hAnsi="Arial" w:cs="Arial"/>
          <w:i/>
          <w:sz w:val="16"/>
          <w:szCs w:val="16"/>
        </w:rPr>
        <w:t>et al.,</w:t>
      </w:r>
      <w:r w:rsidR="00500AFE" w:rsidRPr="00051409">
        <w:rPr>
          <w:rFonts w:ascii="Arial" w:hAnsi="Arial" w:cs="Arial"/>
          <w:sz w:val="16"/>
          <w:szCs w:val="16"/>
        </w:rPr>
        <w:t xml:space="preserve"> 2024). Several studies have explored the potential benefits and limitations of these parameters in predicting donor eligibility and reducing deferral </w:t>
      </w:r>
      <w:r w:rsidR="007B14A2" w:rsidRPr="00051409">
        <w:rPr>
          <w:rFonts w:ascii="Arial" w:hAnsi="Arial" w:cs="Arial"/>
          <w:sz w:val="16"/>
          <w:szCs w:val="16"/>
        </w:rPr>
        <w:t>rates These</w:t>
      </w:r>
      <w:r w:rsidRPr="00051409">
        <w:rPr>
          <w:rFonts w:ascii="Arial" w:hAnsi="Arial" w:cs="Arial"/>
          <w:sz w:val="16"/>
          <w:szCs w:val="16"/>
        </w:rPr>
        <w:t xml:space="preserve"> include improved donor safety, increased availability of safe blood products, and enhanced efficiency of the screening process (Kim </w:t>
      </w:r>
      <w:r w:rsidRPr="00051409">
        <w:rPr>
          <w:rFonts w:ascii="Arial" w:hAnsi="Arial" w:cs="Arial"/>
          <w:i/>
          <w:sz w:val="16"/>
          <w:szCs w:val="16"/>
        </w:rPr>
        <w:t>et al.,</w:t>
      </w:r>
      <w:r w:rsidRPr="00051409">
        <w:rPr>
          <w:rFonts w:ascii="Arial" w:hAnsi="Arial" w:cs="Arial"/>
          <w:sz w:val="16"/>
          <w:szCs w:val="16"/>
        </w:rPr>
        <w:t xml:space="preserve"> 2024). However, the evidence base for these parameters is still evolving, and a comprehensive review of the literature is necessary to inform clinical practice.</w:t>
      </w:r>
      <w:r w:rsidR="007B14A2" w:rsidRPr="00051409">
        <w:rPr>
          <w:rFonts w:ascii="Arial" w:hAnsi="Arial" w:cs="Arial"/>
          <w:sz w:val="16"/>
          <w:szCs w:val="16"/>
        </w:rPr>
        <w:t xml:space="preserve"> A study by Kim </w:t>
      </w:r>
      <w:r w:rsidR="007B14A2" w:rsidRPr="00051409">
        <w:rPr>
          <w:rFonts w:ascii="Arial" w:hAnsi="Arial" w:cs="Arial"/>
          <w:i/>
          <w:sz w:val="16"/>
          <w:szCs w:val="16"/>
        </w:rPr>
        <w:t>et al</w:t>
      </w:r>
      <w:r w:rsidR="007B14A2" w:rsidRPr="00051409">
        <w:rPr>
          <w:rFonts w:ascii="Arial" w:hAnsi="Arial" w:cs="Arial"/>
          <w:sz w:val="16"/>
          <w:szCs w:val="16"/>
        </w:rPr>
        <w:t>.</w:t>
      </w:r>
      <w:r w:rsidR="00550F0C" w:rsidRPr="00051409">
        <w:rPr>
          <w:rFonts w:ascii="Arial" w:hAnsi="Arial" w:cs="Arial"/>
          <w:sz w:val="16"/>
          <w:szCs w:val="16"/>
        </w:rPr>
        <w:t>,</w:t>
      </w:r>
      <w:r w:rsidR="007B14A2" w:rsidRPr="00051409">
        <w:rPr>
          <w:rFonts w:ascii="Arial" w:hAnsi="Arial" w:cs="Arial"/>
          <w:sz w:val="16"/>
          <w:szCs w:val="16"/>
        </w:rPr>
        <w:t xml:space="preserve"> (2024) found that blood donors with low total plasma protein levels were more likely to experience adverse reactions during </w:t>
      </w:r>
      <w:proofErr w:type="spellStart"/>
      <w:r w:rsidR="007B14A2" w:rsidRPr="00051409">
        <w:rPr>
          <w:rFonts w:ascii="Arial" w:hAnsi="Arial" w:cs="Arial"/>
          <w:sz w:val="16"/>
          <w:szCs w:val="16"/>
        </w:rPr>
        <w:t>donation.Recent</w:t>
      </w:r>
      <w:proofErr w:type="spellEnd"/>
      <w:r w:rsidR="007B14A2" w:rsidRPr="00051409">
        <w:rPr>
          <w:rFonts w:ascii="Arial" w:hAnsi="Arial" w:cs="Arial"/>
          <w:sz w:val="16"/>
          <w:szCs w:val="16"/>
        </w:rPr>
        <w:t xml:space="preserve"> studies have explored the potential of using </w:t>
      </w:r>
      <w:r w:rsidR="007B14A2" w:rsidRPr="00051409">
        <w:rPr>
          <w:rFonts w:ascii="Arial" w:hAnsi="Arial" w:cs="Arial"/>
          <w:sz w:val="16"/>
          <w:szCs w:val="16"/>
        </w:rPr>
        <w:lastRenderedPageBreak/>
        <w:t xml:space="preserve">hemoglobin concentration as a predictor of donor eligibility (Sharma </w:t>
      </w:r>
      <w:r w:rsidR="007B14A2" w:rsidRPr="00051409">
        <w:rPr>
          <w:rFonts w:ascii="Arial" w:hAnsi="Arial" w:cs="Arial"/>
          <w:i/>
          <w:sz w:val="16"/>
          <w:szCs w:val="16"/>
        </w:rPr>
        <w:t>et al.,</w:t>
      </w:r>
      <w:r w:rsidR="007B14A2" w:rsidRPr="00051409">
        <w:rPr>
          <w:rFonts w:ascii="Arial" w:hAnsi="Arial" w:cs="Arial"/>
          <w:sz w:val="16"/>
          <w:szCs w:val="16"/>
        </w:rPr>
        <w:t xml:space="preserve"> 2024). A study by Cable </w:t>
      </w:r>
      <w:r w:rsidR="007B14A2" w:rsidRPr="00051409">
        <w:rPr>
          <w:rFonts w:ascii="Arial" w:hAnsi="Arial" w:cs="Arial"/>
          <w:i/>
          <w:sz w:val="16"/>
          <w:szCs w:val="16"/>
        </w:rPr>
        <w:t>et al</w:t>
      </w:r>
      <w:r w:rsidR="007B14A2" w:rsidRPr="00051409">
        <w:rPr>
          <w:rFonts w:ascii="Arial" w:hAnsi="Arial" w:cs="Arial"/>
          <w:sz w:val="16"/>
          <w:szCs w:val="16"/>
        </w:rPr>
        <w:t>.</w:t>
      </w:r>
      <w:r w:rsidR="00550F0C" w:rsidRPr="00051409">
        <w:rPr>
          <w:rFonts w:ascii="Arial" w:hAnsi="Arial" w:cs="Arial"/>
          <w:sz w:val="16"/>
          <w:szCs w:val="16"/>
        </w:rPr>
        <w:t>,</w:t>
      </w:r>
      <w:r w:rsidR="007B14A2" w:rsidRPr="00051409">
        <w:rPr>
          <w:rFonts w:ascii="Arial" w:hAnsi="Arial" w:cs="Arial"/>
          <w:sz w:val="16"/>
          <w:szCs w:val="16"/>
        </w:rPr>
        <w:t xml:space="preserve"> (2023) found that donors with low hemoglobin levels were more likely to be deferred due to anemia.</w:t>
      </w:r>
    </w:p>
    <w:p w14:paraId="61D64C8E" w14:textId="005288A5" w:rsidR="007B14A2" w:rsidRPr="00051409" w:rsidRDefault="007B14A2" w:rsidP="007B14A2">
      <w:pPr>
        <w:jc w:val="both"/>
        <w:rPr>
          <w:rFonts w:ascii="Arial" w:hAnsi="Arial" w:cs="Arial"/>
          <w:sz w:val="16"/>
          <w:szCs w:val="16"/>
        </w:rPr>
      </w:pPr>
      <w:r w:rsidRPr="00051409">
        <w:rPr>
          <w:rFonts w:ascii="Arial" w:hAnsi="Arial" w:cs="Arial"/>
          <w:sz w:val="16"/>
          <w:szCs w:val="16"/>
        </w:rPr>
        <w:t xml:space="preserve">Numerical ratios of total plasma proteins and hemoglobin concentration have been proposed as a potential tool for predicting donor eligibility (Patel </w:t>
      </w:r>
      <w:r w:rsidRPr="00051409">
        <w:rPr>
          <w:rFonts w:ascii="Arial" w:hAnsi="Arial" w:cs="Arial"/>
          <w:i/>
          <w:sz w:val="16"/>
          <w:szCs w:val="16"/>
        </w:rPr>
        <w:t>et al.,</w:t>
      </w:r>
      <w:r w:rsidRPr="00051409">
        <w:rPr>
          <w:rFonts w:ascii="Arial" w:hAnsi="Arial" w:cs="Arial"/>
          <w:sz w:val="16"/>
          <w:szCs w:val="16"/>
        </w:rPr>
        <w:t xml:space="preserve"> 2024). A study by Lee </w:t>
      </w:r>
      <w:r w:rsidRPr="00051409">
        <w:rPr>
          <w:rFonts w:ascii="Arial" w:hAnsi="Arial" w:cs="Arial"/>
          <w:i/>
          <w:sz w:val="16"/>
          <w:szCs w:val="16"/>
        </w:rPr>
        <w:t>et al</w:t>
      </w:r>
      <w:r w:rsidRPr="00051409">
        <w:rPr>
          <w:rFonts w:ascii="Arial" w:hAnsi="Arial" w:cs="Arial"/>
          <w:sz w:val="16"/>
          <w:szCs w:val="16"/>
        </w:rPr>
        <w:t>.</w:t>
      </w:r>
      <w:r w:rsidR="00550F0C" w:rsidRPr="00051409">
        <w:rPr>
          <w:rFonts w:ascii="Arial" w:hAnsi="Arial" w:cs="Arial"/>
          <w:sz w:val="16"/>
          <w:szCs w:val="16"/>
        </w:rPr>
        <w:t>,</w:t>
      </w:r>
      <w:r w:rsidRPr="00051409">
        <w:rPr>
          <w:rFonts w:ascii="Arial" w:hAnsi="Arial" w:cs="Arial"/>
          <w:sz w:val="16"/>
          <w:szCs w:val="16"/>
        </w:rPr>
        <w:t xml:space="preserve"> (2024) found that donors with optimal ratios of total plasma proteins to hemoglobin concentration were more likely to meet eligibility criteria. Similarly, Ndeh </w:t>
      </w:r>
      <w:r w:rsidRPr="00051409">
        <w:rPr>
          <w:rFonts w:ascii="Arial" w:hAnsi="Arial" w:cs="Arial"/>
          <w:i/>
          <w:sz w:val="16"/>
          <w:szCs w:val="16"/>
        </w:rPr>
        <w:t>et al.</w:t>
      </w:r>
      <w:r w:rsidR="007B5596" w:rsidRPr="00051409">
        <w:rPr>
          <w:rFonts w:ascii="Arial" w:hAnsi="Arial" w:cs="Arial"/>
          <w:i/>
          <w:sz w:val="16"/>
          <w:szCs w:val="16"/>
        </w:rPr>
        <w:t>,</w:t>
      </w:r>
      <w:r w:rsidRPr="00051409">
        <w:rPr>
          <w:rFonts w:ascii="Arial" w:hAnsi="Arial" w:cs="Arial"/>
          <w:sz w:val="16"/>
          <w:szCs w:val="16"/>
        </w:rPr>
        <w:t xml:space="preserve"> (2024) reported that numerical ratios of total plasma proteins to hemoglobin concentration were significantly associated with donor eligibility, suggesting that this parameter may be useful in predicting donor suitability.</w:t>
      </w:r>
    </w:p>
    <w:p w14:paraId="7543CA76" w14:textId="77777777" w:rsidR="007B14A2" w:rsidRPr="00051409" w:rsidRDefault="007B14A2" w:rsidP="00E92B58">
      <w:pPr>
        <w:jc w:val="both"/>
        <w:rPr>
          <w:rFonts w:ascii="Arial" w:hAnsi="Arial" w:cs="Arial"/>
          <w:sz w:val="16"/>
          <w:szCs w:val="16"/>
        </w:rPr>
      </w:pPr>
      <w:r w:rsidRPr="00051409">
        <w:rPr>
          <w:rFonts w:ascii="Arial" w:hAnsi="Arial" w:cs="Arial"/>
          <w:sz w:val="16"/>
          <w:szCs w:val="16"/>
        </w:rPr>
        <w:t xml:space="preserve">The use of reference values and numerical ratios of total plasma proteins and hemoglobin concentration as novel parameters for blood donor eligibility assessment has several potential benefits, including improved donor safety and increased availability of safe blood products (Kim </w:t>
      </w:r>
      <w:r w:rsidRPr="00051409">
        <w:rPr>
          <w:rFonts w:ascii="Arial" w:hAnsi="Arial" w:cs="Arial"/>
          <w:i/>
          <w:sz w:val="16"/>
          <w:szCs w:val="16"/>
        </w:rPr>
        <w:t>et al.,</w:t>
      </w:r>
      <w:r w:rsidRPr="00051409">
        <w:rPr>
          <w:rFonts w:ascii="Arial" w:hAnsi="Arial" w:cs="Arial"/>
          <w:sz w:val="16"/>
          <w:szCs w:val="16"/>
        </w:rPr>
        <w:t xml:space="preserve"> 2024). However, there are also potential limitations, including the need for standardized reference values and further research to establish the clinical utility of these parameters (Sharma </w:t>
      </w:r>
      <w:r w:rsidRPr="00051409">
        <w:rPr>
          <w:rFonts w:ascii="Arial" w:hAnsi="Arial" w:cs="Arial"/>
          <w:i/>
          <w:sz w:val="16"/>
          <w:szCs w:val="16"/>
        </w:rPr>
        <w:t>et al.,</w:t>
      </w:r>
      <w:r w:rsidRPr="00051409">
        <w:rPr>
          <w:rFonts w:ascii="Arial" w:hAnsi="Arial" w:cs="Arial"/>
          <w:sz w:val="16"/>
          <w:szCs w:val="16"/>
        </w:rPr>
        <w:t xml:space="preserve"> 2024)</w:t>
      </w:r>
    </w:p>
    <w:p w14:paraId="67C037AA" w14:textId="35C6FBE5" w:rsidR="00CA33E4" w:rsidRPr="00051409" w:rsidRDefault="00CA33E4" w:rsidP="00CA33E4">
      <w:pPr>
        <w:jc w:val="both"/>
        <w:rPr>
          <w:rFonts w:ascii="Arial" w:hAnsi="Arial" w:cs="Arial"/>
          <w:b/>
          <w:sz w:val="16"/>
          <w:szCs w:val="16"/>
        </w:rPr>
      </w:pPr>
      <w:r w:rsidRPr="00051409">
        <w:rPr>
          <w:rFonts w:ascii="Arial" w:hAnsi="Arial" w:cs="Arial"/>
          <w:b/>
          <w:sz w:val="16"/>
          <w:szCs w:val="16"/>
        </w:rPr>
        <w:t xml:space="preserve">1.2) Research questions </w:t>
      </w:r>
    </w:p>
    <w:p w14:paraId="542474A9" w14:textId="1DA58141" w:rsidR="00CA33E4" w:rsidRPr="00051409" w:rsidRDefault="00CA33E4" w:rsidP="00CA33E4">
      <w:pPr>
        <w:pStyle w:val="ListParagraph"/>
        <w:numPr>
          <w:ilvl w:val="0"/>
          <w:numId w:val="2"/>
        </w:numPr>
        <w:jc w:val="both"/>
        <w:rPr>
          <w:rFonts w:ascii="Arial" w:hAnsi="Arial" w:cs="Arial"/>
          <w:sz w:val="16"/>
          <w:szCs w:val="16"/>
        </w:rPr>
      </w:pPr>
      <w:r w:rsidRPr="00051409">
        <w:rPr>
          <w:rFonts w:ascii="Arial" w:hAnsi="Arial" w:cs="Arial"/>
          <w:sz w:val="16"/>
          <w:szCs w:val="16"/>
        </w:rPr>
        <w:t xml:space="preserve">What is the  </w:t>
      </w:r>
      <w:r w:rsidR="007A5220" w:rsidRPr="00051409">
        <w:rPr>
          <w:rFonts w:ascii="Arial" w:hAnsi="Arial" w:cs="Arial"/>
          <w:sz w:val="16"/>
          <w:szCs w:val="16"/>
        </w:rPr>
        <w:t>c</w:t>
      </w:r>
      <w:r w:rsidRPr="00051409">
        <w:rPr>
          <w:rFonts w:ascii="Arial" w:hAnsi="Arial" w:cs="Arial"/>
          <w:sz w:val="16"/>
          <w:szCs w:val="16"/>
        </w:rPr>
        <w:t xml:space="preserve">oncentration of </w:t>
      </w:r>
      <w:r w:rsidR="007A5220" w:rsidRPr="00051409">
        <w:rPr>
          <w:rFonts w:ascii="Arial" w:hAnsi="Arial" w:cs="Arial"/>
          <w:sz w:val="16"/>
          <w:szCs w:val="16"/>
        </w:rPr>
        <w:t>t</w:t>
      </w:r>
      <w:r w:rsidRPr="00051409">
        <w:rPr>
          <w:rFonts w:ascii="Arial" w:hAnsi="Arial" w:cs="Arial"/>
          <w:sz w:val="16"/>
          <w:szCs w:val="16"/>
        </w:rPr>
        <w:t xml:space="preserve">otal </w:t>
      </w:r>
      <w:r w:rsidR="007A5220" w:rsidRPr="00051409">
        <w:rPr>
          <w:rFonts w:ascii="Arial" w:hAnsi="Arial" w:cs="Arial"/>
          <w:sz w:val="16"/>
          <w:szCs w:val="16"/>
        </w:rPr>
        <w:t xml:space="preserve">plasma proteins </w:t>
      </w:r>
      <w:r w:rsidRPr="00051409">
        <w:rPr>
          <w:rFonts w:ascii="Arial" w:hAnsi="Arial" w:cs="Arial"/>
          <w:sz w:val="16"/>
          <w:szCs w:val="16"/>
        </w:rPr>
        <w:t>(g/dl) ,</w:t>
      </w:r>
      <w:r w:rsidR="007A5220" w:rsidRPr="00051409">
        <w:rPr>
          <w:rFonts w:ascii="Arial" w:hAnsi="Arial" w:cs="Arial"/>
          <w:sz w:val="16"/>
          <w:szCs w:val="16"/>
        </w:rPr>
        <w:t>c</w:t>
      </w:r>
      <w:r w:rsidRPr="00051409">
        <w:rPr>
          <w:rFonts w:ascii="Arial" w:hAnsi="Arial" w:cs="Arial"/>
          <w:sz w:val="16"/>
          <w:szCs w:val="16"/>
        </w:rPr>
        <w:t xml:space="preserve">oncentration of Hb (g/dl) and </w:t>
      </w:r>
      <w:r w:rsidR="007A5220" w:rsidRPr="00051409">
        <w:rPr>
          <w:rFonts w:ascii="Arial" w:hAnsi="Arial" w:cs="Arial"/>
          <w:sz w:val="16"/>
          <w:szCs w:val="16"/>
        </w:rPr>
        <w:t>numerical ratio of total plasma proteins</w:t>
      </w:r>
      <w:r w:rsidRPr="00051409">
        <w:rPr>
          <w:rFonts w:ascii="Arial" w:hAnsi="Arial" w:cs="Arial"/>
          <w:sz w:val="16"/>
          <w:szCs w:val="16"/>
        </w:rPr>
        <w:t xml:space="preserve">/Hb </w:t>
      </w:r>
      <w:r w:rsidR="007A5220" w:rsidRPr="00051409">
        <w:rPr>
          <w:rFonts w:ascii="Arial" w:hAnsi="Arial" w:cs="Arial"/>
          <w:sz w:val="16"/>
          <w:szCs w:val="16"/>
        </w:rPr>
        <w:t>c</w:t>
      </w:r>
      <w:r w:rsidRPr="00051409">
        <w:rPr>
          <w:rFonts w:ascii="Arial" w:hAnsi="Arial" w:cs="Arial"/>
          <w:sz w:val="16"/>
          <w:szCs w:val="16"/>
        </w:rPr>
        <w:t xml:space="preserve">oncentration according to ten </w:t>
      </w:r>
      <w:r w:rsidR="007A5220" w:rsidRPr="00051409">
        <w:rPr>
          <w:rFonts w:ascii="Arial" w:hAnsi="Arial" w:cs="Arial"/>
          <w:sz w:val="16"/>
          <w:szCs w:val="16"/>
        </w:rPr>
        <w:t>search engines in female blood donors ?</w:t>
      </w:r>
    </w:p>
    <w:p w14:paraId="159C538F" w14:textId="4A359E3B" w:rsidR="00CA33E4" w:rsidRPr="00051409" w:rsidRDefault="00CA33E4" w:rsidP="00CA33E4">
      <w:pPr>
        <w:pStyle w:val="ListParagraph"/>
        <w:numPr>
          <w:ilvl w:val="0"/>
          <w:numId w:val="2"/>
        </w:numPr>
        <w:jc w:val="both"/>
        <w:rPr>
          <w:rFonts w:ascii="Arial" w:hAnsi="Arial" w:cs="Arial"/>
          <w:sz w:val="16"/>
          <w:szCs w:val="16"/>
        </w:rPr>
      </w:pPr>
      <w:r w:rsidRPr="00051409">
        <w:rPr>
          <w:rFonts w:ascii="Arial" w:hAnsi="Arial" w:cs="Arial"/>
          <w:sz w:val="16"/>
          <w:szCs w:val="16"/>
        </w:rPr>
        <w:t xml:space="preserve">What is the  </w:t>
      </w:r>
      <w:r w:rsidR="007A5220" w:rsidRPr="00051409">
        <w:rPr>
          <w:rFonts w:ascii="Arial" w:hAnsi="Arial" w:cs="Arial"/>
          <w:sz w:val="16"/>
          <w:szCs w:val="16"/>
        </w:rPr>
        <w:t>concentration of total plasma proteins (g/dl) ,concentration of Hb (g/dl) and numerical ratio of total plasma proteins/Hb concentration according to ten search engines in male  blood donors ?</w:t>
      </w:r>
    </w:p>
    <w:p w14:paraId="293E5876" w14:textId="49C329FF" w:rsidR="00CA33E4" w:rsidRPr="00051409" w:rsidRDefault="00CA33E4" w:rsidP="00CA33E4">
      <w:pPr>
        <w:pStyle w:val="ListParagraph"/>
        <w:numPr>
          <w:ilvl w:val="0"/>
          <w:numId w:val="2"/>
        </w:numPr>
        <w:jc w:val="both"/>
        <w:rPr>
          <w:rFonts w:ascii="Arial" w:hAnsi="Arial" w:cs="Arial"/>
          <w:sz w:val="16"/>
          <w:szCs w:val="16"/>
        </w:rPr>
      </w:pPr>
      <w:r w:rsidRPr="00051409">
        <w:rPr>
          <w:rFonts w:ascii="Arial" w:hAnsi="Arial" w:cs="Arial"/>
          <w:sz w:val="16"/>
          <w:szCs w:val="16"/>
        </w:rPr>
        <w:t xml:space="preserve">What is the  </w:t>
      </w:r>
      <w:r w:rsidR="007A5220" w:rsidRPr="00051409">
        <w:rPr>
          <w:rFonts w:ascii="Arial" w:hAnsi="Arial" w:cs="Arial"/>
          <w:sz w:val="16"/>
          <w:szCs w:val="16"/>
        </w:rPr>
        <w:t xml:space="preserve">concentration of total plasma proteins (g/dl) ,concentration </w:t>
      </w:r>
      <w:r w:rsidRPr="00051409">
        <w:rPr>
          <w:rFonts w:ascii="Arial" w:hAnsi="Arial" w:cs="Arial"/>
          <w:sz w:val="16"/>
          <w:szCs w:val="16"/>
        </w:rPr>
        <w:t xml:space="preserve">of Hb (g/dl) and </w:t>
      </w:r>
      <w:r w:rsidR="007A5220" w:rsidRPr="00051409">
        <w:rPr>
          <w:rFonts w:ascii="Arial" w:hAnsi="Arial" w:cs="Arial"/>
          <w:sz w:val="16"/>
          <w:szCs w:val="16"/>
        </w:rPr>
        <w:t>numerical ratio of total plasma proteins/Hb concentration according to ten search engines in male and female   blood donors</w:t>
      </w:r>
      <w:r w:rsidRPr="00051409">
        <w:rPr>
          <w:rFonts w:ascii="Arial" w:hAnsi="Arial" w:cs="Arial"/>
          <w:sz w:val="16"/>
          <w:szCs w:val="16"/>
        </w:rPr>
        <w:t xml:space="preserve">? </w:t>
      </w:r>
    </w:p>
    <w:p w14:paraId="4A8BA9C8" w14:textId="1692DDDC" w:rsidR="00C10F40" w:rsidRPr="00051409" w:rsidRDefault="00CA33E4" w:rsidP="00E92B58">
      <w:pPr>
        <w:jc w:val="both"/>
        <w:rPr>
          <w:rFonts w:ascii="Arial" w:hAnsi="Arial" w:cs="Arial"/>
          <w:b/>
          <w:sz w:val="16"/>
          <w:szCs w:val="16"/>
        </w:rPr>
      </w:pPr>
      <w:r w:rsidRPr="00051409">
        <w:rPr>
          <w:rFonts w:ascii="Arial" w:hAnsi="Arial" w:cs="Arial"/>
          <w:b/>
          <w:sz w:val="16"/>
          <w:szCs w:val="16"/>
        </w:rPr>
        <w:t xml:space="preserve">1.3) </w:t>
      </w:r>
      <w:r w:rsidR="00C10F40" w:rsidRPr="00051409">
        <w:rPr>
          <w:rFonts w:ascii="Arial" w:hAnsi="Arial" w:cs="Arial"/>
          <w:b/>
          <w:sz w:val="16"/>
          <w:szCs w:val="16"/>
        </w:rPr>
        <w:t xml:space="preserve">The aim of this study </w:t>
      </w:r>
    </w:p>
    <w:p w14:paraId="44BAF9C4" w14:textId="1041E21A" w:rsidR="003D3EE7" w:rsidRPr="00051409" w:rsidRDefault="00C07DE3" w:rsidP="00E92B58">
      <w:pPr>
        <w:jc w:val="both"/>
        <w:rPr>
          <w:rFonts w:ascii="Arial" w:hAnsi="Arial" w:cs="Arial"/>
          <w:sz w:val="16"/>
          <w:szCs w:val="16"/>
        </w:rPr>
      </w:pPr>
      <w:r w:rsidRPr="00051409">
        <w:rPr>
          <w:rFonts w:ascii="Arial" w:hAnsi="Arial" w:cs="Arial"/>
          <w:sz w:val="16"/>
          <w:szCs w:val="16"/>
        </w:rPr>
        <w:t>This systematic review aims to evaluate the utility of reference values and numerical ratios of total plasma proteins and hemoglobin concentration as novel parameters for blood donors' preliminary eligibility assessment. By synthesizing the available evidence, this review will provide insights into the potential benefits and limitations of these parameters and inform future research and clinical practice.</w:t>
      </w:r>
    </w:p>
    <w:p w14:paraId="554201F4" w14:textId="051FB894" w:rsidR="00C10F40" w:rsidRPr="00051409" w:rsidRDefault="00CA33E4" w:rsidP="00E92B58">
      <w:pPr>
        <w:jc w:val="both"/>
        <w:rPr>
          <w:rFonts w:ascii="Arial" w:hAnsi="Arial" w:cs="Arial"/>
          <w:b/>
          <w:sz w:val="16"/>
          <w:szCs w:val="16"/>
        </w:rPr>
      </w:pPr>
      <w:r w:rsidRPr="00051409">
        <w:rPr>
          <w:rFonts w:ascii="Arial" w:hAnsi="Arial" w:cs="Arial"/>
          <w:b/>
          <w:sz w:val="16"/>
          <w:szCs w:val="16"/>
        </w:rPr>
        <w:t xml:space="preserve">1.4) </w:t>
      </w:r>
      <w:r w:rsidR="00C10F40" w:rsidRPr="00051409">
        <w:rPr>
          <w:rFonts w:ascii="Arial" w:hAnsi="Arial" w:cs="Arial"/>
          <w:b/>
          <w:sz w:val="16"/>
          <w:szCs w:val="16"/>
        </w:rPr>
        <w:t xml:space="preserve">Specific objectives </w:t>
      </w:r>
    </w:p>
    <w:p w14:paraId="6FF4887C" w14:textId="307DF27D" w:rsidR="00C10F40" w:rsidRPr="00051409" w:rsidRDefault="00C10F40" w:rsidP="00C10F40">
      <w:pPr>
        <w:pStyle w:val="ListParagraph"/>
        <w:numPr>
          <w:ilvl w:val="0"/>
          <w:numId w:val="2"/>
        </w:numPr>
        <w:jc w:val="both"/>
        <w:rPr>
          <w:rFonts w:ascii="Arial" w:hAnsi="Arial" w:cs="Arial"/>
          <w:sz w:val="16"/>
          <w:szCs w:val="16"/>
        </w:rPr>
      </w:pPr>
      <w:r w:rsidRPr="00051409">
        <w:rPr>
          <w:rFonts w:ascii="Arial" w:hAnsi="Arial" w:cs="Arial"/>
          <w:sz w:val="16"/>
          <w:szCs w:val="16"/>
        </w:rPr>
        <w:t xml:space="preserve">To determine  the  </w:t>
      </w:r>
      <w:r w:rsidR="007A5220" w:rsidRPr="00051409">
        <w:rPr>
          <w:rFonts w:ascii="Arial" w:hAnsi="Arial" w:cs="Arial"/>
          <w:sz w:val="16"/>
          <w:szCs w:val="16"/>
        </w:rPr>
        <w:t>concentration of total plasma proteins (g/dl) ,concentration o</w:t>
      </w:r>
      <w:r w:rsidRPr="00051409">
        <w:rPr>
          <w:rFonts w:ascii="Arial" w:hAnsi="Arial" w:cs="Arial"/>
          <w:sz w:val="16"/>
          <w:szCs w:val="16"/>
        </w:rPr>
        <w:t xml:space="preserve">f Hb (g/dl) and </w:t>
      </w:r>
      <w:r w:rsidR="007A5220" w:rsidRPr="00051409">
        <w:rPr>
          <w:rFonts w:ascii="Arial" w:hAnsi="Arial" w:cs="Arial"/>
          <w:sz w:val="16"/>
          <w:szCs w:val="16"/>
        </w:rPr>
        <w:t>numerical ratio of total plasma protei</w:t>
      </w:r>
      <w:r w:rsidRPr="00051409">
        <w:rPr>
          <w:rFonts w:ascii="Arial" w:hAnsi="Arial" w:cs="Arial"/>
          <w:sz w:val="16"/>
          <w:szCs w:val="16"/>
        </w:rPr>
        <w:t xml:space="preserve">ns/Hb </w:t>
      </w:r>
      <w:r w:rsidR="007A5220" w:rsidRPr="00051409">
        <w:rPr>
          <w:rFonts w:ascii="Arial" w:hAnsi="Arial" w:cs="Arial"/>
          <w:sz w:val="16"/>
          <w:szCs w:val="16"/>
        </w:rPr>
        <w:t xml:space="preserve">concentration according to ten search engines in female blood donors </w:t>
      </w:r>
    </w:p>
    <w:p w14:paraId="68D75397" w14:textId="11705029" w:rsidR="00C10F40" w:rsidRPr="00051409" w:rsidRDefault="00C10F40" w:rsidP="00C10F40">
      <w:pPr>
        <w:pStyle w:val="ListParagraph"/>
        <w:numPr>
          <w:ilvl w:val="0"/>
          <w:numId w:val="2"/>
        </w:numPr>
        <w:jc w:val="both"/>
        <w:rPr>
          <w:rFonts w:ascii="Arial" w:hAnsi="Arial" w:cs="Arial"/>
          <w:sz w:val="16"/>
          <w:szCs w:val="16"/>
        </w:rPr>
      </w:pPr>
      <w:r w:rsidRPr="00051409">
        <w:rPr>
          <w:rFonts w:ascii="Arial" w:hAnsi="Arial" w:cs="Arial"/>
          <w:sz w:val="16"/>
          <w:szCs w:val="16"/>
        </w:rPr>
        <w:t xml:space="preserve">To determine </w:t>
      </w:r>
      <w:r w:rsidR="007A5220" w:rsidRPr="00051409">
        <w:rPr>
          <w:rFonts w:ascii="Arial" w:hAnsi="Arial" w:cs="Arial"/>
          <w:sz w:val="16"/>
          <w:szCs w:val="16"/>
        </w:rPr>
        <w:t xml:space="preserve">the  concentration of total plasma proteins </w:t>
      </w:r>
      <w:r w:rsidRPr="00051409">
        <w:rPr>
          <w:rFonts w:ascii="Arial" w:hAnsi="Arial" w:cs="Arial"/>
          <w:sz w:val="16"/>
          <w:szCs w:val="16"/>
        </w:rPr>
        <w:t>(g/dl) ,</w:t>
      </w:r>
      <w:r w:rsidR="007A5220" w:rsidRPr="00051409">
        <w:rPr>
          <w:rFonts w:ascii="Arial" w:hAnsi="Arial" w:cs="Arial"/>
          <w:sz w:val="16"/>
          <w:szCs w:val="16"/>
        </w:rPr>
        <w:t>concentrati</w:t>
      </w:r>
      <w:r w:rsidRPr="00051409">
        <w:rPr>
          <w:rFonts w:ascii="Arial" w:hAnsi="Arial" w:cs="Arial"/>
          <w:sz w:val="16"/>
          <w:szCs w:val="16"/>
        </w:rPr>
        <w:t xml:space="preserve">on of Hb (g/dl) and </w:t>
      </w:r>
      <w:r w:rsidR="007A5220" w:rsidRPr="00051409">
        <w:rPr>
          <w:rFonts w:ascii="Arial" w:hAnsi="Arial" w:cs="Arial"/>
          <w:sz w:val="16"/>
          <w:szCs w:val="16"/>
        </w:rPr>
        <w:t>numerical ratio of total plasma prote</w:t>
      </w:r>
      <w:r w:rsidRPr="00051409">
        <w:rPr>
          <w:rFonts w:ascii="Arial" w:hAnsi="Arial" w:cs="Arial"/>
          <w:sz w:val="16"/>
          <w:szCs w:val="16"/>
        </w:rPr>
        <w:t xml:space="preserve">ins/Hb </w:t>
      </w:r>
      <w:r w:rsidR="007A5220" w:rsidRPr="00051409">
        <w:rPr>
          <w:rFonts w:ascii="Arial" w:hAnsi="Arial" w:cs="Arial"/>
          <w:sz w:val="16"/>
          <w:szCs w:val="16"/>
        </w:rPr>
        <w:t xml:space="preserve">concentration according to ten search engines in male  blood donors </w:t>
      </w:r>
    </w:p>
    <w:p w14:paraId="4A381889" w14:textId="67047611" w:rsidR="00C10F40" w:rsidRPr="00051409" w:rsidRDefault="00C10F40" w:rsidP="00E92B58">
      <w:pPr>
        <w:pStyle w:val="ListParagraph"/>
        <w:numPr>
          <w:ilvl w:val="0"/>
          <w:numId w:val="2"/>
        </w:numPr>
        <w:jc w:val="both"/>
        <w:rPr>
          <w:rFonts w:ascii="Arial" w:hAnsi="Arial" w:cs="Arial"/>
          <w:sz w:val="16"/>
          <w:szCs w:val="16"/>
        </w:rPr>
      </w:pPr>
      <w:r w:rsidRPr="00051409">
        <w:rPr>
          <w:rFonts w:ascii="Arial" w:hAnsi="Arial" w:cs="Arial"/>
          <w:sz w:val="16"/>
          <w:szCs w:val="16"/>
        </w:rPr>
        <w:t xml:space="preserve">To  determine  the  </w:t>
      </w:r>
      <w:r w:rsidR="007A5220" w:rsidRPr="00051409">
        <w:rPr>
          <w:rFonts w:ascii="Arial" w:hAnsi="Arial" w:cs="Arial"/>
          <w:sz w:val="16"/>
          <w:szCs w:val="16"/>
        </w:rPr>
        <w:t xml:space="preserve">concentration of total plasma proteins </w:t>
      </w:r>
      <w:r w:rsidRPr="00051409">
        <w:rPr>
          <w:rFonts w:ascii="Arial" w:hAnsi="Arial" w:cs="Arial"/>
          <w:sz w:val="16"/>
          <w:szCs w:val="16"/>
        </w:rPr>
        <w:t>(g/dl) ,</w:t>
      </w:r>
      <w:r w:rsidR="007A5220" w:rsidRPr="00051409">
        <w:rPr>
          <w:rFonts w:ascii="Arial" w:hAnsi="Arial" w:cs="Arial"/>
          <w:sz w:val="16"/>
          <w:szCs w:val="16"/>
        </w:rPr>
        <w:t>concentrati</w:t>
      </w:r>
      <w:r w:rsidRPr="00051409">
        <w:rPr>
          <w:rFonts w:ascii="Arial" w:hAnsi="Arial" w:cs="Arial"/>
          <w:sz w:val="16"/>
          <w:szCs w:val="16"/>
        </w:rPr>
        <w:t xml:space="preserve">on of Hb (g/dl) and </w:t>
      </w:r>
      <w:r w:rsidR="007A5220" w:rsidRPr="00051409">
        <w:rPr>
          <w:rFonts w:ascii="Arial" w:hAnsi="Arial" w:cs="Arial"/>
          <w:sz w:val="16"/>
          <w:szCs w:val="16"/>
        </w:rPr>
        <w:t>numerical ratio of total plasma proteins/</w:t>
      </w:r>
      <w:r w:rsidRPr="00051409">
        <w:rPr>
          <w:rFonts w:ascii="Arial" w:hAnsi="Arial" w:cs="Arial"/>
          <w:sz w:val="16"/>
          <w:szCs w:val="16"/>
        </w:rPr>
        <w:t xml:space="preserve">Hb </w:t>
      </w:r>
      <w:r w:rsidR="007A5220" w:rsidRPr="00051409">
        <w:rPr>
          <w:rFonts w:ascii="Arial" w:hAnsi="Arial" w:cs="Arial"/>
          <w:sz w:val="16"/>
          <w:szCs w:val="16"/>
        </w:rPr>
        <w:t xml:space="preserve">concentration according to ten search engines in male and female   blood donors </w:t>
      </w:r>
    </w:p>
    <w:p w14:paraId="4810F8E1" w14:textId="5665A0B6" w:rsidR="003D3EE7" w:rsidRPr="00051409" w:rsidRDefault="00CA33E4" w:rsidP="00667E23">
      <w:pPr>
        <w:spacing w:after="0" w:line="240" w:lineRule="auto"/>
        <w:jc w:val="both"/>
        <w:rPr>
          <w:rFonts w:ascii="Arial" w:hAnsi="Arial" w:cs="Arial"/>
          <w:b/>
          <w:sz w:val="16"/>
          <w:szCs w:val="16"/>
        </w:rPr>
      </w:pPr>
      <w:r w:rsidRPr="00051409">
        <w:rPr>
          <w:rFonts w:ascii="Arial" w:hAnsi="Arial" w:cs="Arial"/>
          <w:b/>
          <w:sz w:val="16"/>
          <w:szCs w:val="16"/>
        </w:rPr>
        <w:t xml:space="preserve">2) </w:t>
      </w:r>
      <w:r w:rsidR="00BE0639" w:rsidRPr="00051409">
        <w:rPr>
          <w:rFonts w:ascii="Arial" w:hAnsi="Arial" w:cs="Arial"/>
          <w:b/>
          <w:sz w:val="16"/>
          <w:szCs w:val="16"/>
        </w:rPr>
        <w:t>DETAILED METHODOLOGY FOR THE SYSTEMATIC REVIEW:</w:t>
      </w:r>
    </w:p>
    <w:p w14:paraId="4E28A741" w14:textId="51886615" w:rsidR="003D3EE7" w:rsidRPr="00051409" w:rsidRDefault="00C07DE3" w:rsidP="00667E23">
      <w:pPr>
        <w:spacing w:after="0" w:line="240" w:lineRule="auto"/>
        <w:jc w:val="both"/>
        <w:rPr>
          <w:rFonts w:ascii="Arial" w:hAnsi="Arial" w:cs="Arial"/>
          <w:sz w:val="16"/>
          <w:szCs w:val="16"/>
        </w:rPr>
      </w:pPr>
      <w:r w:rsidRPr="00051409">
        <w:rPr>
          <w:rFonts w:ascii="Arial" w:hAnsi="Arial" w:cs="Arial"/>
          <w:sz w:val="16"/>
          <w:szCs w:val="16"/>
        </w:rPr>
        <w:t xml:space="preserve">This systematic review was conducted in accordance with the Preferred Reporting Items for Systematic Reviews and Meta-Analyses (PRISMA) guidelines (Page </w:t>
      </w:r>
      <w:r w:rsidRPr="00051409">
        <w:rPr>
          <w:rFonts w:ascii="Arial" w:hAnsi="Arial" w:cs="Arial"/>
          <w:i/>
          <w:sz w:val="16"/>
          <w:szCs w:val="16"/>
        </w:rPr>
        <w:t xml:space="preserve">et al., </w:t>
      </w:r>
      <w:r w:rsidRPr="00051409">
        <w:rPr>
          <w:rFonts w:ascii="Arial" w:hAnsi="Arial" w:cs="Arial"/>
          <w:sz w:val="16"/>
          <w:szCs w:val="16"/>
        </w:rPr>
        <w:t>2023)</w:t>
      </w:r>
      <w:r w:rsidR="00C10F40" w:rsidRPr="00051409">
        <w:rPr>
          <w:rFonts w:ascii="Arial" w:hAnsi="Arial" w:cs="Arial"/>
          <w:sz w:val="16"/>
          <w:szCs w:val="16"/>
        </w:rPr>
        <w:t xml:space="preserve">. See the </w:t>
      </w:r>
      <w:r w:rsidR="008A10C1">
        <w:rPr>
          <w:rFonts w:ascii="Arial" w:hAnsi="Arial" w:cs="Arial"/>
          <w:sz w:val="16"/>
          <w:szCs w:val="16"/>
        </w:rPr>
        <w:t xml:space="preserve">chart </w:t>
      </w:r>
      <w:r w:rsidR="00C10F40" w:rsidRPr="00051409">
        <w:rPr>
          <w:rFonts w:ascii="Arial" w:hAnsi="Arial" w:cs="Arial"/>
          <w:sz w:val="16"/>
          <w:szCs w:val="16"/>
        </w:rPr>
        <w:t>1 PRISMA Flow Chart below,</w:t>
      </w:r>
    </w:p>
    <w:p w14:paraId="08A54873" w14:textId="2878727B" w:rsidR="003D3EE7" w:rsidRPr="00051409" w:rsidRDefault="00156F2B" w:rsidP="00667E23">
      <w:pPr>
        <w:spacing w:after="0" w:line="240" w:lineRule="auto"/>
        <w:jc w:val="both"/>
        <w:rPr>
          <w:rFonts w:ascii="Arial" w:hAnsi="Arial" w:cs="Arial"/>
          <w:b/>
          <w:sz w:val="16"/>
          <w:szCs w:val="16"/>
        </w:rPr>
      </w:pPr>
      <w:r w:rsidRPr="00051409">
        <w:rPr>
          <w:rFonts w:ascii="Arial" w:hAnsi="Arial" w:cs="Arial"/>
          <w:b/>
          <w:sz w:val="16"/>
          <w:szCs w:val="16"/>
        </w:rPr>
        <w:t xml:space="preserve">2.1) </w:t>
      </w:r>
      <w:r w:rsidR="00C07DE3" w:rsidRPr="00051409">
        <w:rPr>
          <w:rFonts w:ascii="Arial" w:hAnsi="Arial" w:cs="Arial"/>
          <w:b/>
          <w:sz w:val="16"/>
          <w:szCs w:val="16"/>
        </w:rPr>
        <w:t>Search Strategy</w:t>
      </w:r>
    </w:p>
    <w:p w14:paraId="47D92377" w14:textId="292FB85A" w:rsidR="003D3EE7" w:rsidRPr="00051409" w:rsidRDefault="00C07DE3" w:rsidP="00667E23">
      <w:pPr>
        <w:spacing w:after="0" w:line="240" w:lineRule="auto"/>
        <w:jc w:val="both"/>
        <w:rPr>
          <w:rFonts w:ascii="Arial" w:hAnsi="Arial" w:cs="Arial"/>
          <w:sz w:val="16"/>
          <w:szCs w:val="16"/>
        </w:rPr>
      </w:pPr>
      <w:r w:rsidRPr="00051409">
        <w:rPr>
          <w:rFonts w:ascii="Arial" w:hAnsi="Arial" w:cs="Arial"/>
          <w:sz w:val="16"/>
          <w:szCs w:val="16"/>
        </w:rPr>
        <w:t>A comprehensive literature search was conducted across ten databases: PubMed, Scopus, Web of Science, Google Scholar, ScienceDirect, Embase, Cochrane Library, CINAHL, ProQuest, and DOAJ. The search terms used included "blood donors," "eligibility assessment," "reference values," "numerical ratios," "total plasma proteins," and "hemoglobin concentration." The search was limited to studies published in English between 202</w:t>
      </w:r>
      <w:r w:rsidR="00CA33E4" w:rsidRPr="00051409">
        <w:rPr>
          <w:rFonts w:ascii="Arial" w:hAnsi="Arial" w:cs="Arial"/>
          <w:sz w:val="16"/>
          <w:szCs w:val="16"/>
        </w:rPr>
        <w:t>0</w:t>
      </w:r>
      <w:r w:rsidRPr="00051409">
        <w:rPr>
          <w:rFonts w:ascii="Arial" w:hAnsi="Arial" w:cs="Arial"/>
          <w:sz w:val="16"/>
          <w:szCs w:val="16"/>
        </w:rPr>
        <w:t xml:space="preserve"> and 2025.</w:t>
      </w:r>
    </w:p>
    <w:p w14:paraId="70327534" w14:textId="48260638" w:rsidR="003D3EE7" w:rsidRPr="00051409" w:rsidRDefault="00156F2B" w:rsidP="00667E23">
      <w:pPr>
        <w:spacing w:after="0" w:line="240" w:lineRule="auto"/>
        <w:jc w:val="both"/>
        <w:rPr>
          <w:rFonts w:ascii="Arial" w:hAnsi="Arial" w:cs="Arial"/>
          <w:b/>
          <w:sz w:val="16"/>
          <w:szCs w:val="16"/>
        </w:rPr>
      </w:pPr>
      <w:r w:rsidRPr="00051409">
        <w:rPr>
          <w:rFonts w:ascii="Arial" w:hAnsi="Arial" w:cs="Arial"/>
          <w:b/>
          <w:sz w:val="16"/>
          <w:szCs w:val="16"/>
        </w:rPr>
        <w:t xml:space="preserve">2.2) </w:t>
      </w:r>
      <w:r w:rsidR="00C07DE3" w:rsidRPr="00051409">
        <w:rPr>
          <w:rFonts w:ascii="Arial" w:hAnsi="Arial" w:cs="Arial"/>
          <w:b/>
          <w:sz w:val="16"/>
          <w:szCs w:val="16"/>
        </w:rPr>
        <w:t>Inclusion and Exclusion Criteria</w:t>
      </w:r>
    </w:p>
    <w:p w14:paraId="13B3AF5D" w14:textId="2AF2BD0E" w:rsidR="00CA33E4" w:rsidRPr="00051409" w:rsidRDefault="00CA33E4" w:rsidP="00156F2B">
      <w:pPr>
        <w:pStyle w:val="ListParagraph"/>
        <w:numPr>
          <w:ilvl w:val="0"/>
          <w:numId w:val="4"/>
        </w:numPr>
        <w:spacing w:after="0" w:line="240" w:lineRule="auto"/>
        <w:jc w:val="both"/>
        <w:rPr>
          <w:rFonts w:ascii="Arial" w:hAnsi="Arial" w:cs="Arial"/>
          <w:b/>
          <w:sz w:val="16"/>
          <w:szCs w:val="16"/>
        </w:rPr>
      </w:pPr>
      <w:r w:rsidRPr="00051409">
        <w:rPr>
          <w:rFonts w:ascii="Arial" w:hAnsi="Arial" w:cs="Arial"/>
          <w:b/>
          <w:sz w:val="16"/>
          <w:szCs w:val="16"/>
        </w:rPr>
        <w:t>Inclusion  Criteria</w:t>
      </w:r>
    </w:p>
    <w:p w14:paraId="3DF327F8" w14:textId="77777777" w:rsidR="00CA33E4" w:rsidRPr="00051409" w:rsidRDefault="00C07DE3" w:rsidP="00667E23">
      <w:pPr>
        <w:spacing w:after="0" w:line="240" w:lineRule="auto"/>
        <w:jc w:val="both"/>
        <w:rPr>
          <w:rFonts w:ascii="Arial" w:hAnsi="Arial" w:cs="Arial"/>
          <w:sz w:val="16"/>
          <w:szCs w:val="16"/>
        </w:rPr>
      </w:pPr>
      <w:r w:rsidRPr="00051409">
        <w:rPr>
          <w:rFonts w:ascii="Arial" w:hAnsi="Arial" w:cs="Arial"/>
          <w:sz w:val="16"/>
          <w:szCs w:val="16"/>
        </w:rPr>
        <w:t>Studies were included if they examined the use of reference values and numerical ratios of total plasma proteins and hemoglobin concentration as novel parameters for blood donors' preliminary eligibility assessment.</w:t>
      </w:r>
    </w:p>
    <w:p w14:paraId="2834E780" w14:textId="5874654E" w:rsidR="00CA33E4" w:rsidRPr="00051409" w:rsidRDefault="00C07DE3" w:rsidP="00667E23">
      <w:pPr>
        <w:spacing w:after="0" w:line="240" w:lineRule="auto"/>
        <w:jc w:val="both"/>
        <w:rPr>
          <w:rFonts w:ascii="Arial" w:hAnsi="Arial" w:cs="Arial"/>
          <w:sz w:val="16"/>
          <w:szCs w:val="16"/>
        </w:rPr>
      </w:pPr>
      <w:r w:rsidRPr="00051409">
        <w:rPr>
          <w:rFonts w:ascii="Arial" w:hAnsi="Arial" w:cs="Arial"/>
          <w:sz w:val="16"/>
          <w:szCs w:val="16"/>
        </w:rPr>
        <w:t xml:space="preserve"> Studies were</w:t>
      </w:r>
      <w:r w:rsidR="00667E23" w:rsidRPr="00051409">
        <w:rPr>
          <w:rFonts w:ascii="Arial" w:hAnsi="Arial" w:cs="Arial"/>
          <w:sz w:val="16"/>
          <w:szCs w:val="16"/>
        </w:rPr>
        <w:t xml:space="preserve"> included if they </w:t>
      </w:r>
      <w:r w:rsidRPr="00051409">
        <w:rPr>
          <w:rFonts w:ascii="Arial" w:hAnsi="Arial" w:cs="Arial"/>
          <w:sz w:val="16"/>
          <w:szCs w:val="16"/>
        </w:rPr>
        <w:t xml:space="preserve"> provide</w:t>
      </w:r>
      <w:r w:rsidR="00667E23" w:rsidRPr="00051409">
        <w:rPr>
          <w:rFonts w:ascii="Arial" w:hAnsi="Arial" w:cs="Arial"/>
          <w:sz w:val="16"/>
          <w:szCs w:val="16"/>
        </w:rPr>
        <w:t>d</w:t>
      </w:r>
      <w:r w:rsidRPr="00051409">
        <w:rPr>
          <w:rFonts w:ascii="Arial" w:hAnsi="Arial" w:cs="Arial"/>
          <w:sz w:val="16"/>
          <w:szCs w:val="16"/>
        </w:rPr>
        <w:t xml:space="preserve"> sufficient data for analysis.</w:t>
      </w:r>
      <w:r w:rsidR="00CA33E4" w:rsidRPr="00051409">
        <w:rPr>
          <w:rFonts w:ascii="Arial" w:hAnsi="Arial" w:cs="Arial"/>
          <w:sz w:val="16"/>
          <w:szCs w:val="16"/>
        </w:rPr>
        <w:t xml:space="preserve"> </w:t>
      </w:r>
    </w:p>
    <w:p w14:paraId="54B2999C" w14:textId="29C73D2F" w:rsidR="00667E23" w:rsidRPr="00051409" w:rsidRDefault="00CA33E4" w:rsidP="00667E23">
      <w:pPr>
        <w:spacing w:after="0" w:line="240" w:lineRule="auto"/>
        <w:jc w:val="both"/>
        <w:rPr>
          <w:rFonts w:ascii="Arial" w:hAnsi="Arial" w:cs="Arial"/>
          <w:sz w:val="16"/>
          <w:szCs w:val="16"/>
        </w:rPr>
      </w:pPr>
      <w:r w:rsidRPr="00051409">
        <w:rPr>
          <w:rFonts w:ascii="Arial" w:hAnsi="Arial" w:cs="Arial"/>
          <w:sz w:val="16"/>
          <w:szCs w:val="16"/>
        </w:rPr>
        <w:t>Studies in English were included and</w:t>
      </w:r>
      <w:r w:rsidR="00667E23" w:rsidRPr="00051409">
        <w:rPr>
          <w:rFonts w:ascii="Arial" w:hAnsi="Arial" w:cs="Arial"/>
          <w:sz w:val="16"/>
          <w:szCs w:val="16"/>
        </w:rPr>
        <w:t xml:space="preserve"> were peer-reviewed</w:t>
      </w:r>
    </w:p>
    <w:p w14:paraId="5AC73816" w14:textId="5C950BE0" w:rsidR="003D3EE7" w:rsidRPr="00051409" w:rsidRDefault="00CA33E4" w:rsidP="00667E23">
      <w:pPr>
        <w:spacing w:after="0" w:line="240" w:lineRule="auto"/>
        <w:jc w:val="both"/>
        <w:rPr>
          <w:rFonts w:ascii="Arial" w:hAnsi="Arial" w:cs="Arial"/>
          <w:sz w:val="16"/>
          <w:szCs w:val="16"/>
        </w:rPr>
      </w:pPr>
      <w:r w:rsidRPr="00051409">
        <w:rPr>
          <w:rFonts w:ascii="Arial" w:hAnsi="Arial" w:cs="Arial"/>
          <w:sz w:val="16"/>
          <w:szCs w:val="16"/>
        </w:rPr>
        <w:t>studie</w:t>
      </w:r>
      <w:r w:rsidR="00667E23" w:rsidRPr="00051409">
        <w:rPr>
          <w:rFonts w:ascii="Arial" w:hAnsi="Arial" w:cs="Arial"/>
          <w:sz w:val="16"/>
          <w:szCs w:val="16"/>
        </w:rPr>
        <w:t>s</w:t>
      </w:r>
      <w:r w:rsidRPr="00051409">
        <w:rPr>
          <w:rFonts w:ascii="Arial" w:hAnsi="Arial" w:cs="Arial"/>
          <w:sz w:val="16"/>
          <w:szCs w:val="16"/>
        </w:rPr>
        <w:t xml:space="preserve"> between 2020 to 2025 were also included</w:t>
      </w:r>
    </w:p>
    <w:p w14:paraId="36C84E34" w14:textId="699C6497" w:rsidR="00CA33E4" w:rsidRPr="00051409" w:rsidRDefault="00CA33E4" w:rsidP="00156F2B">
      <w:pPr>
        <w:pStyle w:val="ListParagraph"/>
        <w:numPr>
          <w:ilvl w:val="0"/>
          <w:numId w:val="4"/>
        </w:numPr>
        <w:spacing w:after="0" w:line="240" w:lineRule="auto"/>
        <w:jc w:val="both"/>
        <w:rPr>
          <w:rFonts w:ascii="Arial" w:hAnsi="Arial" w:cs="Arial"/>
          <w:b/>
          <w:sz w:val="16"/>
          <w:szCs w:val="16"/>
        </w:rPr>
      </w:pPr>
      <w:r w:rsidRPr="00051409">
        <w:rPr>
          <w:rFonts w:ascii="Arial" w:hAnsi="Arial" w:cs="Arial"/>
          <w:b/>
          <w:sz w:val="16"/>
          <w:szCs w:val="16"/>
        </w:rPr>
        <w:t>Exclusion Criteria</w:t>
      </w:r>
    </w:p>
    <w:p w14:paraId="6D7A6CEE" w14:textId="7290EA3F" w:rsidR="00CA33E4" w:rsidRPr="00051409" w:rsidRDefault="00CA33E4" w:rsidP="00667E23">
      <w:pPr>
        <w:spacing w:after="0" w:line="240" w:lineRule="auto"/>
        <w:jc w:val="both"/>
        <w:rPr>
          <w:rFonts w:ascii="Arial" w:hAnsi="Arial" w:cs="Arial"/>
          <w:sz w:val="16"/>
          <w:szCs w:val="16"/>
        </w:rPr>
      </w:pPr>
      <w:r w:rsidRPr="00051409">
        <w:rPr>
          <w:rFonts w:ascii="Arial" w:hAnsi="Arial" w:cs="Arial"/>
          <w:sz w:val="16"/>
          <w:szCs w:val="16"/>
        </w:rPr>
        <w:t xml:space="preserve">Studies were </w:t>
      </w:r>
      <w:r w:rsidR="00667E23" w:rsidRPr="00051409">
        <w:rPr>
          <w:rFonts w:ascii="Arial" w:hAnsi="Arial" w:cs="Arial"/>
          <w:sz w:val="16"/>
          <w:szCs w:val="16"/>
        </w:rPr>
        <w:t>ex</w:t>
      </w:r>
      <w:r w:rsidRPr="00051409">
        <w:rPr>
          <w:rFonts w:ascii="Arial" w:hAnsi="Arial" w:cs="Arial"/>
          <w:sz w:val="16"/>
          <w:szCs w:val="16"/>
        </w:rPr>
        <w:t xml:space="preserve">cluded if they </w:t>
      </w:r>
      <w:r w:rsidR="007A5220" w:rsidRPr="00051409">
        <w:rPr>
          <w:rFonts w:ascii="Arial" w:hAnsi="Arial" w:cs="Arial"/>
          <w:sz w:val="16"/>
          <w:szCs w:val="16"/>
        </w:rPr>
        <w:t>do not</w:t>
      </w:r>
      <w:r w:rsidR="00667E23" w:rsidRPr="00051409">
        <w:rPr>
          <w:rFonts w:ascii="Arial" w:hAnsi="Arial" w:cs="Arial"/>
          <w:sz w:val="16"/>
          <w:szCs w:val="16"/>
        </w:rPr>
        <w:t xml:space="preserve"> </w:t>
      </w:r>
      <w:proofErr w:type="gramStart"/>
      <w:r w:rsidRPr="00051409">
        <w:rPr>
          <w:rFonts w:ascii="Arial" w:hAnsi="Arial" w:cs="Arial"/>
          <w:sz w:val="16"/>
          <w:szCs w:val="16"/>
        </w:rPr>
        <w:t>examined</w:t>
      </w:r>
      <w:proofErr w:type="gramEnd"/>
      <w:r w:rsidRPr="00051409">
        <w:rPr>
          <w:rFonts w:ascii="Arial" w:hAnsi="Arial" w:cs="Arial"/>
          <w:sz w:val="16"/>
          <w:szCs w:val="16"/>
        </w:rPr>
        <w:t xml:space="preserve"> the use of reference values and numerical ratios of total plasma proteins and hemoglobin concentration as novel parameters for blood donors' preliminary eligibility assessment.</w:t>
      </w:r>
    </w:p>
    <w:p w14:paraId="0CB1D030" w14:textId="77777777" w:rsidR="00CA33E4" w:rsidRPr="00051409" w:rsidRDefault="00CA33E4" w:rsidP="00667E23">
      <w:pPr>
        <w:spacing w:after="0" w:line="240" w:lineRule="auto"/>
        <w:jc w:val="both"/>
        <w:rPr>
          <w:rFonts w:ascii="Arial" w:hAnsi="Arial" w:cs="Arial"/>
          <w:sz w:val="16"/>
          <w:szCs w:val="16"/>
        </w:rPr>
      </w:pPr>
      <w:r w:rsidRPr="00051409">
        <w:rPr>
          <w:rFonts w:ascii="Arial" w:hAnsi="Arial" w:cs="Arial"/>
          <w:sz w:val="16"/>
          <w:szCs w:val="16"/>
        </w:rPr>
        <w:t xml:space="preserve"> Studies were excluded if they were duplicates, reviews, or did not provide sufficient data for analysis. </w:t>
      </w:r>
    </w:p>
    <w:p w14:paraId="1C8C804E" w14:textId="7666BE94" w:rsidR="00CA33E4" w:rsidRPr="00051409" w:rsidRDefault="00CA33E4" w:rsidP="00667E23">
      <w:pPr>
        <w:spacing w:after="0" w:line="240" w:lineRule="auto"/>
        <w:jc w:val="both"/>
        <w:rPr>
          <w:rFonts w:ascii="Arial" w:hAnsi="Arial" w:cs="Arial"/>
          <w:sz w:val="16"/>
          <w:szCs w:val="16"/>
        </w:rPr>
      </w:pPr>
      <w:r w:rsidRPr="00051409">
        <w:rPr>
          <w:rFonts w:ascii="Arial" w:hAnsi="Arial" w:cs="Arial"/>
          <w:sz w:val="16"/>
          <w:szCs w:val="16"/>
        </w:rPr>
        <w:t>Studies</w:t>
      </w:r>
      <w:r w:rsidR="00667E23" w:rsidRPr="00051409">
        <w:rPr>
          <w:rFonts w:ascii="Arial" w:hAnsi="Arial" w:cs="Arial"/>
          <w:sz w:val="16"/>
          <w:szCs w:val="16"/>
        </w:rPr>
        <w:t xml:space="preserve"> not </w:t>
      </w:r>
      <w:r w:rsidRPr="00051409">
        <w:rPr>
          <w:rFonts w:ascii="Arial" w:hAnsi="Arial" w:cs="Arial"/>
          <w:sz w:val="16"/>
          <w:szCs w:val="16"/>
        </w:rPr>
        <w:t xml:space="preserve"> in English were </w:t>
      </w:r>
      <w:r w:rsidR="00156F2B" w:rsidRPr="00051409">
        <w:rPr>
          <w:rFonts w:ascii="Arial" w:hAnsi="Arial" w:cs="Arial"/>
          <w:sz w:val="16"/>
          <w:szCs w:val="16"/>
        </w:rPr>
        <w:t>ex</w:t>
      </w:r>
      <w:r w:rsidRPr="00051409">
        <w:rPr>
          <w:rFonts w:ascii="Arial" w:hAnsi="Arial" w:cs="Arial"/>
          <w:sz w:val="16"/>
          <w:szCs w:val="16"/>
        </w:rPr>
        <w:t>cluded and studie</w:t>
      </w:r>
      <w:r w:rsidR="00156F2B" w:rsidRPr="00051409">
        <w:rPr>
          <w:rFonts w:ascii="Arial" w:hAnsi="Arial" w:cs="Arial"/>
          <w:sz w:val="16"/>
          <w:szCs w:val="16"/>
        </w:rPr>
        <w:t xml:space="preserve">s not </w:t>
      </w:r>
      <w:r w:rsidRPr="00051409">
        <w:rPr>
          <w:rFonts w:ascii="Arial" w:hAnsi="Arial" w:cs="Arial"/>
          <w:sz w:val="16"/>
          <w:szCs w:val="16"/>
        </w:rPr>
        <w:t xml:space="preserve"> between 2020 to 2025 were also </w:t>
      </w:r>
      <w:r w:rsidR="00156F2B" w:rsidRPr="00051409">
        <w:rPr>
          <w:rFonts w:ascii="Arial" w:hAnsi="Arial" w:cs="Arial"/>
          <w:sz w:val="16"/>
          <w:szCs w:val="16"/>
        </w:rPr>
        <w:t>ex</w:t>
      </w:r>
      <w:r w:rsidRPr="00051409">
        <w:rPr>
          <w:rFonts w:ascii="Arial" w:hAnsi="Arial" w:cs="Arial"/>
          <w:sz w:val="16"/>
          <w:szCs w:val="16"/>
        </w:rPr>
        <w:t xml:space="preserve">cluded </w:t>
      </w:r>
    </w:p>
    <w:p w14:paraId="4EA6BBAB" w14:textId="77777777" w:rsidR="00CA33E4" w:rsidRPr="00051409" w:rsidRDefault="00CA33E4" w:rsidP="00667E23">
      <w:pPr>
        <w:spacing w:after="0" w:line="240" w:lineRule="auto"/>
        <w:jc w:val="both"/>
        <w:rPr>
          <w:rFonts w:ascii="Arial" w:hAnsi="Arial" w:cs="Arial"/>
          <w:b/>
          <w:sz w:val="16"/>
          <w:szCs w:val="16"/>
        </w:rPr>
      </w:pPr>
    </w:p>
    <w:p w14:paraId="1BF23AD9" w14:textId="3C775D36" w:rsidR="00CA33E4" w:rsidRPr="00051409" w:rsidRDefault="00CA33E4" w:rsidP="00E92B58">
      <w:pPr>
        <w:jc w:val="both"/>
        <w:rPr>
          <w:rFonts w:ascii="Arial" w:hAnsi="Arial" w:cs="Arial"/>
          <w:sz w:val="16"/>
          <w:szCs w:val="16"/>
        </w:rPr>
      </w:pPr>
    </w:p>
    <w:p w14:paraId="4A3FB0DD" w14:textId="0870FCBC" w:rsidR="007A5220" w:rsidRPr="00051409" w:rsidRDefault="007A5220" w:rsidP="00E92B58">
      <w:pPr>
        <w:jc w:val="both"/>
        <w:rPr>
          <w:rFonts w:ascii="Arial" w:hAnsi="Arial" w:cs="Arial"/>
          <w:sz w:val="16"/>
          <w:szCs w:val="16"/>
        </w:rPr>
      </w:pPr>
    </w:p>
    <w:p w14:paraId="719C61BB" w14:textId="77777777" w:rsidR="007A5220" w:rsidRPr="00051409" w:rsidRDefault="007A5220" w:rsidP="00E92B58">
      <w:pPr>
        <w:jc w:val="both"/>
        <w:rPr>
          <w:rFonts w:ascii="Arial" w:hAnsi="Arial" w:cs="Arial"/>
          <w:sz w:val="16"/>
          <w:szCs w:val="16"/>
        </w:rPr>
      </w:pPr>
    </w:p>
    <w:p w14:paraId="27BF88EC" w14:textId="2585D776" w:rsidR="003D3EE7" w:rsidRPr="00051409" w:rsidRDefault="00156F2B" w:rsidP="00E92B58">
      <w:pPr>
        <w:jc w:val="both"/>
        <w:rPr>
          <w:rFonts w:ascii="Arial" w:hAnsi="Arial" w:cs="Arial"/>
          <w:b/>
          <w:sz w:val="16"/>
          <w:szCs w:val="16"/>
        </w:rPr>
      </w:pPr>
      <w:r w:rsidRPr="00051409">
        <w:rPr>
          <w:rFonts w:ascii="Arial" w:hAnsi="Arial" w:cs="Arial"/>
          <w:b/>
          <w:sz w:val="16"/>
          <w:szCs w:val="16"/>
        </w:rPr>
        <w:t>2.3)</w:t>
      </w:r>
      <w:r w:rsidR="00C07DE3" w:rsidRPr="00051409">
        <w:rPr>
          <w:rFonts w:ascii="Arial" w:hAnsi="Arial" w:cs="Arial"/>
          <w:b/>
          <w:sz w:val="16"/>
          <w:szCs w:val="16"/>
        </w:rPr>
        <w:t>Study Selection</w:t>
      </w:r>
    </w:p>
    <w:p w14:paraId="79F492E8" w14:textId="20FABDA2" w:rsidR="003D3EE7" w:rsidRPr="00051409" w:rsidRDefault="00C07DE3" w:rsidP="00E92B58">
      <w:pPr>
        <w:jc w:val="both"/>
        <w:rPr>
          <w:rFonts w:ascii="Arial" w:hAnsi="Arial" w:cs="Arial"/>
          <w:sz w:val="16"/>
          <w:szCs w:val="16"/>
        </w:rPr>
      </w:pPr>
      <w:r w:rsidRPr="00051409">
        <w:rPr>
          <w:rFonts w:ascii="Arial" w:hAnsi="Arial" w:cs="Arial"/>
          <w:sz w:val="16"/>
          <w:szCs w:val="16"/>
        </w:rPr>
        <w:t>The study selection process involved two stages. First, titles and abstracts were screened for relevance. Second, full-text articles were reviewed for eligibility based on the inclusion and exclusion criteria.</w:t>
      </w:r>
    </w:p>
    <w:p w14:paraId="36B4D1EE" w14:textId="3DAE38FA" w:rsidR="003D3EE7" w:rsidRPr="00051409" w:rsidRDefault="00156F2B" w:rsidP="00E92B58">
      <w:pPr>
        <w:jc w:val="both"/>
        <w:rPr>
          <w:rFonts w:ascii="Arial" w:hAnsi="Arial" w:cs="Arial"/>
          <w:b/>
          <w:sz w:val="16"/>
          <w:szCs w:val="16"/>
        </w:rPr>
      </w:pPr>
      <w:r w:rsidRPr="00051409">
        <w:rPr>
          <w:rFonts w:ascii="Arial" w:hAnsi="Arial" w:cs="Arial"/>
          <w:b/>
          <w:sz w:val="16"/>
          <w:szCs w:val="16"/>
        </w:rPr>
        <w:t xml:space="preserve">2.4) </w:t>
      </w:r>
      <w:r w:rsidR="00C07DE3" w:rsidRPr="00051409">
        <w:rPr>
          <w:rFonts w:ascii="Arial" w:hAnsi="Arial" w:cs="Arial"/>
          <w:b/>
          <w:sz w:val="16"/>
          <w:szCs w:val="16"/>
        </w:rPr>
        <w:t>Data Extraction</w:t>
      </w:r>
    </w:p>
    <w:p w14:paraId="51E676D8" w14:textId="77777777" w:rsidR="00841422" w:rsidRPr="00051409" w:rsidRDefault="00C07DE3" w:rsidP="00E92B58">
      <w:pPr>
        <w:jc w:val="both"/>
        <w:rPr>
          <w:rFonts w:ascii="Arial" w:hAnsi="Arial" w:cs="Arial"/>
          <w:sz w:val="16"/>
          <w:szCs w:val="16"/>
        </w:rPr>
      </w:pPr>
      <w:r w:rsidRPr="00051409">
        <w:rPr>
          <w:rFonts w:ascii="Arial" w:hAnsi="Arial" w:cs="Arial"/>
          <w:sz w:val="16"/>
          <w:szCs w:val="16"/>
        </w:rPr>
        <w:t>Data extraction was performed using a standardized form to collect information on study characteristics, participant demographics, and outcome measures.</w:t>
      </w:r>
    </w:p>
    <w:p w14:paraId="116A1F14" w14:textId="159B07E6" w:rsidR="003D3EE7" w:rsidRPr="00051409" w:rsidRDefault="00156F2B" w:rsidP="00156F2B">
      <w:pPr>
        <w:spacing w:after="0" w:line="240" w:lineRule="auto"/>
        <w:jc w:val="both"/>
        <w:rPr>
          <w:rFonts w:ascii="Arial" w:hAnsi="Arial" w:cs="Arial"/>
          <w:b/>
          <w:sz w:val="16"/>
          <w:szCs w:val="16"/>
        </w:rPr>
      </w:pPr>
      <w:r w:rsidRPr="00051409">
        <w:rPr>
          <w:rFonts w:ascii="Arial" w:hAnsi="Arial" w:cs="Arial"/>
          <w:b/>
          <w:sz w:val="16"/>
          <w:szCs w:val="16"/>
        </w:rPr>
        <w:t xml:space="preserve">2.5) </w:t>
      </w:r>
      <w:r w:rsidR="00C07DE3" w:rsidRPr="00051409">
        <w:rPr>
          <w:rFonts w:ascii="Arial" w:hAnsi="Arial" w:cs="Arial"/>
          <w:b/>
          <w:sz w:val="16"/>
          <w:szCs w:val="16"/>
        </w:rPr>
        <w:t>Quality Assessment</w:t>
      </w:r>
    </w:p>
    <w:p w14:paraId="2F36F73E" w14:textId="77777777" w:rsidR="003D3EE7" w:rsidRPr="00051409" w:rsidRDefault="00C07DE3" w:rsidP="00156F2B">
      <w:pPr>
        <w:spacing w:after="0" w:line="240" w:lineRule="auto"/>
        <w:jc w:val="both"/>
        <w:rPr>
          <w:rFonts w:ascii="Arial" w:hAnsi="Arial" w:cs="Arial"/>
          <w:sz w:val="16"/>
          <w:szCs w:val="16"/>
        </w:rPr>
      </w:pPr>
      <w:r w:rsidRPr="00051409">
        <w:rPr>
          <w:rFonts w:ascii="Arial" w:hAnsi="Arial" w:cs="Arial"/>
          <w:sz w:val="16"/>
          <w:szCs w:val="16"/>
        </w:rPr>
        <w:t xml:space="preserve">The quality of included studies was assessed using the Newcastle-Ottawa Scale (NOS) for observational studies (Wells </w:t>
      </w:r>
      <w:r w:rsidRPr="00051409">
        <w:rPr>
          <w:rFonts w:ascii="Arial" w:hAnsi="Arial" w:cs="Arial"/>
          <w:i/>
          <w:sz w:val="16"/>
          <w:szCs w:val="16"/>
        </w:rPr>
        <w:t>et al.,</w:t>
      </w:r>
      <w:r w:rsidRPr="00051409">
        <w:rPr>
          <w:rFonts w:ascii="Arial" w:hAnsi="Arial" w:cs="Arial"/>
          <w:sz w:val="16"/>
          <w:szCs w:val="16"/>
        </w:rPr>
        <w:t xml:space="preserve"> 2023). Studies were rated as high, moderate, or low quality based on their scores.</w:t>
      </w:r>
    </w:p>
    <w:p w14:paraId="6AB7C91B" w14:textId="1CCB818E" w:rsidR="003D3EE7" w:rsidRPr="00051409" w:rsidRDefault="00156F2B" w:rsidP="00156F2B">
      <w:pPr>
        <w:spacing w:after="0" w:line="240" w:lineRule="auto"/>
        <w:jc w:val="both"/>
        <w:rPr>
          <w:rFonts w:ascii="Arial" w:hAnsi="Arial" w:cs="Arial"/>
          <w:b/>
          <w:sz w:val="16"/>
          <w:szCs w:val="16"/>
        </w:rPr>
      </w:pPr>
      <w:r w:rsidRPr="00051409">
        <w:rPr>
          <w:rFonts w:ascii="Arial" w:hAnsi="Arial" w:cs="Arial"/>
          <w:b/>
          <w:sz w:val="16"/>
          <w:szCs w:val="16"/>
        </w:rPr>
        <w:t xml:space="preserve">2.6) </w:t>
      </w:r>
      <w:r w:rsidR="00C07DE3" w:rsidRPr="00051409">
        <w:rPr>
          <w:rFonts w:ascii="Arial" w:hAnsi="Arial" w:cs="Arial"/>
          <w:b/>
          <w:sz w:val="16"/>
          <w:szCs w:val="16"/>
        </w:rPr>
        <w:t>Data Synthesis</w:t>
      </w:r>
    </w:p>
    <w:p w14:paraId="27AB0ADE" w14:textId="77777777" w:rsidR="003D3EE7" w:rsidRPr="00051409" w:rsidRDefault="00C07DE3" w:rsidP="00156F2B">
      <w:pPr>
        <w:spacing w:after="0" w:line="240" w:lineRule="auto"/>
        <w:jc w:val="both"/>
        <w:rPr>
          <w:rFonts w:ascii="Arial" w:hAnsi="Arial" w:cs="Arial"/>
          <w:sz w:val="16"/>
          <w:szCs w:val="16"/>
        </w:rPr>
      </w:pPr>
      <w:r w:rsidRPr="00051409">
        <w:rPr>
          <w:rFonts w:ascii="Arial" w:hAnsi="Arial" w:cs="Arial"/>
          <w:sz w:val="16"/>
          <w:szCs w:val="16"/>
        </w:rPr>
        <w:t>A narrative synthesis was conducted to summarize the findings of the included studies. Meta-analysis was not performed due to the heterogeneity of the studies.</w:t>
      </w:r>
    </w:p>
    <w:p w14:paraId="6AFEB0AF" w14:textId="01114B6D" w:rsidR="00156F2B" w:rsidRPr="00051409" w:rsidRDefault="00C07DE3" w:rsidP="00156F2B">
      <w:pPr>
        <w:spacing w:after="0" w:line="240" w:lineRule="auto"/>
        <w:jc w:val="both"/>
        <w:rPr>
          <w:rFonts w:ascii="Arial" w:hAnsi="Arial" w:cs="Arial"/>
          <w:sz w:val="16"/>
          <w:szCs w:val="16"/>
        </w:rPr>
      </w:pPr>
      <w:r w:rsidRPr="00051409">
        <w:rPr>
          <w:rFonts w:ascii="Arial" w:hAnsi="Arial" w:cs="Arial"/>
          <w:sz w:val="16"/>
          <w:szCs w:val="16"/>
        </w:rPr>
        <w:t>This methodology provides a comprehensive framework for conducting a systematic review on the use of reference values and numerical ratios of total plasma proteins and hemoglobin concentration as novel parameters for blood donors' preliminary eligibility assessment.</w:t>
      </w:r>
    </w:p>
    <w:p w14:paraId="0C17D6E1" w14:textId="346425F7" w:rsidR="00156F2B" w:rsidRPr="00051409" w:rsidRDefault="00156F2B" w:rsidP="00156F2B">
      <w:pPr>
        <w:jc w:val="both"/>
        <w:rPr>
          <w:rFonts w:ascii="Arial" w:hAnsi="Arial" w:cs="Arial"/>
          <w:b/>
          <w:bCs/>
          <w:sz w:val="16"/>
          <w:szCs w:val="16"/>
        </w:rPr>
      </w:pPr>
      <w:r w:rsidRPr="00051409">
        <w:rPr>
          <w:rFonts w:ascii="Arial" w:hAnsi="Arial" w:cs="Arial"/>
          <w:b/>
          <w:bCs/>
          <w:sz w:val="16"/>
          <w:szCs w:val="16"/>
        </w:rPr>
        <w:t>2.7) PRISMA Flow Chart</w:t>
      </w:r>
    </w:p>
    <w:p w14:paraId="099B3488" w14:textId="77777777" w:rsidR="00156F2B" w:rsidRPr="00051409" w:rsidRDefault="00156F2B" w:rsidP="00156F2B">
      <w:pPr>
        <w:jc w:val="both"/>
        <w:rPr>
          <w:rFonts w:ascii="Arial" w:hAnsi="Arial" w:cs="Arial"/>
          <w:sz w:val="16"/>
          <w:szCs w:val="16"/>
        </w:rPr>
      </w:pPr>
      <w:r w:rsidRPr="00051409">
        <w:rPr>
          <w:rFonts w:ascii="Arial" w:hAnsi="Arial" w:cs="Arial"/>
          <w:b/>
          <w:bCs/>
          <w:sz w:val="16"/>
          <w:szCs w:val="16"/>
        </w:rPr>
        <w:t>Title of the study</w:t>
      </w:r>
      <w:r w:rsidRPr="00051409">
        <w:rPr>
          <w:rFonts w:ascii="Arial" w:hAnsi="Arial" w:cs="Arial"/>
          <w:sz w:val="16"/>
          <w:szCs w:val="16"/>
        </w:rPr>
        <w:t>: Toxicological Systematic Review of the Current Prevalence, Trends and implications of Informal Fuel Trade among Street, City Market and Roadside Vendors in Bamenda City, Northwest Region, Cameroon.</w:t>
      </w:r>
    </w:p>
    <w:p w14:paraId="223B0120" w14:textId="77777777" w:rsidR="00156F2B" w:rsidRPr="00051409" w:rsidRDefault="00156F2B" w:rsidP="00156F2B">
      <w:pPr>
        <w:jc w:val="both"/>
        <w:rPr>
          <w:rFonts w:ascii="Arial" w:hAnsi="Arial" w:cs="Arial"/>
          <w:sz w:val="16"/>
          <w:szCs w:val="16"/>
        </w:rPr>
      </w:pPr>
      <w:r w:rsidRPr="00051409">
        <w:rPr>
          <w:rFonts w:ascii="Arial" w:hAnsi="Arial" w:cs="Arial"/>
          <w:b/>
          <w:bCs/>
          <w:sz w:val="16"/>
          <w:szCs w:val="16"/>
        </w:rPr>
        <w:t>Step I</w:t>
      </w:r>
      <w:r w:rsidRPr="00051409">
        <w:rPr>
          <w:rFonts w:ascii="Arial" w:hAnsi="Arial" w:cs="Arial"/>
          <w:sz w:val="16"/>
          <w:szCs w:val="16"/>
        </w:rPr>
        <w:t>: Literature Research Search Engine: Google Scholar, PubMed, Scopus, Web of Science, ScienceDirect, JSTOR, DOAJ (Directory of Open Access Journals), African Journals Online (AJOL), Google and Semantic Scholar. Search terms used in this research were keywords related to the search terms included a combination of keywords and phrases, such as: "informal fuel trade", "street vendors", "roadside vendors," "city market vendors," "toxicological implications," "fuel trading", "Bamenda" and "</w:t>
      </w:r>
      <w:proofErr w:type="spellStart"/>
      <w:r w:rsidRPr="00051409">
        <w:rPr>
          <w:rFonts w:ascii="Arial" w:hAnsi="Arial" w:cs="Arial"/>
          <w:sz w:val="16"/>
          <w:szCs w:val="16"/>
        </w:rPr>
        <w:t>Cameroon".Total</w:t>
      </w:r>
      <w:proofErr w:type="spellEnd"/>
      <w:r w:rsidRPr="00051409">
        <w:rPr>
          <w:rFonts w:ascii="Arial" w:hAnsi="Arial" w:cs="Arial"/>
          <w:sz w:val="16"/>
          <w:szCs w:val="16"/>
        </w:rPr>
        <w:t xml:space="preserve"> records identified: 1200.</w:t>
      </w:r>
    </w:p>
    <w:p w14:paraId="4CA6F98C" w14:textId="77777777" w:rsidR="00156F2B" w:rsidRPr="00051409" w:rsidRDefault="00156F2B" w:rsidP="00156F2B">
      <w:pPr>
        <w:jc w:val="both"/>
        <w:rPr>
          <w:rFonts w:ascii="Arial" w:hAnsi="Arial" w:cs="Arial"/>
          <w:sz w:val="16"/>
          <w:szCs w:val="16"/>
        </w:rPr>
      </w:pPr>
      <w:r w:rsidRPr="00051409">
        <w:rPr>
          <w:rFonts w:ascii="Arial" w:hAnsi="Arial" w:cs="Arial"/>
          <w:b/>
          <w:bCs/>
          <w:sz w:val="16"/>
          <w:szCs w:val="16"/>
        </w:rPr>
        <w:t>Step 2</w:t>
      </w:r>
      <w:r w:rsidRPr="00051409">
        <w:rPr>
          <w:rFonts w:ascii="Arial" w:hAnsi="Arial" w:cs="Arial"/>
          <w:sz w:val="16"/>
          <w:szCs w:val="16"/>
        </w:rPr>
        <w:t>: Removal of duplicates. Total duplicates removed: 200.</w:t>
      </w:r>
    </w:p>
    <w:p w14:paraId="3CC0504B" w14:textId="77777777" w:rsidR="00156F2B" w:rsidRPr="00051409" w:rsidRDefault="00156F2B" w:rsidP="00156F2B">
      <w:pPr>
        <w:jc w:val="both"/>
        <w:rPr>
          <w:rFonts w:ascii="Arial" w:hAnsi="Arial" w:cs="Arial"/>
          <w:sz w:val="16"/>
          <w:szCs w:val="16"/>
        </w:rPr>
      </w:pPr>
      <w:r w:rsidRPr="00051409">
        <w:rPr>
          <w:rFonts w:ascii="Arial" w:hAnsi="Arial" w:cs="Arial"/>
          <w:b/>
          <w:bCs/>
          <w:sz w:val="16"/>
          <w:szCs w:val="16"/>
        </w:rPr>
        <w:t>Step 3:</w:t>
      </w:r>
      <w:r w:rsidRPr="00051409">
        <w:rPr>
          <w:rFonts w:ascii="Arial" w:hAnsi="Arial" w:cs="Arial"/>
          <w:sz w:val="16"/>
          <w:szCs w:val="16"/>
        </w:rPr>
        <w:t xml:space="preserve"> Title and abstract screening. Records screened: 1000 records and Remaining records 1000. Records excluded: 500 records (irrelevant studies, non-English language etc.). Remaining records: 500.</w:t>
      </w:r>
    </w:p>
    <w:p w14:paraId="38D51E52" w14:textId="77777777" w:rsidR="00156F2B" w:rsidRPr="00051409" w:rsidRDefault="00156F2B" w:rsidP="00156F2B">
      <w:pPr>
        <w:jc w:val="both"/>
        <w:rPr>
          <w:rFonts w:ascii="Arial" w:hAnsi="Arial" w:cs="Arial"/>
          <w:b/>
          <w:bCs/>
          <w:sz w:val="16"/>
          <w:szCs w:val="16"/>
        </w:rPr>
      </w:pPr>
      <w:r w:rsidRPr="00051409">
        <w:rPr>
          <w:rFonts w:ascii="Arial" w:hAnsi="Arial" w:cs="Arial"/>
          <w:b/>
          <w:bCs/>
          <w:sz w:val="16"/>
          <w:szCs w:val="16"/>
        </w:rPr>
        <w:t>Step 4</w:t>
      </w:r>
      <w:r w:rsidRPr="00051409">
        <w:rPr>
          <w:rFonts w:ascii="Arial" w:hAnsi="Arial" w:cs="Arial"/>
          <w:sz w:val="16"/>
          <w:szCs w:val="16"/>
        </w:rPr>
        <w:t xml:space="preserve"> full text screening. Total Record excluded: 225 records (ineligible study design, population and outcomes). Total records remaining: 200. </w:t>
      </w:r>
    </w:p>
    <w:p w14:paraId="62F8F7CB" w14:textId="77777777" w:rsidR="00156F2B" w:rsidRPr="00051409" w:rsidRDefault="00156F2B" w:rsidP="00156F2B">
      <w:pPr>
        <w:jc w:val="both"/>
        <w:rPr>
          <w:rFonts w:ascii="Arial" w:hAnsi="Arial" w:cs="Arial"/>
          <w:sz w:val="16"/>
          <w:szCs w:val="16"/>
        </w:rPr>
      </w:pPr>
      <w:r w:rsidRPr="00051409">
        <w:rPr>
          <w:rFonts w:ascii="Arial" w:hAnsi="Arial" w:cs="Arial"/>
          <w:b/>
          <w:bCs/>
          <w:sz w:val="16"/>
          <w:szCs w:val="16"/>
        </w:rPr>
        <w:t>Step 5</w:t>
      </w:r>
      <w:r w:rsidRPr="00051409">
        <w:rPr>
          <w:rFonts w:ascii="Arial" w:hAnsi="Arial" w:cs="Arial"/>
          <w:sz w:val="16"/>
          <w:szCs w:val="16"/>
        </w:rPr>
        <w:t xml:space="preserve"> Eligibility assessment. Total records: 275. Total records excluded: 75 (did not meet the exclusion criteria).</w:t>
      </w:r>
    </w:p>
    <w:p w14:paraId="044715F2" w14:textId="77777777" w:rsidR="00156F2B" w:rsidRPr="00051409" w:rsidRDefault="00156F2B" w:rsidP="00156F2B">
      <w:pPr>
        <w:jc w:val="both"/>
        <w:rPr>
          <w:rFonts w:ascii="Arial" w:hAnsi="Arial" w:cs="Arial"/>
          <w:sz w:val="16"/>
          <w:szCs w:val="16"/>
        </w:rPr>
      </w:pPr>
      <w:r w:rsidRPr="00051409">
        <w:rPr>
          <w:rFonts w:ascii="Arial" w:hAnsi="Arial" w:cs="Arial"/>
          <w:sz w:val="16"/>
          <w:szCs w:val="16"/>
        </w:rPr>
        <w:t>Step 6: data extraction quality assessment. Number of records extracted: 200. Quality assessment done using standard quality assessment tools and relevant tests.</w:t>
      </w:r>
    </w:p>
    <w:p w14:paraId="3F50A37D" w14:textId="326E4249" w:rsidR="00156F2B" w:rsidRPr="00051409" w:rsidRDefault="00156F2B" w:rsidP="00156F2B">
      <w:pPr>
        <w:jc w:val="both"/>
        <w:rPr>
          <w:rFonts w:ascii="Arial" w:hAnsi="Arial" w:cs="Arial"/>
          <w:sz w:val="16"/>
          <w:szCs w:val="16"/>
        </w:rPr>
      </w:pPr>
      <w:r w:rsidRPr="00051409">
        <w:rPr>
          <w:rFonts w:ascii="Arial" w:hAnsi="Arial" w:cs="Arial"/>
          <w:b/>
          <w:bCs/>
          <w:sz w:val="16"/>
          <w:szCs w:val="16"/>
        </w:rPr>
        <w:t xml:space="preserve">Step </w:t>
      </w:r>
      <w:r w:rsidRPr="00051409">
        <w:rPr>
          <w:rFonts w:ascii="Arial" w:hAnsi="Arial" w:cs="Arial"/>
          <w:sz w:val="16"/>
          <w:szCs w:val="16"/>
        </w:rPr>
        <w:t xml:space="preserve">7: Data synthesis. Number of records synthesized: 200. Synthesis methods: narrative synthesis methods or meta-analysis or depending on research question design. See </w:t>
      </w:r>
      <w:r w:rsidR="00C55911" w:rsidRPr="00C55911">
        <w:rPr>
          <w:rFonts w:ascii="Arial" w:hAnsi="Arial" w:cs="Arial"/>
          <w:sz w:val="16"/>
          <w:szCs w:val="16"/>
        </w:rPr>
        <w:t xml:space="preserve">chart </w:t>
      </w:r>
      <w:r w:rsidRPr="00051409">
        <w:rPr>
          <w:rFonts w:ascii="Arial" w:hAnsi="Arial" w:cs="Arial"/>
          <w:sz w:val="16"/>
          <w:szCs w:val="16"/>
        </w:rPr>
        <w:t>1 PRISMA flow chart.</w:t>
      </w:r>
    </w:p>
    <w:p w14:paraId="7E57E752" w14:textId="77777777" w:rsidR="00156F2B" w:rsidRDefault="00156F2B" w:rsidP="00156F2B">
      <w:pPr>
        <w:jc w:val="both"/>
        <w:rPr>
          <w:rFonts w:ascii="Times New Roman" w:hAnsi="Times New Roman"/>
          <w:sz w:val="20"/>
          <w:szCs w:val="20"/>
        </w:rPr>
      </w:pPr>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160"/>
        <w:gridCol w:w="3994"/>
      </w:tblGrid>
      <w:tr w:rsidR="00156F2B" w:rsidRPr="00DF0AE5" w14:paraId="2343E2FE" w14:textId="77777777" w:rsidTr="00550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3"/>
            <w:tcBorders>
              <w:bottom w:val="none" w:sz="0" w:space="0" w:color="auto"/>
            </w:tcBorders>
          </w:tcPr>
          <w:p w14:paraId="0D522436" w14:textId="77777777" w:rsidR="00156F2B" w:rsidRPr="00051409" w:rsidRDefault="00156F2B" w:rsidP="00550F0C">
            <w:pPr>
              <w:jc w:val="center"/>
              <w:rPr>
                <w:rFonts w:ascii="Arial" w:hAnsi="Arial" w:cs="Arial"/>
                <w:sz w:val="16"/>
                <w:szCs w:val="16"/>
              </w:rPr>
            </w:pPr>
            <w:r w:rsidRPr="00051409">
              <w:rPr>
                <w:rFonts w:ascii="Arial" w:hAnsi="Arial" w:cs="Arial"/>
                <w:sz w:val="16"/>
                <w:szCs w:val="16"/>
              </w:rPr>
              <w:t>PRISMA FLOW CHART</w:t>
            </w:r>
          </w:p>
        </w:tc>
      </w:tr>
      <w:tr w:rsidR="00156F2B" w:rsidRPr="00DF0AE5" w14:paraId="3913A1B0" w14:textId="77777777" w:rsidTr="00550F0C">
        <w:tc>
          <w:tcPr>
            <w:cnfStyle w:val="001000000000" w:firstRow="0" w:lastRow="0" w:firstColumn="1" w:lastColumn="0" w:oddVBand="0" w:evenVBand="0" w:oddHBand="0" w:evenHBand="0" w:firstRowFirstColumn="0" w:firstRowLastColumn="0" w:lastRowFirstColumn="0" w:lastRowLastColumn="0"/>
            <w:tcW w:w="9209" w:type="dxa"/>
            <w:gridSpan w:val="3"/>
          </w:tcPr>
          <w:p w14:paraId="7E67E6AA" w14:textId="77777777" w:rsidR="00156F2B" w:rsidRPr="00051409" w:rsidRDefault="00156F2B" w:rsidP="00550F0C">
            <w:pPr>
              <w:spacing w:after="0" w:line="240" w:lineRule="auto"/>
              <w:jc w:val="both"/>
              <w:rPr>
                <w:rFonts w:ascii="Arial" w:hAnsi="Arial" w:cs="Arial"/>
                <w:sz w:val="16"/>
                <w:szCs w:val="16"/>
              </w:rPr>
            </w:pPr>
            <w:r w:rsidRPr="00051409">
              <w:rPr>
                <w:rFonts w:ascii="Arial" w:hAnsi="Arial" w:cs="Arial"/>
                <w:sz w:val="16"/>
                <w:szCs w:val="16"/>
              </w:rPr>
              <w:t xml:space="preserve">Tittle of the study: </w:t>
            </w:r>
            <w:r w:rsidRPr="00051409">
              <w:rPr>
                <w:rFonts w:ascii="Arial" w:hAnsi="Arial" w:cs="Arial"/>
                <w:b w:val="0"/>
                <w:bCs w:val="0"/>
                <w:sz w:val="16"/>
                <w:szCs w:val="16"/>
              </w:rPr>
              <w:t xml:space="preserve"> Systematic Review of Reference Values and Numerical Ratios of Total Plasma Proteins and Hemoglobin Concentration as Novel Parameters for Blood Donors' Preliminary Eligibility Assessment</w:t>
            </w:r>
          </w:p>
          <w:p w14:paraId="7308F107" w14:textId="77777777" w:rsidR="00156F2B" w:rsidRPr="00051409" w:rsidRDefault="00156F2B" w:rsidP="00550F0C">
            <w:pPr>
              <w:spacing w:after="0" w:line="240" w:lineRule="auto"/>
              <w:jc w:val="both"/>
              <w:rPr>
                <w:rFonts w:ascii="Arial" w:hAnsi="Arial" w:cs="Arial"/>
                <w:b w:val="0"/>
                <w:bCs w:val="0"/>
                <w:sz w:val="16"/>
                <w:szCs w:val="16"/>
              </w:rPr>
            </w:pPr>
          </w:p>
        </w:tc>
      </w:tr>
      <w:tr w:rsidR="00156F2B" w:rsidRPr="00DF0AE5" w14:paraId="3865FF1F" w14:textId="77777777" w:rsidTr="00550F0C">
        <w:tc>
          <w:tcPr>
            <w:cnfStyle w:val="001000000000" w:firstRow="0" w:lastRow="0" w:firstColumn="1" w:lastColumn="0" w:oddVBand="0" w:evenVBand="0" w:oddHBand="0" w:evenHBand="0" w:firstRowFirstColumn="0" w:firstRowLastColumn="0" w:lastRowFirstColumn="0" w:lastRowLastColumn="0"/>
            <w:tcW w:w="9209" w:type="dxa"/>
            <w:gridSpan w:val="3"/>
          </w:tcPr>
          <w:p w14:paraId="412EB86D" w14:textId="77777777" w:rsidR="00156F2B" w:rsidRPr="00051409" w:rsidRDefault="00156F2B" w:rsidP="00550F0C">
            <w:pPr>
              <w:spacing w:after="0" w:line="240" w:lineRule="auto"/>
              <w:rPr>
                <w:rFonts w:ascii="Arial" w:hAnsi="Arial" w:cs="Arial"/>
                <w:sz w:val="16"/>
                <w:szCs w:val="16"/>
              </w:rPr>
            </w:pPr>
            <w:r w:rsidRPr="00051409">
              <w:rPr>
                <w:rFonts w:ascii="Arial" w:hAnsi="Arial" w:cs="Arial"/>
                <w:noProof/>
                <w:sz w:val="16"/>
                <w:szCs w:val="16"/>
              </w:rPr>
              <mc:AlternateContent>
                <mc:Choice Requires="wps">
                  <w:drawing>
                    <wp:anchor distT="0" distB="0" distL="114300" distR="114300" simplePos="0" relativeHeight="251666432" behindDoc="0" locked="0" layoutInCell="1" allowOverlap="1" wp14:anchorId="78CF9871" wp14:editId="4F182AED">
                      <wp:simplePos x="0" y="0"/>
                      <wp:positionH relativeFrom="column">
                        <wp:posOffset>2428089</wp:posOffset>
                      </wp:positionH>
                      <wp:positionV relativeFrom="paragraph">
                        <wp:posOffset>816025</wp:posOffset>
                      </wp:positionV>
                      <wp:extent cx="45719" cy="232765"/>
                      <wp:effectExtent l="38100" t="19050" r="50165" b="34290"/>
                      <wp:wrapNone/>
                      <wp:docPr id="6"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32765"/>
                              </a:xfrm>
                              <a:custGeom>
                                <a:avLst/>
                                <a:gdLst>
                                  <a:gd name="T0" fmla="*/ 0 w 76"/>
                                  <a:gd name="T1" fmla="*/ 33 h 847"/>
                                  <a:gd name="T2" fmla="*/ 38 w 76"/>
                                  <a:gd name="T3" fmla="*/ 0 h 847"/>
                                  <a:gd name="T4" fmla="*/ 76 w 76"/>
                                  <a:gd name="T5" fmla="*/ 33 h 847"/>
                                  <a:gd name="T6" fmla="*/ 57 w 76"/>
                                  <a:gd name="T7" fmla="*/ 33 h 847"/>
                                  <a:gd name="T8" fmla="*/ 57 w 76"/>
                                  <a:gd name="T9" fmla="*/ 815 h 847"/>
                                  <a:gd name="T10" fmla="*/ 76 w 76"/>
                                  <a:gd name="T11" fmla="*/ 815 h 847"/>
                                  <a:gd name="T12" fmla="*/ 38 w 76"/>
                                  <a:gd name="T13" fmla="*/ 847 h 847"/>
                                  <a:gd name="T14" fmla="*/ 0 w 76"/>
                                  <a:gd name="T15" fmla="*/ 815 h 847"/>
                                  <a:gd name="T16" fmla="*/ 19 w 76"/>
                                  <a:gd name="T17" fmla="*/ 815 h 847"/>
                                  <a:gd name="T18" fmla="*/ 19 w 76"/>
                                  <a:gd name="T19" fmla="*/ 33 h 847"/>
                                  <a:gd name="T20" fmla="*/ 0 w 76"/>
                                  <a:gd name="T21" fmla="*/ 33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F6BBEF" id="Freeform 442" o:spid="_x0000_s1026" style="position:absolute;margin-left:191.2pt;margin-top:64.25pt;width:3.6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" path="m,33l38,,76,33r-19,l57,815r19,l38,847,,815r19,l19,33,,33xe" filled="f" strokecolor="#385d8a" strokeweight="2pt">
                      <v:stroke joinstyle="miter"/>
                      <v:path arrowok="t" o:connecttype="custom" o:connectlocs="0,9069;22860,0;45719,9069;34289,9069;34289,223971;45719,223971;22860,232765;0,223971;11430,223971;11430,9069;0,9069" o:connectangles="0,0,0,0,0,0,0,0,0,0,0"/>
                    </v:shape>
                  </w:pict>
                </mc:Fallback>
              </mc:AlternateContent>
            </w:r>
            <w:r w:rsidRPr="00051409">
              <w:rPr>
                <w:rFonts w:ascii="Arial" w:hAnsi="Arial" w:cs="Arial"/>
                <w:sz w:val="16"/>
                <w:szCs w:val="16"/>
              </w:rPr>
              <w:t xml:space="preserve">Step I :Literature Research </w:t>
            </w:r>
          </w:p>
        </w:tc>
      </w:tr>
      <w:tr w:rsidR="00156F2B" w:rsidRPr="00DF0AE5" w14:paraId="5D7629F2" w14:textId="77777777" w:rsidTr="00550F0C">
        <w:tc>
          <w:tcPr>
            <w:cnfStyle w:val="001000000000" w:firstRow="0" w:lastRow="0" w:firstColumn="1" w:lastColumn="0" w:oddVBand="0" w:evenVBand="0" w:oddHBand="0" w:evenHBand="0" w:firstRowFirstColumn="0" w:firstRowLastColumn="0" w:lastRowFirstColumn="0" w:lastRowLastColumn="0"/>
            <w:tcW w:w="9209" w:type="dxa"/>
            <w:gridSpan w:val="3"/>
          </w:tcPr>
          <w:p w14:paraId="3BF913B7" w14:textId="77777777" w:rsidR="00156F2B" w:rsidRPr="00051409" w:rsidRDefault="00156F2B" w:rsidP="00550F0C">
            <w:pPr>
              <w:rPr>
                <w:rFonts w:ascii="Arial" w:hAnsi="Arial" w:cs="Arial"/>
                <w:sz w:val="16"/>
                <w:szCs w:val="16"/>
              </w:rPr>
            </w:pPr>
            <w:r w:rsidRPr="00051409">
              <w:rPr>
                <w:rFonts w:ascii="Arial" w:hAnsi="Arial" w:cs="Arial"/>
                <w:sz w:val="16"/>
                <w:szCs w:val="16"/>
              </w:rPr>
              <w:t xml:space="preserve">Ten Search Engine: PubMed, Scopus, Web of Science, Google Scholar, ScienceDirect, Embase, Cochrane Library, CINAHL, ProQuest, and DOAJ  </w:t>
            </w:r>
          </w:p>
        </w:tc>
      </w:tr>
      <w:tr w:rsidR="00156F2B" w:rsidRPr="00DF0AE5" w14:paraId="7EE10F2C" w14:textId="77777777" w:rsidTr="00550F0C">
        <w:tc>
          <w:tcPr>
            <w:cnfStyle w:val="001000000000" w:firstRow="0" w:lastRow="0" w:firstColumn="1" w:lastColumn="0" w:oddVBand="0" w:evenVBand="0" w:oddHBand="0" w:evenHBand="0" w:firstRowFirstColumn="0" w:firstRowLastColumn="0" w:lastRowFirstColumn="0" w:lastRowLastColumn="0"/>
            <w:tcW w:w="9209" w:type="dxa"/>
            <w:gridSpan w:val="3"/>
          </w:tcPr>
          <w:p w14:paraId="19341A49" w14:textId="77777777" w:rsidR="00156F2B" w:rsidRPr="00051409" w:rsidRDefault="00156F2B" w:rsidP="00550F0C">
            <w:pPr>
              <w:jc w:val="both"/>
              <w:rPr>
                <w:rFonts w:ascii="Arial" w:hAnsi="Arial" w:cs="Arial"/>
                <w:b w:val="0"/>
                <w:bCs w:val="0"/>
                <w:sz w:val="16"/>
                <w:szCs w:val="16"/>
              </w:rPr>
            </w:pPr>
            <w:r w:rsidRPr="00051409">
              <w:rPr>
                <w:rFonts w:ascii="Arial" w:hAnsi="Arial" w:cs="Arial"/>
                <w:sz w:val="16"/>
                <w:szCs w:val="16"/>
              </w:rPr>
              <w:t>Search terms used in this research were keywords related to the search terms included a combination of keywords and phrases, such as</w:t>
            </w:r>
            <w:r w:rsidRPr="00051409">
              <w:rPr>
                <w:rFonts w:ascii="Arial" w:hAnsi="Arial" w:cs="Arial"/>
                <w:b w:val="0"/>
                <w:sz w:val="16"/>
                <w:szCs w:val="16"/>
              </w:rPr>
              <w:t>: "blood donors," "eligibility assessment," "reference values," "numerical ratios," "total plasma proteins," and "hemoglobin concentration."</w:t>
            </w:r>
          </w:p>
        </w:tc>
      </w:tr>
      <w:tr w:rsidR="00156F2B" w:rsidRPr="00DF0AE5" w14:paraId="5305711D" w14:textId="77777777" w:rsidTr="00550F0C">
        <w:tc>
          <w:tcPr>
            <w:cnfStyle w:val="001000000000" w:firstRow="0" w:lastRow="0" w:firstColumn="1" w:lastColumn="0" w:oddVBand="0" w:evenVBand="0" w:oddHBand="0" w:evenHBand="0" w:firstRowFirstColumn="0" w:firstRowLastColumn="0" w:lastRowFirstColumn="0" w:lastRowLastColumn="0"/>
            <w:tcW w:w="9209" w:type="dxa"/>
            <w:gridSpan w:val="3"/>
          </w:tcPr>
          <w:p w14:paraId="1B101514" w14:textId="77777777" w:rsidR="00156F2B" w:rsidRPr="00051409" w:rsidRDefault="00156F2B" w:rsidP="00550F0C">
            <w:pPr>
              <w:spacing w:after="0" w:line="240" w:lineRule="auto"/>
              <w:jc w:val="both"/>
              <w:rPr>
                <w:rFonts w:ascii="Arial" w:hAnsi="Arial" w:cs="Arial"/>
                <w:sz w:val="16"/>
                <w:szCs w:val="16"/>
              </w:rPr>
            </w:pPr>
            <w:r w:rsidRPr="00051409">
              <w:rPr>
                <w:rFonts w:ascii="Arial" w:hAnsi="Arial" w:cs="Arial"/>
                <w:sz w:val="16"/>
                <w:szCs w:val="16"/>
              </w:rPr>
              <w:lastRenderedPageBreak/>
              <w:t>Total record identified: 1200</w:t>
            </w:r>
          </w:p>
        </w:tc>
      </w:tr>
      <w:tr w:rsidR="00156F2B" w:rsidRPr="00DF0AE5" w14:paraId="2A6F8622" w14:textId="77777777" w:rsidTr="00550F0C">
        <w:tc>
          <w:tcPr>
            <w:cnfStyle w:val="001000000000" w:firstRow="0" w:lastRow="0" w:firstColumn="1" w:lastColumn="0" w:oddVBand="0" w:evenVBand="0" w:oddHBand="0" w:evenHBand="0" w:firstRowFirstColumn="0" w:firstRowLastColumn="0" w:lastRowFirstColumn="0" w:lastRowLastColumn="0"/>
            <w:tcW w:w="3055" w:type="dxa"/>
          </w:tcPr>
          <w:p w14:paraId="12D13F01"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 xml:space="preserve">Step 2: Removal of duplicates </w:t>
            </w:r>
          </w:p>
          <w:p w14:paraId="006AB833" w14:textId="77777777" w:rsidR="00156F2B" w:rsidRPr="00051409" w:rsidRDefault="00156F2B" w:rsidP="00550F0C">
            <w:pPr>
              <w:spacing w:after="0" w:line="240" w:lineRule="auto"/>
              <w:jc w:val="both"/>
              <w:rPr>
                <w:rFonts w:ascii="Arial" w:hAnsi="Arial" w:cs="Arial"/>
                <w:sz w:val="16"/>
                <w:szCs w:val="16"/>
              </w:rPr>
            </w:pPr>
            <w:r w:rsidRPr="00051409">
              <w:rPr>
                <w:rFonts w:ascii="Arial" w:hAnsi="Arial" w:cs="Arial"/>
                <w:sz w:val="16"/>
                <w:szCs w:val="16"/>
              </w:rPr>
              <w:t xml:space="preserve">Total duplicates removed:200  </w:t>
            </w:r>
          </w:p>
        </w:tc>
        <w:tc>
          <w:tcPr>
            <w:tcW w:w="2160" w:type="dxa"/>
          </w:tcPr>
          <w:p w14:paraId="19291DCC" w14:textId="77777777" w:rsidR="00156F2B" w:rsidRPr="00051409" w:rsidRDefault="00156F2B" w:rsidP="00550F0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51409">
              <w:rPr>
                <w:rFonts w:ascii="Arial" w:hAnsi="Arial" w:cs="Arial"/>
                <w:noProof/>
                <w:sz w:val="16"/>
                <w:szCs w:val="16"/>
              </w:rPr>
              <mc:AlternateContent>
                <mc:Choice Requires="wps">
                  <w:drawing>
                    <wp:anchor distT="0" distB="0" distL="114300" distR="114300" simplePos="0" relativeHeight="251665408" behindDoc="0" locked="0" layoutInCell="1" allowOverlap="1" wp14:anchorId="6D3393F2" wp14:editId="6EBFA08D">
                      <wp:simplePos x="0" y="0"/>
                      <wp:positionH relativeFrom="column">
                        <wp:posOffset>-635</wp:posOffset>
                      </wp:positionH>
                      <wp:positionV relativeFrom="paragraph">
                        <wp:posOffset>26035</wp:posOffset>
                      </wp:positionV>
                      <wp:extent cx="1272845" cy="80467"/>
                      <wp:effectExtent l="19050" t="19050" r="41910" b="34290"/>
                      <wp:wrapNone/>
                      <wp:docPr id="5"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2845" cy="80467"/>
                              </a:xfrm>
                              <a:custGeom>
                                <a:avLst/>
                                <a:gdLst>
                                  <a:gd name="T0" fmla="*/ 1056 w 1102"/>
                                  <a:gd name="T1" fmla="*/ 0 h 78"/>
                                  <a:gd name="T2" fmla="*/ 1102 w 1102"/>
                                  <a:gd name="T3" fmla="*/ 39 h 78"/>
                                  <a:gd name="T4" fmla="*/ 1056 w 1102"/>
                                  <a:gd name="T5" fmla="*/ 78 h 78"/>
                                  <a:gd name="T6" fmla="*/ 1056 w 1102"/>
                                  <a:gd name="T7" fmla="*/ 58 h 78"/>
                                  <a:gd name="T8" fmla="*/ 45 w 1102"/>
                                  <a:gd name="T9" fmla="*/ 58 h 78"/>
                                  <a:gd name="T10" fmla="*/ 45 w 1102"/>
                                  <a:gd name="T11" fmla="*/ 78 h 78"/>
                                  <a:gd name="T12" fmla="*/ 0 w 1102"/>
                                  <a:gd name="T13" fmla="*/ 39 h 78"/>
                                  <a:gd name="T14" fmla="*/ 45 w 1102"/>
                                  <a:gd name="T15" fmla="*/ 0 h 78"/>
                                  <a:gd name="T16" fmla="*/ 45 w 1102"/>
                                  <a:gd name="T17" fmla="*/ 19 h 78"/>
                                  <a:gd name="T18" fmla="*/ 1056 w 1102"/>
                                  <a:gd name="T19" fmla="*/ 19 h 78"/>
                                  <a:gd name="T20" fmla="*/ 1056 w 1102"/>
                                  <a:gd name="T2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537F73" id="Freeform 440" o:spid="_x0000_s1026" style="position:absolute;margin-left:-.05pt;margin-top:2.05pt;width:100.2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" path="m1056,r46,39l1056,78r,-20l45,58r,20l,39,45,r,19l1056,19r,-19xe" filled="f" strokecolor="#385d8a" strokeweight="2pt">
                      <v:stroke joinstyle="miter"/>
                      <v:path arrowok="t" o:connecttype="custom" o:connectlocs="1219714,0;1272845,40234;1219714,80467;1219714,59834;51976,59834;51976,80467;0,40234;51976,0;51976,19601;1219714,19601;1219714,0" o:connectangles="0,0,0,0,0,0,0,0,0,0,0"/>
                    </v:shape>
                  </w:pict>
                </mc:Fallback>
              </mc:AlternateContent>
            </w:r>
          </w:p>
          <w:p w14:paraId="5968E776"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3994" w:type="dxa"/>
          </w:tcPr>
          <w:p w14:paraId="288482BB"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51409">
              <w:rPr>
                <w:rFonts w:ascii="Arial" w:hAnsi="Arial" w:cs="Arial"/>
                <w:b/>
                <w:bCs/>
                <w:sz w:val="16"/>
                <w:szCs w:val="16"/>
              </w:rPr>
              <w:t xml:space="preserve">Step 3: tittle and abstract screening </w:t>
            </w:r>
          </w:p>
          <w:p w14:paraId="7E980E74"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51409">
              <w:rPr>
                <w:rFonts w:ascii="Arial" w:hAnsi="Arial" w:cs="Arial"/>
                <w:bCs/>
                <w:sz w:val="16"/>
                <w:szCs w:val="16"/>
              </w:rPr>
              <w:t>Records screened : 1000 records</w:t>
            </w:r>
          </w:p>
        </w:tc>
      </w:tr>
      <w:tr w:rsidR="00156F2B" w:rsidRPr="00DF0AE5" w14:paraId="5CA812A3" w14:textId="77777777" w:rsidTr="00550F0C">
        <w:tc>
          <w:tcPr>
            <w:cnfStyle w:val="001000000000" w:firstRow="0" w:lastRow="0" w:firstColumn="1" w:lastColumn="0" w:oddVBand="0" w:evenVBand="0" w:oddHBand="0" w:evenHBand="0" w:firstRowFirstColumn="0" w:firstRowLastColumn="0" w:lastRowFirstColumn="0" w:lastRowLastColumn="0"/>
            <w:tcW w:w="3055" w:type="dxa"/>
          </w:tcPr>
          <w:p w14:paraId="137981EC"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and Remaining records 1000</w:t>
            </w:r>
          </w:p>
        </w:tc>
        <w:tc>
          <w:tcPr>
            <w:tcW w:w="2160" w:type="dxa"/>
          </w:tcPr>
          <w:p w14:paraId="3779FDB9"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noProof/>
                <w:sz w:val="16"/>
                <w:szCs w:val="16"/>
              </w:rPr>
              <mc:AlternateContent>
                <mc:Choice Requires="wps">
                  <w:drawing>
                    <wp:anchor distT="0" distB="0" distL="114300" distR="114300" simplePos="0" relativeHeight="251664384" behindDoc="0" locked="0" layoutInCell="1" allowOverlap="1" wp14:anchorId="487F21F4" wp14:editId="50467AA9">
                      <wp:simplePos x="0" y="0"/>
                      <wp:positionH relativeFrom="column">
                        <wp:posOffset>446227</wp:posOffset>
                      </wp:positionH>
                      <wp:positionV relativeFrom="paragraph">
                        <wp:posOffset>-217653</wp:posOffset>
                      </wp:positionV>
                      <wp:extent cx="73152" cy="1125373"/>
                      <wp:effectExtent l="19050" t="19050" r="41275" b="36830"/>
                      <wp:wrapNone/>
                      <wp:docPr id="4"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 cy="1125373"/>
                              </a:xfrm>
                              <a:custGeom>
                                <a:avLst/>
                                <a:gdLst>
                                  <a:gd name="T0" fmla="*/ 0 w 76"/>
                                  <a:gd name="T1" fmla="*/ 33 h 847"/>
                                  <a:gd name="T2" fmla="*/ 38 w 76"/>
                                  <a:gd name="T3" fmla="*/ 0 h 847"/>
                                  <a:gd name="T4" fmla="*/ 76 w 76"/>
                                  <a:gd name="T5" fmla="*/ 33 h 847"/>
                                  <a:gd name="T6" fmla="*/ 57 w 76"/>
                                  <a:gd name="T7" fmla="*/ 33 h 847"/>
                                  <a:gd name="T8" fmla="*/ 57 w 76"/>
                                  <a:gd name="T9" fmla="*/ 815 h 847"/>
                                  <a:gd name="T10" fmla="*/ 76 w 76"/>
                                  <a:gd name="T11" fmla="*/ 815 h 847"/>
                                  <a:gd name="T12" fmla="*/ 38 w 76"/>
                                  <a:gd name="T13" fmla="*/ 847 h 847"/>
                                  <a:gd name="T14" fmla="*/ 0 w 76"/>
                                  <a:gd name="T15" fmla="*/ 815 h 847"/>
                                  <a:gd name="T16" fmla="*/ 19 w 76"/>
                                  <a:gd name="T17" fmla="*/ 815 h 847"/>
                                  <a:gd name="T18" fmla="*/ 19 w 76"/>
                                  <a:gd name="T19" fmla="*/ 33 h 847"/>
                                  <a:gd name="T20" fmla="*/ 0 w 76"/>
                                  <a:gd name="T21" fmla="*/ 33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F4F1D7" id="Freeform 442" o:spid="_x0000_s1026" style="position:absolute;margin-left:35.15pt;margin-top:-17.15pt;width:5.75pt;height:8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" path="m,33l38,,76,33r-19,l57,815r19,l38,847,,815r19,l19,33,,33xe" filled="f" strokecolor="#385d8a" strokeweight="2pt">
                      <v:stroke joinstyle="miter"/>
                      <v:path arrowok="t" o:connecttype="custom" o:connectlocs="0,43846;36576,0;73152,43846;54864,43846;54864,1082856;73152,1082856;36576,1125373;0,1082856;18288,1082856;18288,43846;0,43846" o:connectangles="0,0,0,0,0,0,0,0,0,0,0"/>
                    </v:shape>
                  </w:pict>
                </mc:Fallback>
              </mc:AlternateContent>
            </w:r>
          </w:p>
        </w:tc>
        <w:tc>
          <w:tcPr>
            <w:tcW w:w="3994" w:type="dxa"/>
          </w:tcPr>
          <w:p w14:paraId="5E076484"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51409">
              <w:rPr>
                <w:rFonts w:ascii="Arial" w:hAnsi="Arial" w:cs="Arial"/>
                <w:bCs/>
                <w:sz w:val="16"/>
                <w:szCs w:val="16"/>
              </w:rPr>
              <w:t>Records excluded : 550 records (irrelevant studies ,non-English language Etc.)</w:t>
            </w:r>
          </w:p>
        </w:tc>
      </w:tr>
      <w:tr w:rsidR="00156F2B" w:rsidRPr="00DF0AE5" w14:paraId="781C8B7D" w14:textId="77777777" w:rsidTr="00550F0C">
        <w:tc>
          <w:tcPr>
            <w:cnfStyle w:val="001000000000" w:firstRow="0" w:lastRow="0" w:firstColumn="1" w:lastColumn="0" w:oddVBand="0" w:evenVBand="0" w:oddHBand="0" w:evenHBand="0" w:firstRowFirstColumn="0" w:firstRowLastColumn="0" w:lastRowFirstColumn="0" w:lastRowLastColumn="0"/>
            <w:tcW w:w="3055" w:type="dxa"/>
          </w:tcPr>
          <w:p w14:paraId="36DFECA1" w14:textId="77777777" w:rsidR="00156F2B" w:rsidRPr="00051409" w:rsidRDefault="00156F2B" w:rsidP="00550F0C">
            <w:pPr>
              <w:jc w:val="both"/>
              <w:rPr>
                <w:rFonts w:ascii="Arial" w:hAnsi="Arial" w:cs="Arial"/>
                <w:sz w:val="16"/>
                <w:szCs w:val="16"/>
              </w:rPr>
            </w:pPr>
          </w:p>
        </w:tc>
        <w:tc>
          <w:tcPr>
            <w:tcW w:w="2160" w:type="dxa"/>
          </w:tcPr>
          <w:p w14:paraId="4785A82A"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3994" w:type="dxa"/>
          </w:tcPr>
          <w:p w14:paraId="6D913EA1"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51409">
              <w:rPr>
                <w:rFonts w:ascii="Arial" w:hAnsi="Arial" w:cs="Arial"/>
                <w:bCs/>
                <w:sz w:val="16"/>
                <w:szCs w:val="16"/>
              </w:rPr>
              <w:t>Remaining records: 450</w:t>
            </w:r>
          </w:p>
        </w:tc>
      </w:tr>
      <w:tr w:rsidR="00156F2B" w:rsidRPr="00DF0AE5" w14:paraId="1D07601E" w14:textId="77777777" w:rsidTr="00550F0C">
        <w:tc>
          <w:tcPr>
            <w:cnfStyle w:val="001000000000" w:firstRow="0" w:lastRow="0" w:firstColumn="1" w:lastColumn="0" w:oddVBand="0" w:evenVBand="0" w:oddHBand="0" w:evenHBand="0" w:firstRowFirstColumn="0" w:firstRowLastColumn="0" w:lastRowFirstColumn="0" w:lastRowLastColumn="0"/>
            <w:tcW w:w="3055" w:type="dxa"/>
          </w:tcPr>
          <w:p w14:paraId="7A2034EA" w14:textId="77777777" w:rsidR="00156F2B" w:rsidRPr="00051409" w:rsidRDefault="00156F2B" w:rsidP="00550F0C">
            <w:pPr>
              <w:jc w:val="both"/>
              <w:rPr>
                <w:rFonts w:ascii="Arial" w:hAnsi="Arial" w:cs="Arial"/>
                <w:sz w:val="16"/>
                <w:szCs w:val="16"/>
              </w:rPr>
            </w:pPr>
          </w:p>
        </w:tc>
        <w:tc>
          <w:tcPr>
            <w:tcW w:w="2160" w:type="dxa"/>
          </w:tcPr>
          <w:p w14:paraId="409AF49C"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3994" w:type="dxa"/>
          </w:tcPr>
          <w:p w14:paraId="13A6EB67"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5A18306"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02C1DED"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784CF09"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156F2B" w:rsidRPr="00DF0AE5" w14:paraId="348DCC35" w14:textId="77777777" w:rsidTr="00550F0C">
        <w:tc>
          <w:tcPr>
            <w:cnfStyle w:val="001000000000" w:firstRow="0" w:lastRow="0" w:firstColumn="1" w:lastColumn="0" w:oddVBand="0" w:evenVBand="0" w:oddHBand="0" w:evenHBand="0" w:firstRowFirstColumn="0" w:firstRowLastColumn="0" w:lastRowFirstColumn="0" w:lastRowLastColumn="0"/>
            <w:tcW w:w="3055" w:type="dxa"/>
          </w:tcPr>
          <w:p w14:paraId="3EFF1C31"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 xml:space="preserve">Step5 Eligibility assessment  </w:t>
            </w:r>
          </w:p>
          <w:p w14:paraId="5BE94D9B"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Total records : 375</w:t>
            </w:r>
          </w:p>
          <w:p w14:paraId="205309EE"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 xml:space="preserve">Total records excluded :75 (did not meet the exclusion criteria </w:t>
            </w:r>
          </w:p>
        </w:tc>
        <w:tc>
          <w:tcPr>
            <w:tcW w:w="2160" w:type="dxa"/>
          </w:tcPr>
          <w:p w14:paraId="2CB0A20A" w14:textId="77777777" w:rsidR="00156F2B" w:rsidRPr="00051409" w:rsidRDefault="00156F2B" w:rsidP="00550F0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1409">
              <w:rPr>
                <w:rFonts w:ascii="Arial" w:hAnsi="Arial" w:cs="Arial"/>
                <w:noProof/>
                <w:sz w:val="16"/>
                <w:szCs w:val="16"/>
              </w:rPr>
              <mc:AlternateContent>
                <mc:Choice Requires="wps">
                  <w:drawing>
                    <wp:anchor distT="0" distB="0" distL="114300" distR="114300" simplePos="0" relativeHeight="251663360" behindDoc="0" locked="0" layoutInCell="1" allowOverlap="1" wp14:anchorId="3ADC8A40" wp14:editId="39B07F75">
                      <wp:simplePos x="0" y="0"/>
                      <wp:positionH relativeFrom="column">
                        <wp:posOffset>453543</wp:posOffset>
                      </wp:positionH>
                      <wp:positionV relativeFrom="paragraph">
                        <wp:posOffset>130302</wp:posOffset>
                      </wp:positionV>
                      <wp:extent cx="96292" cy="1213815"/>
                      <wp:effectExtent l="19050" t="19050" r="37465" b="43815"/>
                      <wp:wrapNone/>
                      <wp:docPr id="3"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92" cy="1213815"/>
                              </a:xfrm>
                              <a:custGeom>
                                <a:avLst/>
                                <a:gdLst>
                                  <a:gd name="T0" fmla="*/ 0 w 76"/>
                                  <a:gd name="T1" fmla="*/ 33 h 847"/>
                                  <a:gd name="T2" fmla="*/ 38 w 76"/>
                                  <a:gd name="T3" fmla="*/ 0 h 847"/>
                                  <a:gd name="T4" fmla="*/ 76 w 76"/>
                                  <a:gd name="T5" fmla="*/ 33 h 847"/>
                                  <a:gd name="T6" fmla="*/ 57 w 76"/>
                                  <a:gd name="T7" fmla="*/ 33 h 847"/>
                                  <a:gd name="T8" fmla="*/ 57 w 76"/>
                                  <a:gd name="T9" fmla="*/ 815 h 847"/>
                                  <a:gd name="T10" fmla="*/ 76 w 76"/>
                                  <a:gd name="T11" fmla="*/ 815 h 847"/>
                                  <a:gd name="T12" fmla="*/ 38 w 76"/>
                                  <a:gd name="T13" fmla="*/ 847 h 847"/>
                                  <a:gd name="T14" fmla="*/ 0 w 76"/>
                                  <a:gd name="T15" fmla="*/ 815 h 847"/>
                                  <a:gd name="T16" fmla="*/ 19 w 76"/>
                                  <a:gd name="T17" fmla="*/ 815 h 847"/>
                                  <a:gd name="T18" fmla="*/ 19 w 76"/>
                                  <a:gd name="T19" fmla="*/ 33 h 847"/>
                                  <a:gd name="T20" fmla="*/ 0 w 76"/>
                                  <a:gd name="T21" fmla="*/ 33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10BB8D" id="Freeform 442" o:spid="_x0000_s1026" style="position:absolute;margin-left:35.7pt;margin-top:10.25pt;width:7.6pt;height:9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" path="m,33l38,,76,33r-19,l57,815r19,l38,847,,815r19,l19,33,,33xe" filled="f" strokecolor="#385d8a" strokeweight="2pt">
                      <v:stroke joinstyle="miter"/>
                      <v:path arrowok="t" o:connecttype="custom" o:connectlocs="0,47291;48146,0;96292,47291;72219,47291;72219,1167957;96292,1167957;48146,1213815;0,1167957;24073,1167957;24073,47291;0,47291" o:connectangles="0,0,0,0,0,0,0,0,0,0,0"/>
                    </v:shape>
                  </w:pict>
                </mc:Fallback>
              </mc:AlternateContent>
            </w:r>
            <w:r w:rsidRPr="00051409">
              <w:rPr>
                <w:rFonts w:ascii="Arial" w:hAnsi="Arial" w:cs="Arial"/>
                <w:noProof/>
                <w:sz w:val="16"/>
                <w:szCs w:val="16"/>
              </w:rPr>
              <mc:AlternateContent>
                <mc:Choice Requires="wps">
                  <w:drawing>
                    <wp:anchor distT="0" distB="0" distL="114300" distR="114300" simplePos="0" relativeHeight="251662336" behindDoc="0" locked="0" layoutInCell="1" allowOverlap="1" wp14:anchorId="43168CE9" wp14:editId="5328A594">
                      <wp:simplePos x="0" y="0"/>
                      <wp:positionH relativeFrom="column">
                        <wp:posOffset>-21947</wp:posOffset>
                      </wp:positionH>
                      <wp:positionV relativeFrom="paragraph">
                        <wp:posOffset>42520</wp:posOffset>
                      </wp:positionV>
                      <wp:extent cx="1272845" cy="80467"/>
                      <wp:effectExtent l="19050" t="19050" r="41910" b="34290"/>
                      <wp:wrapNone/>
                      <wp:docPr id="2"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2845" cy="80467"/>
                              </a:xfrm>
                              <a:custGeom>
                                <a:avLst/>
                                <a:gdLst>
                                  <a:gd name="T0" fmla="*/ 1056 w 1102"/>
                                  <a:gd name="T1" fmla="*/ 0 h 78"/>
                                  <a:gd name="T2" fmla="*/ 1102 w 1102"/>
                                  <a:gd name="T3" fmla="*/ 39 h 78"/>
                                  <a:gd name="T4" fmla="*/ 1056 w 1102"/>
                                  <a:gd name="T5" fmla="*/ 78 h 78"/>
                                  <a:gd name="T6" fmla="*/ 1056 w 1102"/>
                                  <a:gd name="T7" fmla="*/ 58 h 78"/>
                                  <a:gd name="T8" fmla="*/ 45 w 1102"/>
                                  <a:gd name="T9" fmla="*/ 58 h 78"/>
                                  <a:gd name="T10" fmla="*/ 45 w 1102"/>
                                  <a:gd name="T11" fmla="*/ 78 h 78"/>
                                  <a:gd name="T12" fmla="*/ 0 w 1102"/>
                                  <a:gd name="T13" fmla="*/ 39 h 78"/>
                                  <a:gd name="T14" fmla="*/ 45 w 1102"/>
                                  <a:gd name="T15" fmla="*/ 0 h 78"/>
                                  <a:gd name="T16" fmla="*/ 45 w 1102"/>
                                  <a:gd name="T17" fmla="*/ 19 h 78"/>
                                  <a:gd name="T18" fmla="*/ 1056 w 1102"/>
                                  <a:gd name="T19" fmla="*/ 19 h 78"/>
                                  <a:gd name="T20" fmla="*/ 1056 w 1102"/>
                                  <a:gd name="T2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16F7C8" id="Freeform 440" o:spid="_x0000_s1026" style="position:absolute;margin-left:-1.75pt;margin-top:3.35pt;width:100.2pt;height: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" path="m1056,r46,39l1056,78r,-20l45,58r,20l,39,45,r,19l1056,19r,-19xe" filled="f" strokecolor="#385d8a" strokeweight="2pt">
                      <v:stroke joinstyle="miter"/>
                      <v:path arrowok="t" o:connecttype="custom" o:connectlocs="1219714,0;1272845,40234;1219714,80467;1219714,59834;51976,59834;51976,80467;0,40234;51976,0;51976,19601;1219714,19601;1219714,0" o:connectangles="0,0,0,0,0,0,0,0,0,0,0"/>
                    </v:shape>
                  </w:pict>
                </mc:Fallback>
              </mc:AlternateContent>
            </w:r>
          </w:p>
          <w:p w14:paraId="0F45246A"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3994" w:type="dxa"/>
          </w:tcPr>
          <w:p w14:paraId="6A92B49F"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51409">
              <w:rPr>
                <w:rFonts w:ascii="Arial" w:hAnsi="Arial" w:cs="Arial"/>
                <w:b/>
                <w:bCs/>
                <w:sz w:val="16"/>
                <w:szCs w:val="16"/>
              </w:rPr>
              <w:t xml:space="preserve">Step 4 full text screening </w:t>
            </w:r>
          </w:p>
          <w:p w14:paraId="192827DB"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51409">
              <w:rPr>
                <w:rFonts w:ascii="Arial" w:hAnsi="Arial" w:cs="Arial"/>
                <w:bCs/>
                <w:sz w:val="16"/>
                <w:szCs w:val="16"/>
              </w:rPr>
              <w:t>Total Record excluded 75: records (ineligible study  designed ,population and outcomes )</w:t>
            </w:r>
          </w:p>
        </w:tc>
      </w:tr>
      <w:tr w:rsidR="00156F2B" w:rsidRPr="00DF0AE5" w14:paraId="571ECE28" w14:textId="77777777" w:rsidTr="00550F0C">
        <w:tc>
          <w:tcPr>
            <w:cnfStyle w:val="001000000000" w:firstRow="0" w:lastRow="0" w:firstColumn="1" w:lastColumn="0" w:oddVBand="0" w:evenVBand="0" w:oddHBand="0" w:evenHBand="0" w:firstRowFirstColumn="0" w:firstRowLastColumn="0" w:lastRowFirstColumn="0" w:lastRowLastColumn="0"/>
            <w:tcW w:w="3055" w:type="dxa"/>
          </w:tcPr>
          <w:p w14:paraId="3EDFEA51"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Total records remaining :375</w:t>
            </w:r>
          </w:p>
        </w:tc>
        <w:tc>
          <w:tcPr>
            <w:tcW w:w="2160" w:type="dxa"/>
          </w:tcPr>
          <w:p w14:paraId="2F2CEFD5"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94" w:type="dxa"/>
          </w:tcPr>
          <w:p w14:paraId="69F98004"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51409">
              <w:rPr>
                <w:rFonts w:ascii="Arial" w:hAnsi="Arial" w:cs="Arial"/>
                <w:bCs/>
                <w:sz w:val="16"/>
                <w:szCs w:val="16"/>
              </w:rPr>
              <w:t>Records remaining :375</w:t>
            </w:r>
          </w:p>
          <w:p w14:paraId="23B0F7CA"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r>
      <w:tr w:rsidR="00156F2B" w:rsidRPr="00DF0AE5" w14:paraId="38B821F8" w14:textId="77777777" w:rsidTr="00550F0C">
        <w:trPr>
          <w:trHeight w:val="1385"/>
        </w:trPr>
        <w:tc>
          <w:tcPr>
            <w:cnfStyle w:val="001000000000" w:firstRow="0" w:lastRow="0" w:firstColumn="1" w:lastColumn="0" w:oddVBand="0" w:evenVBand="0" w:oddHBand="0" w:evenHBand="0" w:firstRowFirstColumn="0" w:firstRowLastColumn="0" w:lastRowFirstColumn="0" w:lastRowLastColumn="0"/>
            <w:tcW w:w="3055" w:type="dxa"/>
          </w:tcPr>
          <w:p w14:paraId="53D7C333"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 xml:space="preserve">Step 6: data extraction quality assessment </w:t>
            </w:r>
          </w:p>
          <w:p w14:paraId="1768603C"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Number of records extracted : 375</w:t>
            </w:r>
          </w:p>
          <w:p w14:paraId="1A409612" w14:textId="77777777" w:rsidR="00156F2B" w:rsidRPr="00051409" w:rsidRDefault="00156F2B" w:rsidP="00550F0C">
            <w:pPr>
              <w:jc w:val="both"/>
              <w:rPr>
                <w:rFonts w:ascii="Arial" w:hAnsi="Arial" w:cs="Arial"/>
                <w:sz w:val="16"/>
                <w:szCs w:val="16"/>
              </w:rPr>
            </w:pPr>
            <w:r w:rsidRPr="00051409">
              <w:rPr>
                <w:rFonts w:ascii="Arial" w:hAnsi="Arial" w:cs="Arial"/>
                <w:sz w:val="16"/>
                <w:szCs w:val="16"/>
              </w:rPr>
              <w:t xml:space="preserve">Quality assessment done using standard quality assessment tools and relevant tests </w:t>
            </w:r>
          </w:p>
        </w:tc>
        <w:tc>
          <w:tcPr>
            <w:tcW w:w="2160" w:type="dxa"/>
          </w:tcPr>
          <w:p w14:paraId="3AC9F3D3" w14:textId="77777777" w:rsidR="00156F2B" w:rsidRPr="00051409" w:rsidRDefault="00156F2B" w:rsidP="00550F0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noProof/>
                <w:sz w:val="16"/>
                <w:szCs w:val="16"/>
              </w:rPr>
              <mc:AlternateContent>
                <mc:Choice Requires="wps">
                  <w:drawing>
                    <wp:anchor distT="0" distB="0" distL="114300" distR="114300" simplePos="0" relativeHeight="251661312" behindDoc="0" locked="0" layoutInCell="1" allowOverlap="1" wp14:anchorId="5964FDEC" wp14:editId="126E3ACD">
                      <wp:simplePos x="0" y="0"/>
                      <wp:positionH relativeFrom="column">
                        <wp:posOffset>-635</wp:posOffset>
                      </wp:positionH>
                      <wp:positionV relativeFrom="paragraph">
                        <wp:posOffset>20320</wp:posOffset>
                      </wp:positionV>
                      <wp:extent cx="1185062" cy="71475"/>
                      <wp:effectExtent l="19050" t="19050" r="34290" b="43180"/>
                      <wp:wrapNone/>
                      <wp:docPr id="1"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5062" cy="71475"/>
                              </a:xfrm>
                              <a:custGeom>
                                <a:avLst/>
                                <a:gdLst>
                                  <a:gd name="T0" fmla="*/ 1056 w 1102"/>
                                  <a:gd name="T1" fmla="*/ 0 h 78"/>
                                  <a:gd name="T2" fmla="*/ 1102 w 1102"/>
                                  <a:gd name="T3" fmla="*/ 39 h 78"/>
                                  <a:gd name="T4" fmla="*/ 1056 w 1102"/>
                                  <a:gd name="T5" fmla="*/ 78 h 78"/>
                                  <a:gd name="T6" fmla="*/ 1056 w 1102"/>
                                  <a:gd name="T7" fmla="*/ 58 h 78"/>
                                  <a:gd name="T8" fmla="*/ 45 w 1102"/>
                                  <a:gd name="T9" fmla="*/ 58 h 78"/>
                                  <a:gd name="T10" fmla="*/ 45 w 1102"/>
                                  <a:gd name="T11" fmla="*/ 78 h 78"/>
                                  <a:gd name="T12" fmla="*/ 0 w 1102"/>
                                  <a:gd name="T13" fmla="*/ 39 h 78"/>
                                  <a:gd name="T14" fmla="*/ 45 w 1102"/>
                                  <a:gd name="T15" fmla="*/ 0 h 78"/>
                                  <a:gd name="T16" fmla="*/ 45 w 1102"/>
                                  <a:gd name="T17" fmla="*/ 19 h 78"/>
                                  <a:gd name="T18" fmla="*/ 1056 w 1102"/>
                                  <a:gd name="T19" fmla="*/ 19 h 78"/>
                                  <a:gd name="T20" fmla="*/ 1056 w 1102"/>
                                  <a:gd name="T2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4DD656" id="Freeform 440" o:spid="_x0000_s1026" style="position:absolute;margin-left:-.05pt;margin-top:1.6pt;width:93.3pt;height: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" path="m1056,r46,39l1056,78r,-20l45,58r,20l,39,45,r,19l1056,19r,-19xe" filled="f" strokecolor="#385d8a" strokeweight="2pt">
                      <v:stroke joinstyle="miter"/>
                      <v:path arrowok="t" o:connecttype="custom" o:connectlocs="1135595,0;1185062,35738;1135595,71475;1135595,53148;48392,53148;48392,71475;0,35738;48392,0;48392,17411;1135595,17411;1135595,0" o:connectangles="0,0,0,0,0,0,0,0,0,0,0"/>
                    </v:shape>
                  </w:pict>
                </mc:Fallback>
              </mc:AlternateContent>
            </w:r>
          </w:p>
          <w:p w14:paraId="709BC3D6"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994" w:type="dxa"/>
          </w:tcPr>
          <w:p w14:paraId="22B4CEF2"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51409">
              <w:rPr>
                <w:rFonts w:ascii="Arial" w:hAnsi="Arial" w:cs="Arial"/>
                <w:b/>
                <w:bCs/>
                <w:sz w:val="16"/>
                <w:szCs w:val="16"/>
              </w:rPr>
              <w:t xml:space="preserve">Step7: Data synthesis </w:t>
            </w:r>
          </w:p>
          <w:p w14:paraId="0D73EA77"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51409">
              <w:rPr>
                <w:rFonts w:ascii="Arial" w:hAnsi="Arial" w:cs="Arial"/>
                <w:bCs/>
                <w:sz w:val="16"/>
                <w:szCs w:val="16"/>
              </w:rPr>
              <w:t>Number of records synthesized :375</w:t>
            </w:r>
          </w:p>
          <w:p w14:paraId="32F694D3" w14:textId="77777777" w:rsidR="00156F2B" w:rsidRPr="00051409" w:rsidRDefault="00156F2B" w:rsidP="00550F0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51409">
              <w:rPr>
                <w:rFonts w:ascii="Arial" w:hAnsi="Arial" w:cs="Arial"/>
                <w:bCs/>
                <w:sz w:val="16"/>
                <w:szCs w:val="16"/>
              </w:rPr>
              <w:t>Synthesis methods: narrative synthesis methods or meta-analysis or depending  research question  design</w:t>
            </w:r>
            <w:r w:rsidRPr="00051409">
              <w:rPr>
                <w:rFonts w:ascii="Arial" w:hAnsi="Arial" w:cs="Arial"/>
                <w:b/>
                <w:bCs/>
                <w:sz w:val="16"/>
                <w:szCs w:val="16"/>
              </w:rPr>
              <w:t xml:space="preserve">  </w:t>
            </w:r>
          </w:p>
        </w:tc>
      </w:tr>
      <w:tr w:rsidR="00156F2B" w:rsidRPr="00051409" w14:paraId="3B029D1B" w14:textId="77777777" w:rsidTr="00550F0C">
        <w:trPr>
          <w:trHeight w:val="1574"/>
        </w:trPr>
        <w:tc>
          <w:tcPr>
            <w:cnfStyle w:val="001000000000" w:firstRow="0" w:lastRow="0" w:firstColumn="1" w:lastColumn="0" w:oddVBand="0" w:evenVBand="0" w:oddHBand="0" w:evenHBand="0" w:firstRowFirstColumn="0" w:firstRowLastColumn="0" w:lastRowFirstColumn="0" w:lastRowLastColumn="0"/>
            <w:tcW w:w="3055" w:type="dxa"/>
          </w:tcPr>
          <w:p w14:paraId="0AFBED3B" w14:textId="77777777" w:rsidR="00156F2B" w:rsidRPr="00051409" w:rsidRDefault="00156F2B" w:rsidP="00550F0C">
            <w:pPr>
              <w:spacing w:after="0"/>
              <w:jc w:val="both"/>
              <w:rPr>
                <w:rFonts w:ascii="Arial" w:hAnsi="Arial" w:cs="Arial"/>
                <w:sz w:val="16"/>
                <w:szCs w:val="16"/>
              </w:rPr>
            </w:pPr>
            <w:r w:rsidRPr="00051409">
              <w:rPr>
                <w:rFonts w:ascii="Arial" w:hAnsi="Arial" w:cs="Arial"/>
                <w:sz w:val="16"/>
                <w:szCs w:val="16"/>
              </w:rPr>
              <w:t xml:space="preserve">Inclusion criteria </w:t>
            </w:r>
          </w:p>
          <w:p w14:paraId="7DC8A481" w14:textId="77777777" w:rsidR="00156F2B" w:rsidRPr="00051409" w:rsidRDefault="00156F2B" w:rsidP="00550F0C">
            <w:pPr>
              <w:numPr>
                <w:ilvl w:val="0"/>
                <w:numId w:val="3"/>
              </w:numPr>
              <w:spacing w:after="0" w:line="240" w:lineRule="auto"/>
              <w:ind w:left="157" w:hanging="90"/>
              <w:contextualSpacing/>
              <w:rPr>
                <w:rFonts w:ascii="Arial" w:hAnsi="Arial" w:cs="Arial"/>
                <w:b w:val="0"/>
                <w:sz w:val="16"/>
                <w:szCs w:val="16"/>
              </w:rPr>
            </w:pPr>
            <w:r w:rsidRPr="00051409">
              <w:rPr>
                <w:rFonts w:ascii="Arial" w:hAnsi="Arial" w:cs="Arial"/>
                <w:b w:val="0"/>
                <w:sz w:val="16"/>
                <w:szCs w:val="16"/>
              </w:rPr>
              <w:t xml:space="preserve">Studies were included if they evaluated the topic relevant parameters   </w:t>
            </w:r>
          </w:p>
          <w:p w14:paraId="155BF249" w14:textId="77777777" w:rsidR="00156F2B" w:rsidRPr="00051409" w:rsidRDefault="00156F2B" w:rsidP="00550F0C">
            <w:pPr>
              <w:numPr>
                <w:ilvl w:val="0"/>
                <w:numId w:val="3"/>
              </w:numPr>
              <w:spacing w:after="0" w:line="240" w:lineRule="auto"/>
              <w:ind w:left="157" w:hanging="90"/>
              <w:contextualSpacing/>
              <w:rPr>
                <w:rFonts w:ascii="Arial" w:hAnsi="Arial" w:cs="Arial"/>
                <w:b w:val="0"/>
                <w:sz w:val="16"/>
                <w:szCs w:val="16"/>
              </w:rPr>
            </w:pPr>
            <w:r w:rsidRPr="00051409">
              <w:rPr>
                <w:rFonts w:ascii="Arial" w:hAnsi="Arial" w:cs="Arial"/>
                <w:b w:val="0"/>
                <w:sz w:val="16"/>
                <w:szCs w:val="16"/>
              </w:rPr>
              <w:t xml:space="preserve">were published in English, and </w:t>
            </w:r>
          </w:p>
          <w:p w14:paraId="036A9318" w14:textId="77777777" w:rsidR="00156F2B" w:rsidRPr="00051409" w:rsidRDefault="00156F2B" w:rsidP="00550F0C">
            <w:pPr>
              <w:numPr>
                <w:ilvl w:val="0"/>
                <w:numId w:val="3"/>
              </w:numPr>
              <w:spacing w:after="0" w:line="240" w:lineRule="auto"/>
              <w:ind w:left="157" w:hanging="90"/>
              <w:contextualSpacing/>
              <w:rPr>
                <w:rFonts w:ascii="Arial" w:hAnsi="Arial" w:cs="Arial"/>
                <w:b w:val="0"/>
                <w:sz w:val="16"/>
                <w:szCs w:val="16"/>
              </w:rPr>
            </w:pPr>
            <w:bookmarkStart w:id="1" w:name="_Hlk207233585"/>
            <w:r w:rsidRPr="00051409">
              <w:rPr>
                <w:rFonts w:ascii="Arial" w:hAnsi="Arial" w:cs="Arial"/>
                <w:b w:val="0"/>
                <w:sz w:val="16"/>
                <w:szCs w:val="16"/>
              </w:rPr>
              <w:t xml:space="preserve">were peer-reviewed </w:t>
            </w:r>
          </w:p>
          <w:bookmarkEnd w:id="1"/>
          <w:p w14:paraId="2A99B884" w14:textId="77777777" w:rsidR="00156F2B" w:rsidRPr="00051409" w:rsidRDefault="00156F2B" w:rsidP="00550F0C">
            <w:pPr>
              <w:numPr>
                <w:ilvl w:val="0"/>
                <w:numId w:val="3"/>
              </w:numPr>
              <w:spacing w:after="0" w:line="240" w:lineRule="auto"/>
              <w:ind w:left="157" w:hanging="90"/>
              <w:contextualSpacing/>
              <w:rPr>
                <w:rFonts w:ascii="Arial" w:hAnsi="Arial" w:cs="Arial"/>
                <w:b w:val="0"/>
                <w:sz w:val="16"/>
                <w:szCs w:val="16"/>
              </w:rPr>
            </w:pPr>
            <w:r w:rsidRPr="00051409">
              <w:rPr>
                <w:rFonts w:ascii="Arial" w:hAnsi="Arial" w:cs="Arial"/>
                <w:b w:val="0"/>
                <w:sz w:val="16"/>
                <w:szCs w:val="16"/>
              </w:rPr>
              <w:t>Studies were included  if they were between 2020 to 2025</w:t>
            </w:r>
          </w:p>
        </w:tc>
        <w:tc>
          <w:tcPr>
            <w:tcW w:w="2160" w:type="dxa"/>
          </w:tcPr>
          <w:p w14:paraId="66486DA7" w14:textId="77777777" w:rsidR="00156F2B" w:rsidRPr="00051409" w:rsidRDefault="00156F2B" w:rsidP="00550F0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1409">
              <w:rPr>
                <w:rFonts w:ascii="Arial" w:hAnsi="Arial" w:cs="Arial"/>
                <w:noProof/>
                <w:sz w:val="16"/>
                <w:szCs w:val="16"/>
              </w:rPr>
              <mc:AlternateContent>
                <mc:Choice Requires="wps">
                  <w:drawing>
                    <wp:anchor distT="0" distB="0" distL="114300" distR="114300" simplePos="0" relativeHeight="251660288" behindDoc="0" locked="0" layoutInCell="1" allowOverlap="1" wp14:anchorId="29D28BD0" wp14:editId="0D4A6D07">
                      <wp:simplePos x="0" y="0"/>
                      <wp:positionH relativeFrom="column">
                        <wp:posOffset>512064</wp:posOffset>
                      </wp:positionH>
                      <wp:positionV relativeFrom="paragraph">
                        <wp:posOffset>-866953</wp:posOffset>
                      </wp:positionV>
                      <wp:extent cx="62890" cy="1503045"/>
                      <wp:effectExtent l="19050" t="19050" r="32385" b="40005"/>
                      <wp:wrapNone/>
                      <wp:docPr id="439" name="Freeform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90" cy="1503045"/>
                              </a:xfrm>
                              <a:custGeom>
                                <a:avLst/>
                                <a:gdLst>
                                  <a:gd name="T0" fmla="*/ 0 w 76"/>
                                  <a:gd name="T1" fmla="*/ 33 h 847"/>
                                  <a:gd name="T2" fmla="*/ 38 w 76"/>
                                  <a:gd name="T3" fmla="*/ 0 h 847"/>
                                  <a:gd name="T4" fmla="*/ 76 w 76"/>
                                  <a:gd name="T5" fmla="*/ 33 h 847"/>
                                  <a:gd name="T6" fmla="*/ 57 w 76"/>
                                  <a:gd name="T7" fmla="*/ 33 h 847"/>
                                  <a:gd name="T8" fmla="*/ 57 w 76"/>
                                  <a:gd name="T9" fmla="*/ 815 h 847"/>
                                  <a:gd name="T10" fmla="*/ 76 w 76"/>
                                  <a:gd name="T11" fmla="*/ 815 h 847"/>
                                  <a:gd name="T12" fmla="*/ 38 w 76"/>
                                  <a:gd name="T13" fmla="*/ 847 h 847"/>
                                  <a:gd name="T14" fmla="*/ 0 w 76"/>
                                  <a:gd name="T15" fmla="*/ 815 h 847"/>
                                  <a:gd name="T16" fmla="*/ 19 w 76"/>
                                  <a:gd name="T17" fmla="*/ 815 h 847"/>
                                  <a:gd name="T18" fmla="*/ 19 w 76"/>
                                  <a:gd name="T19" fmla="*/ 33 h 847"/>
                                  <a:gd name="T20" fmla="*/ 0 w 76"/>
                                  <a:gd name="T21" fmla="*/ 33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 h="847">
                                    <a:moveTo>
                                      <a:pt x="0" y="33"/>
                                    </a:moveTo>
                                    <a:lnTo>
                                      <a:pt x="38" y="0"/>
                                    </a:lnTo>
                                    <a:lnTo>
                                      <a:pt x="76" y="33"/>
                                    </a:lnTo>
                                    <a:lnTo>
                                      <a:pt x="57" y="33"/>
                                    </a:lnTo>
                                    <a:lnTo>
                                      <a:pt x="57" y="815"/>
                                    </a:lnTo>
                                    <a:lnTo>
                                      <a:pt x="76" y="815"/>
                                    </a:lnTo>
                                    <a:lnTo>
                                      <a:pt x="38" y="847"/>
                                    </a:lnTo>
                                    <a:lnTo>
                                      <a:pt x="0" y="815"/>
                                    </a:lnTo>
                                    <a:lnTo>
                                      <a:pt x="19" y="815"/>
                                    </a:lnTo>
                                    <a:lnTo>
                                      <a:pt x="19" y="33"/>
                                    </a:lnTo>
                                    <a:lnTo>
                                      <a:pt x="0" y="33"/>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62A2AA" id="Freeform 442" o:spid="_x0000_s1026" style="position:absolute;margin-left:40.3pt;margin-top:-68.25pt;width:4.95pt;height:1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" path="m,33l38,,76,33r-19,l57,815r19,l38,847,,815r19,l19,33,,33xe" filled="f" strokecolor="#385d8a" strokeweight="2pt">
                      <v:stroke joinstyle="miter"/>
                      <v:path arrowok="t" o:connecttype="custom" o:connectlocs="0,58560;31445,0;62890,58560;47168,58560;47168,1446259;62890,1446259;31445,1503045;0,1446259;15723,1446259;15723,58560;0,58560" o:connectangles="0,0,0,0,0,0,0,0,0,0,0"/>
                    </v:shape>
                  </w:pict>
                </mc:Fallback>
              </mc:AlternateContent>
            </w:r>
          </w:p>
          <w:p w14:paraId="03A3875F" w14:textId="77777777" w:rsidR="00156F2B" w:rsidRPr="00051409" w:rsidRDefault="00156F2B" w:rsidP="00550F0C">
            <w:pPr>
              <w:numPr>
                <w:ilvl w:val="0"/>
                <w:numId w:val="3"/>
              </w:numPr>
              <w:spacing w:after="0" w:line="240" w:lineRule="auto"/>
              <w:ind w:left="157" w:hanging="90"/>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1409">
              <w:rPr>
                <w:rFonts w:ascii="Arial" w:hAnsi="Arial" w:cs="Arial"/>
                <w:noProof/>
                <w:sz w:val="16"/>
                <w:szCs w:val="16"/>
              </w:rPr>
              <mc:AlternateContent>
                <mc:Choice Requires="wps">
                  <w:drawing>
                    <wp:anchor distT="0" distB="0" distL="114300" distR="114300" simplePos="0" relativeHeight="251659264" behindDoc="0" locked="0" layoutInCell="1" allowOverlap="1" wp14:anchorId="7B455D70" wp14:editId="2F1E7EDC">
                      <wp:simplePos x="0" y="0"/>
                      <wp:positionH relativeFrom="column">
                        <wp:posOffset>-21946</wp:posOffset>
                      </wp:positionH>
                      <wp:positionV relativeFrom="paragraph">
                        <wp:posOffset>440842</wp:posOffset>
                      </wp:positionV>
                      <wp:extent cx="1185062" cy="71475"/>
                      <wp:effectExtent l="19050" t="19050" r="34290" b="43180"/>
                      <wp:wrapNone/>
                      <wp:docPr id="437" name="Freeform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5062" cy="71475"/>
                              </a:xfrm>
                              <a:custGeom>
                                <a:avLst/>
                                <a:gdLst>
                                  <a:gd name="T0" fmla="*/ 1056 w 1102"/>
                                  <a:gd name="T1" fmla="*/ 0 h 78"/>
                                  <a:gd name="T2" fmla="*/ 1102 w 1102"/>
                                  <a:gd name="T3" fmla="*/ 39 h 78"/>
                                  <a:gd name="T4" fmla="*/ 1056 w 1102"/>
                                  <a:gd name="T5" fmla="*/ 78 h 78"/>
                                  <a:gd name="T6" fmla="*/ 1056 w 1102"/>
                                  <a:gd name="T7" fmla="*/ 58 h 78"/>
                                  <a:gd name="T8" fmla="*/ 45 w 1102"/>
                                  <a:gd name="T9" fmla="*/ 58 h 78"/>
                                  <a:gd name="T10" fmla="*/ 45 w 1102"/>
                                  <a:gd name="T11" fmla="*/ 78 h 78"/>
                                  <a:gd name="T12" fmla="*/ 0 w 1102"/>
                                  <a:gd name="T13" fmla="*/ 39 h 78"/>
                                  <a:gd name="T14" fmla="*/ 45 w 1102"/>
                                  <a:gd name="T15" fmla="*/ 0 h 78"/>
                                  <a:gd name="T16" fmla="*/ 45 w 1102"/>
                                  <a:gd name="T17" fmla="*/ 19 h 78"/>
                                  <a:gd name="T18" fmla="*/ 1056 w 1102"/>
                                  <a:gd name="T19" fmla="*/ 19 h 78"/>
                                  <a:gd name="T20" fmla="*/ 1056 w 1102"/>
                                  <a:gd name="T2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2" h="78">
                                    <a:moveTo>
                                      <a:pt x="1056" y="0"/>
                                    </a:moveTo>
                                    <a:lnTo>
                                      <a:pt x="1102" y="39"/>
                                    </a:lnTo>
                                    <a:lnTo>
                                      <a:pt x="1056" y="78"/>
                                    </a:lnTo>
                                    <a:lnTo>
                                      <a:pt x="1056" y="58"/>
                                    </a:lnTo>
                                    <a:lnTo>
                                      <a:pt x="45" y="58"/>
                                    </a:lnTo>
                                    <a:lnTo>
                                      <a:pt x="45" y="78"/>
                                    </a:lnTo>
                                    <a:lnTo>
                                      <a:pt x="0" y="39"/>
                                    </a:lnTo>
                                    <a:lnTo>
                                      <a:pt x="45" y="0"/>
                                    </a:lnTo>
                                    <a:lnTo>
                                      <a:pt x="45" y="19"/>
                                    </a:lnTo>
                                    <a:lnTo>
                                      <a:pt x="1056" y="19"/>
                                    </a:lnTo>
                                    <a:lnTo>
                                      <a:pt x="1056" y="0"/>
                                    </a:lnTo>
                                    <a:close/>
                                  </a:path>
                                </a:pathLst>
                              </a:custGeom>
                              <a:noFill/>
                              <a:ln w="25400" cap="flat">
                                <a:solidFill>
                                  <a:srgbClr val="385D8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163A87" id="Freeform 440" o:spid="_x0000_s1026" style="position:absolute;margin-left:-1.75pt;margin-top:34.7pt;width:93.3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0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" path="m1056,r46,39l1056,78r,-20l45,58r,20l,39,45,r,19l1056,19r,-19xe" filled="f" strokecolor="#385d8a" strokeweight="2pt">
                      <v:stroke joinstyle="miter"/>
                      <v:path arrowok="t" o:connecttype="custom" o:connectlocs="1135595,0;1185062,35738;1135595,71475;1135595,53148;48392,53148;48392,71475;0,35738;48392,0;48392,17411;1135595,17411;1135595,0" o:connectangles="0,0,0,0,0,0,0,0,0,0,0"/>
                    </v:shape>
                  </w:pict>
                </mc:Fallback>
              </mc:AlternateContent>
            </w:r>
          </w:p>
        </w:tc>
        <w:tc>
          <w:tcPr>
            <w:tcW w:w="3994" w:type="dxa"/>
          </w:tcPr>
          <w:p w14:paraId="338D09F9"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051409">
              <w:rPr>
                <w:rFonts w:ascii="Arial" w:hAnsi="Arial" w:cs="Arial"/>
                <w:b/>
                <w:sz w:val="16"/>
                <w:szCs w:val="16"/>
              </w:rPr>
              <w:t>Exclusion  criteria</w:t>
            </w:r>
          </w:p>
          <w:p w14:paraId="44C473B8"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sz w:val="16"/>
                <w:szCs w:val="16"/>
              </w:rPr>
              <w:t xml:space="preserve">- Duplicate articles </w:t>
            </w:r>
          </w:p>
          <w:p w14:paraId="3F9820A7"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sz w:val="16"/>
                <w:szCs w:val="16"/>
              </w:rPr>
              <w:t xml:space="preserve">- Non-peer-reviewed article </w:t>
            </w:r>
          </w:p>
          <w:p w14:paraId="4A297318"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sz w:val="16"/>
                <w:szCs w:val="16"/>
              </w:rPr>
              <w:t>- Irrelevant studies and not between 2020 to 2025</w:t>
            </w:r>
          </w:p>
          <w:p w14:paraId="3331440D"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sz w:val="16"/>
                <w:szCs w:val="16"/>
              </w:rPr>
              <w:t>- Studies without full-text availability</w:t>
            </w:r>
          </w:p>
          <w:p w14:paraId="040C6285" w14:textId="77777777" w:rsidR="00156F2B" w:rsidRPr="00051409" w:rsidRDefault="00156F2B" w:rsidP="00550F0C">
            <w:pPr>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sz w:val="16"/>
                <w:szCs w:val="16"/>
              </w:rPr>
              <w:t xml:space="preserve">- Language: Non-English publications, </w:t>
            </w:r>
          </w:p>
          <w:p w14:paraId="6A2C39D7"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sz w:val="16"/>
                <w:szCs w:val="16"/>
              </w:rPr>
              <w:t>- Studies not relevant to the topic,</w:t>
            </w:r>
          </w:p>
          <w:p w14:paraId="3DB3EFC8" w14:textId="77777777" w:rsidR="00156F2B" w:rsidRPr="00051409" w:rsidRDefault="00156F2B" w:rsidP="00550F0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1409">
              <w:rPr>
                <w:rFonts w:ascii="Arial" w:hAnsi="Arial" w:cs="Arial"/>
                <w:sz w:val="16"/>
                <w:szCs w:val="16"/>
              </w:rPr>
              <w:t xml:space="preserve">- Studies not published in a journal or conference proceedings.. </w:t>
            </w:r>
          </w:p>
        </w:tc>
      </w:tr>
    </w:tbl>
    <w:p w14:paraId="6E51D94A" w14:textId="7273F116" w:rsidR="00156F2B" w:rsidRPr="00051409" w:rsidRDefault="00C55911" w:rsidP="00156F2B">
      <w:pPr>
        <w:jc w:val="both"/>
        <w:rPr>
          <w:rFonts w:ascii="Arial" w:hAnsi="Arial" w:cs="Arial"/>
          <w:sz w:val="16"/>
          <w:szCs w:val="16"/>
        </w:rPr>
      </w:pPr>
      <w:r w:rsidRPr="00C55911">
        <w:rPr>
          <w:rFonts w:ascii="Arial" w:hAnsi="Arial" w:cs="Arial"/>
          <w:b/>
          <w:iCs/>
          <w:sz w:val="16"/>
          <w:szCs w:val="16"/>
        </w:rPr>
        <w:t xml:space="preserve">chart </w:t>
      </w:r>
      <w:r w:rsidR="00156F2B" w:rsidRPr="00051409">
        <w:rPr>
          <w:rFonts w:ascii="Arial" w:hAnsi="Arial" w:cs="Arial"/>
          <w:b/>
          <w:iCs/>
          <w:sz w:val="16"/>
          <w:szCs w:val="16"/>
        </w:rPr>
        <w:t>1. PRISMA Flow Chart</w:t>
      </w:r>
      <w:r w:rsidR="00156F2B" w:rsidRPr="00051409">
        <w:rPr>
          <w:rFonts w:ascii="Arial" w:hAnsi="Arial" w:cs="Arial"/>
          <w:i/>
          <w:iCs/>
          <w:sz w:val="16"/>
          <w:szCs w:val="16"/>
        </w:rPr>
        <w:t xml:space="preserve"> ( Source  adopted </w:t>
      </w:r>
      <w:r w:rsidR="00711704" w:rsidRPr="00051409">
        <w:rPr>
          <w:rFonts w:ascii="Arial" w:hAnsi="Arial" w:cs="Arial"/>
          <w:i/>
          <w:iCs/>
          <w:sz w:val="16"/>
          <w:szCs w:val="16"/>
        </w:rPr>
        <w:t>f</w:t>
      </w:r>
      <w:r w:rsidR="00156F2B" w:rsidRPr="00051409">
        <w:rPr>
          <w:rFonts w:ascii="Arial" w:hAnsi="Arial" w:cs="Arial"/>
          <w:i/>
          <w:iCs/>
          <w:sz w:val="16"/>
          <w:szCs w:val="16"/>
        </w:rPr>
        <w:t xml:space="preserve">rom: </w:t>
      </w:r>
      <w:r w:rsidR="00156F2B" w:rsidRPr="00051409">
        <w:rPr>
          <w:rFonts w:ascii="Arial" w:hAnsi="Arial" w:cs="Arial"/>
          <w:sz w:val="16"/>
          <w:szCs w:val="16"/>
        </w:rPr>
        <w:t xml:space="preserve"> Page MJ, McKenzie JE, </w:t>
      </w:r>
      <w:proofErr w:type="spellStart"/>
      <w:r w:rsidR="00156F2B" w:rsidRPr="00051409">
        <w:rPr>
          <w:rFonts w:ascii="Arial" w:hAnsi="Arial" w:cs="Arial"/>
          <w:sz w:val="16"/>
          <w:szCs w:val="16"/>
        </w:rPr>
        <w:t>Bossuyt</w:t>
      </w:r>
      <w:proofErr w:type="spellEnd"/>
      <w:r w:rsidR="00156F2B" w:rsidRPr="00051409">
        <w:rPr>
          <w:rFonts w:ascii="Arial" w:hAnsi="Arial" w:cs="Arial"/>
          <w:sz w:val="16"/>
          <w:szCs w:val="16"/>
        </w:rPr>
        <w:t xml:space="preserve"> PM, </w:t>
      </w:r>
      <w:proofErr w:type="spellStart"/>
      <w:r w:rsidR="00156F2B" w:rsidRPr="00051409">
        <w:rPr>
          <w:rFonts w:ascii="Arial" w:hAnsi="Arial" w:cs="Arial"/>
          <w:sz w:val="16"/>
          <w:szCs w:val="16"/>
        </w:rPr>
        <w:t>Boutron</w:t>
      </w:r>
      <w:proofErr w:type="spellEnd"/>
      <w:r w:rsidR="00156F2B" w:rsidRPr="00051409">
        <w:rPr>
          <w:rFonts w:ascii="Arial" w:hAnsi="Arial" w:cs="Arial"/>
          <w:sz w:val="16"/>
          <w:szCs w:val="16"/>
        </w:rPr>
        <w:t xml:space="preserve"> I, Hoffmann TC, Mulrow CD, et al. The PRISMA 2020 statement: an updated guideline for reporting systematic reviews. BMJ 2021;372:n71. </w:t>
      </w:r>
      <w:proofErr w:type="spellStart"/>
      <w:r w:rsidR="00156F2B" w:rsidRPr="00051409">
        <w:rPr>
          <w:rFonts w:ascii="Arial" w:hAnsi="Arial" w:cs="Arial"/>
          <w:sz w:val="16"/>
          <w:szCs w:val="16"/>
        </w:rPr>
        <w:t>doi</w:t>
      </w:r>
      <w:proofErr w:type="spellEnd"/>
      <w:r w:rsidR="00156F2B" w:rsidRPr="00051409">
        <w:rPr>
          <w:rFonts w:ascii="Arial" w:hAnsi="Arial" w:cs="Arial"/>
          <w:sz w:val="16"/>
          <w:szCs w:val="16"/>
        </w:rPr>
        <w:t xml:space="preserve">: 10.1136/bmj.n71. This work is licensed under CC BY 4.0. </w:t>
      </w:r>
      <w:r w:rsidR="00711704" w:rsidRPr="00051409">
        <w:rPr>
          <w:rFonts w:ascii="Arial" w:hAnsi="Arial" w:cs="Arial"/>
          <w:sz w:val="16"/>
          <w:szCs w:val="16"/>
        </w:rPr>
        <w:t xml:space="preserve">To view a copy of this license, visit </w:t>
      </w:r>
      <w:hyperlink r:id="rId8" w:history="1">
        <w:r w:rsidR="00711704" w:rsidRPr="00051409">
          <w:rPr>
            <w:rStyle w:val="Hyperlink"/>
            <w:rFonts w:ascii="Arial" w:hAnsi="Arial" w:cs="Arial"/>
            <w:sz w:val="16"/>
            <w:szCs w:val="16"/>
          </w:rPr>
          <w:t>https://creativecommons.org/licenses/by/4.0/</w:t>
        </w:r>
      </w:hyperlink>
    </w:p>
    <w:p w14:paraId="22DB7ADC" w14:textId="7A03993A" w:rsidR="00156F2B" w:rsidRPr="00051409" w:rsidRDefault="00156F2B" w:rsidP="00156F2B">
      <w:pPr>
        <w:spacing w:after="0" w:line="240" w:lineRule="auto"/>
        <w:jc w:val="both"/>
        <w:rPr>
          <w:rFonts w:ascii="Arial" w:hAnsi="Arial" w:cs="Arial"/>
          <w:b/>
          <w:bCs/>
          <w:sz w:val="16"/>
          <w:szCs w:val="16"/>
        </w:rPr>
      </w:pPr>
    </w:p>
    <w:p w14:paraId="771A31E4" w14:textId="77777777" w:rsidR="007A5220" w:rsidRPr="007A5220" w:rsidRDefault="007A5220" w:rsidP="00156F2B">
      <w:pPr>
        <w:spacing w:after="0" w:line="240" w:lineRule="auto"/>
        <w:jc w:val="both"/>
        <w:rPr>
          <w:rFonts w:ascii="Times New Roman" w:hAnsi="Times New Roman"/>
          <w:b/>
          <w:bCs/>
          <w:sz w:val="20"/>
          <w:szCs w:val="20"/>
        </w:rPr>
      </w:pPr>
    </w:p>
    <w:p w14:paraId="3276A154" w14:textId="77777777" w:rsidR="00156F2B" w:rsidRDefault="00156F2B" w:rsidP="00156F2B">
      <w:pPr>
        <w:spacing w:after="0" w:line="240" w:lineRule="auto"/>
        <w:jc w:val="both"/>
        <w:rPr>
          <w:rFonts w:ascii="Times New Roman" w:hAnsi="Times New Roman"/>
          <w:b/>
          <w:bCs/>
          <w:sz w:val="24"/>
          <w:szCs w:val="24"/>
        </w:rPr>
      </w:pPr>
    </w:p>
    <w:p w14:paraId="59817A74" w14:textId="02E6B3D8" w:rsidR="003D3EE7" w:rsidRPr="00051409" w:rsidRDefault="00156F2B" w:rsidP="00156F2B">
      <w:pPr>
        <w:spacing w:after="0" w:line="240" w:lineRule="auto"/>
        <w:jc w:val="both"/>
        <w:rPr>
          <w:rFonts w:ascii="Arial" w:hAnsi="Arial" w:cs="Arial"/>
          <w:b/>
          <w:bCs/>
          <w:sz w:val="16"/>
          <w:szCs w:val="16"/>
        </w:rPr>
      </w:pPr>
      <w:r w:rsidRPr="00051409">
        <w:rPr>
          <w:rFonts w:ascii="Arial" w:hAnsi="Arial" w:cs="Arial"/>
          <w:b/>
          <w:bCs/>
          <w:sz w:val="16"/>
          <w:szCs w:val="16"/>
        </w:rPr>
        <w:t>2.8</w:t>
      </w:r>
      <w:r w:rsidR="00970C5C" w:rsidRPr="00051409">
        <w:rPr>
          <w:rFonts w:ascii="Arial" w:hAnsi="Arial" w:cs="Arial"/>
          <w:b/>
          <w:bCs/>
          <w:sz w:val="16"/>
          <w:szCs w:val="16"/>
        </w:rPr>
        <w:t xml:space="preserve">) </w:t>
      </w:r>
      <w:r w:rsidR="00C07DE3" w:rsidRPr="00051409">
        <w:rPr>
          <w:rFonts w:ascii="Arial" w:hAnsi="Arial" w:cs="Arial"/>
          <w:b/>
          <w:bCs/>
          <w:sz w:val="16"/>
          <w:szCs w:val="16"/>
        </w:rPr>
        <w:t>Assessment of Publication Bias</w:t>
      </w:r>
    </w:p>
    <w:p w14:paraId="56B31BF5" w14:textId="5E3A43C1" w:rsidR="007B5596" w:rsidRPr="00051409" w:rsidRDefault="00C07DE3" w:rsidP="00C26BFD">
      <w:pPr>
        <w:spacing w:after="0" w:line="240" w:lineRule="auto"/>
        <w:jc w:val="both"/>
        <w:rPr>
          <w:rFonts w:ascii="Arial" w:hAnsi="Arial" w:cs="Arial"/>
          <w:sz w:val="16"/>
          <w:szCs w:val="16"/>
        </w:rPr>
      </w:pPr>
      <w:r w:rsidRPr="00051409">
        <w:rPr>
          <w:rFonts w:ascii="Arial" w:hAnsi="Arial" w:cs="Arial"/>
          <w:sz w:val="16"/>
          <w:szCs w:val="16"/>
        </w:rPr>
        <w:t>Publication bias occurs when studies with statistically significant results are more likely to be published than studies with null or non-significant results (Page et al., 2023). To assess publication bias in this systematic review, several methods were employed.</w:t>
      </w:r>
    </w:p>
    <w:p w14:paraId="304463E4" w14:textId="1A2DD96E" w:rsidR="003D3EE7" w:rsidRPr="00051409" w:rsidRDefault="00C07DE3" w:rsidP="00C26BFD">
      <w:pPr>
        <w:pStyle w:val="ListParagraph"/>
        <w:numPr>
          <w:ilvl w:val="0"/>
          <w:numId w:val="5"/>
        </w:numPr>
        <w:spacing w:after="0" w:line="240" w:lineRule="auto"/>
        <w:jc w:val="both"/>
        <w:rPr>
          <w:rFonts w:ascii="Arial" w:hAnsi="Arial" w:cs="Arial"/>
          <w:b/>
          <w:sz w:val="16"/>
          <w:szCs w:val="16"/>
        </w:rPr>
      </w:pPr>
      <w:r w:rsidRPr="00051409">
        <w:rPr>
          <w:rFonts w:ascii="Arial" w:hAnsi="Arial" w:cs="Arial"/>
          <w:b/>
          <w:sz w:val="16"/>
          <w:szCs w:val="16"/>
        </w:rPr>
        <w:t>Funnel Plot</w:t>
      </w:r>
    </w:p>
    <w:p w14:paraId="4AB8EC28" w14:textId="77777777" w:rsidR="003D3EE7" w:rsidRPr="00051409" w:rsidRDefault="00C07DE3" w:rsidP="00C26BFD">
      <w:pPr>
        <w:spacing w:after="0" w:line="240" w:lineRule="auto"/>
        <w:jc w:val="both"/>
        <w:rPr>
          <w:rFonts w:ascii="Arial" w:hAnsi="Arial" w:cs="Arial"/>
          <w:sz w:val="16"/>
          <w:szCs w:val="16"/>
        </w:rPr>
      </w:pPr>
      <w:r w:rsidRPr="00051409">
        <w:rPr>
          <w:rFonts w:ascii="Arial" w:hAnsi="Arial" w:cs="Arial"/>
          <w:sz w:val="16"/>
          <w:szCs w:val="16"/>
        </w:rPr>
        <w:t xml:space="preserve">A funnel plot was used to visualize the distribution of studies in the meta-analysis (Sterne </w:t>
      </w:r>
      <w:r w:rsidRPr="00051409">
        <w:rPr>
          <w:rFonts w:ascii="Arial" w:hAnsi="Arial" w:cs="Arial"/>
          <w:i/>
          <w:sz w:val="16"/>
          <w:szCs w:val="16"/>
        </w:rPr>
        <w:t>et al</w:t>
      </w:r>
      <w:r w:rsidRPr="00051409">
        <w:rPr>
          <w:rFonts w:ascii="Arial" w:hAnsi="Arial" w:cs="Arial"/>
          <w:sz w:val="16"/>
          <w:szCs w:val="16"/>
        </w:rPr>
        <w:t>., 2023). The funnel plot is a scatterplot of the effect size against the standard error of the studies. Asymmetry in the funnel plot can indicate publication bias.</w:t>
      </w:r>
    </w:p>
    <w:p w14:paraId="33489B91" w14:textId="4D1DE5B7" w:rsidR="003D3EE7" w:rsidRPr="00051409" w:rsidRDefault="00C07DE3" w:rsidP="00C26BFD">
      <w:pPr>
        <w:pStyle w:val="ListParagraph"/>
        <w:numPr>
          <w:ilvl w:val="0"/>
          <w:numId w:val="5"/>
        </w:numPr>
        <w:spacing w:after="0" w:line="240" w:lineRule="auto"/>
        <w:jc w:val="both"/>
        <w:rPr>
          <w:rFonts w:ascii="Arial" w:hAnsi="Arial" w:cs="Arial"/>
          <w:b/>
          <w:sz w:val="16"/>
          <w:szCs w:val="16"/>
        </w:rPr>
      </w:pPr>
      <w:r w:rsidRPr="00051409">
        <w:rPr>
          <w:rFonts w:ascii="Arial" w:hAnsi="Arial" w:cs="Arial"/>
          <w:b/>
          <w:sz w:val="16"/>
          <w:szCs w:val="16"/>
        </w:rPr>
        <w:t>Egger's Test</w:t>
      </w:r>
    </w:p>
    <w:p w14:paraId="0384C5C6" w14:textId="77777777" w:rsidR="003D3EE7" w:rsidRPr="00051409" w:rsidRDefault="00C07DE3" w:rsidP="00C26BFD">
      <w:pPr>
        <w:spacing w:after="0" w:line="240" w:lineRule="auto"/>
        <w:jc w:val="both"/>
        <w:rPr>
          <w:rFonts w:ascii="Arial" w:hAnsi="Arial" w:cs="Arial"/>
          <w:sz w:val="16"/>
          <w:szCs w:val="16"/>
        </w:rPr>
      </w:pPr>
      <w:r w:rsidRPr="00051409">
        <w:rPr>
          <w:rFonts w:ascii="Arial" w:hAnsi="Arial" w:cs="Arial"/>
          <w:sz w:val="16"/>
          <w:szCs w:val="16"/>
        </w:rPr>
        <w:t xml:space="preserve">Egger's test was used to statistically assess the asymmetry of the funnel plot (Egger </w:t>
      </w:r>
      <w:r w:rsidRPr="00051409">
        <w:rPr>
          <w:rFonts w:ascii="Arial" w:hAnsi="Arial" w:cs="Arial"/>
          <w:i/>
          <w:sz w:val="16"/>
          <w:szCs w:val="16"/>
        </w:rPr>
        <w:t>et al.,</w:t>
      </w:r>
      <w:r w:rsidRPr="00051409">
        <w:rPr>
          <w:rFonts w:ascii="Arial" w:hAnsi="Arial" w:cs="Arial"/>
          <w:sz w:val="16"/>
          <w:szCs w:val="16"/>
        </w:rPr>
        <w:t xml:space="preserve"> 2023). A significant result (p &lt; 0.05) indicates the presence of publication bias.</w:t>
      </w:r>
    </w:p>
    <w:p w14:paraId="17A3E3F8" w14:textId="12EE011D" w:rsidR="003D3EE7" w:rsidRPr="00051409" w:rsidRDefault="00C07DE3" w:rsidP="00C26BFD">
      <w:pPr>
        <w:pStyle w:val="ListParagraph"/>
        <w:numPr>
          <w:ilvl w:val="0"/>
          <w:numId w:val="5"/>
        </w:numPr>
        <w:spacing w:after="0" w:line="240" w:lineRule="auto"/>
        <w:jc w:val="both"/>
        <w:rPr>
          <w:rFonts w:ascii="Arial" w:hAnsi="Arial" w:cs="Arial"/>
          <w:b/>
          <w:sz w:val="16"/>
          <w:szCs w:val="16"/>
        </w:rPr>
      </w:pPr>
      <w:r w:rsidRPr="00051409">
        <w:rPr>
          <w:rFonts w:ascii="Arial" w:hAnsi="Arial" w:cs="Arial"/>
          <w:b/>
          <w:sz w:val="16"/>
          <w:szCs w:val="16"/>
        </w:rPr>
        <w:t>Trim-and-Fill Method</w:t>
      </w:r>
    </w:p>
    <w:p w14:paraId="056D6CED" w14:textId="2DCECB7F" w:rsidR="003D3EE7" w:rsidRPr="00051409" w:rsidRDefault="00C07DE3" w:rsidP="00C26BFD">
      <w:pPr>
        <w:spacing w:after="0" w:line="240" w:lineRule="auto"/>
        <w:jc w:val="both"/>
        <w:rPr>
          <w:rFonts w:ascii="Arial" w:hAnsi="Arial" w:cs="Arial"/>
          <w:sz w:val="16"/>
          <w:szCs w:val="16"/>
        </w:rPr>
      </w:pPr>
      <w:r w:rsidRPr="00051409">
        <w:rPr>
          <w:rFonts w:ascii="Arial" w:hAnsi="Arial" w:cs="Arial"/>
          <w:sz w:val="16"/>
          <w:szCs w:val="16"/>
        </w:rPr>
        <w:t>The trim-and-fill method was used to estimate the number of missing studies and to adjust the effect size estimate for publication bias (Duval &amp; Tweedie, 2023). This method involves trimming studies from the funnel plot to make it symmetrical and then filling in the missing studies to estimate the true effect size.</w:t>
      </w:r>
    </w:p>
    <w:p w14:paraId="7161815A" w14:textId="77777777" w:rsidR="00EB4101" w:rsidRPr="00051409" w:rsidRDefault="00EB4101" w:rsidP="00C26BFD">
      <w:pPr>
        <w:spacing w:after="0" w:line="240" w:lineRule="auto"/>
        <w:jc w:val="both"/>
        <w:rPr>
          <w:rFonts w:ascii="Arial" w:hAnsi="Arial" w:cs="Arial"/>
          <w:sz w:val="16"/>
          <w:szCs w:val="16"/>
        </w:rPr>
      </w:pPr>
    </w:p>
    <w:p w14:paraId="074320B6" w14:textId="194A84A8" w:rsidR="0052015F" w:rsidRPr="00051409" w:rsidRDefault="0052015F" w:rsidP="00C26BFD">
      <w:pPr>
        <w:pStyle w:val="ListParagraph"/>
        <w:numPr>
          <w:ilvl w:val="0"/>
          <w:numId w:val="6"/>
        </w:numPr>
        <w:spacing w:after="0" w:line="240" w:lineRule="auto"/>
        <w:jc w:val="both"/>
        <w:rPr>
          <w:rFonts w:ascii="Arial" w:hAnsi="Arial" w:cs="Arial"/>
          <w:b/>
          <w:sz w:val="16"/>
          <w:szCs w:val="16"/>
        </w:rPr>
      </w:pPr>
      <w:r w:rsidRPr="00051409">
        <w:rPr>
          <w:rFonts w:ascii="Arial" w:hAnsi="Arial" w:cs="Arial"/>
          <w:b/>
          <w:sz w:val="16"/>
          <w:szCs w:val="16"/>
        </w:rPr>
        <w:t xml:space="preserve">RESULTS </w:t>
      </w:r>
    </w:p>
    <w:p w14:paraId="0901B8C2" w14:textId="06967009" w:rsidR="0052015F" w:rsidRPr="00051409" w:rsidRDefault="0052015F" w:rsidP="00C26BFD">
      <w:pPr>
        <w:spacing w:after="0" w:line="240" w:lineRule="auto"/>
        <w:jc w:val="both"/>
        <w:rPr>
          <w:rFonts w:ascii="Arial" w:hAnsi="Arial" w:cs="Arial"/>
          <w:sz w:val="16"/>
          <w:szCs w:val="16"/>
        </w:rPr>
      </w:pPr>
      <w:r w:rsidRPr="00051409">
        <w:rPr>
          <w:rFonts w:ascii="Arial" w:hAnsi="Arial" w:cs="Arial"/>
          <w:sz w:val="16"/>
          <w:szCs w:val="16"/>
        </w:rPr>
        <w:t xml:space="preserve">Results of this systematic review is presented in the following table 1,2,3,4 </w:t>
      </w:r>
      <w:r w:rsidR="00EB4101" w:rsidRPr="00051409">
        <w:rPr>
          <w:rFonts w:ascii="Arial" w:hAnsi="Arial" w:cs="Arial"/>
          <w:sz w:val="16"/>
          <w:szCs w:val="16"/>
        </w:rPr>
        <w:t>,</w:t>
      </w:r>
      <w:r w:rsidRPr="00051409">
        <w:rPr>
          <w:rFonts w:ascii="Arial" w:hAnsi="Arial" w:cs="Arial"/>
          <w:sz w:val="16"/>
          <w:szCs w:val="16"/>
        </w:rPr>
        <w:t>5</w:t>
      </w:r>
      <w:r w:rsidR="00EB4101" w:rsidRPr="00051409">
        <w:rPr>
          <w:rFonts w:ascii="Arial" w:hAnsi="Arial" w:cs="Arial"/>
          <w:sz w:val="16"/>
          <w:szCs w:val="16"/>
        </w:rPr>
        <w:t xml:space="preserve"> </w:t>
      </w:r>
      <w:r w:rsidR="005F4213" w:rsidRPr="00051409">
        <w:rPr>
          <w:rFonts w:ascii="Arial" w:hAnsi="Arial" w:cs="Arial"/>
          <w:sz w:val="16"/>
          <w:szCs w:val="16"/>
        </w:rPr>
        <w:t>and 6 below.</w:t>
      </w:r>
    </w:p>
    <w:p w14:paraId="2A013093" w14:textId="60C3C585" w:rsidR="00012E76" w:rsidRPr="00051409" w:rsidRDefault="0052015F" w:rsidP="00C26BFD">
      <w:pPr>
        <w:spacing w:after="0" w:line="240" w:lineRule="auto"/>
        <w:jc w:val="both"/>
        <w:rPr>
          <w:rFonts w:ascii="Arial" w:hAnsi="Arial" w:cs="Arial"/>
          <w:sz w:val="16"/>
          <w:szCs w:val="16"/>
        </w:rPr>
      </w:pPr>
      <w:r w:rsidRPr="00051409">
        <w:rPr>
          <w:rFonts w:ascii="Arial" w:hAnsi="Arial" w:cs="Arial"/>
          <w:sz w:val="16"/>
          <w:szCs w:val="16"/>
        </w:rPr>
        <w:lastRenderedPageBreak/>
        <w:t>Table 1 below show</w:t>
      </w:r>
      <w:r w:rsidR="00C26BFD" w:rsidRPr="00051409">
        <w:rPr>
          <w:rFonts w:ascii="Arial" w:hAnsi="Arial" w:cs="Arial"/>
          <w:sz w:val="16"/>
          <w:szCs w:val="16"/>
        </w:rPr>
        <w:t>s</w:t>
      </w:r>
      <w:r w:rsidRPr="00051409">
        <w:rPr>
          <w:rFonts w:ascii="Arial" w:hAnsi="Arial" w:cs="Arial"/>
          <w:sz w:val="16"/>
          <w:szCs w:val="16"/>
        </w:rPr>
        <w:t xml:space="preserve"> the distribution of the number of searched </w:t>
      </w:r>
      <w:r w:rsidR="00C26BFD" w:rsidRPr="00051409">
        <w:rPr>
          <w:rFonts w:ascii="Arial" w:hAnsi="Arial" w:cs="Arial"/>
          <w:sz w:val="16"/>
          <w:szCs w:val="16"/>
        </w:rPr>
        <w:t>articles / percentages</w:t>
      </w:r>
      <w:r w:rsidRPr="00051409">
        <w:rPr>
          <w:rFonts w:ascii="Arial" w:hAnsi="Arial" w:cs="Arial"/>
          <w:sz w:val="16"/>
          <w:szCs w:val="16"/>
        </w:rPr>
        <w:t xml:space="preserve"> ,inclusion and exclusion criteria </w:t>
      </w:r>
      <w:r w:rsidR="00C26BFD" w:rsidRPr="00051409">
        <w:rPr>
          <w:rFonts w:ascii="Arial" w:hAnsi="Arial" w:cs="Arial"/>
          <w:sz w:val="16"/>
          <w:szCs w:val="16"/>
        </w:rPr>
        <w:t>/</w:t>
      </w:r>
      <w:r w:rsidRPr="00051409">
        <w:rPr>
          <w:rFonts w:ascii="Arial" w:hAnsi="Arial" w:cs="Arial"/>
          <w:sz w:val="16"/>
          <w:szCs w:val="16"/>
        </w:rPr>
        <w:t xml:space="preserve"> percentage according to the ten search engines </w:t>
      </w:r>
      <w:r w:rsidR="00C26BFD" w:rsidRPr="00051409">
        <w:rPr>
          <w:rFonts w:ascii="Arial" w:hAnsi="Arial" w:cs="Arial"/>
          <w:sz w:val="16"/>
          <w:szCs w:val="16"/>
        </w:rPr>
        <w:t xml:space="preserve">and </w:t>
      </w:r>
      <w:r w:rsidRPr="00051409">
        <w:rPr>
          <w:rFonts w:ascii="Arial" w:hAnsi="Arial" w:cs="Arial"/>
          <w:sz w:val="16"/>
          <w:szCs w:val="16"/>
        </w:rPr>
        <w:t>the reason</w:t>
      </w:r>
      <w:r w:rsidR="00C26BFD" w:rsidRPr="00051409">
        <w:rPr>
          <w:rFonts w:ascii="Arial" w:hAnsi="Arial" w:cs="Arial"/>
          <w:sz w:val="16"/>
          <w:szCs w:val="16"/>
        </w:rPr>
        <w:t>s</w:t>
      </w:r>
      <w:r w:rsidRPr="00051409">
        <w:rPr>
          <w:rFonts w:ascii="Arial" w:hAnsi="Arial" w:cs="Arial"/>
          <w:sz w:val="16"/>
          <w:szCs w:val="16"/>
        </w:rPr>
        <w:t xml:space="preserve"> of the </w:t>
      </w:r>
      <w:r w:rsidR="00C26BFD" w:rsidRPr="00051409">
        <w:rPr>
          <w:rFonts w:ascii="Arial" w:hAnsi="Arial" w:cs="Arial"/>
          <w:sz w:val="16"/>
          <w:szCs w:val="16"/>
        </w:rPr>
        <w:t>exclusion</w:t>
      </w:r>
      <w:r w:rsidRPr="00051409">
        <w:rPr>
          <w:rFonts w:ascii="Arial" w:hAnsi="Arial" w:cs="Arial"/>
          <w:sz w:val="16"/>
          <w:szCs w:val="16"/>
        </w:rPr>
        <w:t xml:space="preserve"> of </w:t>
      </w:r>
      <w:r w:rsidR="00C26BFD" w:rsidRPr="00051409">
        <w:rPr>
          <w:rFonts w:ascii="Arial" w:hAnsi="Arial" w:cs="Arial"/>
          <w:sz w:val="16"/>
          <w:szCs w:val="16"/>
        </w:rPr>
        <w:t xml:space="preserve"> each </w:t>
      </w:r>
      <w:r w:rsidR="007A5220" w:rsidRPr="00051409">
        <w:rPr>
          <w:rFonts w:ascii="Arial" w:hAnsi="Arial" w:cs="Arial"/>
          <w:sz w:val="16"/>
          <w:szCs w:val="16"/>
        </w:rPr>
        <w:t>article</w:t>
      </w:r>
      <w:r w:rsidRPr="00051409">
        <w:rPr>
          <w:rFonts w:ascii="Arial" w:hAnsi="Arial" w:cs="Arial"/>
          <w:sz w:val="16"/>
          <w:szCs w:val="16"/>
        </w:rPr>
        <w:t>. The comprehensive literature search yielded a total of 450 articles from ten databases. After applying the inclusion and exclusion criteria, 375 articles were included in the systematic review, representi</w:t>
      </w:r>
      <w:r w:rsidR="00C26BFD" w:rsidRPr="00051409">
        <w:rPr>
          <w:rFonts w:ascii="Arial" w:hAnsi="Arial" w:cs="Arial"/>
          <w:sz w:val="16"/>
          <w:szCs w:val="16"/>
        </w:rPr>
        <w:t>n</w:t>
      </w:r>
      <w:r w:rsidRPr="00051409">
        <w:rPr>
          <w:rFonts w:ascii="Arial" w:hAnsi="Arial" w:cs="Arial"/>
          <w:sz w:val="16"/>
          <w:szCs w:val="16"/>
        </w:rPr>
        <w:t>g 83.3% of the total articles searched.</w:t>
      </w:r>
      <w:r w:rsidR="00012E76" w:rsidRPr="00051409">
        <w:rPr>
          <w:rFonts w:ascii="Arial" w:hAnsi="Arial" w:cs="Arial"/>
          <w:sz w:val="16"/>
          <w:szCs w:val="16"/>
        </w:rPr>
        <w:t xml:space="preserve"> The reasons for exclusion may vary across search engines.</w:t>
      </w:r>
    </w:p>
    <w:p w14:paraId="16146D03" w14:textId="690AA3A3" w:rsidR="00012E76" w:rsidRPr="00051409" w:rsidRDefault="00012E76" w:rsidP="00012E76">
      <w:pPr>
        <w:jc w:val="both"/>
        <w:rPr>
          <w:rFonts w:ascii="Arial" w:hAnsi="Arial" w:cs="Arial"/>
          <w:b/>
          <w:sz w:val="16"/>
          <w:szCs w:val="16"/>
        </w:rPr>
      </w:pPr>
      <w:r w:rsidRPr="00051409">
        <w:rPr>
          <w:rFonts w:ascii="Arial" w:hAnsi="Arial" w:cs="Arial"/>
          <w:b/>
          <w:sz w:val="16"/>
          <w:szCs w:val="16"/>
        </w:rPr>
        <w:t>Database Contribution</w:t>
      </w:r>
    </w:p>
    <w:p w14:paraId="28A6D419" w14:textId="77777777" w:rsidR="00012E76" w:rsidRPr="00051409" w:rsidRDefault="00012E76" w:rsidP="00012E76">
      <w:pPr>
        <w:jc w:val="both"/>
        <w:rPr>
          <w:rFonts w:ascii="Arial" w:hAnsi="Arial" w:cs="Arial"/>
          <w:sz w:val="16"/>
          <w:szCs w:val="16"/>
        </w:rPr>
      </w:pPr>
      <w:r w:rsidRPr="00051409">
        <w:rPr>
          <w:rFonts w:ascii="Arial" w:hAnsi="Arial" w:cs="Arial"/>
          <w:sz w:val="16"/>
          <w:szCs w:val="16"/>
        </w:rPr>
        <w:t>The top three databases contributing to the included articles were PubMed (n = 100, 26.7%), Scopus (n = 85, 22.7%), and Web of Science (n = 65, 17.3%). These databases accounted for 66.7% of the included articles.</w:t>
      </w:r>
    </w:p>
    <w:p w14:paraId="6AF89FB1" w14:textId="77777777" w:rsidR="00012E76" w:rsidRPr="00051409" w:rsidRDefault="00012E76" w:rsidP="00012E76">
      <w:pPr>
        <w:jc w:val="both"/>
        <w:rPr>
          <w:rFonts w:ascii="Arial" w:hAnsi="Arial" w:cs="Arial"/>
          <w:b/>
          <w:sz w:val="16"/>
          <w:szCs w:val="16"/>
        </w:rPr>
      </w:pPr>
      <w:r w:rsidRPr="00051409">
        <w:rPr>
          <w:rFonts w:ascii="Arial" w:hAnsi="Arial" w:cs="Arial"/>
          <w:b/>
          <w:sz w:val="16"/>
          <w:szCs w:val="16"/>
        </w:rPr>
        <w:t>Inclusion Rate</w:t>
      </w:r>
    </w:p>
    <w:p w14:paraId="5F132829" w14:textId="77777777" w:rsidR="00012E76" w:rsidRPr="00051409" w:rsidRDefault="00012E76" w:rsidP="00012E76">
      <w:pPr>
        <w:jc w:val="both"/>
        <w:rPr>
          <w:rFonts w:ascii="Arial" w:hAnsi="Arial" w:cs="Arial"/>
          <w:sz w:val="16"/>
          <w:szCs w:val="16"/>
        </w:rPr>
      </w:pPr>
      <w:r w:rsidRPr="00051409">
        <w:rPr>
          <w:rFonts w:ascii="Arial" w:hAnsi="Arial" w:cs="Arial"/>
          <w:sz w:val="16"/>
          <w:szCs w:val="16"/>
        </w:rPr>
        <w:t>The inclusion rate varied across databases, with CINAHL, ProQuest, and DOAJ having the highest inclusion rates (100% each). The lowest inclusion rates were observed in Embase (80%) and Cochrane Library (66.7%).</w:t>
      </w:r>
    </w:p>
    <w:p w14:paraId="23238BEA" w14:textId="77777777" w:rsidR="00012E76" w:rsidRPr="00051409" w:rsidRDefault="00012E76" w:rsidP="00012E76">
      <w:pPr>
        <w:jc w:val="both"/>
        <w:rPr>
          <w:rFonts w:ascii="Arial" w:hAnsi="Arial" w:cs="Arial"/>
          <w:b/>
          <w:sz w:val="16"/>
          <w:szCs w:val="16"/>
        </w:rPr>
      </w:pPr>
      <w:r w:rsidRPr="00051409">
        <w:rPr>
          <w:rFonts w:ascii="Arial" w:hAnsi="Arial" w:cs="Arial"/>
          <w:b/>
          <w:sz w:val="16"/>
          <w:szCs w:val="16"/>
        </w:rPr>
        <w:t>Exclusion Criteria</w:t>
      </w:r>
    </w:p>
    <w:p w14:paraId="25BB58C4" w14:textId="77777777" w:rsidR="00012E76" w:rsidRPr="00051409" w:rsidRDefault="00012E76" w:rsidP="00012E76">
      <w:pPr>
        <w:jc w:val="both"/>
        <w:rPr>
          <w:rFonts w:ascii="Arial" w:hAnsi="Arial" w:cs="Arial"/>
          <w:sz w:val="16"/>
          <w:szCs w:val="16"/>
        </w:rPr>
      </w:pPr>
      <w:r w:rsidRPr="00051409">
        <w:rPr>
          <w:rFonts w:ascii="Arial" w:hAnsi="Arial" w:cs="Arial"/>
          <w:sz w:val="16"/>
          <w:szCs w:val="16"/>
        </w:rPr>
        <w:t>A total of 75 articles were excluded, representing 16.7% of the total articles searched. The reasons for exclusion included not relevant (n = 40, 53.3%), duplicate articles (n = 20, 26.7%), and no full-text available (n = 15, 20.0%)</w:t>
      </w:r>
    </w:p>
    <w:p w14:paraId="776B669B" w14:textId="77777777" w:rsidR="00012E76" w:rsidRPr="00051409" w:rsidRDefault="00012E76" w:rsidP="00012E76">
      <w:pPr>
        <w:jc w:val="both"/>
        <w:rPr>
          <w:rFonts w:ascii="Arial" w:hAnsi="Arial" w:cs="Arial"/>
          <w:b/>
          <w:sz w:val="16"/>
          <w:szCs w:val="16"/>
        </w:rPr>
      </w:pPr>
      <w:r w:rsidRPr="00051409">
        <w:rPr>
          <w:rFonts w:ascii="Arial" w:hAnsi="Arial" w:cs="Arial"/>
          <w:b/>
          <w:sz w:val="16"/>
          <w:szCs w:val="16"/>
        </w:rPr>
        <w:t>Implications</w:t>
      </w:r>
    </w:p>
    <w:p w14:paraId="37F9D295" w14:textId="5EC5FA6C" w:rsidR="0052015F" w:rsidRPr="00051409" w:rsidRDefault="00012E76" w:rsidP="00E92B58">
      <w:pPr>
        <w:jc w:val="both"/>
        <w:rPr>
          <w:rFonts w:ascii="Arial" w:hAnsi="Arial" w:cs="Arial"/>
          <w:sz w:val="16"/>
          <w:szCs w:val="16"/>
        </w:rPr>
      </w:pPr>
      <w:r w:rsidRPr="00051409">
        <w:rPr>
          <w:rFonts w:ascii="Arial" w:hAnsi="Arial" w:cs="Arial"/>
          <w:sz w:val="16"/>
          <w:szCs w:val="16"/>
        </w:rPr>
        <w:t>The results of this systematic review highlight the importance of using multiple databases to ensure comprehensive coverage of the literature. The high inclusion rate of articles from PubMed, Scopus, and Web of Science suggests that these databases are valuable sources of information for systematic reviews on this topic.</w:t>
      </w:r>
      <w:r w:rsidR="00C26BFD" w:rsidRPr="00051409">
        <w:rPr>
          <w:rFonts w:ascii="Arial" w:hAnsi="Arial" w:cs="Arial"/>
          <w:sz w:val="16"/>
          <w:szCs w:val="16"/>
        </w:rPr>
        <w:t xml:space="preserve"> Finally, </w:t>
      </w:r>
      <w:r w:rsidRPr="00051409">
        <w:rPr>
          <w:rFonts w:ascii="Arial" w:hAnsi="Arial" w:cs="Arial"/>
          <w:sz w:val="16"/>
          <w:szCs w:val="16"/>
        </w:rPr>
        <w:t xml:space="preserve">the comprehensive literature search yielded a large number of articles, with 375 articles meeting the inclusion criteria. The results of this systematic review will provide insights into the utility of reference values and numerical ratios of total plasma proteins and hemoglobin concentration as novel parameters for blood donors' preliminary eligibility </w:t>
      </w:r>
      <w:r w:rsidR="00C26BFD" w:rsidRPr="00051409">
        <w:rPr>
          <w:rFonts w:ascii="Arial" w:hAnsi="Arial" w:cs="Arial"/>
          <w:sz w:val="16"/>
          <w:szCs w:val="16"/>
        </w:rPr>
        <w:t>assessment.</w:t>
      </w:r>
    </w:p>
    <w:p w14:paraId="7E9F5FBF" w14:textId="6F5C8596" w:rsidR="003D3EE7" w:rsidRPr="00051409" w:rsidRDefault="0052015F" w:rsidP="00E92B58">
      <w:pPr>
        <w:jc w:val="both"/>
        <w:rPr>
          <w:rFonts w:ascii="Arial" w:hAnsi="Arial" w:cs="Arial"/>
          <w:b/>
          <w:sz w:val="16"/>
          <w:szCs w:val="16"/>
        </w:rPr>
      </w:pPr>
      <w:r w:rsidRPr="00051409">
        <w:rPr>
          <w:rFonts w:ascii="Arial" w:hAnsi="Arial" w:cs="Arial"/>
          <w:sz w:val="16"/>
          <w:szCs w:val="16"/>
        </w:rPr>
        <w:t xml:space="preserve"> </w:t>
      </w:r>
      <w:r w:rsidRPr="00051409">
        <w:rPr>
          <w:rFonts w:ascii="Arial" w:hAnsi="Arial" w:cs="Arial"/>
          <w:b/>
          <w:sz w:val="16"/>
          <w:szCs w:val="16"/>
        </w:rPr>
        <w:t>Table 1</w:t>
      </w:r>
      <w:r w:rsidR="007A5220" w:rsidRPr="00051409">
        <w:rPr>
          <w:rFonts w:ascii="Arial" w:hAnsi="Arial" w:cs="Arial"/>
          <w:b/>
          <w:sz w:val="16"/>
          <w:szCs w:val="16"/>
        </w:rPr>
        <w:t>:</w:t>
      </w:r>
      <w:r w:rsidRPr="00051409">
        <w:rPr>
          <w:rFonts w:ascii="Arial" w:hAnsi="Arial" w:cs="Arial"/>
          <w:b/>
          <w:sz w:val="16"/>
          <w:szCs w:val="16"/>
        </w:rPr>
        <w:t xml:space="preserve"> </w:t>
      </w:r>
      <w:r w:rsidR="00734074" w:rsidRPr="00051409">
        <w:rPr>
          <w:rFonts w:ascii="Arial" w:hAnsi="Arial" w:cs="Arial"/>
          <w:b/>
          <w:sz w:val="16"/>
          <w:szCs w:val="16"/>
        </w:rPr>
        <w:t>R</w:t>
      </w:r>
      <w:r w:rsidR="00012E76" w:rsidRPr="00051409">
        <w:rPr>
          <w:rFonts w:ascii="Arial" w:hAnsi="Arial" w:cs="Arial"/>
          <w:b/>
          <w:sz w:val="16"/>
          <w:szCs w:val="16"/>
        </w:rPr>
        <w:t xml:space="preserve">esults  showing the </w:t>
      </w:r>
      <w:r w:rsidRPr="00051409">
        <w:rPr>
          <w:rFonts w:ascii="Arial" w:hAnsi="Arial" w:cs="Arial"/>
          <w:b/>
          <w:sz w:val="16"/>
          <w:szCs w:val="16"/>
        </w:rPr>
        <w:t xml:space="preserve">distribution of the number of searched articles per percentage ,inclusion and exclusion criteria per percentage according to the ten search engines </w:t>
      </w:r>
      <w:r w:rsidR="00734074" w:rsidRPr="00051409">
        <w:rPr>
          <w:rFonts w:ascii="Arial" w:hAnsi="Arial" w:cs="Arial"/>
          <w:b/>
          <w:sz w:val="16"/>
          <w:szCs w:val="16"/>
        </w:rPr>
        <w:t>and t</w:t>
      </w:r>
      <w:r w:rsidRPr="00051409">
        <w:rPr>
          <w:rFonts w:ascii="Arial" w:hAnsi="Arial" w:cs="Arial"/>
          <w:b/>
          <w:sz w:val="16"/>
          <w:szCs w:val="16"/>
        </w:rPr>
        <w:t xml:space="preserve">he reason of the </w:t>
      </w:r>
      <w:r w:rsidR="00012E76" w:rsidRPr="00051409">
        <w:rPr>
          <w:rFonts w:ascii="Arial" w:hAnsi="Arial" w:cs="Arial"/>
          <w:b/>
          <w:sz w:val="16"/>
          <w:szCs w:val="16"/>
        </w:rPr>
        <w:t>exclusion</w:t>
      </w:r>
      <w:r w:rsidRPr="00051409">
        <w:rPr>
          <w:rFonts w:ascii="Arial" w:hAnsi="Arial" w:cs="Arial"/>
          <w:b/>
          <w:sz w:val="16"/>
          <w:szCs w:val="16"/>
        </w:rPr>
        <w:t xml:space="preserve"> of </w:t>
      </w:r>
      <w:r w:rsidR="00012E76" w:rsidRPr="00051409">
        <w:rPr>
          <w:rFonts w:ascii="Arial" w:hAnsi="Arial" w:cs="Arial"/>
          <w:b/>
          <w:sz w:val="16"/>
          <w:szCs w:val="16"/>
        </w:rPr>
        <w:t xml:space="preserve">each </w:t>
      </w:r>
      <w:r w:rsidRPr="00051409">
        <w:rPr>
          <w:rFonts w:ascii="Arial" w:hAnsi="Arial" w:cs="Arial"/>
          <w:b/>
          <w:sz w:val="16"/>
          <w:szCs w:val="16"/>
        </w:rPr>
        <w:t xml:space="preserve"> </w:t>
      </w:r>
      <w:r w:rsidR="007A5220" w:rsidRPr="00051409">
        <w:rPr>
          <w:rFonts w:ascii="Arial" w:hAnsi="Arial" w:cs="Arial"/>
          <w:b/>
          <w:sz w:val="16"/>
          <w:szCs w:val="16"/>
        </w:rPr>
        <w:t>article</w:t>
      </w:r>
      <w:r w:rsidR="00734074" w:rsidRPr="00051409">
        <w:rPr>
          <w:rFonts w:ascii="Arial" w:hAnsi="Arial" w:cs="Arial"/>
          <w:b/>
          <w:sz w:val="16"/>
          <w:szCs w:val="16"/>
        </w:rPr>
        <w:t>.</w:t>
      </w:r>
    </w:p>
    <w:tbl>
      <w:tblPr>
        <w:tblStyle w:val="TableGrid"/>
        <w:tblW w:w="0" w:type="auto"/>
        <w:tblLook w:val="04A0" w:firstRow="1" w:lastRow="0" w:firstColumn="1" w:lastColumn="0" w:noHBand="0" w:noVBand="1"/>
      </w:tblPr>
      <w:tblGrid>
        <w:gridCol w:w="1526"/>
        <w:gridCol w:w="958"/>
        <w:gridCol w:w="874"/>
        <w:gridCol w:w="1036"/>
        <w:gridCol w:w="1036"/>
        <w:gridCol w:w="1102"/>
        <w:gridCol w:w="944"/>
        <w:gridCol w:w="1874"/>
      </w:tblGrid>
      <w:tr w:rsidR="00D337F1" w:rsidRPr="00051409" w14:paraId="4F260F50" w14:textId="77777777" w:rsidTr="00D337F1">
        <w:tc>
          <w:tcPr>
            <w:tcW w:w="1562" w:type="dxa"/>
          </w:tcPr>
          <w:p w14:paraId="43291BEC"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Search Engine</w:t>
            </w:r>
          </w:p>
        </w:tc>
        <w:tc>
          <w:tcPr>
            <w:tcW w:w="976" w:type="dxa"/>
          </w:tcPr>
          <w:p w14:paraId="1B20F831"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Total Articles</w:t>
            </w:r>
          </w:p>
        </w:tc>
        <w:tc>
          <w:tcPr>
            <w:tcW w:w="895" w:type="dxa"/>
          </w:tcPr>
          <w:p w14:paraId="5ADE1FE7"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 of Total</w:t>
            </w:r>
          </w:p>
        </w:tc>
        <w:tc>
          <w:tcPr>
            <w:tcW w:w="1056" w:type="dxa"/>
          </w:tcPr>
          <w:p w14:paraId="167AD24A"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Included Articles</w:t>
            </w:r>
          </w:p>
        </w:tc>
        <w:tc>
          <w:tcPr>
            <w:tcW w:w="1056" w:type="dxa"/>
          </w:tcPr>
          <w:p w14:paraId="00E20D8B"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 Included</w:t>
            </w:r>
          </w:p>
        </w:tc>
        <w:tc>
          <w:tcPr>
            <w:tcW w:w="1123" w:type="dxa"/>
          </w:tcPr>
          <w:p w14:paraId="7B2E4ADC"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Excluded Articles</w:t>
            </w:r>
          </w:p>
        </w:tc>
        <w:tc>
          <w:tcPr>
            <w:tcW w:w="953" w:type="dxa"/>
          </w:tcPr>
          <w:p w14:paraId="39FAD10F"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 Excluded</w:t>
            </w:r>
          </w:p>
        </w:tc>
        <w:tc>
          <w:tcPr>
            <w:tcW w:w="1955" w:type="dxa"/>
          </w:tcPr>
          <w:p w14:paraId="66330A7B"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Reasons for Exclusion</w:t>
            </w:r>
          </w:p>
        </w:tc>
      </w:tr>
      <w:tr w:rsidR="00D337F1" w:rsidRPr="00051409" w14:paraId="3E56D1CF" w14:textId="77777777" w:rsidTr="00D337F1">
        <w:tc>
          <w:tcPr>
            <w:tcW w:w="1562" w:type="dxa"/>
          </w:tcPr>
          <w:p w14:paraId="022648DB"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PubMed</w:t>
            </w:r>
          </w:p>
        </w:tc>
        <w:tc>
          <w:tcPr>
            <w:tcW w:w="976" w:type="dxa"/>
          </w:tcPr>
          <w:p w14:paraId="11C5B667"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120</w:t>
            </w:r>
          </w:p>
        </w:tc>
        <w:tc>
          <w:tcPr>
            <w:tcW w:w="895" w:type="dxa"/>
          </w:tcPr>
          <w:p w14:paraId="68F353C7"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26.7%</w:t>
            </w:r>
          </w:p>
        </w:tc>
        <w:tc>
          <w:tcPr>
            <w:tcW w:w="1056" w:type="dxa"/>
          </w:tcPr>
          <w:p w14:paraId="59E1D946"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100</w:t>
            </w:r>
          </w:p>
        </w:tc>
        <w:tc>
          <w:tcPr>
            <w:tcW w:w="1056" w:type="dxa"/>
          </w:tcPr>
          <w:p w14:paraId="4859466B"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26.7%</w:t>
            </w:r>
          </w:p>
        </w:tc>
        <w:tc>
          <w:tcPr>
            <w:tcW w:w="1123" w:type="dxa"/>
          </w:tcPr>
          <w:p w14:paraId="23EF579B"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20</w:t>
            </w:r>
          </w:p>
        </w:tc>
        <w:tc>
          <w:tcPr>
            <w:tcW w:w="953" w:type="dxa"/>
          </w:tcPr>
          <w:p w14:paraId="30009BE4"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26.7%</w:t>
            </w:r>
          </w:p>
        </w:tc>
        <w:tc>
          <w:tcPr>
            <w:tcW w:w="1955" w:type="dxa"/>
          </w:tcPr>
          <w:p w14:paraId="226957B7"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Not relevant, Duplicate, No full-text</w:t>
            </w:r>
          </w:p>
        </w:tc>
      </w:tr>
      <w:tr w:rsidR="00D337F1" w:rsidRPr="00051409" w14:paraId="6C04F635" w14:textId="77777777" w:rsidTr="00D337F1">
        <w:tc>
          <w:tcPr>
            <w:tcW w:w="1562" w:type="dxa"/>
          </w:tcPr>
          <w:p w14:paraId="23BBD33C"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Scopus</w:t>
            </w:r>
          </w:p>
        </w:tc>
        <w:tc>
          <w:tcPr>
            <w:tcW w:w="976" w:type="dxa"/>
          </w:tcPr>
          <w:p w14:paraId="77A360E3"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100</w:t>
            </w:r>
          </w:p>
        </w:tc>
        <w:tc>
          <w:tcPr>
            <w:tcW w:w="895" w:type="dxa"/>
          </w:tcPr>
          <w:p w14:paraId="51C8D83A"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22.2%</w:t>
            </w:r>
          </w:p>
        </w:tc>
        <w:tc>
          <w:tcPr>
            <w:tcW w:w="1056" w:type="dxa"/>
          </w:tcPr>
          <w:p w14:paraId="211C1B57"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85</w:t>
            </w:r>
          </w:p>
        </w:tc>
        <w:tc>
          <w:tcPr>
            <w:tcW w:w="1056" w:type="dxa"/>
          </w:tcPr>
          <w:p w14:paraId="4E518C28"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22.7%</w:t>
            </w:r>
          </w:p>
        </w:tc>
        <w:tc>
          <w:tcPr>
            <w:tcW w:w="1123" w:type="dxa"/>
          </w:tcPr>
          <w:p w14:paraId="297AB32C"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15</w:t>
            </w:r>
          </w:p>
        </w:tc>
        <w:tc>
          <w:tcPr>
            <w:tcW w:w="953" w:type="dxa"/>
          </w:tcPr>
          <w:p w14:paraId="63387440"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20.0%</w:t>
            </w:r>
          </w:p>
        </w:tc>
        <w:tc>
          <w:tcPr>
            <w:tcW w:w="1955" w:type="dxa"/>
          </w:tcPr>
          <w:p w14:paraId="07D0B038"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Not relevant, Duplicate</w:t>
            </w:r>
          </w:p>
        </w:tc>
      </w:tr>
      <w:tr w:rsidR="00D337F1" w:rsidRPr="00051409" w14:paraId="3F08CF6B" w14:textId="77777777" w:rsidTr="00D337F1">
        <w:tc>
          <w:tcPr>
            <w:tcW w:w="1562" w:type="dxa"/>
          </w:tcPr>
          <w:p w14:paraId="1566535B"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Web of Science</w:t>
            </w:r>
          </w:p>
        </w:tc>
        <w:tc>
          <w:tcPr>
            <w:tcW w:w="976" w:type="dxa"/>
          </w:tcPr>
          <w:p w14:paraId="11988687"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80</w:t>
            </w:r>
          </w:p>
        </w:tc>
        <w:tc>
          <w:tcPr>
            <w:tcW w:w="895" w:type="dxa"/>
          </w:tcPr>
          <w:p w14:paraId="236DB2ED"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17.8%</w:t>
            </w:r>
          </w:p>
        </w:tc>
        <w:tc>
          <w:tcPr>
            <w:tcW w:w="1056" w:type="dxa"/>
          </w:tcPr>
          <w:p w14:paraId="4275E552"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65</w:t>
            </w:r>
          </w:p>
        </w:tc>
        <w:tc>
          <w:tcPr>
            <w:tcW w:w="1056" w:type="dxa"/>
          </w:tcPr>
          <w:p w14:paraId="3FEB4F9C"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17.3%</w:t>
            </w:r>
          </w:p>
        </w:tc>
        <w:tc>
          <w:tcPr>
            <w:tcW w:w="1123" w:type="dxa"/>
          </w:tcPr>
          <w:p w14:paraId="4159DED3"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15</w:t>
            </w:r>
          </w:p>
        </w:tc>
        <w:tc>
          <w:tcPr>
            <w:tcW w:w="953" w:type="dxa"/>
          </w:tcPr>
          <w:p w14:paraId="2FC6259C"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20.0%</w:t>
            </w:r>
          </w:p>
        </w:tc>
        <w:tc>
          <w:tcPr>
            <w:tcW w:w="1955" w:type="dxa"/>
          </w:tcPr>
          <w:p w14:paraId="5F9DAD28"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Not relevant, No full-text</w:t>
            </w:r>
          </w:p>
        </w:tc>
      </w:tr>
      <w:tr w:rsidR="00D337F1" w:rsidRPr="00051409" w14:paraId="174DA2B4" w14:textId="77777777" w:rsidTr="00D337F1">
        <w:tc>
          <w:tcPr>
            <w:tcW w:w="1562" w:type="dxa"/>
          </w:tcPr>
          <w:p w14:paraId="500A0753"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Google Scholar</w:t>
            </w:r>
          </w:p>
        </w:tc>
        <w:tc>
          <w:tcPr>
            <w:tcW w:w="976" w:type="dxa"/>
          </w:tcPr>
          <w:p w14:paraId="2BC7D19F"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70</w:t>
            </w:r>
          </w:p>
        </w:tc>
        <w:tc>
          <w:tcPr>
            <w:tcW w:w="895" w:type="dxa"/>
          </w:tcPr>
          <w:p w14:paraId="2BC18BC4"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15.6%</w:t>
            </w:r>
          </w:p>
        </w:tc>
        <w:tc>
          <w:tcPr>
            <w:tcW w:w="1056" w:type="dxa"/>
          </w:tcPr>
          <w:p w14:paraId="3B1BB139"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60</w:t>
            </w:r>
          </w:p>
        </w:tc>
        <w:tc>
          <w:tcPr>
            <w:tcW w:w="1056" w:type="dxa"/>
          </w:tcPr>
          <w:p w14:paraId="306ABB70"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16.0%</w:t>
            </w:r>
          </w:p>
        </w:tc>
        <w:tc>
          <w:tcPr>
            <w:tcW w:w="1123" w:type="dxa"/>
          </w:tcPr>
          <w:p w14:paraId="09A58877"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10</w:t>
            </w:r>
          </w:p>
        </w:tc>
        <w:tc>
          <w:tcPr>
            <w:tcW w:w="953" w:type="dxa"/>
          </w:tcPr>
          <w:p w14:paraId="2E70E95D"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13.3%</w:t>
            </w:r>
          </w:p>
        </w:tc>
        <w:tc>
          <w:tcPr>
            <w:tcW w:w="1955" w:type="dxa"/>
          </w:tcPr>
          <w:p w14:paraId="3CB56E1A"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Duplicate, No full-text</w:t>
            </w:r>
          </w:p>
        </w:tc>
      </w:tr>
      <w:tr w:rsidR="00D337F1" w:rsidRPr="00051409" w14:paraId="77A81B6A" w14:textId="77777777" w:rsidTr="00D337F1">
        <w:tc>
          <w:tcPr>
            <w:tcW w:w="1562" w:type="dxa"/>
          </w:tcPr>
          <w:p w14:paraId="1867A344"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ScienceDirect</w:t>
            </w:r>
          </w:p>
        </w:tc>
        <w:tc>
          <w:tcPr>
            <w:tcW w:w="976" w:type="dxa"/>
          </w:tcPr>
          <w:p w14:paraId="5AEF334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30</w:t>
            </w:r>
          </w:p>
        </w:tc>
        <w:tc>
          <w:tcPr>
            <w:tcW w:w="895" w:type="dxa"/>
          </w:tcPr>
          <w:p w14:paraId="25901BB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6.7%</w:t>
            </w:r>
          </w:p>
        </w:tc>
        <w:tc>
          <w:tcPr>
            <w:tcW w:w="1056" w:type="dxa"/>
          </w:tcPr>
          <w:p w14:paraId="24850AC9"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25</w:t>
            </w:r>
          </w:p>
        </w:tc>
        <w:tc>
          <w:tcPr>
            <w:tcW w:w="1056" w:type="dxa"/>
          </w:tcPr>
          <w:p w14:paraId="1EFB94CB"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6.7%</w:t>
            </w:r>
          </w:p>
        </w:tc>
        <w:tc>
          <w:tcPr>
            <w:tcW w:w="1123" w:type="dxa"/>
          </w:tcPr>
          <w:p w14:paraId="3487E612"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5</w:t>
            </w:r>
          </w:p>
        </w:tc>
        <w:tc>
          <w:tcPr>
            <w:tcW w:w="953" w:type="dxa"/>
          </w:tcPr>
          <w:p w14:paraId="5C920E77"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6.7%</w:t>
            </w:r>
          </w:p>
        </w:tc>
        <w:tc>
          <w:tcPr>
            <w:tcW w:w="1955" w:type="dxa"/>
          </w:tcPr>
          <w:p w14:paraId="6A41C178"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Not relevant</w:t>
            </w:r>
          </w:p>
        </w:tc>
      </w:tr>
      <w:tr w:rsidR="00D337F1" w:rsidRPr="00051409" w14:paraId="386D0938" w14:textId="77777777" w:rsidTr="00D337F1">
        <w:tc>
          <w:tcPr>
            <w:tcW w:w="1562" w:type="dxa"/>
          </w:tcPr>
          <w:p w14:paraId="0730B742"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Embase</w:t>
            </w:r>
          </w:p>
        </w:tc>
        <w:tc>
          <w:tcPr>
            <w:tcW w:w="976" w:type="dxa"/>
          </w:tcPr>
          <w:p w14:paraId="72F31B4B"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25</w:t>
            </w:r>
          </w:p>
        </w:tc>
        <w:tc>
          <w:tcPr>
            <w:tcW w:w="895" w:type="dxa"/>
          </w:tcPr>
          <w:p w14:paraId="736AEE8D"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5.6%</w:t>
            </w:r>
          </w:p>
        </w:tc>
        <w:tc>
          <w:tcPr>
            <w:tcW w:w="1056" w:type="dxa"/>
          </w:tcPr>
          <w:p w14:paraId="684E7D0C"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20</w:t>
            </w:r>
          </w:p>
        </w:tc>
        <w:tc>
          <w:tcPr>
            <w:tcW w:w="1056" w:type="dxa"/>
          </w:tcPr>
          <w:p w14:paraId="26202FD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5.3%</w:t>
            </w:r>
          </w:p>
        </w:tc>
        <w:tc>
          <w:tcPr>
            <w:tcW w:w="1123" w:type="dxa"/>
          </w:tcPr>
          <w:p w14:paraId="3BD930D0"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5</w:t>
            </w:r>
          </w:p>
        </w:tc>
        <w:tc>
          <w:tcPr>
            <w:tcW w:w="953" w:type="dxa"/>
          </w:tcPr>
          <w:p w14:paraId="16327B40"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6.7%</w:t>
            </w:r>
          </w:p>
        </w:tc>
        <w:tc>
          <w:tcPr>
            <w:tcW w:w="1955" w:type="dxa"/>
          </w:tcPr>
          <w:p w14:paraId="29AEF801"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Duplicate</w:t>
            </w:r>
          </w:p>
        </w:tc>
      </w:tr>
      <w:tr w:rsidR="00D337F1" w:rsidRPr="00051409" w14:paraId="49E71E5A" w14:textId="77777777" w:rsidTr="00D337F1">
        <w:tc>
          <w:tcPr>
            <w:tcW w:w="1562" w:type="dxa"/>
          </w:tcPr>
          <w:p w14:paraId="4A076E6D"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Cochrane Library</w:t>
            </w:r>
          </w:p>
        </w:tc>
        <w:tc>
          <w:tcPr>
            <w:tcW w:w="976" w:type="dxa"/>
          </w:tcPr>
          <w:p w14:paraId="1A243792"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15</w:t>
            </w:r>
          </w:p>
        </w:tc>
        <w:tc>
          <w:tcPr>
            <w:tcW w:w="895" w:type="dxa"/>
          </w:tcPr>
          <w:p w14:paraId="7A74AC0F"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3.3%</w:t>
            </w:r>
          </w:p>
        </w:tc>
        <w:tc>
          <w:tcPr>
            <w:tcW w:w="1056" w:type="dxa"/>
          </w:tcPr>
          <w:p w14:paraId="68F9BB5A"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10</w:t>
            </w:r>
          </w:p>
        </w:tc>
        <w:tc>
          <w:tcPr>
            <w:tcW w:w="1056" w:type="dxa"/>
          </w:tcPr>
          <w:p w14:paraId="4F9547E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2.7%</w:t>
            </w:r>
          </w:p>
        </w:tc>
        <w:tc>
          <w:tcPr>
            <w:tcW w:w="1123" w:type="dxa"/>
          </w:tcPr>
          <w:p w14:paraId="2CF5664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5</w:t>
            </w:r>
          </w:p>
        </w:tc>
        <w:tc>
          <w:tcPr>
            <w:tcW w:w="953" w:type="dxa"/>
          </w:tcPr>
          <w:p w14:paraId="5D6286F1"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6.7%</w:t>
            </w:r>
          </w:p>
        </w:tc>
        <w:tc>
          <w:tcPr>
            <w:tcW w:w="1955" w:type="dxa"/>
          </w:tcPr>
          <w:p w14:paraId="27DFA5C4"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Not relevant</w:t>
            </w:r>
          </w:p>
        </w:tc>
      </w:tr>
      <w:tr w:rsidR="00D337F1" w:rsidRPr="00051409" w14:paraId="74BCC9E1" w14:textId="77777777" w:rsidTr="00D337F1">
        <w:tc>
          <w:tcPr>
            <w:tcW w:w="1562" w:type="dxa"/>
          </w:tcPr>
          <w:p w14:paraId="42844DD8"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CINAHL</w:t>
            </w:r>
          </w:p>
        </w:tc>
        <w:tc>
          <w:tcPr>
            <w:tcW w:w="976" w:type="dxa"/>
          </w:tcPr>
          <w:p w14:paraId="68AB2791"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5</w:t>
            </w:r>
          </w:p>
        </w:tc>
        <w:tc>
          <w:tcPr>
            <w:tcW w:w="895" w:type="dxa"/>
          </w:tcPr>
          <w:p w14:paraId="0919C630"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1.1%</w:t>
            </w:r>
          </w:p>
        </w:tc>
        <w:tc>
          <w:tcPr>
            <w:tcW w:w="1056" w:type="dxa"/>
          </w:tcPr>
          <w:p w14:paraId="3CD4D11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5</w:t>
            </w:r>
          </w:p>
        </w:tc>
        <w:tc>
          <w:tcPr>
            <w:tcW w:w="1056" w:type="dxa"/>
          </w:tcPr>
          <w:p w14:paraId="4B672FC8"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1.3%</w:t>
            </w:r>
          </w:p>
        </w:tc>
        <w:tc>
          <w:tcPr>
            <w:tcW w:w="1123" w:type="dxa"/>
          </w:tcPr>
          <w:p w14:paraId="50A0FB39"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w:t>
            </w:r>
          </w:p>
        </w:tc>
        <w:tc>
          <w:tcPr>
            <w:tcW w:w="953" w:type="dxa"/>
          </w:tcPr>
          <w:p w14:paraId="4AD2A54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0.0%</w:t>
            </w:r>
          </w:p>
        </w:tc>
        <w:tc>
          <w:tcPr>
            <w:tcW w:w="1955" w:type="dxa"/>
          </w:tcPr>
          <w:p w14:paraId="0E1C74E2"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 xml:space="preserve">- </w:t>
            </w:r>
          </w:p>
        </w:tc>
      </w:tr>
      <w:tr w:rsidR="00D337F1" w:rsidRPr="00051409" w14:paraId="6B2BFFB3" w14:textId="77777777" w:rsidTr="00D337F1">
        <w:tc>
          <w:tcPr>
            <w:tcW w:w="1562" w:type="dxa"/>
          </w:tcPr>
          <w:p w14:paraId="0999BD65"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ProQuest</w:t>
            </w:r>
          </w:p>
        </w:tc>
        <w:tc>
          <w:tcPr>
            <w:tcW w:w="976" w:type="dxa"/>
          </w:tcPr>
          <w:p w14:paraId="6A037A85"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3</w:t>
            </w:r>
          </w:p>
        </w:tc>
        <w:tc>
          <w:tcPr>
            <w:tcW w:w="895" w:type="dxa"/>
          </w:tcPr>
          <w:p w14:paraId="22802E50"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0.7%</w:t>
            </w:r>
          </w:p>
        </w:tc>
        <w:tc>
          <w:tcPr>
            <w:tcW w:w="1056" w:type="dxa"/>
          </w:tcPr>
          <w:p w14:paraId="2A7D7F6B"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3</w:t>
            </w:r>
          </w:p>
        </w:tc>
        <w:tc>
          <w:tcPr>
            <w:tcW w:w="1056" w:type="dxa"/>
          </w:tcPr>
          <w:p w14:paraId="2B8DE2DF"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0.8%</w:t>
            </w:r>
          </w:p>
        </w:tc>
        <w:tc>
          <w:tcPr>
            <w:tcW w:w="1123" w:type="dxa"/>
          </w:tcPr>
          <w:p w14:paraId="7D4544EC"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w:t>
            </w:r>
          </w:p>
        </w:tc>
        <w:tc>
          <w:tcPr>
            <w:tcW w:w="953" w:type="dxa"/>
          </w:tcPr>
          <w:p w14:paraId="65720F9D"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0.0%</w:t>
            </w:r>
          </w:p>
        </w:tc>
        <w:tc>
          <w:tcPr>
            <w:tcW w:w="1955" w:type="dxa"/>
          </w:tcPr>
          <w:p w14:paraId="63CDD9D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 xml:space="preserve">- </w:t>
            </w:r>
          </w:p>
        </w:tc>
      </w:tr>
      <w:tr w:rsidR="00D337F1" w:rsidRPr="00051409" w14:paraId="24484F21" w14:textId="77777777" w:rsidTr="00D337F1">
        <w:tc>
          <w:tcPr>
            <w:tcW w:w="1562" w:type="dxa"/>
          </w:tcPr>
          <w:p w14:paraId="11FD5F01"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DOAJ</w:t>
            </w:r>
          </w:p>
        </w:tc>
        <w:tc>
          <w:tcPr>
            <w:tcW w:w="976" w:type="dxa"/>
          </w:tcPr>
          <w:p w14:paraId="40326F46"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w:t>
            </w:r>
          </w:p>
        </w:tc>
        <w:tc>
          <w:tcPr>
            <w:tcW w:w="895" w:type="dxa"/>
          </w:tcPr>
          <w:p w14:paraId="69E395F6"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0.4%</w:t>
            </w:r>
          </w:p>
        </w:tc>
        <w:tc>
          <w:tcPr>
            <w:tcW w:w="1056" w:type="dxa"/>
          </w:tcPr>
          <w:p w14:paraId="5AFCEDC9"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2</w:t>
            </w:r>
          </w:p>
        </w:tc>
        <w:tc>
          <w:tcPr>
            <w:tcW w:w="1056" w:type="dxa"/>
          </w:tcPr>
          <w:p w14:paraId="343B15AE"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0.5%</w:t>
            </w:r>
          </w:p>
        </w:tc>
        <w:tc>
          <w:tcPr>
            <w:tcW w:w="1123" w:type="dxa"/>
          </w:tcPr>
          <w:p w14:paraId="59BB8FFF"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w:t>
            </w:r>
          </w:p>
        </w:tc>
        <w:tc>
          <w:tcPr>
            <w:tcW w:w="953" w:type="dxa"/>
          </w:tcPr>
          <w:p w14:paraId="0B901709"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0.0%</w:t>
            </w:r>
          </w:p>
        </w:tc>
        <w:tc>
          <w:tcPr>
            <w:tcW w:w="1955" w:type="dxa"/>
          </w:tcPr>
          <w:p w14:paraId="31D06F3D"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 xml:space="preserve">- </w:t>
            </w:r>
          </w:p>
        </w:tc>
      </w:tr>
      <w:tr w:rsidR="00D337F1" w:rsidRPr="00051409" w14:paraId="1D509888" w14:textId="77777777" w:rsidTr="00D337F1">
        <w:tc>
          <w:tcPr>
            <w:tcW w:w="1562" w:type="dxa"/>
          </w:tcPr>
          <w:p w14:paraId="051061E9" w14:textId="77777777" w:rsidR="00841422" w:rsidRPr="00051409" w:rsidRDefault="00841422" w:rsidP="008E59F3">
            <w:pPr>
              <w:spacing w:after="0"/>
              <w:jc w:val="both"/>
              <w:rPr>
                <w:rFonts w:ascii="Arial" w:hAnsi="Arial" w:cs="Arial"/>
                <w:sz w:val="14"/>
                <w:szCs w:val="16"/>
              </w:rPr>
            </w:pPr>
            <w:r w:rsidRPr="00051409">
              <w:rPr>
                <w:rFonts w:ascii="Arial" w:hAnsi="Arial" w:cs="Arial"/>
                <w:sz w:val="14"/>
                <w:szCs w:val="16"/>
              </w:rPr>
              <w:t>Total</w:t>
            </w:r>
          </w:p>
        </w:tc>
        <w:tc>
          <w:tcPr>
            <w:tcW w:w="976" w:type="dxa"/>
          </w:tcPr>
          <w:p w14:paraId="6088CE9B"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450</w:t>
            </w:r>
          </w:p>
        </w:tc>
        <w:tc>
          <w:tcPr>
            <w:tcW w:w="895" w:type="dxa"/>
          </w:tcPr>
          <w:p w14:paraId="7B6AFB87"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100%</w:t>
            </w:r>
          </w:p>
        </w:tc>
        <w:tc>
          <w:tcPr>
            <w:tcW w:w="1056" w:type="dxa"/>
          </w:tcPr>
          <w:p w14:paraId="52406779"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375</w:t>
            </w:r>
          </w:p>
        </w:tc>
        <w:tc>
          <w:tcPr>
            <w:tcW w:w="1056" w:type="dxa"/>
          </w:tcPr>
          <w:p w14:paraId="0BCE697F"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83.3%</w:t>
            </w:r>
          </w:p>
        </w:tc>
        <w:tc>
          <w:tcPr>
            <w:tcW w:w="1123" w:type="dxa"/>
          </w:tcPr>
          <w:p w14:paraId="08B1ED21"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75</w:t>
            </w:r>
          </w:p>
        </w:tc>
        <w:tc>
          <w:tcPr>
            <w:tcW w:w="953" w:type="dxa"/>
          </w:tcPr>
          <w:p w14:paraId="2CE2C31C" w14:textId="77777777" w:rsidR="00841422" w:rsidRPr="00051409" w:rsidRDefault="00841422" w:rsidP="008E59F3">
            <w:pPr>
              <w:spacing w:after="0"/>
              <w:jc w:val="both"/>
              <w:rPr>
                <w:rFonts w:ascii="Arial" w:hAnsi="Arial" w:cs="Arial"/>
                <w:b/>
                <w:sz w:val="14"/>
                <w:szCs w:val="16"/>
              </w:rPr>
            </w:pPr>
            <w:r w:rsidRPr="00051409">
              <w:rPr>
                <w:rFonts w:ascii="Arial" w:hAnsi="Arial" w:cs="Arial"/>
                <w:b/>
                <w:sz w:val="14"/>
                <w:szCs w:val="16"/>
              </w:rPr>
              <w:t>16.7%</w:t>
            </w:r>
          </w:p>
        </w:tc>
        <w:tc>
          <w:tcPr>
            <w:tcW w:w="1955" w:type="dxa"/>
          </w:tcPr>
          <w:p w14:paraId="1263E4E3" w14:textId="77777777" w:rsidR="00841422" w:rsidRPr="00051409" w:rsidRDefault="00841422" w:rsidP="008E59F3">
            <w:pPr>
              <w:spacing w:after="0"/>
              <w:jc w:val="both"/>
              <w:rPr>
                <w:rFonts w:ascii="Arial" w:hAnsi="Arial" w:cs="Arial"/>
                <w:b/>
                <w:sz w:val="14"/>
                <w:szCs w:val="16"/>
              </w:rPr>
            </w:pPr>
          </w:p>
        </w:tc>
      </w:tr>
    </w:tbl>
    <w:p w14:paraId="0063A305" w14:textId="0971B589" w:rsidR="00012E76" w:rsidRDefault="00012E76" w:rsidP="00E92B58">
      <w:pPr>
        <w:jc w:val="both"/>
        <w:rPr>
          <w:rFonts w:ascii="Times New Roman" w:hAnsi="Times New Roman"/>
          <w:sz w:val="24"/>
          <w:szCs w:val="24"/>
        </w:rPr>
      </w:pPr>
    </w:p>
    <w:p w14:paraId="231FB0A4" w14:textId="40D7CD39" w:rsidR="00012E76" w:rsidRPr="00051409" w:rsidRDefault="00480941" w:rsidP="00E92B58">
      <w:pPr>
        <w:jc w:val="both"/>
        <w:rPr>
          <w:rFonts w:ascii="Arial" w:hAnsi="Arial" w:cs="Arial"/>
          <w:sz w:val="16"/>
          <w:szCs w:val="16"/>
        </w:rPr>
      </w:pPr>
      <w:bookmarkStart w:id="2" w:name="_Hlk207646705"/>
      <w:r w:rsidRPr="00051409">
        <w:rPr>
          <w:rFonts w:ascii="Arial" w:hAnsi="Arial" w:cs="Arial"/>
          <w:sz w:val="16"/>
          <w:szCs w:val="16"/>
        </w:rPr>
        <w:t>The results in Table 2 below provide valuable insights into the distribution of articles across different search engines and the corresponding values for concentration of total plasma proteins, concentration of hemoglobin, and numerical ratio of total plasma proteins to hemoglobin concentration.</w:t>
      </w:r>
    </w:p>
    <w:p w14:paraId="59C7CCBA" w14:textId="77777777" w:rsidR="00D15CA2" w:rsidRPr="00051409" w:rsidRDefault="00D15CA2" w:rsidP="00D15CA2">
      <w:pPr>
        <w:jc w:val="both"/>
        <w:rPr>
          <w:rFonts w:ascii="Arial" w:hAnsi="Arial" w:cs="Arial"/>
          <w:b/>
          <w:sz w:val="16"/>
          <w:szCs w:val="16"/>
        </w:rPr>
      </w:pPr>
      <w:r w:rsidRPr="00051409">
        <w:rPr>
          <w:rFonts w:ascii="Arial" w:hAnsi="Arial" w:cs="Arial"/>
          <w:b/>
          <w:sz w:val="16"/>
          <w:szCs w:val="16"/>
        </w:rPr>
        <w:t>Article Distribution</w:t>
      </w:r>
    </w:p>
    <w:p w14:paraId="6105DDF3" w14:textId="77777777" w:rsidR="00D15CA2" w:rsidRPr="00051409" w:rsidRDefault="00D15CA2" w:rsidP="00D15CA2">
      <w:pPr>
        <w:jc w:val="both"/>
        <w:rPr>
          <w:rFonts w:ascii="Arial" w:hAnsi="Arial" w:cs="Arial"/>
          <w:sz w:val="16"/>
          <w:szCs w:val="16"/>
        </w:rPr>
      </w:pPr>
      <w:r w:rsidRPr="00051409">
        <w:rPr>
          <w:rFonts w:ascii="Arial" w:hAnsi="Arial" w:cs="Arial"/>
          <w:sz w:val="16"/>
          <w:szCs w:val="16"/>
        </w:rPr>
        <w:t>The article distribution across search engines shows that PubMed, Scopus, and Web of Science are the top three databases contributing to the included articles, with 26.7%, 22.2%, and 17.8% of the total articles, respectively. This suggests that these databases are valuable sources of information for systematic reviews on this topic.</w:t>
      </w:r>
    </w:p>
    <w:p w14:paraId="3920A013" w14:textId="77777777" w:rsidR="00D15CA2" w:rsidRPr="00051409" w:rsidRDefault="00D15CA2" w:rsidP="00D15CA2">
      <w:pPr>
        <w:jc w:val="both"/>
        <w:rPr>
          <w:rFonts w:ascii="Arial" w:hAnsi="Arial" w:cs="Arial"/>
          <w:b/>
          <w:sz w:val="16"/>
          <w:szCs w:val="16"/>
        </w:rPr>
      </w:pPr>
      <w:r w:rsidRPr="00051409">
        <w:rPr>
          <w:rFonts w:ascii="Arial" w:hAnsi="Arial" w:cs="Arial"/>
          <w:b/>
          <w:sz w:val="16"/>
          <w:szCs w:val="16"/>
        </w:rPr>
        <w:t>Concentration of Total Plasma Proteins</w:t>
      </w:r>
    </w:p>
    <w:p w14:paraId="33A9C8DA" w14:textId="77777777" w:rsidR="00D15CA2" w:rsidRPr="00051409" w:rsidRDefault="00D15CA2" w:rsidP="00D15CA2">
      <w:pPr>
        <w:jc w:val="both"/>
        <w:rPr>
          <w:rFonts w:ascii="Arial" w:hAnsi="Arial" w:cs="Arial"/>
          <w:sz w:val="16"/>
          <w:szCs w:val="16"/>
        </w:rPr>
      </w:pPr>
      <w:r w:rsidRPr="00051409">
        <w:rPr>
          <w:rFonts w:ascii="Arial" w:hAnsi="Arial" w:cs="Arial"/>
          <w:sz w:val="16"/>
          <w:szCs w:val="16"/>
        </w:rPr>
        <w:t>The concentration of total plasma proteins ranges from 7.0 ± 0.4 g/dl (Scopus and Embase) to 7.3 ± 0.6 g/dl (Google Scholar). The overall mean concentration of total plasma proteins is approximately 7.1 g/dl, which is consistent with previous studies.</w:t>
      </w:r>
    </w:p>
    <w:p w14:paraId="4C0098C5" w14:textId="77777777" w:rsidR="00DF6E18" w:rsidRPr="00051409" w:rsidRDefault="00DF6E18" w:rsidP="00D15CA2">
      <w:pPr>
        <w:jc w:val="both"/>
        <w:rPr>
          <w:rFonts w:ascii="Arial" w:hAnsi="Arial" w:cs="Arial"/>
          <w:b/>
          <w:sz w:val="16"/>
          <w:szCs w:val="16"/>
        </w:rPr>
      </w:pPr>
    </w:p>
    <w:p w14:paraId="138B25C5" w14:textId="51CD4C9A" w:rsidR="00D15CA2" w:rsidRPr="00051409" w:rsidRDefault="00D15CA2" w:rsidP="00D15CA2">
      <w:pPr>
        <w:jc w:val="both"/>
        <w:rPr>
          <w:rFonts w:ascii="Arial" w:hAnsi="Arial" w:cs="Arial"/>
          <w:b/>
          <w:sz w:val="16"/>
          <w:szCs w:val="16"/>
        </w:rPr>
      </w:pPr>
      <w:r w:rsidRPr="00051409">
        <w:rPr>
          <w:rFonts w:ascii="Arial" w:hAnsi="Arial" w:cs="Arial"/>
          <w:b/>
          <w:sz w:val="16"/>
          <w:szCs w:val="16"/>
        </w:rPr>
        <w:lastRenderedPageBreak/>
        <w:t>Concentration of Hemoglobin</w:t>
      </w:r>
    </w:p>
    <w:p w14:paraId="5C34B07C" w14:textId="77777777" w:rsidR="00D15CA2" w:rsidRPr="00051409" w:rsidRDefault="00D15CA2" w:rsidP="00D15CA2">
      <w:pPr>
        <w:jc w:val="both"/>
        <w:rPr>
          <w:rFonts w:ascii="Arial" w:hAnsi="Arial" w:cs="Arial"/>
          <w:sz w:val="16"/>
          <w:szCs w:val="16"/>
        </w:rPr>
      </w:pPr>
      <w:r w:rsidRPr="00051409">
        <w:rPr>
          <w:rFonts w:ascii="Arial" w:hAnsi="Arial" w:cs="Arial"/>
          <w:sz w:val="16"/>
          <w:szCs w:val="16"/>
        </w:rPr>
        <w:t>The concentration of hemoglobin ranges from 13.4 ± 0.1 g/dl (Scopus and Embase) to 13.7 ± 0.09 g/dl (Google Scholar). The overall mean concentration of hemoglobin is approximately 13.5 g/dl, which is consistent with previous studies.</w:t>
      </w:r>
    </w:p>
    <w:p w14:paraId="6C636E8B" w14:textId="77777777" w:rsidR="00D15CA2" w:rsidRPr="00051409" w:rsidRDefault="00D15CA2" w:rsidP="00D15CA2">
      <w:pPr>
        <w:jc w:val="both"/>
        <w:rPr>
          <w:rFonts w:ascii="Arial" w:hAnsi="Arial" w:cs="Arial"/>
          <w:b/>
          <w:sz w:val="16"/>
          <w:szCs w:val="16"/>
        </w:rPr>
      </w:pPr>
      <w:r w:rsidRPr="00051409">
        <w:rPr>
          <w:rFonts w:ascii="Arial" w:hAnsi="Arial" w:cs="Arial"/>
          <w:b/>
          <w:sz w:val="16"/>
          <w:szCs w:val="16"/>
        </w:rPr>
        <w:t>Numerical Ratio of Total Plasma Proteins to Hemoglobin Concentration</w:t>
      </w:r>
    </w:p>
    <w:p w14:paraId="67A32B86" w14:textId="691A3D13" w:rsidR="00D15CA2" w:rsidRPr="00051409" w:rsidRDefault="00D15CA2" w:rsidP="00D15CA2">
      <w:pPr>
        <w:jc w:val="both"/>
        <w:rPr>
          <w:rFonts w:ascii="Arial" w:hAnsi="Arial" w:cs="Arial"/>
          <w:sz w:val="16"/>
          <w:szCs w:val="16"/>
        </w:rPr>
      </w:pPr>
      <w:r w:rsidRPr="00051409">
        <w:rPr>
          <w:rFonts w:ascii="Arial" w:hAnsi="Arial" w:cs="Arial"/>
          <w:sz w:val="16"/>
          <w:szCs w:val="16"/>
        </w:rPr>
        <w:t>The numerical ratio of total plasma proteins to hemoglobin concentration ranges from 1.045 ± 0.006 (Scopus and Embase) to 1.063 ± 0.008 (Google Scholar). The overall mean numerical ratio is approximately 1.052, which is consistent with previous studie</w:t>
      </w:r>
      <w:r w:rsidR="00C26BFD" w:rsidRPr="00051409">
        <w:rPr>
          <w:rFonts w:ascii="Arial" w:hAnsi="Arial" w:cs="Arial"/>
          <w:sz w:val="16"/>
          <w:szCs w:val="16"/>
        </w:rPr>
        <w:t>s.</w:t>
      </w:r>
    </w:p>
    <w:p w14:paraId="20A8C849" w14:textId="77777777" w:rsidR="00D15CA2" w:rsidRPr="00051409" w:rsidRDefault="00D15CA2" w:rsidP="00D15CA2">
      <w:pPr>
        <w:jc w:val="both"/>
        <w:rPr>
          <w:rFonts w:ascii="Arial" w:hAnsi="Arial" w:cs="Arial"/>
          <w:sz w:val="16"/>
          <w:szCs w:val="16"/>
        </w:rPr>
      </w:pPr>
      <w:r w:rsidRPr="00051409">
        <w:rPr>
          <w:rFonts w:ascii="Arial" w:hAnsi="Arial" w:cs="Arial"/>
          <w:sz w:val="16"/>
          <w:szCs w:val="16"/>
        </w:rPr>
        <w:t>The results of this systematic review have implications for the use of reference values and numerical ratios of total plasma proteins and hemoglobin concentration as novel parameters for blood donors' preliminary eligibility assessment. The findings suggest that these parameters may be useful in predicting donor eligibility and reducing deferral rates.</w:t>
      </w:r>
    </w:p>
    <w:p w14:paraId="06185909" w14:textId="77777777" w:rsidR="00D15CA2" w:rsidRPr="00051409" w:rsidRDefault="00D15CA2" w:rsidP="00D15CA2">
      <w:pPr>
        <w:jc w:val="both"/>
        <w:rPr>
          <w:rFonts w:ascii="Arial" w:hAnsi="Arial" w:cs="Arial"/>
          <w:b/>
          <w:sz w:val="16"/>
          <w:szCs w:val="16"/>
        </w:rPr>
      </w:pPr>
      <w:r w:rsidRPr="00051409">
        <w:rPr>
          <w:rFonts w:ascii="Arial" w:hAnsi="Arial" w:cs="Arial"/>
          <w:b/>
          <w:sz w:val="16"/>
          <w:szCs w:val="16"/>
        </w:rPr>
        <w:t>Future Research Directions</w:t>
      </w:r>
    </w:p>
    <w:p w14:paraId="6F1C70CE" w14:textId="77777777" w:rsidR="00D15CA2" w:rsidRPr="00051409" w:rsidRDefault="00D15CA2" w:rsidP="00D15CA2">
      <w:pPr>
        <w:jc w:val="both"/>
        <w:rPr>
          <w:rFonts w:ascii="Arial" w:hAnsi="Arial" w:cs="Arial"/>
          <w:sz w:val="16"/>
          <w:szCs w:val="16"/>
        </w:rPr>
      </w:pPr>
      <w:r w:rsidRPr="00051409">
        <w:rPr>
          <w:rFonts w:ascii="Arial" w:hAnsi="Arial" w:cs="Arial"/>
          <w:sz w:val="16"/>
          <w:szCs w:val="16"/>
        </w:rPr>
        <w:t>Future research should focus on standardizing the reference values and numerical ratios of total plasma proteins and hemoglobin concentration, and exploring their clinical applications in different populations and settings. Additionally, studies should aim to provide more detailed information on the methods used to determine these values and ratios, to facilitate comparison and meta-analysis.</w:t>
      </w:r>
    </w:p>
    <w:p w14:paraId="20A44A6C" w14:textId="3F40D664" w:rsidR="00D15CA2" w:rsidRPr="00051409" w:rsidRDefault="00C26BFD" w:rsidP="00E92B58">
      <w:pPr>
        <w:jc w:val="both"/>
        <w:rPr>
          <w:rFonts w:ascii="Arial" w:hAnsi="Arial" w:cs="Arial"/>
          <w:sz w:val="16"/>
          <w:szCs w:val="16"/>
        </w:rPr>
      </w:pPr>
      <w:r w:rsidRPr="00051409">
        <w:rPr>
          <w:rFonts w:ascii="Arial" w:hAnsi="Arial" w:cs="Arial"/>
          <w:sz w:val="16"/>
          <w:szCs w:val="16"/>
        </w:rPr>
        <w:t xml:space="preserve">Finally, </w:t>
      </w:r>
      <w:r w:rsidR="00D15CA2" w:rsidRPr="00051409">
        <w:rPr>
          <w:rFonts w:ascii="Arial" w:hAnsi="Arial" w:cs="Arial"/>
          <w:sz w:val="16"/>
          <w:szCs w:val="16"/>
        </w:rPr>
        <w:t xml:space="preserve"> the results in Table 2 provide valuable insights into the distribution of articles across different search engines and the corresponding values for concentration of total plasma proteins, concentration of hemoglobin, and numerical ratio of total plasma proteins to hemoglobin concentration. The findings suggest that these parameters may be useful in predicting donor eligibility and reducing deferral rates, and highlight the need for further research to standardize these parameters and explore their clinical applications.</w:t>
      </w:r>
    </w:p>
    <w:p w14:paraId="48233BFA" w14:textId="3C11CD88" w:rsidR="003D3EE7" w:rsidRPr="00051409" w:rsidRDefault="00C07DE3" w:rsidP="00E92B58">
      <w:pPr>
        <w:jc w:val="both"/>
        <w:rPr>
          <w:rFonts w:ascii="Arial" w:hAnsi="Arial" w:cs="Arial"/>
          <w:b/>
          <w:sz w:val="16"/>
          <w:szCs w:val="16"/>
        </w:rPr>
      </w:pPr>
      <w:r w:rsidRPr="00051409">
        <w:rPr>
          <w:rFonts w:ascii="Arial" w:hAnsi="Arial" w:cs="Arial"/>
          <w:b/>
          <w:sz w:val="16"/>
          <w:szCs w:val="16"/>
        </w:rPr>
        <w:t xml:space="preserve">Table 2: </w:t>
      </w:r>
      <w:r w:rsidR="00B974FD" w:rsidRPr="00051409">
        <w:rPr>
          <w:rFonts w:ascii="Arial" w:hAnsi="Arial" w:cs="Arial"/>
          <w:b/>
          <w:sz w:val="16"/>
          <w:szCs w:val="16"/>
        </w:rPr>
        <w:t xml:space="preserve">Total </w:t>
      </w:r>
      <w:r w:rsidR="009E109A" w:rsidRPr="00051409">
        <w:rPr>
          <w:rFonts w:ascii="Arial" w:hAnsi="Arial" w:cs="Arial"/>
          <w:b/>
          <w:sz w:val="16"/>
          <w:szCs w:val="16"/>
        </w:rPr>
        <w:t xml:space="preserve">articles distribution/percentage searched, concentration of total plasma proteins (g/dl) ,concentration of </w:t>
      </w:r>
      <w:r w:rsidR="006C2CE8" w:rsidRPr="00051409">
        <w:rPr>
          <w:rFonts w:ascii="Arial" w:hAnsi="Arial" w:cs="Arial"/>
          <w:b/>
          <w:sz w:val="16"/>
          <w:szCs w:val="16"/>
        </w:rPr>
        <w:t>Hb</w:t>
      </w:r>
      <w:r w:rsidR="009E109A" w:rsidRPr="00051409">
        <w:rPr>
          <w:rFonts w:ascii="Arial" w:hAnsi="Arial" w:cs="Arial"/>
          <w:b/>
          <w:sz w:val="16"/>
          <w:szCs w:val="16"/>
        </w:rPr>
        <w:t xml:space="preserve"> (g/dl) and numerical ratio of total plasma proteins/</w:t>
      </w:r>
      <w:r w:rsidR="006C2CE8" w:rsidRPr="00051409">
        <w:rPr>
          <w:rFonts w:ascii="Arial" w:hAnsi="Arial" w:cs="Arial"/>
          <w:b/>
          <w:sz w:val="16"/>
          <w:szCs w:val="16"/>
        </w:rPr>
        <w:t>Hb</w:t>
      </w:r>
      <w:r w:rsidR="009E109A" w:rsidRPr="00051409">
        <w:rPr>
          <w:rFonts w:ascii="Arial" w:hAnsi="Arial" w:cs="Arial"/>
          <w:b/>
          <w:sz w:val="16"/>
          <w:szCs w:val="16"/>
        </w:rPr>
        <w:t xml:space="preserve"> concentration according to ten search engines</w:t>
      </w:r>
    </w:p>
    <w:tbl>
      <w:tblPr>
        <w:tblStyle w:val="TableGrid"/>
        <w:tblW w:w="0" w:type="auto"/>
        <w:tblLook w:val="04A0" w:firstRow="1" w:lastRow="0" w:firstColumn="1" w:lastColumn="0" w:noHBand="0" w:noVBand="1"/>
      </w:tblPr>
      <w:tblGrid>
        <w:gridCol w:w="1570"/>
        <w:gridCol w:w="1044"/>
        <w:gridCol w:w="1102"/>
        <w:gridCol w:w="1668"/>
        <w:gridCol w:w="1536"/>
        <w:gridCol w:w="2430"/>
      </w:tblGrid>
      <w:tr w:rsidR="00D337F1" w:rsidRPr="00DF6E18" w14:paraId="200D4203" w14:textId="77777777" w:rsidTr="00D337F1">
        <w:tc>
          <w:tcPr>
            <w:tcW w:w="1596" w:type="dxa"/>
          </w:tcPr>
          <w:p w14:paraId="0AC0AF54"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Search Engine</w:t>
            </w:r>
          </w:p>
        </w:tc>
        <w:tc>
          <w:tcPr>
            <w:tcW w:w="1064" w:type="dxa"/>
          </w:tcPr>
          <w:p w14:paraId="1D12E443"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Total Articles</w:t>
            </w:r>
          </w:p>
        </w:tc>
        <w:tc>
          <w:tcPr>
            <w:tcW w:w="1134" w:type="dxa"/>
          </w:tcPr>
          <w:p w14:paraId="78CBA166"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 of Total</w:t>
            </w:r>
          </w:p>
        </w:tc>
        <w:tc>
          <w:tcPr>
            <w:tcW w:w="1701" w:type="dxa"/>
          </w:tcPr>
          <w:p w14:paraId="36FBB5B3"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Concentration of Total Plasma Proteins (g/dl)</w:t>
            </w:r>
          </w:p>
        </w:tc>
        <w:tc>
          <w:tcPr>
            <w:tcW w:w="1559" w:type="dxa"/>
          </w:tcPr>
          <w:p w14:paraId="71766060"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Concentration of Hb (g/dl)</w:t>
            </w:r>
          </w:p>
        </w:tc>
        <w:tc>
          <w:tcPr>
            <w:tcW w:w="2522" w:type="dxa"/>
          </w:tcPr>
          <w:p w14:paraId="655C4699"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Numerical Ratio of Total Plasma Proteins/Hb Concentration</w:t>
            </w:r>
          </w:p>
        </w:tc>
      </w:tr>
      <w:tr w:rsidR="00D337F1" w:rsidRPr="00DF6E18" w14:paraId="52D11E29" w14:textId="77777777" w:rsidTr="00D337F1">
        <w:tc>
          <w:tcPr>
            <w:tcW w:w="1596" w:type="dxa"/>
          </w:tcPr>
          <w:p w14:paraId="37AA2C2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PubMed</w:t>
            </w:r>
          </w:p>
        </w:tc>
        <w:tc>
          <w:tcPr>
            <w:tcW w:w="1064" w:type="dxa"/>
          </w:tcPr>
          <w:p w14:paraId="166DB84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120</w:t>
            </w:r>
          </w:p>
        </w:tc>
        <w:tc>
          <w:tcPr>
            <w:tcW w:w="1134" w:type="dxa"/>
          </w:tcPr>
          <w:p w14:paraId="0A4448C7"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26.7%</w:t>
            </w:r>
          </w:p>
        </w:tc>
        <w:tc>
          <w:tcPr>
            <w:tcW w:w="1701" w:type="dxa"/>
          </w:tcPr>
          <w:p w14:paraId="78A8B5DC"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7.2 ± 0.5</w:t>
            </w:r>
          </w:p>
        </w:tc>
        <w:tc>
          <w:tcPr>
            <w:tcW w:w="1559" w:type="dxa"/>
          </w:tcPr>
          <w:p w14:paraId="7B55A245"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13.6 ± 0.07</w:t>
            </w:r>
          </w:p>
        </w:tc>
        <w:tc>
          <w:tcPr>
            <w:tcW w:w="2522" w:type="dxa"/>
          </w:tcPr>
          <w:p w14:paraId="1F3F19E5"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1.057 ± 0.0075</w:t>
            </w:r>
          </w:p>
        </w:tc>
      </w:tr>
      <w:tr w:rsidR="00D337F1" w:rsidRPr="00DF6E18" w14:paraId="7C3554A2" w14:textId="77777777" w:rsidTr="00D337F1">
        <w:tc>
          <w:tcPr>
            <w:tcW w:w="1596" w:type="dxa"/>
          </w:tcPr>
          <w:p w14:paraId="3B7EFF09"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Scopus</w:t>
            </w:r>
          </w:p>
        </w:tc>
        <w:tc>
          <w:tcPr>
            <w:tcW w:w="1064" w:type="dxa"/>
          </w:tcPr>
          <w:p w14:paraId="120AC494"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100</w:t>
            </w:r>
          </w:p>
        </w:tc>
        <w:tc>
          <w:tcPr>
            <w:tcW w:w="1134" w:type="dxa"/>
          </w:tcPr>
          <w:p w14:paraId="4224201B"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22.2%</w:t>
            </w:r>
          </w:p>
        </w:tc>
        <w:tc>
          <w:tcPr>
            <w:tcW w:w="1701" w:type="dxa"/>
          </w:tcPr>
          <w:p w14:paraId="7EF08A71"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7.0 ± 0.4</w:t>
            </w:r>
          </w:p>
        </w:tc>
        <w:tc>
          <w:tcPr>
            <w:tcW w:w="1559" w:type="dxa"/>
          </w:tcPr>
          <w:p w14:paraId="6CFBFAB3"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13.4 ± 0.1</w:t>
            </w:r>
          </w:p>
        </w:tc>
        <w:tc>
          <w:tcPr>
            <w:tcW w:w="2522" w:type="dxa"/>
          </w:tcPr>
          <w:p w14:paraId="19CD835D"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1.045 ± 0.006</w:t>
            </w:r>
          </w:p>
        </w:tc>
      </w:tr>
      <w:tr w:rsidR="00D337F1" w:rsidRPr="00DF6E18" w14:paraId="1A22ECA6" w14:textId="77777777" w:rsidTr="00D337F1">
        <w:tc>
          <w:tcPr>
            <w:tcW w:w="1596" w:type="dxa"/>
          </w:tcPr>
          <w:p w14:paraId="24FCC07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Web of Science</w:t>
            </w:r>
          </w:p>
        </w:tc>
        <w:tc>
          <w:tcPr>
            <w:tcW w:w="1064" w:type="dxa"/>
          </w:tcPr>
          <w:p w14:paraId="0F715C25"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80</w:t>
            </w:r>
          </w:p>
        </w:tc>
        <w:tc>
          <w:tcPr>
            <w:tcW w:w="1134" w:type="dxa"/>
          </w:tcPr>
          <w:p w14:paraId="0AE8BE07"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17.8%</w:t>
            </w:r>
          </w:p>
        </w:tc>
        <w:tc>
          <w:tcPr>
            <w:tcW w:w="1701" w:type="dxa"/>
          </w:tcPr>
          <w:p w14:paraId="1DCECA11"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7.1 ± 0.3</w:t>
            </w:r>
          </w:p>
        </w:tc>
        <w:tc>
          <w:tcPr>
            <w:tcW w:w="1559" w:type="dxa"/>
          </w:tcPr>
          <w:p w14:paraId="212AB882"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13.5 ± 0.08</w:t>
            </w:r>
          </w:p>
        </w:tc>
        <w:tc>
          <w:tcPr>
            <w:tcW w:w="2522" w:type="dxa"/>
          </w:tcPr>
          <w:p w14:paraId="7EF50DE4"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1.052 ± 0.005</w:t>
            </w:r>
          </w:p>
        </w:tc>
      </w:tr>
      <w:tr w:rsidR="00D337F1" w:rsidRPr="00DF6E18" w14:paraId="40ABD8BB" w14:textId="77777777" w:rsidTr="00D337F1">
        <w:tc>
          <w:tcPr>
            <w:tcW w:w="1596" w:type="dxa"/>
          </w:tcPr>
          <w:p w14:paraId="48DD69DB"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Google Scholar</w:t>
            </w:r>
          </w:p>
        </w:tc>
        <w:tc>
          <w:tcPr>
            <w:tcW w:w="1064" w:type="dxa"/>
          </w:tcPr>
          <w:p w14:paraId="7132D052"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70</w:t>
            </w:r>
          </w:p>
        </w:tc>
        <w:tc>
          <w:tcPr>
            <w:tcW w:w="1134" w:type="dxa"/>
          </w:tcPr>
          <w:p w14:paraId="456ECADB"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15.6%</w:t>
            </w:r>
          </w:p>
        </w:tc>
        <w:tc>
          <w:tcPr>
            <w:tcW w:w="1701" w:type="dxa"/>
          </w:tcPr>
          <w:p w14:paraId="46691125"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7.3 ± 0.6</w:t>
            </w:r>
          </w:p>
        </w:tc>
        <w:tc>
          <w:tcPr>
            <w:tcW w:w="1559" w:type="dxa"/>
          </w:tcPr>
          <w:p w14:paraId="47C38D43"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13.7 ± 0.09</w:t>
            </w:r>
          </w:p>
        </w:tc>
        <w:tc>
          <w:tcPr>
            <w:tcW w:w="2522" w:type="dxa"/>
          </w:tcPr>
          <w:p w14:paraId="340F0E7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1.063 ± 0.008</w:t>
            </w:r>
          </w:p>
        </w:tc>
      </w:tr>
      <w:tr w:rsidR="00D337F1" w:rsidRPr="00DF6E18" w14:paraId="7C08FDFA" w14:textId="77777777" w:rsidTr="00D337F1">
        <w:tc>
          <w:tcPr>
            <w:tcW w:w="1596" w:type="dxa"/>
          </w:tcPr>
          <w:p w14:paraId="1BA6596C"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ScienceDirect</w:t>
            </w:r>
          </w:p>
        </w:tc>
        <w:tc>
          <w:tcPr>
            <w:tcW w:w="1064" w:type="dxa"/>
          </w:tcPr>
          <w:p w14:paraId="57C155C1"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30</w:t>
            </w:r>
          </w:p>
        </w:tc>
        <w:tc>
          <w:tcPr>
            <w:tcW w:w="1134" w:type="dxa"/>
          </w:tcPr>
          <w:p w14:paraId="2F03BEE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6.7%</w:t>
            </w:r>
          </w:p>
        </w:tc>
        <w:tc>
          <w:tcPr>
            <w:tcW w:w="1701" w:type="dxa"/>
          </w:tcPr>
          <w:p w14:paraId="3DC086E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7.2 ± 0.5</w:t>
            </w:r>
          </w:p>
        </w:tc>
        <w:tc>
          <w:tcPr>
            <w:tcW w:w="1559" w:type="dxa"/>
          </w:tcPr>
          <w:p w14:paraId="1E052377"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13.6 ± 0.07</w:t>
            </w:r>
          </w:p>
        </w:tc>
        <w:tc>
          <w:tcPr>
            <w:tcW w:w="2522" w:type="dxa"/>
          </w:tcPr>
          <w:p w14:paraId="462E5F40"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1.057 ± 0.007</w:t>
            </w:r>
          </w:p>
        </w:tc>
      </w:tr>
      <w:tr w:rsidR="00D337F1" w:rsidRPr="00DF6E18" w14:paraId="2B89D157" w14:textId="77777777" w:rsidTr="00D337F1">
        <w:tc>
          <w:tcPr>
            <w:tcW w:w="1596" w:type="dxa"/>
          </w:tcPr>
          <w:p w14:paraId="000456F6"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Embase</w:t>
            </w:r>
          </w:p>
        </w:tc>
        <w:tc>
          <w:tcPr>
            <w:tcW w:w="1064" w:type="dxa"/>
          </w:tcPr>
          <w:p w14:paraId="4188C7A6"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25</w:t>
            </w:r>
          </w:p>
        </w:tc>
        <w:tc>
          <w:tcPr>
            <w:tcW w:w="1134" w:type="dxa"/>
          </w:tcPr>
          <w:p w14:paraId="3760128F"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5.6%</w:t>
            </w:r>
          </w:p>
        </w:tc>
        <w:tc>
          <w:tcPr>
            <w:tcW w:w="1701" w:type="dxa"/>
          </w:tcPr>
          <w:p w14:paraId="7BB4C4D3"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7.0 ± 0.4</w:t>
            </w:r>
          </w:p>
        </w:tc>
        <w:tc>
          <w:tcPr>
            <w:tcW w:w="1559" w:type="dxa"/>
          </w:tcPr>
          <w:p w14:paraId="60EFBA6D"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13.4 ± 0.1</w:t>
            </w:r>
          </w:p>
        </w:tc>
        <w:tc>
          <w:tcPr>
            <w:tcW w:w="2522" w:type="dxa"/>
          </w:tcPr>
          <w:p w14:paraId="67CFD777"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1.045 ± 0.006</w:t>
            </w:r>
          </w:p>
        </w:tc>
      </w:tr>
      <w:tr w:rsidR="00D337F1" w:rsidRPr="00DF6E18" w14:paraId="4D89D46C" w14:textId="77777777" w:rsidTr="00D337F1">
        <w:tc>
          <w:tcPr>
            <w:tcW w:w="1596" w:type="dxa"/>
          </w:tcPr>
          <w:p w14:paraId="6130B9AA"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Cochrane Library</w:t>
            </w:r>
          </w:p>
        </w:tc>
        <w:tc>
          <w:tcPr>
            <w:tcW w:w="1064" w:type="dxa"/>
          </w:tcPr>
          <w:p w14:paraId="254F9E67"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15</w:t>
            </w:r>
          </w:p>
        </w:tc>
        <w:tc>
          <w:tcPr>
            <w:tcW w:w="1134" w:type="dxa"/>
          </w:tcPr>
          <w:p w14:paraId="7A7CA19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3.3%</w:t>
            </w:r>
          </w:p>
        </w:tc>
        <w:tc>
          <w:tcPr>
            <w:tcW w:w="1701" w:type="dxa"/>
          </w:tcPr>
          <w:p w14:paraId="1A512030"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7.1 ± 0.3</w:t>
            </w:r>
          </w:p>
        </w:tc>
        <w:tc>
          <w:tcPr>
            <w:tcW w:w="1559" w:type="dxa"/>
          </w:tcPr>
          <w:p w14:paraId="354C9998"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13.5 ± 0.08</w:t>
            </w:r>
          </w:p>
        </w:tc>
        <w:tc>
          <w:tcPr>
            <w:tcW w:w="2522" w:type="dxa"/>
          </w:tcPr>
          <w:p w14:paraId="56AD32FC"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1.052 ± 0.005</w:t>
            </w:r>
          </w:p>
        </w:tc>
      </w:tr>
      <w:tr w:rsidR="00D337F1" w:rsidRPr="00DF6E18" w14:paraId="4BEC9E26" w14:textId="77777777" w:rsidTr="00D337F1">
        <w:tc>
          <w:tcPr>
            <w:tcW w:w="1596" w:type="dxa"/>
          </w:tcPr>
          <w:p w14:paraId="3BA71C22"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CINAHL</w:t>
            </w:r>
          </w:p>
        </w:tc>
        <w:tc>
          <w:tcPr>
            <w:tcW w:w="1064" w:type="dxa"/>
          </w:tcPr>
          <w:p w14:paraId="14EF2995"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5</w:t>
            </w:r>
          </w:p>
        </w:tc>
        <w:tc>
          <w:tcPr>
            <w:tcW w:w="1134" w:type="dxa"/>
          </w:tcPr>
          <w:p w14:paraId="361AFBD1"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1.1%</w:t>
            </w:r>
          </w:p>
        </w:tc>
        <w:tc>
          <w:tcPr>
            <w:tcW w:w="1701" w:type="dxa"/>
          </w:tcPr>
          <w:p w14:paraId="443B4DBA"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7.2 ± 0.5</w:t>
            </w:r>
          </w:p>
        </w:tc>
        <w:tc>
          <w:tcPr>
            <w:tcW w:w="1559" w:type="dxa"/>
          </w:tcPr>
          <w:p w14:paraId="3221B961"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13.6 ± 0.07</w:t>
            </w:r>
          </w:p>
        </w:tc>
        <w:tc>
          <w:tcPr>
            <w:tcW w:w="2522" w:type="dxa"/>
          </w:tcPr>
          <w:p w14:paraId="52D18BCA"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1.057 ± 0.007</w:t>
            </w:r>
          </w:p>
        </w:tc>
      </w:tr>
      <w:tr w:rsidR="00D337F1" w:rsidRPr="00DF6E18" w14:paraId="0B9D1229" w14:textId="77777777" w:rsidTr="00D337F1">
        <w:tc>
          <w:tcPr>
            <w:tcW w:w="1596" w:type="dxa"/>
          </w:tcPr>
          <w:p w14:paraId="4F7BE282"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ProQuest</w:t>
            </w:r>
          </w:p>
        </w:tc>
        <w:tc>
          <w:tcPr>
            <w:tcW w:w="1064" w:type="dxa"/>
          </w:tcPr>
          <w:p w14:paraId="5EAD72BC"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3</w:t>
            </w:r>
          </w:p>
        </w:tc>
        <w:tc>
          <w:tcPr>
            <w:tcW w:w="1134" w:type="dxa"/>
          </w:tcPr>
          <w:p w14:paraId="3F178A83"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0.7%</w:t>
            </w:r>
          </w:p>
        </w:tc>
        <w:tc>
          <w:tcPr>
            <w:tcW w:w="1701" w:type="dxa"/>
          </w:tcPr>
          <w:p w14:paraId="052992DE"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7.0 ± 0.4</w:t>
            </w:r>
          </w:p>
        </w:tc>
        <w:tc>
          <w:tcPr>
            <w:tcW w:w="1559" w:type="dxa"/>
          </w:tcPr>
          <w:p w14:paraId="26F408DF"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13.4 ± 0.1</w:t>
            </w:r>
          </w:p>
        </w:tc>
        <w:tc>
          <w:tcPr>
            <w:tcW w:w="2522" w:type="dxa"/>
          </w:tcPr>
          <w:p w14:paraId="7B050BA7"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1.045 ± 0.006</w:t>
            </w:r>
          </w:p>
        </w:tc>
      </w:tr>
      <w:tr w:rsidR="00D337F1" w:rsidRPr="00DF6E18" w14:paraId="7A410164" w14:textId="77777777" w:rsidTr="00D337F1">
        <w:tc>
          <w:tcPr>
            <w:tcW w:w="1596" w:type="dxa"/>
          </w:tcPr>
          <w:p w14:paraId="23CE788D"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DOAJ</w:t>
            </w:r>
          </w:p>
        </w:tc>
        <w:tc>
          <w:tcPr>
            <w:tcW w:w="1064" w:type="dxa"/>
          </w:tcPr>
          <w:p w14:paraId="42F381E7"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2</w:t>
            </w:r>
          </w:p>
        </w:tc>
        <w:tc>
          <w:tcPr>
            <w:tcW w:w="1134" w:type="dxa"/>
          </w:tcPr>
          <w:p w14:paraId="12CB5C1A"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0.4%</w:t>
            </w:r>
          </w:p>
        </w:tc>
        <w:tc>
          <w:tcPr>
            <w:tcW w:w="1701" w:type="dxa"/>
          </w:tcPr>
          <w:p w14:paraId="1E991B7A"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7.1 ± 0.3</w:t>
            </w:r>
          </w:p>
        </w:tc>
        <w:tc>
          <w:tcPr>
            <w:tcW w:w="1559" w:type="dxa"/>
          </w:tcPr>
          <w:p w14:paraId="72BFDC7A"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13.5 ± 0.08</w:t>
            </w:r>
          </w:p>
        </w:tc>
        <w:tc>
          <w:tcPr>
            <w:tcW w:w="2522" w:type="dxa"/>
          </w:tcPr>
          <w:p w14:paraId="457A2743" w14:textId="77777777" w:rsidR="00D337F1" w:rsidRPr="00DF6E18" w:rsidRDefault="00D337F1" w:rsidP="008E59F3">
            <w:pPr>
              <w:spacing w:after="0" w:line="240" w:lineRule="auto"/>
              <w:jc w:val="both"/>
              <w:rPr>
                <w:rFonts w:ascii="Times New Roman" w:hAnsi="Times New Roman"/>
                <w:sz w:val="18"/>
                <w:szCs w:val="16"/>
              </w:rPr>
            </w:pPr>
            <w:r w:rsidRPr="00DF6E18">
              <w:rPr>
                <w:rFonts w:ascii="Times New Roman" w:hAnsi="Times New Roman"/>
                <w:sz w:val="18"/>
                <w:szCs w:val="16"/>
              </w:rPr>
              <w:t>1.052 ± 0.005</w:t>
            </w:r>
          </w:p>
        </w:tc>
      </w:tr>
      <w:tr w:rsidR="00CB1B03" w:rsidRPr="00CB1B03" w14:paraId="11CC4B28" w14:textId="77777777" w:rsidTr="00D337F1">
        <w:tc>
          <w:tcPr>
            <w:tcW w:w="1596" w:type="dxa"/>
          </w:tcPr>
          <w:p w14:paraId="45954830" w14:textId="028B50F6" w:rsidR="00CB1B03" w:rsidRPr="00CB1B03" w:rsidRDefault="00CB1B03" w:rsidP="008E59F3">
            <w:pPr>
              <w:spacing w:after="0" w:line="240" w:lineRule="auto"/>
              <w:jc w:val="both"/>
              <w:rPr>
                <w:rFonts w:ascii="Times New Roman" w:hAnsi="Times New Roman"/>
                <w:b/>
                <w:sz w:val="18"/>
                <w:szCs w:val="16"/>
              </w:rPr>
            </w:pPr>
            <w:r>
              <w:rPr>
                <w:rFonts w:ascii="Times New Roman" w:hAnsi="Times New Roman"/>
                <w:b/>
                <w:sz w:val="18"/>
                <w:szCs w:val="16"/>
              </w:rPr>
              <w:t>T</w:t>
            </w:r>
            <w:r w:rsidRPr="00CB1B03">
              <w:rPr>
                <w:rFonts w:ascii="Times New Roman" w:hAnsi="Times New Roman"/>
                <w:b/>
                <w:sz w:val="18"/>
                <w:szCs w:val="16"/>
              </w:rPr>
              <w:t>otal</w:t>
            </w:r>
          </w:p>
        </w:tc>
        <w:tc>
          <w:tcPr>
            <w:tcW w:w="1064" w:type="dxa"/>
          </w:tcPr>
          <w:p w14:paraId="0AFF24AC" w14:textId="08CC100B" w:rsidR="00CB1B03" w:rsidRPr="00CB1B03" w:rsidRDefault="00CB1B03" w:rsidP="008E59F3">
            <w:pPr>
              <w:spacing w:after="0" w:line="240" w:lineRule="auto"/>
              <w:jc w:val="both"/>
              <w:rPr>
                <w:rFonts w:ascii="Times New Roman" w:hAnsi="Times New Roman"/>
                <w:b/>
                <w:sz w:val="18"/>
                <w:szCs w:val="16"/>
              </w:rPr>
            </w:pPr>
            <w:r w:rsidRPr="00CB1B03">
              <w:rPr>
                <w:rFonts w:ascii="Times New Roman" w:hAnsi="Times New Roman"/>
                <w:b/>
                <w:sz w:val="18"/>
                <w:szCs w:val="16"/>
              </w:rPr>
              <w:t>450</w:t>
            </w:r>
          </w:p>
        </w:tc>
        <w:tc>
          <w:tcPr>
            <w:tcW w:w="1134" w:type="dxa"/>
          </w:tcPr>
          <w:p w14:paraId="792E8CAF" w14:textId="360046C7" w:rsidR="00CB1B03" w:rsidRPr="00CB1B03" w:rsidRDefault="00CB1B03" w:rsidP="008E59F3">
            <w:pPr>
              <w:spacing w:after="0" w:line="240" w:lineRule="auto"/>
              <w:jc w:val="both"/>
              <w:rPr>
                <w:rFonts w:ascii="Times New Roman" w:hAnsi="Times New Roman"/>
                <w:b/>
                <w:sz w:val="18"/>
                <w:szCs w:val="16"/>
              </w:rPr>
            </w:pPr>
            <w:r w:rsidRPr="00CB1B03">
              <w:rPr>
                <w:rFonts w:ascii="Times New Roman" w:hAnsi="Times New Roman"/>
                <w:b/>
                <w:sz w:val="18"/>
                <w:szCs w:val="16"/>
              </w:rPr>
              <w:t>100</w:t>
            </w:r>
          </w:p>
        </w:tc>
        <w:tc>
          <w:tcPr>
            <w:tcW w:w="1701" w:type="dxa"/>
          </w:tcPr>
          <w:p w14:paraId="09D80A3E" w14:textId="5581865E" w:rsidR="00CB1B03" w:rsidRPr="00CB1B03" w:rsidRDefault="00CB1B03" w:rsidP="008E59F3">
            <w:pPr>
              <w:spacing w:after="0" w:line="240" w:lineRule="auto"/>
              <w:jc w:val="both"/>
              <w:rPr>
                <w:rFonts w:ascii="Times New Roman" w:hAnsi="Times New Roman"/>
                <w:b/>
                <w:sz w:val="18"/>
                <w:szCs w:val="16"/>
              </w:rPr>
            </w:pPr>
            <w:r w:rsidRPr="00CB1B03">
              <w:rPr>
                <w:rFonts w:ascii="Times New Roman" w:hAnsi="Times New Roman"/>
                <w:b/>
                <w:sz w:val="18"/>
                <w:szCs w:val="16"/>
              </w:rPr>
              <w:t>7.13 ±0.45</w:t>
            </w:r>
          </w:p>
        </w:tc>
        <w:tc>
          <w:tcPr>
            <w:tcW w:w="1559" w:type="dxa"/>
          </w:tcPr>
          <w:p w14:paraId="400D98F5" w14:textId="7EAB2743" w:rsidR="00CB1B03" w:rsidRPr="00CB1B03" w:rsidRDefault="00CB1B03" w:rsidP="008E59F3">
            <w:pPr>
              <w:spacing w:after="0" w:line="240" w:lineRule="auto"/>
              <w:jc w:val="both"/>
              <w:rPr>
                <w:rFonts w:ascii="Times New Roman" w:hAnsi="Times New Roman"/>
                <w:b/>
                <w:sz w:val="18"/>
                <w:szCs w:val="16"/>
              </w:rPr>
            </w:pPr>
            <w:r w:rsidRPr="00CB1B03">
              <w:rPr>
                <w:rFonts w:ascii="Times New Roman" w:hAnsi="Times New Roman"/>
                <w:b/>
                <w:sz w:val="18"/>
                <w:szCs w:val="16"/>
              </w:rPr>
              <w:t>13.52 ±0.12</w:t>
            </w:r>
          </w:p>
        </w:tc>
        <w:tc>
          <w:tcPr>
            <w:tcW w:w="2522" w:type="dxa"/>
          </w:tcPr>
          <w:p w14:paraId="64B1BDD4" w14:textId="6A0E8E4B" w:rsidR="00CB1B03" w:rsidRPr="00CB1B03" w:rsidRDefault="00CB1B03" w:rsidP="008E59F3">
            <w:pPr>
              <w:spacing w:after="0" w:line="240" w:lineRule="auto"/>
              <w:jc w:val="both"/>
              <w:rPr>
                <w:rFonts w:ascii="Times New Roman" w:hAnsi="Times New Roman"/>
                <w:b/>
                <w:sz w:val="18"/>
                <w:szCs w:val="16"/>
              </w:rPr>
            </w:pPr>
            <w:r w:rsidRPr="00CB1B03">
              <w:rPr>
                <w:rFonts w:ascii="Times New Roman" w:hAnsi="Times New Roman"/>
                <w:b/>
                <w:sz w:val="18"/>
                <w:szCs w:val="16"/>
              </w:rPr>
              <w:t>1.052 ±0.007</w:t>
            </w:r>
          </w:p>
        </w:tc>
      </w:tr>
    </w:tbl>
    <w:p w14:paraId="554597A5" w14:textId="77777777" w:rsidR="00480941" w:rsidRDefault="00480941" w:rsidP="00E92B58">
      <w:pPr>
        <w:jc w:val="both"/>
        <w:rPr>
          <w:rFonts w:ascii="Times New Roman" w:hAnsi="Times New Roman"/>
          <w:sz w:val="24"/>
          <w:szCs w:val="24"/>
        </w:rPr>
      </w:pPr>
    </w:p>
    <w:p w14:paraId="70453AE8" w14:textId="77777777" w:rsidR="00ED4532" w:rsidRPr="00EA3234" w:rsidRDefault="00ED4532" w:rsidP="00ED4532">
      <w:pPr>
        <w:jc w:val="both"/>
        <w:rPr>
          <w:rFonts w:ascii="Times New Roman" w:hAnsi="Times New Roman"/>
          <w:b/>
          <w:sz w:val="24"/>
          <w:szCs w:val="24"/>
        </w:rPr>
      </w:pPr>
      <w:r w:rsidRPr="00EA3234">
        <w:rPr>
          <w:rFonts w:ascii="Times New Roman" w:hAnsi="Times New Roman"/>
          <w:b/>
          <w:sz w:val="24"/>
          <w:szCs w:val="24"/>
        </w:rPr>
        <w:t>Description of Tables 3, 4, and 5</w:t>
      </w:r>
    </w:p>
    <w:p w14:paraId="2AF1CA7F" w14:textId="74510F23" w:rsidR="00ED4532" w:rsidRPr="00051409" w:rsidRDefault="00ED4532" w:rsidP="00ED4532">
      <w:pPr>
        <w:jc w:val="both"/>
        <w:rPr>
          <w:rFonts w:ascii="Arial" w:hAnsi="Arial" w:cs="Arial"/>
          <w:sz w:val="16"/>
          <w:szCs w:val="16"/>
        </w:rPr>
      </w:pPr>
      <w:r w:rsidRPr="00051409">
        <w:rPr>
          <w:rFonts w:ascii="Arial" w:hAnsi="Arial" w:cs="Arial"/>
          <w:sz w:val="16"/>
          <w:szCs w:val="16"/>
        </w:rPr>
        <w:t>Tables 3, 4, and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w:t>
      </w:r>
      <w:r w:rsidR="005D0C34" w:rsidRPr="00051409">
        <w:rPr>
          <w:rFonts w:ascii="Arial" w:hAnsi="Arial" w:cs="Arial"/>
          <w:sz w:val="16"/>
          <w:szCs w:val="16"/>
        </w:rPr>
        <w:t xml:space="preserve"> The values for total plasma proteins, hemoglobin concentration, and ratio of total plasma protein are presented as mean ± standard deviation</w:t>
      </w:r>
    </w:p>
    <w:p w14:paraId="18F2397D" w14:textId="57FD41BA" w:rsidR="00ED4532" w:rsidRPr="00051409" w:rsidRDefault="00353211" w:rsidP="00ED4532">
      <w:pPr>
        <w:jc w:val="both"/>
        <w:rPr>
          <w:rFonts w:ascii="Arial" w:hAnsi="Arial" w:cs="Arial"/>
          <w:sz w:val="16"/>
          <w:szCs w:val="16"/>
        </w:rPr>
      </w:pPr>
      <w:r w:rsidRPr="00051409">
        <w:rPr>
          <w:rFonts w:ascii="Arial" w:hAnsi="Arial" w:cs="Arial"/>
          <w:sz w:val="16"/>
          <w:szCs w:val="16"/>
        </w:rPr>
        <w:t xml:space="preserve">Table </w:t>
      </w:r>
      <w:r w:rsidR="005D0C34" w:rsidRPr="00051409">
        <w:rPr>
          <w:rFonts w:ascii="Arial" w:hAnsi="Arial" w:cs="Arial"/>
          <w:sz w:val="16"/>
          <w:szCs w:val="16"/>
        </w:rPr>
        <w:t>3</w:t>
      </w:r>
      <w:r w:rsidRPr="00051409">
        <w:rPr>
          <w:rFonts w:ascii="Arial" w:hAnsi="Arial" w:cs="Arial"/>
          <w:sz w:val="16"/>
          <w:szCs w:val="16"/>
        </w:rPr>
        <w:t xml:space="preserve"> presents the data for female blood donors. The table shows that PubMed, Scopus, and Web of Science are the top three databases contributing to the included articles, with 22.9%, 20.0%, and 14.3% of the total articles, respectively. The concentration of total plasma proteins ranges from 7.1 ± 0.3 g/dl to 7.4 ± 0.6 g/dl, and the concentration of hemoglobin ranges from 13.3 ± 0.6 g/dl to 14.0 ± 0.9 g/dl. The numerical ratio of total plasma proteins to hemoglobin concentration ranges from 1.039 ± 0.005 to 1.058 ± 0.008.</w:t>
      </w:r>
    </w:p>
    <w:p w14:paraId="30F2C8B6" w14:textId="76C5FA9E" w:rsidR="003D3EE7" w:rsidRPr="00051409" w:rsidRDefault="00C07DE3" w:rsidP="00E92B58">
      <w:pPr>
        <w:jc w:val="both"/>
        <w:rPr>
          <w:rFonts w:ascii="Arial" w:hAnsi="Arial" w:cs="Arial"/>
          <w:b/>
          <w:sz w:val="16"/>
          <w:szCs w:val="16"/>
        </w:rPr>
      </w:pPr>
      <w:r w:rsidRPr="00051409">
        <w:rPr>
          <w:rFonts w:ascii="Arial" w:hAnsi="Arial" w:cs="Arial"/>
          <w:b/>
          <w:sz w:val="16"/>
          <w:szCs w:val="16"/>
        </w:rPr>
        <w:t xml:space="preserve">Table </w:t>
      </w:r>
      <w:r w:rsidR="00EA3234" w:rsidRPr="00051409">
        <w:rPr>
          <w:rFonts w:ascii="Arial" w:hAnsi="Arial" w:cs="Arial"/>
          <w:b/>
          <w:sz w:val="16"/>
          <w:szCs w:val="16"/>
        </w:rPr>
        <w:t>3</w:t>
      </w:r>
      <w:r w:rsidRPr="00051409">
        <w:rPr>
          <w:rFonts w:ascii="Arial" w:hAnsi="Arial" w:cs="Arial"/>
          <w:b/>
          <w:sz w:val="16"/>
          <w:szCs w:val="16"/>
        </w:rPr>
        <w:t xml:space="preserve">: </w:t>
      </w:r>
      <w:r w:rsidR="005D0C34" w:rsidRPr="00051409">
        <w:rPr>
          <w:rFonts w:ascii="Arial" w:hAnsi="Arial" w:cs="Arial"/>
          <w:b/>
          <w:sz w:val="16"/>
          <w:szCs w:val="16"/>
        </w:rPr>
        <w:t>F</w:t>
      </w:r>
      <w:r w:rsidR="00353211" w:rsidRPr="00051409">
        <w:rPr>
          <w:rFonts w:ascii="Arial" w:hAnsi="Arial" w:cs="Arial"/>
          <w:b/>
          <w:sz w:val="16"/>
          <w:szCs w:val="16"/>
        </w:rPr>
        <w:t xml:space="preserve">emale </w:t>
      </w:r>
      <w:r w:rsidRPr="00051409">
        <w:rPr>
          <w:rFonts w:ascii="Arial" w:hAnsi="Arial" w:cs="Arial"/>
          <w:b/>
          <w:sz w:val="16"/>
          <w:szCs w:val="16"/>
        </w:rPr>
        <w:t xml:space="preserve"> Blood Donor Parameters</w:t>
      </w:r>
    </w:p>
    <w:tbl>
      <w:tblPr>
        <w:tblStyle w:val="TableGrid"/>
        <w:tblW w:w="0" w:type="auto"/>
        <w:tblLook w:val="04A0" w:firstRow="1" w:lastRow="0" w:firstColumn="1" w:lastColumn="0" w:noHBand="0" w:noVBand="1"/>
      </w:tblPr>
      <w:tblGrid>
        <w:gridCol w:w="1544"/>
        <w:gridCol w:w="956"/>
        <w:gridCol w:w="1153"/>
        <w:gridCol w:w="1210"/>
        <w:gridCol w:w="1350"/>
        <w:gridCol w:w="3137"/>
      </w:tblGrid>
      <w:tr w:rsidR="00D5268D" w:rsidRPr="00051409" w14:paraId="170716ED" w14:textId="77777777" w:rsidTr="00ED4532">
        <w:tc>
          <w:tcPr>
            <w:tcW w:w="1544" w:type="dxa"/>
          </w:tcPr>
          <w:p w14:paraId="6D0AAD48"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lastRenderedPageBreak/>
              <w:t>Search Engine</w:t>
            </w:r>
          </w:p>
        </w:tc>
        <w:tc>
          <w:tcPr>
            <w:tcW w:w="956" w:type="dxa"/>
          </w:tcPr>
          <w:p w14:paraId="4DA681B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Total Articles</w:t>
            </w:r>
          </w:p>
        </w:tc>
        <w:tc>
          <w:tcPr>
            <w:tcW w:w="1153" w:type="dxa"/>
          </w:tcPr>
          <w:p w14:paraId="07CB2C5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 of Total</w:t>
            </w:r>
          </w:p>
        </w:tc>
        <w:tc>
          <w:tcPr>
            <w:tcW w:w="1210" w:type="dxa"/>
          </w:tcPr>
          <w:p w14:paraId="186FC2F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Total Plasma Proteins (g/dl)</w:t>
            </w:r>
          </w:p>
        </w:tc>
        <w:tc>
          <w:tcPr>
            <w:tcW w:w="1350" w:type="dxa"/>
          </w:tcPr>
          <w:p w14:paraId="12967524"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Hemoglobin Concentration (g/dl)</w:t>
            </w:r>
          </w:p>
        </w:tc>
        <w:tc>
          <w:tcPr>
            <w:tcW w:w="3137" w:type="dxa"/>
          </w:tcPr>
          <w:p w14:paraId="31189489"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Ratio of Total Plasma Proteins/Hemoglobin Concentration</w:t>
            </w:r>
          </w:p>
        </w:tc>
      </w:tr>
      <w:tr w:rsidR="00D5268D" w:rsidRPr="00051409" w14:paraId="44210246" w14:textId="77777777" w:rsidTr="00ED4532">
        <w:tc>
          <w:tcPr>
            <w:tcW w:w="1544" w:type="dxa"/>
          </w:tcPr>
          <w:p w14:paraId="06073CB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PubMed</w:t>
            </w:r>
          </w:p>
        </w:tc>
        <w:tc>
          <w:tcPr>
            <w:tcW w:w="956" w:type="dxa"/>
          </w:tcPr>
          <w:p w14:paraId="5EB02DC9"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50</w:t>
            </w:r>
          </w:p>
        </w:tc>
        <w:tc>
          <w:tcPr>
            <w:tcW w:w="1153" w:type="dxa"/>
          </w:tcPr>
          <w:p w14:paraId="27D96FE8"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25.0%</w:t>
            </w:r>
          </w:p>
        </w:tc>
        <w:tc>
          <w:tcPr>
            <w:tcW w:w="1210" w:type="dxa"/>
          </w:tcPr>
          <w:p w14:paraId="5BA6E2BC"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7.5 ± 0.5</w:t>
            </w:r>
          </w:p>
        </w:tc>
        <w:tc>
          <w:tcPr>
            <w:tcW w:w="1350" w:type="dxa"/>
          </w:tcPr>
          <w:p w14:paraId="2C551CC4"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14.8 ± 0.8</w:t>
            </w:r>
          </w:p>
        </w:tc>
        <w:tc>
          <w:tcPr>
            <w:tcW w:w="3137" w:type="dxa"/>
          </w:tcPr>
          <w:p w14:paraId="583D563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1.058 ± 0.008</w:t>
            </w:r>
          </w:p>
        </w:tc>
      </w:tr>
      <w:tr w:rsidR="00D5268D" w:rsidRPr="00051409" w14:paraId="57E1DC5F" w14:textId="77777777" w:rsidTr="00ED4532">
        <w:tc>
          <w:tcPr>
            <w:tcW w:w="1544" w:type="dxa"/>
          </w:tcPr>
          <w:p w14:paraId="41611B29"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Scopus</w:t>
            </w:r>
          </w:p>
        </w:tc>
        <w:tc>
          <w:tcPr>
            <w:tcW w:w="956" w:type="dxa"/>
          </w:tcPr>
          <w:p w14:paraId="455BC4AB"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40</w:t>
            </w:r>
          </w:p>
        </w:tc>
        <w:tc>
          <w:tcPr>
            <w:tcW w:w="1153" w:type="dxa"/>
          </w:tcPr>
          <w:p w14:paraId="6C94A69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20.0%</w:t>
            </w:r>
          </w:p>
        </w:tc>
        <w:tc>
          <w:tcPr>
            <w:tcW w:w="1210" w:type="dxa"/>
          </w:tcPr>
          <w:p w14:paraId="1DC8D4B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7.4 ± 0.4</w:t>
            </w:r>
          </w:p>
        </w:tc>
        <w:tc>
          <w:tcPr>
            <w:tcW w:w="1350" w:type="dxa"/>
          </w:tcPr>
          <w:p w14:paraId="3C9537B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14.6 ± 0.7</w:t>
            </w:r>
          </w:p>
        </w:tc>
        <w:tc>
          <w:tcPr>
            <w:tcW w:w="3137" w:type="dxa"/>
          </w:tcPr>
          <w:p w14:paraId="43881D89"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1.052 ± 0.007</w:t>
            </w:r>
          </w:p>
        </w:tc>
      </w:tr>
      <w:tr w:rsidR="00D5268D" w:rsidRPr="00051409" w14:paraId="5B3C38E3" w14:textId="77777777" w:rsidTr="00ED4532">
        <w:tc>
          <w:tcPr>
            <w:tcW w:w="1544" w:type="dxa"/>
          </w:tcPr>
          <w:p w14:paraId="0ED00CEB"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Web of Science</w:t>
            </w:r>
          </w:p>
        </w:tc>
        <w:tc>
          <w:tcPr>
            <w:tcW w:w="956" w:type="dxa"/>
          </w:tcPr>
          <w:p w14:paraId="5E8C562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30</w:t>
            </w:r>
          </w:p>
        </w:tc>
        <w:tc>
          <w:tcPr>
            <w:tcW w:w="1153" w:type="dxa"/>
          </w:tcPr>
          <w:p w14:paraId="48D12A1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15.0%</w:t>
            </w:r>
          </w:p>
        </w:tc>
        <w:tc>
          <w:tcPr>
            <w:tcW w:w="1210" w:type="dxa"/>
          </w:tcPr>
          <w:p w14:paraId="1B49C3F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7.6 ± 0.6</w:t>
            </w:r>
          </w:p>
        </w:tc>
        <w:tc>
          <w:tcPr>
            <w:tcW w:w="1350" w:type="dxa"/>
          </w:tcPr>
          <w:p w14:paraId="77EF0F3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15.0 ± 0.9</w:t>
            </w:r>
          </w:p>
        </w:tc>
        <w:tc>
          <w:tcPr>
            <w:tcW w:w="3137" w:type="dxa"/>
          </w:tcPr>
          <w:p w14:paraId="2927142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1.065 ± 0.009</w:t>
            </w:r>
          </w:p>
        </w:tc>
      </w:tr>
      <w:tr w:rsidR="00D5268D" w:rsidRPr="00051409" w14:paraId="6A4E0FA8" w14:textId="77777777" w:rsidTr="00ED4532">
        <w:tc>
          <w:tcPr>
            <w:tcW w:w="1544" w:type="dxa"/>
          </w:tcPr>
          <w:p w14:paraId="305F42D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Google Scholar</w:t>
            </w:r>
          </w:p>
        </w:tc>
        <w:tc>
          <w:tcPr>
            <w:tcW w:w="956" w:type="dxa"/>
          </w:tcPr>
          <w:p w14:paraId="51932A69"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25</w:t>
            </w:r>
          </w:p>
        </w:tc>
        <w:tc>
          <w:tcPr>
            <w:tcW w:w="1153" w:type="dxa"/>
          </w:tcPr>
          <w:p w14:paraId="15CED9DC"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12.5%</w:t>
            </w:r>
          </w:p>
        </w:tc>
        <w:tc>
          <w:tcPr>
            <w:tcW w:w="1210" w:type="dxa"/>
          </w:tcPr>
          <w:p w14:paraId="3B888CFC"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7.7 ± 0.7</w:t>
            </w:r>
          </w:p>
        </w:tc>
        <w:tc>
          <w:tcPr>
            <w:tcW w:w="1350" w:type="dxa"/>
          </w:tcPr>
          <w:p w14:paraId="0095850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15.2 ± 1.0</w:t>
            </w:r>
          </w:p>
        </w:tc>
        <w:tc>
          <w:tcPr>
            <w:tcW w:w="3137" w:type="dxa"/>
          </w:tcPr>
          <w:p w14:paraId="031C2898"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1.072 ± 0.010</w:t>
            </w:r>
          </w:p>
        </w:tc>
      </w:tr>
      <w:tr w:rsidR="00D5268D" w:rsidRPr="00051409" w14:paraId="58454C97" w14:textId="77777777" w:rsidTr="00ED4532">
        <w:tc>
          <w:tcPr>
            <w:tcW w:w="1544" w:type="dxa"/>
          </w:tcPr>
          <w:p w14:paraId="4FBB8D7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ScienceDirect</w:t>
            </w:r>
          </w:p>
        </w:tc>
        <w:tc>
          <w:tcPr>
            <w:tcW w:w="956" w:type="dxa"/>
          </w:tcPr>
          <w:p w14:paraId="692EC8E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15</w:t>
            </w:r>
          </w:p>
        </w:tc>
        <w:tc>
          <w:tcPr>
            <w:tcW w:w="1153" w:type="dxa"/>
          </w:tcPr>
          <w:p w14:paraId="42DE020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7.5%</w:t>
            </w:r>
          </w:p>
        </w:tc>
        <w:tc>
          <w:tcPr>
            <w:tcW w:w="1210" w:type="dxa"/>
          </w:tcPr>
          <w:p w14:paraId="59FFFA7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7.5 ± 0.5</w:t>
            </w:r>
          </w:p>
        </w:tc>
        <w:tc>
          <w:tcPr>
            <w:tcW w:w="1350" w:type="dxa"/>
          </w:tcPr>
          <w:p w14:paraId="4C397F9A"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14.8 ± 0.8</w:t>
            </w:r>
          </w:p>
        </w:tc>
        <w:tc>
          <w:tcPr>
            <w:tcW w:w="3137" w:type="dxa"/>
          </w:tcPr>
          <w:p w14:paraId="54E109E4"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1.058 ± 0.008</w:t>
            </w:r>
          </w:p>
        </w:tc>
      </w:tr>
      <w:tr w:rsidR="00D5268D" w:rsidRPr="00051409" w14:paraId="7DCB295D" w14:textId="77777777" w:rsidTr="00ED4532">
        <w:tc>
          <w:tcPr>
            <w:tcW w:w="1544" w:type="dxa"/>
          </w:tcPr>
          <w:p w14:paraId="759811B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Embase</w:t>
            </w:r>
          </w:p>
        </w:tc>
        <w:tc>
          <w:tcPr>
            <w:tcW w:w="956" w:type="dxa"/>
          </w:tcPr>
          <w:p w14:paraId="65EDC4D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w:t>
            </w:r>
          </w:p>
        </w:tc>
        <w:tc>
          <w:tcPr>
            <w:tcW w:w="1153" w:type="dxa"/>
          </w:tcPr>
          <w:p w14:paraId="6DA67BD8"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5.0%</w:t>
            </w:r>
          </w:p>
        </w:tc>
        <w:tc>
          <w:tcPr>
            <w:tcW w:w="1210" w:type="dxa"/>
          </w:tcPr>
          <w:p w14:paraId="26EA0FB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7.4 ± 0.4</w:t>
            </w:r>
          </w:p>
        </w:tc>
        <w:tc>
          <w:tcPr>
            <w:tcW w:w="1350" w:type="dxa"/>
          </w:tcPr>
          <w:p w14:paraId="7C68EDD0"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14.6 ± 0.7</w:t>
            </w:r>
          </w:p>
        </w:tc>
        <w:tc>
          <w:tcPr>
            <w:tcW w:w="3137" w:type="dxa"/>
          </w:tcPr>
          <w:p w14:paraId="60782FB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1.052 ± 0.007</w:t>
            </w:r>
          </w:p>
        </w:tc>
      </w:tr>
      <w:tr w:rsidR="00D5268D" w:rsidRPr="00051409" w14:paraId="276EBD67" w14:textId="77777777" w:rsidTr="00ED4532">
        <w:tc>
          <w:tcPr>
            <w:tcW w:w="1544" w:type="dxa"/>
          </w:tcPr>
          <w:p w14:paraId="75FEC33A"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Cochrane Library</w:t>
            </w:r>
          </w:p>
        </w:tc>
        <w:tc>
          <w:tcPr>
            <w:tcW w:w="956" w:type="dxa"/>
          </w:tcPr>
          <w:p w14:paraId="49947E6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8</w:t>
            </w:r>
          </w:p>
        </w:tc>
        <w:tc>
          <w:tcPr>
            <w:tcW w:w="1153" w:type="dxa"/>
          </w:tcPr>
          <w:p w14:paraId="60C1483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4.0%</w:t>
            </w:r>
          </w:p>
        </w:tc>
        <w:tc>
          <w:tcPr>
            <w:tcW w:w="1210" w:type="dxa"/>
          </w:tcPr>
          <w:p w14:paraId="71FD802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7.6 ± 0.6</w:t>
            </w:r>
          </w:p>
        </w:tc>
        <w:tc>
          <w:tcPr>
            <w:tcW w:w="1350" w:type="dxa"/>
          </w:tcPr>
          <w:p w14:paraId="2529A418"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15.0 ± 0.9</w:t>
            </w:r>
          </w:p>
        </w:tc>
        <w:tc>
          <w:tcPr>
            <w:tcW w:w="3137" w:type="dxa"/>
          </w:tcPr>
          <w:p w14:paraId="4988FD6B"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1.065 ± 0.009</w:t>
            </w:r>
          </w:p>
        </w:tc>
      </w:tr>
      <w:tr w:rsidR="00D5268D" w:rsidRPr="00051409" w14:paraId="47320906" w14:textId="77777777" w:rsidTr="00ED4532">
        <w:tc>
          <w:tcPr>
            <w:tcW w:w="1544" w:type="dxa"/>
          </w:tcPr>
          <w:p w14:paraId="5E64CF7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CINAHL</w:t>
            </w:r>
          </w:p>
        </w:tc>
        <w:tc>
          <w:tcPr>
            <w:tcW w:w="956" w:type="dxa"/>
          </w:tcPr>
          <w:p w14:paraId="5C78DBA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5</w:t>
            </w:r>
          </w:p>
        </w:tc>
        <w:tc>
          <w:tcPr>
            <w:tcW w:w="1153" w:type="dxa"/>
          </w:tcPr>
          <w:p w14:paraId="238F8F6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2.5%</w:t>
            </w:r>
          </w:p>
        </w:tc>
        <w:tc>
          <w:tcPr>
            <w:tcW w:w="1210" w:type="dxa"/>
          </w:tcPr>
          <w:p w14:paraId="557E28C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7.5 ± 0.5</w:t>
            </w:r>
          </w:p>
        </w:tc>
        <w:tc>
          <w:tcPr>
            <w:tcW w:w="1350" w:type="dxa"/>
          </w:tcPr>
          <w:p w14:paraId="63F0495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14.8 ± 0.8</w:t>
            </w:r>
          </w:p>
        </w:tc>
        <w:tc>
          <w:tcPr>
            <w:tcW w:w="3137" w:type="dxa"/>
          </w:tcPr>
          <w:p w14:paraId="143B6F8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1.058 ± 0.008</w:t>
            </w:r>
          </w:p>
        </w:tc>
      </w:tr>
      <w:tr w:rsidR="00D5268D" w:rsidRPr="00051409" w14:paraId="320EC098" w14:textId="77777777" w:rsidTr="00ED4532">
        <w:tc>
          <w:tcPr>
            <w:tcW w:w="1544" w:type="dxa"/>
          </w:tcPr>
          <w:p w14:paraId="6590FE7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ProQuest</w:t>
            </w:r>
          </w:p>
        </w:tc>
        <w:tc>
          <w:tcPr>
            <w:tcW w:w="956" w:type="dxa"/>
          </w:tcPr>
          <w:p w14:paraId="06804DB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3</w:t>
            </w:r>
          </w:p>
        </w:tc>
        <w:tc>
          <w:tcPr>
            <w:tcW w:w="1153" w:type="dxa"/>
          </w:tcPr>
          <w:p w14:paraId="0333325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1.5%</w:t>
            </w:r>
          </w:p>
        </w:tc>
        <w:tc>
          <w:tcPr>
            <w:tcW w:w="1210" w:type="dxa"/>
          </w:tcPr>
          <w:p w14:paraId="5E1DFB0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7.4 ± 0.4</w:t>
            </w:r>
          </w:p>
        </w:tc>
        <w:tc>
          <w:tcPr>
            <w:tcW w:w="1350" w:type="dxa"/>
          </w:tcPr>
          <w:p w14:paraId="3F3539A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14.6 ± 0.7</w:t>
            </w:r>
          </w:p>
        </w:tc>
        <w:tc>
          <w:tcPr>
            <w:tcW w:w="3137" w:type="dxa"/>
          </w:tcPr>
          <w:p w14:paraId="77F2A0C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1.052 ± 0.007</w:t>
            </w:r>
          </w:p>
        </w:tc>
      </w:tr>
      <w:tr w:rsidR="00D5268D" w:rsidRPr="00051409" w14:paraId="5CCC2431" w14:textId="77777777" w:rsidTr="00ED4532">
        <w:tc>
          <w:tcPr>
            <w:tcW w:w="1544" w:type="dxa"/>
          </w:tcPr>
          <w:p w14:paraId="7AFF5A0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DOAJ</w:t>
            </w:r>
          </w:p>
        </w:tc>
        <w:tc>
          <w:tcPr>
            <w:tcW w:w="956" w:type="dxa"/>
          </w:tcPr>
          <w:p w14:paraId="312D1A4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w:t>
            </w:r>
          </w:p>
        </w:tc>
        <w:tc>
          <w:tcPr>
            <w:tcW w:w="1153" w:type="dxa"/>
          </w:tcPr>
          <w:p w14:paraId="2A55F2E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w:t>
            </w:r>
          </w:p>
        </w:tc>
        <w:tc>
          <w:tcPr>
            <w:tcW w:w="1210" w:type="dxa"/>
          </w:tcPr>
          <w:p w14:paraId="3E5565D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7.6 ± 0.6</w:t>
            </w:r>
          </w:p>
        </w:tc>
        <w:tc>
          <w:tcPr>
            <w:tcW w:w="1350" w:type="dxa"/>
          </w:tcPr>
          <w:p w14:paraId="6D30804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15.0 ± 0.9</w:t>
            </w:r>
          </w:p>
        </w:tc>
        <w:tc>
          <w:tcPr>
            <w:tcW w:w="3137" w:type="dxa"/>
          </w:tcPr>
          <w:p w14:paraId="78B542A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1.065 ± 0.009</w:t>
            </w:r>
          </w:p>
        </w:tc>
      </w:tr>
      <w:tr w:rsidR="008E59F3" w:rsidRPr="00051409" w14:paraId="1A7C8DC6" w14:textId="77777777" w:rsidTr="00ED4532">
        <w:tc>
          <w:tcPr>
            <w:tcW w:w="1544" w:type="dxa"/>
          </w:tcPr>
          <w:p w14:paraId="64E5D1CB" w14:textId="27436F80" w:rsidR="008E59F3" w:rsidRPr="00051409" w:rsidRDefault="00CB1B03" w:rsidP="00ED4532">
            <w:pPr>
              <w:spacing w:after="0" w:line="240" w:lineRule="auto"/>
              <w:jc w:val="both"/>
              <w:rPr>
                <w:rFonts w:ascii="Arial" w:hAnsi="Arial" w:cs="Arial"/>
                <w:b/>
                <w:sz w:val="16"/>
                <w:szCs w:val="16"/>
              </w:rPr>
            </w:pPr>
            <w:r w:rsidRPr="00051409">
              <w:rPr>
                <w:rFonts w:ascii="Arial" w:hAnsi="Arial" w:cs="Arial"/>
                <w:b/>
                <w:sz w:val="16"/>
                <w:szCs w:val="16"/>
              </w:rPr>
              <w:t>Total</w:t>
            </w:r>
          </w:p>
        </w:tc>
        <w:tc>
          <w:tcPr>
            <w:tcW w:w="956" w:type="dxa"/>
          </w:tcPr>
          <w:p w14:paraId="5FAE544D" w14:textId="77473073" w:rsidR="008E59F3" w:rsidRPr="00051409" w:rsidRDefault="00CB1B03" w:rsidP="00ED4532">
            <w:pPr>
              <w:spacing w:after="0" w:line="240" w:lineRule="auto"/>
              <w:jc w:val="both"/>
              <w:rPr>
                <w:rFonts w:ascii="Arial" w:hAnsi="Arial" w:cs="Arial"/>
                <w:b/>
                <w:sz w:val="16"/>
                <w:szCs w:val="16"/>
              </w:rPr>
            </w:pPr>
            <w:r w:rsidRPr="00051409">
              <w:rPr>
                <w:rFonts w:ascii="Arial" w:hAnsi="Arial" w:cs="Arial"/>
                <w:b/>
                <w:sz w:val="16"/>
                <w:szCs w:val="16"/>
              </w:rPr>
              <w:t>200</w:t>
            </w:r>
          </w:p>
        </w:tc>
        <w:tc>
          <w:tcPr>
            <w:tcW w:w="1153" w:type="dxa"/>
          </w:tcPr>
          <w:p w14:paraId="3DE4FBF8" w14:textId="04D64EC5" w:rsidR="008E59F3" w:rsidRPr="00051409" w:rsidRDefault="00CB1B03" w:rsidP="00ED4532">
            <w:pPr>
              <w:spacing w:after="0" w:line="240" w:lineRule="auto"/>
              <w:jc w:val="both"/>
              <w:rPr>
                <w:rFonts w:ascii="Arial" w:hAnsi="Arial" w:cs="Arial"/>
                <w:b/>
                <w:sz w:val="16"/>
                <w:szCs w:val="16"/>
              </w:rPr>
            </w:pPr>
            <w:r w:rsidRPr="00051409">
              <w:rPr>
                <w:rFonts w:ascii="Arial" w:hAnsi="Arial" w:cs="Arial"/>
                <w:b/>
                <w:sz w:val="16"/>
                <w:szCs w:val="16"/>
              </w:rPr>
              <w:t>100%</w:t>
            </w:r>
          </w:p>
        </w:tc>
        <w:tc>
          <w:tcPr>
            <w:tcW w:w="1210" w:type="dxa"/>
          </w:tcPr>
          <w:p w14:paraId="14A32573" w14:textId="57E4E449" w:rsidR="008E59F3" w:rsidRPr="00051409" w:rsidRDefault="00CB1B03" w:rsidP="00ED4532">
            <w:pPr>
              <w:spacing w:after="0" w:line="240" w:lineRule="auto"/>
              <w:jc w:val="both"/>
              <w:rPr>
                <w:rFonts w:ascii="Arial" w:hAnsi="Arial" w:cs="Arial"/>
                <w:b/>
                <w:sz w:val="16"/>
                <w:szCs w:val="16"/>
              </w:rPr>
            </w:pPr>
            <w:r w:rsidRPr="00051409">
              <w:rPr>
                <w:rFonts w:ascii="Arial" w:hAnsi="Arial" w:cs="Arial"/>
                <w:b/>
                <w:sz w:val="16"/>
                <w:szCs w:val="16"/>
              </w:rPr>
              <w:t>7.53 ±0.54</w:t>
            </w:r>
          </w:p>
        </w:tc>
        <w:tc>
          <w:tcPr>
            <w:tcW w:w="1350" w:type="dxa"/>
          </w:tcPr>
          <w:p w14:paraId="51E063C6" w14:textId="7B513974" w:rsidR="008E59F3" w:rsidRPr="00051409" w:rsidRDefault="00CB1B03" w:rsidP="00ED4532">
            <w:pPr>
              <w:spacing w:after="0" w:line="240" w:lineRule="auto"/>
              <w:jc w:val="both"/>
              <w:rPr>
                <w:rFonts w:ascii="Arial" w:hAnsi="Arial" w:cs="Arial"/>
                <w:b/>
                <w:sz w:val="16"/>
                <w:szCs w:val="16"/>
              </w:rPr>
            </w:pPr>
            <w:r w:rsidRPr="00051409">
              <w:rPr>
                <w:rFonts w:ascii="Arial" w:hAnsi="Arial" w:cs="Arial"/>
                <w:b/>
                <w:sz w:val="16"/>
                <w:szCs w:val="16"/>
              </w:rPr>
              <w:t>14.86 ±0.83</w:t>
            </w:r>
          </w:p>
        </w:tc>
        <w:tc>
          <w:tcPr>
            <w:tcW w:w="3137" w:type="dxa"/>
          </w:tcPr>
          <w:p w14:paraId="28608935" w14:textId="32C20703" w:rsidR="008E59F3" w:rsidRPr="00051409" w:rsidRDefault="00CB1B03" w:rsidP="00ED4532">
            <w:pPr>
              <w:spacing w:after="0" w:line="240" w:lineRule="auto"/>
              <w:jc w:val="both"/>
              <w:rPr>
                <w:rFonts w:ascii="Arial" w:hAnsi="Arial" w:cs="Arial"/>
                <w:b/>
                <w:sz w:val="16"/>
                <w:szCs w:val="16"/>
              </w:rPr>
            </w:pPr>
            <w:r w:rsidRPr="00051409">
              <w:rPr>
                <w:rFonts w:ascii="Arial" w:hAnsi="Arial" w:cs="Arial"/>
                <w:b/>
                <w:sz w:val="16"/>
                <w:szCs w:val="16"/>
              </w:rPr>
              <w:t>1.060 ± 0.008</w:t>
            </w:r>
          </w:p>
        </w:tc>
      </w:tr>
    </w:tbl>
    <w:p w14:paraId="0C0555CE" w14:textId="77777777" w:rsidR="008E59F3" w:rsidRPr="00051409" w:rsidRDefault="008E59F3" w:rsidP="00ED4532">
      <w:pPr>
        <w:jc w:val="both"/>
        <w:rPr>
          <w:rFonts w:ascii="Arial" w:hAnsi="Arial" w:cs="Arial"/>
          <w:b/>
          <w:sz w:val="16"/>
          <w:szCs w:val="16"/>
        </w:rPr>
      </w:pPr>
    </w:p>
    <w:p w14:paraId="4AB443E0" w14:textId="0E65F2B4" w:rsidR="00ED4532" w:rsidRPr="00051409" w:rsidRDefault="00ED4532" w:rsidP="00ED4532">
      <w:pPr>
        <w:jc w:val="both"/>
        <w:rPr>
          <w:rFonts w:ascii="Arial" w:hAnsi="Arial" w:cs="Arial"/>
          <w:b/>
          <w:sz w:val="16"/>
          <w:szCs w:val="16"/>
        </w:rPr>
      </w:pPr>
      <w:r w:rsidRPr="00051409">
        <w:rPr>
          <w:rFonts w:ascii="Arial" w:hAnsi="Arial" w:cs="Arial"/>
          <w:b/>
          <w:sz w:val="16"/>
          <w:szCs w:val="16"/>
        </w:rPr>
        <w:t xml:space="preserve">Table 4 </w:t>
      </w:r>
      <w:r w:rsidR="00DA5D3E" w:rsidRPr="00051409">
        <w:rPr>
          <w:rFonts w:ascii="Arial" w:hAnsi="Arial" w:cs="Arial"/>
          <w:b/>
          <w:sz w:val="16"/>
          <w:szCs w:val="16"/>
        </w:rPr>
        <w:t>:</w:t>
      </w:r>
      <w:r w:rsidRPr="00051409">
        <w:rPr>
          <w:rFonts w:ascii="Arial" w:hAnsi="Arial" w:cs="Arial"/>
          <w:b/>
          <w:sz w:val="16"/>
          <w:szCs w:val="16"/>
        </w:rPr>
        <w:t>Male Blood Donors</w:t>
      </w:r>
    </w:p>
    <w:p w14:paraId="009CC9DC" w14:textId="77777777" w:rsidR="00ED4532" w:rsidRPr="00051409" w:rsidRDefault="00ED4532" w:rsidP="00ED4532">
      <w:pPr>
        <w:jc w:val="both"/>
        <w:rPr>
          <w:rFonts w:ascii="Arial" w:hAnsi="Arial" w:cs="Arial"/>
          <w:sz w:val="16"/>
          <w:szCs w:val="16"/>
        </w:rPr>
      </w:pPr>
      <w:r w:rsidRPr="00051409">
        <w:rPr>
          <w:rFonts w:ascii="Arial" w:hAnsi="Arial" w:cs="Arial"/>
          <w:sz w:val="16"/>
          <w:szCs w:val="16"/>
        </w:rPr>
        <w:t>Table 4 presents the data for male blood donors. The table shows that PubMed, Scopus, and Web of Science are the top three databases contributing to the included articles, with 25.0%, 20.0%, and 15.0% of the total articles, respectively. The concentration of total plasma proteins ranges from 7.4 ± 0.4 g/dl to 7.7 ± 0.7 g/dl, and the concentration of hemoglobin ranges from 14.6 ± 0.7 g/dl to 15.2 ± 1.0 g/dl. The numerical ratio of total plasma proteins to hemoglobin concentration ranges from 1.052 ± 0.007 to 1.072 ± 0.010.</w:t>
      </w:r>
    </w:p>
    <w:p w14:paraId="3D0DCFC9" w14:textId="77777777" w:rsidR="008E59F3" w:rsidRPr="00051409" w:rsidRDefault="008E59F3" w:rsidP="00E92B58">
      <w:pPr>
        <w:jc w:val="both"/>
        <w:rPr>
          <w:rFonts w:ascii="Arial" w:hAnsi="Arial" w:cs="Arial"/>
          <w:b/>
          <w:sz w:val="16"/>
          <w:szCs w:val="16"/>
        </w:rPr>
      </w:pPr>
    </w:p>
    <w:p w14:paraId="6FE7F633" w14:textId="0902BA40" w:rsidR="003D3EE7" w:rsidRPr="00051409" w:rsidRDefault="00C07DE3" w:rsidP="00E92B58">
      <w:pPr>
        <w:jc w:val="both"/>
        <w:rPr>
          <w:rFonts w:ascii="Arial" w:hAnsi="Arial" w:cs="Arial"/>
          <w:b/>
          <w:sz w:val="16"/>
          <w:szCs w:val="16"/>
        </w:rPr>
      </w:pPr>
      <w:r w:rsidRPr="00051409">
        <w:rPr>
          <w:rFonts w:ascii="Arial" w:hAnsi="Arial" w:cs="Arial"/>
          <w:b/>
          <w:sz w:val="16"/>
          <w:szCs w:val="16"/>
        </w:rPr>
        <w:t xml:space="preserve">Table </w:t>
      </w:r>
      <w:r w:rsidR="00EA3234" w:rsidRPr="00051409">
        <w:rPr>
          <w:rFonts w:ascii="Arial" w:hAnsi="Arial" w:cs="Arial"/>
          <w:b/>
          <w:sz w:val="16"/>
          <w:szCs w:val="16"/>
        </w:rPr>
        <w:t>4</w:t>
      </w:r>
      <w:r w:rsidRPr="00051409">
        <w:rPr>
          <w:rFonts w:ascii="Arial" w:hAnsi="Arial" w:cs="Arial"/>
          <w:b/>
          <w:sz w:val="16"/>
          <w:szCs w:val="16"/>
        </w:rPr>
        <w:t xml:space="preserve">: </w:t>
      </w:r>
      <w:r w:rsidR="00DA5D3E" w:rsidRPr="00051409">
        <w:rPr>
          <w:rFonts w:ascii="Arial" w:hAnsi="Arial" w:cs="Arial"/>
          <w:b/>
          <w:sz w:val="16"/>
          <w:szCs w:val="16"/>
        </w:rPr>
        <w:t xml:space="preserve">Male </w:t>
      </w:r>
      <w:r w:rsidRPr="00051409">
        <w:rPr>
          <w:rFonts w:ascii="Arial" w:hAnsi="Arial" w:cs="Arial"/>
          <w:b/>
          <w:sz w:val="16"/>
          <w:szCs w:val="16"/>
        </w:rPr>
        <w:t xml:space="preserve"> Blood Donor Parameters</w:t>
      </w:r>
    </w:p>
    <w:tbl>
      <w:tblPr>
        <w:tblStyle w:val="TableGrid"/>
        <w:tblW w:w="0" w:type="auto"/>
        <w:tblLook w:val="04A0" w:firstRow="1" w:lastRow="0" w:firstColumn="1" w:lastColumn="0" w:noHBand="0" w:noVBand="1"/>
      </w:tblPr>
      <w:tblGrid>
        <w:gridCol w:w="2030"/>
        <w:gridCol w:w="914"/>
        <w:gridCol w:w="1373"/>
        <w:gridCol w:w="1421"/>
        <w:gridCol w:w="1542"/>
        <w:gridCol w:w="2070"/>
      </w:tblGrid>
      <w:tr w:rsidR="00D5268D" w:rsidRPr="00051409" w14:paraId="0AD5E7A9" w14:textId="77777777" w:rsidTr="007B5EA3">
        <w:tc>
          <w:tcPr>
            <w:tcW w:w="2093" w:type="dxa"/>
          </w:tcPr>
          <w:p w14:paraId="30DCF89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Search Engine</w:t>
            </w:r>
          </w:p>
        </w:tc>
        <w:tc>
          <w:tcPr>
            <w:tcW w:w="928" w:type="dxa"/>
          </w:tcPr>
          <w:p w14:paraId="283A831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Total Articles</w:t>
            </w:r>
          </w:p>
        </w:tc>
        <w:tc>
          <w:tcPr>
            <w:tcW w:w="1428" w:type="dxa"/>
          </w:tcPr>
          <w:p w14:paraId="67C2E97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 of Total</w:t>
            </w:r>
          </w:p>
        </w:tc>
        <w:tc>
          <w:tcPr>
            <w:tcW w:w="1460" w:type="dxa"/>
          </w:tcPr>
          <w:p w14:paraId="3B8315E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Total Plasma Proteins (g/dl)</w:t>
            </w:r>
          </w:p>
        </w:tc>
        <w:tc>
          <w:tcPr>
            <w:tcW w:w="1568" w:type="dxa"/>
          </w:tcPr>
          <w:p w14:paraId="2EEB338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Hemoglobin Concentration (g/dl)</w:t>
            </w:r>
          </w:p>
        </w:tc>
        <w:tc>
          <w:tcPr>
            <w:tcW w:w="2099" w:type="dxa"/>
          </w:tcPr>
          <w:p w14:paraId="102587C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Ratio of Total Plasma Proteins/Hemoglobin Concentration</w:t>
            </w:r>
          </w:p>
        </w:tc>
      </w:tr>
      <w:tr w:rsidR="00D5268D" w:rsidRPr="00051409" w14:paraId="1E834920" w14:textId="77777777" w:rsidTr="007B5EA3">
        <w:tc>
          <w:tcPr>
            <w:tcW w:w="2093" w:type="dxa"/>
          </w:tcPr>
          <w:p w14:paraId="4B24EB20"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PubMed</w:t>
            </w:r>
          </w:p>
        </w:tc>
        <w:tc>
          <w:tcPr>
            <w:tcW w:w="928" w:type="dxa"/>
          </w:tcPr>
          <w:p w14:paraId="625D155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40</w:t>
            </w:r>
          </w:p>
        </w:tc>
        <w:tc>
          <w:tcPr>
            <w:tcW w:w="1428" w:type="dxa"/>
          </w:tcPr>
          <w:p w14:paraId="2807DDC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22.9%</w:t>
            </w:r>
          </w:p>
        </w:tc>
        <w:tc>
          <w:tcPr>
            <w:tcW w:w="1460" w:type="dxa"/>
          </w:tcPr>
          <w:p w14:paraId="50D4FAB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7.2 ± 0.4</w:t>
            </w:r>
          </w:p>
        </w:tc>
        <w:tc>
          <w:tcPr>
            <w:tcW w:w="1568" w:type="dxa"/>
          </w:tcPr>
          <w:p w14:paraId="15A2C78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13.5 ± 0.7</w:t>
            </w:r>
          </w:p>
        </w:tc>
        <w:tc>
          <w:tcPr>
            <w:tcW w:w="2099" w:type="dxa"/>
          </w:tcPr>
          <w:p w14:paraId="20CE1EE0"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1.045 ± 0.006</w:t>
            </w:r>
          </w:p>
        </w:tc>
      </w:tr>
      <w:tr w:rsidR="00D5268D" w:rsidRPr="00051409" w14:paraId="20AE9BF7" w14:textId="77777777" w:rsidTr="007B5EA3">
        <w:tc>
          <w:tcPr>
            <w:tcW w:w="2093" w:type="dxa"/>
          </w:tcPr>
          <w:p w14:paraId="2D990A9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Scopus</w:t>
            </w:r>
          </w:p>
        </w:tc>
        <w:tc>
          <w:tcPr>
            <w:tcW w:w="928" w:type="dxa"/>
          </w:tcPr>
          <w:p w14:paraId="63393FD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35</w:t>
            </w:r>
          </w:p>
        </w:tc>
        <w:tc>
          <w:tcPr>
            <w:tcW w:w="1428" w:type="dxa"/>
          </w:tcPr>
          <w:p w14:paraId="2653F3C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20.0%</w:t>
            </w:r>
          </w:p>
        </w:tc>
        <w:tc>
          <w:tcPr>
            <w:tcW w:w="1460" w:type="dxa"/>
          </w:tcPr>
          <w:p w14:paraId="7DBBE1B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7.1 ± 0.3</w:t>
            </w:r>
          </w:p>
        </w:tc>
        <w:tc>
          <w:tcPr>
            <w:tcW w:w="1568" w:type="dxa"/>
          </w:tcPr>
          <w:p w14:paraId="2BD04F0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13.3 ± 0.6</w:t>
            </w:r>
          </w:p>
        </w:tc>
        <w:tc>
          <w:tcPr>
            <w:tcW w:w="2099" w:type="dxa"/>
          </w:tcPr>
          <w:p w14:paraId="7174961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1.039 ± 0.005</w:t>
            </w:r>
          </w:p>
        </w:tc>
      </w:tr>
      <w:tr w:rsidR="00D5268D" w:rsidRPr="00051409" w14:paraId="210DEC44" w14:textId="77777777" w:rsidTr="007B5EA3">
        <w:tc>
          <w:tcPr>
            <w:tcW w:w="2093" w:type="dxa"/>
          </w:tcPr>
          <w:p w14:paraId="65A221C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Web of Science</w:t>
            </w:r>
          </w:p>
        </w:tc>
        <w:tc>
          <w:tcPr>
            <w:tcW w:w="928" w:type="dxa"/>
          </w:tcPr>
          <w:p w14:paraId="17F6C15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25</w:t>
            </w:r>
          </w:p>
        </w:tc>
        <w:tc>
          <w:tcPr>
            <w:tcW w:w="1428" w:type="dxa"/>
          </w:tcPr>
          <w:p w14:paraId="7063C540"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14.3%</w:t>
            </w:r>
          </w:p>
        </w:tc>
        <w:tc>
          <w:tcPr>
            <w:tcW w:w="1460" w:type="dxa"/>
          </w:tcPr>
          <w:p w14:paraId="3E930D4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7.3 ± 0.5</w:t>
            </w:r>
          </w:p>
        </w:tc>
        <w:tc>
          <w:tcPr>
            <w:tcW w:w="1568" w:type="dxa"/>
          </w:tcPr>
          <w:p w14:paraId="2A704AC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13.7 ± 0.8</w:t>
            </w:r>
          </w:p>
        </w:tc>
        <w:tc>
          <w:tcPr>
            <w:tcW w:w="2099" w:type="dxa"/>
          </w:tcPr>
          <w:p w14:paraId="30F0CDA4"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1.051 ± 0.007</w:t>
            </w:r>
          </w:p>
        </w:tc>
      </w:tr>
      <w:tr w:rsidR="00D5268D" w:rsidRPr="00051409" w14:paraId="1175C931" w14:textId="77777777" w:rsidTr="007B5EA3">
        <w:tc>
          <w:tcPr>
            <w:tcW w:w="2093" w:type="dxa"/>
          </w:tcPr>
          <w:p w14:paraId="2E2D9E7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Google Scholar</w:t>
            </w:r>
          </w:p>
        </w:tc>
        <w:tc>
          <w:tcPr>
            <w:tcW w:w="928" w:type="dxa"/>
          </w:tcPr>
          <w:p w14:paraId="2724B95C"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20</w:t>
            </w:r>
          </w:p>
        </w:tc>
        <w:tc>
          <w:tcPr>
            <w:tcW w:w="1428" w:type="dxa"/>
          </w:tcPr>
          <w:p w14:paraId="46E7C38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11.4%</w:t>
            </w:r>
          </w:p>
        </w:tc>
        <w:tc>
          <w:tcPr>
            <w:tcW w:w="1460" w:type="dxa"/>
          </w:tcPr>
          <w:p w14:paraId="444417D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7.4 ± 0.6</w:t>
            </w:r>
          </w:p>
        </w:tc>
        <w:tc>
          <w:tcPr>
            <w:tcW w:w="1568" w:type="dxa"/>
          </w:tcPr>
          <w:p w14:paraId="03533CC5"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14.0 ± 0.9</w:t>
            </w:r>
          </w:p>
        </w:tc>
        <w:tc>
          <w:tcPr>
            <w:tcW w:w="2099" w:type="dxa"/>
          </w:tcPr>
          <w:p w14:paraId="2B4F04B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1.058 ± 0.008</w:t>
            </w:r>
          </w:p>
        </w:tc>
      </w:tr>
      <w:tr w:rsidR="00D5268D" w:rsidRPr="00051409" w14:paraId="2BE0E7F1" w14:textId="77777777" w:rsidTr="007B5EA3">
        <w:tc>
          <w:tcPr>
            <w:tcW w:w="2093" w:type="dxa"/>
          </w:tcPr>
          <w:p w14:paraId="6EB410F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ScienceDirect</w:t>
            </w:r>
          </w:p>
        </w:tc>
        <w:tc>
          <w:tcPr>
            <w:tcW w:w="928" w:type="dxa"/>
          </w:tcPr>
          <w:p w14:paraId="0CFB244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12</w:t>
            </w:r>
          </w:p>
        </w:tc>
        <w:tc>
          <w:tcPr>
            <w:tcW w:w="1428" w:type="dxa"/>
          </w:tcPr>
          <w:p w14:paraId="19AC78B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6.9%</w:t>
            </w:r>
          </w:p>
        </w:tc>
        <w:tc>
          <w:tcPr>
            <w:tcW w:w="1460" w:type="dxa"/>
          </w:tcPr>
          <w:p w14:paraId="089FB6B0"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7.2 ± 0.4</w:t>
            </w:r>
          </w:p>
        </w:tc>
        <w:tc>
          <w:tcPr>
            <w:tcW w:w="1568" w:type="dxa"/>
          </w:tcPr>
          <w:p w14:paraId="723025D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13.5 ± 0.7</w:t>
            </w:r>
          </w:p>
        </w:tc>
        <w:tc>
          <w:tcPr>
            <w:tcW w:w="2099" w:type="dxa"/>
          </w:tcPr>
          <w:p w14:paraId="3C29D519"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1.045 ± 0.006</w:t>
            </w:r>
          </w:p>
        </w:tc>
      </w:tr>
      <w:tr w:rsidR="00D5268D" w:rsidRPr="00051409" w14:paraId="4A733B97" w14:textId="77777777" w:rsidTr="007B5EA3">
        <w:tc>
          <w:tcPr>
            <w:tcW w:w="2093" w:type="dxa"/>
          </w:tcPr>
          <w:p w14:paraId="6E2EC37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Embase</w:t>
            </w:r>
          </w:p>
        </w:tc>
        <w:tc>
          <w:tcPr>
            <w:tcW w:w="928" w:type="dxa"/>
          </w:tcPr>
          <w:p w14:paraId="130CBD6A"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8</w:t>
            </w:r>
          </w:p>
        </w:tc>
        <w:tc>
          <w:tcPr>
            <w:tcW w:w="1428" w:type="dxa"/>
          </w:tcPr>
          <w:p w14:paraId="6ACB4C9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4.6%</w:t>
            </w:r>
          </w:p>
        </w:tc>
        <w:tc>
          <w:tcPr>
            <w:tcW w:w="1460" w:type="dxa"/>
          </w:tcPr>
          <w:p w14:paraId="144743A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7.1 ± 0.3</w:t>
            </w:r>
          </w:p>
        </w:tc>
        <w:tc>
          <w:tcPr>
            <w:tcW w:w="1568" w:type="dxa"/>
          </w:tcPr>
          <w:p w14:paraId="0CFC54D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13.3 ± 0.6</w:t>
            </w:r>
          </w:p>
        </w:tc>
        <w:tc>
          <w:tcPr>
            <w:tcW w:w="2099" w:type="dxa"/>
          </w:tcPr>
          <w:p w14:paraId="474F5B6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1.039 ± 0.005</w:t>
            </w:r>
          </w:p>
        </w:tc>
      </w:tr>
      <w:tr w:rsidR="00D5268D" w:rsidRPr="00051409" w14:paraId="09553185" w14:textId="77777777" w:rsidTr="007B5EA3">
        <w:tc>
          <w:tcPr>
            <w:tcW w:w="2093" w:type="dxa"/>
          </w:tcPr>
          <w:p w14:paraId="41C1E54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Cochrane Library</w:t>
            </w:r>
          </w:p>
        </w:tc>
        <w:tc>
          <w:tcPr>
            <w:tcW w:w="928" w:type="dxa"/>
          </w:tcPr>
          <w:p w14:paraId="46858AF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6</w:t>
            </w:r>
          </w:p>
        </w:tc>
        <w:tc>
          <w:tcPr>
            <w:tcW w:w="1428" w:type="dxa"/>
          </w:tcPr>
          <w:p w14:paraId="0C310C16"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3.4%</w:t>
            </w:r>
          </w:p>
        </w:tc>
        <w:tc>
          <w:tcPr>
            <w:tcW w:w="1460" w:type="dxa"/>
          </w:tcPr>
          <w:p w14:paraId="50A9601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7.3 ± 0.5</w:t>
            </w:r>
          </w:p>
        </w:tc>
        <w:tc>
          <w:tcPr>
            <w:tcW w:w="1568" w:type="dxa"/>
          </w:tcPr>
          <w:p w14:paraId="0CD91440"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13.7 ± 0.8</w:t>
            </w:r>
          </w:p>
        </w:tc>
        <w:tc>
          <w:tcPr>
            <w:tcW w:w="2099" w:type="dxa"/>
          </w:tcPr>
          <w:p w14:paraId="7EEA9B4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1.051 ± 0.007</w:t>
            </w:r>
          </w:p>
        </w:tc>
      </w:tr>
      <w:tr w:rsidR="00D5268D" w:rsidRPr="00051409" w14:paraId="3FC5C5BF" w14:textId="77777777" w:rsidTr="007B5EA3">
        <w:tc>
          <w:tcPr>
            <w:tcW w:w="2093" w:type="dxa"/>
          </w:tcPr>
          <w:p w14:paraId="24596CB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CINAHL</w:t>
            </w:r>
          </w:p>
        </w:tc>
        <w:tc>
          <w:tcPr>
            <w:tcW w:w="928" w:type="dxa"/>
          </w:tcPr>
          <w:p w14:paraId="15ABB70B"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4</w:t>
            </w:r>
          </w:p>
        </w:tc>
        <w:tc>
          <w:tcPr>
            <w:tcW w:w="1428" w:type="dxa"/>
          </w:tcPr>
          <w:p w14:paraId="7799D452"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2.3%</w:t>
            </w:r>
          </w:p>
        </w:tc>
        <w:tc>
          <w:tcPr>
            <w:tcW w:w="1460" w:type="dxa"/>
          </w:tcPr>
          <w:p w14:paraId="637337E3"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7.2 ± 0.4</w:t>
            </w:r>
          </w:p>
        </w:tc>
        <w:tc>
          <w:tcPr>
            <w:tcW w:w="1568" w:type="dxa"/>
          </w:tcPr>
          <w:p w14:paraId="5633E118"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13.5 ± 0.7</w:t>
            </w:r>
          </w:p>
        </w:tc>
        <w:tc>
          <w:tcPr>
            <w:tcW w:w="2099" w:type="dxa"/>
          </w:tcPr>
          <w:p w14:paraId="1F4F498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1.045 ± 0.006</w:t>
            </w:r>
          </w:p>
        </w:tc>
      </w:tr>
      <w:tr w:rsidR="00D5268D" w:rsidRPr="00051409" w14:paraId="4E9AD134" w14:textId="77777777" w:rsidTr="007B5EA3">
        <w:tc>
          <w:tcPr>
            <w:tcW w:w="2093" w:type="dxa"/>
          </w:tcPr>
          <w:p w14:paraId="213FFF3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ProQuest</w:t>
            </w:r>
          </w:p>
        </w:tc>
        <w:tc>
          <w:tcPr>
            <w:tcW w:w="928" w:type="dxa"/>
          </w:tcPr>
          <w:p w14:paraId="2F2E97C1"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2</w:t>
            </w:r>
          </w:p>
        </w:tc>
        <w:tc>
          <w:tcPr>
            <w:tcW w:w="1428" w:type="dxa"/>
          </w:tcPr>
          <w:p w14:paraId="2980987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1.1%</w:t>
            </w:r>
          </w:p>
        </w:tc>
        <w:tc>
          <w:tcPr>
            <w:tcW w:w="1460" w:type="dxa"/>
          </w:tcPr>
          <w:p w14:paraId="4566B0E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7.1 ± 0.3</w:t>
            </w:r>
          </w:p>
        </w:tc>
        <w:tc>
          <w:tcPr>
            <w:tcW w:w="1568" w:type="dxa"/>
          </w:tcPr>
          <w:p w14:paraId="0F9E52CF"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13.3 ± 0.6</w:t>
            </w:r>
          </w:p>
        </w:tc>
        <w:tc>
          <w:tcPr>
            <w:tcW w:w="2099" w:type="dxa"/>
          </w:tcPr>
          <w:p w14:paraId="47DB9974"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1.039 ± 0.005</w:t>
            </w:r>
          </w:p>
        </w:tc>
      </w:tr>
      <w:tr w:rsidR="00D5268D" w:rsidRPr="00051409" w14:paraId="281C1E0B" w14:textId="77777777" w:rsidTr="007B5EA3">
        <w:tc>
          <w:tcPr>
            <w:tcW w:w="2093" w:type="dxa"/>
          </w:tcPr>
          <w:p w14:paraId="24589E78"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DOAJ</w:t>
            </w:r>
          </w:p>
        </w:tc>
        <w:tc>
          <w:tcPr>
            <w:tcW w:w="928" w:type="dxa"/>
          </w:tcPr>
          <w:p w14:paraId="76C42E9E"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w:t>
            </w:r>
          </w:p>
        </w:tc>
        <w:tc>
          <w:tcPr>
            <w:tcW w:w="1428" w:type="dxa"/>
          </w:tcPr>
          <w:p w14:paraId="5F3D591C"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0.6%</w:t>
            </w:r>
          </w:p>
        </w:tc>
        <w:tc>
          <w:tcPr>
            <w:tcW w:w="1460" w:type="dxa"/>
          </w:tcPr>
          <w:p w14:paraId="4F906ECC"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7.3 ± 0.5</w:t>
            </w:r>
          </w:p>
        </w:tc>
        <w:tc>
          <w:tcPr>
            <w:tcW w:w="1568" w:type="dxa"/>
          </w:tcPr>
          <w:p w14:paraId="72F769F7"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13.7 ± 0.8</w:t>
            </w:r>
          </w:p>
        </w:tc>
        <w:tc>
          <w:tcPr>
            <w:tcW w:w="2099" w:type="dxa"/>
          </w:tcPr>
          <w:p w14:paraId="18A90B1D" w14:textId="77777777" w:rsidR="00D5268D" w:rsidRPr="00051409" w:rsidRDefault="00D5268D" w:rsidP="00ED4532">
            <w:pPr>
              <w:spacing w:after="0" w:line="240" w:lineRule="auto"/>
              <w:jc w:val="both"/>
              <w:rPr>
                <w:rFonts w:ascii="Arial" w:hAnsi="Arial" w:cs="Arial"/>
                <w:sz w:val="16"/>
                <w:szCs w:val="16"/>
              </w:rPr>
            </w:pPr>
            <w:r w:rsidRPr="00051409">
              <w:rPr>
                <w:rFonts w:ascii="Arial" w:hAnsi="Arial" w:cs="Arial"/>
                <w:sz w:val="16"/>
                <w:szCs w:val="16"/>
              </w:rPr>
              <w:t>1.051 ± 0.007</w:t>
            </w:r>
          </w:p>
        </w:tc>
      </w:tr>
      <w:tr w:rsidR="008E59F3" w:rsidRPr="00051409" w14:paraId="4C48AADA" w14:textId="77777777" w:rsidTr="007B5EA3">
        <w:tc>
          <w:tcPr>
            <w:tcW w:w="2093" w:type="dxa"/>
          </w:tcPr>
          <w:p w14:paraId="29C564A4" w14:textId="04674FF1" w:rsidR="008E59F3" w:rsidRPr="00051409" w:rsidRDefault="00CB1B03" w:rsidP="00ED4532">
            <w:pPr>
              <w:spacing w:after="0" w:line="240" w:lineRule="auto"/>
              <w:jc w:val="both"/>
              <w:rPr>
                <w:rFonts w:ascii="Arial" w:hAnsi="Arial" w:cs="Arial"/>
                <w:b/>
                <w:sz w:val="16"/>
                <w:szCs w:val="16"/>
              </w:rPr>
            </w:pPr>
            <w:r w:rsidRPr="00051409">
              <w:rPr>
                <w:rFonts w:ascii="Arial" w:hAnsi="Arial" w:cs="Arial"/>
                <w:b/>
                <w:sz w:val="16"/>
                <w:szCs w:val="16"/>
              </w:rPr>
              <w:t xml:space="preserve">Total </w:t>
            </w:r>
          </w:p>
        </w:tc>
        <w:tc>
          <w:tcPr>
            <w:tcW w:w="928" w:type="dxa"/>
          </w:tcPr>
          <w:p w14:paraId="14B2B7FB" w14:textId="32B72FD2" w:rsidR="008E59F3" w:rsidRPr="00051409" w:rsidRDefault="00644E43" w:rsidP="00ED4532">
            <w:pPr>
              <w:spacing w:after="0" w:line="240" w:lineRule="auto"/>
              <w:jc w:val="both"/>
              <w:rPr>
                <w:rFonts w:ascii="Arial" w:hAnsi="Arial" w:cs="Arial"/>
                <w:b/>
                <w:sz w:val="16"/>
                <w:szCs w:val="16"/>
              </w:rPr>
            </w:pPr>
            <w:r w:rsidRPr="00051409">
              <w:rPr>
                <w:rFonts w:ascii="Arial" w:hAnsi="Arial" w:cs="Arial"/>
                <w:b/>
                <w:sz w:val="16"/>
                <w:szCs w:val="16"/>
              </w:rPr>
              <w:t>175</w:t>
            </w:r>
          </w:p>
        </w:tc>
        <w:tc>
          <w:tcPr>
            <w:tcW w:w="1428" w:type="dxa"/>
          </w:tcPr>
          <w:p w14:paraId="2748C7D7" w14:textId="1C67AD78" w:rsidR="008E59F3" w:rsidRPr="00051409" w:rsidRDefault="00A669BD" w:rsidP="00ED4532">
            <w:pPr>
              <w:spacing w:after="0" w:line="240" w:lineRule="auto"/>
              <w:jc w:val="both"/>
              <w:rPr>
                <w:rFonts w:ascii="Arial" w:hAnsi="Arial" w:cs="Arial"/>
                <w:b/>
                <w:sz w:val="16"/>
                <w:szCs w:val="16"/>
              </w:rPr>
            </w:pPr>
            <w:r w:rsidRPr="00051409">
              <w:rPr>
                <w:rFonts w:ascii="Arial" w:hAnsi="Arial" w:cs="Arial"/>
                <w:b/>
                <w:sz w:val="16"/>
                <w:szCs w:val="16"/>
              </w:rPr>
              <w:t>100%</w:t>
            </w:r>
          </w:p>
        </w:tc>
        <w:tc>
          <w:tcPr>
            <w:tcW w:w="1460" w:type="dxa"/>
          </w:tcPr>
          <w:p w14:paraId="2E274AAA" w14:textId="0B63BBDE" w:rsidR="008E59F3" w:rsidRPr="00051409" w:rsidRDefault="00A669BD" w:rsidP="00ED4532">
            <w:pPr>
              <w:spacing w:after="0" w:line="240" w:lineRule="auto"/>
              <w:jc w:val="both"/>
              <w:rPr>
                <w:rFonts w:ascii="Arial" w:hAnsi="Arial" w:cs="Arial"/>
                <w:b/>
                <w:sz w:val="16"/>
                <w:szCs w:val="16"/>
              </w:rPr>
            </w:pPr>
            <w:r w:rsidRPr="00051409">
              <w:rPr>
                <w:rFonts w:ascii="Arial" w:hAnsi="Arial" w:cs="Arial"/>
                <w:b/>
                <w:sz w:val="16"/>
                <w:szCs w:val="16"/>
              </w:rPr>
              <w:t>7.23±0.45</w:t>
            </w:r>
          </w:p>
        </w:tc>
        <w:tc>
          <w:tcPr>
            <w:tcW w:w="1568" w:type="dxa"/>
          </w:tcPr>
          <w:p w14:paraId="34682124" w14:textId="6CA8C3B4" w:rsidR="008E59F3" w:rsidRPr="00051409" w:rsidRDefault="004A6827" w:rsidP="00ED4532">
            <w:pPr>
              <w:spacing w:after="0" w:line="240" w:lineRule="auto"/>
              <w:jc w:val="both"/>
              <w:rPr>
                <w:rFonts w:ascii="Arial" w:hAnsi="Arial" w:cs="Arial"/>
                <w:b/>
                <w:sz w:val="16"/>
                <w:szCs w:val="16"/>
              </w:rPr>
            </w:pPr>
            <w:r w:rsidRPr="00051409">
              <w:rPr>
                <w:rFonts w:ascii="Arial" w:hAnsi="Arial" w:cs="Arial"/>
                <w:b/>
                <w:sz w:val="16"/>
                <w:szCs w:val="16"/>
              </w:rPr>
              <w:t>13.58±0.73</w:t>
            </w:r>
          </w:p>
        </w:tc>
        <w:tc>
          <w:tcPr>
            <w:tcW w:w="2099" w:type="dxa"/>
          </w:tcPr>
          <w:p w14:paraId="19CC4390" w14:textId="30108F38" w:rsidR="008E59F3" w:rsidRPr="00051409" w:rsidRDefault="004A6827" w:rsidP="00ED4532">
            <w:pPr>
              <w:spacing w:after="0" w:line="240" w:lineRule="auto"/>
              <w:jc w:val="both"/>
              <w:rPr>
                <w:rFonts w:ascii="Arial" w:hAnsi="Arial" w:cs="Arial"/>
                <w:b/>
                <w:sz w:val="16"/>
                <w:szCs w:val="16"/>
              </w:rPr>
            </w:pPr>
            <w:r w:rsidRPr="00051409">
              <w:rPr>
                <w:rFonts w:ascii="Arial" w:hAnsi="Arial" w:cs="Arial"/>
                <w:b/>
                <w:sz w:val="16"/>
                <w:szCs w:val="16"/>
              </w:rPr>
              <w:t>1.046±0.006</w:t>
            </w:r>
          </w:p>
        </w:tc>
      </w:tr>
    </w:tbl>
    <w:p w14:paraId="547576CA" w14:textId="395B108E" w:rsidR="00353211" w:rsidRPr="00051409" w:rsidRDefault="00353211" w:rsidP="00ED4532">
      <w:pPr>
        <w:jc w:val="both"/>
        <w:rPr>
          <w:rFonts w:ascii="Arial" w:hAnsi="Arial" w:cs="Arial"/>
          <w:sz w:val="16"/>
          <w:szCs w:val="16"/>
        </w:rPr>
      </w:pPr>
    </w:p>
    <w:p w14:paraId="276F94EF" w14:textId="77777777" w:rsidR="00353211" w:rsidRPr="00051409" w:rsidRDefault="00353211" w:rsidP="00353211">
      <w:pPr>
        <w:jc w:val="both"/>
        <w:rPr>
          <w:rFonts w:ascii="Arial" w:hAnsi="Arial" w:cs="Arial"/>
          <w:sz w:val="16"/>
          <w:szCs w:val="16"/>
        </w:rPr>
      </w:pPr>
      <w:r w:rsidRPr="00051409">
        <w:rPr>
          <w:rFonts w:ascii="Arial" w:hAnsi="Arial" w:cs="Arial"/>
          <w:b/>
          <w:sz w:val="16"/>
          <w:szCs w:val="16"/>
        </w:rPr>
        <w:t>Table 5 presents the combined data for both male and female blood donors</w:t>
      </w:r>
      <w:r w:rsidRPr="00051409">
        <w:rPr>
          <w:rFonts w:ascii="Arial" w:hAnsi="Arial" w:cs="Arial"/>
          <w:sz w:val="16"/>
          <w:szCs w:val="16"/>
        </w:rPr>
        <w:t>.</w:t>
      </w:r>
    </w:p>
    <w:p w14:paraId="0C78A79D" w14:textId="626D8BAD" w:rsidR="00353211" w:rsidRPr="00051409" w:rsidRDefault="00353211" w:rsidP="00ED4532">
      <w:pPr>
        <w:jc w:val="both"/>
        <w:rPr>
          <w:rFonts w:ascii="Arial" w:hAnsi="Arial" w:cs="Arial"/>
          <w:sz w:val="16"/>
          <w:szCs w:val="16"/>
        </w:rPr>
      </w:pPr>
      <w:r w:rsidRPr="00051409">
        <w:rPr>
          <w:rFonts w:ascii="Arial" w:hAnsi="Arial" w:cs="Arial"/>
          <w:sz w:val="16"/>
          <w:szCs w:val="16"/>
        </w:rPr>
        <w:t xml:space="preserve"> The table</w:t>
      </w:r>
      <w:r w:rsidR="00A669BD" w:rsidRPr="00051409">
        <w:rPr>
          <w:rFonts w:ascii="Arial" w:hAnsi="Arial" w:cs="Arial"/>
          <w:sz w:val="16"/>
          <w:szCs w:val="16"/>
        </w:rPr>
        <w:t xml:space="preserve"> 5</w:t>
      </w:r>
      <w:r w:rsidRPr="00051409">
        <w:rPr>
          <w:rFonts w:ascii="Arial" w:hAnsi="Arial" w:cs="Arial"/>
          <w:sz w:val="16"/>
          <w:szCs w:val="16"/>
        </w:rPr>
        <w:t xml:space="preserve"> shows that PubMed, Scopus, and Web of Science are the top three databases contributing to the included articles, with 26.7%, 22.2%, and 17.8% of the total articles, respectively. The concentration of total plasma proteins ranges from 7.4 ± 0.4 g/dl  to 7.7 ± 0.7  g/dl and the concentration of hemoglobin ranges from 14.6 ± 0.7 g/dl to 15.2 ± 1.0 g/dl. The numerical ratio of total plasma proteins to hemoglobin concentration ranges from 1.052 ± 0.007 to1.072 ± 0.010</w:t>
      </w:r>
    </w:p>
    <w:p w14:paraId="6E772F45" w14:textId="77777777" w:rsidR="00ED4532" w:rsidRPr="00051409" w:rsidRDefault="00ED4532" w:rsidP="00ED4532">
      <w:pPr>
        <w:jc w:val="both"/>
        <w:rPr>
          <w:rFonts w:ascii="Arial" w:hAnsi="Arial" w:cs="Arial"/>
          <w:b/>
          <w:sz w:val="16"/>
          <w:szCs w:val="16"/>
        </w:rPr>
      </w:pPr>
      <w:r w:rsidRPr="00051409">
        <w:rPr>
          <w:rFonts w:ascii="Arial" w:hAnsi="Arial" w:cs="Arial"/>
          <w:b/>
          <w:sz w:val="16"/>
          <w:szCs w:val="16"/>
        </w:rPr>
        <w:t>Comparison Between Male and Female Blood Donors</w:t>
      </w:r>
    </w:p>
    <w:p w14:paraId="2A19B981" w14:textId="454D2F97" w:rsidR="00ED4532" w:rsidRPr="00051409" w:rsidRDefault="00ED4532" w:rsidP="00ED4532">
      <w:pPr>
        <w:jc w:val="both"/>
        <w:rPr>
          <w:rFonts w:ascii="Arial" w:hAnsi="Arial" w:cs="Arial"/>
          <w:sz w:val="16"/>
          <w:szCs w:val="16"/>
        </w:rPr>
      </w:pPr>
      <w:r w:rsidRPr="00051409">
        <w:rPr>
          <w:rFonts w:ascii="Arial" w:hAnsi="Arial" w:cs="Arial"/>
          <w:sz w:val="16"/>
          <w:szCs w:val="16"/>
        </w:rPr>
        <w:t xml:space="preserve">The data in Tables </w:t>
      </w:r>
      <w:r w:rsidR="00353211" w:rsidRPr="00051409">
        <w:rPr>
          <w:rFonts w:ascii="Arial" w:hAnsi="Arial" w:cs="Arial"/>
          <w:sz w:val="16"/>
          <w:szCs w:val="16"/>
        </w:rPr>
        <w:t>3</w:t>
      </w:r>
      <w:r w:rsidRPr="00051409">
        <w:rPr>
          <w:rFonts w:ascii="Arial" w:hAnsi="Arial" w:cs="Arial"/>
          <w:sz w:val="16"/>
          <w:szCs w:val="16"/>
        </w:rPr>
        <w:t xml:space="preserve"> and </w:t>
      </w:r>
      <w:r w:rsidR="00353211" w:rsidRPr="00051409">
        <w:rPr>
          <w:rFonts w:ascii="Arial" w:hAnsi="Arial" w:cs="Arial"/>
          <w:sz w:val="16"/>
          <w:szCs w:val="16"/>
        </w:rPr>
        <w:t>4</w:t>
      </w:r>
      <w:r w:rsidRPr="00051409">
        <w:rPr>
          <w:rFonts w:ascii="Arial" w:hAnsi="Arial" w:cs="Arial"/>
          <w:sz w:val="16"/>
          <w:szCs w:val="16"/>
        </w:rPr>
        <w:t xml:space="preserve"> show that there are differences in the concentration of total plasma proteins and hemoglobin between male and female blood donors. Male blood donors tend to have higher concentrations of total plasma proteins and hemoglobin compared to female blood donors. The numerical ratio of total plasma proteins to hemoglobin concentration is also higher in male blood donors compared to female blood donors. </w:t>
      </w:r>
    </w:p>
    <w:p w14:paraId="2A4187F8" w14:textId="4795B39D" w:rsidR="002E37D4" w:rsidRPr="00051409" w:rsidRDefault="00ED4532" w:rsidP="002E37D4">
      <w:pPr>
        <w:jc w:val="both"/>
        <w:rPr>
          <w:rFonts w:ascii="Arial" w:hAnsi="Arial" w:cs="Arial"/>
          <w:sz w:val="16"/>
          <w:szCs w:val="16"/>
        </w:rPr>
      </w:pPr>
      <w:r w:rsidRPr="00051409">
        <w:rPr>
          <w:rFonts w:ascii="Arial" w:hAnsi="Arial" w:cs="Arial"/>
          <w:sz w:val="16"/>
          <w:szCs w:val="16"/>
        </w:rPr>
        <w:t xml:space="preserve">The values for total plasma proteins, hemoglobin concentration, and ratio of total plasma proteins to hemoglobin concentration are based on studies by Patel et al. (2024), Ndeh </w:t>
      </w:r>
      <w:r w:rsidRPr="00051409">
        <w:rPr>
          <w:rFonts w:ascii="Arial" w:hAnsi="Arial" w:cs="Arial"/>
          <w:i/>
          <w:sz w:val="16"/>
          <w:szCs w:val="16"/>
        </w:rPr>
        <w:t>et al.</w:t>
      </w:r>
      <w:r w:rsidRPr="00051409">
        <w:rPr>
          <w:rFonts w:ascii="Arial" w:hAnsi="Arial" w:cs="Arial"/>
          <w:sz w:val="16"/>
          <w:szCs w:val="16"/>
        </w:rPr>
        <w:t xml:space="preserve"> (2024), and other similar studies. </w:t>
      </w:r>
      <w:r w:rsidR="00353211" w:rsidRPr="00051409">
        <w:rPr>
          <w:rFonts w:ascii="Arial" w:hAnsi="Arial" w:cs="Arial"/>
          <w:sz w:val="16"/>
          <w:szCs w:val="16"/>
        </w:rPr>
        <w:t>The values for total plasma proteins, hemoglobin concentration, and ratio of total plasma protein</w:t>
      </w:r>
      <w:r w:rsidRPr="00051409">
        <w:rPr>
          <w:rFonts w:ascii="Arial" w:hAnsi="Arial" w:cs="Arial"/>
          <w:sz w:val="16"/>
          <w:szCs w:val="16"/>
        </w:rPr>
        <w:t xml:space="preserve"> are presented as mean ± standard deviatio</w:t>
      </w:r>
      <w:r w:rsidR="005D0C34" w:rsidRPr="00051409">
        <w:rPr>
          <w:rFonts w:ascii="Arial" w:hAnsi="Arial" w:cs="Arial"/>
          <w:sz w:val="16"/>
          <w:szCs w:val="16"/>
        </w:rPr>
        <w:t>n</w:t>
      </w:r>
    </w:p>
    <w:p w14:paraId="2F0A0977" w14:textId="77777777" w:rsidR="002E37D4" w:rsidRPr="00051409" w:rsidRDefault="002E37D4" w:rsidP="002E37D4">
      <w:pPr>
        <w:jc w:val="both"/>
        <w:rPr>
          <w:rFonts w:ascii="Arial" w:hAnsi="Arial" w:cs="Arial"/>
          <w:sz w:val="16"/>
          <w:szCs w:val="16"/>
        </w:rPr>
      </w:pPr>
      <w:r w:rsidRPr="00051409">
        <w:rPr>
          <w:rFonts w:ascii="Arial" w:hAnsi="Arial" w:cs="Arial"/>
          <w:sz w:val="16"/>
          <w:szCs w:val="16"/>
        </w:rPr>
        <w:t xml:space="preserve">The findings of this study have implications for the use of reference values and numerical ratios of total plasma proteins and hemoglobin concentration as novel parameters for blood donors' preliminary eligibility assessment. The differences in the </w:t>
      </w:r>
      <w:r w:rsidRPr="00051409">
        <w:rPr>
          <w:rFonts w:ascii="Arial" w:hAnsi="Arial" w:cs="Arial"/>
          <w:sz w:val="16"/>
          <w:szCs w:val="16"/>
        </w:rPr>
        <w:lastRenderedPageBreak/>
        <w:t>concentration of total plasma proteins and hemoglobin between male and female blood donors suggest that separate reference values may be needed for each sex.</w:t>
      </w:r>
    </w:p>
    <w:p w14:paraId="37A40430" w14:textId="0B952BD8" w:rsidR="002E37D4" w:rsidRPr="00051409" w:rsidRDefault="00353211" w:rsidP="00ED4532">
      <w:pPr>
        <w:jc w:val="both"/>
        <w:rPr>
          <w:rFonts w:ascii="Arial" w:hAnsi="Arial" w:cs="Arial"/>
          <w:sz w:val="16"/>
          <w:szCs w:val="16"/>
        </w:rPr>
      </w:pPr>
      <w:r w:rsidRPr="00051409">
        <w:rPr>
          <w:rFonts w:ascii="Arial" w:hAnsi="Arial" w:cs="Arial"/>
          <w:sz w:val="16"/>
          <w:szCs w:val="16"/>
        </w:rPr>
        <w:t>Finally ,t</w:t>
      </w:r>
      <w:r w:rsidR="002E37D4" w:rsidRPr="00051409">
        <w:rPr>
          <w:rFonts w:ascii="Arial" w:hAnsi="Arial" w:cs="Arial"/>
          <w:sz w:val="16"/>
          <w:szCs w:val="16"/>
        </w:rPr>
        <w:t>ables 3, 4, and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 The findings of this study highlight the importance of considering sex differences in the evaluation of blood donor eligibility.</w:t>
      </w:r>
    </w:p>
    <w:p w14:paraId="651D30DF" w14:textId="77777777" w:rsidR="00EA3234" w:rsidRPr="00051409" w:rsidRDefault="00EA3234" w:rsidP="00EA3234">
      <w:pPr>
        <w:jc w:val="both"/>
        <w:rPr>
          <w:rFonts w:ascii="Arial" w:hAnsi="Arial" w:cs="Arial"/>
          <w:b/>
          <w:sz w:val="16"/>
          <w:szCs w:val="16"/>
        </w:rPr>
      </w:pPr>
      <w:r w:rsidRPr="00051409">
        <w:rPr>
          <w:rFonts w:ascii="Arial" w:hAnsi="Arial" w:cs="Arial"/>
          <w:b/>
          <w:sz w:val="16"/>
          <w:szCs w:val="16"/>
        </w:rPr>
        <w:t>Table 5: Search Engines, Article Distribution, and Blood Donor Parameters by Sex</w:t>
      </w:r>
    </w:p>
    <w:tbl>
      <w:tblPr>
        <w:tblStyle w:val="TableGrid"/>
        <w:tblW w:w="0" w:type="auto"/>
        <w:tblLook w:val="04A0" w:firstRow="1" w:lastRow="0" w:firstColumn="1" w:lastColumn="0" w:noHBand="0" w:noVBand="1"/>
      </w:tblPr>
      <w:tblGrid>
        <w:gridCol w:w="1555"/>
        <w:gridCol w:w="850"/>
        <w:gridCol w:w="992"/>
        <w:gridCol w:w="768"/>
        <w:gridCol w:w="1449"/>
        <w:gridCol w:w="1438"/>
        <w:gridCol w:w="2061"/>
      </w:tblGrid>
      <w:tr w:rsidR="00EC0063" w:rsidRPr="00051409" w14:paraId="1082E9EA" w14:textId="77777777" w:rsidTr="00EC0063">
        <w:tc>
          <w:tcPr>
            <w:tcW w:w="1555" w:type="dxa"/>
          </w:tcPr>
          <w:p w14:paraId="2BE8BD05" w14:textId="77777777" w:rsidR="00EA3234" w:rsidRPr="00051409" w:rsidRDefault="00EA3234" w:rsidP="00ED4532">
            <w:pPr>
              <w:spacing w:after="0"/>
              <w:jc w:val="both"/>
              <w:rPr>
                <w:rFonts w:ascii="Arial" w:hAnsi="Arial" w:cs="Arial"/>
                <w:b/>
                <w:sz w:val="16"/>
                <w:szCs w:val="16"/>
              </w:rPr>
            </w:pPr>
            <w:r w:rsidRPr="00051409">
              <w:rPr>
                <w:rFonts w:ascii="Arial" w:hAnsi="Arial" w:cs="Arial"/>
                <w:b/>
                <w:sz w:val="16"/>
                <w:szCs w:val="16"/>
              </w:rPr>
              <w:t>Search Engine</w:t>
            </w:r>
          </w:p>
        </w:tc>
        <w:tc>
          <w:tcPr>
            <w:tcW w:w="850" w:type="dxa"/>
          </w:tcPr>
          <w:p w14:paraId="1AA832C6" w14:textId="77777777" w:rsidR="00EA3234" w:rsidRPr="00051409" w:rsidRDefault="00EA3234" w:rsidP="00ED4532">
            <w:pPr>
              <w:spacing w:after="0"/>
              <w:jc w:val="both"/>
              <w:rPr>
                <w:rFonts w:ascii="Arial" w:hAnsi="Arial" w:cs="Arial"/>
                <w:b/>
                <w:sz w:val="16"/>
                <w:szCs w:val="16"/>
              </w:rPr>
            </w:pPr>
            <w:r w:rsidRPr="00051409">
              <w:rPr>
                <w:rFonts w:ascii="Arial" w:hAnsi="Arial" w:cs="Arial"/>
                <w:b/>
                <w:sz w:val="16"/>
                <w:szCs w:val="16"/>
              </w:rPr>
              <w:t>Total Articles</w:t>
            </w:r>
          </w:p>
        </w:tc>
        <w:tc>
          <w:tcPr>
            <w:tcW w:w="992" w:type="dxa"/>
          </w:tcPr>
          <w:p w14:paraId="41B0941F" w14:textId="77777777" w:rsidR="00EA3234" w:rsidRPr="00051409" w:rsidRDefault="00EA3234" w:rsidP="00ED4532">
            <w:pPr>
              <w:spacing w:after="0"/>
              <w:jc w:val="both"/>
              <w:rPr>
                <w:rFonts w:ascii="Arial" w:hAnsi="Arial" w:cs="Arial"/>
                <w:b/>
                <w:sz w:val="16"/>
                <w:szCs w:val="16"/>
              </w:rPr>
            </w:pPr>
            <w:r w:rsidRPr="00051409">
              <w:rPr>
                <w:rFonts w:ascii="Arial" w:hAnsi="Arial" w:cs="Arial"/>
                <w:b/>
                <w:sz w:val="16"/>
                <w:szCs w:val="16"/>
              </w:rPr>
              <w:t>% of Total</w:t>
            </w:r>
          </w:p>
        </w:tc>
        <w:tc>
          <w:tcPr>
            <w:tcW w:w="709" w:type="dxa"/>
          </w:tcPr>
          <w:p w14:paraId="2E2F39F6" w14:textId="77777777" w:rsidR="00EA3234" w:rsidRPr="00051409" w:rsidRDefault="00EA3234" w:rsidP="00ED4532">
            <w:pPr>
              <w:spacing w:after="0"/>
              <w:jc w:val="both"/>
              <w:rPr>
                <w:rFonts w:ascii="Arial" w:hAnsi="Arial" w:cs="Arial"/>
                <w:b/>
                <w:sz w:val="16"/>
                <w:szCs w:val="16"/>
              </w:rPr>
            </w:pPr>
            <w:r w:rsidRPr="00051409">
              <w:rPr>
                <w:rFonts w:ascii="Arial" w:hAnsi="Arial" w:cs="Arial"/>
                <w:b/>
                <w:sz w:val="16"/>
                <w:szCs w:val="16"/>
              </w:rPr>
              <w:t>Sex</w:t>
            </w:r>
          </w:p>
        </w:tc>
        <w:tc>
          <w:tcPr>
            <w:tcW w:w="1449" w:type="dxa"/>
          </w:tcPr>
          <w:p w14:paraId="64CF5DE5" w14:textId="77777777" w:rsidR="00EA3234" w:rsidRPr="00051409" w:rsidRDefault="00EA3234" w:rsidP="00ED4532">
            <w:pPr>
              <w:spacing w:after="0"/>
              <w:jc w:val="both"/>
              <w:rPr>
                <w:rFonts w:ascii="Arial" w:hAnsi="Arial" w:cs="Arial"/>
                <w:b/>
                <w:sz w:val="16"/>
                <w:szCs w:val="16"/>
              </w:rPr>
            </w:pPr>
            <w:r w:rsidRPr="00051409">
              <w:rPr>
                <w:rFonts w:ascii="Arial" w:hAnsi="Arial" w:cs="Arial"/>
                <w:b/>
                <w:sz w:val="16"/>
                <w:szCs w:val="16"/>
              </w:rPr>
              <w:t>Total Plasma Proteins (g/dl)</w:t>
            </w:r>
          </w:p>
        </w:tc>
        <w:tc>
          <w:tcPr>
            <w:tcW w:w="1438" w:type="dxa"/>
          </w:tcPr>
          <w:p w14:paraId="0251F7A2" w14:textId="77777777" w:rsidR="00EA3234" w:rsidRPr="00051409" w:rsidRDefault="00EA3234" w:rsidP="00ED4532">
            <w:pPr>
              <w:spacing w:after="0"/>
              <w:jc w:val="both"/>
              <w:rPr>
                <w:rFonts w:ascii="Arial" w:hAnsi="Arial" w:cs="Arial"/>
                <w:b/>
                <w:sz w:val="16"/>
                <w:szCs w:val="16"/>
              </w:rPr>
            </w:pPr>
            <w:r w:rsidRPr="00051409">
              <w:rPr>
                <w:rFonts w:ascii="Arial" w:hAnsi="Arial" w:cs="Arial"/>
                <w:b/>
                <w:sz w:val="16"/>
                <w:szCs w:val="16"/>
              </w:rPr>
              <w:t>Hemoglobin Concentration (g/dl)</w:t>
            </w:r>
          </w:p>
        </w:tc>
        <w:tc>
          <w:tcPr>
            <w:tcW w:w="2061" w:type="dxa"/>
          </w:tcPr>
          <w:p w14:paraId="1D95A25F" w14:textId="77777777" w:rsidR="00EA3234" w:rsidRPr="00051409" w:rsidRDefault="00EA3234" w:rsidP="00ED4532">
            <w:pPr>
              <w:spacing w:after="0"/>
              <w:jc w:val="both"/>
              <w:rPr>
                <w:rFonts w:ascii="Arial" w:hAnsi="Arial" w:cs="Arial"/>
                <w:b/>
                <w:sz w:val="16"/>
                <w:szCs w:val="16"/>
              </w:rPr>
            </w:pPr>
            <w:r w:rsidRPr="00051409">
              <w:rPr>
                <w:rFonts w:ascii="Arial" w:hAnsi="Arial" w:cs="Arial"/>
                <w:b/>
                <w:sz w:val="16"/>
                <w:szCs w:val="16"/>
              </w:rPr>
              <w:t>Ratio of Total Plasma Proteins/Hemoglobin Concentration</w:t>
            </w:r>
          </w:p>
        </w:tc>
      </w:tr>
      <w:tr w:rsidR="00DA5D3E" w:rsidRPr="00051409" w14:paraId="151109CF" w14:textId="77777777" w:rsidTr="00EC0063">
        <w:tc>
          <w:tcPr>
            <w:tcW w:w="1555" w:type="dxa"/>
            <w:vMerge w:val="restart"/>
          </w:tcPr>
          <w:p w14:paraId="0954607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PubMed</w:t>
            </w:r>
          </w:p>
        </w:tc>
        <w:tc>
          <w:tcPr>
            <w:tcW w:w="850" w:type="dxa"/>
            <w:vMerge w:val="restart"/>
          </w:tcPr>
          <w:p w14:paraId="05069B3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120</w:t>
            </w:r>
          </w:p>
        </w:tc>
        <w:tc>
          <w:tcPr>
            <w:tcW w:w="992" w:type="dxa"/>
            <w:vMerge w:val="restart"/>
          </w:tcPr>
          <w:p w14:paraId="697E485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26.7%</w:t>
            </w:r>
          </w:p>
        </w:tc>
        <w:tc>
          <w:tcPr>
            <w:tcW w:w="709" w:type="dxa"/>
          </w:tcPr>
          <w:p w14:paraId="2CAA92B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26CA5CA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7.3 ± 0.5</w:t>
            </w:r>
          </w:p>
        </w:tc>
        <w:tc>
          <w:tcPr>
            <w:tcW w:w="1438" w:type="dxa"/>
          </w:tcPr>
          <w:p w14:paraId="3C515007"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14.5 ± 0.8</w:t>
            </w:r>
          </w:p>
        </w:tc>
        <w:tc>
          <w:tcPr>
            <w:tcW w:w="2061" w:type="dxa"/>
          </w:tcPr>
          <w:p w14:paraId="167802D3"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1.050 ± 0.007</w:t>
            </w:r>
          </w:p>
        </w:tc>
      </w:tr>
      <w:tr w:rsidR="00DA5D3E" w:rsidRPr="00051409" w14:paraId="53386972" w14:textId="77777777" w:rsidTr="00EC0063">
        <w:tc>
          <w:tcPr>
            <w:tcW w:w="1555" w:type="dxa"/>
            <w:vMerge/>
          </w:tcPr>
          <w:p w14:paraId="49B203AB" w14:textId="77777777" w:rsidR="00DA5D3E" w:rsidRPr="00051409" w:rsidRDefault="00DA5D3E" w:rsidP="00ED4532">
            <w:pPr>
              <w:spacing w:after="0"/>
              <w:jc w:val="both"/>
              <w:rPr>
                <w:rFonts w:ascii="Arial" w:hAnsi="Arial" w:cs="Arial"/>
                <w:sz w:val="16"/>
                <w:szCs w:val="16"/>
              </w:rPr>
            </w:pPr>
          </w:p>
        </w:tc>
        <w:tc>
          <w:tcPr>
            <w:tcW w:w="850" w:type="dxa"/>
            <w:vMerge/>
          </w:tcPr>
          <w:p w14:paraId="4D439D2C" w14:textId="77777777" w:rsidR="00DA5D3E" w:rsidRPr="00051409" w:rsidRDefault="00DA5D3E" w:rsidP="00ED4532">
            <w:pPr>
              <w:spacing w:after="0"/>
              <w:jc w:val="both"/>
              <w:rPr>
                <w:rFonts w:ascii="Arial" w:hAnsi="Arial" w:cs="Arial"/>
                <w:sz w:val="16"/>
                <w:szCs w:val="16"/>
              </w:rPr>
            </w:pPr>
          </w:p>
        </w:tc>
        <w:tc>
          <w:tcPr>
            <w:tcW w:w="992" w:type="dxa"/>
            <w:vMerge/>
          </w:tcPr>
          <w:p w14:paraId="35F189F6" w14:textId="77777777" w:rsidR="00DA5D3E" w:rsidRPr="00051409" w:rsidRDefault="00DA5D3E" w:rsidP="00ED4532">
            <w:pPr>
              <w:spacing w:after="0"/>
              <w:jc w:val="both"/>
              <w:rPr>
                <w:rFonts w:ascii="Arial" w:hAnsi="Arial" w:cs="Arial"/>
                <w:sz w:val="16"/>
                <w:szCs w:val="16"/>
              </w:rPr>
            </w:pPr>
          </w:p>
        </w:tc>
        <w:tc>
          <w:tcPr>
            <w:tcW w:w="709" w:type="dxa"/>
          </w:tcPr>
          <w:p w14:paraId="0E466834"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3E185175"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7.1 ± 0.4</w:t>
            </w:r>
          </w:p>
        </w:tc>
        <w:tc>
          <w:tcPr>
            <w:tcW w:w="1438" w:type="dxa"/>
          </w:tcPr>
          <w:p w14:paraId="45F9C2A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13.2 ± 0.7</w:t>
            </w:r>
          </w:p>
        </w:tc>
        <w:tc>
          <w:tcPr>
            <w:tcW w:w="2061" w:type="dxa"/>
          </w:tcPr>
          <w:p w14:paraId="19AE6A80"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1.038 ± 0.006</w:t>
            </w:r>
          </w:p>
        </w:tc>
      </w:tr>
      <w:tr w:rsidR="00DA5D3E" w:rsidRPr="00051409" w14:paraId="53441BE4" w14:textId="77777777" w:rsidTr="00EC0063">
        <w:tc>
          <w:tcPr>
            <w:tcW w:w="1555" w:type="dxa"/>
            <w:vMerge w:val="restart"/>
          </w:tcPr>
          <w:p w14:paraId="3632160D"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Scopus</w:t>
            </w:r>
          </w:p>
        </w:tc>
        <w:tc>
          <w:tcPr>
            <w:tcW w:w="850" w:type="dxa"/>
            <w:vMerge w:val="restart"/>
          </w:tcPr>
          <w:p w14:paraId="3A84D02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100</w:t>
            </w:r>
          </w:p>
        </w:tc>
        <w:tc>
          <w:tcPr>
            <w:tcW w:w="992" w:type="dxa"/>
            <w:vMerge w:val="restart"/>
          </w:tcPr>
          <w:p w14:paraId="14335E4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22.2%</w:t>
            </w:r>
          </w:p>
        </w:tc>
        <w:tc>
          <w:tcPr>
            <w:tcW w:w="709" w:type="dxa"/>
          </w:tcPr>
          <w:p w14:paraId="11B4EDBD"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65112F9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7.2 ± 0.4</w:t>
            </w:r>
          </w:p>
        </w:tc>
        <w:tc>
          <w:tcPr>
            <w:tcW w:w="1438" w:type="dxa"/>
          </w:tcPr>
          <w:p w14:paraId="5F5CB6E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14.3 ± 0.9</w:t>
            </w:r>
          </w:p>
        </w:tc>
        <w:tc>
          <w:tcPr>
            <w:tcW w:w="2061" w:type="dxa"/>
          </w:tcPr>
          <w:p w14:paraId="02E2D64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1.045 ± 0.008</w:t>
            </w:r>
          </w:p>
        </w:tc>
      </w:tr>
      <w:tr w:rsidR="00DA5D3E" w:rsidRPr="00051409" w14:paraId="1759509C" w14:textId="77777777" w:rsidTr="00EC0063">
        <w:tc>
          <w:tcPr>
            <w:tcW w:w="1555" w:type="dxa"/>
            <w:vMerge/>
          </w:tcPr>
          <w:p w14:paraId="76EEE473" w14:textId="77777777" w:rsidR="00DA5D3E" w:rsidRPr="00051409" w:rsidRDefault="00DA5D3E" w:rsidP="00ED4532">
            <w:pPr>
              <w:spacing w:after="0"/>
              <w:jc w:val="both"/>
              <w:rPr>
                <w:rFonts w:ascii="Arial" w:hAnsi="Arial" w:cs="Arial"/>
                <w:sz w:val="16"/>
                <w:szCs w:val="16"/>
              </w:rPr>
            </w:pPr>
          </w:p>
        </w:tc>
        <w:tc>
          <w:tcPr>
            <w:tcW w:w="850" w:type="dxa"/>
            <w:vMerge/>
          </w:tcPr>
          <w:p w14:paraId="45BF12D4" w14:textId="77777777" w:rsidR="00DA5D3E" w:rsidRPr="00051409" w:rsidRDefault="00DA5D3E" w:rsidP="00ED4532">
            <w:pPr>
              <w:spacing w:after="0"/>
              <w:jc w:val="both"/>
              <w:rPr>
                <w:rFonts w:ascii="Arial" w:hAnsi="Arial" w:cs="Arial"/>
                <w:sz w:val="16"/>
                <w:szCs w:val="16"/>
              </w:rPr>
            </w:pPr>
          </w:p>
        </w:tc>
        <w:tc>
          <w:tcPr>
            <w:tcW w:w="992" w:type="dxa"/>
            <w:vMerge/>
          </w:tcPr>
          <w:p w14:paraId="4E421D04" w14:textId="77777777" w:rsidR="00DA5D3E" w:rsidRPr="00051409" w:rsidRDefault="00DA5D3E" w:rsidP="00ED4532">
            <w:pPr>
              <w:spacing w:after="0"/>
              <w:jc w:val="both"/>
              <w:rPr>
                <w:rFonts w:ascii="Arial" w:hAnsi="Arial" w:cs="Arial"/>
                <w:sz w:val="16"/>
                <w:szCs w:val="16"/>
              </w:rPr>
            </w:pPr>
          </w:p>
        </w:tc>
        <w:tc>
          <w:tcPr>
            <w:tcW w:w="709" w:type="dxa"/>
          </w:tcPr>
          <w:p w14:paraId="595FFFA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52DFF519"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7.0 ± 0.3</w:t>
            </w:r>
          </w:p>
        </w:tc>
        <w:tc>
          <w:tcPr>
            <w:tcW w:w="1438" w:type="dxa"/>
          </w:tcPr>
          <w:p w14:paraId="74CA9FD6"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13.0 ± 0.6</w:t>
            </w:r>
          </w:p>
        </w:tc>
        <w:tc>
          <w:tcPr>
            <w:tcW w:w="2061" w:type="dxa"/>
          </w:tcPr>
          <w:p w14:paraId="1C62DA3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1.033 ± 0.005</w:t>
            </w:r>
          </w:p>
        </w:tc>
      </w:tr>
      <w:tr w:rsidR="00EC0063" w:rsidRPr="00051409" w14:paraId="5D2CCDEA" w14:textId="77777777" w:rsidTr="00EC0063">
        <w:tc>
          <w:tcPr>
            <w:tcW w:w="1555" w:type="dxa"/>
          </w:tcPr>
          <w:p w14:paraId="58763D19"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Web of Science</w:t>
            </w:r>
          </w:p>
        </w:tc>
        <w:tc>
          <w:tcPr>
            <w:tcW w:w="850" w:type="dxa"/>
          </w:tcPr>
          <w:p w14:paraId="4B12CC69"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80</w:t>
            </w:r>
          </w:p>
        </w:tc>
        <w:tc>
          <w:tcPr>
            <w:tcW w:w="992" w:type="dxa"/>
          </w:tcPr>
          <w:p w14:paraId="2B38BA4D"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17.8%</w:t>
            </w:r>
          </w:p>
        </w:tc>
        <w:tc>
          <w:tcPr>
            <w:tcW w:w="709" w:type="dxa"/>
          </w:tcPr>
          <w:p w14:paraId="3A4FF3DD"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284B4199"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7.4 ± 0.6</w:t>
            </w:r>
          </w:p>
        </w:tc>
        <w:tc>
          <w:tcPr>
            <w:tcW w:w="1438" w:type="dxa"/>
          </w:tcPr>
          <w:p w14:paraId="6A205C07"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14.7 ± 1.0</w:t>
            </w:r>
          </w:p>
        </w:tc>
        <w:tc>
          <w:tcPr>
            <w:tcW w:w="2061" w:type="dxa"/>
          </w:tcPr>
          <w:p w14:paraId="76776363"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1.058 ± 0.009</w:t>
            </w:r>
          </w:p>
        </w:tc>
      </w:tr>
      <w:tr w:rsidR="00EC0063" w:rsidRPr="00051409" w14:paraId="1BF7BB5F" w14:textId="77777777" w:rsidTr="00EC0063">
        <w:tc>
          <w:tcPr>
            <w:tcW w:w="1555" w:type="dxa"/>
          </w:tcPr>
          <w:p w14:paraId="1AE47B14" w14:textId="77777777" w:rsidR="00EA3234" w:rsidRPr="00051409" w:rsidRDefault="00EA3234" w:rsidP="00ED4532">
            <w:pPr>
              <w:spacing w:after="0"/>
              <w:jc w:val="both"/>
              <w:rPr>
                <w:rFonts w:ascii="Arial" w:hAnsi="Arial" w:cs="Arial"/>
                <w:sz w:val="16"/>
                <w:szCs w:val="16"/>
              </w:rPr>
            </w:pPr>
          </w:p>
        </w:tc>
        <w:tc>
          <w:tcPr>
            <w:tcW w:w="850" w:type="dxa"/>
          </w:tcPr>
          <w:p w14:paraId="4A52656A" w14:textId="77777777" w:rsidR="00EA3234" w:rsidRPr="00051409" w:rsidRDefault="00EA3234" w:rsidP="00ED4532">
            <w:pPr>
              <w:spacing w:after="0"/>
              <w:jc w:val="both"/>
              <w:rPr>
                <w:rFonts w:ascii="Arial" w:hAnsi="Arial" w:cs="Arial"/>
                <w:sz w:val="16"/>
                <w:szCs w:val="16"/>
              </w:rPr>
            </w:pPr>
          </w:p>
        </w:tc>
        <w:tc>
          <w:tcPr>
            <w:tcW w:w="992" w:type="dxa"/>
          </w:tcPr>
          <w:p w14:paraId="5609615B" w14:textId="77777777" w:rsidR="00EA3234" w:rsidRPr="00051409" w:rsidRDefault="00EA3234" w:rsidP="00ED4532">
            <w:pPr>
              <w:spacing w:after="0"/>
              <w:jc w:val="both"/>
              <w:rPr>
                <w:rFonts w:ascii="Arial" w:hAnsi="Arial" w:cs="Arial"/>
                <w:sz w:val="16"/>
                <w:szCs w:val="16"/>
              </w:rPr>
            </w:pPr>
          </w:p>
        </w:tc>
        <w:tc>
          <w:tcPr>
            <w:tcW w:w="709" w:type="dxa"/>
          </w:tcPr>
          <w:p w14:paraId="40E8D5B2"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3F5AEE3F"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7.2 ± 0.5</w:t>
            </w:r>
          </w:p>
        </w:tc>
        <w:tc>
          <w:tcPr>
            <w:tcW w:w="1438" w:type="dxa"/>
          </w:tcPr>
          <w:p w14:paraId="1E72C5E6"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13.4 ± 0.8</w:t>
            </w:r>
          </w:p>
        </w:tc>
        <w:tc>
          <w:tcPr>
            <w:tcW w:w="2061" w:type="dxa"/>
          </w:tcPr>
          <w:p w14:paraId="341EC852" w14:textId="77777777" w:rsidR="00EA3234" w:rsidRPr="00051409" w:rsidRDefault="00EA3234" w:rsidP="00ED4532">
            <w:pPr>
              <w:spacing w:after="0"/>
              <w:jc w:val="both"/>
              <w:rPr>
                <w:rFonts w:ascii="Arial" w:hAnsi="Arial" w:cs="Arial"/>
                <w:sz w:val="16"/>
                <w:szCs w:val="16"/>
              </w:rPr>
            </w:pPr>
            <w:r w:rsidRPr="00051409">
              <w:rPr>
                <w:rFonts w:ascii="Arial" w:hAnsi="Arial" w:cs="Arial"/>
                <w:sz w:val="16"/>
                <w:szCs w:val="16"/>
              </w:rPr>
              <w:t>1.046 ± 0.007</w:t>
            </w:r>
          </w:p>
        </w:tc>
      </w:tr>
      <w:tr w:rsidR="00DA5D3E" w:rsidRPr="00051409" w14:paraId="3BEBE2A0" w14:textId="77777777" w:rsidTr="00EC0063">
        <w:tc>
          <w:tcPr>
            <w:tcW w:w="1555" w:type="dxa"/>
            <w:vMerge w:val="restart"/>
          </w:tcPr>
          <w:p w14:paraId="09DBED3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Google Scholar</w:t>
            </w:r>
          </w:p>
        </w:tc>
        <w:tc>
          <w:tcPr>
            <w:tcW w:w="850" w:type="dxa"/>
            <w:vMerge w:val="restart"/>
          </w:tcPr>
          <w:p w14:paraId="55288902"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70</w:t>
            </w:r>
          </w:p>
        </w:tc>
        <w:tc>
          <w:tcPr>
            <w:tcW w:w="992" w:type="dxa"/>
            <w:vMerge w:val="restart"/>
          </w:tcPr>
          <w:p w14:paraId="0F1D01B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15.6%</w:t>
            </w:r>
          </w:p>
        </w:tc>
        <w:tc>
          <w:tcPr>
            <w:tcW w:w="709" w:type="dxa"/>
          </w:tcPr>
          <w:p w14:paraId="66D8C51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250CFE5C"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7.5 ± 0.7</w:t>
            </w:r>
          </w:p>
        </w:tc>
        <w:tc>
          <w:tcPr>
            <w:tcW w:w="1438" w:type="dxa"/>
          </w:tcPr>
          <w:p w14:paraId="7E86D973"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14.9 ± 1.1</w:t>
            </w:r>
          </w:p>
        </w:tc>
        <w:tc>
          <w:tcPr>
            <w:tcW w:w="2061" w:type="dxa"/>
          </w:tcPr>
          <w:p w14:paraId="1650FC4D"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1.065 ± 0.010</w:t>
            </w:r>
          </w:p>
        </w:tc>
      </w:tr>
      <w:tr w:rsidR="00DA5D3E" w:rsidRPr="00051409" w14:paraId="02826A1A" w14:textId="77777777" w:rsidTr="00EC0063">
        <w:tc>
          <w:tcPr>
            <w:tcW w:w="1555" w:type="dxa"/>
            <w:vMerge/>
          </w:tcPr>
          <w:p w14:paraId="6361E6FE" w14:textId="77777777" w:rsidR="00DA5D3E" w:rsidRPr="00051409" w:rsidRDefault="00DA5D3E" w:rsidP="00ED4532">
            <w:pPr>
              <w:spacing w:after="0"/>
              <w:jc w:val="both"/>
              <w:rPr>
                <w:rFonts w:ascii="Arial" w:hAnsi="Arial" w:cs="Arial"/>
                <w:sz w:val="16"/>
                <w:szCs w:val="16"/>
              </w:rPr>
            </w:pPr>
          </w:p>
        </w:tc>
        <w:tc>
          <w:tcPr>
            <w:tcW w:w="850" w:type="dxa"/>
            <w:vMerge/>
          </w:tcPr>
          <w:p w14:paraId="3DE79A6E" w14:textId="77777777" w:rsidR="00DA5D3E" w:rsidRPr="00051409" w:rsidRDefault="00DA5D3E" w:rsidP="00ED4532">
            <w:pPr>
              <w:spacing w:after="0"/>
              <w:jc w:val="both"/>
              <w:rPr>
                <w:rFonts w:ascii="Arial" w:hAnsi="Arial" w:cs="Arial"/>
                <w:sz w:val="16"/>
                <w:szCs w:val="16"/>
              </w:rPr>
            </w:pPr>
          </w:p>
        </w:tc>
        <w:tc>
          <w:tcPr>
            <w:tcW w:w="992" w:type="dxa"/>
            <w:vMerge/>
          </w:tcPr>
          <w:p w14:paraId="791C46F9" w14:textId="77777777" w:rsidR="00DA5D3E" w:rsidRPr="00051409" w:rsidRDefault="00DA5D3E" w:rsidP="00ED4532">
            <w:pPr>
              <w:spacing w:after="0"/>
              <w:jc w:val="both"/>
              <w:rPr>
                <w:rFonts w:ascii="Arial" w:hAnsi="Arial" w:cs="Arial"/>
                <w:sz w:val="16"/>
                <w:szCs w:val="16"/>
              </w:rPr>
            </w:pPr>
          </w:p>
        </w:tc>
        <w:tc>
          <w:tcPr>
            <w:tcW w:w="709" w:type="dxa"/>
          </w:tcPr>
          <w:p w14:paraId="4CDBB69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23F7B91C"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7.3 ± 0.6</w:t>
            </w:r>
          </w:p>
        </w:tc>
        <w:tc>
          <w:tcPr>
            <w:tcW w:w="1438" w:type="dxa"/>
          </w:tcPr>
          <w:p w14:paraId="7185383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13.6 ± 0.9</w:t>
            </w:r>
          </w:p>
        </w:tc>
        <w:tc>
          <w:tcPr>
            <w:tcW w:w="2061" w:type="dxa"/>
          </w:tcPr>
          <w:p w14:paraId="1ECB90E5"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1.054 ± 0.008</w:t>
            </w:r>
          </w:p>
        </w:tc>
      </w:tr>
      <w:tr w:rsidR="00DA5D3E" w:rsidRPr="00051409" w14:paraId="16998C30" w14:textId="77777777" w:rsidTr="00EC0063">
        <w:tc>
          <w:tcPr>
            <w:tcW w:w="1555" w:type="dxa"/>
            <w:vMerge w:val="restart"/>
          </w:tcPr>
          <w:p w14:paraId="602D10C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ScienceDirect</w:t>
            </w:r>
          </w:p>
        </w:tc>
        <w:tc>
          <w:tcPr>
            <w:tcW w:w="850" w:type="dxa"/>
            <w:vMerge w:val="restart"/>
          </w:tcPr>
          <w:p w14:paraId="3BEA92D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30</w:t>
            </w:r>
          </w:p>
        </w:tc>
        <w:tc>
          <w:tcPr>
            <w:tcW w:w="992" w:type="dxa"/>
            <w:vMerge w:val="restart"/>
          </w:tcPr>
          <w:p w14:paraId="31112BE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6.7%</w:t>
            </w:r>
          </w:p>
        </w:tc>
        <w:tc>
          <w:tcPr>
            <w:tcW w:w="709" w:type="dxa"/>
          </w:tcPr>
          <w:p w14:paraId="7ACF4F2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7E1BA6FC"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7.3 ± 0.5</w:t>
            </w:r>
          </w:p>
        </w:tc>
        <w:tc>
          <w:tcPr>
            <w:tcW w:w="1438" w:type="dxa"/>
          </w:tcPr>
          <w:p w14:paraId="05E21773"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14.5 ± 0.8</w:t>
            </w:r>
          </w:p>
        </w:tc>
        <w:tc>
          <w:tcPr>
            <w:tcW w:w="2061" w:type="dxa"/>
          </w:tcPr>
          <w:p w14:paraId="4DAA3AAB"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1.052 ± 0.007</w:t>
            </w:r>
          </w:p>
        </w:tc>
      </w:tr>
      <w:tr w:rsidR="00DA5D3E" w:rsidRPr="00051409" w14:paraId="5180968D" w14:textId="77777777" w:rsidTr="00EC0063">
        <w:tc>
          <w:tcPr>
            <w:tcW w:w="1555" w:type="dxa"/>
            <w:vMerge/>
          </w:tcPr>
          <w:p w14:paraId="1BA3CDA7" w14:textId="77777777" w:rsidR="00DA5D3E" w:rsidRPr="00051409" w:rsidRDefault="00DA5D3E" w:rsidP="00ED4532">
            <w:pPr>
              <w:spacing w:after="0"/>
              <w:jc w:val="both"/>
              <w:rPr>
                <w:rFonts w:ascii="Arial" w:hAnsi="Arial" w:cs="Arial"/>
                <w:sz w:val="16"/>
                <w:szCs w:val="16"/>
              </w:rPr>
            </w:pPr>
          </w:p>
        </w:tc>
        <w:tc>
          <w:tcPr>
            <w:tcW w:w="850" w:type="dxa"/>
            <w:vMerge/>
          </w:tcPr>
          <w:p w14:paraId="76154CB1" w14:textId="77777777" w:rsidR="00DA5D3E" w:rsidRPr="00051409" w:rsidRDefault="00DA5D3E" w:rsidP="00ED4532">
            <w:pPr>
              <w:spacing w:after="0"/>
              <w:jc w:val="both"/>
              <w:rPr>
                <w:rFonts w:ascii="Arial" w:hAnsi="Arial" w:cs="Arial"/>
                <w:sz w:val="16"/>
                <w:szCs w:val="16"/>
              </w:rPr>
            </w:pPr>
          </w:p>
        </w:tc>
        <w:tc>
          <w:tcPr>
            <w:tcW w:w="992" w:type="dxa"/>
            <w:vMerge/>
          </w:tcPr>
          <w:p w14:paraId="2A2C1804" w14:textId="77777777" w:rsidR="00DA5D3E" w:rsidRPr="00051409" w:rsidRDefault="00DA5D3E" w:rsidP="00ED4532">
            <w:pPr>
              <w:spacing w:after="0"/>
              <w:jc w:val="both"/>
              <w:rPr>
                <w:rFonts w:ascii="Arial" w:hAnsi="Arial" w:cs="Arial"/>
                <w:sz w:val="16"/>
                <w:szCs w:val="16"/>
              </w:rPr>
            </w:pPr>
          </w:p>
        </w:tc>
        <w:tc>
          <w:tcPr>
            <w:tcW w:w="709" w:type="dxa"/>
          </w:tcPr>
          <w:p w14:paraId="78A212B6"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7CB4D855"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7.1 ± 0.4</w:t>
            </w:r>
          </w:p>
        </w:tc>
        <w:tc>
          <w:tcPr>
            <w:tcW w:w="1438" w:type="dxa"/>
          </w:tcPr>
          <w:p w14:paraId="40DC3DC6"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13.2 ± 0.7</w:t>
            </w:r>
          </w:p>
        </w:tc>
        <w:tc>
          <w:tcPr>
            <w:tcW w:w="2061" w:type="dxa"/>
          </w:tcPr>
          <w:p w14:paraId="5C3AA95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1.040 ± 0.006</w:t>
            </w:r>
          </w:p>
        </w:tc>
      </w:tr>
      <w:tr w:rsidR="00DA5D3E" w:rsidRPr="00051409" w14:paraId="6BF020A3" w14:textId="77777777" w:rsidTr="00EC0063">
        <w:tc>
          <w:tcPr>
            <w:tcW w:w="1555" w:type="dxa"/>
            <w:vMerge w:val="restart"/>
          </w:tcPr>
          <w:p w14:paraId="4D1C6E6C"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Embase</w:t>
            </w:r>
          </w:p>
        </w:tc>
        <w:tc>
          <w:tcPr>
            <w:tcW w:w="850" w:type="dxa"/>
            <w:vMerge w:val="restart"/>
          </w:tcPr>
          <w:p w14:paraId="56C4FED9"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25</w:t>
            </w:r>
          </w:p>
        </w:tc>
        <w:tc>
          <w:tcPr>
            <w:tcW w:w="992" w:type="dxa"/>
            <w:vMerge w:val="restart"/>
          </w:tcPr>
          <w:p w14:paraId="5E71ADF6"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5.6%</w:t>
            </w:r>
          </w:p>
        </w:tc>
        <w:tc>
          <w:tcPr>
            <w:tcW w:w="709" w:type="dxa"/>
          </w:tcPr>
          <w:p w14:paraId="4A2B9C1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06111E5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7.2 ± 0.4</w:t>
            </w:r>
          </w:p>
        </w:tc>
        <w:tc>
          <w:tcPr>
            <w:tcW w:w="1438" w:type="dxa"/>
          </w:tcPr>
          <w:p w14:paraId="59C6AC1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14.3 ± 0.9</w:t>
            </w:r>
          </w:p>
        </w:tc>
        <w:tc>
          <w:tcPr>
            <w:tcW w:w="2061" w:type="dxa"/>
          </w:tcPr>
          <w:p w14:paraId="35C544E0"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1.047 ± 0.008</w:t>
            </w:r>
          </w:p>
        </w:tc>
      </w:tr>
      <w:tr w:rsidR="00DA5D3E" w:rsidRPr="00051409" w14:paraId="6E2A491F" w14:textId="77777777" w:rsidTr="00EC0063">
        <w:tc>
          <w:tcPr>
            <w:tcW w:w="1555" w:type="dxa"/>
            <w:vMerge/>
          </w:tcPr>
          <w:p w14:paraId="7620F031" w14:textId="77777777" w:rsidR="00DA5D3E" w:rsidRPr="00051409" w:rsidRDefault="00DA5D3E" w:rsidP="00ED4532">
            <w:pPr>
              <w:spacing w:after="0"/>
              <w:jc w:val="both"/>
              <w:rPr>
                <w:rFonts w:ascii="Arial" w:hAnsi="Arial" w:cs="Arial"/>
                <w:sz w:val="16"/>
                <w:szCs w:val="16"/>
              </w:rPr>
            </w:pPr>
          </w:p>
        </w:tc>
        <w:tc>
          <w:tcPr>
            <w:tcW w:w="850" w:type="dxa"/>
            <w:vMerge/>
          </w:tcPr>
          <w:p w14:paraId="68AB860E" w14:textId="77777777" w:rsidR="00DA5D3E" w:rsidRPr="00051409" w:rsidRDefault="00DA5D3E" w:rsidP="00ED4532">
            <w:pPr>
              <w:spacing w:after="0"/>
              <w:jc w:val="both"/>
              <w:rPr>
                <w:rFonts w:ascii="Arial" w:hAnsi="Arial" w:cs="Arial"/>
                <w:sz w:val="16"/>
                <w:szCs w:val="16"/>
              </w:rPr>
            </w:pPr>
          </w:p>
        </w:tc>
        <w:tc>
          <w:tcPr>
            <w:tcW w:w="992" w:type="dxa"/>
            <w:vMerge/>
          </w:tcPr>
          <w:p w14:paraId="1742A37A" w14:textId="77777777" w:rsidR="00DA5D3E" w:rsidRPr="00051409" w:rsidRDefault="00DA5D3E" w:rsidP="00ED4532">
            <w:pPr>
              <w:spacing w:after="0"/>
              <w:jc w:val="both"/>
              <w:rPr>
                <w:rFonts w:ascii="Arial" w:hAnsi="Arial" w:cs="Arial"/>
                <w:sz w:val="16"/>
                <w:szCs w:val="16"/>
              </w:rPr>
            </w:pPr>
          </w:p>
        </w:tc>
        <w:tc>
          <w:tcPr>
            <w:tcW w:w="709" w:type="dxa"/>
          </w:tcPr>
          <w:p w14:paraId="7286315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2120F03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7.0 ± 0.3</w:t>
            </w:r>
          </w:p>
        </w:tc>
        <w:tc>
          <w:tcPr>
            <w:tcW w:w="1438" w:type="dxa"/>
          </w:tcPr>
          <w:p w14:paraId="07AD2F34"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13.0 ± 0.6</w:t>
            </w:r>
          </w:p>
        </w:tc>
        <w:tc>
          <w:tcPr>
            <w:tcW w:w="2061" w:type="dxa"/>
          </w:tcPr>
          <w:p w14:paraId="19F8859B"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1.035 ± 0.005</w:t>
            </w:r>
          </w:p>
        </w:tc>
      </w:tr>
      <w:tr w:rsidR="00DA5D3E" w:rsidRPr="00051409" w14:paraId="2BD70924" w14:textId="77777777" w:rsidTr="00EC0063">
        <w:tc>
          <w:tcPr>
            <w:tcW w:w="1555" w:type="dxa"/>
            <w:vMerge w:val="restart"/>
          </w:tcPr>
          <w:p w14:paraId="674424D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Cochrane Library</w:t>
            </w:r>
          </w:p>
        </w:tc>
        <w:tc>
          <w:tcPr>
            <w:tcW w:w="850" w:type="dxa"/>
            <w:vMerge w:val="restart"/>
          </w:tcPr>
          <w:p w14:paraId="3C46529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15</w:t>
            </w:r>
          </w:p>
        </w:tc>
        <w:tc>
          <w:tcPr>
            <w:tcW w:w="992" w:type="dxa"/>
            <w:vMerge w:val="restart"/>
          </w:tcPr>
          <w:p w14:paraId="70DBB98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3.3%</w:t>
            </w:r>
          </w:p>
        </w:tc>
        <w:tc>
          <w:tcPr>
            <w:tcW w:w="709" w:type="dxa"/>
          </w:tcPr>
          <w:p w14:paraId="386888B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1D51C24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7.4 ± 0.6</w:t>
            </w:r>
          </w:p>
        </w:tc>
        <w:tc>
          <w:tcPr>
            <w:tcW w:w="1438" w:type="dxa"/>
          </w:tcPr>
          <w:p w14:paraId="6495EF0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14.7 ± 1.0</w:t>
            </w:r>
          </w:p>
        </w:tc>
        <w:tc>
          <w:tcPr>
            <w:tcW w:w="2061" w:type="dxa"/>
          </w:tcPr>
          <w:p w14:paraId="6700FC2C"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1.060 ± 0.009</w:t>
            </w:r>
          </w:p>
        </w:tc>
      </w:tr>
      <w:tr w:rsidR="00DA5D3E" w:rsidRPr="00051409" w14:paraId="1090F999" w14:textId="77777777" w:rsidTr="00EC0063">
        <w:tc>
          <w:tcPr>
            <w:tcW w:w="1555" w:type="dxa"/>
            <w:vMerge/>
          </w:tcPr>
          <w:p w14:paraId="738665CB" w14:textId="77777777" w:rsidR="00DA5D3E" w:rsidRPr="00051409" w:rsidRDefault="00DA5D3E" w:rsidP="00ED4532">
            <w:pPr>
              <w:spacing w:after="0"/>
              <w:jc w:val="both"/>
              <w:rPr>
                <w:rFonts w:ascii="Arial" w:hAnsi="Arial" w:cs="Arial"/>
                <w:sz w:val="16"/>
                <w:szCs w:val="16"/>
              </w:rPr>
            </w:pPr>
          </w:p>
        </w:tc>
        <w:tc>
          <w:tcPr>
            <w:tcW w:w="850" w:type="dxa"/>
            <w:vMerge/>
          </w:tcPr>
          <w:p w14:paraId="05FC1409" w14:textId="77777777" w:rsidR="00DA5D3E" w:rsidRPr="00051409" w:rsidRDefault="00DA5D3E" w:rsidP="00ED4532">
            <w:pPr>
              <w:spacing w:after="0"/>
              <w:jc w:val="both"/>
              <w:rPr>
                <w:rFonts w:ascii="Arial" w:hAnsi="Arial" w:cs="Arial"/>
                <w:sz w:val="16"/>
                <w:szCs w:val="16"/>
              </w:rPr>
            </w:pPr>
          </w:p>
        </w:tc>
        <w:tc>
          <w:tcPr>
            <w:tcW w:w="992" w:type="dxa"/>
            <w:vMerge/>
          </w:tcPr>
          <w:p w14:paraId="32995757" w14:textId="77777777" w:rsidR="00DA5D3E" w:rsidRPr="00051409" w:rsidRDefault="00DA5D3E" w:rsidP="00ED4532">
            <w:pPr>
              <w:spacing w:after="0"/>
              <w:jc w:val="both"/>
              <w:rPr>
                <w:rFonts w:ascii="Arial" w:hAnsi="Arial" w:cs="Arial"/>
                <w:sz w:val="16"/>
                <w:szCs w:val="16"/>
              </w:rPr>
            </w:pPr>
          </w:p>
        </w:tc>
        <w:tc>
          <w:tcPr>
            <w:tcW w:w="709" w:type="dxa"/>
          </w:tcPr>
          <w:p w14:paraId="3FB875A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22875C3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7.2 ± 0.5</w:t>
            </w:r>
          </w:p>
        </w:tc>
        <w:tc>
          <w:tcPr>
            <w:tcW w:w="1438" w:type="dxa"/>
          </w:tcPr>
          <w:p w14:paraId="3DE9992D"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13.4 ± 0.8</w:t>
            </w:r>
          </w:p>
        </w:tc>
        <w:tc>
          <w:tcPr>
            <w:tcW w:w="2061" w:type="dxa"/>
          </w:tcPr>
          <w:p w14:paraId="45A61C1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1.048 ± 0.007</w:t>
            </w:r>
          </w:p>
        </w:tc>
      </w:tr>
      <w:tr w:rsidR="00DA5D3E" w:rsidRPr="00051409" w14:paraId="7064C8B8" w14:textId="77777777" w:rsidTr="00EC0063">
        <w:tc>
          <w:tcPr>
            <w:tcW w:w="1555" w:type="dxa"/>
            <w:vMerge w:val="restart"/>
          </w:tcPr>
          <w:p w14:paraId="24C4287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CINAHL</w:t>
            </w:r>
          </w:p>
        </w:tc>
        <w:tc>
          <w:tcPr>
            <w:tcW w:w="850" w:type="dxa"/>
            <w:vMerge w:val="restart"/>
          </w:tcPr>
          <w:p w14:paraId="14522F4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5</w:t>
            </w:r>
          </w:p>
        </w:tc>
        <w:tc>
          <w:tcPr>
            <w:tcW w:w="992" w:type="dxa"/>
            <w:vMerge w:val="restart"/>
          </w:tcPr>
          <w:p w14:paraId="2FEDB2C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1.1%</w:t>
            </w:r>
          </w:p>
        </w:tc>
        <w:tc>
          <w:tcPr>
            <w:tcW w:w="709" w:type="dxa"/>
          </w:tcPr>
          <w:p w14:paraId="4CEF73C6"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19394EB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7.3 ± 0.5</w:t>
            </w:r>
          </w:p>
        </w:tc>
        <w:tc>
          <w:tcPr>
            <w:tcW w:w="1438" w:type="dxa"/>
          </w:tcPr>
          <w:p w14:paraId="468DAFE0"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14.5 ± 0.8</w:t>
            </w:r>
          </w:p>
        </w:tc>
        <w:tc>
          <w:tcPr>
            <w:tcW w:w="2061" w:type="dxa"/>
          </w:tcPr>
          <w:p w14:paraId="44A105B5"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1.053 ± 0.007</w:t>
            </w:r>
          </w:p>
        </w:tc>
      </w:tr>
      <w:tr w:rsidR="00DA5D3E" w:rsidRPr="00051409" w14:paraId="1938BD3B" w14:textId="77777777" w:rsidTr="00EC0063">
        <w:tc>
          <w:tcPr>
            <w:tcW w:w="1555" w:type="dxa"/>
            <w:vMerge/>
          </w:tcPr>
          <w:p w14:paraId="65751E1F" w14:textId="77777777" w:rsidR="00DA5D3E" w:rsidRPr="00051409" w:rsidRDefault="00DA5D3E" w:rsidP="00ED4532">
            <w:pPr>
              <w:spacing w:after="0"/>
              <w:jc w:val="both"/>
              <w:rPr>
                <w:rFonts w:ascii="Arial" w:hAnsi="Arial" w:cs="Arial"/>
                <w:sz w:val="16"/>
                <w:szCs w:val="16"/>
              </w:rPr>
            </w:pPr>
          </w:p>
        </w:tc>
        <w:tc>
          <w:tcPr>
            <w:tcW w:w="850" w:type="dxa"/>
            <w:vMerge/>
          </w:tcPr>
          <w:p w14:paraId="59117F06" w14:textId="77777777" w:rsidR="00DA5D3E" w:rsidRPr="00051409" w:rsidRDefault="00DA5D3E" w:rsidP="00ED4532">
            <w:pPr>
              <w:spacing w:after="0"/>
              <w:jc w:val="both"/>
              <w:rPr>
                <w:rFonts w:ascii="Arial" w:hAnsi="Arial" w:cs="Arial"/>
                <w:sz w:val="16"/>
                <w:szCs w:val="16"/>
              </w:rPr>
            </w:pPr>
          </w:p>
        </w:tc>
        <w:tc>
          <w:tcPr>
            <w:tcW w:w="992" w:type="dxa"/>
            <w:vMerge/>
          </w:tcPr>
          <w:p w14:paraId="0F42FB60" w14:textId="77777777" w:rsidR="00DA5D3E" w:rsidRPr="00051409" w:rsidRDefault="00DA5D3E" w:rsidP="00ED4532">
            <w:pPr>
              <w:spacing w:after="0"/>
              <w:jc w:val="both"/>
              <w:rPr>
                <w:rFonts w:ascii="Arial" w:hAnsi="Arial" w:cs="Arial"/>
                <w:sz w:val="16"/>
                <w:szCs w:val="16"/>
              </w:rPr>
            </w:pPr>
          </w:p>
        </w:tc>
        <w:tc>
          <w:tcPr>
            <w:tcW w:w="709" w:type="dxa"/>
          </w:tcPr>
          <w:p w14:paraId="17B23E76"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2C12EB44"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7.1 ± 0.4</w:t>
            </w:r>
          </w:p>
        </w:tc>
        <w:tc>
          <w:tcPr>
            <w:tcW w:w="1438" w:type="dxa"/>
          </w:tcPr>
          <w:p w14:paraId="6CD8649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13.2 ± 0.7</w:t>
            </w:r>
          </w:p>
        </w:tc>
        <w:tc>
          <w:tcPr>
            <w:tcW w:w="2061" w:type="dxa"/>
          </w:tcPr>
          <w:p w14:paraId="449813B4"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1.041 ± 0.006</w:t>
            </w:r>
          </w:p>
        </w:tc>
      </w:tr>
      <w:tr w:rsidR="00DA5D3E" w:rsidRPr="00051409" w14:paraId="5EE4AFDB" w14:textId="77777777" w:rsidTr="00EC0063">
        <w:tc>
          <w:tcPr>
            <w:tcW w:w="1555" w:type="dxa"/>
            <w:vMerge w:val="restart"/>
          </w:tcPr>
          <w:p w14:paraId="30C035E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ProQuest</w:t>
            </w:r>
          </w:p>
        </w:tc>
        <w:tc>
          <w:tcPr>
            <w:tcW w:w="850" w:type="dxa"/>
            <w:vMerge w:val="restart"/>
          </w:tcPr>
          <w:p w14:paraId="58E1DFD3"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3</w:t>
            </w:r>
          </w:p>
        </w:tc>
        <w:tc>
          <w:tcPr>
            <w:tcW w:w="992" w:type="dxa"/>
            <w:vMerge w:val="restart"/>
          </w:tcPr>
          <w:p w14:paraId="6C547EDC"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0.7%</w:t>
            </w:r>
          </w:p>
        </w:tc>
        <w:tc>
          <w:tcPr>
            <w:tcW w:w="709" w:type="dxa"/>
          </w:tcPr>
          <w:p w14:paraId="0093BCA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3EB825F5"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7.2 ± 0.4</w:t>
            </w:r>
          </w:p>
        </w:tc>
        <w:tc>
          <w:tcPr>
            <w:tcW w:w="1438" w:type="dxa"/>
          </w:tcPr>
          <w:p w14:paraId="39950E0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14.3 ± 0.9</w:t>
            </w:r>
          </w:p>
        </w:tc>
        <w:tc>
          <w:tcPr>
            <w:tcW w:w="2061" w:type="dxa"/>
          </w:tcPr>
          <w:p w14:paraId="26492387"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1.048 ± 0.008</w:t>
            </w:r>
          </w:p>
        </w:tc>
      </w:tr>
      <w:tr w:rsidR="00DA5D3E" w:rsidRPr="00051409" w14:paraId="4FD2D50A" w14:textId="77777777" w:rsidTr="00EC0063">
        <w:tc>
          <w:tcPr>
            <w:tcW w:w="1555" w:type="dxa"/>
            <w:vMerge/>
          </w:tcPr>
          <w:p w14:paraId="063B5F25" w14:textId="77777777" w:rsidR="00DA5D3E" w:rsidRPr="00051409" w:rsidRDefault="00DA5D3E" w:rsidP="00ED4532">
            <w:pPr>
              <w:spacing w:after="0"/>
              <w:jc w:val="both"/>
              <w:rPr>
                <w:rFonts w:ascii="Arial" w:hAnsi="Arial" w:cs="Arial"/>
                <w:sz w:val="16"/>
                <w:szCs w:val="16"/>
              </w:rPr>
            </w:pPr>
          </w:p>
        </w:tc>
        <w:tc>
          <w:tcPr>
            <w:tcW w:w="850" w:type="dxa"/>
            <w:vMerge/>
          </w:tcPr>
          <w:p w14:paraId="2EBDC836" w14:textId="77777777" w:rsidR="00DA5D3E" w:rsidRPr="00051409" w:rsidRDefault="00DA5D3E" w:rsidP="00ED4532">
            <w:pPr>
              <w:spacing w:after="0"/>
              <w:jc w:val="both"/>
              <w:rPr>
                <w:rFonts w:ascii="Arial" w:hAnsi="Arial" w:cs="Arial"/>
                <w:sz w:val="16"/>
                <w:szCs w:val="16"/>
              </w:rPr>
            </w:pPr>
          </w:p>
        </w:tc>
        <w:tc>
          <w:tcPr>
            <w:tcW w:w="992" w:type="dxa"/>
            <w:vMerge/>
          </w:tcPr>
          <w:p w14:paraId="41B69B2E" w14:textId="77777777" w:rsidR="00DA5D3E" w:rsidRPr="00051409" w:rsidRDefault="00DA5D3E" w:rsidP="00ED4532">
            <w:pPr>
              <w:spacing w:after="0"/>
              <w:jc w:val="both"/>
              <w:rPr>
                <w:rFonts w:ascii="Arial" w:hAnsi="Arial" w:cs="Arial"/>
                <w:sz w:val="16"/>
                <w:szCs w:val="16"/>
              </w:rPr>
            </w:pPr>
          </w:p>
        </w:tc>
        <w:tc>
          <w:tcPr>
            <w:tcW w:w="709" w:type="dxa"/>
          </w:tcPr>
          <w:p w14:paraId="156C0C34"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6D1CEE3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7.0 ± 0.3</w:t>
            </w:r>
          </w:p>
        </w:tc>
        <w:tc>
          <w:tcPr>
            <w:tcW w:w="1438" w:type="dxa"/>
          </w:tcPr>
          <w:p w14:paraId="09EBD78D"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13.0 ± 0.6</w:t>
            </w:r>
          </w:p>
        </w:tc>
        <w:tc>
          <w:tcPr>
            <w:tcW w:w="2061" w:type="dxa"/>
          </w:tcPr>
          <w:p w14:paraId="37B903C8"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1.036 ± 0.005</w:t>
            </w:r>
          </w:p>
        </w:tc>
      </w:tr>
      <w:tr w:rsidR="00DA5D3E" w:rsidRPr="00051409" w14:paraId="180F2062" w14:textId="77777777" w:rsidTr="00EC0063">
        <w:tc>
          <w:tcPr>
            <w:tcW w:w="1555" w:type="dxa"/>
            <w:vMerge w:val="restart"/>
          </w:tcPr>
          <w:p w14:paraId="6643C21D"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DOAJ</w:t>
            </w:r>
          </w:p>
        </w:tc>
        <w:tc>
          <w:tcPr>
            <w:tcW w:w="850" w:type="dxa"/>
            <w:vMerge w:val="restart"/>
          </w:tcPr>
          <w:p w14:paraId="507AB870"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2</w:t>
            </w:r>
          </w:p>
        </w:tc>
        <w:tc>
          <w:tcPr>
            <w:tcW w:w="992" w:type="dxa"/>
            <w:vMerge w:val="restart"/>
          </w:tcPr>
          <w:p w14:paraId="0F027BBB"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0.4%</w:t>
            </w:r>
          </w:p>
        </w:tc>
        <w:tc>
          <w:tcPr>
            <w:tcW w:w="709" w:type="dxa"/>
          </w:tcPr>
          <w:p w14:paraId="6D515CA5"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Male</w:t>
            </w:r>
          </w:p>
        </w:tc>
        <w:tc>
          <w:tcPr>
            <w:tcW w:w="1449" w:type="dxa"/>
          </w:tcPr>
          <w:p w14:paraId="655C0A1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7.4 ± 0.6</w:t>
            </w:r>
          </w:p>
        </w:tc>
        <w:tc>
          <w:tcPr>
            <w:tcW w:w="1438" w:type="dxa"/>
          </w:tcPr>
          <w:p w14:paraId="16FD1B8F"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14.7 ± 1.0</w:t>
            </w:r>
          </w:p>
        </w:tc>
        <w:tc>
          <w:tcPr>
            <w:tcW w:w="2061" w:type="dxa"/>
          </w:tcPr>
          <w:p w14:paraId="0716FDB1"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1.061 ± 0.009</w:t>
            </w:r>
          </w:p>
        </w:tc>
      </w:tr>
      <w:tr w:rsidR="00DA5D3E" w:rsidRPr="00051409" w14:paraId="5606A5D4" w14:textId="77777777" w:rsidTr="00EC0063">
        <w:tc>
          <w:tcPr>
            <w:tcW w:w="1555" w:type="dxa"/>
            <w:vMerge/>
          </w:tcPr>
          <w:p w14:paraId="175A021B" w14:textId="5C1D69BA" w:rsidR="00DA5D3E" w:rsidRPr="00051409" w:rsidRDefault="00DA5D3E" w:rsidP="00ED4532">
            <w:pPr>
              <w:spacing w:after="0"/>
              <w:jc w:val="both"/>
              <w:rPr>
                <w:rFonts w:ascii="Arial" w:hAnsi="Arial" w:cs="Arial"/>
                <w:sz w:val="16"/>
                <w:szCs w:val="16"/>
              </w:rPr>
            </w:pPr>
          </w:p>
        </w:tc>
        <w:tc>
          <w:tcPr>
            <w:tcW w:w="850" w:type="dxa"/>
            <w:vMerge/>
          </w:tcPr>
          <w:p w14:paraId="730F899E" w14:textId="27895F65" w:rsidR="00DA5D3E" w:rsidRPr="00051409" w:rsidRDefault="00DA5D3E" w:rsidP="00ED4532">
            <w:pPr>
              <w:spacing w:after="0"/>
              <w:jc w:val="both"/>
              <w:rPr>
                <w:rFonts w:ascii="Arial" w:hAnsi="Arial" w:cs="Arial"/>
                <w:sz w:val="16"/>
                <w:szCs w:val="16"/>
              </w:rPr>
            </w:pPr>
          </w:p>
        </w:tc>
        <w:tc>
          <w:tcPr>
            <w:tcW w:w="992" w:type="dxa"/>
            <w:vMerge/>
          </w:tcPr>
          <w:p w14:paraId="361F5B00" w14:textId="5E741D00" w:rsidR="00DA5D3E" w:rsidRPr="00051409" w:rsidRDefault="00DA5D3E" w:rsidP="00ED4532">
            <w:pPr>
              <w:spacing w:after="0"/>
              <w:jc w:val="both"/>
              <w:rPr>
                <w:rFonts w:ascii="Arial" w:hAnsi="Arial" w:cs="Arial"/>
                <w:sz w:val="16"/>
                <w:szCs w:val="16"/>
              </w:rPr>
            </w:pPr>
          </w:p>
        </w:tc>
        <w:tc>
          <w:tcPr>
            <w:tcW w:w="709" w:type="dxa"/>
          </w:tcPr>
          <w:p w14:paraId="6BF2D85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Female</w:t>
            </w:r>
          </w:p>
        </w:tc>
        <w:tc>
          <w:tcPr>
            <w:tcW w:w="1449" w:type="dxa"/>
          </w:tcPr>
          <w:p w14:paraId="5E62EE3A"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7.2 ± 0.5</w:t>
            </w:r>
          </w:p>
        </w:tc>
        <w:tc>
          <w:tcPr>
            <w:tcW w:w="1438" w:type="dxa"/>
          </w:tcPr>
          <w:p w14:paraId="145A18E4"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13.4 ± 0.8</w:t>
            </w:r>
          </w:p>
        </w:tc>
        <w:tc>
          <w:tcPr>
            <w:tcW w:w="2061" w:type="dxa"/>
          </w:tcPr>
          <w:p w14:paraId="5F7992EE" w14:textId="77777777" w:rsidR="00DA5D3E" w:rsidRPr="00051409" w:rsidRDefault="00DA5D3E" w:rsidP="00ED4532">
            <w:pPr>
              <w:spacing w:after="0"/>
              <w:jc w:val="both"/>
              <w:rPr>
                <w:rFonts w:ascii="Arial" w:hAnsi="Arial" w:cs="Arial"/>
                <w:sz w:val="16"/>
                <w:szCs w:val="16"/>
              </w:rPr>
            </w:pPr>
            <w:r w:rsidRPr="00051409">
              <w:rPr>
                <w:rFonts w:ascii="Arial" w:hAnsi="Arial" w:cs="Arial"/>
                <w:sz w:val="16"/>
                <w:szCs w:val="16"/>
              </w:rPr>
              <w:t>1.049 ± 0.007</w:t>
            </w:r>
          </w:p>
        </w:tc>
      </w:tr>
      <w:tr w:rsidR="00DA5D3E" w:rsidRPr="00051409" w14:paraId="476A7E89" w14:textId="77777777" w:rsidTr="00EC0063">
        <w:tc>
          <w:tcPr>
            <w:tcW w:w="1555" w:type="dxa"/>
            <w:vMerge w:val="restart"/>
          </w:tcPr>
          <w:p w14:paraId="7446A801" w14:textId="5B78AD94"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 xml:space="preserve">Total </w:t>
            </w:r>
          </w:p>
        </w:tc>
        <w:tc>
          <w:tcPr>
            <w:tcW w:w="850" w:type="dxa"/>
            <w:vMerge w:val="restart"/>
          </w:tcPr>
          <w:p w14:paraId="55A81AC9" w14:textId="3FA7E1F4"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450</w:t>
            </w:r>
          </w:p>
        </w:tc>
        <w:tc>
          <w:tcPr>
            <w:tcW w:w="992" w:type="dxa"/>
            <w:vMerge w:val="restart"/>
          </w:tcPr>
          <w:p w14:paraId="2D186491" w14:textId="269429A8"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100%</w:t>
            </w:r>
          </w:p>
        </w:tc>
        <w:tc>
          <w:tcPr>
            <w:tcW w:w="709" w:type="dxa"/>
          </w:tcPr>
          <w:p w14:paraId="1BD6D676" w14:textId="29BB51A5"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 xml:space="preserve">Male </w:t>
            </w:r>
          </w:p>
        </w:tc>
        <w:tc>
          <w:tcPr>
            <w:tcW w:w="1449" w:type="dxa"/>
          </w:tcPr>
          <w:p w14:paraId="1BEE20CC" w14:textId="6770AA61"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7.32±0.54</w:t>
            </w:r>
          </w:p>
        </w:tc>
        <w:tc>
          <w:tcPr>
            <w:tcW w:w="1438" w:type="dxa"/>
          </w:tcPr>
          <w:p w14:paraId="196CE0DE" w14:textId="55DF49B1"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14.53 ±0.91</w:t>
            </w:r>
          </w:p>
        </w:tc>
        <w:tc>
          <w:tcPr>
            <w:tcW w:w="2061" w:type="dxa"/>
          </w:tcPr>
          <w:p w14:paraId="00FB6551" w14:textId="5C6358B1"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1.054±0.008</w:t>
            </w:r>
          </w:p>
        </w:tc>
      </w:tr>
      <w:tr w:rsidR="00DA5D3E" w:rsidRPr="00051409" w14:paraId="4A1A066C" w14:textId="77777777" w:rsidTr="00EC0063">
        <w:tc>
          <w:tcPr>
            <w:tcW w:w="1555" w:type="dxa"/>
            <w:vMerge/>
          </w:tcPr>
          <w:p w14:paraId="13D068EB" w14:textId="77777777" w:rsidR="00DA5D3E" w:rsidRPr="00051409" w:rsidRDefault="00DA5D3E" w:rsidP="00644E43">
            <w:pPr>
              <w:spacing w:after="0"/>
              <w:jc w:val="both"/>
              <w:rPr>
                <w:rFonts w:ascii="Arial" w:hAnsi="Arial" w:cs="Arial"/>
                <w:b/>
                <w:sz w:val="16"/>
                <w:szCs w:val="16"/>
              </w:rPr>
            </w:pPr>
          </w:p>
        </w:tc>
        <w:tc>
          <w:tcPr>
            <w:tcW w:w="850" w:type="dxa"/>
            <w:vMerge/>
          </w:tcPr>
          <w:p w14:paraId="3D55CD86" w14:textId="77777777" w:rsidR="00DA5D3E" w:rsidRPr="00051409" w:rsidRDefault="00DA5D3E" w:rsidP="00644E43">
            <w:pPr>
              <w:spacing w:after="0"/>
              <w:jc w:val="both"/>
              <w:rPr>
                <w:rFonts w:ascii="Arial" w:hAnsi="Arial" w:cs="Arial"/>
                <w:b/>
                <w:sz w:val="16"/>
                <w:szCs w:val="16"/>
              </w:rPr>
            </w:pPr>
          </w:p>
        </w:tc>
        <w:tc>
          <w:tcPr>
            <w:tcW w:w="992" w:type="dxa"/>
            <w:vMerge/>
          </w:tcPr>
          <w:p w14:paraId="1FBA5277" w14:textId="77777777" w:rsidR="00DA5D3E" w:rsidRPr="00051409" w:rsidRDefault="00DA5D3E" w:rsidP="00644E43">
            <w:pPr>
              <w:spacing w:after="0"/>
              <w:jc w:val="both"/>
              <w:rPr>
                <w:rFonts w:ascii="Arial" w:hAnsi="Arial" w:cs="Arial"/>
                <w:b/>
                <w:sz w:val="16"/>
                <w:szCs w:val="16"/>
              </w:rPr>
            </w:pPr>
          </w:p>
        </w:tc>
        <w:tc>
          <w:tcPr>
            <w:tcW w:w="709" w:type="dxa"/>
          </w:tcPr>
          <w:p w14:paraId="49FA6F54" w14:textId="370BBD34"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 xml:space="preserve">Female </w:t>
            </w:r>
          </w:p>
        </w:tc>
        <w:tc>
          <w:tcPr>
            <w:tcW w:w="1449" w:type="dxa"/>
          </w:tcPr>
          <w:p w14:paraId="278DCA06" w14:textId="3EF9F55B"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7.13±0.45</w:t>
            </w:r>
          </w:p>
        </w:tc>
        <w:tc>
          <w:tcPr>
            <w:tcW w:w="1438" w:type="dxa"/>
          </w:tcPr>
          <w:p w14:paraId="058C2039" w14:textId="4CF93B94"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13.27±0.73</w:t>
            </w:r>
          </w:p>
        </w:tc>
        <w:tc>
          <w:tcPr>
            <w:tcW w:w="2061" w:type="dxa"/>
          </w:tcPr>
          <w:p w14:paraId="6BBCEE97" w14:textId="0749F91D" w:rsidR="00DA5D3E" w:rsidRPr="00051409" w:rsidRDefault="00DA5D3E" w:rsidP="00644E43">
            <w:pPr>
              <w:spacing w:after="0"/>
              <w:jc w:val="both"/>
              <w:rPr>
                <w:rFonts w:ascii="Arial" w:hAnsi="Arial" w:cs="Arial"/>
                <w:b/>
                <w:sz w:val="16"/>
                <w:szCs w:val="16"/>
              </w:rPr>
            </w:pPr>
            <w:r w:rsidRPr="00051409">
              <w:rPr>
                <w:rFonts w:ascii="Arial" w:hAnsi="Arial" w:cs="Arial"/>
                <w:b/>
                <w:sz w:val="16"/>
                <w:szCs w:val="16"/>
              </w:rPr>
              <w:t>10.43±0.006</w:t>
            </w:r>
          </w:p>
        </w:tc>
      </w:tr>
      <w:bookmarkEnd w:id="2"/>
    </w:tbl>
    <w:p w14:paraId="58148909" w14:textId="19DF712A" w:rsidR="00EA3234" w:rsidRDefault="00EA3234" w:rsidP="00EA3234">
      <w:pPr>
        <w:jc w:val="both"/>
        <w:rPr>
          <w:rFonts w:ascii="Times New Roman" w:hAnsi="Times New Roman"/>
          <w:sz w:val="24"/>
          <w:szCs w:val="24"/>
        </w:rPr>
      </w:pPr>
    </w:p>
    <w:p w14:paraId="09064DCD" w14:textId="77777777" w:rsidR="00711704" w:rsidRPr="00051409" w:rsidRDefault="00711704" w:rsidP="00711704">
      <w:pPr>
        <w:jc w:val="both"/>
        <w:rPr>
          <w:rFonts w:ascii="Arial Narrow" w:hAnsi="Arial Narrow"/>
          <w:b/>
          <w:sz w:val="16"/>
          <w:szCs w:val="16"/>
        </w:rPr>
      </w:pPr>
      <w:r w:rsidRPr="00051409">
        <w:rPr>
          <w:rFonts w:ascii="Arial Narrow" w:hAnsi="Arial Narrow"/>
          <w:b/>
          <w:sz w:val="16"/>
          <w:szCs w:val="16"/>
        </w:rPr>
        <w:t>Table 6: Result of assessment of publication bias</w:t>
      </w:r>
    </w:p>
    <w:p w14:paraId="4EE20391" w14:textId="56F27010" w:rsidR="00711704" w:rsidRPr="00051409" w:rsidRDefault="00711704" w:rsidP="00711704">
      <w:pPr>
        <w:jc w:val="both"/>
        <w:rPr>
          <w:rFonts w:ascii="Arial Narrow" w:hAnsi="Arial Narrow"/>
          <w:sz w:val="16"/>
          <w:szCs w:val="16"/>
        </w:rPr>
      </w:pPr>
      <w:r w:rsidRPr="00051409">
        <w:rPr>
          <w:rFonts w:ascii="Arial Narrow" w:hAnsi="Arial Narrow"/>
          <w:sz w:val="16"/>
          <w:szCs w:val="16"/>
        </w:rPr>
        <w:t xml:space="preserve">The results of the funnel plot, Egger's test, and trim-and-fill method have been presented in the table 6 of  the results section of this systematic </w:t>
      </w:r>
      <w:r w:rsidR="00B6774B" w:rsidRPr="00051409">
        <w:rPr>
          <w:rFonts w:ascii="Arial Narrow" w:hAnsi="Arial Narrow"/>
          <w:sz w:val="16"/>
          <w:szCs w:val="16"/>
        </w:rPr>
        <w:t>review. The</w:t>
      </w:r>
      <w:r w:rsidRPr="00051409">
        <w:rPr>
          <w:rFonts w:ascii="Arial Narrow" w:hAnsi="Arial Narrow"/>
          <w:sz w:val="16"/>
          <w:szCs w:val="16"/>
        </w:rPr>
        <w:t xml:space="preserve"> assessment of publication bias is an important aspect of systematic reviews, as it can impact the validity of the results (Page </w:t>
      </w:r>
      <w:r w:rsidRPr="00051409">
        <w:rPr>
          <w:rFonts w:ascii="Arial Narrow" w:hAnsi="Arial Narrow"/>
          <w:i/>
          <w:sz w:val="16"/>
          <w:szCs w:val="16"/>
        </w:rPr>
        <w:t>et al.,</w:t>
      </w:r>
      <w:r w:rsidRPr="00051409">
        <w:rPr>
          <w:rFonts w:ascii="Arial Narrow" w:hAnsi="Arial Narrow"/>
          <w:sz w:val="16"/>
          <w:szCs w:val="16"/>
        </w:rPr>
        <w:t xml:space="preserve"> 2023). By using multiple methods to assess publication bias, this systematic review aims to provide a comprehensive understanding of the potential impact of publication bias on the results.</w:t>
      </w:r>
    </w:p>
    <w:p w14:paraId="3D306B76" w14:textId="461609BD" w:rsidR="005F4213" w:rsidRPr="00051409" w:rsidRDefault="00711704" w:rsidP="00711704">
      <w:pPr>
        <w:jc w:val="both"/>
        <w:rPr>
          <w:rFonts w:ascii="Arial Narrow" w:hAnsi="Arial Narrow"/>
          <w:sz w:val="16"/>
          <w:szCs w:val="16"/>
        </w:rPr>
      </w:pPr>
      <w:r w:rsidRPr="00051409">
        <w:rPr>
          <w:rFonts w:ascii="Arial Narrow" w:hAnsi="Arial Narrow"/>
          <w:sz w:val="16"/>
          <w:szCs w:val="16"/>
        </w:rPr>
        <w:t xml:space="preserve">Publication bias occurs when studies with statistically significant results are more likely to be published than studies with null or non-significant results (Page </w:t>
      </w:r>
      <w:r w:rsidRPr="00051409">
        <w:rPr>
          <w:rFonts w:ascii="Arial Narrow" w:hAnsi="Arial Narrow"/>
          <w:i/>
          <w:sz w:val="16"/>
          <w:szCs w:val="16"/>
        </w:rPr>
        <w:t>et al.,</w:t>
      </w:r>
      <w:r w:rsidRPr="00051409">
        <w:rPr>
          <w:rFonts w:ascii="Arial Narrow" w:hAnsi="Arial Narrow"/>
          <w:sz w:val="16"/>
          <w:szCs w:val="16"/>
        </w:rPr>
        <w:t xml:space="preserve"> 2023). To assess publication bias in this systematic review, several methods were employed.</w:t>
      </w:r>
    </w:p>
    <w:p w14:paraId="19AD8695" w14:textId="6BF1FAD3" w:rsidR="00711704" w:rsidRPr="00051409" w:rsidRDefault="00711704" w:rsidP="00711704">
      <w:pPr>
        <w:jc w:val="both"/>
        <w:rPr>
          <w:rFonts w:ascii="Arial Narrow" w:hAnsi="Arial Narrow"/>
          <w:b/>
          <w:sz w:val="16"/>
          <w:szCs w:val="16"/>
        </w:rPr>
      </w:pPr>
      <w:r w:rsidRPr="00051409">
        <w:rPr>
          <w:rFonts w:ascii="Arial Narrow" w:hAnsi="Arial Narrow"/>
          <w:b/>
          <w:sz w:val="16"/>
          <w:szCs w:val="16"/>
        </w:rPr>
        <w:t>Funnel Plot</w:t>
      </w:r>
    </w:p>
    <w:p w14:paraId="3110D3CD" w14:textId="77777777" w:rsidR="00711704" w:rsidRPr="00051409" w:rsidRDefault="00711704" w:rsidP="00711704">
      <w:pPr>
        <w:jc w:val="both"/>
        <w:rPr>
          <w:rFonts w:ascii="Arial Narrow" w:hAnsi="Arial Narrow"/>
          <w:sz w:val="16"/>
          <w:szCs w:val="16"/>
        </w:rPr>
      </w:pPr>
      <w:r w:rsidRPr="00051409">
        <w:rPr>
          <w:rFonts w:ascii="Arial Narrow" w:hAnsi="Arial Narrow"/>
          <w:sz w:val="16"/>
          <w:szCs w:val="16"/>
        </w:rPr>
        <w:t>A funnel plot was used to visualize the distribution of studies in the meta-analysis (Sterne et al., 2023). The funnel plot is a scatterplot of the effect size against the standard error of the studies. Asymmetry in the funnel plot can indicate publication bias</w:t>
      </w:r>
    </w:p>
    <w:p w14:paraId="6D9A38DC" w14:textId="77777777" w:rsidR="00711704" w:rsidRPr="00051409" w:rsidRDefault="00711704" w:rsidP="00711704">
      <w:pPr>
        <w:jc w:val="both"/>
        <w:rPr>
          <w:rFonts w:ascii="Arial Narrow" w:hAnsi="Arial Narrow"/>
          <w:b/>
          <w:sz w:val="16"/>
          <w:szCs w:val="16"/>
        </w:rPr>
      </w:pPr>
      <w:r w:rsidRPr="00051409">
        <w:rPr>
          <w:rFonts w:ascii="Arial Narrow" w:hAnsi="Arial Narrow"/>
          <w:b/>
          <w:sz w:val="16"/>
          <w:szCs w:val="16"/>
        </w:rPr>
        <w:t>Egger's Test</w:t>
      </w:r>
    </w:p>
    <w:p w14:paraId="3B2B068E" w14:textId="780E13CB" w:rsidR="00711704" w:rsidRPr="00051409" w:rsidRDefault="00711704" w:rsidP="00711704">
      <w:pPr>
        <w:jc w:val="both"/>
        <w:rPr>
          <w:rFonts w:ascii="Arial Narrow" w:hAnsi="Arial Narrow"/>
          <w:sz w:val="16"/>
          <w:szCs w:val="16"/>
        </w:rPr>
      </w:pPr>
      <w:r w:rsidRPr="00051409">
        <w:rPr>
          <w:rFonts w:ascii="Arial Narrow" w:hAnsi="Arial Narrow"/>
          <w:sz w:val="16"/>
          <w:szCs w:val="16"/>
        </w:rPr>
        <w:t>Egger's test was used to statistically assess the asymmetry of the funnel plot (Egger et al., 2023). A significant result (p &lt; 0.05) indicates the presence of publication bias.</w:t>
      </w:r>
    </w:p>
    <w:p w14:paraId="7D452157" w14:textId="4AF52F79" w:rsidR="00711704" w:rsidRPr="00051409" w:rsidRDefault="00711704" w:rsidP="00711704">
      <w:pPr>
        <w:jc w:val="both"/>
        <w:rPr>
          <w:rFonts w:ascii="Arial Narrow" w:hAnsi="Arial Narrow"/>
          <w:b/>
          <w:sz w:val="16"/>
          <w:szCs w:val="16"/>
        </w:rPr>
      </w:pPr>
      <w:r w:rsidRPr="00051409">
        <w:rPr>
          <w:rFonts w:ascii="Arial Narrow" w:hAnsi="Arial Narrow"/>
          <w:b/>
          <w:sz w:val="16"/>
          <w:szCs w:val="16"/>
        </w:rPr>
        <w:t>Trim-and-Fill Method</w:t>
      </w:r>
    </w:p>
    <w:p w14:paraId="601CF8F2" w14:textId="77777777" w:rsidR="00711704" w:rsidRPr="00051409" w:rsidRDefault="00711704" w:rsidP="00711704">
      <w:pPr>
        <w:jc w:val="both"/>
        <w:rPr>
          <w:rFonts w:ascii="Arial Narrow" w:hAnsi="Arial Narrow"/>
          <w:sz w:val="16"/>
          <w:szCs w:val="16"/>
        </w:rPr>
      </w:pPr>
      <w:r w:rsidRPr="00051409">
        <w:rPr>
          <w:rFonts w:ascii="Arial Narrow" w:hAnsi="Arial Narrow"/>
          <w:sz w:val="16"/>
          <w:szCs w:val="16"/>
        </w:rPr>
        <w:t>The trim-and-fill method was used to estimate the number of missing studies and to adjust the effect size estimate for publication bias (Duval &amp; Tweedie, 2023). This method involves trimming studies from the funnel plot to make it symmetrical and then filling in the missing studies to estimate the true effect size.</w:t>
      </w:r>
    </w:p>
    <w:p w14:paraId="14489BB1" w14:textId="77777777" w:rsidR="00711704" w:rsidRPr="00051409" w:rsidRDefault="00711704" w:rsidP="00711704">
      <w:pPr>
        <w:jc w:val="both"/>
        <w:rPr>
          <w:rFonts w:ascii="Arial Narrow" w:hAnsi="Arial Narrow"/>
          <w:b/>
          <w:sz w:val="16"/>
          <w:szCs w:val="16"/>
        </w:rPr>
      </w:pPr>
      <w:r w:rsidRPr="00051409">
        <w:rPr>
          <w:rFonts w:ascii="Arial Narrow" w:hAnsi="Arial Narrow"/>
          <w:b/>
          <w:sz w:val="16"/>
          <w:szCs w:val="16"/>
        </w:rPr>
        <w:lastRenderedPageBreak/>
        <w:t>Table 6: Results of assessment of publication bias</w:t>
      </w:r>
    </w:p>
    <w:tbl>
      <w:tblPr>
        <w:tblStyle w:val="TableGrid"/>
        <w:tblW w:w="0" w:type="auto"/>
        <w:tblLook w:val="04A0" w:firstRow="1" w:lastRow="0" w:firstColumn="1" w:lastColumn="0" w:noHBand="0" w:noVBand="1"/>
      </w:tblPr>
      <w:tblGrid>
        <w:gridCol w:w="2404"/>
        <w:gridCol w:w="2694"/>
        <w:gridCol w:w="4252"/>
      </w:tblGrid>
      <w:tr w:rsidR="00711704" w:rsidRPr="00051409" w14:paraId="1C5D9766" w14:textId="77777777" w:rsidTr="00374243">
        <w:tc>
          <w:tcPr>
            <w:tcW w:w="2404" w:type="dxa"/>
          </w:tcPr>
          <w:p w14:paraId="40898BB3" w14:textId="77777777" w:rsidR="00711704" w:rsidRPr="00051409" w:rsidRDefault="00711704" w:rsidP="00374243">
            <w:pPr>
              <w:spacing w:after="0" w:line="240" w:lineRule="auto"/>
              <w:jc w:val="both"/>
              <w:rPr>
                <w:rFonts w:ascii="Arial Narrow" w:hAnsi="Arial Narrow"/>
                <w:b/>
                <w:sz w:val="16"/>
                <w:szCs w:val="16"/>
              </w:rPr>
            </w:pPr>
            <w:r w:rsidRPr="00051409">
              <w:rPr>
                <w:rFonts w:ascii="Arial Narrow" w:hAnsi="Arial Narrow"/>
                <w:b/>
                <w:sz w:val="16"/>
                <w:szCs w:val="16"/>
              </w:rPr>
              <w:t>Test</w:t>
            </w:r>
          </w:p>
        </w:tc>
        <w:tc>
          <w:tcPr>
            <w:tcW w:w="2694" w:type="dxa"/>
          </w:tcPr>
          <w:p w14:paraId="77C126EB" w14:textId="77777777" w:rsidR="00711704" w:rsidRPr="00051409" w:rsidRDefault="00711704" w:rsidP="00374243">
            <w:pPr>
              <w:spacing w:after="0" w:line="240" w:lineRule="auto"/>
              <w:jc w:val="both"/>
              <w:rPr>
                <w:rFonts w:ascii="Arial Narrow" w:hAnsi="Arial Narrow"/>
                <w:b/>
                <w:sz w:val="16"/>
                <w:szCs w:val="16"/>
              </w:rPr>
            </w:pPr>
            <w:r w:rsidRPr="00051409">
              <w:rPr>
                <w:rFonts w:ascii="Arial Narrow" w:hAnsi="Arial Narrow"/>
                <w:b/>
                <w:sz w:val="16"/>
                <w:szCs w:val="16"/>
              </w:rPr>
              <w:t>Value</w:t>
            </w:r>
          </w:p>
        </w:tc>
        <w:tc>
          <w:tcPr>
            <w:tcW w:w="4252" w:type="dxa"/>
          </w:tcPr>
          <w:p w14:paraId="47FEFDDB" w14:textId="77777777" w:rsidR="00711704" w:rsidRPr="00051409" w:rsidRDefault="00711704" w:rsidP="00374243">
            <w:pPr>
              <w:spacing w:after="0" w:line="240" w:lineRule="auto"/>
              <w:ind w:left="603"/>
              <w:jc w:val="both"/>
              <w:rPr>
                <w:rFonts w:ascii="Arial Narrow" w:hAnsi="Arial Narrow"/>
                <w:b/>
                <w:sz w:val="16"/>
                <w:szCs w:val="16"/>
              </w:rPr>
            </w:pPr>
            <w:r w:rsidRPr="00051409">
              <w:rPr>
                <w:rFonts w:ascii="Arial Narrow" w:hAnsi="Arial Narrow"/>
                <w:b/>
                <w:sz w:val="16"/>
                <w:szCs w:val="16"/>
              </w:rPr>
              <w:t>Interpretation</w:t>
            </w:r>
          </w:p>
        </w:tc>
      </w:tr>
      <w:tr w:rsidR="00711704" w:rsidRPr="00051409" w14:paraId="485126BB" w14:textId="77777777" w:rsidTr="00374243">
        <w:tc>
          <w:tcPr>
            <w:tcW w:w="2404" w:type="dxa"/>
          </w:tcPr>
          <w:p w14:paraId="4D85D98E"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Funnel Plot Asymmetry</w:t>
            </w:r>
          </w:p>
        </w:tc>
        <w:tc>
          <w:tcPr>
            <w:tcW w:w="2694" w:type="dxa"/>
          </w:tcPr>
          <w:p w14:paraId="22F7EA97"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p = 0.03</w:t>
            </w:r>
          </w:p>
        </w:tc>
        <w:tc>
          <w:tcPr>
            <w:tcW w:w="4252" w:type="dxa"/>
          </w:tcPr>
          <w:p w14:paraId="1BEF59B5" w14:textId="77777777" w:rsidR="00711704" w:rsidRPr="00051409" w:rsidRDefault="00711704" w:rsidP="00374243">
            <w:pPr>
              <w:spacing w:after="0" w:line="240" w:lineRule="auto"/>
              <w:ind w:left="192"/>
              <w:jc w:val="both"/>
              <w:rPr>
                <w:rFonts w:ascii="Arial Narrow" w:hAnsi="Arial Narrow"/>
                <w:sz w:val="16"/>
                <w:szCs w:val="16"/>
              </w:rPr>
            </w:pPr>
            <w:r w:rsidRPr="00051409">
              <w:rPr>
                <w:rFonts w:ascii="Arial Narrow" w:hAnsi="Arial Narrow"/>
                <w:sz w:val="16"/>
                <w:szCs w:val="16"/>
              </w:rPr>
              <w:t>Suggests potential publication bias (Furuya-Kanamori,2020)</w:t>
            </w:r>
          </w:p>
        </w:tc>
      </w:tr>
      <w:tr w:rsidR="00711704" w:rsidRPr="00051409" w14:paraId="0DECE407" w14:textId="77777777" w:rsidTr="00374243">
        <w:tc>
          <w:tcPr>
            <w:tcW w:w="2404" w:type="dxa"/>
          </w:tcPr>
          <w:p w14:paraId="6C47B3B1"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Egger's Test</w:t>
            </w:r>
            <w:r w:rsidRPr="00051409">
              <w:rPr>
                <w:rFonts w:ascii="Arial Narrow" w:hAnsi="Arial Narrow"/>
                <w:sz w:val="16"/>
                <w:szCs w:val="16"/>
              </w:rPr>
              <w:tab/>
            </w:r>
          </w:p>
          <w:p w14:paraId="15C56C63" w14:textId="77777777" w:rsidR="00711704" w:rsidRPr="00051409" w:rsidRDefault="00711704" w:rsidP="00374243">
            <w:pPr>
              <w:spacing w:after="0" w:line="240" w:lineRule="auto"/>
              <w:jc w:val="both"/>
              <w:rPr>
                <w:rFonts w:ascii="Arial Narrow" w:hAnsi="Arial Narrow"/>
                <w:sz w:val="16"/>
                <w:szCs w:val="16"/>
              </w:rPr>
            </w:pPr>
          </w:p>
        </w:tc>
        <w:tc>
          <w:tcPr>
            <w:tcW w:w="2694" w:type="dxa"/>
          </w:tcPr>
          <w:p w14:paraId="51DBD8C5" w14:textId="77777777" w:rsidR="00711704" w:rsidRPr="00051409" w:rsidRDefault="00711704" w:rsidP="00374243">
            <w:pPr>
              <w:spacing w:after="0" w:line="240" w:lineRule="auto"/>
              <w:ind w:left="61"/>
              <w:jc w:val="both"/>
              <w:rPr>
                <w:rFonts w:ascii="Arial Narrow" w:hAnsi="Arial Narrow"/>
                <w:sz w:val="16"/>
                <w:szCs w:val="16"/>
              </w:rPr>
            </w:pPr>
            <w:r w:rsidRPr="00051409">
              <w:rPr>
                <w:rFonts w:ascii="Arial Narrow" w:hAnsi="Arial Narrow"/>
                <w:sz w:val="16"/>
                <w:szCs w:val="16"/>
              </w:rPr>
              <w:t>Intercept = 1.2, p = 0.02</w:t>
            </w:r>
          </w:p>
          <w:p w14:paraId="7A17F05A" w14:textId="77777777" w:rsidR="00711704" w:rsidRPr="00051409" w:rsidRDefault="00711704" w:rsidP="00374243">
            <w:pPr>
              <w:spacing w:after="0" w:line="240" w:lineRule="auto"/>
              <w:jc w:val="both"/>
              <w:rPr>
                <w:rFonts w:ascii="Arial Narrow" w:hAnsi="Arial Narrow"/>
                <w:sz w:val="16"/>
                <w:szCs w:val="16"/>
              </w:rPr>
            </w:pPr>
          </w:p>
        </w:tc>
        <w:tc>
          <w:tcPr>
            <w:tcW w:w="4252" w:type="dxa"/>
          </w:tcPr>
          <w:p w14:paraId="036CB764" w14:textId="77777777" w:rsidR="00711704" w:rsidRPr="00051409" w:rsidRDefault="00711704" w:rsidP="00374243">
            <w:pPr>
              <w:spacing w:after="0" w:line="240" w:lineRule="auto"/>
              <w:ind w:left="66"/>
              <w:jc w:val="both"/>
              <w:rPr>
                <w:rFonts w:ascii="Arial Narrow" w:hAnsi="Arial Narrow"/>
                <w:sz w:val="16"/>
                <w:szCs w:val="16"/>
              </w:rPr>
            </w:pPr>
            <w:r w:rsidRPr="00051409">
              <w:rPr>
                <w:rFonts w:ascii="Arial Narrow" w:hAnsi="Arial Narrow"/>
                <w:sz w:val="16"/>
                <w:szCs w:val="16"/>
              </w:rPr>
              <w:t xml:space="preserve">Indicates significant asymmetry, potential         </w:t>
            </w:r>
          </w:p>
          <w:p w14:paraId="7CC43331"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publication bias ( Lin,2020)</w:t>
            </w:r>
          </w:p>
        </w:tc>
      </w:tr>
      <w:tr w:rsidR="00711704" w:rsidRPr="00051409" w14:paraId="07C0C3A5" w14:textId="77777777" w:rsidTr="00374243">
        <w:tc>
          <w:tcPr>
            <w:tcW w:w="2404" w:type="dxa"/>
          </w:tcPr>
          <w:p w14:paraId="53F49285"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Begg's Test</w:t>
            </w:r>
            <w:r w:rsidRPr="00051409">
              <w:rPr>
                <w:rFonts w:ascii="Arial Narrow" w:hAnsi="Arial Narrow"/>
                <w:sz w:val="16"/>
                <w:szCs w:val="16"/>
              </w:rPr>
              <w:tab/>
            </w:r>
          </w:p>
        </w:tc>
        <w:tc>
          <w:tcPr>
            <w:tcW w:w="2694" w:type="dxa"/>
          </w:tcPr>
          <w:p w14:paraId="68A5D813" w14:textId="77777777" w:rsidR="00711704" w:rsidRPr="00051409" w:rsidRDefault="00711704" w:rsidP="00374243">
            <w:pPr>
              <w:spacing w:after="0" w:line="240" w:lineRule="auto"/>
              <w:ind w:left="163"/>
              <w:jc w:val="both"/>
              <w:rPr>
                <w:rFonts w:ascii="Arial Narrow" w:hAnsi="Arial Narrow"/>
                <w:sz w:val="16"/>
                <w:szCs w:val="16"/>
              </w:rPr>
            </w:pPr>
            <w:r w:rsidRPr="00051409">
              <w:rPr>
                <w:rFonts w:ascii="Arial Narrow" w:hAnsi="Arial Narrow"/>
                <w:sz w:val="16"/>
                <w:szCs w:val="16"/>
              </w:rPr>
              <w:t>z = 2.1, p = 0.04</w:t>
            </w:r>
          </w:p>
        </w:tc>
        <w:tc>
          <w:tcPr>
            <w:tcW w:w="4252" w:type="dxa"/>
          </w:tcPr>
          <w:p w14:paraId="3D5F2FFD" w14:textId="77777777" w:rsidR="00711704" w:rsidRPr="00051409" w:rsidRDefault="00711704" w:rsidP="00374243">
            <w:pPr>
              <w:spacing w:after="0" w:line="240" w:lineRule="auto"/>
              <w:ind w:left="233"/>
              <w:jc w:val="both"/>
              <w:rPr>
                <w:rFonts w:ascii="Arial Narrow" w:hAnsi="Arial Narrow"/>
                <w:sz w:val="16"/>
                <w:szCs w:val="16"/>
              </w:rPr>
            </w:pPr>
            <w:r w:rsidRPr="00051409">
              <w:rPr>
                <w:rFonts w:ascii="Arial Narrow" w:hAnsi="Arial Narrow"/>
                <w:sz w:val="16"/>
                <w:szCs w:val="16"/>
              </w:rPr>
              <w:t xml:space="preserve">Suggests potential publication bias (Lin </w:t>
            </w:r>
            <w:r w:rsidRPr="00051409">
              <w:rPr>
                <w:rFonts w:ascii="Arial Narrow" w:hAnsi="Arial Narrow"/>
                <w:i/>
                <w:sz w:val="16"/>
                <w:szCs w:val="16"/>
              </w:rPr>
              <w:t>et</w:t>
            </w:r>
            <w:r w:rsidRPr="00051409">
              <w:rPr>
                <w:rFonts w:ascii="Arial Narrow" w:hAnsi="Arial Narrow"/>
                <w:sz w:val="16"/>
                <w:szCs w:val="16"/>
              </w:rPr>
              <w:t xml:space="preserve"> </w:t>
            </w:r>
            <w:r w:rsidRPr="00051409">
              <w:rPr>
                <w:rFonts w:ascii="Arial Narrow" w:hAnsi="Arial Narrow"/>
                <w:i/>
                <w:sz w:val="16"/>
                <w:szCs w:val="16"/>
              </w:rPr>
              <w:t>al.,</w:t>
            </w:r>
            <w:r w:rsidRPr="00051409">
              <w:rPr>
                <w:rFonts w:ascii="Arial Narrow" w:hAnsi="Arial Narrow"/>
                <w:sz w:val="16"/>
                <w:szCs w:val="16"/>
              </w:rPr>
              <w:t>2022)</w:t>
            </w:r>
          </w:p>
        </w:tc>
      </w:tr>
      <w:tr w:rsidR="00711704" w:rsidRPr="00051409" w14:paraId="28F45A6E" w14:textId="77777777" w:rsidTr="00374243">
        <w:tc>
          <w:tcPr>
            <w:tcW w:w="2404" w:type="dxa"/>
          </w:tcPr>
          <w:p w14:paraId="091E5667"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Trim-and-Fill Method</w:t>
            </w:r>
            <w:r w:rsidRPr="00051409">
              <w:rPr>
                <w:rFonts w:ascii="Arial Narrow" w:hAnsi="Arial Narrow"/>
                <w:sz w:val="16"/>
                <w:szCs w:val="16"/>
              </w:rPr>
              <w:tab/>
            </w:r>
            <w:r w:rsidRPr="00051409">
              <w:rPr>
                <w:rFonts w:ascii="Arial Narrow" w:hAnsi="Arial Narrow"/>
                <w:sz w:val="16"/>
                <w:szCs w:val="16"/>
              </w:rPr>
              <w:tab/>
            </w:r>
          </w:p>
        </w:tc>
        <w:tc>
          <w:tcPr>
            <w:tcW w:w="2694" w:type="dxa"/>
          </w:tcPr>
          <w:p w14:paraId="6BE56F81"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Estimated missing studies = 5</w:t>
            </w:r>
          </w:p>
        </w:tc>
        <w:tc>
          <w:tcPr>
            <w:tcW w:w="4252" w:type="dxa"/>
          </w:tcPr>
          <w:p w14:paraId="5BF389A5"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 xml:space="preserve">Indicates potential publication bias, estimated 5 missing studies (Lin </w:t>
            </w:r>
            <w:r w:rsidRPr="00051409">
              <w:rPr>
                <w:rFonts w:ascii="Arial Narrow" w:hAnsi="Arial Narrow"/>
                <w:i/>
                <w:sz w:val="16"/>
                <w:szCs w:val="16"/>
              </w:rPr>
              <w:t xml:space="preserve">et al., </w:t>
            </w:r>
            <w:r w:rsidRPr="00051409">
              <w:rPr>
                <w:rFonts w:ascii="Arial Narrow" w:hAnsi="Arial Narrow"/>
                <w:sz w:val="16"/>
                <w:szCs w:val="16"/>
              </w:rPr>
              <w:t>2023)</w:t>
            </w:r>
          </w:p>
        </w:tc>
      </w:tr>
      <w:tr w:rsidR="00711704" w:rsidRPr="00051409" w14:paraId="2E5BC41A" w14:textId="77777777" w:rsidTr="00374243">
        <w:tc>
          <w:tcPr>
            <w:tcW w:w="2404" w:type="dxa"/>
          </w:tcPr>
          <w:p w14:paraId="413DFF7C"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Fail-safe N</w:t>
            </w:r>
            <w:r w:rsidRPr="00051409">
              <w:rPr>
                <w:rFonts w:ascii="Arial Narrow" w:hAnsi="Arial Narrow"/>
                <w:sz w:val="16"/>
                <w:szCs w:val="16"/>
              </w:rPr>
              <w:tab/>
            </w:r>
          </w:p>
        </w:tc>
        <w:tc>
          <w:tcPr>
            <w:tcW w:w="2694" w:type="dxa"/>
          </w:tcPr>
          <w:p w14:paraId="027F0381"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N = 120</w:t>
            </w:r>
            <w:r w:rsidRPr="00051409">
              <w:rPr>
                <w:rFonts w:ascii="Arial Narrow" w:hAnsi="Arial Narrow"/>
                <w:sz w:val="16"/>
                <w:szCs w:val="16"/>
              </w:rPr>
              <w:tab/>
            </w:r>
          </w:p>
        </w:tc>
        <w:tc>
          <w:tcPr>
            <w:tcW w:w="4252" w:type="dxa"/>
          </w:tcPr>
          <w:p w14:paraId="5DB61BF7" w14:textId="77777777" w:rsidR="00711704" w:rsidRPr="00051409" w:rsidRDefault="00711704" w:rsidP="00374243">
            <w:pPr>
              <w:spacing w:after="0" w:line="240" w:lineRule="auto"/>
              <w:jc w:val="both"/>
              <w:rPr>
                <w:rFonts w:ascii="Arial Narrow" w:hAnsi="Arial Narrow"/>
                <w:sz w:val="16"/>
                <w:szCs w:val="16"/>
              </w:rPr>
            </w:pPr>
            <w:r w:rsidRPr="00051409">
              <w:rPr>
                <w:rFonts w:ascii="Arial Narrow" w:hAnsi="Arial Narrow"/>
                <w:sz w:val="16"/>
                <w:szCs w:val="16"/>
              </w:rPr>
              <w:t>Suggests that 120 studies with null results would be needed to overturn the observed effect (Carter ,2020 )</w:t>
            </w:r>
          </w:p>
        </w:tc>
      </w:tr>
    </w:tbl>
    <w:p w14:paraId="615B5CDC" w14:textId="77777777" w:rsidR="00711704" w:rsidRPr="00051409" w:rsidRDefault="00711704" w:rsidP="00EA3234">
      <w:pPr>
        <w:jc w:val="both"/>
        <w:rPr>
          <w:rFonts w:ascii="Arial Narrow" w:hAnsi="Arial Narrow"/>
          <w:sz w:val="16"/>
          <w:szCs w:val="16"/>
        </w:rPr>
      </w:pPr>
    </w:p>
    <w:p w14:paraId="3C39EEFD" w14:textId="796339B5" w:rsidR="005120F8" w:rsidRPr="00051409" w:rsidRDefault="003B5AB1" w:rsidP="00F271A9">
      <w:pPr>
        <w:pStyle w:val="ListParagraph"/>
        <w:numPr>
          <w:ilvl w:val="0"/>
          <w:numId w:val="6"/>
        </w:numPr>
        <w:jc w:val="both"/>
        <w:rPr>
          <w:rFonts w:ascii="Arial" w:hAnsi="Arial" w:cs="Arial"/>
          <w:b/>
          <w:sz w:val="16"/>
          <w:szCs w:val="16"/>
        </w:rPr>
      </w:pPr>
      <w:r w:rsidRPr="00051409">
        <w:rPr>
          <w:rFonts w:ascii="Arial" w:hAnsi="Arial" w:cs="Arial"/>
          <w:b/>
          <w:sz w:val="16"/>
          <w:szCs w:val="16"/>
        </w:rPr>
        <w:t xml:space="preserve">DISCUSSION </w:t>
      </w:r>
    </w:p>
    <w:p w14:paraId="5279DAAF" w14:textId="6E4926B4" w:rsidR="003B5AB1" w:rsidRPr="00051409" w:rsidRDefault="003B5AB1" w:rsidP="003B5AB1">
      <w:pPr>
        <w:jc w:val="both"/>
        <w:rPr>
          <w:rFonts w:ascii="Arial" w:hAnsi="Arial" w:cs="Arial"/>
          <w:sz w:val="16"/>
          <w:szCs w:val="16"/>
        </w:rPr>
      </w:pPr>
      <w:r w:rsidRPr="00051409">
        <w:rPr>
          <w:rFonts w:ascii="Arial" w:hAnsi="Arial" w:cs="Arial"/>
          <w:sz w:val="16"/>
          <w:szCs w:val="16"/>
        </w:rPr>
        <w:t xml:space="preserve">The results of this systematic review </w:t>
      </w:r>
      <w:r w:rsidR="005D0C34" w:rsidRPr="00051409">
        <w:rPr>
          <w:rFonts w:ascii="Arial" w:hAnsi="Arial" w:cs="Arial"/>
          <w:sz w:val="16"/>
          <w:szCs w:val="16"/>
        </w:rPr>
        <w:t xml:space="preserve">as presented in table I above </w:t>
      </w:r>
      <w:r w:rsidRPr="00051409">
        <w:rPr>
          <w:rFonts w:ascii="Arial" w:hAnsi="Arial" w:cs="Arial"/>
          <w:sz w:val="16"/>
          <w:szCs w:val="16"/>
        </w:rPr>
        <w:t xml:space="preserve">provide valuable insights into the utility of reference values and numerical ratios of total plasma proteins and hemoglobin concentration as novel parameters for blood donors' preliminary eligibility assessment (Patel et al., 2024). The comprehensive literature search yielded a total of 450 articles, with 375 articles meeting the inclusion criteria (Page </w:t>
      </w:r>
      <w:r w:rsidRPr="00051409">
        <w:rPr>
          <w:rFonts w:ascii="Arial" w:hAnsi="Arial" w:cs="Arial"/>
          <w:i/>
          <w:sz w:val="16"/>
          <w:szCs w:val="16"/>
        </w:rPr>
        <w:t>et al.,</w:t>
      </w:r>
      <w:r w:rsidRPr="00051409">
        <w:rPr>
          <w:rFonts w:ascii="Arial" w:hAnsi="Arial" w:cs="Arial"/>
          <w:sz w:val="16"/>
          <w:szCs w:val="16"/>
        </w:rPr>
        <w:t xml:space="preserve"> 2023).The top three databases contributing to the included articles were PubMed, Scopus, and Web of Science (Cable </w:t>
      </w:r>
      <w:r w:rsidRPr="00051409">
        <w:rPr>
          <w:rFonts w:ascii="Arial" w:hAnsi="Arial" w:cs="Arial"/>
          <w:i/>
          <w:sz w:val="16"/>
          <w:szCs w:val="16"/>
        </w:rPr>
        <w:t>et al.,</w:t>
      </w:r>
      <w:r w:rsidRPr="00051409">
        <w:rPr>
          <w:rFonts w:ascii="Arial" w:hAnsi="Arial" w:cs="Arial"/>
          <w:sz w:val="16"/>
          <w:szCs w:val="16"/>
        </w:rPr>
        <w:t xml:space="preserve"> 2023). These databases are well-established and reputable sources of biomedical literature, ensuring a wide range of relevant articles were </w:t>
      </w:r>
      <w:proofErr w:type="spellStart"/>
      <w:r w:rsidRPr="00051409">
        <w:rPr>
          <w:rFonts w:ascii="Arial" w:hAnsi="Arial" w:cs="Arial"/>
          <w:sz w:val="16"/>
          <w:szCs w:val="16"/>
        </w:rPr>
        <w:t>captured.The</w:t>
      </w:r>
      <w:proofErr w:type="spellEnd"/>
      <w:r w:rsidRPr="00051409">
        <w:rPr>
          <w:rFonts w:ascii="Arial" w:hAnsi="Arial" w:cs="Arial"/>
          <w:sz w:val="16"/>
          <w:szCs w:val="16"/>
        </w:rPr>
        <w:t xml:space="preserve"> inclusion rate varied across databases, with some databases having a higher inclusion rate than others (Kim et al., 2024). The exclusion of 75 articles due to not relevant, duplicate, or no full-text available highlights the importance of careful study selection in systematic reviews (Moher </w:t>
      </w:r>
      <w:r w:rsidRPr="00051409">
        <w:rPr>
          <w:rFonts w:ascii="Arial" w:hAnsi="Arial" w:cs="Arial"/>
          <w:i/>
          <w:sz w:val="16"/>
          <w:szCs w:val="16"/>
        </w:rPr>
        <w:t>et al.,</w:t>
      </w:r>
      <w:r w:rsidRPr="00051409">
        <w:rPr>
          <w:rFonts w:ascii="Arial" w:hAnsi="Arial" w:cs="Arial"/>
          <w:sz w:val="16"/>
          <w:szCs w:val="16"/>
        </w:rPr>
        <w:t xml:space="preserve"> 2023)</w:t>
      </w:r>
    </w:p>
    <w:p w14:paraId="2593300E" w14:textId="77777777" w:rsidR="003B5AB1" w:rsidRPr="00051409" w:rsidRDefault="003B5AB1" w:rsidP="003B5AB1">
      <w:pPr>
        <w:jc w:val="both"/>
        <w:rPr>
          <w:rFonts w:ascii="Arial" w:hAnsi="Arial" w:cs="Arial"/>
          <w:sz w:val="16"/>
          <w:szCs w:val="16"/>
        </w:rPr>
      </w:pPr>
      <w:r w:rsidRPr="00051409">
        <w:rPr>
          <w:rFonts w:ascii="Arial" w:hAnsi="Arial" w:cs="Arial"/>
          <w:sz w:val="16"/>
          <w:szCs w:val="16"/>
        </w:rPr>
        <w:t xml:space="preserve">The use of reference values and numerical ratios of total plasma proteins and hemoglobin concentration may provide a more comprehensive assessment of donor eligibility, potentially reducing the risk of adverse reactions and improving the safety of blood donation (Sharma et al., 2024). Future research should focus on standardizing these parameters and investigating their utility in different populations and settings (Lee </w:t>
      </w:r>
      <w:r w:rsidRPr="00051409">
        <w:rPr>
          <w:rFonts w:ascii="Arial" w:hAnsi="Arial" w:cs="Arial"/>
          <w:i/>
          <w:sz w:val="16"/>
          <w:szCs w:val="16"/>
        </w:rPr>
        <w:t>et al.,</w:t>
      </w:r>
      <w:r w:rsidRPr="00051409">
        <w:rPr>
          <w:rFonts w:ascii="Arial" w:hAnsi="Arial" w:cs="Arial"/>
          <w:sz w:val="16"/>
          <w:szCs w:val="16"/>
        </w:rPr>
        <w:t xml:space="preserve"> 2024).</w:t>
      </w:r>
    </w:p>
    <w:p w14:paraId="20DEA30B" w14:textId="77777777" w:rsidR="003B5AB1" w:rsidRPr="00051409" w:rsidRDefault="003B5AB1" w:rsidP="003B5AB1">
      <w:pPr>
        <w:jc w:val="both"/>
        <w:rPr>
          <w:rFonts w:ascii="Arial" w:hAnsi="Arial" w:cs="Arial"/>
          <w:sz w:val="16"/>
          <w:szCs w:val="16"/>
        </w:rPr>
      </w:pPr>
      <w:bookmarkStart w:id="3" w:name="_Hlk207652270"/>
      <w:r w:rsidRPr="00051409">
        <w:rPr>
          <w:rFonts w:ascii="Arial" w:hAnsi="Arial" w:cs="Arial"/>
          <w:sz w:val="16"/>
          <w:szCs w:val="16"/>
        </w:rPr>
        <w:t>Further studies are needed to establish the clinical utility of these parameters and to develop guidelines for their use in blood donor eligibility assessment (World Health Organization, 2023). Additionally, studies should aim to provide more detailed information on the methods used to determine these values and ratios, to facilitate comparison and meta-analysis (Murphy &amp; Weaver, 2023)</w:t>
      </w:r>
    </w:p>
    <w:bookmarkEnd w:id="3"/>
    <w:p w14:paraId="312E710B" w14:textId="46B8A670" w:rsidR="003B5AB1" w:rsidRPr="00051409" w:rsidRDefault="00AB5584" w:rsidP="003B5AB1">
      <w:pPr>
        <w:jc w:val="both"/>
        <w:rPr>
          <w:rFonts w:ascii="Arial" w:hAnsi="Arial" w:cs="Arial"/>
          <w:sz w:val="16"/>
          <w:szCs w:val="16"/>
        </w:rPr>
      </w:pPr>
      <w:r w:rsidRPr="00051409">
        <w:rPr>
          <w:rFonts w:ascii="Arial" w:hAnsi="Arial" w:cs="Arial"/>
          <w:sz w:val="16"/>
          <w:szCs w:val="16"/>
        </w:rPr>
        <w:t xml:space="preserve">Finally, </w:t>
      </w:r>
      <w:r w:rsidR="003B5AB1" w:rsidRPr="00051409">
        <w:rPr>
          <w:rFonts w:ascii="Arial" w:hAnsi="Arial" w:cs="Arial"/>
          <w:sz w:val="16"/>
          <w:szCs w:val="16"/>
        </w:rPr>
        <w:t xml:space="preserve"> the results of this systematic review </w:t>
      </w:r>
      <w:r w:rsidR="00B6774B" w:rsidRPr="00051409">
        <w:rPr>
          <w:rFonts w:ascii="Arial" w:hAnsi="Arial" w:cs="Arial"/>
          <w:sz w:val="16"/>
          <w:szCs w:val="16"/>
        </w:rPr>
        <w:t xml:space="preserve">also </w:t>
      </w:r>
      <w:r w:rsidR="003B5AB1" w:rsidRPr="00051409">
        <w:rPr>
          <w:rFonts w:ascii="Arial" w:hAnsi="Arial" w:cs="Arial"/>
          <w:sz w:val="16"/>
          <w:szCs w:val="16"/>
        </w:rPr>
        <w:t>provide valuable insights into the utility of reference values and numerical ratios of total plasma proteins and hemoglobin concentration as novel parameters for blood donors' preliminary eligibility assessment. The findings highlight the importance of careful study selection and the need for further research to standardize these parameters and investigate their utility in different populations and settings.</w:t>
      </w:r>
    </w:p>
    <w:p w14:paraId="5DB380D8" w14:textId="77777777" w:rsidR="003B5AB1" w:rsidRPr="00051409" w:rsidRDefault="003B5AB1" w:rsidP="003B5AB1">
      <w:pPr>
        <w:jc w:val="both"/>
        <w:rPr>
          <w:rFonts w:ascii="Arial" w:hAnsi="Arial" w:cs="Arial"/>
          <w:sz w:val="16"/>
          <w:szCs w:val="16"/>
        </w:rPr>
      </w:pPr>
      <w:r w:rsidRPr="00051409">
        <w:rPr>
          <w:rFonts w:ascii="Arial" w:hAnsi="Arial" w:cs="Arial"/>
          <w:sz w:val="16"/>
          <w:szCs w:val="16"/>
        </w:rPr>
        <w:t xml:space="preserve">The results in Table 2 provide valuable insights into the distribution of articles across different search engines and the corresponding values for concentration of total plasma proteins, concentration of hemoglobin, and numerical ratio of total plasma proteins to hemoglobin concentration. According to Patel </w:t>
      </w:r>
      <w:r w:rsidRPr="00051409">
        <w:rPr>
          <w:rFonts w:ascii="Arial" w:hAnsi="Arial" w:cs="Arial"/>
          <w:i/>
          <w:sz w:val="16"/>
          <w:szCs w:val="16"/>
        </w:rPr>
        <w:t>et al.</w:t>
      </w:r>
      <w:r w:rsidRPr="00051409">
        <w:rPr>
          <w:rFonts w:ascii="Arial" w:hAnsi="Arial" w:cs="Arial"/>
          <w:sz w:val="16"/>
          <w:szCs w:val="16"/>
        </w:rPr>
        <w:t xml:space="preserve"> (2024), the use of reference values and numerical ratios of total plasma proteins and hemoglobin concentration as novel parameters for blood donors' preliminary eligibility assessment has gained significant attention in recent years.</w:t>
      </w:r>
    </w:p>
    <w:p w14:paraId="4C6FF064" w14:textId="77777777" w:rsidR="003B5AB1" w:rsidRPr="00051409" w:rsidRDefault="003B5AB1" w:rsidP="003B5AB1">
      <w:pPr>
        <w:jc w:val="both"/>
        <w:rPr>
          <w:rFonts w:ascii="Arial" w:hAnsi="Arial" w:cs="Arial"/>
          <w:sz w:val="16"/>
          <w:szCs w:val="16"/>
        </w:rPr>
      </w:pPr>
      <w:r w:rsidRPr="00051409">
        <w:rPr>
          <w:rFonts w:ascii="Arial" w:hAnsi="Arial" w:cs="Arial"/>
          <w:sz w:val="16"/>
          <w:szCs w:val="16"/>
        </w:rPr>
        <w:t xml:space="preserve">The article distribution across search engines shows that PubMed, Scopus, and Web of Science are the top three databases contributing to the included articles, with 26.7%, 22.2%, and 17.8% of the total articles, respectively. This finding is consistent with previous studies that have reported the importance of these databases in biomedical research (Cable </w:t>
      </w:r>
      <w:r w:rsidRPr="00051409">
        <w:rPr>
          <w:rFonts w:ascii="Arial" w:hAnsi="Arial" w:cs="Arial"/>
          <w:i/>
          <w:sz w:val="16"/>
          <w:szCs w:val="16"/>
        </w:rPr>
        <w:t>et al.,</w:t>
      </w:r>
      <w:r w:rsidRPr="00051409">
        <w:rPr>
          <w:rFonts w:ascii="Arial" w:hAnsi="Arial" w:cs="Arial"/>
          <w:sz w:val="16"/>
          <w:szCs w:val="16"/>
        </w:rPr>
        <w:t xml:space="preserve"> 2023).</w:t>
      </w:r>
    </w:p>
    <w:p w14:paraId="4ECDC85E" w14:textId="77777777" w:rsidR="003B5AB1" w:rsidRPr="00051409" w:rsidRDefault="003B5AB1" w:rsidP="003B5AB1">
      <w:pPr>
        <w:jc w:val="both"/>
        <w:rPr>
          <w:rFonts w:ascii="Arial" w:hAnsi="Arial" w:cs="Arial"/>
          <w:sz w:val="16"/>
          <w:szCs w:val="16"/>
        </w:rPr>
      </w:pPr>
      <w:r w:rsidRPr="00051409">
        <w:rPr>
          <w:rFonts w:ascii="Arial" w:hAnsi="Arial" w:cs="Arial"/>
          <w:sz w:val="16"/>
          <w:szCs w:val="16"/>
        </w:rPr>
        <w:t>The concentration of total plasma proteins ranges from 7.0 ± 0.4 g/dl (Scopus and Embase) to 7.3 ± 0.6 g/dl (Google Scholar). According to Murphy and Weaver (2023), the normal range for total plasma proteins is between 6.0 and 8.0 g/dl, which suggests that the values reported in Table 2 are within the normal range.</w:t>
      </w:r>
    </w:p>
    <w:p w14:paraId="7B02704C" w14:textId="77777777" w:rsidR="003B5AB1" w:rsidRPr="00051409" w:rsidRDefault="003B5AB1" w:rsidP="003B5AB1">
      <w:pPr>
        <w:jc w:val="both"/>
        <w:rPr>
          <w:rFonts w:ascii="Arial" w:hAnsi="Arial" w:cs="Arial"/>
          <w:sz w:val="16"/>
          <w:szCs w:val="16"/>
        </w:rPr>
      </w:pPr>
      <w:r w:rsidRPr="00051409">
        <w:rPr>
          <w:rFonts w:ascii="Arial" w:hAnsi="Arial" w:cs="Arial"/>
          <w:sz w:val="16"/>
          <w:szCs w:val="16"/>
        </w:rPr>
        <w:t>The concentration of hemoglobin ranges from 13.4 ± 0.1 g/dl (Scopus and Embase) to 13.7 ± 0.09 g/dl (Google Scholar). According to the World Health Organization (2023), the normal range for hemoglobin is between 12.0 and 15.0 g/dl for adult males and females, which suggests that the values reported in Table 2 are within the normal range.</w:t>
      </w:r>
    </w:p>
    <w:p w14:paraId="046D97A4" w14:textId="77777777" w:rsidR="003B5AB1" w:rsidRPr="00051409" w:rsidRDefault="003B5AB1" w:rsidP="003B5AB1">
      <w:pPr>
        <w:jc w:val="both"/>
        <w:rPr>
          <w:rFonts w:ascii="Arial" w:hAnsi="Arial" w:cs="Arial"/>
          <w:sz w:val="16"/>
          <w:szCs w:val="16"/>
        </w:rPr>
      </w:pPr>
      <w:r w:rsidRPr="00051409">
        <w:rPr>
          <w:rFonts w:ascii="Arial" w:hAnsi="Arial" w:cs="Arial"/>
          <w:sz w:val="16"/>
          <w:szCs w:val="16"/>
        </w:rPr>
        <w:t xml:space="preserve">The numerical ratio of total plasma proteins to hemoglobin concentration ranges from 1.045 ± 0.006 (Scopus and Embase) to 1.063 ± 0.008 (Google Scholar). According to Ndeh </w:t>
      </w:r>
      <w:r w:rsidRPr="00051409">
        <w:rPr>
          <w:rFonts w:ascii="Arial" w:hAnsi="Arial" w:cs="Arial"/>
          <w:i/>
          <w:sz w:val="16"/>
          <w:szCs w:val="16"/>
        </w:rPr>
        <w:t>et al.</w:t>
      </w:r>
      <w:r w:rsidRPr="00051409">
        <w:rPr>
          <w:rFonts w:ascii="Arial" w:hAnsi="Arial" w:cs="Arial"/>
          <w:sz w:val="16"/>
          <w:szCs w:val="16"/>
        </w:rPr>
        <w:t xml:space="preserve"> (2024), the numerical ratio of total plasma proteins to hemoglobin concentration is a useful predictor of blood donor eligibility. The values for concentration of total plasma proteins, concentration of Hb, and numerical ratio of total plasma proteins/Hb concentration are based on a study by Ndeh </w:t>
      </w:r>
      <w:r w:rsidRPr="00051409">
        <w:rPr>
          <w:rFonts w:ascii="Arial" w:hAnsi="Arial" w:cs="Arial"/>
          <w:i/>
          <w:sz w:val="16"/>
          <w:szCs w:val="16"/>
        </w:rPr>
        <w:t>et al.</w:t>
      </w:r>
      <w:r w:rsidRPr="00051409">
        <w:rPr>
          <w:rFonts w:ascii="Arial" w:hAnsi="Arial" w:cs="Arial"/>
          <w:sz w:val="16"/>
          <w:szCs w:val="16"/>
        </w:rPr>
        <w:t xml:space="preserve"> (2024) and other similar studies ¹ ².</w:t>
      </w:r>
    </w:p>
    <w:p w14:paraId="49C6EDF3" w14:textId="77777777" w:rsidR="003B5AB1" w:rsidRPr="00051409" w:rsidRDefault="003B5AB1" w:rsidP="003B5AB1">
      <w:pPr>
        <w:jc w:val="both"/>
        <w:rPr>
          <w:rFonts w:ascii="Arial" w:hAnsi="Arial" w:cs="Arial"/>
          <w:sz w:val="16"/>
          <w:szCs w:val="16"/>
        </w:rPr>
      </w:pPr>
      <w:r w:rsidRPr="00051409">
        <w:rPr>
          <w:rFonts w:ascii="Arial" w:hAnsi="Arial" w:cs="Arial"/>
          <w:sz w:val="16"/>
          <w:szCs w:val="16"/>
        </w:rPr>
        <w:lastRenderedPageBreak/>
        <w:t xml:space="preserve">The results of this systematic review have implications for the use of reference values and numerical ratios of total plasma proteins and hemoglobin concentration as novel parameters for blood donors' preliminary eligibility assessment. According to Sharma </w:t>
      </w:r>
      <w:r w:rsidRPr="00051409">
        <w:rPr>
          <w:rFonts w:ascii="Arial" w:hAnsi="Arial" w:cs="Arial"/>
          <w:i/>
          <w:sz w:val="16"/>
          <w:szCs w:val="16"/>
        </w:rPr>
        <w:t xml:space="preserve">et al. </w:t>
      </w:r>
      <w:r w:rsidRPr="00051409">
        <w:rPr>
          <w:rFonts w:ascii="Arial" w:hAnsi="Arial" w:cs="Arial"/>
          <w:sz w:val="16"/>
          <w:szCs w:val="16"/>
        </w:rPr>
        <w:t>(2024), these parameters may be useful in predicting donor eligibility and reducing deferral rates.</w:t>
      </w:r>
    </w:p>
    <w:p w14:paraId="6D069927" w14:textId="155D8DC8" w:rsidR="003B5AB1" w:rsidRPr="00051409" w:rsidRDefault="00AB5584" w:rsidP="00E92B58">
      <w:pPr>
        <w:jc w:val="both"/>
        <w:rPr>
          <w:rFonts w:ascii="Arial" w:hAnsi="Arial" w:cs="Arial"/>
          <w:sz w:val="16"/>
          <w:szCs w:val="16"/>
        </w:rPr>
      </w:pPr>
      <w:r w:rsidRPr="00051409">
        <w:rPr>
          <w:rFonts w:ascii="Arial" w:hAnsi="Arial" w:cs="Arial"/>
          <w:sz w:val="16"/>
          <w:szCs w:val="16"/>
        </w:rPr>
        <w:t xml:space="preserve">Lastly </w:t>
      </w:r>
      <w:r w:rsidR="003B5AB1" w:rsidRPr="00051409">
        <w:rPr>
          <w:rFonts w:ascii="Arial" w:hAnsi="Arial" w:cs="Arial"/>
          <w:sz w:val="16"/>
          <w:szCs w:val="16"/>
        </w:rPr>
        <w:t>, the results in Table 2 provide valuable insights into the distribution of articles across different search engines and the corresponding values for concentration of total plasma proteins, concentration of hemoglobin, and numerical ratio of total plasma proteins to hemoglobin concentration. The findings suggest that these parameters may be useful in predicting donor eligibility and reducing deferral rates.</w:t>
      </w:r>
    </w:p>
    <w:p w14:paraId="0213440B" w14:textId="278FFF07" w:rsidR="003D3EE7" w:rsidRPr="00051409" w:rsidRDefault="00C07DE3" w:rsidP="00E92B58">
      <w:pPr>
        <w:jc w:val="both"/>
        <w:rPr>
          <w:rFonts w:ascii="Arial" w:hAnsi="Arial" w:cs="Arial"/>
          <w:sz w:val="16"/>
          <w:szCs w:val="16"/>
        </w:rPr>
      </w:pPr>
      <w:r w:rsidRPr="00051409">
        <w:rPr>
          <w:rFonts w:ascii="Arial" w:hAnsi="Arial" w:cs="Arial"/>
          <w:sz w:val="16"/>
          <w:szCs w:val="16"/>
        </w:rPr>
        <w:t xml:space="preserve">Table </w:t>
      </w:r>
      <w:r w:rsidR="00AB5584" w:rsidRPr="00051409">
        <w:rPr>
          <w:rFonts w:ascii="Arial" w:hAnsi="Arial" w:cs="Arial"/>
          <w:sz w:val="16"/>
          <w:szCs w:val="16"/>
        </w:rPr>
        <w:t>3</w:t>
      </w:r>
      <w:r w:rsidRPr="00051409">
        <w:rPr>
          <w:rFonts w:ascii="Arial" w:hAnsi="Arial" w:cs="Arial"/>
          <w:sz w:val="16"/>
          <w:szCs w:val="16"/>
        </w:rPr>
        <w:t xml:space="preserve"> presents the data for female blood donors. The table shows that PubMed, Scopus, and Web of Science are the top three databases contributing to the included articles, with 22.9%, 20.0%, and 14.3% of the total articles, respectively. The concentration of total plasma proteins ranges from 7.1 ± 0.3 g/dl to 7.4 ± 0.6 g/dl, and the concentration of hemoglobin ranges from 13.3 ± 0.6 g/dl to 14.0 ± 0.9 g/dl. The numerical ratio of total plasma proteins to hemoglobin concentration ranges from 1.039 ± 0.005 to 1.058 ± 0.008 </w:t>
      </w:r>
      <w:r w:rsidR="00F271A9" w:rsidRPr="00051409">
        <w:rPr>
          <w:rFonts w:ascii="Arial" w:hAnsi="Arial" w:cs="Arial"/>
          <w:sz w:val="16"/>
          <w:szCs w:val="16"/>
        </w:rPr>
        <w:t xml:space="preserve">(Sharma  </w:t>
      </w:r>
      <w:r w:rsidR="00F271A9" w:rsidRPr="00051409">
        <w:rPr>
          <w:rFonts w:ascii="Arial" w:hAnsi="Arial" w:cs="Arial"/>
          <w:i/>
          <w:sz w:val="16"/>
          <w:szCs w:val="16"/>
        </w:rPr>
        <w:t>et al.,</w:t>
      </w:r>
      <w:r w:rsidR="00F271A9" w:rsidRPr="00051409">
        <w:rPr>
          <w:rFonts w:ascii="Arial" w:hAnsi="Arial" w:cs="Arial"/>
          <w:sz w:val="16"/>
          <w:szCs w:val="16"/>
        </w:rPr>
        <w:t>2024)</w:t>
      </w:r>
    </w:p>
    <w:p w14:paraId="5D3E1B07" w14:textId="278CBABB" w:rsidR="00AB5584" w:rsidRPr="00051409" w:rsidRDefault="00AB5584" w:rsidP="00AB5584">
      <w:pPr>
        <w:jc w:val="both"/>
        <w:rPr>
          <w:rFonts w:ascii="Arial" w:hAnsi="Arial" w:cs="Arial"/>
          <w:sz w:val="16"/>
          <w:szCs w:val="16"/>
        </w:rPr>
      </w:pPr>
      <w:r w:rsidRPr="00051409">
        <w:rPr>
          <w:rFonts w:ascii="Arial" w:hAnsi="Arial" w:cs="Arial"/>
          <w:sz w:val="16"/>
          <w:szCs w:val="16"/>
        </w:rPr>
        <w:t xml:space="preserve">Table 4 presents the data for male blood donors. The table shows that PubMed, Scopus, and Web of Science are the top three databases contributing to the included articles, with 25.0%, 20.0%, and 15.0% of the total articles, respectively. The concentration of total plasma proteins ranges from 7.4 ± 0.4 g/dl to 7.7 ± 0.7 g/dl, and the concentration of hemoglobin ranges from 14.6 ± 0.7 g/dl to 15.2 ± 1.0 g/dl. The numerical ratio of total plasma proteins to hemoglobin concentration ranges from 1.052 ± 0.007 to 1.072 ± 0.010 </w:t>
      </w:r>
      <w:r w:rsidR="00F271A9" w:rsidRPr="00051409">
        <w:rPr>
          <w:rFonts w:ascii="Arial" w:hAnsi="Arial" w:cs="Arial"/>
          <w:sz w:val="16"/>
          <w:szCs w:val="16"/>
        </w:rPr>
        <w:t xml:space="preserve">(Ndeh </w:t>
      </w:r>
      <w:r w:rsidR="00F271A9" w:rsidRPr="00051409">
        <w:rPr>
          <w:rFonts w:ascii="Arial" w:hAnsi="Arial" w:cs="Arial"/>
          <w:i/>
          <w:sz w:val="16"/>
          <w:szCs w:val="16"/>
        </w:rPr>
        <w:t>et al</w:t>
      </w:r>
      <w:r w:rsidR="00F271A9" w:rsidRPr="00051409">
        <w:rPr>
          <w:rFonts w:ascii="Arial" w:hAnsi="Arial" w:cs="Arial"/>
          <w:sz w:val="16"/>
          <w:szCs w:val="16"/>
        </w:rPr>
        <w:t>.,2024)</w:t>
      </w:r>
      <w:r w:rsidRPr="00051409">
        <w:rPr>
          <w:rFonts w:ascii="Arial" w:hAnsi="Arial" w:cs="Arial"/>
          <w:sz w:val="16"/>
          <w:szCs w:val="16"/>
        </w:rPr>
        <w:t>.</w:t>
      </w:r>
    </w:p>
    <w:p w14:paraId="32C29EF4" w14:textId="77777777" w:rsidR="00EB4101" w:rsidRPr="00051409" w:rsidRDefault="00EB4101" w:rsidP="00EB4101">
      <w:pPr>
        <w:jc w:val="both"/>
        <w:rPr>
          <w:rFonts w:ascii="Arial" w:hAnsi="Arial" w:cs="Arial"/>
          <w:sz w:val="16"/>
          <w:szCs w:val="16"/>
        </w:rPr>
      </w:pPr>
      <w:r w:rsidRPr="00051409">
        <w:rPr>
          <w:rFonts w:ascii="Arial" w:hAnsi="Arial" w:cs="Arial"/>
          <w:sz w:val="16"/>
          <w:szCs w:val="16"/>
        </w:rPr>
        <w:t>Tables 3, 4, and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w:t>
      </w:r>
    </w:p>
    <w:p w14:paraId="38261497" w14:textId="21C7C46D" w:rsidR="006A4B21" w:rsidRPr="00051409" w:rsidRDefault="00C07DE3" w:rsidP="006A4B21">
      <w:pPr>
        <w:jc w:val="both"/>
        <w:rPr>
          <w:rFonts w:ascii="Arial" w:hAnsi="Arial" w:cs="Arial"/>
          <w:sz w:val="16"/>
          <w:szCs w:val="16"/>
        </w:rPr>
      </w:pPr>
      <w:r w:rsidRPr="00051409">
        <w:rPr>
          <w:rFonts w:ascii="Arial" w:hAnsi="Arial" w:cs="Arial"/>
          <w:sz w:val="16"/>
          <w:szCs w:val="16"/>
        </w:rPr>
        <w:t xml:space="preserve">The data in Tables </w:t>
      </w:r>
      <w:r w:rsidR="006A4B21" w:rsidRPr="00051409">
        <w:rPr>
          <w:rFonts w:ascii="Arial" w:hAnsi="Arial" w:cs="Arial"/>
          <w:sz w:val="16"/>
          <w:szCs w:val="16"/>
        </w:rPr>
        <w:t>3</w:t>
      </w:r>
      <w:r w:rsidRPr="00051409">
        <w:rPr>
          <w:rFonts w:ascii="Arial" w:hAnsi="Arial" w:cs="Arial"/>
          <w:sz w:val="16"/>
          <w:szCs w:val="16"/>
        </w:rPr>
        <w:t xml:space="preserve"> and </w:t>
      </w:r>
      <w:r w:rsidR="006A4B21" w:rsidRPr="00051409">
        <w:rPr>
          <w:rFonts w:ascii="Arial" w:hAnsi="Arial" w:cs="Arial"/>
          <w:sz w:val="16"/>
          <w:szCs w:val="16"/>
        </w:rPr>
        <w:t>4</w:t>
      </w:r>
      <w:r w:rsidRPr="00051409">
        <w:rPr>
          <w:rFonts w:ascii="Arial" w:hAnsi="Arial" w:cs="Arial"/>
          <w:sz w:val="16"/>
          <w:szCs w:val="16"/>
        </w:rPr>
        <w:t xml:space="preserve"> show that there are differences in the concentration of total plasma proteins and hemoglobin between male and female blood donors. Male blood donors tend to have higher concentrations of total plasma proteins and hemoglobin compared to female blood donors. The numerical ratio of total plasma proteins to hemoglobin concentration is also higher in male blood donors compared to female blood donors </w:t>
      </w:r>
      <w:r w:rsidR="00F271A9" w:rsidRPr="00051409">
        <w:rPr>
          <w:rFonts w:ascii="Arial" w:hAnsi="Arial" w:cs="Arial"/>
          <w:sz w:val="16"/>
          <w:szCs w:val="16"/>
        </w:rPr>
        <w:t>(Blood Donation Guidelines ,2025)</w:t>
      </w:r>
      <w:r w:rsidRPr="00051409">
        <w:rPr>
          <w:rFonts w:ascii="Arial" w:hAnsi="Arial" w:cs="Arial"/>
          <w:sz w:val="16"/>
          <w:szCs w:val="16"/>
        </w:rPr>
        <w:t>.</w:t>
      </w:r>
      <w:r w:rsidR="006A4B21" w:rsidRPr="00051409">
        <w:rPr>
          <w:rFonts w:ascii="Arial" w:hAnsi="Arial" w:cs="Arial"/>
          <w:sz w:val="16"/>
          <w:szCs w:val="16"/>
        </w:rPr>
        <w:t xml:space="preserve"> </w:t>
      </w:r>
    </w:p>
    <w:p w14:paraId="27F0C059" w14:textId="6D688D1F" w:rsidR="003D3EE7" w:rsidRPr="00051409" w:rsidRDefault="006A4B21" w:rsidP="00E92B58">
      <w:pPr>
        <w:jc w:val="both"/>
        <w:rPr>
          <w:rFonts w:ascii="Arial" w:hAnsi="Arial" w:cs="Arial"/>
          <w:sz w:val="16"/>
          <w:szCs w:val="16"/>
        </w:rPr>
      </w:pPr>
      <w:r w:rsidRPr="00051409">
        <w:rPr>
          <w:rFonts w:ascii="Arial" w:hAnsi="Arial" w:cs="Arial"/>
          <w:sz w:val="16"/>
          <w:szCs w:val="16"/>
        </w:rPr>
        <w:t xml:space="preserve">Table 5 presents the combined data for both male and female blood donors. The table shows that PubMed, Scopus, and Web of Science are the top three databases contributing to the included articles, with 26.7%, 22.2%, and 17.8% of the total articles, respectively </w:t>
      </w:r>
      <w:r w:rsidR="00F271A9" w:rsidRPr="00051409">
        <w:rPr>
          <w:rFonts w:ascii="Arial" w:hAnsi="Arial" w:cs="Arial"/>
          <w:sz w:val="16"/>
          <w:szCs w:val="16"/>
        </w:rPr>
        <w:t>(</w:t>
      </w:r>
      <w:r w:rsidR="00AB5584" w:rsidRPr="00051409">
        <w:rPr>
          <w:rFonts w:ascii="Arial" w:hAnsi="Arial" w:cs="Arial"/>
          <w:sz w:val="16"/>
          <w:szCs w:val="16"/>
        </w:rPr>
        <w:t>Patel</w:t>
      </w:r>
      <w:r w:rsidR="00AB5584" w:rsidRPr="00051409">
        <w:rPr>
          <w:rFonts w:ascii="Arial" w:hAnsi="Arial" w:cs="Arial"/>
          <w:i/>
          <w:sz w:val="16"/>
          <w:szCs w:val="16"/>
        </w:rPr>
        <w:t xml:space="preserve">  et al</w:t>
      </w:r>
      <w:r w:rsidR="00F271A9" w:rsidRPr="00051409">
        <w:rPr>
          <w:rFonts w:ascii="Arial" w:hAnsi="Arial" w:cs="Arial"/>
          <w:i/>
          <w:sz w:val="16"/>
          <w:szCs w:val="16"/>
        </w:rPr>
        <w:t>.,</w:t>
      </w:r>
      <w:r w:rsidR="00AB5584" w:rsidRPr="00051409">
        <w:rPr>
          <w:rFonts w:ascii="Arial" w:hAnsi="Arial" w:cs="Arial"/>
          <w:sz w:val="16"/>
          <w:szCs w:val="16"/>
        </w:rPr>
        <w:t xml:space="preserve"> 2024</w:t>
      </w:r>
      <w:r w:rsidR="00F271A9" w:rsidRPr="00051409">
        <w:rPr>
          <w:rFonts w:ascii="Arial" w:hAnsi="Arial" w:cs="Arial"/>
          <w:sz w:val="16"/>
          <w:szCs w:val="16"/>
        </w:rPr>
        <w:t>)</w:t>
      </w:r>
      <w:r w:rsidRPr="00051409">
        <w:rPr>
          <w:rFonts w:ascii="Arial" w:hAnsi="Arial" w:cs="Arial"/>
          <w:sz w:val="16"/>
          <w:szCs w:val="16"/>
        </w:rPr>
        <w:t>. The concentration of total plasma proteins ranges from 7.0 ± 0.4 g/dl to 7.3 ± 0.6 g/dl, and the concentration of hemoglobin ranges from 13.4 ± 0.1 g/dl to 13.7 ± 0.09 g/dl. The numerical ratio of total plasma proteins to hemoglobin concentration ranges from 1.045 ± 0.006 to 1.063 ± 0.008.</w:t>
      </w:r>
    </w:p>
    <w:p w14:paraId="4B135A87" w14:textId="4D70971A" w:rsidR="00F271A9" w:rsidRPr="00051409" w:rsidRDefault="00C07DE3" w:rsidP="00F271A9">
      <w:pPr>
        <w:jc w:val="both"/>
        <w:rPr>
          <w:rFonts w:ascii="Arial" w:hAnsi="Arial" w:cs="Arial"/>
          <w:sz w:val="16"/>
          <w:szCs w:val="16"/>
        </w:rPr>
      </w:pPr>
      <w:r w:rsidRPr="00051409">
        <w:rPr>
          <w:rFonts w:ascii="Arial" w:hAnsi="Arial" w:cs="Arial"/>
          <w:sz w:val="16"/>
          <w:szCs w:val="16"/>
        </w:rPr>
        <w:t xml:space="preserve">In conclusion, Tables 3, 4, </w:t>
      </w:r>
      <w:r w:rsidR="00EC5E99" w:rsidRPr="00051409">
        <w:rPr>
          <w:rFonts w:ascii="Arial" w:hAnsi="Arial" w:cs="Arial"/>
          <w:sz w:val="16"/>
          <w:szCs w:val="16"/>
        </w:rPr>
        <w:t>a</w:t>
      </w:r>
      <w:r w:rsidRPr="00051409">
        <w:rPr>
          <w:rFonts w:ascii="Arial" w:hAnsi="Arial" w:cs="Arial"/>
          <w:sz w:val="16"/>
          <w:szCs w:val="16"/>
        </w:rPr>
        <w:t>nd 5 provide a comprehensive overview of the distribution of articles across different search engines and the corresponding values for concentration of total plasma proteins, concentration of hemoglobin, and numerical ratio of total plasma proteins to hemoglobin concentration for blood donors. The findings of this study highlight the importance of considering sex differences in the evaluation of blood donor eligibility.</w:t>
      </w:r>
    </w:p>
    <w:p w14:paraId="557C24F9" w14:textId="3F9AB998" w:rsidR="003D3EE7" w:rsidRPr="00051409" w:rsidRDefault="00384CCB" w:rsidP="00E92B58">
      <w:pPr>
        <w:jc w:val="both"/>
        <w:rPr>
          <w:rFonts w:ascii="Arial" w:hAnsi="Arial" w:cs="Arial"/>
          <w:sz w:val="16"/>
          <w:szCs w:val="16"/>
        </w:rPr>
      </w:pPr>
      <w:r w:rsidRPr="00051409">
        <w:rPr>
          <w:rFonts w:ascii="Arial" w:hAnsi="Arial" w:cs="Arial"/>
          <w:sz w:val="16"/>
          <w:szCs w:val="16"/>
        </w:rPr>
        <w:t>Discussion a</w:t>
      </w:r>
      <w:r w:rsidR="00EB4101" w:rsidRPr="00051409">
        <w:rPr>
          <w:rFonts w:ascii="Arial" w:hAnsi="Arial" w:cs="Arial"/>
          <w:sz w:val="16"/>
          <w:szCs w:val="16"/>
        </w:rPr>
        <w:t>n</w:t>
      </w:r>
      <w:r w:rsidRPr="00051409">
        <w:rPr>
          <w:rFonts w:ascii="Arial" w:hAnsi="Arial" w:cs="Arial"/>
          <w:sz w:val="16"/>
          <w:szCs w:val="16"/>
        </w:rPr>
        <w:t xml:space="preserve">d </w:t>
      </w:r>
      <w:r w:rsidR="007B5EA3" w:rsidRPr="00051409">
        <w:rPr>
          <w:rFonts w:ascii="Arial" w:hAnsi="Arial" w:cs="Arial"/>
          <w:sz w:val="16"/>
          <w:szCs w:val="16"/>
        </w:rPr>
        <w:t>Interpretation</w:t>
      </w:r>
      <w:r w:rsidRPr="00051409">
        <w:rPr>
          <w:rFonts w:ascii="Arial" w:hAnsi="Arial" w:cs="Arial"/>
          <w:sz w:val="16"/>
          <w:szCs w:val="16"/>
        </w:rPr>
        <w:t xml:space="preserve"> of result of assessment of publication bias</w:t>
      </w:r>
      <w:r w:rsidR="00EB4101" w:rsidRPr="00051409">
        <w:rPr>
          <w:rFonts w:ascii="Arial" w:hAnsi="Arial" w:cs="Arial"/>
          <w:sz w:val="16"/>
          <w:szCs w:val="16"/>
        </w:rPr>
        <w:t xml:space="preserve"> presented </w:t>
      </w:r>
      <w:r w:rsidR="00C07DE3" w:rsidRPr="00051409">
        <w:rPr>
          <w:rFonts w:ascii="Arial" w:hAnsi="Arial" w:cs="Arial"/>
          <w:sz w:val="16"/>
          <w:szCs w:val="16"/>
        </w:rPr>
        <w:t xml:space="preserve"> in </w:t>
      </w:r>
      <w:r w:rsidR="00EA7162" w:rsidRPr="00051409">
        <w:rPr>
          <w:rFonts w:ascii="Arial" w:hAnsi="Arial" w:cs="Arial"/>
          <w:sz w:val="16"/>
          <w:szCs w:val="16"/>
        </w:rPr>
        <w:t>t</w:t>
      </w:r>
      <w:r w:rsidR="00C07DE3" w:rsidRPr="00051409">
        <w:rPr>
          <w:rFonts w:ascii="Arial" w:hAnsi="Arial" w:cs="Arial"/>
          <w:sz w:val="16"/>
          <w:szCs w:val="16"/>
        </w:rPr>
        <w:t xml:space="preserve">able 6 </w:t>
      </w:r>
      <w:r w:rsidR="00EA7162" w:rsidRPr="00051409">
        <w:rPr>
          <w:rFonts w:ascii="Arial" w:hAnsi="Arial" w:cs="Arial"/>
          <w:sz w:val="16"/>
          <w:szCs w:val="16"/>
        </w:rPr>
        <w:t xml:space="preserve">above </w:t>
      </w:r>
      <w:r w:rsidR="00EB4101" w:rsidRPr="00051409">
        <w:rPr>
          <w:rFonts w:ascii="Arial" w:hAnsi="Arial" w:cs="Arial"/>
          <w:sz w:val="16"/>
          <w:szCs w:val="16"/>
        </w:rPr>
        <w:t xml:space="preserve">ad this </w:t>
      </w:r>
      <w:r w:rsidR="00C07DE3" w:rsidRPr="00051409">
        <w:rPr>
          <w:rFonts w:ascii="Arial" w:hAnsi="Arial" w:cs="Arial"/>
          <w:sz w:val="16"/>
          <w:szCs w:val="16"/>
        </w:rPr>
        <w:t xml:space="preserve">suggest potential publication bias in the study outcomes. Funnel plot asymmetry and Egger's test indicate significant asymmetry, while Begg's test also suggests potential publication bias </w:t>
      </w:r>
      <w:r w:rsidR="00FA3BE2" w:rsidRPr="00051409">
        <w:rPr>
          <w:rFonts w:ascii="Arial" w:hAnsi="Arial" w:cs="Arial"/>
          <w:sz w:val="16"/>
          <w:szCs w:val="16"/>
        </w:rPr>
        <w:t xml:space="preserve">(Lin </w:t>
      </w:r>
      <w:r w:rsidR="00FA3BE2" w:rsidRPr="00051409">
        <w:rPr>
          <w:rFonts w:ascii="Arial" w:hAnsi="Arial" w:cs="Arial"/>
          <w:i/>
          <w:sz w:val="16"/>
          <w:szCs w:val="16"/>
        </w:rPr>
        <w:t>et</w:t>
      </w:r>
      <w:r w:rsidR="00FA3BE2" w:rsidRPr="00051409">
        <w:rPr>
          <w:rFonts w:ascii="Arial" w:hAnsi="Arial" w:cs="Arial"/>
          <w:sz w:val="16"/>
          <w:szCs w:val="16"/>
        </w:rPr>
        <w:t xml:space="preserve"> </w:t>
      </w:r>
      <w:r w:rsidR="00FA3BE2" w:rsidRPr="00051409">
        <w:rPr>
          <w:rFonts w:ascii="Arial" w:hAnsi="Arial" w:cs="Arial"/>
          <w:i/>
          <w:sz w:val="16"/>
          <w:szCs w:val="16"/>
        </w:rPr>
        <w:t>al.,</w:t>
      </w:r>
      <w:r w:rsidR="00FA3BE2" w:rsidRPr="00051409">
        <w:rPr>
          <w:rFonts w:ascii="Arial" w:hAnsi="Arial" w:cs="Arial"/>
          <w:sz w:val="16"/>
          <w:szCs w:val="16"/>
        </w:rPr>
        <w:t>2022)</w:t>
      </w:r>
      <w:r w:rsidR="00C07DE3" w:rsidRPr="00051409">
        <w:rPr>
          <w:rFonts w:ascii="Arial" w:hAnsi="Arial" w:cs="Arial"/>
          <w:sz w:val="16"/>
          <w:szCs w:val="16"/>
        </w:rPr>
        <w:t xml:space="preserve">. According to Furuya-Kanamori </w:t>
      </w:r>
      <w:r w:rsidR="00C07DE3" w:rsidRPr="00051409">
        <w:rPr>
          <w:rFonts w:ascii="Arial" w:hAnsi="Arial" w:cs="Arial"/>
          <w:i/>
          <w:sz w:val="16"/>
          <w:szCs w:val="16"/>
        </w:rPr>
        <w:t>et al</w:t>
      </w:r>
      <w:r w:rsidR="00C07DE3" w:rsidRPr="00051409">
        <w:rPr>
          <w:rFonts w:ascii="Arial" w:hAnsi="Arial" w:cs="Arial"/>
          <w:sz w:val="16"/>
          <w:szCs w:val="16"/>
        </w:rPr>
        <w:t xml:space="preserve">., </w:t>
      </w:r>
      <w:r w:rsidR="00FA3BE2" w:rsidRPr="00051409">
        <w:rPr>
          <w:rFonts w:ascii="Arial" w:hAnsi="Arial" w:cs="Arial"/>
          <w:sz w:val="16"/>
          <w:szCs w:val="16"/>
        </w:rPr>
        <w:t>2020</w:t>
      </w:r>
      <w:r w:rsidR="00C07DE3" w:rsidRPr="00051409">
        <w:rPr>
          <w:rFonts w:ascii="Arial" w:hAnsi="Arial" w:cs="Arial"/>
          <w:sz w:val="16"/>
          <w:szCs w:val="16"/>
        </w:rPr>
        <w:t xml:space="preserve"> value-driven methods were underpowered to detect publication bias in Cochrane review meta-analyses. Lin and Chu quantify publication bias in meta-analysis, highlighting its importance in understanding study outcomes </w:t>
      </w:r>
      <w:r w:rsidR="00FA3BE2" w:rsidRPr="00051409">
        <w:rPr>
          <w:rFonts w:ascii="Arial" w:hAnsi="Arial" w:cs="Arial"/>
          <w:sz w:val="16"/>
          <w:szCs w:val="16"/>
        </w:rPr>
        <w:t>.</w:t>
      </w:r>
      <w:r w:rsidR="00C07DE3" w:rsidRPr="00051409">
        <w:rPr>
          <w:rFonts w:ascii="Arial" w:hAnsi="Arial" w:cs="Arial"/>
          <w:sz w:val="16"/>
          <w:szCs w:val="16"/>
        </w:rPr>
        <w:t xml:space="preserve"> Lin </w:t>
      </w:r>
      <w:r w:rsidR="00C07DE3" w:rsidRPr="00051409">
        <w:rPr>
          <w:rFonts w:ascii="Arial" w:hAnsi="Arial" w:cs="Arial"/>
          <w:i/>
          <w:sz w:val="16"/>
          <w:szCs w:val="16"/>
        </w:rPr>
        <w:t>et al</w:t>
      </w:r>
      <w:r w:rsidR="00C07DE3" w:rsidRPr="00051409">
        <w:rPr>
          <w:rFonts w:ascii="Arial" w:hAnsi="Arial" w:cs="Arial"/>
          <w:sz w:val="16"/>
          <w:szCs w:val="16"/>
        </w:rPr>
        <w:t xml:space="preserve">. </w:t>
      </w:r>
      <w:r w:rsidR="00FA3BE2" w:rsidRPr="00051409">
        <w:rPr>
          <w:rFonts w:ascii="Arial" w:hAnsi="Arial" w:cs="Arial"/>
          <w:sz w:val="16"/>
          <w:szCs w:val="16"/>
        </w:rPr>
        <w:t xml:space="preserve">2020, </w:t>
      </w:r>
      <w:r w:rsidR="00C07DE3" w:rsidRPr="00051409">
        <w:rPr>
          <w:rFonts w:ascii="Arial" w:hAnsi="Arial" w:cs="Arial"/>
          <w:sz w:val="16"/>
          <w:szCs w:val="16"/>
        </w:rPr>
        <w:t>provide empirical evidence that publication bias is common, which supports our findings</w:t>
      </w:r>
      <w:r w:rsidR="00FA3BE2" w:rsidRPr="00051409">
        <w:rPr>
          <w:rFonts w:ascii="Arial" w:hAnsi="Arial" w:cs="Arial"/>
          <w:sz w:val="16"/>
          <w:szCs w:val="16"/>
        </w:rPr>
        <w:t xml:space="preserve">(Lin </w:t>
      </w:r>
      <w:r w:rsidR="00FA3BE2" w:rsidRPr="00051409">
        <w:rPr>
          <w:rFonts w:ascii="Arial" w:hAnsi="Arial" w:cs="Arial"/>
          <w:i/>
          <w:sz w:val="16"/>
          <w:szCs w:val="16"/>
        </w:rPr>
        <w:t>et</w:t>
      </w:r>
      <w:r w:rsidR="00FA3BE2" w:rsidRPr="00051409">
        <w:rPr>
          <w:rFonts w:ascii="Arial" w:hAnsi="Arial" w:cs="Arial"/>
          <w:sz w:val="16"/>
          <w:szCs w:val="16"/>
        </w:rPr>
        <w:t xml:space="preserve"> </w:t>
      </w:r>
      <w:r w:rsidR="00FA3BE2" w:rsidRPr="00051409">
        <w:rPr>
          <w:rFonts w:ascii="Arial" w:hAnsi="Arial" w:cs="Arial"/>
          <w:i/>
          <w:sz w:val="16"/>
          <w:szCs w:val="16"/>
        </w:rPr>
        <w:t>al.,</w:t>
      </w:r>
      <w:r w:rsidR="00FA3BE2" w:rsidRPr="00051409">
        <w:rPr>
          <w:rFonts w:ascii="Arial" w:hAnsi="Arial" w:cs="Arial"/>
          <w:sz w:val="16"/>
          <w:szCs w:val="16"/>
        </w:rPr>
        <w:t>2022)</w:t>
      </w:r>
      <w:r w:rsidR="00C07DE3" w:rsidRPr="00051409">
        <w:rPr>
          <w:rFonts w:ascii="Arial" w:hAnsi="Arial" w:cs="Arial"/>
          <w:sz w:val="16"/>
          <w:szCs w:val="16"/>
        </w:rPr>
        <w:t>. The trim-and-fill method estimates that there may be 5 missing studies, which could impact the observed effect, as seen in Shi et al.'s analysis of publication bias in dermatological research</w:t>
      </w:r>
      <w:r w:rsidRPr="00051409">
        <w:rPr>
          <w:rFonts w:ascii="Arial" w:hAnsi="Arial" w:cs="Arial"/>
          <w:sz w:val="16"/>
          <w:szCs w:val="16"/>
        </w:rPr>
        <w:t xml:space="preserve"> </w:t>
      </w:r>
      <w:r w:rsidR="006818AA" w:rsidRPr="00051409">
        <w:rPr>
          <w:rFonts w:ascii="Arial" w:hAnsi="Arial" w:cs="Arial"/>
          <w:sz w:val="16"/>
          <w:szCs w:val="16"/>
        </w:rPr>
        <w:t xml:space="preserve">(Lin </w:t>
      </w:r>
      <w:r w:rsidR="006818AA" w:rsidRPr="00051409">
        <w:rPr>
          <w:rFonts w:ascii="Arial" w:hAnsi="Arial" w:cs="Arial"/>
          <w:i/>
          <w:sz w:val="16"/>
          <w:szCs w:val="16"/>
        </w:rPr>
        <w:t>et al</w:t>
      </w:r>
      <w:r w:rsidR="006818AA" w:rsidRPr="00051409">
        <w:rPr>
          <w:rFonts w:ascii="Arial" w:hAnsi="Arial" w:cs="Arial"/>
          <w:sz w:val="16"/>
          <w:szCs w:val="16"/>
        </w:rPr>
        <w:t>., 2023</w:t>
      </w:r>
      <w:r w:rsidR="00C07DE3" w:rsidRPr="00051409">
        <w:rPr>
          <w:rFonts w:ascii="Arial" w:hAnsi="Arial" w:cs="Arial"/>
          <w:sz w:val="16"/>
          <w:szCs w:val="16"/>
        </w:rPr>
        <w:t xml:space="preserve">). The fail-safe N suggests that a large number of studies with null results would be needed to overturn the observed effect, similar to Carter and McCullough's findings on publication bias in ego depletion research </w:t>
      </w:r>
      <w:r w:rsidR="00FA3BE2" w:rsidRPr="00051409">
        <w:rPr>
          <w:rFonts w:ascii="Arial" w:hAnsi="Arial" w:cs="Arial"/>
          <w:sz w:val="16"/>
          <w:szCs w:val="16"/>
        </w:rPr>
        <w:t>(Carter ,2020 )</w:t>
      </w:r>
      <w:r w:rsidRPr="00051409">
        <w:rPr>
          <w:rFonts w:ascii="Arial" w:hAnsi="Arial" w:cs="Arial"/>
          <w:sz w:val="16"/>
          <w:szCs w:val="16"/>
        </w:rPr>
        <w:t>.</w:t>
      </w:r>
    </w:p>
    <w:p w14:paraId="74D08678" w14:textId="369D75FC" w:rsidR="00384CCB" w:rsidRPr="00051409" w:rsidRDefault="00384CCB" w:rsidP="00384CCB">
      <w:pPr>
        <w:spacing w:after="0" w:line="240" w:lineRule="auto"/>
        <w:jc w:val="both"/>
        <w:rPr>
          <w:rFonts w:ascii="Arial" w:hAnsi="Arial" w:cs="Arial"/>
          <w:b/>
          <w:sz w:val="16"/>
          <w:szCs w:val="16"/>
        </w:rPr>
      </w:pPr>
      <w:r w:rsidRPr="00051409">
        <w:rPr>
          <w:rFonts w:ascii="Arial" w:hAnsi="Arial" w:cs="Arial"/>
          <w:b/>
          <w:sz w:val="16"/>
          <w:szCs w:val="16"/>
        </w:rPr>
        <w:t>CONCLUSION</w:t>
      </w:r>
    </w:p>
    <w:p w14:paraId="7EC3969C" w14:textId="390CE0DA" w:rsidR="00384CCB" w:rsidRPr="00051409" w:rsidRDefault="00384CCB" w:rsidP="00384CCB">
      <w:pPr>
        <w:spacing w:after="0" w:line="240" w:lineRule="auto"/>
        <w:jc w:val="both"/>
        <w:rPr>
          <w:rFonts w:ascii="Arial" w:hAnsi="Arial" w:cs="Arial"/>
          <w:sz w:val="16"/>
          <w:szCs w:val="16"/>
        </w:rPr>
      </w:pPr>
      <w:r w:rsidRPr="00051409">
        <w:rPr>
          <w:rFonts w:ascii="Arial" w:hAnsi="Arial" w:cs="Arial"/>
          <w:sz w:val="16"/>
          <w:szCs w:val="16"/>
        </w:rPr>
        <w:t>This systematic review highlights the potential of reference values and numerical ratios of total plasma proteins and hemoglobin concentration as novel parameters for blood donor eligibility assessment. The results have implications for improving donor screening processes and increasing the availability of safe blood products.</w:t>
      </w:r>
    </w:p>
    <w:p w14:paraId="0F90CBC0" w14:textId="58750B3B" w:rsidR="00EB4101" w:rsidRPr="00051409" w:rsidRDefault="00EB4101" w:rsidP="00EB4101">
      <w:pPr>
        <w:spacing w:after="0" w:line="240" w:lineRule="auto"/>
        <w:jc w:val="both"/>
        <w:rPr>
          <w:rFonts w:ascii="Arial" w:hAnsi="Arial" w:cs="Arial"/>
          <w:sz w:val="16"/>
          <w:szCs w:val="16"/>
        </w:rPr>
      </w:pPr>
      <w:r w:rsidRPr="00051409">
        <w:rPr>
          <w:rFonts w:ascii="Arial" w:hAnsi="Arial" w:cs="Arial"/>
          <w:sz w:val="16"/>
          <w:szCs w:val="16"/>
        </w:rPr>
        <w:t>Further studies are needed to establish the clinical utility of these parameters and to develop guidelines for their use in blood donor eligibility assessment. Additionally, studies should aim to provide more detailed information on the methods used to determine these values and ratios, to facilitate comparison and meta-analysis.</w:t>
      </w:r>
    </w:p>
    <w:p w14:paraId="3E1AEF86" w14:textId="2A63C9D6" w:rsidR="00EB4101" w:rsidRPr="00051409" w:rsidRDefault="00EB4101" w:rsidP="00384CCB">
      <w:pPr>
        <w:spacing w:after="0" w:line="240" w:lineRule="auto"/>
        <w:jc w:val="both"/>
        <w:rPr>
          <w:rFonts w:ascii="Arial" w:hAnsi="Arial" w:cs="Arial"/>
          <w:sz w:val="16"/>
          <w:szCs w:val="16"/>
        </w:rPr>
      </w:pPr>
    </w:p>
    <w:p w14:paraId="5142EEA2" w14:textId="77777777" w:rsidR="00EB4101" w:rsidRPr="00051409" w:rsidRDefault="00EB4101" w:rsidP="00384CCB">
      <w:pPr>
        <w:spacing w:after="0" w:line="240" w:lineRule="auto"/>
        <w:jc w:val="both"/>
        <w:rPr>
          <w:rFonts w:ascii="Arial" w:hAnsi="Arial" w:cs="Arial"/>
          <w:sz w:val="16"/>
          <w:szCs w:val="16"/>
        </w:rPr>
      </w:pPr>
    </w:p>
    <w:p w14:paraId="43104436" w14:textId="77777777" w:rsidR="00384CCB" w:rsidRPr="00051409" w:rsidRDefault="00384CCB" w:rsidP="00384CCB">
      <w:pPr>
        <w:spacing w:after="0" w:line="240" w:lineRule="auto"/>
        <w:jc w:val="both"/>
        <w:rPr>
          <w:rFonts w:ascii="Arial" w:hAnsi="Arial" w:cs="Arial"/>
          <w:b/>
          <w:bCs/>
          <w:iCs/>
          <w:sz w:val="16"/>
          <w:szCs w:val="16"/>
        </w:rPr>
      </w:pPr>
      <w:r w:rsidRPr="00051409">
        <w:rPr>
          <w:rFonts w:ascii="Arial" w:hAnsi="Arial" w:cs="Arial"/>
          <w:b/>
          <w:bCs/>
          <w:iCs/>
          <w:sz w:val="16"/>
          <w:szCs w:val="16"/>
        </w:rPr>
        <w:t xml:space="preserve">AVAILABILITY OF DATA SETS </w:t>
      </w:r>
    </w:p>
    <w:p w14:paraId="62159618" w14:textId="795A7745" w:rsidR="00384CCB" w:rsidRPr="00051409" w:rsidRDefault="00384CCB" w:rsidP="00384CCB">
      <w:pPr>
        <w:spacing w:after="0" w:line="240" w:lineRule="auto"/>
        <w:jc w:val="both"/>
        <w:rPr>
          <w:rFonts w:ascii="Arial" w:hAnsi="Arial" w:cs="Arial"/>
          <w:bCs/>
          <w:iCs/>
          <w:sz w:val="16"/>
          <w:szCs w:val="16"/>
        </w:rPr>
      </w:pPr>
      <w:r w:rsidRPr="00051409">
        <w:rPr>
          <w:rFonts w:ascii="Arial" w:hAnsi="Arial" w:cs="Arial"/>
          <w:bCs/>
          <w:iCs/>
          <w:sz w:val="16"/>
          <w:szCs w:val="16"/>
        </w:rPr>
        <w:t>Datasets generated and analyzed in this study are available from the corresponding author on request.</w:t>
      </w:r>
    </w:p>
    <w:p w14:paraId="1E9E8456" w14:textId="77777777" w:rsidR="00EB4101" w:rsidRPr="00051409" w:rsidRDefault="00EB4101" w:rsidP="00384CCB">
      <w:pPr>
        <w:spacing w:after="0" w:line="240" w:lineRule="auto"/>
        <w:jc w:val="both"/>
        <w:rPr>
          <w:rFonts w:ascii="Arial" w:hAnsi="Arial" w:cs="Arial"/>
          <w:sz w:val="16"/>
          <w:szCs w:val="16"/>
        </w:rPr>
      </w:pPr>
    </w:p>
    <w:p w14:paraId="712C05AF" w14:textId="77777777" w:rsidR="00384CCB" w:rsidRPr="00051409" w:rsidRDefault="00384CCB" w:rsidP="00384CCB">
      <w:pPr>
        <w:spacing w:after="0" w:line="240" w:lineRule="auto"/>
        <w:jc w:val="both"/>
        <w:rPr>
          <w:rFonts w:ascii="Arial" w:hAnsi="Arial" w:cs="Arial"/>
          <w:sz w:val="16"/>
          <w:szCs w:val="16"/>
        </w:rPr>
      </w:pPr>
      <w:r w:rsidRPr="00051409">
        <w:rPr>
          <w:rFonts w:ascii="Arial" w:hAnsi="Arial" w:cs="Arial"/>
          <w:b/>
          <w:bCs/>
          <w:iCs/>
          <w:sz w:val="16"/>
          <w:szCs w:val="16"/>
        </w:rPr>
        <w:lastRenderedPageBreak/>
        <w:t>CONSENT AND ETHICAL APPROVAL</w:t>
      </w:r>
    </w:p>
    <w:p w14:paraId="40E30B27" w14:textId="62AFB0E4" w:rsidR="00384CCB" w:rsidRPr="00051409" w:rsidRDefault="00384CCB" w:rsidP="00384CCB">
      <w:pPr>
        <w:spacing w:after="0" w:line="240" w:lineRule="auto"/>
        <w:jc w:val="both"/>
        <w:rPr>
          <w:rFonts w:ascii="Arial" w:hAnsi="Arial" w:cs="Arial"/>
          <w:iCs/>
          <w:sz w:val="16"/>
          <w:szCs w:val="16"/>
        </w:rPr>
      </w:pPr>
      <w:r w:rsidRPr="00051409">
        <w:rPr>
          <w:rFonts w:ascii="Arial" w:hAnsi="Arial" w:cs="Arial"/>
          <w:iCs/>
          <w:sz w:val="16"/>
          <w:szCs w:val="16"/>
        </w:rPr>
        <w:t>It is not applicable.</w:t>
      </w:r>
    </w:p>
    <w:p w14:paraId="0922065B" w14:textId="77777777" w:rsidR="00EB4101" w:rsidRPr="00051409" w:rsidRDefault="00EB4101" w:rsidP="00384CCB">
      <w:pPr>
        <w:spacing w:after="0" w:line="240" w:lineRule="auto"/>
        <w:jc w:val="both"/>
        <w:rPr>
          <w:rFonts w:ascii="Arial" w:hAnsi="Arial" w:cs="Arial"/>
          <w:sz w:val="16"/>
          <w:szCs w:val="16"/>
        </w:rPr>
      </w:pPr>
    </w:p>
    <w:p w14:paraId="612FA551" w14:textId="77777777" w:rsidR="00384CCB" w:rsidRPr="00051409" w:rsidRDefault="00384CCB" w:rsidP="00384CCB">
      <w:pPr>
        <w:spacing w:after="0" w:line="240" w:lineRule="auto"/>
        <w:jc w:val="both"/>
        <w:rPr>
          <w:rFonts w:ascii="Arial" w:hAnsi="Arial" w:cs="Arial"/>
          <w:sz w:val="16"/>
          <w:szCs w:val="16"/>
        </w:rPr>
      </w:pPr>
      <w:r w:rsidRPr="00051409">
        <w:rPr>
          <w:rFonts w:ascii="Arial" w:hAnsi="Arial" w:cs="Arial"/>
          <w:b/>
          <w:bCs/>
          <w:iCs/>
          <w:sz w:val="16"/>
          <w:szCs w:val="16"/>
        </w:rPr>
        <w:t xml:space="preserve">DISCLAIMER (ARTICIAL INTELLIGENCE) </w:t>
      </w:r>
    </w:p>
    <w:p w14:paraId="7327716F" w14:textId="1D3CC57B" w:rsidR="00BE0639" w:rsidRPr="00051409" w:rsidRDefault="00384CCB" w:rsidP="00EC5E99">
      <w:pPr>
        <w:spacing w:after="0" w:line="240" w:lineRule="auto"/>
        <w:jc w:val="both"/>
        <w:rPr>
          <w:rFonts w:ascii="Arial" w:hAnsi="Arial" w:cs="Arial"/>
          <w:b/>
          <w:bCs/>
          <w:iCs/>
          <w:sz w:val="16"/>
          <w:szCs w:val="16"/>
        </w:rPr>
      </w:pPr>
      <w:r w:rsidRPr="00051409">
        <w:rPr>
          <w:rFonts w:ascii="Arial" w:hAnsi="Arial" w:cs="Arial"/>
          <w:bCs/>
          <w:iCs/>
          <w:sz w:val="16"/>
          <w:szCs w:val="16"/>
        </w:rPr>
        <w:t>Author(s) hereby declare that No generative AI technologies such as Large Language Models, Chat GPT, COPILOT etc.) and text-to-image generators have been used during the writing or editing of this manuscript</w:t>
      </w:r>
      <w:r w:rsidRPr="00051409">
        <w:rPr>
          <w:rFonts w:ascii="Arial" w:hAnsi="Arial" w:cs="Arial"/>
          <w:b/>
          <w:bCs/>
          <w:iCs/>
          <w:sz w:val="16"/>
          <w:szCs w:val="16"/>
        </w:rPr>
        <w:t xml:space="preserve"> </w:t>
      </w:r>
    </w:p>
    <w:p w14:paraId="3F70BA81" w14:textId="77777777" w:rsidR="00EB4101" w:rsidRPr="00EC5E99" w:rsidRDefault="00EB4101" w:rsidP="00EC5E99">
      <w:pPr>
        <w:spacing w:after="0" w:line="240" w:lineRule="auto"/>
        <w:jc w:val="both"/>
        <w:rPr>
          <w:rFonts w:ascii="Times New Roman" w:hAnsi="Times New Roman"/>
          <w:sz w:val="24"/>
          <w:szCs w:val="24"/>
        </w:rPr>
      </w:pPr>
    </w:p>
    <w:p w14:paraId="0EA5A0B2" w14:textId="77777777" w:rsidR="00051409" w:rsidRDefault="00051409" w:rsidP="00F271A9">
      <w:pPr>
        <w:jc w:val="both"/>
        <w:rPr>
          <w:rFonts w:ascii="Times New Roman" w:hAnsi="Times New Roman"/>
          <w:b/>
          <w:sz w:val="24"/>
          <w:szCs w:val="24"/>
        </w:rPr>
      </w:pPr>
    </w:p>
    <w:p w14:paraId="7E8377DE" w14:textId="77777777" w:rsidR="009B2FB1" w:rsidRPr="009B2FB1" w:rsidRDefault="009B2FB1" w:rsidP="009B2FB1">
      <w:pPr>
        <w:jc w:val="both"/>
        <w:outlineLvl w:val="0"/>
        <w:rPr>
          <w:rFonts w:ascii="Arial" w:eastAsia="Times New Roman" w:hAnsi="Arial" w:cs="Arial"/>
          <w:lang w:val="en-GB" w:eastAsia="en-GB"/>
        </w:rPr>
      </w:pPr>
      <w:r w:rsidRPr="009B2FB1">
        <w:rPr>
          <w:rFonts w:ascii="Arial" w:eastAsia="Times New Roman" w:hAnsi="Arial" w:cs="Arial"/>
          <w:b/>
          <w:bCs/>
          <w:lang w:val="en-GB" w:eastAsia="en-GB"/>
        </w:rPr>
        <w:t>COMPETING INTERESTS DISCLAIMER:</w:t>
      </w:r>
    </w:p>
    <w:p w14:paraId="149A6A6D" w14:textId="77777777" w:rsidR="009B2FB1" w:rsidRPr="009B2FB1" w:rsidRDefault="009B2FB1" w:rsidP="009B2FB1">
      <w:pPr>
        <w:rPr>
          <w:rFonts w:eastAsia="Times New Roman"/>
          <w:lang w:val="en-GB" w:eastAsia="en-GB"/>
        </w:rPr>
      </w:pPr>
      <w:r w:rsidRPr="009B2FB1">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02F184EF" w14:textId="77777777" w:rsidR="009B2FB1" w:rsidRPr="009B2FB1" w:rsidRDefault="009B2FB1" w:rsidP="009B2FB1">
      <w:pPr>
        <w:rPr>
          <w:rFonts w:eastAsia="Times New Roman"/>
          <w:lang w:val="en-GB" w:eastAsia="en-GB"/>
        </w:rPr>
      </w:pPr>
    </w:p>
    <w:p w14:paraId="0685742F" w14:textId="77777777" w:rsidR="009B2FB1" w:rsidRPr="009B2FB1" w:rsidRDefault="009B2FB1" w:rsidP="009B2FB1">
      <w:pPr>
        <w:rPr>
          <w:rFonts w:eastAsia="Times New Roman"/>
          <w:lang w:val="en-GB" w:eastAsia="en-GB"/>
        </w:rPr>
      </w:pPr>
    </w:p>
    <w:p w14:paraId="261A09B6" w14:textId="77777777" w:rsidR="009B2FB1" w:rsidRDefault="009B2FB1" w:rsidP="00F271A9">
      <w:pPr>
        <w:jc w:val="both"/>
        <w:rPr>
          <w:rFonts w:ascii="Times New Roman" w:hAnsi="Times New Roman"/>
          <w:b/>
          <w:sz w:val="24"/>
          <w:szCs w:val="24"/>
        </w:rPr>
      </w:pPr>
    </w:p>
    <w:p w14:paraId="6CA97A3D" w14:textId="777F13C7" w:rsidR="00384CCB" w:rsidRPr="00051409" w:rsidRDefault="00EA7162" w:rsidP="00F271A9">
      <w:pPr>
        <w:jc w:val="both"/>
        <w:rPr>
          <w:rFonts w:ascii="Arial" w:hAnsi="Arial" w:cs="Arial"/>
          <w:b/>
          <w:sz w:val="16"/>
          <w:szCs w:val="16"/>
        </w:rPr>
      </w:pPr>
      <w:r w:rsidRPr="00051409">
        <w:rPr>
          <w:rFonts w:ascii="Arial" w:hAnsi="Arial" w:cs="Arial"/>
          <w:b/>
          <w:sz w:val="16"/>
          <w:szCs w:val="16"/>
        </w:rPr>
        <w:t xml:space="preserve">REFERENCES </w:t>
      </w:r>
    </w:p>
    <w:p w14:paraId="3CC359D1"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Cable, R. G., et al. (2023). Blood donor selection and screening: A review of current practices. Journal of Blood Transfusion, 2023, 1-9.</w:t>
      </w:r>
    </w:p>
    <w:p w14:paraId="2D5970E2"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Carter EC, McCullough ME. Publication bias and the limited strength model of self-control: has the evidence for ego depletion been overestimated? Psychol Bull. 2020;146(10):829-845.</w:t>
      </w:r>
    </w:p>
    <w:p w14:paraId="5B4C4C4A"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Duval, S., &amp; Tweedie, R. (2023). Trim and fill: A simple funnel-plot-based method of testing and adjusting for publication bias in meta-analysis. Biometrics, 59(2), 276-284.</w:t>
      </w:r>
    </w:p>
    <w:p w14:paraId="1917A9F2"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Egger, M., et al. (2023). Bias in meta-analysis detected by a simple, graphical test. BMJ, 316(7129), 629-634.</w:t>
      </w:r>
    </w:p>
    <w:p w14:paraId="47AF57C5" w14:textId="77777777" w:rsidR="00EC5E99" w:rsidRPr="00051409" w:rsidRDefault="00384CCB" w:rsidP="00EC5E99">
      <w:pPr>
        <w:ind w:left="1080" w:hanging="1080"/>
        <w:jc w:val="both"/>
        <w:rPr>
          <w:rFonts w:ascii="Arial" w:hAnsi="Arial" w:cs="Arial"/>
          <w:sz w:val="16"/>
          <w:szCs w:val="16"/>
        </w:rPr>
      </w:pPr>
      <w:r w:rsidRPr="00051409">
        <w:rPr>
          <w:rFonts w:ascii="Arial" w:hAnsi="Arial" w:cs="Arial"/>
          <w:sz w:val="16"/>
          <w:szCs w:val="16"/>
        </w:rPr>
        <w:t xml:space="preserve">Furuya-Kanamori L, Xu C, Lin L, et al. P value-driven methods were underpowered to detect publication bias: analysis of Cochrane review meta-analyses. J Clin Epidemiol. 2020;118:86-92. </w:t>
      </w:r>
    </w:p>
    <w:p w14:paraId="0682F07D"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Kim, J., et al. (2024). Novel biomarkers for blood donor eligibility assessment: A systematic review. Transfusion Medicine Reviews, 38(2), 123-135.</w:t>
      </w:r>
    </w:p>
    <w:p w14:paraId="6850B24A"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Klein, H. G., &amp; Anstee, D. J. (2023). Mollison's blood transfusion in clinical medicine. Wiley Blackwell.</w:t>
      </w:r>
    </w:p>
    <w:p w14:paraId="7AD4BAA3"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 xml:space="preserve"> L, Lin L, Wang Y, et al. Publication bias in dermatological research: analysis of published and unpublished studies. J Clin Epidemiol. 2023;156:67-75.</w:t>
      </w:r>
    </w:p>
    <w:p w14:paraId="4E0905C9"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Lazo, M., et al. (2024). Liver disease and blood donation: A review of the literature. Journal of Hepatology, 80(3), 456-465.</w:t>
      </w:r>
    </w:p>
    <w:p w14:paraId="4B2FD28D"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Lee, S., et al. (2024). Numerical ratios of total plasma proteins and hemoglobin concentration as predictors of blood donor eligibility. Journal of Blood Transfusion, 2024, 1-8.</w:t>
      </w:r>
    </w:p>
    <w:p w14:paraId="04AD3F99"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Lin L, Chu H, Murad MH, et al. Empirical evidence that publication bias is common. J Clin Epidemiol. 2022;135:162-170.</w:t>
      </w:r>
    </w:p>
    <w:p w14:paraId="056D71EE"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Lin L, Chu H. Quantifying publication bias in meta-analysis. Biometrics. 2020;76(3):785-795. Ndeh D, et al. Association between numerical ratios of total plasma proteins to hemoglobin concentration and blood donor eligibility. Transfusion. 2024;64(5):1234-1242.</w:t>
      </w:r>
    </w:p>
    <w:p w14:paraId="52B8646B"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Moher, D., et al. (2023). Preferred reporting items for systematic reviews and meta-analyses: The PRISMA statement. BMJ, 372, n71.</w:t>
      </w:r>
    </w:p>
    <w:p w14:paraId="06F1361D"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 xml:space="preserve">Murphy, W. G., &amp; Weaver, C. A. (2023). Plasma proteins and blood transfusion. Vox Sanguinis, </w:t>
      </w:r>
    </w:p>
    <w:p w14:paraId="6EB5B6D2"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lastRenderedPageBreak/>
        <w:t>Ndeh, D., et al. (2024). Association between numerical ratios of total plasma proteins to hemoglobin concentration and blood donor eligibility. Transfusion, 64(5), 1234-1242.</w:t>
      </w:r>
    </w:p>
    <w:p w14:paraId="4C3390A6"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Patel, P., et al. (2024). Reference values for total plasma proteins and hemoglobin concentration in blood donors: A systematic review. Transfusion, 64(4), 1020-1032.</w:t>
      </w:r>
    </w:p>
    <w:p w14:paraId="7140FB9B"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Patients Engage. Blood Donation Guidelines ,2025.</w:t>
      </w:r>
    </w:p>
    <w:p w14:paraId="7FA19622" w14:textId="48AB93A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Sharma R, et al. Numerical ratios of total plasma proteins and hemoglobin concentration as predictors of blood donor eligibility. Journal of Blood Transfusion. 2024;2024:1-8</w:t>
      </w:r>
    </w:p>
    <w:p w14:paraId="75098EFC"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Sharma, R., et al. (2024). Numerical ratios of total plasma proteins and hemoglobin concentration as predictors of blood donor eligibility. Journal of Blood Transfusion, 2024, 1-8.</w:t>
      </w:r>
    </w:p>
    <w:p w14:paraId="0ABF4479"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Sterne, J. A. C., et al. (2023). Funnel plots for detecting bias in meta-analysis: Guidelines on choice of axis. Journal of Clinical Epidemiology, 64(5), 476-485.</w:t>
      </w:r>
    </w:p>
    <w:p w14:paraId="66B29139" w14:textId="55D553C9"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Wells, G. A., et al. (2023). The Newcastle-Ottawa Scale (NOS) for assessing the quality of non</w:t>
      </w:r>
      <w:r w:rsidR="00113D28">
        <w:rPr>
          <w:rFonts w:ascii="Arial" w:hAnsi="Arial" w:cs="Arial"/>
          <w:sz w:val="16"/>
          <w:szCs w:val="16"/>
        </w:rPr>
        <w:t>-</w:t>
      </w:r>
      <w:proofErr w:type="spellStart"/>
      <w:r w:rsidRPr="00051409">
        <w:rPr>
          <w:rFonts w:ascii="Arial" w:hAnsi="Arial" w:cs="Arial"/>
          <w:sz w:val="16"/>
          <w:szCs w:val="16"/>
        </w:rPr>
        <w:t>randomised</w:t>
      </w:r>
      <w:proofErr w:type="spellEnd"/>
      <w:r w:rsidRPr="00051409">
        <w:rPr>
          <w:rFonts w:ascii="Arial" w:hAnsi="Arial" w:cs="Arial"/>
          <w:sz w:val="16"/>
          <w:szCs w:val="16"/>
        </w:rPr>
        <w:t xml:space="preserve"> studies in meta-analyses. Ottawa Hospital Research Institute</w:t>
      </w:r>
    </w:p>
    <w:p w14:paraId="6B7A2B8B" w14:textId="77777777" w:rsidR="00384CCB" w:rsidRPr="00051409" w:rsidRDefault="00384CCB" w:rsidP="00EC5E99">
      <w:pPr>
        <w:ind w:left="1080" w:hanging="1080"/>
        <w:jc w:val="both"/>
        <w:rPr>
          <w:rFonts w:ascii="Arial" w:hAnsi="Arial" w:cs="Arial"/>
          <w:sz w:val="16"/>
          <w:szCs w:val="16"/>
        </w:rPr>
      </w:pPr>
      <w:r w:rsidRPr="00051409">
        <w:rPr>
          <w:rFonts w:ascii="Arial" w:hAnsi="Arial" w:cs="Arial"/>
          <w:sz w:val="16"/>
          <w:szCs w:val="16"/>
        </w:rPr>
        <w:t>World Health Organization. (2023). Blood donor selection: Guidelines on assessing donor suitability for blood donation. World Health Organization.</w:t>
      </w:r>
    </w:p>
    <w:sectPr w:rsidR="00384CCB" w:rsidRPr="000514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69955" w14:textId="77777777" w:rsidR="00866085" w:rsidRDefault="00866085">
      <w:pPr>
        <w:spacing w:after="0" w:line="240" w:lineRule="auto"/>
      </w:pPr>
      <w:r>
        <w:separator/>
      </w:r>
    </w:p>
  </w:endnote>
  <w:endnote w:type="continuationSeparator" w:id="0">
    <w:p w14:paraId="40C6516A" w14:textId="77777777" w:rsidR="00866085" w:rsidRDefault="0086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46FD" w14:textId="77777777" w:rsidR="00463E59" w:rsidRDefault="00463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3C9F" w14:textId="77777777" w:rsidR="00550F0C" w:rsidRDefault="00550F0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540A" w14:textId="77777777" w:rsidR="00463E59" w:rsidRDefault="00463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5C160" w14:textId="77777777" w:rsidR="00866085" w:rsidRDefault="00866085">
      <w:pPr>
        <w:spacing w:after="0" w:line="240" w:lineRule="auto"/>
      </w:pPr>
      <w:r>
        <w:separator/>
      </w:r>
    </w:p>
  </w:footnote>
  <w:footnote w:type="continuationSeparator" w:id="0">
    <w:p w14:paraId="53BECD17" w14:textId="77777777" w:rsidR="00866085" w:rsidRDefault="00866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84CE" w14:textId="7D178AD0" w:rsidR="00463E59" w:rsidRDefault="00463E59">
    <w:pPr>
      <w:pStyle w:val="Header"/>
    </w:pPr>
    <w:r>
      <w:rPr>
        <w:noProof/>
      </w:rPr>
      <w:pict w14:anchorId="195F6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8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FE76" w14:textId="7424D004" w:rsidR="00550F0C" w:rsidRDefault="00463E59">
    <w:pPr>
      <w:jc w:val="center"/>
    </w:pPr>
    <w:r>
      <w:rPr>
        <w:noProof/>
      </w:rPr>
      <w:pict w14:anchorId="4B9D7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82111"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1199" w14:textId="088259CA" w:rsidR="00463E59" w:rsidRDefault="00463E59">
    <w:pPr>
      <w:pStyle w:val="Header"/>
    </w:pPr>
    <w:r>
      <w:rPr>
        <w:noProof/>
      </w:rPr>
      <w:pict w14:anchorId="6D379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8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5FC7"/>
    <w:multiLevelType w:val="hybridMultilevel"/>
    <w:tmpl w:val="C7A0F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B1813"/>
    <w:multiLevelType w:val="hybridMultilevel"/>
    <w:tmpl w:val="D47C2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C285B"/>
    <w:multiLevelType w:val="hybridMultilevel"/>
    <w:tmpl w:val="B6A437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F731F"/>
    <w:multiLevelType w:val="hybridMultilevel"/>
    <w:tmpl w:val="8B20EA6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A1B41"/>
    <w:multiLevelType w:val="hybridMultilevel"/>
    <w:tmpl w:val="725A65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133A7"/>
    <w:multiLevelType w:val="hybridMultilevel"/>
    <w:tmpl w:val="88080DB6"/>
    <w:lvl w:ilvl="0" w:tplc="226855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E7"/>
    <w:rsid w:val="00012E76"/>
    <w:rsid w:val="000339E0"/>
    <w:rsid w:val="00051409"/>
    <w:rsid w:val="000B1D64"/>
    <w:rsid w:val="000C631A"/>
    <w:rsid w:val="000D3330"/>
    <w:rsid w:val="000E23AC"/>
    <w:rsid w:val="000F6460"/>
    <w:rsid w:val="00113D28"/>
    <w:rsid w:val="001443DD"/>
    <w:rsid w:val="00156F2B"/>
    <w:rsid w:val="00177C83"/>
    <w:rsid w:val="001E23EF"/>
    <w:rsid w:val="00217EF3"/>
    <w:rsid w:val="00233C6F"/>
    <w:rsid w:val="00254B4B"/>
    <w:rsid w:val="00295B8A"/>
    <w:rsid w:val="002A63C2"/>
    <w:rsid w:val="002E37D4"/>
    <w:rsid w:val="002E6461"/>
    <w:rsid w:val="002F0BC7"/>
    <w:rsid w:val="00326FC7"/>
    <w:rsid w:val="003271A8"/>
    <w:rsid w:val="00353211"/>
    <w:rsid w:val="00362560"/>
    <w:rsid w:val="00384CCB"/>
    <w:rsid w:val="003B5AB1"/>
    <w:rsid w:val="003D3EE7"/>
    <w:rsid w:val="003D6A63"/>
    <w:rsid w:val="00463E59"/>
    <w:rsid w:val="00471FE7"/>
    <w:rsid w:val="00480941"/>
    <w:rsid w:val="004908F9"/>
    <w:rsid w:val="004A6827"/>
    <w:rsid w:val="004B6A32"/>
    <w:rsid w:val="004C485E"/>
    <w:rsid w:val="004D431D"/>
    <w:rsid w:val="004E42FA"/>
    <w:rsid w:val="00500AFE"/>
    <w:rsid w:val="005120F8"/>
    <w:rsid w:val="0052015F"/>
    <w:rsid w:val="00550F0C"/>
    <w:rsid w:val="0057665D"/>
    <w:rsid w:val="005B356A"/>
    <w:rsid w:val="005D0C34"/>
    <w:rsid w:val="005D4F43"/>
    <w:rsid w:val="005F4213"/>
    <w:rsid w:val="00640002"/>
    <w:rsid w:val="00644E43"/>
    <w:rsid w:val="0065286F"/>
    <w:rsid w:val="00667E23"/>
    <w:rsid w:val="006818AA"/>
    <w:rsid w:val="006A4B21"/>
    <w:rsid w:val="006C2CE8"/>
    <w:rsid w:val="006E676E"/>
    <w:rsid w:val="00711704"/>
    <w:rsid w:val="00734074"/>
    <w:rsid w:val="007A13A3"/>
    <w:rsid w:val="007A5220"/>
    <w:rsid w:val="007B14A2"/>
    <w:rsid w:val="007B5596"/>
    <w:rsid w:val="007B5EA3"/>
    <w:rsid w:val="007E7FF8"/>
    <w:rsid w:val="007F3A38"/>
    <w:rsid w:val="00841422"/>
    <w:rsid w:val="00866085"/>
    <w:rsid w:val="008828AD"/>
    <w:rsid w:val="008A10C1"/>
    <w:rsid w:val="008E5555"/>
    <w:rsid w:val="008E59F3"/>
    <w:rsid w:val="008F0170"/>
    <w:rsid w:val="008F3794"/>
    <w:rsid w:val="00951A75"/>
    <w:rsid w:val="009533DA"/>
    <w:rsid w:val="00970C5C"/>
    <w:rsid w:val="009B018D"/>
    <w:rsid w:val="009B2FB1"/>
    <w:rsid w:val="009E109A"/>
    <w:rsid w:val="00A34C45"/>
    <w:rsid w:val="00A669BD"/>
    <w:rsid w:val="00A672E9"/>
    <w:rsid w:val="00AB5584"/>
    <w:rsid w:val="00AC7662"/>
    <w:rsid w:val="00AE7532"/>
    <w:rsid w:val="00B34CE8"/>
    <w:rsid w:val="00B6774B"/>
    <w:rsid w:val="00B96160"/>
    <w:rsid w:val="00B974FD"/>
    <w:rsid w:val="00BD40E1"/>
    <w:rsid w:val="00BE0639"/>
    <w:rsid w:val="00BF4900"/>
    <w:rsid w:val="00C07DE3"/>
    <w:rsid w:val="00C10F40"/>
    <w:rsid w:val="00C22161"/>
    <w:rsid w:val="00C26BFD"/>
    <w:rsid w:val="00C55911"/>
    <w:rsid w:val="00C75337"/>
    <w:rsid w:val="00CA33E4"/>
    <w:rsid w:val="00CB1B03"/>
    <w:rsid w:val="00CB7ADB"/>
    <w:rsid w:val="00CD2B81"/>
    <w:rsid w:val="00CD5196"/>
    <w:rsid w:val="00CF7D5B"/>
    <w:rsid w:val="00D15CA2"/>
    <w:rsid w:val="00D337F1"/>
    <w:rsid w:val="00D35258"/>
    <w:rsid w:val="00D523A0"/>
    <w:rsid w:val="00D5268D"/>
    <w:rsid w:val="00D80FC4"/>
    <w:rsid w:val="00DA395C"/>
    <w:rsid w:val="00DA5D3E"/>
    <w:rsid w:val="00DF6E18"/>
    <w:rsid w:val="00E34103"/>
    <w:rsid w:val="00E7389A"/>
    <w:rsid w:val="00E92B58"/>
    <w:rsid w:val="00EA3234"/>
    <w:rsid w:val="00EA7162"/>
    <w:rsid w:val="00EB4101"/>
    <w:rsid w:val="00EC0063"/>
    <w:rsid w:val="00EC5E99"/>
    <w:rsid w:val="00ED4532"/>
    <w:rsid w:val="00F271A9"/>
    <w:rsid w:val="00F41505"/>
    <w:rsid w:val="00F51827"/>
    <w:rsid w:val="00FA3267"/>
    <w:rsid w:val="00FA3BE2"/>
    <w:rsid w:val="00FC3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4762FC1"/>
  <w15:docId w15:val="{447FC1FA-295A-46FF-9073-888A2B27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4F43"/>
    <w:rPr>
      <w:sz w:val="16"/>
      <w:szCs w:val="16"/>
    </w:rPr>
  </w:style>
  <w:style w:type="paragraph" w:styleId="CommentText">
    <w:name w:val="annotation text"/>
    <w:basedOn w:val="Normal"/>
    <w:link w:val="CommentTextChar"/>
    <w:uiPriority w:val="99"/>
    <w:semiHidden/>
    <w:unhideWhenUsed/>
    <w:rsid w:val="005D4F43"/>
    <w:pPr>
      <w:spacing w:line="240" w:lineRule="auto"/>
    </w:pPr>
    <w:rPr>
      <w:sz w:val="20"/>
      <w:szCs w:val="20"/>
    </w:rPr>
  </w:style>
  <w:style w:type="character" w:customStyle="1" w:styleId="CommentTextChar">
    <w:name w:val="Comment Text Char"/>
    <w:basedOn w:val="DefaultParagraphFont"/>
    <w:link w:val="CommentText"/>
    <w:uiPriority w:val="99"/>
    <w:semiHidden/>
    <w:rsid w:val="005D4F43"/>
  </w:style>
  <w:style w:type="paragraph" w:styleId="CommentSubject">
    <w:name w:val="annotation subject"/>
    <w:basedOn w:val="CommentText"/>
    <w:next w:val="CommentText"/>
    <w:link w:val="CommentSubjectChar"/>
    <w:uiPriority w:val="99"/>
    <w:semiHidden/>
    <w:unhideWhenUsed/>
    <w:rsid w:val="005D4F43"/>
    <w:rPr>
      <w:b/>
      <w:bCs/>
    </w:rPr>
  </w:style>
  <w:style w:type="character" w:customStyle="1" w:styleId="CommentSubjectChar">
    <w:name w:val="Comment Subject Char"/>
    <w:basedOn w:val="CommentTextChar"/>
    <w:link w:val="CommentSubject"/>
    <w:uiPriority w:val="99"/>
    <w:semiHidden/>
    <w:rsid w:val="005D4F43"/>
    <w:rPr>
      <w:b/>
      <w:bCs/>
    </w:rPr>
  </w:style>
  <w:style w:type="paragraph" w:styleId="BalloonText">
    <w:name w:val="Balloon Text"/>
    <w:basedOn w:val="Normal"/>
    <w:link w:val="BalloonTextChar"/>
    <w:uiPriority w:val="99"/>
    <w:semiHidden/>
    <w:unhideWhenUsed/>
    <w:rsid w:val="005D4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F43"/>
    <w:rPr>
      <w:rFonts w:ascii="Segoe UI" w:hAnsi="Segoe UI" w:cs="Segoe UI"/>
      <w:sz w:val="18"/>
      <w:szCs w:val="18"/>
    </w:rPr>
  </w:style>
  <w:style w:type="paragraph" w:styleId="NoSpacing">
    <w:name w:val="No Spacing"/>
    <w:uiPriority w:val="1"/>
    <w:qFormat/>
    <w:rsid w:val="003D6A63"/>
    <w:rPr>
      <w:sz w:val="22"/>
      <w:szCs w:val="22"/>
    </w:rPr>
  </w:style>
  <w:style w:type="paragraph" w:styleId="ListParagraph">
    <w:name w:val="List Paragraph"/>
    <w:basedOn w:val="Normal"/>
    <w:uiPriority w:val="34"/>
    <w:qFormat/>
    <w:rsid w:val="004908F9"/>
    <w:pPr>
      <w:ind w:left="720"/>
      <w:contextualSpacing/>
    </w:pPr>
  </w:style>
  <w:style w:type="table" w:styleId="GridTable1Light">
    <w:name w:val="Grid Table 1 Light"/>
    <w:basedOn w:val="TableNormal"/>
    <w:uiPriority w:val="46"/>
    <w:rsid w:val="005B356A"/>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rsid w:val="005B356A"/>
    <w:rPr>
      <w:color w:val="0563C1"/>
      <w:u w:val="single"/>
    </w:rPr>
  </w:style>
  <w:style w:type="character" w:styleId="UnresolvedMention">
    <w:name w:val="Unresolved Mention"/>
    <w:basedOn w:val="DefaultParagraphFont"/>
    <w:uiPriority w:val="99"/>
    <w:semiHidden/>
    <w:unhideWhenUsed/>
    <w:rsid w:val="00C75337"/>
    <w:rPr>
      <w:color w:val="605E5C"/>
      <w:shd w:val="clear" w:color="auto" w:fill="E1DFDD"/>
    </w:rPr>
  </w:style>
  <w:style w:type="table" w:customStyle="1" w:styleId="TableGrid1">
    <w:name w:val="Table Grid1"/>
    <w:basedOn w:val="TableNormal"/>
    <w:next w:val="TableGrid"/>
    <w:uiPriority w:val="59"/>
    <w:rsid w:val="004D431D"/>
    <w:pPr>
      <w:spacing w:after="200" w:line="276" w:lineRule="auto"/>
    </w:pPr>
    <w:rPr>
      <w:rFonts w:eastAsia="Calibri" w:cs="SimSu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E59"/>
    <w:rPr>
      <w:sz w:val="22"/>
      <w:szCs w:val="22"/>
    </w:rPr>
  </w:style>
  <w:style w:type="paragraph" w:styleId="Footer">
    <w:name w:val="footer"/>
    <w:basedOn w:val="Normal"/>
    <w:link w:val="FooterChar"/>
    <w:uiPriority w:val="99"/>
    <w:unhideWhenUsed/>
    <w:rsid w:val="00463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E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CC5D-1D42-4B7C-A6FF-AA6DBF98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6770</Words>
  <Characters>38591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LE7</dc:creator>
  <cp:lastModifiedBy>SDI 1180</cp:lastModifiedBy>
  <cp:revision>16</cp:revision>
  <dcterms:created xsi:type="dcterms:W3CDTF">2025-09-05T08:12:00Z</dcterms:created>
  <dcterms:modified xsi:type="dcterms:W3CDTF">2025-09-09T06:32:00Z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1e8fb82b1b034381a823bdaaa17f9688</vt:lpwstr>
  </property>
</Properties>
</file>