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C6F6B" w14:textId="77777777" w:rsidR="009A6E21" w:rsidRDefault="009C3AB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Differential Effects of Pollution Duration on Hair, Skin, and Eye Phenotypes in Oil Sector Workers</w:t>
      </w:r>
    </w:p>
    <w:p w14:paraId="4E4069D2" w14:textId="77777777" w:rsidR="00CD01AF" w:rsidRDefault="00CD01AF">
      <w:pPr>
        <w:spacing w:line="360" w:lineRule="auto"/>
        <w:rPr>
          <w:rFonts w:asciiTheme="majorBidi" w:hAnsiTheme="majorBidi" w:cstheme="majorBidi"/>
          <w:sz w:val="24"/>
          <w:szCs w:val="24"/>
        </w:rPr>
      </w:pPr>
    </w:p>
    <w:p w14:paraId="355608DB" w14:textId="14AD0FB6" w:rsidR="009A6E21" w:rsidRDefault="009C3AB1">
      <w:pPr>
        <w:spacing w:line="360" w:lineRule="auto"/>
        <w:rPr>
          <w:rFonts w:asciiTheme="majorBidi" w:hAnsiTheme="majorBidi" w:cstheme="majorBidi"/>
          <w:sz w:val="24"/>
          <w:szCs w:val="24"/>
        </w:rPr>
      </w:pPr>
      <w:bookmarkStart w:id="0" w:name="_GoBack"/>
      <w:bookmarkEnd w:id="0"/>
      <w:r>
        <w:rPr>
          <w:rFonts w:asciiTheme="majorBidi" w:hAnsiTheme="majorBidi" w:cstheme="majorBidi"/>
          <w:sz w:val="24"/>
          <w:szCs w:val="24"/>
        </w:rPr>
        <w:t>Abstract:</w:t>
      </w:r>
    </w:p>
    <w:p w14:paraId="409E79FF" w14:textId="77777777" w:rsidR="009A6E21" w:rsidRDefault="009C3AB1">
      <w:pPr>
        <w:pStyle w:val="NormalWeb"/>
        <w:spacing w:line="360" w:lineRule="auto"/>
        <w:ind w:firstLineChars="250" w:firstLine="600"/>
        <w:jc w:val="both"/>
      </w:pPr>
      <w:r>
        <w:t>This comparative study aimed to evaluate the demographic characteristics and health effects associated with short-term and long-term exposure to an unspecified environmental or occupational factor a</w:t>
      </w:r>
      <w:r>
        <w:t>mong two groups, each comprising 100 individuals aged between 29 and 59 years. The median age and BMI were higher in the long-term exposure group (48 years, 29.2 kg/m²) compared to the short-term exposure group (35 years, 24.5 kg/m²). Differences were obse</w:t>
      </w:r>
      <w:r>
        <w:t>rved in education level, marital status, smoking habits, and alcohol consumption, with a higher proportion of married individuals and alcohol abstainers in the long-term group. Clinical symptoms such as coughing (55% vs. 35%), wheezing (35% vs. 18%), and r</w:t>
      </w:r>
      <w:r>
        <w:t>espiratory infections (22% vs. 14%) were more frequent in the long-term group, indicating cumulative respiratory burden. Eye-related signs such as eye redness (60% vs. 35%) and capillary congestion (45% vs. 25%) were also more prominent in the long-term gr</w:t>
      </w:r>
      <w:r>
        <w:t>oup, while skin rashes were more reported in the short-term group (25% vs. 15%). Notably, a shift in hair color distribution was observed with increased exposure duration, with a rise in blonde (25% vs. 15%) and white hair (20% vs. 10%) prevalence in the l</w:t>
      </w:r>
      <w:r>
        <w:t>ong-term group. These findings suggest a clear relationship between duration of exposure and multiple health indicators, emphasizing the importance of preventive measures and regular monitoring for at-risk populations.</w:t>
      </w:r>
    </w:p>
    <w:p w14:paraId="1ABB0D92" w14:textId="77777777" w:rsidR="009A6E21" w:rsidRDefault="009C3AB1">
      <w:pPr>
        <w:pStyle w:val="NormalWeb"/>
        <w:spacing w:line="360" w:lineRule="auto"/>
        <w:jc w:val="both"/>
      </w:pPr>
      <w:r>
        <w:rPr>
          <w:rStyle w:val="Strong"/>
        </w:rPr>
        <w:t>Keywords:</w:t>
      </w:r>
      <w:r>
        <w:t xml:space="preserve"> short-term exposure, long-term exposure, respiratory symptoms, eye irritation, environmental health, demographic factors, hair pigmentation, occupational risk</w:t>
      </w:r>
    </w:p>
    <w:p w14:paraId="15045D07" w14:textId="77777777" w:rsidR="009A6E21" w:rsidRDefault="009A6E21">
      <w:pPr>
        <w:spacing w:line="360" w:lineRule="auto"/>
        <w:rPr>
          <w:rFonts w:asciiTheme="majorBidi" w:hAnsiTheme="majorBidi" w:cstheme="majorBidi"/>
          <w:sz w:val="24"/>
          <w:szCs w:val="24"/>
        </w:rPr>
      </w:pPr>
    </w:p>
    <w:p w14:paraId="637197DA" w14:textId="77777777" w:rsidR="009A6E21" w:rsidRDefault="009A6E21">
      <w:pPr>
        <w:spacing w:line="360" w:lineRule="auto"/>
        <w:rPr>
          <w:rFonts w:asciiTheme="majorBidi" w:hAnsiTheme="majorBidi" w:cstheme="majorBidi"/>
          <w:sz w:val="24"/>
          <w:szCs w:val="24"/>
        </w:rPr>
      </w:pPr>
    </w:p>
    <w:p w14:paraId="17DB7CE2" w14:textId="77777777" w:rsidR="009A6E21" w:rsidRDefault="009A6E21">
      <w:pPr>
        <w:spacing w:line="360" w:lineRule="auto"/>
        <w:rPr>
          <w:rFonts w:asciiTheme="majorBidi" w:hAnsiTheme="majorBidi" w:cstheme="majorBidi"/>
          <w:sz w:val="24"/>
          <w:szCs w:val="24"/>
        </w:rPr>
      </w:pPr>
    </w:p>
    <w:p w14:paraId="5A52B926" w14:textId="77777777" w:rsidR="009A6E21" w:rsidRDefault="009A6E21">
      <w:pPr>
        <w:spacing w:line="360" w:lineRule="auto"/>
        <w:rPr>
          <w:rFonts w:asciiTheme="majorBidi" w:hAnsiTheme="majorBidi" w:cstheme="majorBidi"/>
          <w:sz w:val="24"/>
          <w:szCs w:val="24"/>
        </w:rPr>
      </w:pPr>
    </w:p>
    <w:p w14:paraId="3295D8D9" w14:textId="77777777" w:rsidR="009A6E21" w:rsidRDefault="009C3AB1">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Introduction:</w:t>
      </w:r>
    </w:p>
    <w:p w14:paraId="39ACC1D7" w14:textId="77777777" w:rsidR="009A6E21" w:rsidRDefault="009C3A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Pollution occurs when harmful materials (called pollutants) are introduced int</w:t>
      </w:r>
      <w:r>
        <w:rPr>
          <w:rFonts w:asciiTheme="majorBidi" w:hAnsiTheme="majorBidi" w:cstheme="majorBidi"/>
          <w:sz w:val="24"/>
          <w:szCs w:val="24"/>
        </w:rPr>
        <w:t xml:space="preserve">o the environment. Air pollution: one of the greatest environmental and public health threats (1). Oil and gas industry is a growing field, </w:t>
      </w:r>
      <w:proofErr w:type="spellStart"/>
      <w:r>
        <w:rPr>
          <w:rFonts w:asciiTheme="majorBidi" w:hAnsiTheme="majorBidi" w:cstheme="majorBidi"/>
          <w:sz w:val="24"/>
          <w:szCs w:val="24"/>
        </w:rPr>
        <w:t>offring</w:t>
      </w:r>
      <w:proofErr w:type="spellEnd"/>
      <w:r>
        <w:rPr>
          <w:rFonts w:asciiTheme="majorBidi" w:hAnsiTheme="majorBidi" w:cstheme="majorBidi"/>
          <w:sz w:val="24"/>
          <w:szCs w:val="24"/>
        </w:rPr>
        <w:t xml:space="preserve"> numerous job opportunities in different sites and for various carriers. A petroleum field is a tract of land</w:t>
      </w:r>
      <w:r>
        <w:rPr>
          <w:rFonts w:asciiTheme="majorBidi" w:hAnsiTheme="majorBidi" w:cstheme="majorBidi"/>
          <w:sz w:val="24"/>
          <w:szCs w:val="24"/>
        </w:rPr>
        <w:t xml:space="preserve"> used for the purpose of extracting petroleum, such as natural gas or crude oil, from the ground. The needs for petroleum are growing worldwide and the jobs opportunities are arising, thus the exposure of a large number of people to pollution is increasing</w:t>
      </w:r>
      <w:r>
        <w:rPr>
          <w:rFonts w:asciiTheme="majorBidi" w:hAnsiTheme="majorBidi" w:cstheme="majorBidi"/>
          <w:sz w:val="24"/>
          <w:szCs w:val="24"/>
        </w:rPr>
        <w:t xml:space="preserve"> (2).</w:t>
      </w:r>
    </w:p>
    <w:p w14:paraId="33953A1C" w14:textId="77777777" w:rsidR="009A6E21" w:rsidRDefault="009C3AB1">
      <w:pPr>
        <w:spacing w:line="360" w:lineRule="auto"/>
        <w:ind w:firstLine="720"/>
        <w:jc w:val="both"/>
        <w:rPr>
          <w:rFonts w:asciiTheme="majorBidi" w:hAnsiTheme="majorBidi"/>
          <w:sz w:val="24"/>
          <w:szCs w:val="24"/>
        </w:rPr>
      </w:pPr>
      <w:r>
        <w:rPr>
          <w:rFonts w:asciiTheme="majorBidi" w:hAnsiTheme="majorBidi"/>
          <w:sz w:val="24"/>
          <w:szCs w:val="24"/>
        </w:rPr>
        <w:t>Environmental pollution or atmospheric pollution is defined as “the presence in the atmosphere of materials, substances or forms of energy that imply serious annoyance, risk or damage to the safety or health of people, the environment and other prope</w:t>
      </w:r>
      <w:r>
        <w:rPr>
          <w:rFonts w:asciiTheme="majorBidi" w:hAnsiTheme="majorBidi"/>
          <w:sz w:val="24"/>
          <w:szCs w:val="24"/>
        </w:rPr>
        <w:t>rty ecosystems, and the overall balance of the environment (4). This polluting field leads to large-scale air pollution. Various pollutants are emitted during various phases of the petroleum refining process which are sulfur oxides (</w:t>
      </w:r>
      <w:proofErr w:type="spellStart"/>
      <w:r>
        <w:rPr>
          <w:rFonts w:asciiTheme="majorBidi" w:hAnsiTheme="majorBidi"/>
          <w:sz w:val="24"/>
          <w:szCs w:val="24"/>
        </w:rPr>
        <w:t>SOx</w:t>
      </w:r>
      <w:proofErr w:type="spellEnd"/>
      <w:r>
        <w:rPr>
          <w:rFonts w:asciiTheme="majorBidi" w:hAnsiTheme="majorBidi"/>
          <w:sz w:val="24"/>
          <w:szCs w:val="24"/>
        </w:rPr>
        <w:t>), nitrogen oxides (</w:t>
      </w:r>
      <w:r>
        <w:rPr>
          <w:rFonts w:asciiTheme="majorBidi" w:hAnsiTheme="majorBidi"/>
          <w:sz w:val="24"/>
          <w:szCs w:val="24"/>
        </w:rPr>
        <w:t>NOx), particulate matter, volatile organic compounds (VOCs), NH3, CO, H2S (5).</w:t>
      </w:r>
    </w:p>
    <w:p w14:paraId="7EE31850" w14:textId="77777777" w:rsidR="009A6E21" w:rsidRDefault="009C3AB1">
      <w:pPr>
        <w:spacing w:line="360" w:lineRule="auto"/>
        <w:ind w:firstLine="720"/>
        <w:jc w:val="both"/>
        <w:rPr>
          <w:rFonts w:asciiTheme="majorBidi" w:hAnsiTheme="majorBidi"/>
          <w:sz w:val="24"/>
          <w:szCs w:val="24"/>
        </w:rPr>
      </w:pPr>
      <w:r>
        <w:rPr>
          <w:rFonts w:asciiTheme="majorBidi" w:hAnsiTheme="majorBidi"/>
          <w:sz w:val="24"/>
          <w:szCs w:val="24"/>
        </w:rPr>
        <w:t xml:space="preserve"> The underlying mechanisms of the harmful health effects </w:t>
      </w:r>
      <w:proofErr w:type="gramStart"/>
      <w:r>
        <w:rPr>
          <w:rFonts w:asciiTheme="majorBidi" w:hAnsiTheme="majorBidi"/>
          <w:sz w:val="24"/>
          <w:szCs w:val="24"/>
        </w:rPr>
        <w:t>of  pollutants</w:t>
      </w:r>
      <w:proofErr w:type="gramEnd"/>
      <w:r>
        <w:rPr>
          <w:rFonts w:asciiTheme="majorBidi" w:hAnsiTheme="majorBidi"/>
          <w:sz w:val="24"/>
          <w:szCs w:val="24"/>
        </w:rPr>
        <w:t xml:space="preserve"> remain unclear. Different studies insisted on the effects of air pollution on oxidative stress, on inflam</w:t>
      </w:r>
      <w:r>
        <w:rPr>
          <w:rFonts w:asciiTheme="majorBidi" w:hAnsiTheme="majorBidi"/>
          <w:sz w:val="24"/>
          <w:szCs w:val="24"/>
        </w:rPr>
        <w:t xml:space="preserve">matory response, on DNA damage, and on tissue damage (6). The overproduction of free radicals leads to the oxidative stress that triggers cytotoxicity and inflammation (7). The lungs, the initial sites of pollutants deposition in the airway, are among the </w:t>
      </w:r>
      <w:r>
        <w:rPr>
          <w:rFonts w:asciiTheme="majorBidi" w:hAnsiTheme="majorBidi"/>
          <w:sz w:val="24"/>
          <w:szCs w:val="24"/>
        </w:rPr>
        <w:t xml:space="preserve">primary targets of toxicity. The inflammatory response is able to aggravate respiratory diseases including chronic obstructive pulmonary disease and asthma (6). A systemic inflammation is also possible due to the passage of inflammatory mediators into the </w:t>
      </w:r>
      <w:r>
        <w:rPr>
          <w:rFonts w:asciiTheme="majorBidi" w:hAnsiTheme="majorBidi"/>
          <w:sz w:val="24"/>
          <w:szCs w:val="24"/>
        </w:rPr>
        <w:t>blood which reach many organs (8).</w:t>
      </w:r>
    </w:p>
    <w:p w14:paraId="6928B497" w14:textId="77777777" w:rsidR="009A6E21" w:rsidRDefault="009C3AB1">
      <w:pPr>
        <w:spacing w:line="360" w:lineRule="auto"/>
        <w:ind w:firstLine="720"/>
        <w:jc w:val="both"/>
        <w:rPr>
          <w:rFonts w:asciiTheme="majorBidi" w:hAnsiTheme="majorBidi"/>
          <w:sz w:val="24"/>
          <w:szCs w:val="24"/>
        </w:rPr>
      </w:pPr>
      <w:r>
        <w:rPr>
          <w:rFonts w:asciiTheme="majorBidi" w:hAnsiTheme="majorBidi"/>
          <w:sz w:val="24"/>
          <w:szCs w:val="24"/>
        </w:rPr>
        <w:t>The effects of air pollution on human bodies depend on the proximity to extraction and refinery sites. Even people that live in residential areas near the oil industry sites may be affected more that those who live far aw</w:t>
      </w:r>
      <w:r>
        <w:rPr>
          <w:rFonts w:asciiTheme="majorBidi" w:hAnsiTheme="majorBidi"/>
          <w:sz w:val="24"/>
          <w:szCs w:val="24"/>
        </w:rPr>
        <w:t>ay. As well as The gases, fumes that workers in the oil sector are exposed to continuously and the failure to take preventive and environmental measures to reduce the risks resulting from it by the local government in Iraq had made this a problem that dese</w:t>
      </w:r>
      <w:r>
        <w:rPr>
          <w:rFonts w:asciiTheme="majorBidi" w:hAnsiTheme="majorBidi"/>
          <w:sz w:val="24"/>
          <w:szCs w:val="24"/>
        </w:rPr>
        <w:t xml:space="preserve">rves </w:t>
      </w:r>
      <w:r>
        <w:rPr>
          <w:rFonts w:asciiTheme="majorBidi" w:hAnsiTheme="majorBidi"/>
          <w:sz w:val="24"/>
          <w:szCs w:val="24"/>
        </w:rPr>
        <w:lastRenderedPageBreak/>
        <w:t>to be highlighted (9) , The aim of this study was to compare the demographic characteristics, clinical symptoms, and physical signs associated with short-term and long-term exposure to a specific environmental or occupational factor, in order to asses</w:t>
      </w:r>
      <w:r>
        <w:rPr>
          <w:rFonts w:asciiTheme="majorBidi" w:hAnsiTheme="majorBidi"/>
          <w:sz w:val="24"/>
          <w:szCs w:val="24"/>
        </w:rPr>
        <w:t>s the potential cumulative health impacts and identify patterns of symptom prevalence related to exposure duration.</w:t>
      </w:r>
    </w:p>
    <w:p w14:paraId="59A4E4B0" w14:textId="77777777" w:rsidR="009A6E21" w:rsidRDefault="009C3AB1">
      <w:pPr>
        <w:spacing w:line="360" w:lineRule="auto"/>
        <w:rPr>
          <w:rFonts w:asciiTheme="majorBidi" w:hAnsiTheme="majorBidi" w:cstheme="majorBidi"/>
          <w:b/>
          <w:bCs/>
          <w:sz w:val="24"/>
          <w:szCs w:val="24"/>
        </w:rPr>
      </w:pPr>
      <w:r>
        <w:rPr>
          <w:rFonts w:asciiTheme="majorBidi" w:hAnsiTheme="majorBidi" w:cstheme="majorBidi"/>
          <w:b/>
          <w:bCs/>
          <w:sz w:val="24"/>
          <w:szCs w:val="24"/>
        </w:rPr>
        <w:t>Materials and Methods:</w:t>
      </w:r>
    </w:p>
    <w:p w14:paraId="25E619FE" w14:textId="77777777" w:rsidR="009A6E21" w:rsidRDefault="009C3AB1">
      <w:pPr>
        <w:pStyle w:val="ds-markdown-paragraph"/>
        <w:spacing w:line="360" w:lineRule="auto"/>
        <w:jc w:val="both"/>
      </w:pPr>
      <w:r>
        <w:t xml:space="preserve">     A cohort of 200 workers from the occupational service of the oil sector was enrolled in this study between </w:t>
      </w:r>
      <w:r>
        <w:rPr>
          <w:rStyle w:val="Strong"/>
          <w:b w:val="0"/>
          <w:bCs w:val="0"/>
        </w:rPr>
        <w:t>Janua</w:t>
      </w:r>
      <w:r>
        <w:rPr>
          <w:rStyle w:val="Strong"/>
          <w:b w:val="0"/>
          <w:bCs w:val="0"/>
        </w:rPr>
        <w:t>ry 1, 2022, and December 31, 2023</w:t>
      </w:r>
      <w:r>
        <w:t xml:space="preserve">. Participants were categorized into two groups: </w:t>
      </w:r>
      <w:r>
        <w:rPr>
          <w:rStyle w:val="Strong"/>
          <w:b w:val="0"/>
          <w:bCs w:val="0"/>
        </w:rPr>
        <w:t>(1)</w:t>
      </w:r>
      <w:r>
        <w:t xml:space="preserve"> a </w:t>
      </w:r>
      <w:r>
        <w:rPr>
          <w:rStyle w:val="Strong"/>
          <w:b w:val="0"/>
          <w:bCs w:val="0"/>
        </w:rPr>
        <w:t>long-term exposure group</w:t>
      </w:r>
      <w:r>
        <w:t xml:space="preserve"> (n = 100), comprising employees with direct and prolonged exposure to pollution; </w:t>
      </w:r>
      <w:r>
        <w:rPr>
          <w:rStyle w:val="Strong"/>
          <w:b w:val="0"/>
          <w:bCs w:val="0"/>
        </w:rPr>
        <w:t>(2)</w:t>
      </w:r>
      <w:r>
        <w:t xml:space="preserve"> a </w:t>
      </w:r>
      <w:r>
        <w:rPr>
          <w:rStyle w:val="Strong"/>
          <w:b w:val="0"/>
          <w:bCs w:val="0"/>
        </w:rPr>
        <w:t>short-term/indirect exposure group</w:t>
      </w:r>
      <w:r>
        <w:t xml:space="preserve"> (n = 100), consisting</w:t>
      </w:r>
      <w:r>
        <w:t xml:space="preserve"> of administrative staff with limited or intermittent exposure. Oil stations were </w:t>
      </w:r>
      <w:r>
        <w:rPr>
          <w:rStyle w:val="Strong"/>
          <w:b w:val="0"/>
          <w:bCs w:val="0"/>
        </w:rPr>
        <w:t>randomly selected</w:t>
      </w:r>
      <w:r>
        <w:t xml:space="preserve">, prioritizing sites with a higher density of workers at risk of pollution exposure. </w:t>
      </w:r>
      <w:r>
        <w:rPr>
          <w:rStyle w:val="Strong"/>
          <w:b w:val="0"/>
          <w:bCs w:val="0"/>
        </w:rPr>
        <w:t>Inclusion criteria</w:t>
      </w:r>
      <w:r>
        <w:t xml:space="preserve"> required active employment in the oil sector with ver</w:t>
      </w:r>
      <w:r>
        <w:t xml:space="preserve">ifiable air pollution exposure. </w:t>
      </w:r>
      <w:r>
        <w:rPr>
          <w:rStyle w:val="Strong"/>
          <w:b w:val="0"/>
          <w:bCs w:val="0"/>
        </w:rPr>
        <w:t>Exclusion criteria</w:t>
      </w:r>
      <w:r>
        <w:t xml:space="preserve"> eliminated individuals undergoing antibiotic or antiviral therapy, as well as those diagnosed with hyperthyroidism, hypothyroidism, severe renal failure, chronic hepatic diseases, malignancies, autoimmune </w:t>
      </w:r>
      <w:r>
        <w:t>disorders, lung cancer, or chronic obstructive pulmonary disease (COPD).</w:t>
      </w:r>
    </w:p>
    <w:p w14:paraId="077FE7E3" w14:textId="77777777" w:rsidR="009A6E21" w:rsidRDefault="009C3AB1">
      <w:pPr>
        <w:pStyle w:val="ds-markdown-paragraph"/>
        <w:spacing w:line="360" w:lineRule="auto"/>
        <w:jc w:val="both"/>
      </w:pPr>
      <w:r>
        <w:rPr>
          <w:rStyle w:val="Strong"/>
          <w:b w:val="0"/>
          <w:bCs w:val="0"/>
        </w:rPr>
        <w:t>Ethical approval</w:t>
      </w:r>
      <w:r>
        <w:t xml:space="preserve"> was obtained from the </w:t>
      </w:r>
      <w:r>
        <w:rPr>
          <w:rStyle w:val="Strong"/>
          <w:b w:val="0"/>
          <w:bCs w:val="0"/>
        </w:rPr>
        <w:t>Scientific and Ethical Committee of the Western Health Area, College of Medicine, Babylon University</w:t>
      </w:r>
      <w:r>
        <w:t xml:space="preserve">. Prior to participation, </w:t>
      </w:r>
      <w:r>
        <w:rPr>
          <w:rStyle w:val="Strong"/>
          <w:b w:val="0"/>
          <w:bCs w:val="0"/>
        </w:rPr>
        <w:t>informed consent</w:t>
      </w:r>
      <w:r>
        <w:t xml:space="preserve"> was secured from all subjects following a detailed explanation of the study’s objectives. Additionally, a </w:t>
      </w:r>
      <w:r>
        <w:rPr>
          <w:rStyle w:val="Strong"/>
          <w:b w:val="0"/>
          <w:bCs w:val="0"/>
        </w:rPr>
        <w:t>structured questionnaire</w:t>
      </w:r>
      <w:r>
        <w:t xml:space="preserve"> was administered to collect relevant occupational and health data.</w:t>
      </w:r>
    </w:p>
    <w:p w14:paraId="50EFB54C" w14:textId="77777777" w:rsidR="009A6E21" w:rsidRDefault="009C3AB1">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Results </w:t>
      </w:r>
    </w:p>
    <w:p w14:paraId="170B098A" w14:textId="77777777" w:rsidR="009A6E21" w:rsidRDefault="009C3AB1">
      <w:pPr>
        <w:pStyle w:val="ListParagraph"/>
        <w:spacing w:after="0" w:line="360" w:lineRule="auto"/>
        <w:ind w:left="0"/>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Distribution of workers according to age  </w:t>
      </w:r>
    </w:p>
    <w:p w14:paraId="1D79C050" w14:textId="2648C2C7" w:rsidR="009A6E21" w:rsidRDefault="009C3AB1">
      <w:pPr>
        <w:spacing w:after="0" w:line="360" w:lineRule="auto"/>
        <w:ind w:firstLine="360"/>
        <w:jc w:val="both"/>
        <w:rPr>
          <w:rFonts w:asciiTheme="majorBidi" w:eastAsia="Calibri" w:hAnsiTheme="majorBidi" w:cstheme="majorBidi"/>
          <w:sz w:val="24"/>
          <w:szCs w:val="24"/>
        </w:rPr>
      </w:pPr>
      <w:proofErr w:type="spellStart"/>
      <w:r>
        <w:rPr>
          <w:rFonts w:asciiTheme="majorBidi" w:eastAsia="Calibri" w:hAnsiTheme="majorBidi" w:cstheme="majorBidi"/>
          <w:sz w:val="24"/>
          <w:szCs w:val="24"/>
        </w:rPr>
        <w:t>În</w:t>
      </w:r>
      <w:proofErr w:type="spellEnd"/>
      <w:r>
        <w:rPr>
          <w:rFonts w:asciiTheme="majorBidi" w:eastAsia="Calibri" w:hAnsiTheme="majorBidi" w:cstheme="majorBidi"/>
          <w:sz w:val="24"/>
          <w:szCs w:val="24"/>
        </w:rPr>
        <w:t xml:space="preserve"> the </w:t>
      </w:r>
      <w:proofErr w:type="spellStart"/>
      <w:r>
        <w:rPr>
          <w:rFonts w:asciiTheme="majorBidi" w:eastAsia="Calibri" w:hAnsiTheme="majorBidi" w:cstheme="majorBidi"/>
          <w:sz w:val="24"/>
          <w:szCs w:val="24"/>
        </w:rPr>
        <w:t>Twogroups</w:t>
      </w:r>
      <w:proofErr w:type="spellEnd"/>
      <w:r>
        <w:rPr>
          <w:rFonts w:asciiTheme="majorBidi" w:eastAsia="Calibri" w:hAnsiTheme="majorBidi" w:cstheme="majorBidi"/>
          <w:sz w:val="24"/>
          <w:szCs w:val="24"/>
        </w:rPr>
        <w:t xml:space="preserve">, the age of the participants </w:t>
      </w:r>
      <w:proofErr w:type="gramStart"/>
      <w:r>
        <w:rPr>
          <w:rFonts w:asciiTheme="majorBidi" w:eastAsia="Calibri" w:hAnsiTheme="majorBidi" w:cstheme="majorBidi"/>
          <w:sz w:val="24"/>
          <w:szCs w:val="24"/>
        </w:rPr>
        <w:t>range</w:t>
      </w:r>
      <w:proofErr w:type="gramEnd"/>
      <w:r>
        <w:rPr>
          <w:rFonts w:asciiTheme="majorBidi" w:eastAsia="Calibri" w:hAnsiTheme="majorBidi" w:cstheme="majorBidi"/>
          <w:sz w:val="24"/>
          <w:szCs w:val="24"/>
        </w:rPr>
        <w:t xml:space="preserve"> from 29 years old to 59 years old. Table (1) shows Median age was 35 years in the short-term exposure group and 48 years in the long-term exposure group. Median BMI was 24.5 kg/m² in the short-term exposure</w:t>
      </w:r>
      <w:r>
        <w:rPr>
          <w:rFonts w:asciiTheme="majorBidi" w:eastAsia="Calibri" w:hAnsiTheme="majorBidi" w:cstheme="majorBidi"/>
          <w:sz w:val="24"/>
          <w:szCs w:val="24"/>
        </w:rPr>
        <w:t xml:space="preserve"> group and 29.2 kg/m² in the long-term exposure group, the long-term exposure group had a higher percentage of participants with a secondary school education (42%) compared to the short-term exposure group </w:t>
      </w:r>
      <w:r>
        <w:rPr>
          <w:rFonts w:asciiTheme="majorBidi" w:eastAsia="Calibri" w:hAnsiTheme="majorBidi" w:cstheme="majorBidi"/>
          <w:sz w:val="24"/>
          <w:szCs w:val="24"/>
        </w:rPr>
        <w:lastRenderedPageBreak/>
        <w:t>(48%). A greater proportion of the long-term expos</w:t>
      </w:r>
      <w:r>
        <w:rPr>
          <w:rFonts w:asciiTheme="majorBidi" w:eastAsia="Calibri" w:hAnsiTheme="majorBidi" w:cstheme="majorBidi"/>
          <w:sz w:val="24"/>
          <w:szCs w:val="24"/>
        </w:rPr>
        <w:t>ure group were married (71%) compared to the short-term exposure group (63%). Current smoking was more prevalent in the long-term exposure group (58%) than the short-term exposure group (56%), abstinence from alcohol was more common in the long-term exposu</w:t>
      </w:r>
      <w:r>
        <w:rPr>
          <w:rFonts w:asciiTheme="majorBidi" w:eastAsia="Calibri" w:hAnsiTheme="majorBidi" w:cstheme="majorBidi"/>
          <w:sz w:val="24"/>
          <w:szCs w:val="24"/>
        </w:rPr>
        <w:t>re group (79%) versus the short-term exposure group (68%).</w:t>
      </w:r>
    </w:p>
    <w:p w14:paraId="62D373FC" w14:textId="50650F81"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Table (1) Distribution of oil sector workers according to characters </w:t>
      </w:r>
    </w:p>
    <w:tbl>
      <w:tblPr>
        <w:tblStyle w:val="TableGrid"/>
        <w:tblW w:w="8105" w:type="dxa"/>
        <w:jc w:val="center"/>
        <w:tblLook w:val="04A0" w:firstRow="1" w:lastRow="0" w:firstColumn="1" w:lastColumn="0" w:noHBand="0" w:noVBand="1"/>
      </w:tblPr>
      <w:tblGrid>
        <w:gridCol w:w="2073"/>
        <w:gridCol w:w="2173"/>
        <w:gridCol w:w="2223"/>
        <w:gridCol w:w="1636"/>
      </w:tblGrid>
      <w:tr w:rsidR="009A6E21" w14:paraId="2BEC8DED" w14:textId="77777777">
        <w:trPr>
          <w:trHeight w:val="1137"/>
          <w:jc w:val="center"/>
        </w:trPr>
        <w:tc>
          <w:tcPr>
            <w:tcW w:w="424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651569DB" w14:textId="77777777" w:rsidR="009A6E21" w:rsidRDefault="009C3AB1">
            <w:pPr>
              <w:spacing w:after="0"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Characteristic</w:t>
            </w:r>
          </w:p>
          <w:p w14:paraId="018AD233" w14:textId="77777777" w:rsidR="009A6E21" w:rsidRDefault="009A6E21">
            <w:pPr>
              <w:spacing w:after="0" w:line="360" w:lineRule="auto"/>
              <w:jc w:val="center"/>
              <w:rPr>
                <w:rFonts w:asciiTheme="majorBidi" w:hAnsiTheme="majorBidi" w:cstheme="majorBidi"/>
                <w:color w:val="000000"/>
                <w:sz w:val="24"/>
                <w:szCs w:val="24"/>
              </w:rPr>
            </w:pPr>
          </w:p>
        </w:tc>
        <w:tc>
          <w:tcPr>
            <w:tcW w:w="2223" w:type="dxa"/>
            <w:tcBorders>
              <w:top w:val="single" w:sz="4" w:space="0" w:color="auto"/>
              <w:left w:val="single" w:sz="4" w:space="0" w:color="auto"/>
              <w:bottom w:val="single" w:sz="4" w:space="0" w:color="auto"/>
              <w:right w:val="single" w:sz="4" w:space="0" w:color="auto"/>
            </w:tcBorders>
            <w:shd w:val="clear" w:color="auto" w:fill="FBD4B4"/>
            <w:vAlign w:val="center"/>
          </w:tcPr>
          <w:p w14:paraId="45AEA79F" w14:textId="77777777" w:rsidR="009A6E21" w:rsidRDefault="009C3AB1">
            <w:pPr>
              <w:spacing w:after="0"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Short-Term Exposure (n=100)</w:t>
            </w:r>
          </w:p>
        </w:tc>
        <w:tc>
          <w:tcPr>
            <w:tcW w:w="1636" w:type="dxa"/>
            <w:tcBorders>
              <w:top w:val="single" w:sz="4" w:space="0" w:color="auto"/>
              <w:left w:val="single" w:sz="4" w:space="0" w:color="auto"/>
              <w:bottom w:val="single" w:sz="4" w:space="0" w:color="auto"/>
              <w:right w:val="single" w:sz="4" w:space="0" w:color="auto"/>
            </w:tcBorders>
            <w:shd w:val="clear" w:color="auto" w:fill="FBD4B4"/>
            <w:vAlign w:val="center"/>
          </w:tcPr>
          <w:p w14:paraId="58616856" w14:textId="77777777" w:rsidR="009A6E21" w:rsidRDefault="009C3AB1">
            <w:pPr>
              <w:spacing w:after="0"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Long-Term Exposure (n=100)</w:t>
            </w:r>
          </w:p>
        </w:tc>
      </w:tr>
      <w:tr w:rsidR="009A6E21" w14:paraId="617D2C25" w14:textId="77777777">
        <w:trPr>
          <w:trHeight w:val="857"/>
          <w:jc w:val="center"/>
        </w:trPr>
        <w:tc>
          <w:tcPr>
            <w:tcW w:w="424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2D0D790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Median Age (years)</w:t>
            </w:r>
          </w:p>
          <w:p w14:paraId="78E95A75" w14:textId="77777777" w:rsidR="009A6E21" w:rsidRDefault="009A6E21">
            <w:pPr>
              <w:spacing w:after="0" w:line="360" w:lineRule="auto"/>
              <w:jc w:val="center"/>
              <w:rPr>
                <w:rFonts w:asciiTheme="majorBidi" w:hAnsiTheme="majorBidi" w:cstheme="majorBidi"/>
                <w:color w:val="000000"/>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tcPr>
          <w:p w14:paraId="2B4034F0"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35</w:t>
            </w:r>
          </w:p>
        </w:tc>
        <w:tc>
          <w:tcPr>
            <w:tcW w:w="1636" w:type="dxa"/>
            <w:tcBorders>
              <w:top w:val="single" w:sz="4" w:space="0" w:color="auto"/>
              <w:left w:val="single" w:sz="4" w:space="0" w:color="auto"/>
              <w:bottom w:val="single" w:sz="4" w:space="0" w:color="auto"/>
              <w:right w:val="single" w:sz="4" w:space="0" w:color="auto"/>
            </w:tcBorders>
            <w:vAlign w:val="center"/>
          </w:tcPr>
          <w:p w14:paraId="593BAD8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48</w:t>
            </w:r>
          </w:p>
        </w:tc>
      </w:tr>
      <w:tr w:rsidR="009A6E21" w14:paraId="7248365A" w14:textId="77777777">
        <w:trPr>
          <w:trHeight w:val="857"/>
          <w:jc w:val="center"/>
        </w:trPr>
        <w:tc>
          <w:tcPr>
            <w:tcW w:w="424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1A137D4E"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Median BMI (kg/m²)</w:t>
            </w:r>
          </w:p>
          <w:p w14:paraId="78BAE875" w14:textId="77777777" w:rsidR="009A6E21" w:rsidRDefault="009A6E21">
            <w:pPr>
              <w:spacing w:after="0" w:line="360" w:lineRule="auto"/>
              <w:jc w:val="center"/>
              <w:rPr>
                <w:rFonts w:asciiTheme="majorBidi" w:hAnsiTheme="majorBidi" w:cstheme="majorBidi"/>
                <w:color w:val="000000"/>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tcPr>
          <w:p w14:paraId="3574C984"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24.5</w:t>
            </w:r>
          </w:p>
        </w:tc>
        <w:tc>
          <w:tcPr>
            <w:tcW w:w="1636" w:type="dxa"/>
            <w:tcBorders>
              <w:top w:val="single" w:sz="4" w:space="0" w:color="auto"/>
              <w:left w:val="single" w:sz="4" w:space="0" w:color="auto"/>
              <w:bottom w:val="single" w:sz="4" w:space="0" w:color="auto"/>
              <w:right w:val="single" w:sz="4" w:space="0" w:color="auto"/>
            </w:tcBorders>
            <w:vAlign w:val="center"/>
          </w:tcPr>
          <w:p w14:paraId="5C638DEA"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29.2</w:t>
            </w:r>
          </w:p>
        </w:tc>
      </w:tr>
      <w:tr w:rsidR="009A6E21" w14:paraId="78ED5EFD" w14:textId="77777777">
        <w:trPr>
          <w:trHeight w:val="577"/>
          <w:jc w:val="center"/>
        </w:trPr>
        <w:tc>
          <w:tcPr>
            <w:tcW w:w="2073" w:type="dxa"/>
            <w:vMerge w:val="restart"/>
            <w:tcBorders>
              <w:top w:val="nil"/>
              <w:left w:val="single" w:sz="4" w:space="0" w:color="auto"/>
              <w:bottom w:val="single" w:sz="4" w:space="0" w:color="auto"/>
              <w:right w:val="single" w:sz="4" w:space="0" w:color="auto"/>
            </w:tcBorders>
            <w:shd w:val="clear" w:color="auto" w:fill="FBD4B4"/>
            <w:vAlign w:val="center"/>
          </w:tcPr>
          <w:p w14:paraId="575A0D8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Education Level</w:t>
            </w:r>
          </w:p>
        </w:tc>
        <w:tc>
          <w:tcPr>
            <w:tcW w:w="2173" w:type="dxa"/>
            <w:tcBorders>
              <w:top w:val="single" w:sz="4" w:space="0" w:color="auto"/>
              <w:left w:val="single" w:sz="4" w:space="0" w:color="auto"/>
              <w:bottom w:val="single" w:sz="4" w:space="0" w:color="auto"/>
              <w:right w:val="single" w:sz="4" w:space="0" w:color="auto"/>
            </w:tcBorders>
            <w:shd w:val="clear" w:color="auto" w:fill="FBD4B4"/>
            <w:vAlign w:val="center"/>
          </w:tcPr>
          <w:p w14:paraId="34C71253"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Primary school</w:t>
            </w:r>
          </w:p>
        </w:tc>
        <w:tc>
          <w:tcPr>
            <w:tcW w:w="2223" w:type="dxa"/>
            <w:tcBorders>
              <w:top w:val="single" w:sz="4" w:space="0" w:color="auto"/>
              <w:left w:val="single" w:sz="4" w:space="0" w:color="auto"/>
              <w:bottom w:val="single" w:sz="4" w:space="0" w:color="auto"/>
              <w:right w:val="single" w:sz="4" w:space="0" w:color="auto"/>
            </w:tcBorders>
            <w:vAlign w:val="center"/>
          </w:tcPr>
          <w:p w14:paraId="5416B8C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24</w:t>
            </w:r>
          </w:p>
        </w:tc>
        <w:tc>
          <w:tcPr>
            <w:tcW w:w="1636" w:type="dxa"/>
            <w:tcBorders>
              <w:top w:val="single" w:sz="4" w:space="0" w:color="auto"/>
              <w:left w:val="single" w:sz="4" w:space="0" w:color="auto"/>
              <w:bottom w:val="single" w:sz="4" w:space="0" w:color="auto"/>
              <w:right w:val="single" w:sz="4" w:space="0" w:color="auto"/>
            </w:tcBorders>
            <w:noWrap/>
            <w:vAlign w:val="center"/>
          </w:tcPr>
          <w:p w14:paraId="06BC17E5"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28</w:t>
            </w:r>
          </w:p>
        </w:tc>
      </w:tr>
      <w:tr w:rsidR="009A6E21" w14:paraId="0C4D105D"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456215F5"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5EF13031"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Secondary school</w:t>
            </w:r>
          </w:p>
        </w:tc>
        <w:tc>
          <w:tcPr>
            <w:tcW w:w="2223" w:type="dxa"/>
            <w:tcBorders>
              <w:top w:val="single" w:sz="4" w:space="0" w:color="auto"/>
              <w:left w:val="single" w:sz="4" w:space="0" w:color="auto"/>
              <w:bottom w:val="single" w:sz="4" w:space="0" w:color="auto"/>
              <w:right w:val="single" w:sz="4" w:space="0" w:color="auto"/>
            </w:tcBorders>
            <w:vAlign w:val="center"/>
          </w:tcPr>
          <w:p w14:paraId="65D2BFFC"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48</w:t>
            </w:r>
          </w:p>
        </w:tc>
        <w:tc>
          <w:tcPr>
            <w:tcW w:w="1636" w:type="dxa"/>
            <w:tcBorders>
              <w:top w:val="single" w:sz="4" w:space="0" w:color="auto"/>
              <w:left w:val="single" w:sz="4" w:space="0" w:color="auto"/>
              <w:bottom w:val="single" w:sz="4" w:space="0" w:color="auto"/>
              <w:right w:val="single" w:sz="4" w:space="0" w:color="auto"/>
            </w:tcBorders>
            <w:noWrap/>
            <w:vAlign w:val="center"/>
          </w:tcPr>
          <w:p w14:paraId="611C0DD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42</w:t>
            </w:r>
          </w:p>
        </w:tc>
      </w:tr>
      <w:tr w:rsidR="009A6E21" w14:paraId="09E59DB8"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037965ED"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6347FA08" w14:textId="77777777" w:rsidR="009A6E21" w:rsidRDefault="009C3AB1">
            <w:pPr>
              <w:spacing w:after="0" w:line="360" w:lineRule="auto"/>
              <w:jc w:val="center"/>
              <w:rPr>
                <w:rFonts w:asciiTheme="majorBidi" w:hAnsiTheme="majorBidi" w:cstheme="majorBidi"/>
                <w:color w:val="000000"/>
                <w:sz w:val="24"/>
                <w:szCs w:val="24"/>
              </w:rPr>
            </w:pPr>
            <w:proofErr w:type="spellStart"/>
            <w:r>
              <w:rPr>
                <w:rFonts w:asciiTheme="majorBidi" w:hAnsiTheme="majorBidi" w:cstheme="majorBidi"/>
                <w:color w:val="000000"/>
                <w:sz w:val="24"/>
                <w:szCs w:val="24"/>
              </w:rPr>
              <w:t>Hihly</w:t>
            </w:r>
            <w:proofErr w:type="spellEnd"/>
            <w:r>
              <w:rPr>
                <w:rFonts w:asciiTheme="majorBidi" w:hAnsiTheme="majorBidi" w:cstheme="majorBidi"/>
                <w:color w:val="000000"/>
                <w:sz w:val="24"/>
                <w:szCs w:val="24"/>
              </w:rPr>
              <w:t xml:space="preserve"> school</w:t>
            </w:r>
          </w:p>
        </w:tc>
        <w:tc>
          <w:tcPr>
            <w:tcW w:w="2223" w:type="dxa"/>
            <w:tcBorders>
              <w:top w:val="single" w:sz="4" w:space="0" w:color="auto"/>
              <w:left w:val="single" w:sz="4" w:space="0" w:color="auto"/>
              <w:bottom w:val="single" w:sz="4" w:space="0" w:color="auto"/>
              <w:right w:val="single" w:sz="4" w:space="0" w:color="auto"/>
            </w:tcBorders>
            <w:vAlign w:val="center"/>
          </w:tcPr>
          <w:p w14:paraId="5B4FE2F1"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28</w:t>
            </w:r>
          </w:p>
        </w:tc>
        <w:tc>
          <w:tcPr>
            <w:tcW w:w="1636" w:type="dxa"/>
            <w:tcBorders>
              <w:top w:val="single" w:sz="4" w:space="0" w:color="auto"/>
              <w:left w:val="single" w:sz="4" w:space="0" w:color="auto"/>
              <w:bottom w:val="single" w:sz="4" w:space="0" w:color="auto"/>
              <w:right w:val="single" w:sz="4" w:space="0" w:color="auto"/>
            </w:tcBorders>
            <w:noWrap/>
            <w:vAlign w:val="center"/>
          </w:tcPr>
          <w:p w14:paraId="22C20FD2"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30</w:t>
            </w:r>
          </w:p>
        </w:tc>
      </w:tr>
      <w:tr w:rsidR="009A6E21" w14:paraId="5F2837C4" w14:textId="77777777">
        <w:trPr>
          <w:trHeight w:val="298"/>
          <w:jc w:val="center"/>
        </w:trPr>
        <w:tc>
          <w:tcPr>
            <w:tcW w:w="2073" w:type="dxa"/>
            <w:vMerge w:val="restart"/>
            <w:tcBorders>
              <w:top w:val="nil"/>
              <w:left w:val="single" w:sz="4" w:space="0" w:color="auto"/>
              <w:bottom w:val="single" w:sz="4" w:space="0" w:color="auto"/>
              <w:right w:val="single" w:sz="4" w:space="0" w:color="auto"/>
            </w:tcBorders>
            <w:shd w:val="clear" w:color="auto" w:fill="FBD4B4"/>
            <w:noWrap/>
            <w:vAlign w:val="center"/>
          </w:tcPr>
          <w:p w14:paraId="48E058A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marital </w:t>
            </w:r>
            <w:proofErr w:type="spellStart"/>
            <w:r>
              <w:rPr>
                <w:rFonts w:asciiTheme="majorBidi" w:hAnsiTheme="majorBidi" w:cstheme="majorBidi"/>
                <w:color w:val="000000"/>
                <w:sz w:val="24"/>
                <w:szCs w:val="24"/>
              </w:rPr>
              <w:t>ststus</w:t>
            </w:r>
            <w:proofErr w:type="spellEnd"/>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61B71E4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Single</w:t>
            </w:r>
          </w:p>
        </w:tc>
        <w:tc>
          <w:tcPr>
            <w:tcW w:w="2223" w:type="dxa"/>
            <w:tcBorders>
              <w:top w:val="single" w:sz="4" w:space="0" w:color="auto"/>
              <w:left w:val="single" w:sz="4" w:space="0" w:color="auto"/>
              <w:bottom w:val="single" w:sz="4" w:space="0" w:color="auto"/>
              <w:right w:val="single" w:sz="4" w:space="0" w:color="auto"/>
            </w:tcBorders>
            <w:noWrap/>
            <w:vAlign w:val="center"/>
          </w:tcPr>
          <w:p w14:paraId="49121297"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32</w:t>
            </w:r>
          </w:p>
        </w:tc>
        <w:tc>
          <w:tcPr>
            <w:tcW w:w="1636" w:type="dxa"/>
            <w:tcBorders>
              <w:top w:val="single" w:sz="4" w:space="0" w:color="auto"/>
              <w:left w:val="single" w:sz="4" w:space="0" w:color="auto"/>
              <w:bottom w:val="single" w:sz="4" w:space="0" w:color="auto"/>
              <w:right w:val="single" w:sz="4" w:space="0" w:color="auto"/>
            </w:tcBorders>
            <w:noWrap/>
            <w:vAlign w:val="center"/>
          </w:tcPr>
          <w:p w14:paraId="5560018C"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18</w:t>
            </w:r>
          </w:p>
        </w:tc>
      </w:tr>
      <w:tr w:rsidR="009A6E21" w14:paraId="1D169725" w14:textId="77777777">
        <w:trPr>
          <w:trHeight w:val="298"/>
          <w:jc w:val="center"/>
        </w:trPr>
        <w:tc>
          <w:tcPr>
            <w:tcW w:w="2073" w:type="dxa"/>
            <w:vMerge/>
            <w:tcBorders>
              <w:top w:val="nil"/>
              <w:left w:val="single" w:sz="4" w:space="0" w:color="auto"/>
              <w:bottom w:val="single" w:sz="4" w:space="0" w:color="auto"/>
              <w:right w:val="single" w:sz="4" w:space="0" w:color="auto"/>
            </w:tcBorders>
            <w:vAlign w:val="center"/>
          </w:tcPr>
          <w:p w14:paraId="24F0473A"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30E93A90"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Married</w:t>
            </w:r>
          </w:p>
        </w:tc>
        <w:tc>
          <w:tcPr>
            <w:tcW w:w="2223" w:type="dxa"/>
            <w:tcBorders>
              <w:top w:val="single" w:sz="4" w:space="0" w:color="auto"/>
              <w:left w:val="single" w:sz="4" w:space="0" w:color="auto"/>
              <w:bottom w:val="single" w:sz="4" w:space="0" w:color="auto"/>
              <w:right w:val="single" w:sz="4" w:space="0" w:color="auto"/>
            </w:tcBorders>
            <w:noWrap/>
            <w:vAlign w:val="center"/>
          </w:tcPr>
          <w:p w14:paraId="7E786C84"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63</w:t>
            </w:r>
          </w:p>
        </w:tc>
        <w:tc>
          <w:tcPr>
            <w:tcW w:w="1636" w:type="dxa"/>
            <w:tcBorders>
              <w:top w:val="single" w:sz="4" w:space="0" w:color="auto"/>
              <w:left w:val="single" w:sz="4" w:space="0" w:color="auto"/>
              <w:bottom w:val="single" w:sz="4" w:space="0" w:color="auto"/>
              <w:right w:val="single" w:sz="4" w:space="0" w:color="auto"/>
            </w:tcBorders>
            <w:noWrap/>
            <w:vAlign w:val="center"/>
          </w:tcPr>
          <w:p w14:paraId="6CE80BB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71</w:t>
            </w:r>
          </w:p>
        </w:tc>
      </w:tr>
      <w:tr w:rsidR="009A6E21" w14:paraId="7074971E" w14:textId="77777777">
        <w:trPr>
          <w:trHeight w:val="298"/>
          <w:jc w:val="center"/>
        </w:trPr>
        <w:tc>
          <w:tcPr>
            <w:tcW w:w="2073" w:type="dxa"/>
            <w:vMerge/>
            <w:tcBorders>
              <w:top w:val="nil"/>
              <w:left w:val="single" w:sz="4" w:space="0" w:color="auto"/>
              <w:bottom w:val="single" w:sz="4" w:space="0" w:color="auto"/>
              <w:right w:val="single" w:sz="4" w:space="0" w:color="auto"/>
            </w:tcBorders>
            <w:vAlign w:val="center"/>
          </w:tcPr>
          <w:p w14:paraId="06B11F51"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540B14B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Divorced</w:t>
            </w:r>
          </w:p>
        </w:tc>
        <w:tc>
          <w:tcPr>
            <w:tcW w:w="2223" w:type="dxa"/>
            <w:tcBorders>
              <w:top w:val="single" w:sz="4" w:space="0" w:color="auto"/>
              <w:left w:val="single" w:sz="4" w:space="0" w:color="auto"/>
              <w:bottom w:val="single" w:sz="4" w:space="0" w:color="auto"/>
              <w:right w:val="single" w:sz="4" w:space="0" w:color="auto"/>
            </w:tcBorders>
            <w:noWrap/>
            <w:vAlign w:val="center"/>
          </w:tcPr>
          <w:p w14:paraId="48272D83"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w:t>
            </w:r>
          </w:p>
        </w:tc>
        <w:tc>
          <w:tcPr>
            <w:tcW w:w="1636" w:type="dxa"/>
            <w:tcBorders>
              <w:top w:val="single" w:sz="4" w:space="0" w:color="auto"/>
              <w:left w:val="single" w:sz="4" w:space="0" w:color="auto"/>
              <w:bottom w:val="single" w:sz="4" w:space="0" w:color="auto"/>
              <w:right w:val="single" w:sz="4" w:space="0" w:color="auto"/>
            </w:tcBorders>
            <w:noWrap/>
            <w:vAlign w:val="center"/>
          </w:tcPr>
          <w:p w14:paraId="2209E3C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11</w:t>
            </w:r>
          </w:p>
        </w:tc>
      </w:tr>
      <w:tr w:rsidR="009A6E21" w14:paraId="16BEA70F" w14:textId="77777777">
        <w:trPr>
          <w:trHeight w:val="519"/>
          <w:jc w:val="center"/>
        </w:trPr>
        <w:tc>
          <w:tcPr>
            <w:tcW w:w="2073" w:type="dxa"/>
            <w:vMerge w:val="restart"/>
            <w:tcBorders>
              <w:top w:val="nil"/>
              <w:left w:val="single" w:sz="4" w:space="0" w:color="auto"/>
              <w:bottom w:val="single" w:sz="4" w:space="0" w:color="auto"/>
              <w:right w:val="single" w:sz="4" w:space="0" w:color="auto"/>
            </w:tcBorders>
            <w:shd w:val="clear" w:color="auto" w:fill="FBD4B4"/>
            <w:noWrap/>
            <w:vAlign w:val="center"/>
          </w:tcPr>
          <w:p w14:paraId="43D658D4"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Smoking Status</w:t>
            </w: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111A8B7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Current Smoker</w:t>
            </w:r>
          </w:p>
        </w:tc>
        <w:tc>
          <w:tcPr>
            <w:tcW w:w="2223" w:type="dxa"/>
            <w:tcBorders>
              <w:top w:val="single" w:sz="4" w:space="0" w:color="auto"/>
              <w:left w:val="single" w:sz="4" w:space="0" w:color="auto"/>
              <w:bottom w:val="single" w:sz="4" w:space="0" w:color="auto"/>
              <w:right w:val="single" w:sz="4" w:space="0" w:color="auto"/>
            </w:tcBorders>
            <w:vAlign w:val="center"/>
          </w:tcPr>
          <w:p w14:paraId="426534E3"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636" w:type="dxa"/>
            <w:tcBorders>
              <w:top w:val="single" w:sz="4" w:space="0" w:color="auto"/>
              <w:left w:val="single" w:sz="4" w:space="0" w:color="auto"/>
              <w:bottom w:val="single" w:sz="4" w:space="0" w:color="auto"/>
              <w:right w:val="single" w:sz="4" w:space="0" w:color="auto"/>
            </w:tcBorders>
            <w:noWrap/>
            <w:vAlign w:val="center"/>
          </w:tcPr>
          <w:p w14:paraId="3FAACE71"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58</w:t>
            </w:r>
          </w:p>
        </w:tc>
      </w:tr>
      <w:tr w:rsidR="009A6E21" w14:paraId="1F06FAE3"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2B1BB468"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60E4B7F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Non-Smoker</w:t>
            </w:r>
          </w:p>
        </w:tc>
        <w:tc>
          <w:tcPr>
            <w:tcW w:w="2223" w:type="dxa"/>
            <w:tcBorders>
              <w:top w:val="single" w:sz="4" w:space="0" w:color="auto"/>
              <w:left w:val="single" w:sz="4" w:space="0" w:color="auto"/>
              <w:bottom w:val="single" w:sz="4" w:space="0" w:color="auto"/>
              <w:right w:val="single" w:sz="4" w:space="0" w:color="auto"/>
            </w:tcBorders>
            <w:vAlign w:val="center"/>
          </w:tcPr>
          <w:p w14:paraId="41729C2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38</w:t>
            </w:r>
          </w:p>
        </w:tc>
        <w:tc>
          <w:tcPr>
            <w:tcW w:w="1636" w:type="dxa"/>
            <w:tcBorders>
              <w:top w:val="single" w:sz="4" w:space="0" w:color="auto"/>
              <w:left w:val="single" w:sz="4" w:space="0" w:color="auto"/>
              <w:bottom w:val="single" w:sz="4" w:space="0" w:color="auto"/>
              <w:right w:val="single" w:sz="4" w:space="0" w:color="auto"/>
            </w:tcBorders>
            <w:noWrap/>
            <w:vAlign w:val="center"/>
          </w:tcPr>
          <w:p w14:paraId="64DD760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32</w:t>
            </w:r>
          </w:p>
        </w:tc>
      </w:tr>
      <w:tr w:rsidR="009A6E21" w14:paraId="25E1C806"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69D39D58"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764832B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Used to Smoke</w:t>
            </w:r>
          </w:p>
        </w:tc>
        <w:tc>
          <w:tcPr>
            <w:tcW w:w="2223" w:type="dxa"/>
            <w:tcBorders>
              <w:top w:val="single" w:sz="4" w:space="0" w:color="auto"/>
              <w:left w:val="single" w:sz="4" w:space="0" w:color="auto"/>
              <w:bottom w:val="single" w:sz="4" w:space="0" w:color="auto"/>
              <w:right w:val="single" w:sz="4" w:space="0" w:color="auto"/>
            </w:tcBorders>
            <w:vAlign w:val="center"/>
          </w:tcPr>
          <w:p w14:paraId="4ACEE9C7"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1636" w:type="dxa"/>
            <w:tcBorders>
              <w:top w:val="single" w:sz="4" w:space="0" w:color="auto"/>
              <w:left w:val="single" w:sz="4" w:space="0" w:color="auto"/>
              <w:bottom w:val="single" w:sz="4" w:space="0" w:color="auto"/>
              <w:right w:val="single" w:sz="4" w:space="0" w:color="auto"/>
            </w:tcBorders>
            <w:noWrap/>
            <w:vAlign w:val="center"/>
          </w:tcPr>
          <w:p w14:paraId="7EEB59D2"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10</w:t>
            </w:r>
          </w:p>
        </w:tc>
      </w:tr>
      <w:tr w:rsidR="009A6E21" w14:paraId="540C5538" w14:textId="77777777">
        <w:trPr>
          <w:trHeight w:val="298"/>
          <w:jc w:val="center"/>
        </w:trPr>
        <w:tc>
          <w:tcPr>
            <w:tcW w:w="2073" w:type="dxa"/>
            <w:vMerge w:val="restart"/>
            <w:tcBorders>
              <w:top w:val="nil"/>
              <w:left w:val="single" w:sz="4" w:space="0" w:color="auto"/>
              <w:bottom w:val="single" w:sz="4" w:space="0" w:color="auto"/>
              <w:right w:val="single" w:sz="4" w:space="0" w:color="auto"/>
            </w:tcBorders>
            <w:shd w:val="clear" w:color="auto" w:fill="FBD4B4"/>
            <w:noWrap/>
            <w:vAlign w:val="center"/>
          </w:tcPr>
          <w:p w14:paraId="61C3560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Alcohol Consumption</w:t>
            </w: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1DC87887"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Never</w:t>
            </w:r>
          </w:p>
        </w:tc>
        <w:tc>
          <w:tcPr>
            <w:tcW w:w="2223" w:type="dxa"/>
            <w:tcBorders>
              <w:top w:val="single" w:sz="4" w:space="0" w:color="auto"/>
              <w:left w:val="single" w:sz="4" w:space="0" w:color="auto"/>
              <w:bottom w:val="single" w:sz="4" w:space="0" w:color="auto"/>
              <w:right w:val="single" w:sz="4" w:space="0" w:color="auto"/>
            </w:tcBorders>
            <w:noWrap/>
            <w:vAlign w:val="center"/>
          </w:tcPr>
          <w:p w14:paraId="2EC4A40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68</w:t>
            </w:r>
          </w:p>
        </w:tc>
        <w:tc>
          <w:tcPr>
            <w:tcW w:w="1636" w:type="dxa"/>
            <w:tcBorders>
              <w:top w:val="single" w:sz="4" w:space="0" w:color="auto"/>
              <w:left w:val="single" w:sz="4" w:space="0" w:color="auto"/>
              <w:bottom w:val="single" w:sz="4" w:space="0" w:color="auto"/>
              <w:right w:val="single" w:sz="4" w:space="0" w:color="auto"/>
            </w:tcBorders>
            <w:noWrap/>
            <w:vAlign w:val="center"/>
          </w:tcPr>
          <w:p w14:paraId="48D5FB0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79</w:t>
            </w:r>
          </w:p>
        </w:tc>
      </w:tr>
      <w:tr w:rsidR="009A6E21" w14:paraId="5978CEE8" w14:textId="77777777">
        <w:trPr>
          <w:trHeight w:val="538"/>
          <w:jc w:val="center"/>
        </w:trPr>
        <w:tc>
          <w:tcPr>
            <w:tcW w:w="2073" w:type="dxa"/>
            <w:vMerge/>
            <w:tcBorders>
              <w:top w:val="nil"/>
              <w:left w:val="single" w:sz="4" w:space="0" w:color="auto"/>
              <w:bottom w:val="single" w:sz="4" w:space="0" w:color="auto"/>
              <w:right w:val="single" w:sz="4" w:space="0" w:color="auto"/>
            </w:tcBorders>
            <w:vAlign w:val="center"/>
          </w:tcPr>
          <w:p w14:paraId="782E3416"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1F911BA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Current drink</w:t>
            </w:r>
          </w:p>
        </w:tc>
        <w:tc>
          <w:tcPr>
            <w:tcW w:w="2223" w:type="dxa"/>
            <w:tcBorders>
              <w:top w:val="single" w:sz="4" w:space="0" w:color="auto"/>
              <w:left w:val="single" w:sz="4" w:space="0" w:color="auto"/>
              <w:bottom w:val="single" w:sz="4" w:space="0" w:color="auto"/>
              <w:right w:val="single" w:sz="4" w:space="0" w:color="auto"/>
            </w:tcBorders>
            <w:vAlign w:val="center"/>
          </w:tcPr>
          <w:p w14:paraId="1CDF235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32</w:t>
            </w:r>
          </w:p>
        </w:tc>
        <w:tc>
          <w:tcPr>
            <w:tcW w:w="1636" w:type="dxa"/>
            <w:tcBorders>
              <w:top w:val="single" w:sz="4" w:space="0" w:color="auto"/>
              <w:left w:val="single" w:sz="4" w:space="0" w:color="auto"/>
              <w:bottom w:val="single" w:sz="4" w:space="0" w:color="auto"/>
              <w:right w:val="single" w:sz="4" w:space="0" w:color="auto"/>
            </w:tcBorders>
            <w:noWrap/>
            <w:vAlign w:val="center"/>
          </w:tcPr>
          <w:p w14:paraId="375BD7F6"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21</w:t>
            </w:r>
          </w:p>
        </w:tc>
      </w:tr>
    </w:tbl>
    <w:p w14:paraId="0AA6929F" w14:textId="77777777"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14:paraId="3353864D" w14:textId="77777777" w:rsidR="009A6E21" w:rsidRDefault="009C3AB1">
      <w:pPr>
        <w:spacing w:line="360" w:lineRule="auto"/>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 Respiratory symptoms reported by exposed subjects:</w:t>
      </w:r>
    </w:p>
    <w:p w14:paraId="2653F5B7" w14:textId="5010AA95"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We did notice that the subjects exposed to air pollution in oil stations present a delay in growth all oil sectors workers, in the short-term exposure group, 15% experienced a bump at the root of the nose, 30% reported sneezing, 35% had coughing, 12% </w:t>
      </w:r>
      <w:r>
        <w:rPr>
          <w:rFonts w:asciiTheme="majorBidi" w:eastAsia="Calibri" w:hAnsiTheme="majorBidi" w:cstheme="majorBidi"/>
          <w:sz w:val="24"/>
          <w:szCs w:val="24"/>
        </w:rPr>
        <w:t>experienced chest pain, 18% had wheezing, 25% had skin rash or irritation, 22% had headaches, 16% had dizziness or nausea, 28% had eye irritation, and 14% had respiratory infections. In the long-term exposure group, these percentages increased to 25%, 40%,</w:t>
      </w:r>
      <w:r>
        <w:rPr>
          <w:rFonts w:asciiTheme="majorBidi" w:eastAsia="Calibri" w:hAnsiTheme="majorBidi" w:cstheme="majorBidi"/>
          <w:sz w:val="24"/>
          <w:szCs w:val="24"/>
        </w:rPr>
        <w:t xml:space="preserve"> 55%, 20%, 35%, 15%, 28%, 18%, 20%, and 22%, respectively table 2.</w:t>
      </w:r>
    </w:p>
    <w:p w14:paraId="7E063ABA" w14:textId="2A6CE8B4" w:rsidR="009A6E21" w:rsidRDefault="009C3AB1">
      <w:pPr>
        <w:spacing w:after="0" w:line="360" w:lineRule="auto"/>
        <w:ind w:firstLineChars="250" w:firstLine="60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Table 2: clinical signs of oil sector workers in both groups </w:t>
      </w:r>
    </w:p>
    <w:tbl>
      <w:tblPr>
        <w:tblStyle w:val="TableGrid"/>
        <w:tblW w:w="9104" w:type="dxa"/>
        <w:tblInd w:w="63" w:type="dxa"/>
        <w:tblLook w:val="04A0" w:firstRow="1" w:lastRow="0" w:firstColumn="1" w:lastColumn="0" w:noHBand="0" w:noVBand="1"/>
      </w:tblPr>
      <w:tblGrid>
        <w:gridCol w:w="3105"/>
        <w:gridCol w:w="2917"/>
        <w:gridCol w:w="3082"/>
      </w:tblGrid>
      <w:tr w:rsidR="009A6E21" w14:paraId="5066046F" w14:textId="77777777">
        <w:trPr>
          <w:trHeight w:val="717"/>
        </w:trPr>
        <w:tc>
          <w:tcPr>
            <w:tcW w:w="3105" w:type="dxa"/>
            <w:shd w:val="clear" w:color="auto" w:fill="FBD4B4" w:themeFill="accent6" w:themeFillTint="66"/>
          </w:tcPr>
          <w:p w14:paraId="5007FC30" w14:textId="77777777" w:rsidR="009A6E21" w:rsidRDefault="009C3AB1">
            <w:pPr>
              <w:spacing w:line="360" w:lineRule="auto"/>
              <w:jc w:val="center"/>
              <w:rPr>
                <w:rFonts w:asciiTheme="majorBidi" w:eastAsia="Calibri" w:hAnsiTheme="majorBidi" w:cstheme="majorBidi"/>
                <w:b/>
                <w:bCs/>
                <w:sz w:val="24"/>
                <w:szCs w:val="24"/>
              </w:rPr>
            </w:pPr>
            <w:r>
              <w:rPr>
                <w:rFonts w:asciiTheme="majorBidi" w:eastAsia="SimSun" w:hAnsiTheme="majorBidi" w:cstheme="majorBidi"/>
                <w:b/>
                <w:bCs/>
                <w:sz w:val="24"/>
                <w:szCs w:val="24"/>
              </w:rPr>
              <w:t>Clinical Sign</w:t>
            </w:r>
          </w:p>
        </w:tc>
        <w:tc>
          <w:tcPr>
            <w:tcW w:w="2917" w:type="dxa"/>
            <w:shd w:val="clear" w:color="auto" w:fill="FBD4B4" w:themeFill="accent6" w:themeFillTint="66"/>
          </w:tcPr>
          <w:p w14:paraId="5D6298C6" w14:textId="77777777" w:rsidR="009A6E21" w:rsidRDefault="009C3AB1">
            <w:pPr>
              <w:spacing w:after="0" w:line="360" w:lineRule="auto"/>
              <w:jc w:val="center"/>
              <w:rPr>
                <w:rFonts w:asciiTheme="majorBidi" w:eastAsia="SimSun" w:hAnsiTheme="majorBidi" w:cstheme="majorBidi"/>
                <w:b/>
                <w:bCs/>
                <w:sz w:val="24"/>
                <w:szCs w:val="24"/>
              </w:rPr>
            </w:pPr>
            <w:r>
              <w:rPr>
                <w:rFonts w:asciiTheme="majorBidi" w:eastAsia="SimSun" w:hAnsiTheme="majorBidi" w:cstheme="majorBidi"/>
                <w:b/>
                <w:bCs/>
                <w:sz w:val="24"/>
                <w:szCs w:val="24"/>
              </w:rPr>
              <w:t>Short-Term Exposure, (n=100) No. (%)</w:t>
            </w:r>
          </w:p>
        </w:tc>
        <w:tc>
          <w:tcPr>
            <w:tcW w:w="3082" w:type="dxa"/>
            <w:shd w:val="clear" w:color="auto" w:fill="FBD4B4" w:themeFill="accent6" w:themeFillTint="66"/>
          </w:tcPr>
          <w:p w14:paraId="2A8BCDE1" w14:textId="77777777" w:rsidR="009A6E21" w:rsidRDefault="009C3AB1">
            <w:pPr>
              <w:spacing w:after="0" w:line="360" w:lineRule="auto"/>
              <w:jc w:val="center"/>
              <w:rPr>
                <w:rFonts w:asciiTheme="majorBidi" w:eastAsia="SimSun" w:hAnsiTheme="majorBidi" w:cstheme="majorBidi"/>
                <w:b/>
                <w:bCs/>
                <w:sz w:val="24"/>
                <w:szCs w:val="24"/>
              </w:rPr>
            </w:pPr>
            <w:r>
              <w:rPr>
                <w:rFonts w:asciiTheme="majorBidi" w:eastAsia="SimSun" w:hAnsiTheme="majorBidi" w:cstheme="majorBidi"/>
                <w:b/>
                <w:bCs/>
                <w:sz w:val="24"/>
                <w:szCs w:val="24"/>
              </w:rPr>
              <w:t>Long-Term Exposure, (n=100) No. (%)</w:t>
            </w:r>
          </w:p>
        </w:tc>
      </w:tr>
      <w:tr w:rsidR="009A6E21" w14:paraId="2EE26124" w14:textId="77777777">
        <w:trPr>
          <w:trHeight w:val="266"/>
        </w:trPr>
        <w:tc>
          <w:tcPr>
            <w:tcW w:w="3105" w:type="dxa"/>
            <w:shd w:val="clear" w:color="auto" w:fill="FBD4B4" w:themeFill="accent6" w:themeFillTint="66"/>
          </w:tcPr>
          <w:p w14:paraId="74C4EC0A"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Bump at the root of the nose</w:t>
            </w:r>
          </w:p>
        </w:tc>
        <w:tc>
          <w:tcPr>
            <w:tcW w:w="2917" w:type="dxa"/>
          </w:tcPr>
          <w:p w14:paraId="41A0340B"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15 (15%)</w:t>
            </w:r>
          </w:p>
        </w:tc>
        <w:tc>
          <w:tcPr>
            <w:tcW w:w="3082" w:type="dxa"/>
          </w:tcPr>
          <w:p w14:paraId="39F95FF1"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25 (25%)</w:t>
            </w:r>
          </w:p>
        </w:tc>
      </w:tr>
      <w:tr w:rsidR="009A6E21" w14:paraId="2B3CF310" w14:textId="77777777">
        <w:trPr>
          <w:trHeight w:val="266"/>
        </w:trPr>
        <w:tc>
          <w:tcPr>
            <w:tcW w:w="3105" w:type="dxa"/>
            <w:shd w:val="clear" w:color="auto" w:fill="FBD4B4" w:themeFill="accent6" w:themeFillTint="66"/>
          </w:tcPr>
          <w:p w14:paraId="3DB56B95"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Sneezing</w:t>
            </w:r>
          </w:p>
        </w:tc>
        <w:tc>
          <w:tcPr>
            <w:tcW w:w="2917" w:type="dxa"/>
          </w:tcPr>
          <w:p w14:paraId="73ED143C"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30 (30%)</w:t>
            </w:r>
          </w:p>
        </w:tc>
        <w:tc>
          <w:tcPr>
            <w:tcW w:w="3082" w:type="dxa"/>
          </w:tcPr>
          <w:p w14:paraId="692E2B38"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40 (40%)</w:t>
            </w:r>
          </w:p>
        </w:tc>
      </w:tr>
      <w:tr w:rsidR="009A6E21" w14:paraId="1ED872D1" w14:textId="77777777">
        <w:trPr>
          <w:trHeight w:val="266"/>
        </w:trPr>
        <w:tc>
          <w:tcPr>
            <w:tcW w:w="3105" w:type="dxa"/>
            <w:shd w:val="clear" w:color="auto" w:fill="FBD4B4" w:themeFill="accent6" w:themeFillTint="66"/>
          </w:tcPr>
          <w:p w14:paraId="5C457FFB"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Coughing</w:t>
            </w:r>
          </w:p>
        </w:tc>
        <w:tc>
          <w:tcPr>
            <w:tcW w:w="2917" w:type="dxa"/>
          </w:tcPr>
          <w:p w14:paraId="714BB1D9"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35 (35%)</w:t>
            </w:r>
          </w:p>
        </w:tc>
        <w:tc>
          <w:tcPr>
            <w:tcW w:w="3082" w:type="dxa"/>
          </w:tcPr>
          <w:p w14:paraId="7FF2C0B9"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55 (55%)</w:t>
            </w:r>
          </w:p>
        </w:tc>
      </w:tr>
      <w:tr w:rsidR="009A6E21" w14:paraId="5D90B3E4" w14:textId="77777777">
        <w:trPr>
          <w:trHeight w:val="266"/>
        </w:trPr>
        <w:tc>
          <w:tcPr>
            <w:tcW w:w="3105" w:type="dxa"/>
            <w:shd w:val="clear" w:color="auto" w:fill="FBD4B4" w:themeFill="accent6" w:themeFillTint="66"/>
          </w:tcPr>
          <w:p w14:paraId="70B98E45"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Chest pain</w:t>
            </w:r>
          </w:p>
        </w:tc>
        <w:tc>
          <w:tcPr>
            <w:tcW w:w="2917" w:type="dxa"/>
          </w:tcPr>
          <w:p w14:paraId="1993DECF"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12 (12%)</w:t>
            </w:r>
          </w:p>
        </w:tc>
        <w:tc>
          <w:tcPr>
            <w:tcW w:w="3082" w:type="dxa"/>
          </w:tcPr>
          <w:p w14:paraId="58D77AD9"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20 (20%)</w:t>
            </w:r>
          </w:p>
        </w:tc>
      </w:tr>
      <w:tr w:rsidR="009A6E21" w14:paraId="630DEBFC" w14:textId="77777777">
        <w:trPr>
          <w:trHeight w:val="266"/>
        </w:trPr>
        <w:tc>
          <w:tcPr>
            <w:tcW w:w="3105" w:type="dxa"/>
            <w:shd w:val="clear" w:color="auto" w:fill="FBD4B4" w:themeFill="accent6" w:themeFillTint="66"/>
          </w:tcPr>
          <w:p w14:paraId="13522299"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Wheezing</w:t>
            </w:r>
          </w:p>
        </w:tc>
        <w:tc>
          <w:tcPr>
            <w:tcW w:w="2917" w:type="dxa"/>
          </w:tcPr>
          <w:p w14:paraId="51060938"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18 (18%)</w:t>
            </w:r>
          </w:p>
        </w:tc>
        <w:tc>
          <w:tcPr>
            <w:tcW w:w="3082" w:type="dxa"/>
          </w:tcPr>
          <w:p w14:paraId="6F9C87AD"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35 (35%)</w:t>
            </w:r>
          </w:p>
        </w:tc>
      </w:tr>
      <w:tr w:rsidR="009A6E21" w14:paraId="391A3A4F" w14:textId="77777777">
        <w:trPr>
          <w:trHeight w:val="266"/>
        </w:trPr>
        <w:tc>
          <w:tcPr>
            <w:tcW w:w="3105" w:type="dxa"/>
            <w:shd w:val="clear" w:color="auto" w:fill="FBD4B4" w:themeFill="accent6" w:themeFillTint="66"/>
          </w:tcPr>
          <w:p w14:paraId="2823115E"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Skin rash or irritation</w:t>
            </w:r>
          </w:p>
        </w:tc>
        <w:tc>
          <w:tcPr>
            <w:tcW w:w="2917" w:type="dxa"/>
          </w:tcPr>
          <w:p w14:paraId="645E0F6C"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25 (25%)</w:t>
            </w:r>
          </w:p>
        </w:tc>
        <w:tc>
          <w:tcPr>
            <w:tcW w:w="3082" w:type="dxa"/>
          </w:tcPr>
          <w:p w14:paraId="07829EFE"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15 (15%)</w:t>
            </w:r>
          </w:p>
        </w:tc>
      </w:tr>
      <w:tr w:rsidR="009A6E21" w14:paraId="16569100" w14:textId="77777777">
        <w:trPr>
          <w:trHeight w:val="266"/>
        </w:trPr>
        <w:tc>
          <w:tcPr>
            <w:tcW w:w="3105" w:type="dxa"/>
            <w:shd w:val="clear" w:color="auto" w:fill="FBD4B4" w:themeFill="accent6" w:themeFillTint="66"/>
          </w:tcPr>
          <w:p w14:paraId="3E3BBFD7"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Headaches</w:t>
            </w:r>
          </w:p>
        </w:tc>
        <w:tc>
          <w:tcPr>
            <w:tcW w:w="2917" w:type="dxa"/>
          </w:tcPr>
          <w:p w14:paraId="153B7E77"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22 (22%)</w:t>
            </w:r>
          </w:p>
        </w:tc>
        <w:tc>
          <w:tcPr>
            <w:tcW w:w="3082" w:type="dxa"/>
          </w:tcPr>
          <w:p w14:paraId="266F492A"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28 (28%)</w:t>
            </w:r>
          </w:p>
        </w:tc>
      </w:tr>
      <w:tr w:rsidR="009A6E21" w14:paraId="36AB6792" w14:textId="77777777">
        <w:trPr>
          <w:trHeight w:val="266"/>
        </w:trPr>
        <w:tc>
          <w:tcPr>
            <w:tcW w:w="3105" w:type="dxa"/>
            <w:shd w:val="clear" w:color="auto" w:fill="FBD4B4" w:themeFill="accent6" w:themeFillTint="66"/>
          </w:tcPr>
          <w:p w14:paraId="12055E15"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Dizziness or nausea</w:t>
            </w:r>
          </w:p>
        </w:tc>
        <w:tc>
          <w:tcPr>
            <w:tcW w:w="2917" w:type="dxa"/>
          </w:tcPr>
          <w:p w14:paraId="72F6FE21"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16 (16%)</w:t>
            </w:r>
          </w:p>
        </w:tc>
        <w:tc>
          <w:tcPr>
            <w:tcW w:w="3082" w:type="dxa"/>
          </w:tcPr>
          <w:p w14:paraId="0880222A"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18 (18%)</w:t>
            </w:r>
          </w:p>
        </w:tc>
      </w:tr>
      <w:tr w:rsidR="009A6E21" w14:paraId="68D1F764" w14:textId="77777777">
        <w:trPr>
          <w:trHeight w:val="266"/>
        </w:trPr>
        <w:tc>
          <w:tcPr>
            <w:tcW w:w="3105" w:type="dxa"/>
            <w:shd w:val="clear" w:color="auto" w:fill="FBD4B4" w:themeFill="accent6" w:themeFillTint="66"/>
          </w:tcPr>
          <w:p w14:paraId="68B11C5C"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Eye irritation</w:t>
            </w:r>
          </w:p>
        </w:tc>
        <w:tc>
          <w:tcPr>
            <w:tcW w:w="2917" w:type="dxa"/>
          </w:tcPr>
          <w:p w14:paraId="6D99EAD5"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 xml:space="preserve">28 </w:t>
            </w:r>
            <w:r>
              <w:rPr>
                <w:rFonts w:asciiTheme="majorBidi" w:eastAsia="SimSun" w:hAnsiTheme="majorBidi" w:cstheme="majorBidi"/>
                <w:sz w:val="24"/>
                <w:szCs w:val="24"/>
              </w:rPr>
              <w:t>(28%)</w:t>
            </w:r>
          </w:p>
        </w:tc>
        <w:tc>
          <w:tcPr>
            <w:tcW w:w="3082" w:type="dxa"/>
          </w:tcPr>
          <w:p w14:paraId="44D2DF6B"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20 (20%)</w:t>
            </w:r>
          </w:p>
        </w:tc>
      </w:tr>
      <w:tr w:rsidR="009A6E21" w14:paraId="65239D5D" w14:textId="77777777">
        <w:trPr>
          <w:trHeight w:val="290"/>
        </w:trPr>
        <w:tc>
          <w:tcPr>
            <w:tcW w:w="3105" w:type="dxa"/>
            <w:shd w:val="clear" w:color="auto" w:fill="FBD4B4" w:themeFill="accent6" w:themeFillTint="66"/>
          </w:tcPr>
          <w:p w14:paraId="5A0CAA44"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Respiratory infections</w:t>
            </w:r>
          </w:p>
        </w:tc>
        <w:tc>
          <w:tcPr>
            <w:tcW w:w="2917" w:type="dxa"/>
          </w:tcPr>
          <w:p w14:paraId="32ECE4F8"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14 (14%)</w:t>
            </w:r>
          </w:p>
        </w:tc>
        <w:tc>
          <w:tcPr>
            <w:tcW w:w="3082" w:type="dxa"/>
          </w:tcPr>
          <w:p w14:paraId="4518D802"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22 (22%)</w:t>
            </w:r>
          </w:p>
        </w:tc>
      </w:tr>
    </w:tbl>
    <w:p w14:paraId="2258F46B" w14:textId="77777777" w:rsidR="009A6E21" w:rsidRDefault="009C3AB1">
      <w:pPr>
        <w:spacing w:after="0" w:line="36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4.1.3. The effect of Oli pollution on Eyes and Hairs in workers oil sectors </w:t>
      </w:r>
    </w:p>
    <w:p w14:paraId="49A57B78" w14:textId="2F27FB50"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     The results showed that </w:t>
      </w:r>
      <w:proofErr w:type="gramStart"/>
      <w:r>
        <w:rPr>
          <w:rFonts w:asciiTheme="majorBidi" w:eastAsia="Calibri" w:hAnsiTheme="majorBidi" w:cstheme="majorBidi"/>
          <w:sz w:val="24"/>
          <w:szCs w:val="24"/>
        </w:rPr>
        <w:t>In</w:t>
      </w:r>
      <w:proofErr w:type="gramEnd"/>
      <w:r>
        <w:rPr>
          <w:rFonts w:asciiTheme="majorBidi" w:eastAsia="Calibri" w:hAnsiTheme="majorBidi" w:cstheme="majorBidi"/>
          <w:sz w:val="24"/>
          <w:szCs w:val="24"/>
        </w:rPr>
        <w:t xml:space="preserve"> the short-term exposure group, 35% of workers experienced eye redness, 25% had visible congested capillaries in the pupils, and 18% had swelling under the eyeball. The majority (70%) had normal scalp and black hair, while 15% had blonde hair and 10% had w</w:t>
      </w:r>
      <w:r>
        <w:rPr>
          <w:rFonts w:asciiTheme="majorBidi" w:eastAsia="Calibri" w:hAnsiTheme="majorBidi" w:cstheme="majorBidi"/>
          <w:sz w:val="24"/>
          <w:szCs w:val="24"/>
        </w:rPr>
        <w:t>hite hair. In the long-term exposure group, the percentages for these eye and hair signs were higher. Eye redness was reported by 60% of workers, 45% had visible congested capillaries in the pupils, and 32% had swelling under the eyeball. The percentage of</w:t>
      </w:r>
      <w:r>
        <w:rPr>
          <w:rFonts w:asciiTheme="majorBidi" w:eastAsia="Calibri" w:hAnsiTheme="majorBidi" w:cstheme="majorBidi"/>
          <w:sz w:val="24"/>
          <w:szCs w:val="24"/>
        </w:rPr>
        <w:t xml:space="preserve"> workers with normal scalp and black hair decreased to 55%, while 25% had blonde hair and 20% had white hair table 3.</w:t>
      </w:r>
    </w:p>
    <w:p w14:paraId="6C7E992F" w14:textId="2BE0EF33" w:rsidR="009A6E21" w:rsidRDefault="009C3AB1">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Table (3): Eyes and Hair Signs of oil sector workers</w:t>
      </w:r>
    </w:p>
    <w:tbl>
      <w:tblPr>
        <w:tblStyle w:val="TableGrid"/>
        <w:tblW w:w="9084" w:type="dxa"/>
        <w:tblInd w:w="188" w:type="dxa"/>
        <w:tblLook w:val="04A0" w:firstRow="1" w:lastRow="0" w:firstColumn="1" w:lastColumn="0" w:noHBand="0" w:noVBand="1"/>
      </w:tblPr>
      <w:tblGrid>
        <w:gridCol w:w="3329"/>
        <w:gridCol w:w="2893"/>
        <w:gridCol w:w="2862"/>
      </w:tblGrid>
      <w:tr w:rsidR="009A6E21" w14:paraId="6296896B" w14:textId="77777777">
        <w:trPr>
          <w:trHeight w:val="498"/>
        </w:trPr>
        <w:tc>
          <w:tcPr>
            <w:tcW w:w="0" w:type="auto"/>
            <w:shd w:val="clear" w:color="auto" w:fill="FBD4B4" w:themeFill="accent6" w:themeFillTint="66"/>
          </w:tcPr>
          <w:p w14:paraId="4FC7A42C" w14:textId="77777777" w:rsidR="009A6E21" w:rsidRDefault="009C3AB1">
            <w:pPr>
              <w:spacing w:line="360" w:lineRule="auto"/>
              <w:jc w:val="center"/>
              <w:rPr>
                <w:rFonts w:asciiTheme="majorBidi" w:eastAsia="Calibri" w:hAnsiTheme="majorBidi" w:cstheme="majorBidi"/>
                <w:b/>
                <w:bCs/>
                <w:color w:val="000000"/>
                <w:sz w:val="24"/>
                <w:szCs w:val="24"/>
              </w:rPr>
            </w:pPr>
            <w:r>
              <w:rPr>
                <w:rFonts w:asciiTheme="majorBidi" w:eastAsia="SimSun" w:hAnsiTheme="majorBidi" w:cstheme="majorBidi"/>
                <w:b/>
                <w:bCs/>
                <w:color w:val="000000"/>
                <w:sz w:val="24"/>
                <w:szCs w:val="24"/>
              </w:rPr>
              <w:t>Eyes and Hair Signs</w:t>
            </w:r>
          </w:p>
        </w:tc>
        <w:tc>
          <w:tcPr>
            <w:tcW w:w="0" w:type="auto"/>
            <w:shd w:val="clear" w:color="auto" w:fill="FBD4B4" w:themeFill="accent6" w:themeFillTint="66"/>
          </w:tcPr>
          <w:p w14:paraId="38F20ED1" w14:textId="77777777" w:rsidR="009A6E21" w:rsidRDefault="009C3AB1">
            <w:pPr>
              <w:spacing w:line="360" w:lineRule="auto"/>
              <w:jc w:val="center"/>
              <w:rPr>
                <w:rFonts w:asciiTheme="majorBidi" w:eastAsia="Calibri" w:hAnsiTheme="majorBidi" w:cstheme="majorBidi"/>
                <w:b/>
                <w:bCs/>
                <w:color w:val="000000"/>
                <w:sz w:val="24"/>
                <w:szCs w:val="24"/>
              </w:rPr>
            </w:pPr>
            <w:r>
              <w:rPr>
                <w:rFonts w:asciiTheme="majorBidi" w:eastAsia="SimSun" w:hAnsiTheme="majorBidi" w:cstheme="majorBidi"/>
                <w:b/>
                <w:bCs/>
                <w:color w:val="000000"/>
                <w:sz w:val="24"/>
                <w:szCs w:val="24"/>
              </w:rPr>
              <w:t>Short-Term Exposure (n=100)</w:t>
            </w:r>
          </w:p>
        </w:tc>
        <w:tc>
          <w:tcPr>
            <w:tcW w:w="0" w:type="auto"/>
            <w:shd w:val="clear" w:color="auto" w:fill="FBD4B4" w:themeFill="accent6" w:themeFillTint="66"/>
          </w:tcPr>
          <w:p w14:paraId="392F31CE" w14:textId="77777777" w:rsidR="009A6E21" w:rsidRDefault="009C3AB1">
            <w:pPr>
              <w:spacing w:line="360" w:lineRule="auto"/>
              <w:jc w:val="center"/>
              <w:rPr>
                <w:rFonts w:asciiTheme="majorBidi" w:eastAsia="Calibri" w:hAnsiTheme="majorBidi" w:cstheme="majorBidi"/>
                <w:b/>
                <w:bCs/>
                <w:color w:val="000000"/>
                <w:sz w:val="24"/>
                <w:szCs w:val="24"/>
              </w:rPr>
            </w:pPr>
            <w:r>
              <w:rPr>
                <w:rFonts w:asciiTheme="majorBidi" w:eastAsia="SimSun" w:hAnsiTheme="majorBidi" w:cstheme="majorBidi"/>
                <w:b/>
                <w:bCs/>
                <w:color w:val="000000"/>
                <w:sz w:val="24"/>
                <w:szCs w:val="24"/>
              </w:rPr>
              <w:t>Long-Term Exposure (n=100)</w:t>
            </w:r>
          </w:p>
        </w:tc>
      </w:tr>
      <w:tr w:rsidR="009A6E21" w14:paraId="3C8A1C63" w14:textId="77777777">
        <w:trPr>
          <w:trHeight w:val="324"/>
        </w:trPr>
        <w:tc>
          <w:tcPr>
            <w:tcW w:w="0" w:type="auto"/>
            <w:shd w:val="clear" w:color="auto" w:fill="FBD4B4" w:themeFill="accent6" w:themeFillTint="66"/>
          </w:tcPr>
          <w:p w14:paraId="4422C90E"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Eye redne</w:t>
            </w:r>
            <w:r>
              <w:rPr>
                <w:rFonts w:asciiTheme="majorBidi" w:eastAsia="SimSun" w:hAnsiTheme="majorBidi" w:cstheme="majorBidi"/>
                <w:color w:val="000000"/>
                <w:sz w:val="24"/>
                <w:szCs w:val="24"/>
              </w:rPr>
              <w:t>ss</w:t>
            </w:r>
          </w:p>
        </w:tc>
        <w:tc>
          <w:tcPr>
            <w:tcW w:w="0" w:type="auto"/>
          </w:tcPr>
          <w:p w14:paraId="0587E93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35 (35%)</w:t>
            </w:r>
          </w:p>
        </w:tc>
        <w:tc>
          <w:tcPr>
            <w:tcW w:w="0" w:type="auto"/>
          </w:tcPr>
          <w:p w14:paraId="4A0BAA1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60 (60%)</w:t>
            </w:r>
          </w:p>
        </w:tc>
      </w:tr>
      <w:tr w:rsidR="009A6E21" w14:paraId="1DC8B045" w14:textId="77777777">
        <w:trPr>
          <w:trHeight w:val="490"/>
        </w:trPr>
        <w:tc>
          <w:tcPr>
            <w:tcW w:w="0" w:type="auto"/>
            <w:shd w:val="clear" w:color="auto" w:fill="FBD4B4" w:themeFill="accent6" w:themeFillTint="66"/>
          </w:tcPr>
          <w:p w14:paraId="196FD37D"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Visible congested capillaries in pupils</w:t>
            </w:r>
          </w:p>
        </w:tc>
        <w:tc>
          <w:tcPr>
            <w:tcW w:w="0" w:type="auto"/>
          </w:tcPr>
          <w:p w14:paraId="72112DDC"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25 (25%)</w:t>
            </w:r>
          </w:p>
        </w:tc>
        <w:tc>
          <w:tcPr>
            <w:tcW w:w="0" w:type="auto"/>
          </w:tcPr>
          <w:p w14:paraId="18194DC1"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45 (45%)</w:t>
            </w:r>
          </w:p>
        </w:tc>
      </w:tr>
      <w:tr w:rsidR="009A6E21" w14:paraId="5B677B94" w14:textId="77777777">
        <w:trPr>
          <w:trHeight w:val="324"/>
        </w:trPr>
        <w:tc>
          <w:tcPr>
            <w:tcW w:w="0" w:type="auto"/>
            <w:shd w:val="clear" w:color="auto" w:fill="FBD4B4" w:themeFill="accent6" w:themeFillTint="66"/>
          </w:tcPr>
          <w:p w14:paraId="371F01A9"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Swelling under the eyeball</w:t>
            </w:r>
          </w:p>
        </w:tc>
        <w:tc>
          <w:tcPr>
            <w:tcW w:w="0" w:type="auto"/>
          </w:tcPr>
          <w:p w14:paraId="3B8F8BE2"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18 (18%)</w:t>
            </w:r>
          </w:p>
        </w:tc>
        <w:tc>
          <w:tcPr>
            <w:tcW w:w="0" w:type="auto"/>
          </w:tcPr>
          <w:p w14:paraId="0CF62EA1"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32 (32%)</w:t>
            </w:r>
          </w:p>
        </w:tc>
      </w:tr>
      <w:tr w:rsidR="009A6E21" w14:paraId="521CCB81" w14:textId="77777777">
        <w:trPr>
          <w:trHeight w:val="324"/>
        </w:trPr>
        <w:tc>
          <w:tcPr>
            <w:tcW w:w="0" w:type="auto"/>
            <w:shd w:val="clear" w:color="auto" w:fill="FBD4B4" w:themeFill="accent6" w:themeFillTint="66"/>
          </w:tcPr>
          <w:p w14:paraId="2BFCB33C"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Normal scalp and black hair</w:t>
            </w:r>
          </w:p>
        </w:tc>
        <w:tc>
          <w:tcPr>
            <w:tcW w:w="0" w:type="auto"/>
          </w:tcPr>
          <w:p w14:paraId="1874CFC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70 (70%)</w:t>
            </w:r>
          </w:p>
        </w:tc>
        <w:tc>
          <w:tcPr>
            <w:tcW w:w="0" w:type="auto"/>
          </w:tcPr>
          <w:p w14:paraId="5454BE7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55 (55%)</w:t>
            </w:r>
          </w:p>
        </w:tc>
      </w:tr>
      <w:tr w:rsidR="009A6E21" w14:paraId="60C39794" w14:textId="77777777">
        <w:trPr>
          <w:trHeight w:val="324"/>
        </w:trPr>
        <w:tc>
          <w:tcPr>
            <w:tcW w:w="0" w:type="auto"/>
            <w:shd w:val="clear" w:color="auto" w:fill="FBD4B4" w:themeFill="accent6" w:themeFillTint="66"/>
          </w:tcPr>
          <w:p w14:paraId="35B7E4A3"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Blonde hair</w:t>
            </w:r>
          </w:p>
        </w:tc>
        <w:tc>
          <w:tcPr>
            <w:tcW w:w="0" w:type="auto"/>
          </w:tcPr>
          <w:p w14:paraId="6ACB13B5"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15 (15%)</w:t>
            </w:r>
          </w:p>
        </w:tc>
        <w:tc>
          <w:tcPr>
            <w:tcW w:w="0" w:type="auto"/>
          </w:tcPr>
          <w:p w14:paraId="0BC0066F"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25 (25%)</w:t>
            </w:r>
          </w:p>
        </w:tc>
      </w:tr>
      <w:tr w:rsidR="009A6E21" w14:paraId="37F87D7A" w14:textId="77777777">
        <w:trPr>
          <w:trHeight w:val="332"/>
        </w:trPr>
        <w:tc>
          <w:tcPr>
            <w:tcW w:w="0" w:type="auto"/>
            <w:shd w:val="clear" w:color="auto" w:fill="FBD4B4" w:themeFill="accent6" w:themeFillTint="66"/>
          </w:tcPr>
          <w:p w14:paraId="4A9AFF01"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White hair</w:t>
            </w:r>
          </w:p>
        </w:tc>
        <w:tc>
          <w:tcPr>
            <w:tcW w:w="0" w:type="auto"/>
          </w:tcPr>
          <w:p w14:paraId="373594F7"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10 (10%)</w:t>
            </w:r>
          </w:p>
        </w:tc>
        <w:tc>
          <w:tcPr>
            <w:tcW w:w="0" w:type="auto"/>
          </w:tcPr>
          <w:p w14:paraId="1DA0AC23"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20 (20%)</w:t>
            </w:r>
          </w:p>
        </w:tc>
      </w:tr>
    </w:tbl>
    <w:p w14:paraId="52F28517" w14:textId="77777777" w:rsidR="009A6E21" w:rsidRDefault="009A6E21">
      <w:pPr>
        <w:spacing w:line="360" w:lineRule="auto"/>
        <w:rPr>
          <w:rFonts w:asciiTheme="majorBidi" w:hAnsiTheme="majorBidi" w:cstheme="majorBidi"/>
          <w:sz w:val="24"/>
          <w:szCs w:val="24"/>
        </w:rPr>
      </w:pPr>
    </w:p>
    <w:p w14:paraId="3CE8A00B" w14:textId="77777777" w:rsidR="009A6E21" w:rsidRDefault="009C3AB1">
      <w:pPr>
        <w:spacing w:line="360" w:lineRule="auto"/>
        <w:rPr>
          <w:rFonts w:asciiTheme="majorBidi" w:hAnsiTheme="majorBidi" w:cstheme="majorBidi"/>
          <w:sz w:val="24"/>
          <w:szCs w:val="24"/>
        </w:rPr>
      </w:pPr>
      <w:r>
        <w:rPr>
          <w:rFonts w:asciiTheme="majorBidi" w:hAnsiTheme="majorBidi" w:cstheme="majorBidi"/>
          <w:sz w:val="24"/>
          <w:szCs w:val="24"/>
        </w:rPr>
        <w:t>Discussion:</w:t>
      </w:r>
    </w:p>
    <w:p w14:paraId="435093EC"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Based on the questionnaire form it provided, it appears that individuals who have been exposed to pollutants in the oil sector may experience various symptoms, delay in growth (13.9%), this suggests that 13.9% of the respondents who were exposed to po</w:t>
      </w:r>
      <w:r>
        <w:rPr>
          <w:rFonts w:asciiTheme="majorBidi" w:hAnsiTheme="majorBidi" w:cstheme="majorBidi"/>
          <w:sz w:val="24"/>
          <w:szCs w:val="24"/>
        </w:rPr>
        <w:t>llutants in the oil sector reported experiencing a delay in their growth and this could refer to physical or developmental growth issues (10).</w:t>
      </w:r>
    </w:p>
    <w:p w14:paraId="05479AFB"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The questionnaire indicates that 13.9% of the respondents reported observing a bump at the root of their no</w:t>
      </w:r>
      <w:r>
        <w:rPr>
          <w:rFonts w:asciiTheme="majorBidi" w:hAnsiTheme="majorBidi" w:cstheme="majorBidi"/>
          <w:sz w:val="24"/>
          <w:szCs w:val="24"/>
        </w:rPr>
        <w:t xml:space="preserve">se. It could be a physical manifestation resulting from exposure to pollutants. A bump at the root of the nose can have various causes, and pollution is one of them. Exposure to pollutants in the environment, such as air pollution or toxic substances, can </w:t>
      </w:r>
      <w:r>
        <w:rPr>
          <w:rFonts w:asciiTheme="majorBidi" w:hAnsiTheme="majorBidi" w:cstheme="majorBidi"/>
          <w:sz w:val="24"/>
          <w:szCs w:val="24"/>
        </w:rPr>
        <w:t>contribute to skin issues and inflammation. These pollutants can clog pores, lead to the formation of acne or pimples, or exacerbate existing skin conditions like rosacea. However, it's important to note that a bump at the root of the nose can also be caus</w:t>
      </w:r>
      <w:r>
        <w:rPr>
          <w:rFonts w:asciiTheme="majorBidi" w:hAnsiTheme="majorBidi" w:cstheme="majorBidi"/>
          <w:sz w:val="24"/>
          <w:szCs w:val="24"/>
        </w:rPr>
        <w:t>ed by other factors unrelated to pollution. Skin conditions like acne vulgaris, sebaceous cysts, allergic reactions, or even anatomical variations can result in bumps or swelling in that area (11).</w:t>
      </w:r>
    </w:p>
    <w:p w14:paraId="27114549"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According to the present study, 28.6% of the responde</w:t>
      </w:r>
      <w:r>
        <w:rPr>
          <w:rFonts w:asciiTheme="majorBidi" w:hAnsiTheme="majorBidi" w:cstheme="majorBidi"/>
          <w:sz w:val="24"/>
          <w:szCs w:val="24"/>
        </w:rPr>
        <w:t>nts experienced sneezing. Sneezing is a common symptom associated with respiratory irritation or allergies. It could indicate that exposure to pollutants in the oil sector has triggered allergic reactions or respiratory irritation in this group of individu</w:t>
      </w:r>
      <w:r>
        <w:rPr>
          <w:rFonts w:asciiTheme="majorBidi" w:hAnsiTheme="majorBidi" w:cstheme="majorBidi"/>
          <w:sz w:val="24"/>
          <w:szCs w:val="24"/>
        </w:rPr>
        <w:t>als as well as 19.9% of the respondents reported coughing, coughing is a typical response to respiratory irritants, such as pollutants or allergens. It suggests that exposure to pollutants in the oil sector may have caused respiratory irritation leading to</w:t>
      </w:r>
      <w:r>
        <w:rPr>
          <w:rFonts w:asciiTheme="majorBidi" w:hAnsiTheme="majorBidi" w:cstheme="majorBidi"/>
          <w:sz w:val="24"/>
          <w:szCs w:val="24"/>
        </w:rPr>
        <w:t xml:space="preserve"> coughing (12).</w:t>
      </w:r>
    </w:p>
    <w:p w14:paraId="5C9BBA8A"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An exposure to pollutants found in polluted air, such as </w:t>
      </w:r>
      <w:proofErr w:type="spellStart"/>
      <w:r>
        <w:rPr>
          <w:rFonts w:asciiTheme="majorBidi" w:hAnsiTheme="majorBidi" w:cstheme="majorBidi"/>
          <w:sz w:val="24"/>
          <w:szCs w:val="24"/>
        </w:rPr>
        <w:t>sulphur</w:t>
      </w:r>
      <w:proofErr w:type="spellEnd"/>
      <w:r>
        <w:rPr>
          <w:rFonts w:asciiTheme="majorBidi" w:hAnsiTheme="majorBidi" w:cstheme="majorBidi"/>
          <w:sz w:val="24"/>
          <w:szCs w:val="24"/>
        </w:rPr>
        <w:t xml:space="preserve"> dioxide, ozone, and nitrous oxide, has been shown to be associated with an elevated incidence of coughing and chest tightness, this indicates a direct connection between </w:t>
      </w:r>
      <w:r>
        <w:rPr>
          <w:rFonts w:asciiTheme="majorBidi" w:hAnsiTheme="majorBidi" w:cstheme="majorBidi"/>
          <w:sz w:val="24"/>
          <w:szCs w:val="24"/>
        </w:rPr>
        <w:t xml:space="preserve">air pollution and respiratory symptoms, specifically coughing (13), this study was agreement with (14) who was illustrated that Air pollution continues to be a prominent contributor to various respiratory diseases, including chronic cough. While instances </w:t>
      </w:r>
      <w:r>
        <w:rPr>
          <w:rFonts w:asciiTheme="majorBidi" w:hAnsiTheme="majorBidi" w:cstheme="majorBidi"/>
          <w:sz w:val="24"/>
          <w:szCs w:val="24"/>
        </w:rPr>
        <w:t>of severe, acute air pollution events are infrequent, the ongoing exposure to pollutants in both industrialized and developing nations, such as fine particulate matter, diesel exhaust particles, and common cigarette smoke, may play a significant role in th</w:t>
      </w:r>
      <w:r>
        <w:rPr>
          <w:rFonts w:asciiTheme="majorBidi" w:hAnsiTheme="majorBidi" w:cstheme="majorBidi"/>
          <w:sz w:val="24"/>
          <w:szCs w:val="24"/>
        </w:rPr>
        <w:t>e development of respiratory conditions associated with chronic cough (15).</w:t>
      </w:r>
    </w:p>
    <w:p w14:paraId="5D5022BD"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About 25.5% of the respondents reported experiencing chest pain, chest pain can have various causes, including respiratory issues or cardiovascular problems. In this context, </w:t>
      </w:r>
      <w:r>
        <w:rPr>
          <w:rFonts w:asciiTheme="majorBidi" w:hAnsiTheme="majorBidi" w:cstheme="majorBidi"/>
          <w:sz w:val="24"/>
          <w:szCs w:val="24"/>
        </w:rPr>
        <w:t xml:space="preserve">it suggests that exposure to pollutants in the oil sector may have contributed to chest pain among this group of individuals (16). Finally, 21.1% of the respondents experienced wheezing, </w:t>
      </w:r>
      <w:proofErr w:type="gramStart"/>
      <w:r>
        <w:rPr>
          <w:rFonts w:asciiTheme="majorBidi" w:hAnsiTheme="majorBidi" w:cstheme="majorBidi"/>
          <w:sz w:val="24"/>
          <w:szCs w:val="24"/>
        </w:rPr>
        <w:t>the  wheezing</w:t>
      </w:r>
      <w:proofErr w:type="gramEnd"/>
      <w:r>
        <w:rPr>
          <w:rFonts w:asciiTheme="majorBidi" w:hAnsiTheme="majorBidi" w:cstheme="majorBidi"/>
          <w:sz w:val="24"/>
          <w:szCs w:val="24"/>
        </w:rPr>
        <w:t xml:space="preserve"> is a whistling sound that occurs during breathing and i</w:t>
      </w:r>
      <w:r>
        <w:rPr>
          <w:rFonts w:asciiTheme="majorBidi" w:hAnsiTheme="majorBidi" w:cstheme="majorBidi"/>
          <w:sz w:val="24"/>
          <w:szCs w:val="24"/>
        </w:rPr>
        <w:t xml:space="preserve">s commonly associated with narrowed or </w:t>
      </w:r>
      <w:r>
        <w:rPr>
          <w:rFonts w:asciiTheme="majorBidi" w:hAnsiTheme="majorBidi" w:cstheme="majorBidi"/>
          <w:sz w:val="24"/>
          <w:szCs w:val="24"/>
        </w:rPr>
        <w:lastRenderedPageBreak/>
        <w:t xml:space="preserve">constricted airways. It can be a symptom of respiratory conditions such as asthma or bronchitis. In this case, it suggests that exposure to pollutants in the oil sector may have led to respiratory issues resulting in </w:t>
      </w:r>
      <w:r>
        <w:rPr>
          <w:rFonts w:asciiTheme="majorBidi" w:hAnsiTheme="majorBidi" w:cstheme="majorBidi"/>
          <w:sz w:val="24"/>
          <w:szCs w:val="24"/>
        </w:rPr>
        <w:t xml:space="preserve">wheezing for some individuals (17). </w:t>
      </w:r>
    </w:p>
    <w:p w14:paraId="665187FF"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The study mentioned suggests that pollution may be related to various skin changes. The observed skin changes in patients found that individuals exposed to pollution experienced dry skin. Pollution can contribute to skin dehydration and disrupt the s</w:t>
      </w:r>
      <w:r>
        <w:rPr>
          <w:rFonts w:asciiTheme="majorBidi" w:hAnsiTheme="majorBidi" w:cstheme="majorBidi"/>
          <w:sz w:val="24"/>
          <w:szCs w:val="24"/>
        </w:rPr>
        <w:t>kin's natural moisture balance, leading to dryness. Emerging research indicates that air pollution is increasingly recognized as a significant contributing factor in the development of prevalent skin conditions. Skin diseases such as acne, hyperpigmentatio</w:t>
      </w:r>
      <w:r>
        <w:rPr>
          <w:rFonts w:asciiTheme="majorBidi" w:hAnsiTheme="majorBidi" w:cstheme="majorBidi"/>
          <w:sz w:val="24"/>
          <w:szCs w:val="24"/>
        </w:rPr>
        <w:t>n, atopic dermatitis, and psoriasis have demonstrated susceptibility to the influence of air pollution. In fact, some researchers, such as (18), argued that pollution should be acknowledged as a notable risk factor for these dermatological disorders. Recog</w:t>
      </w:r>
      <w:r>
        <w:rPr>
          <w:rFonts w:asciiTheme="majorBidi" w:hAnsiTheme="majorBidi" w:cstheme="majorBidi"/>
          <w:sz w:val="24"/>
          <w:szCs w:val="24"/>
        </w:rPr>
        <w:t>nizing the role of air pollution in the onset and exacerbation of these skin conditions is crucial for a comprehensive understanding of their etiology and effective preventive measures.</w:t>
      </w:r>
    </w:p>
    <w:p w14:paraId="60DB2B95" w14:textId="77777777" w:rsidR="009A6E21" w:rsidRDefault="009C3AB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References</w:t>
      </w:r>
    </w:p>
    <w:p w14:paraId="5323ED30" w14:textId="77777777" w:rsidR="009A6E21" w:rsidRDefault="009C3AB1">
      <w:pPr>
        <w:pStyle w:val="NormalWeb"/>
        <w:spacing w:line="360" w:lineRule="auto"/>
        <w:jc w:val="both"/>
      </w:pPr>
      <w:r>
        <w:rPr>
          <w:rFonts w:asciiTheme="majorBidi" w:hAnsiTheme="majorBidi" w:cstheme="majorBidi"/>
        </w:rPr>
        <w:t xml:space="preserve"> </w:t>
      </w:r>
      <w:r>
        <w:t xml:space="preserve">Carpenter, A. (2019). Oil pollution in the North Sea: The </w:t>
      </w:r>
      <w:r>
        <w:t xml:space="preserve">impact of governance measures on oil pollution over several decades. </w:t>
      </w:r>
      <w:proofErr w:type="spellStart"/>
      <w:r>
        <w:rPr>
          <w:rStyle w:val="Emphasis"/>
        </w:rPr>
        <w:t>Hydrobiologia</w:t>
      </w:r>
      <w:proofErr w:type="spellEnd"/>
      <w:r>
        <w:t xml:space="preserve">, </w:t>
      </w:r>
      <w:r>
        <w:rPr>
          <w:rStyle w:val="Emphasis"/>
        </w:rPr>
        <w:t>845</w:t>
      </w:r>
      <w:r>
        <w:t xml:space="preserve">(1), 109–125. </w:t>
      </w:r>
      <w:hyperlink r:id="rId6" w:history="1">
        <w:r>
          <w:rPr>
            <w:rStyle w:val="Hyperlink"/>
          </w:rPr>
          <w:t>https://doi.org/10.1007/s10750-018-3705-3</w:t>
        </w:r>
      </w:hyperlink>
      <w:r>
        <w:t xml:space="preserve"> </w:t>
      </w:r>
    </w:p>
    <w:p w14:paraId="244F2028" w14:textId="77777777" w:rsidR="009A6E21" w:rsidRDefault="009C3AB1">
      <w:pPr>
        <w:pStyle w:val="NormalWeb"/>
        <w:spacing w:line="360" w:lineRule="auto"/>
        <w:jc w:val="both"/>
      </w:pPr>
      <w:r>
        <w:t xml:space="preserve">De la Huz, R., Lastra, M., </w:t>
      </w:r>
      <w:proofErr w:type="spellStart"/>
      <w:r>
        <w:t>Junoy</w:t>
      </w:r>
      <w:proofErr w:type="spellEnd"/>
      <w:r>
        <w:t xml:space="preserve">, J., Castellanos, C., &amp; Vieitez, J. M. (2005). Biological impacts of oil pollution and cleaning in the intertidal zone of exposed sandy beaches: Preliminary study of the “Prestige” oil spill. </w:t>
      </w:r>
      <w:r>
        <w:rPr>
          <w:rStyle w:val="Emphasis"/>
        </w:rPr>
        <w:t>Estuarine, Coastal and Shelf Science</w:t>
      </w:r>
      <w:r>
        <w:t xml:space="preserve">, </w:t>
      </w:r>
      <w:r>
        <w:rPr>
          <w:rStyle w:val="Emphasis"/>
        </w:rPr>
        <w:t>65</w:t>
      </w:r>
      <w:r>
        <w:t xml:space="preserve">(1–2), 19–29. </w:t>
      </w:r>
      <w:hyperlink r:id="rId7" w:history="1">
        <w:r>
          <w:rPr>
            <w:rStyle w:val="Hyperlink"/>
          </w:rPr>
          <w:t>https://doi.org/10.1016/j.ecss.2005.04.007</w:t>
        </w:r>
      </w:hyperlink>
      <w:r>
        <w:t xml:space="preserve"> </w:t>
      </w:r>
    </w:p>
    <w:p w14:paraId="0A917095" w14:textId="77777777" w:rsidR="009A6E21" w:rsidRDefault="009C3AB1">
      <w:pPr>
        <w:pStyle w:val="NormalWeb"/>
        <w:spacing w:line="360" w:lineRule="auto"/>
        <w:jc w:val="both"/>
      </w:pPr>
      <w:r>
        <w:t>Jenssen, B. M. (1996). An overview of exposure to, and effects of, petroleum oil and organochlorine pollution in grey seals (</w:t>
      </w:r>
      <w:r>
        <w:rPr>
          <w:rStyle w:val="Emphasis"/>
        </w:rPr>
        <w:t xml:space="preserve">Halichoerus </w:t>
      </w:r>
      <w:proofErr w:type="spellStart"/>
      <w:r>
        <w:rPr>
          <w:rStyle w:val="Emphasis"/>
        </w:rPr>
        <w:t>grypus</w:t>
      </w:r>
      <w:proofErr w:type="spellEnd"/>
      <w:r>
        <w:t xml:space="preserve">). </w:t>
      </w:r>
      <w:r>
        <w:rPr>
          <w:rStyle w:val="Emphasis"/>
        </w:rPr>
        <w:t>Science of the T</w:t>
      </w:r>
      <w:r>
        <w:rPr>
          <w:rStyle w:val="Emphasis"/>
        </w:rPr>
        <w:t>otal Environment</w:t>
      </w:r>
      <w:r>
        <w:t xml:space="preserve">, </w:t>
      </w:r>
      <w:r>
        <w:rPr>
          <w:rStyle w:val="Emphasis"/>
        </w:rPr>
        <w:t>186</w:t>
      </w:r>
      <w:r>
        <w:t xml:space="preserve">(1–2), 109–118. </w:t>
      </w:r>
      <w:hyperlink r:id="rId8" w:history="1">
        <w:r>
          <w:rPr>
            <w:rStyle w:val="Hyperlink"/>
          </w:rPr>
          <w:t>https://doi.org/10.1016/0048-9697(96)05173-4</w:t>
        </w:r>
      </w:hyperlink>
      <w:r>
        <w:t xml:space="preserve"> </w:t>
      </w:r>
    </w:p>
    <w:p w14:paraId="0898B3A3" w14:textId="77777777" w:rsidR="009A6E21" w:rsidRDefault="009C3AB1">
      <w:pPr>
        <w:pStyle w:val="NormalWeb"/>
        <w:spacing w:line="360" w:lineRule="auto"/>
        <w:jc w:val="both"/>
      </w:pPr>
      <w:proofErr w:type="spellStart"/>
      <w:r>
        <w:t>Laffon</w:t>
      </w:r>
      <w:proofErr w:type="spellEnd"/>
      <w:r>
        <w:t xml:space="preserve">, B., </w:t>
      </w:r>
      <w:proofErr w:type="spellStart"/>
      <w:r>
        <w:t>Pásaro</w:t>
      </w:r>
      <w:proofErr w:type="spellEnd"/>
      <w:r>
        <w:t xml:space="preserve">, E., &amp; </w:t>
      </w:r>
      <w:proofErr w:type="spellStart"/>
      <w:r>
        <w:t>Valdiglesias</w:t>
      </w:r>
      <w:proofErr w:type="spellEnd"/>
      <w:r>
        <w:t>, V. (2016). Effects of exposure to oil spills on human health: Updated re</w:t>
      </w:r>
      <w:r>
        <w:t xml:space="preserve">view. </w:t>
      </w:r>
      <w:r>
        <w:rPr>
          <w:rStyle w:val="Emphasis"/>
        </w:rPr>
        <w:t>Journal of Toxicology and Environmental Health, Part B</w:t>
      </w:r>
      <w:r>
        <w:t xml:space="preserve">, </w:t>
      </w:r>
      <w:r>
        <w:rPr>
          <w:rStyle w:val="Emphasis"/>
        </w:rPr>
        <w:t>19</w:t>
      </w:r>
      <w:r>
        <w:t xml:space="preserve">(3–4), 105–128. </w:t>
      </w:r>
      <w:hyperlink r:id="rId9" w:history="1">
        <w:r>
          <w:rPr>
            <w:rStyle w:val="Hyperlink"/>
          </w:rPr>
          <w:t>https://doi.org/10.1080/10937404.2016.1168730</w:t>
        </w:r>
      </w:hyperlink>
      <w:r>
        <w:t xml:space="preserve"> </w:t>
      </w:r>
    </w:p>
    <w:p w14:paraId="65302DD5" w14:textId="77777777" w:rsidR="009A6E21" w:rsidRDefault="009C3AB1">
      <w:pPr>
        <w:pStyle w:val="NormalWeb"/>
        <w:spacing w:line="360" w:lineRule="auto"/>
        <w:jc w:val="both"/>
      </w:pPr>
      <w:r>
        <w:lastRenderedPageBreak/>
        <w:t>Loya, Y., &amp; Rinkevich, B. (1980). Effects of oil pollution on coral</w:t>
      </w:r>
      <w:r>
        <w:t xml:space="preserve"> reef communities. </w:t>
      </w:r>
      <w:r>
        <w:rPr>
          <w:rStyle w:val="Emphasis"/>
        </w:rPr>
        <w:t>Marine Ecology Progress Series</w:t>
      </w:r>
      <w:r>
        <w:t xml:space="preserve">, </w:t>
      </w:r>
      <w:r>
        <w:rPr>
          <w:rStyle w:val="Emphasis"/>
        </w:rPr>
        <w:t>3</w:t>
      </w:r>
      <w:r>
        <w:t xml:space="preserve">, 167–180. </w:t>
      </w:r>
      <w:hyperlink r:id="rId10" w:history="1">
        <w:r>
          <w:rPr>
            <w:rStyle w:val="Hyperlink"/>
          </w:rPr>
          <w:t>https://doi.org/10.3354/meps003167</w:t>
        </w:r>
      </w:hyperlink>
      <w:r>
        <w:t xml:space="preserve"> </w:t>
      </w:r>
    </w:p>
    <w:p w14:paraId="045B385F" w14:textId="77777777" w:rsidR="009A6E21" w:rsidRDefault="009C3AB1">
      <w:pPr>
        <w:pStyle w:val="NormalWeb"/>
        <w:spacing w:line="360" w:lineRule="auto"/>
        <w:jc w:val="both"/>
      </w:pPr>
      <w:proofErr w:type="spellStart"/>
      <w:r>
        <w:t>Nriagu</w:t>
      </w:r>
      <w:proofErr w:type="spellEnd"/>
      <w:r>
        <w:t xml:space="preserve">, J., Udofia, E. A., Ekong, I., &amp; </w:t>
      </w:r>
      <w:proofErr w:type="spellStart"/>
      <w:r>
        <w:t>Ebuk</w:t>
      </w:r>
      <w:proofErr w:type="spellEnd"/>
      <w:r>
        <w:t>, G. (2016). Health risks associated with oil pollution in the</w:t>
      </w:r>
      <w:r>
        <w:t xml:space="preserve"> Niger Delta, Nigeria. </w:t>
      </w:r>
      <w:r>
        <w:rPr>
          <w:rStyle w:val="Emphasis"/>
        </w:rPr>
        <w:t>International Journal of Environmental Research and Public Health</w:t>
      </w:r>
      <w:r>
        <w:t xml:space="preserve">, </w:t>
      </w:r>
      <w:r>
        <w:rPr>
          <w:rStyle w:val="Emphasis"/>
        </w:rPr>
        <w:t>13</w:t>
      </w:r>
      <w:r>
        <w:t xml:space="preserve">(3), 346. </w:t>
      </w:r>
      <w:hyperlink r:id="rId11" w:history="1">
        <w:r>
          <w:rPr>
            <w:rStyle w:val="Hyperlink"/>
          </w:rPr>
          <w:t>https://doi.org/10.3390/ijerph13030346</w:t>
        </w:r>
      </w:hyperlink>
      <w:r>
        <w:t xml:space="preserve"> </w:t>
      </w:r>
    </w:p>
    <w:p w14:paraId="3A8E4EE2" w14:textId="77777777" w:rsidR="009A6E21" w:rsidRDefault="009C3AB1">
      <w:pPr>
        <w:pStyle w:val="NormalWeb"/>
        <w:spacing w:line="360" w:lineRule="auto"/>
        <w:jc w:val="both"/>
      </w:pPr>
      <w:r>
        <w:t>Obida, C. B., Blackburn, G. A., Whyatt, J. D., &amp; Semple, K.</w:t>
      </w:r>
      <w:r>
        <w:t xml:space="preserve"> T. (2018). Quantifying the exposure of humans and the environment to oil pollution in the Niger Delta using advanced geostatistical techniques. </w:t>
      </w:r>
      <w:r>
        <w:rPr>
          <w:rStyle w:val="Emphasis"/>
        </w:rPr>
        <w:t>Environment International</w:t>
      </w:r>
      <w:r>
        <w:t xml:space="preserve">, </w:t>
      </w:r>
      <w:r>
        <w:rPr>
          <w:rStyle w:val="Emphasis"/>
        </w:rPr>
        <w:t>111</w:t>
      </w:r>
      <w:r>
        <w:t xml:space="preserve">, 32–42. </w:t>
      </w:r>
      <w:hyperlink r:id="rId12" w:history="1">
        <w:r>
          <w:rPr>
            <w:rStyle w:val="Hyperlink"/>
          </w:rPr>
          <w:t>https://doi</w:t>
        </w:r>
        <w:r>
          <w:rPr>
            <w:rStyle w:val="Hyperlink"/>
          </w:rPr>
          <w:t>.org/10.1016/j.envint.2017.11.015</w:t>
        </w:r>
      </w:hyperlink>
      <w:r>
        <w:t xml:space="preserve"> </w:t>
      </w:r>
    </w:p>
    <w:p w14:paraId="0074FAB0" w14:textId="77777777" w:rsidR="009A6E21" w:rsidRDefault="009C3AB1">
      <w:pPr>
        <w:pStyle w:val="NormalWeb"/>
        <w:spacing w:line="360" w:lineRule="auto"/>
        <w:jc w:val="both"/>
      </w:pPr>
      <w:r>
        <w:t xml:space="preserve">O’Callaghan-Gordo, C., Orta-Martínez, M., &amp; </w:t>
      </w:r>
      <w:proofErr w:type="spellStart"/>
      <w:r>
        <w:t>Kogevinas</w:t>
      </w:r>
      <w:proofErr w:type="spellEnd"/>
      <w:r>
        <w:t xml:space="preserve">, M. (2016). Health effects of non-occupational exposure to oil extraction. </w:t>
      </w:r>
      <w:r>
        <w:rPr>
          <w:rStyle w:val="Emphasis"/>
        </w:rPr>
        <w:t>Environmental Health</w:t>
      </w:r>
      <w:r>
        <w:t xml:space="preserve">, </w:t>
      </w:r>
      <w:r>
        <w:rPr>
          <w:rStyle w:val="Emphasis"/>
        </w:rPr>
        <w:t>15</w:t>
      </w:r>
      <w:r>
        <w:t xml:space="preserve">, Article 56. </w:t>
      </w:r>
      <w:hyperlink r:id="rId13" w:history="1">
        <w:r>
          <w:rPr>
            <w:rStyle w:val="Hyperlink"/>
          </w:rPr>
          <w:t>https://doi.org/10.1186/s12940-016-0140-1</w:t>
        </w:r>
      </w:hyperlink>
      <w:r>
        <w:t xml:space="preserve"> </w:t>
      </w:r>
    </w:p>
    <w:p w14:paraId="22C1E976" w14:textId="77777777" w:rsidR="009A6E21" w:rsidRDefault="009C3AB1">
      <w:pPr>
        <w:pStyle w:val="NormalWeb"/>
        <w:spacing w:line="360" w:lineRule="auto"/>
        <w:jc w:val="both"/>
      </w:pPr>
      <w:r>
        <w:t xml:space="preserve">Oghenetega, O. B., </w:t>
      </w:r>
      <w:proofErr w:type="spellStart"/>
      <w:r>
        <w:t>Okunlola</w:t>
      </w:r>
      <w:proofErr w:type="spellEnd"/>
      <w:r>
        <w:t xml:space="preserve">, M. A., Ana, G. R. E. E., &amp; Olalekan, R. M. (2022). Exposure to oil pollution and maternal outcomes: The Niger Delta prospective cohort study. </w:t>
      </w:r>
      <w:r>
        <w:rPr>
          <w:rStyle w:val="Emphasis"/>
        </w:rPr>
        <w:t>PLOS ONE</w:t>
      </w:r>
      <w:r>
        <w:t xml:space="preserve">, </w:t>
      </w:r>
      <w:r>
        <w:rPr>
          <w:rStyle w:val="Emphasis"/>
        </w:rPr>
        <w:t>17</w:t>
      </w:r>
      <w:r>
        <w:t xml:space="preserve">(3), e0265454. </w:t>
      </w:r>
      <w:hyperlink r:id="rId14" w:history="1">
        <w:r>
          <w:rPr>
            <w:rStyle w:val="Hyperlink"/>
          </w:rPr>
          <w:t>https://doi.org/10.1371/journal.pone.0265454</w:t>
        </w:r>
      </w:hyperlink>
      <w:r>
        <w:t xml:space="preserve"> </w:t>
      </w:r>
    </w:p>
    <w:p w14:paraId="04261E34" w14:textId="77777777" w:rsidR="009A6E21" w:rsidRDefault="009C3AB1">
      <w:pPr>
        <w:pStyle w:val="NormalWeb"/>
        <w:spacing w:line="360" w:lineRule="auto"/>
        <w:jc w:val="both"/>
      </w:pPr>
      <w:proofErr w:type="spellStart"/>
      <w:r>
        <w:t>Sindermann</w:t>
      </w:r>
      <w:proofErr w:type="spellEnd"/>
      <w:r>
        <w:t xml:space="preserve">, C. J. (1982). Implications of oil pollution in production of disease in marine organisms. </w:t>
      </w:r>
      <w:r>
        <w:rPr>
          <w:rStyle w:val="Emphasis"/>
        </w:rPr>
        <w:t>Philosophical Transactions of the Royal Society o</w:t>
      </w:r>
      <w:r>
        <w:rPr>
          <w:rStyle w:val="Emphasis"/>
        </w:rPr>
        <w:t>f London. B, Biological Sciences</w:t>
      </w:r>
      <w:r>
        <w:t xml:space="preserve">, </w:t>
      </w:r>
      <w:r>
        <w:rPr>
          <w:rStyle w:val="Emphasis"/>
        </w:rPr>
        <w:t>297</w:t>
      </w:r>
      <w:r>
        <w:t xml:space="preserve">(1087), 385–399. </w:t>
      </w:r>
      <w:hyperlink r:id="rId15" w:history="1">
        <w:r>
          <w:rPr>
            <w:rStyle w:val="Hyperlink"/>
          </w:rPr>
          <w:t>https://doi.org/10.1098/rstb.1982.0058</w:t>
        </w:r>
      </w:hyperlink>
      <w:r>
        <w:t xml:space="preserve"> </w:t>
      </w:r>
    </w:p>
    <w:p w14:paraId="456150B3" w14:textId="77777777" w:rsidR="009A6E21" w:rsidRDefault="009C3AB1">
      <w:pPr>
        <w:pStyle w:val="NormalWeb"/>
        <w:spacing w:line="360" w:lineRule="auto"/>
        <w:jc w:val="both"/>
      </w:pPr>
      <w:r>
        <w:t>Bayramov, E., Knee, K., Kada, M., &amp; Huseynov, F. (2018). Using multiple satellite observations to quantitat</w:t>
      </w:r>
      <w:r>
        <w:t xml:space="preserve">ively assess and model oil pollution and predict risks and consequences to shoreline from oil platforms in the Caspian Sea. </w:t>
      </w:r>
      <w:r>
        <w:rPr>
          <w:rStyle w:val="Emphasis"/>
        </w:rPr>
        <w:t>Human and Ecological Risk Assessment: An International Journal</w:t>
      </w:r>
      <w:r>
        <w:t xml:space="preserve">, </w:t>
      </w:r>
      <w:r>
        <w:rPr>
          <w:rStyle w:val="Emphasis"/>
        </w:rPr>
        <w:t>24</w:t>
      </w:r>
      <w:r>
        <w:t xml:space="preserve">(7), 1862–1881. </w:t>
      </w:r>
      <w:hyperlink r:id="rId16" w:history="1">
        <w:r>
          <w:rPr>
            <w:rStyle w:val="Hyperlink"/>
          </w:rPr>
          <w:t>https://doi.org/10.1080/10807039.2018.1446062</w:t>
        </w:r>
      </w:hyperlink>
      <w:r>
        <w:t xml:space="preserve"> </w:t>
      </w:r>
    </w:p>
    <w:p w14:paraId="4161ADC5" w14:textId="77777777" w:rsidR="009A6E21" w:rsidRDefault="009C3AB1">
      <w:pPr>
        <w:pStyle w:val="NormalWeb"/>
        <w:spacing w:line="360" w:lineRule="auto"/>
        <w:jc w:val="both"/>
      </w:pPr>
      <w:r>
        <w:t>Bratberg, M., Olsvik, P. A., Edvardsen, R. B., Brekken, H. K., &amp; Lie, K. K. (2013). Effects of oil pollution and persistent organic pollutants (POPs) on glycerophospholipids in liver and brain of m</w:t>
      </w:r>
      <w:r>
        <w:t>ale Atlantic cod (</w:t>
      </w:r>
      <w:proofErr w:type="spellStart"/>
      <w:r>
        <w:rPr>
          <w:rStyle w:val="Emphasis"/>
        </w:rPr>
        <w:t>Gadus</w:t>
      </w:r>
      <w:proofErr w:type="spellEnd"/>
      <w:r>
        <w:rPr>
          <w:rStyle w:val="Emphasis"/>
        </w:rPr>
        <w:t xml:space="preserve"> </w:t>
      </w:r>
      <w:proofErr w:type="spellStart"/>
      <w:r>
        <w:rPr>
          <w:rStyle w:val="Emphasis"/>
        </w:rPr>
        <w:t>morhua</w:t>
      </w:r>
      <w:proofErr w:type="spellEnd"/>
      <w:r>
        <w:t xml:space="preserve">). </w:t>
      </w:r>
      <w:r>
        <w:rPr>
          <w:rStyle w:val="Emphasis"/>
        </w:rPr>
        <w:t>Chemosphere</w:t>
      </w:r>
      <w:r>
        <w:t xml:space="preserve">, </w:t>
      </w:r>
      <w:r>
        <w:rPr>
          <w:rStyle w:val="Emphasis"/>
        </w:rPr>
        <w:t>90</w:t>
      </w:r>
      <w:r>
        <w:t xml:space="preserve">(8), 2190–2197. </w:t>
      </w:r>
      <w:hyperlink r:id="rId17" w:history="1">
        <w:r>
          <w:rPr>
            <w:rStyle w:val="Hyperlink"/>
          </w:rPr>
          <w:t>https://doi.org/10.1016/j.chemosphere.2012.10.049</w:t>
        </w:r>
      </w:hyperlink>
      <w:r>
        <w:t xml:space="preserve"> </w:t>
      </w:r>
    </w:p>
    <w:p w14:paraId="5B542C57" w14:textId="77777777" w:rsidR="009A6E21" w:rsidRDefault="009C3AB1">
      <w:pPr>
        <w:pStyle w:val="NormalWeb"/>
        <w:spacing w:line="360" w:lineRule="auto"/>
        <w:jc w:val="both"/>
      </w:pPr>
      <w:proofErr w:type="spellStart"/>
      <w:r>
        <w:lastRenderedPageBreak/>
        <w:t>Eleke</w:t>
      </w:r>
      <w:proofErr w:type="spellEnd"/>
      <w:r>
        <w:t xml:space="preserve">, C., </w:t>
      </w:r>
      <w:proofErr w:type="spellStart"/>
      <w:r>
        <w:t>Ngbala-Okpabi</w:t>
      </w:r>
      <w:proofErr w:type="spellEnd"/>
      <w:r>
        <w:t xml:space="preserve">, S. O., Ogaji, D., &amp; Ekong, E. (2021). Effects of </w:t>
      </w:r>
      <w:r>
        <w:t xml:space="preserve">environmental crude oil pollution on newborn birth outcomes: A retrospective cohort study. </w:t>
      </w:r>
      <w:r>
        <w:rPr>
          <w:rStyle w:val="Emphasis"/>
        </w:rPr>
        <w:t>Journal of Nursing and Midwifery Sciences</w:t>
      </w:r>
      <w:r>
        <w:t xml:space="preserve">, </w:t>
      </w:r>
      <w:r>
        <w:rPr>
          <w:rStyle w:val="Emphasis"/>
        </w:rPr>
        <w:t>8</w:t>
      </w:r>
      <w:r>
        <w:t>(3), 123–131</w:t>
      </w:r>
    </w:p>
    <w:p w14:paraId="4735F446" w14:textId="77777777" w:rsidR="009A6E21" w:rsidRDefault="009C3AB1">
      <w:pPr>
        <w:pStyle w:val="NormalWeb"/>
        <w:spacing w:line="360" w:lineRule="auto"/>
        <w:jc w:val="both"/>
      </w:pPr>
      <w:proofErr w:type="spellStart"/>
      <w:r>
        <w:t>Essoka</w:t>
      </w:r>
      <w:proofErr w:type="spellEnd"/>
      <w:r>
        <w:t xml:space="preserve">, P. A., </w:t>
      </w:r>
      <w:proofErr w:type="spellStart"/>
      <w:r>
        <w:t>Ubogu</w:t>
      </w:r>
      <w:proofErr w:type="spellEnd"/>
      <w:r>
        <w:t xml:space="preserve">, A. E., &amp; </w:t>
      </w:r>
      <w:proofErr w:type="spellStart"/>
      <w:r>
        <w:t>Uzu</w:t>
      </w:r>
      <w:proofErr w:type="spellEnd"/>
      <w:r>
        <w:t>, L. (2006). An overview of oil pollution and heavy metal concentration in</w:t>
      </w:r>
      <w:r>
        <w:t xml:space="preserve"> Warri area, Nigeria. </w:t>
      </w:r>
      <w:r>
        <w:rPr>
          <w:rStyle w:val="Emphasis"/>
        </w:rPr>
        <w:t>Management of Environmental Quality: An International Journal</w:t>
      </w:r>
      <w:r>
        <w:t xml:space="preserve">, </w:t>
      </w:r>
      <w:r>
        <w:rPr>
          <w:rStyle w:val="Emphasis"/>
        </w:rPr>
        <w:t>17</w:t>
      </w:r>
      <w:r>
        <w:t xml:space="preserve">(2), 209–216. </w:t>
      </w:r>
      <w:hyperlink r:id="rId18" w:history="1">
        <w:r>
          <w:rPr>
            <w:rStyle w:val="Hyperlink"/>
          </w:rPr>
          <w:t>https://doi.org/10.1108/14777830610650570</w:t>
        </w:r>
      </w:hyperlink>
      <w:r>
        <w:t xml:space="preserve"> </w:t>
      </w:r>
    </w:p>
    <w:p w14:paraId="7BE90621" w14:textId="77777777" w:rsidR="009A6E21" w:rsidRDefault="009C3AB1">
      <w:pPr>
        <w:pStyle w:val="NormalWeb"/>
        <w:spacing w:line="360" w:lineRule="auto"/>
        <w:jc w:val="both"/>
      </w:pPr>
      <w:r>
        <w:t>Ferreira, N. M., Coutinho, R., &amp; de Oliveira, L. S. (2</w:t>
      </w:r>
      <w:r>
        <w:t xml:space="preserve">023). Emerging studies on oil pollution biomonitoring: A systematic review. </w:t>
      </w:r>
      <w:r>
        <w:rPr>
          <w:rStyle w:val="Emphasis"/>
        </w:rPr>
        <w:t>Marine Pollution Bulletin</w:t>
      </w:r>
      <w:r>
        <w:t xml:space="preserve">, </w:t>
      </w:r>
      <w:r>
        <w:rPr>
          <w:rStyle w:val="Emphasis"/>
        </w:rPr>
        <w:t>192</w:t>
      </w:r>
      <w:r>
        <w:t xml:space="preserve">, 115039. </w:t>
      </w:r>
      <w:hyperlink r:id="rId19" w:history="1">
        <w:r>
          <w:rPr>
            <w:rStyle w:val="Hyperlink"/>
          </w:rPr>
          <w:t>https://doi.org/10.1016/j.marpolbul.2023.115039</w:t>
        </w:r>
      </w:hyperlink>
      <w:r>
        <w:t xml:space="preserve"> </w:t>
      </w:r>
    </w:p>
    <w:p w14:paraId="359D24FD" w14:textId="77777777" w:rsidR="009A6E21" w:rsidRDefault="009C3AB1">
      <w:pPr>
        <w:pStyle w:val="NormalWeb"/>
        <w:spacing w:line="360" w:lineRule="auto"/>
        <w:jc w:val="both"/>
      </w:pPr>
      <w:r>
        <w:t>Giere, O. (1979). The impac</w:t>
      </w:r>
      <w:r>
        <w:t xml:space="preserve">t of oil pollution on intertidal meiofauna. Field studies after the La Coruna-spill, May 1976. </w:t>
      </w:r>
      <w:r>
        <w:rPr>
          <w:rStyle w:val="Emphasis"/>
        </w:rPr>
        <w:t xml:space="preserve">Cahiers de </w:t>
      </w:r>
      <w:proofErr w:type="spellStart"/>
      <w:r>
        <w:rPr>
          <w:rStyle w:val="Emphasis"/>
        </w:rPr>
        <w:t>Biologie</w:t>
      </w:r>
      <w:proofErr w:type="spellEnd"/>
      <w:r>
        <w:rPr>
          <w:rStyle w:val="Emphasis"/>
        </w:rPr>
        <w:t xml:space="preserve"> Marine</w:t>
      </w:r>
      <w:r>
        <w:t xml:space="preserve">, </w:t>
      </w:r>
      <w:r>
        <w:rPr>
          <w:rStyle w:val="Emphasis"/>
        </w:rPr>
        <w:t>20</w:t>
      </w:r>
      <w:r>
        <w:t xml:space="preserve">, 137–150. </w:t>
      </w:r>
    </w:p>
    <w:p w14:paraId="68A0C145" w14:textId="77777777" w:rsidR="009A6E21" w:rsidRDefault="009C3AB1">
      <w:pPr>
        <w:pStyle w:val="NormalWeb"/>
        <w:spacing w:line="360" w:lineRule="auto"/>
        <w:jc w:val="both"/>
      </w:pPr>
      <w:r>
        <w:t>Johnston, J. E., Lim, E., &amp; Roh, H. (2019). Impact of upstream oil extraction and environmental public health: A review</w:t>
      </w:r>
      <w:r>
        <w:t xml:space="preserve"> of the evidence. </w:t>
      </w:r>
      <w:r>
        <w:rPr>
          <w:rStyle w:val="Emphasis"/>
        </w:rPr>
        <w:t>Science of the Total Environment</w:t>
      </w:r>
      <w:r>
        <w:t xml:space="preserve">, </w:t>
      </w:r>
      <w:r>
        <w:rPr>
          <w:rStyle w:val="Emphasis"/>
        </w:rPr>
        <w:t>657</w:t>
      </w:r>
      <w:r>
        <w:t xml:space="preserve">, 187–199. </w:t>
      </w:r>
      <w:hyperlink r:id="rId20" w:history="1">
        <w:r>
          <w:rPr>
            <w:rStyle w:val="Hyperlink"/>
          </w:rPr>
          <w:t>https://doi.org/10.1016/j.scitotenv.2018.11.382</w:t>
        </w:r>
      </w:hyperlink>
      <w:r>
        <w:t xml:space="preserve"> </w:t>
      </w:r>
    </w:p>
    <w:p w14:paraId="7A235937" w14:textId="77777777" w:rsidR="009A6E21" w:rsidRDefault="009C3AB1">
      <w:pPr>
        <w:pStyle w:val="NormalWeb"/>
        <w:spacing w:line="360" w:lineRule="auto"/>
        <w:jc w:val="both"/>
      </w:pPr>
      <w:r>
        <w:t xml:space="preserve">Rosell-Melé, A., </w:t>
      </w:r>
      <w:proofErr w:type="spellStart"/>
      <w:r>
        <w:t>Moraleda-Cibrián</w:t>
      </w:r>
      <w:proofErr w:type="spellEnd"/>
      <w:r>
        <w:t>, N., Mayor, P., &amp; McKenzie, J. M. (2018). O</w:t>
      </w:r>
      <w:r>
        <w:t xml:space="preserve">il pollution in soils and sediments from the Northern Peruvian Amazon. </w:t>
      </w:r>
      <w:r>
        <w:rPr>
          <w:rStyle w:val="Emphasis"/>
        </w:rPr>
        <w:t>Science of The Total Environment</w:t>
      </w:r>
      <w:r>
        <w:t xml:space="preserve">, </w:t>
      </w:r>
      <w:r>
        <w:rPr>
          <w:rStyle w:val="Emphasis"/>
        </w:rPr>
        <w:t>610–611</w:t>
      </w:r>
      <w:r>
        <w:t xml:space="preserve">, 1010–1019. </w:t>
      </w:r>
      <w:hyperlink r:id="rId21" w:history="1">
        <w:r>
          <w:rPr>
            <w:rStyle w:val="Hyperlink"/>
          </w:rPr>
          <w:t>https://doi.org/10.1016/j.scitotenv.2017.08.071</w:t>
        </w:r>
      </w:hyperlink>
      <w:r>
        <w:t xml:space="preserve"> </w:t>
      </w:r>
    </w:p>
    <w:p w14:paraId="39229B6D" w14:textId="77777777" w:rsidR="009A6E21" w:rsidRDefault="009A6E21">
      <w:pPr>
        <w:spacing w:line="240" w:lineRule="auto"/>
        <w:jc w:val="both"/>
        <w:rPr>
          <w:rFonts w:asciiTheme="majorBidi" w:hAnsiTheme="majorBidi" w:cstheme="majorBidi"/>
          <w:sz w:val="24"/>
          <w:szCs w:val="24"/>
        </w:rPr>
      </w:pPr>
    </w:p>
    <w:sectPr w:rsidR="009A6E2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AE67D" w14:textId="77777777" w:rsidR="009C3AB1" w:rsidRDefault="009C3AB1">
      <w:pPr>
        <w:spacing w:line="240" w:lineRule="auto"/>
      </w:pPr>
      <w:r>
        <w:separator/>
      </w:r>
    </w:p>
  </w:endnote>
  <w:endnote w:type="continuationSeparator" w:id="0">
    <w:p w14:paraId="758D35DA" w14:textId="77777777" w:rsidR="009C3AB1" w:rsidRDefault="009C3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D2BD" w14:textId="77777777" w:rsidR="00CD01AF" w:rsidRDefault="00CD0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79A6" w14:textId="77777777" w:rsidR="00CD01AF" w:rsidRDefault="00CD0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4788" w14:textId="77777777" w:rsidR="00CD01AF" w:rsidRDefault="00CD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AD87" w14:textId="77777777" w:rsidR="009C3AB1" w:rsidRDefault="009C3AB1">
      <w:pPr>
        <w:spacing w:before="0" w:after="0"/>
      </w:pPr>
      <w:r>
        <w:separator/>
      </w:r>
    </w:p>
  </w:footnote>
  <w:footnote w:type="continuationSeparator" w:id="0">
    <w:p w14:paraId="5CDE6548" w14:textId="77777777" w:rsidR="009C3AB1" w:rsidRDefault="009C3A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DCCC" w14:textId="6C319D00" w:rsidR="00CD01AF" w:rsidRDefault="00CD01AF">
    <w:pPr>
      <w:pStyle w:val="Header"/>
    </w:pPr>
    <w:r>
      <w:rPr>
        <w:noProof/>
      </w:rPr>
      <w:pict w14:anchorId="5288F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BF35" w14:textId="7EC13F47" w:rsidR="00CD01AF" w:rsidRDefault="00CD01AF">
    <w:pPr>
      <w:pStyle w:val="Header"/>
    </w:pPr>
    <w:r>
      <w:rPr>
        <w:noProof/>
      </w:rPr>
      <w:pict w14:anchorId="7DECC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8333" w14:textId="5674FA38" w:rsidR="00CD01AF" w:rsidRDefault="00CD01AF">
    <w:pPr>
      <w:pStyle w:val="Header"/>
    </w:pPr>
    <w:r>
      <w:rPr>
        <w:noProof/>
      </w:rPr>
      <w:pict w14:anchorId="281F5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526"/>
    <w:rsid w:val="00195C20"/>
    <w:rsid w:val="002E34BB"/>
    <w:rsid w:val="006E12F8"/>
    <w:rsid w:val="00994526"/>
    <w:rsid w:val="009A6E21"/>
    <w:rsid w:val="009C3AB1"/>
    <w:rsid w:val="00A9559B"/>
    <w:rsid w:val="00B719A4"/>
    <w:rsid w:val="00BE01D8"/>
    <w:rsid w:val="00CD01AF"/>
    <w:rsid w:val="00E02B79"/>
    <w:rsid w:val="00E32C42"/>
    <w:rsid w:val="00E900BE"/>
    <w:rsid w:val="00F52CE8"/>
    <w:rsid w:val="40E20F90"/>
    <w:rsid w:val="533041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712E41"/>
  <w15:docId w15:val="{E4389C4B-63AB-4682-ACE0-9F37DAE2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qFormat="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73" w:lineRule="auto"/>
    </w:pPr>
    <w:rPr>
      <w:rFonts w:ascii="Calibri" w:eastAsia="Times New Roman"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customStyle="1" w:styleId="ds-markdown-paragraph">
    <w:name w:val="ds-markdown-paragraph"/>
    <w:basedOn w:val="Normal"/>
    <w:pPr>
      <w:spacing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9559B"/>
    <w:rPr>
      <w:color w:val="605E5C"/>
      <w:shd w:val="clear" w:color="auto" w:fill="E1DFDD"/>
    </w:rPr>
  </w:style>
  <w:style w:type="paragraph" w:styleId="Header">
    <w:name w:val="header"/>
    <w:basedOn w:val="Normal"/>
    <w:link w:val="HeaderChar"/>
    <w:uiPriority w:val="99"/>
    <w:unhideWhenUsed/>
    <w:rsid w:val="00CD01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01AF"/>
    <w:rPr>
      <w:rFonts w:ascii="Calibri" w:eastAsia="Times New Roman" w:hAnsi="Calibri" w:cs="Arial"/>
      <w:sz w:val="22"/>
      <w:szCs w:val="22"/>
      <w:lang w:val="en-US" w:eastAsia="en-US"/>
    </w:rPr>
  </w:style>
  <w:style w:type="paragraph" w:styleId="Footer">
    <w:name w:val="footer"/>
    <w:basedOn w:val="Normal"/>
    <w:link w:val="FooterChar"/>
    <w:uiPriority w:val="99"/>
    <w:unhideWhenUsed/>
    <w:rsid w:val="00CD01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01AF"/>
    <w:rPr>
      <w:rFonts w:ascii="Calibri" w:eastAsia="Times New Roman"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0048-9697(96)05173-4" TargetMode="External"/><Relationship Id="rId13" Type="http://schemas.openxmlformats.org/officeDocument/2006/relationships/hyperlink" Target="https://doi.org/10.1186/s12940-016-0140-1" TargetMode="External"/><Relationship Id="rId18" Type="http://schemas.openxmlformats.org/officeDocument/2006/relationships/hyperlink" Target="https://doi.org/10.1108/14777830610650570"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1016/j.scitotenv.2017.08.071" TargetMode="External"/><Relationship Id="rId7" Type="http://schemas.openxmlformats.org/officeDocument/2006/relationships/hyperlink" Target="https://doi.org/10.1016/j.ecss.2005.04.007" TargetMode="External"/><Relationship Id="rId12" Type="http://schemas.openxmlformats.org/officeDocument/2006/relationships/hyperlink" Target="https://doi.org/10.1016/j.envint.2017.11.015" TargetMode="External"/><Relationship Id="rId17" Type="http://schemas.openxmlformats.org/officeDocument/2006/relationships/hyperlink" Target="https://doi.org/10.1016/j.chemosphere.2012.10.049"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080/10807039.2018.1446062" TargetMode="External"/><Relationship Id="rId20" Type="http://schemas.openxmlformats.org/officeDocument/2006/relationships/hyperlink" Target="https://doi.org/10.1016/j.scitotenv.2018.11.38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07/s10750-018-3705-3" TargetMode="External"/><Relationship Id="rId11" Type="http://schemas.openxmlformats.org/officeDocument/2006/relationships/hyperlink" Target="https://doi.org/10.3390/ijerph13030346"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098/rstb.1982.005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54/meps003167" TargetMode="External"/><Relationship Id="rId19" Type="http://schemas.openxmlformats.org/officeDocument/2006/relationships/hyperlink" Target="https://doi.org/10.1016/j.marpolbul.2023.115039" TargetMode="External"/><Relationship Id="rId4" Type="http://schemas.openxmlformats.org/officeDocument/2006/relationships/footnotes" Target="footnotes.xml"/><Relationship Id="rId9" Type="http://schemas.openxmlformats.org/officeDocument/2006/relationships/hyperlink" Target="https://doi.org/10.1080/10937404.2016.1168730" TargetMode="External"/><Relationship Id="rId14" Type="http://schemas.openxmlformats.org/officeDocument/2006/relationships/hyperlink" Target="https://doi.org/10.1371/journal.pone.026545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2863</Words>
  <Characters>16322</Characters>
  <Application>Microsoft Office Word</Application>
  <DocSecurity>0</DocSecurity>
  <Lines>136</Lines>
  <Paragraphs>38</Paragraphs>
  <ScaleCrop>false</ScaleCrop>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Hayder</dc:creator>
  <cp:lastModifiedBy>SDI 1084</cp:lastModifiedBy>
  <cp:revision>7</cp:revision>
  <dcterms:created xsi:type="dcterms:W3CDTF">2025-07-31T20:37:00Z</dcterms:created>
  <dcterms:modified xsi:type="dcterms:W3CDTF">2025-08-29T13:21:00Z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C4B005B9C1D743CEB1FECC0472F63C76_12</vt:lpwstr>
  </property>
</Properties>
</file>