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6E3A" w14:textId="77777777" w:rsidR="008625CB" w:rsidRPr="00F80EBF" w:rsidRDefault="008625CB" w:rsidP="008625CB">
      <w:pPr>
        <w:spacing w:line="480" w:lineRule="auto"/>
        <w:jc w:val="center"/>
        <w:rPr>
          <w:rFonts w:asciiTheme="majorBidi" w:hAnsiTheme="majorBidi" w:cstheme="majorBidi"/>
          <w:b/>
          <w:bCs/>
          <w:color w:val="262626" w:themeColor="text1" w:themeTint="D9"/>
          <w:sz w:val="28"/>
          <w:szCs w:val="28"/>
        </w:rPr>
      </w:pPr>
      <w:r w:rsidRPr="00F80EBF">
        <w:rPr>
          <w:rFonts w:asciiTheme="majorBidi" w:hAnsiTheme="majorBidi" w:cstheme="majorBidi"/>
          <w:b/>
          <w:bCs/>
          <w:color w:val="262626" w:themeColor="text1" w:themeTint="D9"/>
          <w:sz w:val="28"/>
          <w:szCs w:val="28"/>
        </w:rPr>
        <w:t>Cardiorenal Syndrome Type 1: Predictive Factors, Clinical Outcomes, and Therapeutic Interventions in a Saudi Arabian Cohort</w:t>
      </w:r>
    </w:p>
    <w:p w14:paraId="1B4B80C8" w14:textId="77777777" w:rsidR="00A07E8A" w:rsidRDefault="00A07E8A" w:rsidP="008625CB">
      <w:pPr>
        <w:spacing w:before="100" w:beforeAutospacing="1" w:after="100" w:afterAutospacing="1" w:line="480" w:lineRule="auto"/>
        <w:jc w:val="both"/>
        <w:rPr>
          <w:rFonts w:asciiTheme="majorBidi" w:hAnsiTheme="majorBidi" w:cstheme="majorBidi"/>
          <w:color w:val="262626" w:themeColor="text1" w:themeTint="D9"/>
        </w:rPr>
      </w:pPr>
    </w:p>
    <w:p w14:paraId="7D6C1FE3" w14:textId="77777777" w:rsidR="001A5DB8" w:rsidRDefault="001A5DB8" w:rsidP="008625CB">
      <w:pPr>
        <w:spacing w:before="100" w:beforeAutospacing="1" w:after="100" w:afterAutospacing="1" w:line="480" w:lineRule="auto"/>
        <w:jc w:val="both"/>
        <w:rPr>
          <w:rFonts w:asciiTheme="majorBidi" w:hAnsiTheme="majorBidi" w:cstheme="majorBidi"/>
          <w:color w:val="262626" w:themeColor="text1" w:themeTint="D9"/>
        </w:rPr>
      </w:pPr>
    </w:p>
    <w:p w14:paraId="60728148" w14:textId="77777777" w:rsidR="001A5DB8" w:rsidRDefault="001A5DB8" w:rsidP="008625CB">
      <w:pPr>
        <w:spacing w:before="100" w:beforeAutospacing="1" w:after="100" w:afterAutospacing="1" w:line="480" w:lineRule="auto"/>
        <w:jc w:val="both"/>
        <w:rPr>
          <w:rFonts w:asciiTheme="majorBidi" w:hAnsiTheme="majorBidi" w:cstheme="majorBidi"/>
          <w:color w:val="262626" w:themeColor="text1" w:themeTint="D9"/>
        </w:rPr>
      </w:pPr>
    </w:p>
    <w:p w14:paraId="7A3604BE" w14:textId="77777777" w:rsidR="001A5DB8" w:rsidRDefault="001A5DB8" w:rsidP="008625CB">
      <w:pPr>
        <w:spacing w:before="100" w:beforeAutospacing="1" w:after="100" w:afterAutospacing="1" w:line="480" w:lineRule="auto"/>
        <w:jc w:val="both"/>
        <w:rPr>
          <w:rFonts w:asciiTheme="majorBidi" w:hAnsiTheme="majorBidi" w:cstheme="majorBidi"/>
          <w:color w:val="262626" w:themeColor="text1" w:themeTint="D9"/>
        </w:rPr>
      </w:pPr>
    </w:p>
    <w:p w14:paraId="6F4C2057" w14:textId="77777777" w:rsidR="001A5DB8" w:rsidRDefault="001A5DB8" w:rsidP="008625CB">
      <w:pPr>
        <w:spacing w:before="100" w:beforeAutospacing="1" w:after="100" w:afterAutospacing="1" w:line="480" w:lineRule="auto"/>
        <w:jc w:val="both"/>
        <w:rPr>
          <w:rFonts w:asciiTheme="majorBidi" w:hAnsiTheme="majorBidi" w:cstheme="majorBidi"/>
          <w:color w:val="262626" w:themeColor="text1" w:themeTint="D9"/>
        </w:rPr>
      </w:pPr>
    </w:p>
    <w:p w14:paraId="68C9E2D7" w14:textId="267CC2D7" w:rsidR="008625CB" w:rsidRPr="00EB56E4" w:rsidRDefault="008625CB" w:rsidP="008625CB">
      <w:pPr>
        <w:spacing w:before="100" w:beforeAutospacing="1" w:after="100" w:afterAutospacing="1" w:line="480" w:lineRule="auto"/>
        <w:jc w:val="both"/>
        <w:rPr>
          <w:rFonts w:asciiTheme="majorBidi" w:eastAsia="Times New Roman" w:hAnsiTheme="majorBidi" w:cstheme="majorBidi"/>
          <w:b/>
          <w:bCs/>
          <w:u w:val="single"/>
        </w:rPr>
      </w:pPr>
      <w:r>
        <w:rPr>
          <w:rFonts w:asciiTheme="majorBidi" w:eastAsia="Times New Roman" w:hAnsiTheme="majorBidi" w:cstheme="majorBidi"/>
          <w:b/>
          <w:bCs/>
          <w:u w:val="single"/>
        </w:rPr>
        <w:t xml:space="preserve">Abstract </w:t>
      </w:r>
    </w:p>
    <w:p w14:paraId="24105216"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Background:</w:t>
      </w:r>
      <w:r w:rsidRPr="00EB56E4">
        <w:rPr>
          <w:rFonts w:ascii="Times New Roman" w:eastAsia="Times New Roman" w:hAnsi="Times New Roman" w:cs="Times New Roman"/>
        </w:rPr>
        <w:t xml:space="preserve"> Cardiorenal syndrome type 1 </w:t>
      </w:r>
      <w:r>
        <w:rPr>
          <w:rFonts w:ascii="Times New Roman" w:eastAsia="Times New Roman" w:hAnsi="Times New Roman" w:cs="Times New Roman"/>
        </w:rPr>
        <w:t xml:space="preserve">(CRS1) </w:t>
      </w:r>
      <w:r w:rsidRPr="00EB56E4">
        <w:rPr>
          <w:rFonts w:ascii="Times New Roman" w:eastAsia="Times New Roman" w:hAnsi="Times New Roman" w:cs="Times New Roman"/>
        </w:rPr>
        <w:t xml:space="preserve">complicates the course and prognosis of patients hospitalized with acute decompensated heart failure. This study aimed to determine the incidence, independent risk factors, and short-term outcomes of </w:t>
      </w:r>
      <w:r>
        <w:rPr>
          <w:rFonts w:ascii="Times New Roman" w:eastAsia="Times New Roman" w:hAnsi="Times New Roman" w:cs="Times New Roman"/>
        </w:rPr>
        <w:t>CRS1</w:t>
      </w:r>
      <w:r w:rsidRPr="00EB56E4">
        <w:rPr>
          <w:rFonts w:ascii="Times New Roman" w:eastAsia="Times New Roman" w:hAnsi="Times New Roman" w:cs="Times New Roman"/>
        </w:rPr>
        <w:t xml:space="preserve"> in a Saudi Arabian cohort.</w:t>
      </w:r>
    </w:p>
    <w:p w14:paraId="2129D2C3"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Methods:</w:t>
      </w:r>
      <w:r w:rsidRPr="00EB56E4">
        <w:rPr>
          <w:rFonts w:ascii="Times New Roman" w:eastAsia="Times New Roman" w:hAnsi="Times New Roman" w:cs="Times New Roman"/>
        </w:rPr>
        <w:t xml:space="preserve"> We retrospectively analyzed patients admitted with acute decompensated heart failure over five</w:t>
      </w:r>
      <w:r>
        <w:rPr>
          <w:rFonts w:ascii="Times New Roman" w:eastAsia="Times New Roman" w:hAnsi="Times New Roman" w:cs="Times New Roman"/>
        </w:rPr>
        <w:t xml:space="preserve"> </w:t>
      </w:r>
      <w:r w:rsidRPr="00EB56E4">
        <w:rPr>
          <w:rFonts w:ascii="Times New Roman" w:eastAsia="Times New Roman" w:hAnsi="Times New Roman" w:cs="Times New Roman"/>
        </w:rPr>
        <w:t>year</w:t>
      </w:r>
      <w:r>
        <w:rPr>
          <w:rFonts w:ascii="Times New Roman" w:eastAsia="Times New Roman" w:hAnsi="Times New Roman" w:cs="Times New Roman"/>
        </w:rPr>
        <w:t>s</w:t>
      </w:r>
      <w:r w:rsidRPr="00EB56E4">
        <w:rPr>
          <w:rFonts w:ascii="Times New Roman" w:eastAsia="Times New Roman" w:hAnsi="Times New Roman" w:cs="Times New Roman"/>
        </w:rPr>
        <w:t xml:space="preserve"> at a tertiary care hospital. Demographic, clinical, and laboratory data were reviewed to identify predictors of </w:t>
      </w:r>
      <w:r>
        <w:rPr>
          <w:rFonts w:ascii="Times New Roman" w:eastAsia="Times New Roman" w:hAnsi="Times New Roman" w:cs="Times New Roman"/>
        </w:rPr>
        <w:t>CRS1</w:t>
      </w:r>
      <w:r w:rsidRPr="00EB56E4">
        <w:rPr>
          <w:rFonts w:ascii="Times New Roman" w:eastAsia="Times New Roman" w:hAnsi="Times New Roman" w:cs="Times New Roman"/>
        </w:rPr>
        <w:t xml:space="preserve"> and six-month outcomes. Management patterns, including </w:t>
      </w:r>
      <w:r>
        <w:rPr>
          <w:rFonts w:ascii="Times New Roman" w:eastAsia="Times New Roman" w:hAnsi="Times New Roman" w:cs="Times New Roman"/>
        </w:rPr>
        <w:t xml:space="preserve">the </w:t>
      </w:r>
      <w:r w:rsidRPr="00EB56E4">
        <w:rPr>
          <w:rFonts w:ascii="Times New Roman" w:eastAsia="Times New Roman" w:hAnsi="Times New Roman" w:cs="Times New Roman"/>
        </w:rPr>
        <w:t>use of guideline-directed medical therapy, and rates of renal recovery were assessed.</w:t>
      </w:r>
    </w:p>
    <w:p w14:paraId="5C87423A" w14:textId="77777777" w:rsidR="008625CB" w:rsidRPr="005B1772" w:rsidRDefault="008625CB" w:rsidP="008625CB">
      <w:pPr>
        <w:spacing w:before="100" w:beforeAutospacing="1" w:after="100" w:afterAutospacing="1" w:line="480" w:lineRule="auto"/>
        <w:jc w:val="both"/>
        <w:rPr>
          <w:rFonts w:ascii="Times New Roman" w:eastAsia="Times New Roman" w:hAnsi="Times New Roman" w:cs="Times New Roman"/>
        </w:rPr>
      </w:pPr>
      <w:r w:rsidRPr="005B1772">
        <w:rPr>
          <w:rFonts w:ascii="Times New Roman" w:eastAsia="Times New Roman" w:hAnsi="Times New Roman" w:cs="Times New Roman"/>
          <w:b/>
          <w:bCs/>
        </w:rPr>
        <w:t>Results:</w:t>
      </w:r>
      <w:r w:rsidRPr="005B1772">
        <w:rPr>
          <w:rFonts w:ascii="Times New Roman" w:eastAsia="Times New Roman" w:hAnsi="Times New Roman" w:cs="Times New Roman"/>
        </w:rPr>
        <w:t xml:space="preserve"> Among 314 patients, </w:t>
      </w:r>
      <w:r>
        <w:rPr>
          <w:rFonts w:ascii="Times New Roman" w:eastAsia="Times New Roman" w:hAnsi="Times New Roman" w:cs="Times New Roman"/>
        </w:rPr>
        <w:t>CRS1</w:t>
      </w:r>
      <w:r w:rsidRPr="005B1772">
        <w:rPr>
          <w:rFonts w:ascii="Times New Roman" w:eastAsia="Times New Roman" w:hAnsi="Times New Roman" w:cs="Times New Roman"/>
        </w:rPr>
        <w:t xml:space="preserve"> occurred in 51.2%. Independent risk factors included, chronic kidney disease, hypertension, prior acute kidney injury, </w:t>
      </w:r>
      <w:r>
        <w:rPr>
          <w:rFonts w:ascii="Times New Roman" w:eastAsia="Times New Roman" w:hAnsi="Times New Roman" w:cs="Times New Roman"/>
        </w:rPr>
        <w:t>and chronic obstructive pulmonary</w:t>
      </w:r>
      <w:r w:rsidRPr="005B1772">
        <w:rPr>
          <w:rFonts w:ascii="Times New Roman" w:eastAsia="Times New Roman" w:hAnsi="Times New Roman" w:cs="Times New Roman"/>
        </w:rPr>
        <w:t xml:space="preserve"> disease. At six months, patients with </w:t>
      </w:r>
      <w:r>
        <w:rPr>
          <w:rFonts w:ascii="Times New Roman" w:eastAsia="Times New Roman" w:hAnsi="Times New Roman" w:cs="Times New Roman"/>
        </w:rPr>
        <w:t xml:space="preserve">CRS1 </w:t>
      </w:r>
      <w:r w:rsidRPr="005B1772">
        <w:rPr>
          <w:rFonts w:ascii="Times New Roman" w:eastAsia="Times New Roman" w:hAnsi="Times New Roman" w:cs="Times New Roman"/>
        </w:rPr>
        <w:t xml:space="preserve">had numerically higher mortality (53.7%) and rehospitalization rates (60%) than patients without </w:t>
      </w:r>
      <w:r>
        <w:rPr>
          <w:rFonts w:ascii="Times New Roman" w:eastAsia="Times New Roman" w:hAnsi="Times New Roman" w:cs="Times New Roman"/>
        </w:rPr>
        <w:t>CRS1</w:t>
      </w:r>
      <w:r w:rsidRPr="005B1772">
        <w:rPr>
          <w:rFonts w:ascii="Times New Roman" w:eastAsia="Times New Roman" w:hAnsi="Times New Roman" w:cs="Times New Roman"/>
        </w:rPr>
        <w:t>, although these differences were not stati</w:t>
      </w:r>
      <w:r>
        <w:rPr>
          <w:rFonts w:ascii="Times New Roman" w:eastAsia="Times New Roman" w:hAnsi="Times New Roman" w:cs="Times New Roman"/>
        </w:rPr>
        <w:t>sti</w:t>
      </w:r>
      <w:r w:rsidRPr="005B1772">
        <w:rPr>
          <w:rFonts w:ascii="Times New Roman" w:eastAsia="Times New Roman" w:hAnsi="Times New Roman" w:cs="Times New Roman"/>
        </w:rPr>
        <w:t>cally significan</w:t>
      </w:r>
      <w:r>
        <w:rPr>
          <w:rFonts w:ascii="Times New Roman" w:eastAsia="Times New Roman" w:hAnsi="Times New Roman" w:cs="Times New Roman"/>
        </w:rPr>
        <w:t>t</w:t>
      </w:r>
      <w:r w:rsidRPr="005B1772">
        <w:rPr>
          <w:rFonts w:ascii="Times New Roman" w:eastAsia="Times New Roman" w:hAnsi="Times New Roman" w:cs="Times New Roman"/>
        </w:rPr>
        <w:t xml:space="preserve">. However, rehospitalization within two months was more common (p= 0.16), and hospital stay was significantly longer </w:t>
      </w:r>
      <w:r w:rsidRPr="005B1772">
        <w:rPr>
          <w:rFonts w:ascii="Times New Roman" w:eastAsia="Times New Roman" w:hAnsi="Times New Roman" w:cs="Times New Roman"/>
        </w:rPr>
        <w:lastRenderedPageBreak/>
        <w:t xml:space="preserve">for </w:t>
      </w:r>
      <w:r>
        <w:rPr>
          <w:rFonts w:ascii="Times New Roman" w:eastAsia="Times New Roman" w:hAnsi="Times New Roman" w:cs="Times New Roman"/>
        </w:rPr>
        <w:t>CRS1</w:t>
      </w:r>
      <w:r w:rsidRPr="005B1772">
        <w:rPr>
          <w:rFonts w:ascii="Times New Roman" w:eastAsia="Times New Roman" w:hAnsi="Times New Roman" w:cs="Times New Roman"/>
        </w:rPr>
        <w:t xml:space="preserve"> patients (p=0.002). Complete renal recovery was achieved in 84 individuals (52.2%) of </w:t>
      </w:r>
      <w:r>
        <w:rPr>
          <w:rFonts w:ascii="Times New Roman" w:eastAsia="Times New Roman" w:hAnsi="Times New Roman" w:cs="Times New Roman"/>
        </w:rPr>
        <w:t>CRS</w:t>
      </w:r>
      <w:r w:rsidRPr="005B1772">
        <w:rPr>
          <w:rFonts w:ascii="Times New Roman" w:eastAsia="Times New Roman" w:hAnsi="Times New Roman" w:cs="Times New Roman"/>
        </w:rPr>
        <w:t>1 cases, which strongly correlated with favorable outcomes. All patients received diuretics, while ultrafiltration was rarely used.</w:t>
      </w:r>
    </w:p>
    <w:p w14:paraId="4C049E89"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Conclusion:</w:t>
      </w:r>
      <w:r w:rsidRPr="00EB56E4">
        <w:rPr>
          <w:rFonts w:ascii="Times New Roman" w:eastAsia="Times New Roman" w:hAnsi="Times New Roman" w:cs="Times New Roman"/>
        </w:rPr>
        <w:t xml:space="preserve"> </w:t>
      </w:r>
      <w:r>
        <w:rPr>
          <w:rFonts w:ascii="Times New Roman" w:eastAsia="Times New Roman" w:hAnsi="Times New Roman" w:cs="Times New Roman"/>
        </w:rPr>
        <w:t>CRS1</w:t>
      </w:r>
      <w:r w:rsidRPr="00EB56E4">
        <w:rPr>
          <w:rFonts w:ascii="Times New Roman" w:eastAsia="Times New Roman" w:hAnsi="Times New Roman" w:cs="Times New Roman"/>
        </w:rPr>
        <w:t xml:space="preserve"> is common among patients hospitalized with acute decompensated heart failure and is associated with adverse short-term outcomes, particularly when renal recovery is incomplete. Early identification of high-risk patients and optimized heart failure management are essential. Larger prospective studies with extended follow-up are warranted to refine long-term care strategies.</w:t>
      </w:r>
    </w:p>
    <w:p w14:paraId="6842C416" w14:textId="77777777" w:rsidR="008625CB" w:rsidRPr="004F61F4" w:rsidRDefault="008625CB" w:rsidP="008625CB">
      <w:pPr>
        <w:spacing w:before="100" w:beforeAutospacing="1" w:after="100" w:afterAutospacing="1" w:line="480" w:lineRule="auto"/>
        <w:jc w:val="both"/>
        <w:rPr>
          <w:rFonts w:ascii="Times New Roman" w:eastAsia="Times New Roman" w:hAnsi="Times New Roman" w:cs="Times New Roman"/>
        </w:rPr>
      </w:pPr>
      <w:r w:rsidRPr="00B843E0">
        <w:rPr>
          <w:rFonts w:ascii="Times New Roman" w:eastAsia="Times New Roman" w:hAnsi="Times New Roman" w:cs="Times New Roman"/>
          <w:b/>
          <w:bCs/>
          <w:i/>
          <w:iCs/>
        </w:rPr>
        <w:t>Keywords</w:t>
      </w:r>
      <w:r w:rsidRPr="00EB56E4">
        <w:rPr>
          <w:rFonts w:ascii="Times New Roman" w:eastAsia="Times New Roman" w:hAnsi="Times New Roman" w:cs="Times New Roman"/>
          <w:b/>
          <w:bCs/>
        </w:rPr>
        <w:t>:</w:t>
      </w:r>
      <w:r w:rsidRPr="00EB56E4">
        <w:rPr>
          <w:rFonts w:ascii="Times New Roman" w:eastAsia="Times New Roman" w:hAnsi="Times New Roman" w:cs="Times New Roman"/>
        </w:rPr>
        <w:t xml:space="preserve"> Cardiorenal Syndrome, Heart Failure, Mortality</w:t>
      </w:r>
      <w:r>
        <w:rPr>
          <w:rFonts w:ascii="Times New Roman" w:eastAsia="Times New Roman" w:hAnsi="Times New Roman" w:cs="Times New Roman"/>
        </w:rPr>
        <w:t>,</w:t>
      </w:r>
      <w:r w:rsidRPr="003779EF">
        <w:rPr>
          <w:rFonts w:ascii="Times New Roman" w:eastAsia="Times New Roman" w:hAnsi="Times New Roman" w:cs="Times New Roman"/>
        </w:rPr>
        <w:t xml:space="preserve"> </w:t>
      </w:r>
      <w:r w:rsidRPr="00EB56E4">
        <w:rPr>
          <w:rFonts w:ascii="Times New Roman" w:eastAsia="Times New Roman" w:hAnsi="Times New Roman" w:cs="Times New Roman"/>
        </w:rPr>
        <w:t>Risk Factors</w:t>
      </w:r>
    </w:p>
    <w:p w14:paraId="34FFDA3F" w14:textId="77777777" w:rsidR="008625CB" w:rsidRDefault="008625CB" w:rsidP="008625CB">
      <w:pPr>
        <w:spacing w:line="360" w:lineRule="auto"/>
        <w:rPr>
          <w:rFonts w:asciiTheme="majorBidi" w:hAnsiTheme="majorBidi" w:cstheme="majorBidi"/>
          <w:color w:val="262626" w:themeColor="text1" w:themeTint="D9"/>
        </w:rPr>
      </w:pPr>
    </w:p>
    <w:p w14:paraId="56647CF3" w14:textId="77777777" w:rsidR="008625CB" w:rsidRDefault="008625CB" w:rsidP="008625CB">
      <w:pPr>
        <w:spacing w:line="360" w:lineRule="auto"/>
        <w:rPr>
          <w:rFonts w:asciiTheme="majorBidi" w:hAnsiTheme="majorBidi" w:cstheme="majorBidi"/>
          <w:color w:val="262626" w:themeColor="text1" w:themeTint="D9"/>
        </w:rPr>
      </w:pPr>
    </w:p>
    <w:p w14:paraId="493CD1AC" w14:textId="77777777" w:rsidR="008625CB" w:rsidRDefault="008625CB"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272D2FA7" w14:textId="77777777" w:rsidR="008625CB" w:rsidRDefault="008625CB"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480BE08C" w14:textId="77777777" w:rsidR="00712D86" w:rsidRDefault="00712D86"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73EF8DED" w14:textId="77777777" w:rsidR="00712D86" w:rsidRDefault="00712D86"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3BA7B00B" w14:textId="0AB24436" w:rsidR="00551CE7" w:rsidRPr="005A131A" w:rsidRDefault="00551CE7"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r w:rsidRPr="005A131A">
        <w:rPr>
          <w:rFonts w:asciiTheme="majorBidi" w:eastAsia="Times New Roman" w:hAnsiTheme="majorBidi" w:cstheme="majorBidi"/>
          <w:b/>
          <w:bCs/>
          <w:sz w:val="24"/>
          <w:szCs w:val="24"/>
          <w:u w:val="single"/>
        </w:rPr>
        <w:t>Introduction</w:t>
      </w:r>
    </w:p>
    <w:p w14:paraId="3E8C6888" w14:textId="4BC4EC64" w:rsidR="00143EB5" w:rsidRPr="00246C22" w:rsidRDefault="00143EB5" w:rsidP="0021531C">
      <w:pPr>
        <w:spacing w:before="100" w:beforeAutospacing="1" w:after="100" w:afterAutospacing="1" w:line="480" w:lineRule="auto"/>
        <w:jc w:val="both"/>
        <w:rPr>
          <w:rFonts w:ascii="Times New Roman" w:eastAsia="Times New Roman" w:hAnsi="Times New Roman" w:cs="Times New Roman"/>
          <w:sz w:val="24"/>
          <w:szCs w:val="24"/>
        </w:rPr>
      </w:pPr>
      <w:bookmarkStart w:id="0" w:name="OLE_LINK2"/>
      <w:bookmarkStart w:id="1" w:name="OLE_LINK3"/>
      <w:r w:rsidRPr="00246C22">
        <w:rPr>
          <w:rFonts w:ascii="Times New Roman" w:eastAsia="Times New Roman" w:hAnsi="Times New Roman" w:cs="Times New Roman"/>
          <w:sz w:val="24"/>
          <w:szCs w:val="24"/>
        </w:rPr>
        <w:t xml:space="preserve">Cardiorenal syndrome (CRS) is defined as a pathophysiological disorder </w:t>
      </w:r>
      <w:r w:rsidR="00E61154" w:rsidRPr="00246C22">
        <w:rPr>
          <w:rFonts w:asciiTheme="majorBidi" w:hAnsiTheme="majorBidi" w:cstheme="majorBidi"/>
          <w:sz w:val="24"/>
          <w:szCs w:val="24"/>
        </w:rPr>
        <w:t>of the heart and kidneys</w:t>
      </w:r>
      <w:r w:rsidR="00E61154" w:rsidRPr="00246C22">
        <w:rPr>
          <w:rFonts w:ascii="Times New Roman" w:eastAsia="Times New Roman" w:hAnsi="Times New Roman" w:cs="Times New Roman"/>
          <w:sz w:val="24"/>
          <w:szCs w:val="24"/>
        </w:rPr>
        <w:t xml:space="preserve">, </w:t>
      </w:r>
      <w:r w:rsidRPr="00246C22">
        <w:rPr>
          <w:rFonts w:ascii="Times New Roman" w:eastAsia="Times New Roman" w:hAnsi="Times New Roman" w:cs="Times New Roman"/>
          <w:sz w:val="24"/>
          <w:szCs w:val="24"/>
        </w:rPr>
        <w:t>in which acute or chronic dysfunction in one organ precipitates acute or chronic dysfunction in the other</w:t>
      </w:r>
      <w:r w:rsidR="00FE2848" w:rsidRPr="00246C22">
        <w:rPr>
          <w:rFonts w:ascii="Times New Roman" w:eastAsia="Times New Roman" w:hAnsi="Times New Roman" w:cs="Times New Roman"/>
          <w:sz w:val="24"/>
          <w:szCs w:val="24"/>
        </w:rPr>
        <w:t xml:space="preserve"> </w:t>
      </w:r>
      <w:r w:rsidR="00FE2848" w:rsidRPr="00246C22">
        <w:rPr>
          <w:rFonts w:ascii="Times New Roman" w:eastAsia="Times New Roman" w:hAnsi="Times New Roman" w:cs="Times New Roman"/>
          <w:sz w:val="24"/>
          <w:szCs w:val="24"/>
        </w:rPr>
        <w:fldChar w:fldCharType="begin"/>
      </w:r>
      <w:r w:rsidR="00FE2848" w:rsidRPr="00246C22">
        <w:rPr>
          <w:rFonts w:ascii="Times New Roman" w:eastAsia="Times New Roman" w:hAnsi="Times New Roman" w:cs="Times New Roman"/>
          <w:sz w:val="24"/>
          <w:szCs w:val="24"/>
        </w:rPr>
        <w:instrText xml:space="preserve"> ADDIN EN.CITE &lt;EndNote&gt;&lt;Cite&gt;&lt;Author&gt;Ronco&lt;/Author&gt;&lt;Year&gt;2018&lt;/Year&gt;&lt;RecNum&gt;493&lt;/RecNum&gt;&lt;DisplayText&gt; [1]&lt;/DisplayText&gt;&lt;record&gt;&lt;rec-number&gt;493&lt;/rec-number&gt;&lt;foreign-keys&gt;&lt;key app="EN" db-id="9depddd06artptewtfnv9xa4xx9xa2v2xe0f" timestamp="1750423745"&gt;493&lt;/key&gt;&lt;/foreign-keys&gt;&lt;ref-type name="Journal Article"&gt;17&lt;/ref-type&gt;&lt;contributors&gt;&lt;authors&gt;&lt;author&gt;Ronco, Claudio&lt;/author&gt;&lt;author&gt;Bellasi, Antonio&lt;/author&gt;&lt;author&gt;Di Lullo, Luca&lt;/author&gt;&lt;/authors&gt;&lt;/contributors&gt;&lt;titles&gt;&lt;title&gt;Cardiorenal syndrome: an overview&lt;/title&gt;&lt;secondary-title&gt;Advances in chronic kidney disease&lt;/secondary-title&gt;&lt;/titles&gt;&lt;periodical&gt;&lt;full-title&gt;Advances in chronic kidney disease&lt;/full-title&gt;&lt;/periodical&gt;&lt;pages&gt;382-390&lt;/pages&gt;&lt;volume&gt;25&lt;/volume&gt;&lt;number&gt;5&lt;/number&gt;&lt;dates&gt;&lt;year&gt;2018&lt;/year&gt;&lt;/dates&gt;&lt;isbn&gt;1548-5595&lt;/isbn&gt;&lt;urls&gt;&lt;/urls&gt;&lt;/record&gt;&lt;/Cite&gt;&lt;/EndNote&gt;</w:instrText>
      </w:r>
      <w:r w:rsidR="00FE2848" w:rsidRPr="00246C22">
        <w:rPr>
          <w:rFonts w:ascii="Times New Roman" w:eastAsia="Times New Roman" w:hAnsi="Times New Roman" w:cs="Times New Roman"/>
          <w:sz w:val="24"/>
          <w:szCs w:val="24"/>
        </w:rPr>
        <w:fldChar w:fldCharType="separate"/>
      </w:r>
      <w:r w:rsidR="00FE2848" w:rsidRPr="00246C22">
        <w:rPr>
          <w:rFonts w:ascii="Times New Roman" w:eastAsia="Times New Roman" w:hAnsi="Times New Roman" w:cs="Times New Roman"/>
          <w:noProof/>
          <w:sz w:val="24"/>
          <w:szCs w:val="24"/>
        </w:rPr>
        <w:t> [</w:t>
      </w:r>
      <w:hyperlink w:anchor="_ENREF_1" w:tooltip="Ronco, 2018 #493" w:history="1">
        <w:r w:rsidR="0021531C" w:rsidRPr="0021531C">
          <w:rPr>
            <w:rStyle w:val="Hyperlink"/>
          </w:rPr>
          <w:t>1</w:t>
        </w:r>
      </w:hyperlink>
      <w:r w:rsidR="00FE2848" w:rsidRPr="00246C22">
        <w:rPr>
          <w:rFonts w:ascii="Times New Roman" w:eastAsia="Times New Roman" w:hAnsi="Times New Roman" w:cs="Times New Roman"/>
          <w:noProof/>
          <w:sz w:val="24"/>
          <w:szCs w:val="24"/>
        </w:rPr>
        <w:t>]</w:t>
      </w:r>
      <w:r w:rsidR="00FE2848" w:rsidRPr="00246C22">
        <w:rPr>
          <w:rFonts w:ascii="Times New Roman" w:eastAsia="Times New Roman" w:hAnsi="Times New Roman" w:cs="Times New Roman"/>
          <w:sz w:val="24"/>
          <w:szCs w:val="24"/>
        </w:rPr>
        <w:fldChar w:fldCharType="end"/>
      </w:r>
      <w:r w:rsidRPr="00246C22">
        <w:rPr>
          <w:rFonts w:ascii="Times New Roman" w:eastAsia="Times New Roman" w:hAnsi="Times New Roman" w:cs="Times New Roman"/>
          <w:sz w:val="24"/>
          <w:szCs w:val="24"/>
        </w:rPr>
        <w:t xml:space="preserve">. CRS is classified into five subtypes based on the onset and chronicity of dysfunction. In type 1 CRS, an acute cardiac event, most often acute heart failure, precipitates acute kidney injury (AKI). </w:t>
      </w:r>
      <w:r w:rsidR="00A863C0">
        <w:rPr>
          <w:rFonts w:ascii="Times New Roman" w:eastAsia="Times New Roman" w:hAnsi="Times New Roman" w:cs="Times New Roman"/>
          <w:sz w:val="24"/>
          <w:szCs w:val="24"/>
        </w:rPr>
        <w:t>However, t</w:t>
      </w:r>
      <w:r w:rsidRPr="00246C22">
        <w:rPr>
          <w:rFonts w:ascii="Times New Roman" w:eastAsia="Times New Roman" w:hAnsi="Times New Roman" w:cs="Times New Roman"/>
          <w:sz w:val="24"/>
          <w:szCs w:val="24"/>
        </w:rPr>
        <w:t xml:space="preserve">ype 2 CRS occurs when chronic heart failure leads to chronic kidney disease </w:t>
      </w:r>
      <w:r w:rsidRPr="00246C22">
        <w:rPr>
          <w:rFonts w:ascii="Times New Roman" w:eastAsia="Times New Roman" w:hAnsi="Times New Roman" w:cs="Times New Roman"/>
          <w:sz w:val="24"/>
          <w:szCs w:val="24"/>
        </w:rPr>
        <w:lastRenderedPageBreak/>
        <w:t xml:space="preserve">(CKD), whereas type 3 CRS is characterized by AKI triggering acute cardiac dysfunction. Type 4 CRS </w:t>
      </w:r>
      <w:r w:rsidR="00C96099" w:rsidRPr="00246C22">
        <w:rPr>
          <w:rFonts w:ascii="Times New Roman" w:eastAsia="Times New Roman" w:hAnsi="Times New Roman" w:cs="Times New Roman"/>
          <w:sz w:val="24"/>
          <w:szCs w:val="24"/>
        </w:rPr>
        <w:t xml:space="preserve">can be </w:t>
      </w:r>
      <w:r w:rsidR="00246C22" w:rsidRPr="00246C22">
        <w:rPr>
          <w:rFonts w:ascii="Times New Roman" w:eastAsia="Times New Roman" w:hAnsi="Times New Roman" w:cs="Times New Roman"/>
          <w:sz w:val="24"/>
          <w:szCs w:val="24"/>
        </w:rPr>
        <w:t>descri</w:t>
      </w:r>
      <w:r w:rsidR="00246C22">
        <w:rPr>
          <w:rFonts w:ascii="Times New Roman" w:eastAsia="Times New Roman" w:hAnsi="Times New Roman" w:cs="Times New Roman"/>
          <w:sz w:val="24"/>
          <w:szCs w:val="24"/>
        </w:rPr>
        <w:t>bed</w:t>
      </w:r>
      <w:r w:rsidR="00C96099" w:rsidRPr="00246C22">
        <w:rPr>
          <w:rFonts w:ascii="Times New Roman" w:eastAsia="Times New Roman" w:hAnsi="Times New Roman" w:cs="Times New Roman"/>
          <w:sz w:val="24"/>
          <w:szCs w:val="24"/>
        </w:rPr>
        <w:t xml:space="preserve"> as</w:t>
      </w:r>
      <w:r w:rsidRPr="00246C22">
        <w:rPr>
          <w:rFonts w:ascii="Times New Roman" w:eastAsia="Times New Roman" w:hAnsi="Times New Roman" w:cs="Times New Roman"/>
          <w:sz w:val="24"/>
          <w:szCs w:val="24"/>
        </w:rPr>
        <w:t xml:space="preserve"> CKD preceding chronic heart dysfunction, and type 5 CRS involves systemic conditions causing simultaneous cardiac and renal injury</w:t>
      </w:r>
      <w:r w:rsidR="00FE2848" w:rsidRPr="00246C22">
        <w:rPr>
          <w:rFonts w:ascii="Times New Roman" w:eastAsia="Times New Roman" w:hAnsi="Times New Roman" w:cs="Times New Roman"/>
          <w:sz w:val="24"/>
          <w:szCs w:val="24"/>
        </w:rPr>
        <w:t xml:space="preserve"> </w:t>
      </w:r>
      <w:r w:rsidR="00FE2848" w:rsidRPr="00246C22">
        <w:rPr>
          <w:rFonts w:ascii="Times New Roman" w:eastAsia="Times New Roman" w:hAnsi="Times New Roman" w:cs="Times New Roman"/>
          <w:sz w:val="24"/>
          <w:szCs w:val="24"/>
        </w:rPr>
        <w:fldChar w:fldCharType="begin"/>
      </w:r>
      <w:r w:rsidR="00FE2848" w:rsidRPr="00246C22">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FE2848" w:rsidRPr="00246C22">
        <w:rPr>
          <w:rFonts w:ascii="Times New Roman" w:eastAsia="Times New Roman" w:hAnsi="Times New Roman" w:cs="Times New Roman"/>
          <w:sz w:val="24"/>
          <w:szCs w:val="24"/>
        </w:rPr>
        <w:fldChar w:fldCharType="separate"/>
      </w:r>
      <w:r w:rsidR="00FE2848" w:rsidRPr="00246C22">
        <w:rPr>
          <w:rFonts w:ascii="Times New Roman" w:eastAsia="Times New Roman" w:hAnsi="Times New Roman" w:cs="Times New Roman"/>
          <w:noProof/>
          <w:sz w:val="24"/>
          <w:szCs w:val="24"/>
        </w:rPr>
        <w:t> [</w:t>
      </w:r>
      <w:hyperlink w:anchor="_ENREF_2" w:tooltip="Thanapongsatorn, 2024 #494" w:history="1">
        <w:r w:rsidR="0021531C" w:rsidRPr="0021531C">
          <w:rPr>
            <w:rStyle w:val="Hyperlink"/>
          </w:rPr>
          <w:t>2</w:t>
        </w:r>
      </w:hyperlink>
      <w:r w:rsidR="00FE2848" w:rsidRPr="00246C22">
        <w:rPr>
          <w:rFonts w:ascii="Times New Roman" w:eastAsia="Times New Roman" w:hAnsi="Times New Roman" w:cs="Times New Roman"/>
          <w:noProof/>
          <w:sz w:val="24"/>
          <w:szCs w:val="24"/>
        </w:rPr>
        <w:t>]</w:t>
      </w:r>
      <w:r w:rsidR="00FE2848" w:rsidRPr="00246C22">
        <w:rPr>
          <w:rFonts w:ascii="Times New Roman" w:eastAsia="Times New Roman" w:hAnsi="Times New Roman" w:cs="Times New Roman"/>
          <w:sz w:val="24"/>
          <w:szCs w:val="24"/>
        </w:rPr>
        <w:fldChar w:fldCharType="end"/>
      </w:r>
      <w:r w:rsidRPr="00246C22">
        <w:rPr>
          <w:rFonts w:ascii="Times New Roman" w:eastAsia="Times New Roman" w:hAnsi="Times New Roman" w:cs="Times New Roman"/>
          <w:sz w:val="24"/>
          <w:szCs w:val="24"/>
        </w:rPr>
        <w:t>.</w:t>
      </w:r>
    </w:p>
    <w:p w14:paraId="42B0F0E5" w14:textId="23BF2B12" w:rsidR="00143EB5" w:rsidRPr="00221272" w:rsidRDefault="00143EB5" w:rsidP="0021531C">
      <w:pPr>
        <w:spacing w:before="100" w:beforeAutospacing="1" w:after="100" w:afterAutospacing="1" w:line="480" w:lineRule="auto"/>
        <w:jc w:val="both"/>
        <w:rPr>
          <w:rFonts w:ascii="Times New Roman" w:eastAsia="Times New Roman" w:hAnsi="Times New Roman" w:cs="Times New Roman"/>
          <w:sz w:val="24"/>
          <w:szCs w:val="24"/>
        </w:rPr>
      </w:pPr>
      <w:bookmarkStart w:id="2" w:name="OLE_LINK1"/>
      <w:r w:rsidRPr="00221272">
        <w:rPr>
          <w:rFonts w:ascii="Times New Roman" w:eastAsia="Times New Roman" w:hAnsi="Times New Roman" w:cs="Times New Roman"/>
          <w:sz w:val="24"/>
          <w:szCs w:val="24"/>
        </w:rPr>
        <w:t>Acute decompensated heart failure (ADHF) is a rapid-onset clinical syndrome characterized by signs and symptoms of volume overload and pulmonary congestion</w:t>
      </w:r>
      <w:bookmarkEnd w:id="2"/>
      <w:r w:rsidRPr="00221272">
        <w:rPr>
          <w:rFonts w:ascii="Times New Roman" w:eastAsia="Times New Roman" w:hAnsi="Times New Roman" w:cs="Times New Roman"/>
          <w:sz w:val="24"/>
          <w:szCs w:val="24"/>
        </w:rPr>
        <w:t xml:space="preserve">, often requiring urgent hospitalization and decongestive therapy </w:t>
      </w:r>
      <w:r w:rsidR="00FE2848" w:rsidRPr="00221272">
        <w:rPr>
          <w:rFonts w:ascii="Times New Roman" w:eastAsia="Times New Roman" w:hAnsi="Times New Roman" w:cs="Times New Roman"/>
          <w:sz w:val="24"/>
          <w:szCs w:val="24"/>
        </w:rPr>
        <w:fldChar w:fldCharType="begin"/>
      </w:r>
      <w:r w:rsidR="00FE2848" w:rsidRPr="00221272">
        <w:rPr>
          <w:rFonts w:ascii="Times New Roman" w:eastAsia="Times New Roman" w:hAnsi="Times New Roman" w:cs="Times New Roman"/>
          <w:sz w:val="24"/>
          <w:szCs w:val="24"/>
        </w:rPr>
        <w:instrText xml:space="preserve"> ADDIN EN.CITE &lt;EndNote&gt;&lt;Cite&gt;&lt;Author&gt;Banerjee&lt;/Author&gt;&lt;Year&gt;2024&lt;/Year&gt;&lt;RecNum&gt;495&lt;/RecNum&gt;&lt;DisplayText&gt; [3]&lt;/DisplayText&gt;&lt;record&gt;&lt;rec-number&gt;495&lt;/rec-number&gt;&lt;foreign-keys&gt;&lt;key app="EN" db-id="9depddd06artptewtfnv9xa4xx9xa2v2xe0f" timestamp="1750423996"&gt;495&lt;/key&gt;&lt;/foreign-keys&gt;&lt;ref-type name="Journal Article"&gt;17&lt;/ref-type&gt;&lt;contributors&gt;&lt;authors&gt;&lt;author&gt;Banerjee, Debasish&lt;/author&gt;&lt;author&gt;Ali, Mahrukh Ayesha&lt;/author&gt;&lt;author&gt;Wang, Angela Yee-Moon&lt;/author&gt;&lt;author&gt;Jha, Vivekanand&lt;/author&gt;&lt;/authors&gt;&lt;/contributors&gt;&lt;titles&gt;&lt;title&gt;Acute kidney injury in acute heart failure–when to worry and when not to worry?&lt;/title&gt;&lt;secondary-title&gt;Nephrology Dialysis Transplantation&lt;/secondary-title&gt;&lt;/titles&gt;&lt;periodical&gt;&lt;full-title&gt;Nephrology Dialysis Transplantation&lt;/full-title&gt;&lt;/periodical&gt;&lt;pages&gt;10-18&lt;/pages&gt;&lt;volume&gt;40&lt;/volume&gt;&lt;number&gt;1&lt;/number&gt;&lt;dates&gt;&lt;year&gt;2024&lt;/year&gt;&lt;/dates&gt;&lt;isbn&gt;1460-2385&lt;/isbn&gt;&lt;urls&gt;&lt;related-urls&gt;&lt;url&gt;https://doi.org/10.1093/ndt/gfae146&lt;/url&gt;&lt;/related-urls&gt;&lt;/urls&gt;&lt;electronic-resource-num&gt;10.1093/ndt/gfae146&lt;/electronic-resource-num&gt;&lt;access-date&gt;6/20/2025&lt;/access-date&gt;&lt;/record&gt;&lt;/Cite&gt;&lt;/EndNote&gt;</w:instrText>
      </w:r>
      <w:r w:rsidR="00FE2848" w:rsidRPr="00221272">
        <w:rPr>
          <w:rFonts w:ascii="Times New Roman" w:eastAsia="Times New Roman" w:hAnsi="Times New Roman" w:cs="Times New Roman"/>
          <w:sz w:val="24"/>
          <w:szCs w:val="24"/>
        </w:rPr>
        <w:fldChar w:fldCharType="separate"/>
      </w:r>
      <w:r w:rsidR="00FE2848" w:rsidRPr="00221272">
        <w:rPr>
          <w:rFonts w:ascii="Times New Roman" w:eastAsia="Times New Roman" w:hAnsi="Times New Roman" w:cs="Times New Roman"/>
          <w:noProof/>
          <w:sz w:val="24"/>
          <w:szCs w:val="24"/>
        </w:rPr>
        <w:t> [</w:t>
      </w:r>
      <w:hyperlink w:anchor="_ENREF_3" w:tooltip="Banerjee, 2024 #495" w:history="1">
        <w:r w:rsidR="0021531C" w:rsidRPr="0021531C">
          <w:rPr>
            <w:rStyle w:val="Hyperlink"/>
          </w:rPr>
          <w:t>3</w:t>
        </w:r>
      </w:hyperlink>
      <w:r w:rsidR="00FE2848" w:rsidRPr="00221272">
        <w:rPr>
          <w:rFonts w:ascii="Times New Roman" w:eastAsia="Times New Roman" w:hAnsi="Times New Roman" w:cs="Times New Roman"/>
          <w:noProof/>
          <w:sz w:val="24"/>
          <w:szCs w:val="24"/>
        </w:rPr>
        <w:t>]</w:t>
      </w:r>
      <w:r w:rsidR="00FE2848" w:rsidRPr="00221272">
        <w:rPr>
          <w:rFonts w:ascii="Times New Roman" w:eastAsia="Times New Roman" w:hAnsi="Times New Roman" w:cs="Times New Roman"/>
          <w:sz w:val="24"/>
          <w:szCs w:val="24"/>
        </w:rPr>
        <w:fldChar w:fldCharType="end"/>
      </w:r>
      <w:r w:rsidRPr="00221272">
        <w:rPr>
          <w:rFonts w:ascii="Times New Roman" w:eastAsia="Times New Roman" w:hAnsi="Times New Roman" w:cs="Times New Roman"/>
          <w:sz w:val="24"/>
          <w:szCs w:val="24"/>
        </w:rPr>
        <w:t xml:space="preserve">. According to the Kidney Disease: Improving Global Outcomes (KDIGO) criteria, AKI is diagnosed when any of the following occur </w:t>
      </w:r>
      <w:r w:rsidR="00FE2848" w:rsidRPr="00221272">
        <w:rPr>
          <w:rFonts w:ascii="Times New Roman" w:eastAsia="Times New Roman" w:hAnsi="Times New Roman" w:cs="Times New Roman"/>
          <w:sz w:val="24"/>
          <w:szCs w:val="24"/>
        </w:rPr>
        <w:fldChar w:fldCharType="begin"/>
      </w:r>
      <w:r w:rsidR="00FE2848" w:rsidRPr="00221272">
        <w:rPr>
          <w:rFonts w:ascii="Times New Roman" w:eastAsia="Times New Roman" w:hAnsi="Times New Roman" w:cs="Times New Roman"/>
          <w:sz w:val="24"/>
          <w:szCs w:val="24"/>
        </w:rPr>
        <w:instrText xml:space="preserve"> ADDIN EN.CITE &lt;EndNote&gt;&lt;Cite&gt;&lt;Author&gt;Goyal A&lt;/Author&gt;&lt;Year&gt;2023&lt;/Year&gt;&lt;RecNum&gt;496&lt;/RecNum&gt;&lt;DisplayText&gt; [4]&lt;/DisplayText&gt;&lt;record&gt;&lt;rec-number&gt;496&lt;/rec-number&gt;&lt;foreign-keys&gt;&lt;key app="EN" db-id="9depddd06artptewtfnv9xa4xx9xa2v2xe0f" timestamp="1750424183"&gt;496&lt;/key&gt;&lt;/foreign-keys&gt;&lt;ref-type name="Journal Article"&gt;17&lt;/ref-type&gt;&lt;contributors&gt;&lt;authors&gt;&lt;author&gt;Goyal A, Daneshpajouhnejad P, Hashmi MF, et al.&lt;/author&gt;&lt;/authors&gt;&lt;/contributors&gt;&lt;titles&gt;&lt;title&gt;Acute Kidney Injury&lt;/title&gt;&lt;secondary-title&gt;StatPearls [Internet]&lt;/secondary-title&gt;&lt;/titles&gt;&lt;periodical&gt;&lt;full-title&gt;StatPearls [Internet]&lt;/full-title&gt;&lt;/periodical&gt;&lt;num-vols&gt;Treasure Island (FL): StatPearls Publishing; 2025 Jan-&lt;/num-vols&gt;&lt;dates&gt;&lt;year&gt;2023&lt;/year&gt;&lt;/dates&gt;&lt;urls&gt;&lt;/urls&gt;&lt;electronic-resource-num&gt; https://www.ncbi.nlm.nih.gov/books/NBK441896/&lt;/electronic-resource-num&gt;&lt;/record&gt;&lt;/Cite&gt;&lt;/EndNote&gt;</w:instrText>
      </w:r>
      <w:r w:rsidR="00FE2848" w:rsidRPr="00221272">
        <w:rPr>
          <w:rFonts w:ascii="Times New Roman" w:eastAsia="Times New Roman" w:hAnsi="Times New Roman" w:cs="Times New Roman"/>
          <w:sz w:val="24"/>
          <w:szCs w:val="24"/>
        </w:rPr>
        <w:fldChar w:fldCharType="separate"/>
      </w:r>
      <w:r w:rsidR="00FE2848" w:rsidRPr="00221272">
        <w:rPr>
          <w:rFonts w:ascii="Times New Roman" w:eastAsia="Times New Roman" w:hAnsi="Times New Roman" w:cs="Times New Roman"/>
          <w:noProof/>
          <w:sz w:val="24"/>
          <w:szCs w:val="24"/>
        </w:rPr>
        <w:t> [</w:t>
      </w:r>
      <w:hyperlink w:anchor="_ENREF_4" w:tooltip="Goyal A, 2023 #496" w:history="1">
        <w:r w:rsidR="0021531C" w:rsidRPr="0021531C">
          <w:rPr>
            <w:rStyle w:val="Hyperlink"/>
          </w:rPr>
          <w:t>4</w:t>
        </w:r>
      </w:hyperlink>
      <w:r w:rsidR="00FE2848" w:rsidRPr="00221272">
        <w:rPr>
          <w:rFonts w:ascii="Times New Roman" w:eastAsia="Times New Roman" w:hAnsi="Times New Roman" w:cs="Times New Roman"/>
          <w:noProof/>
          <w:sz w:val="24"/>
          <w:szCs w:val="24"/>
        </w:rPr>
        <w:t>]</w:t>
      </w:r>
      <w:r w:rsidR="00FE2848" w:rsidRPr="00221272">
        <w:rPr>
          <w:rFonts w:ascii="Times New Roman" w:eastAsia="Times New Roman" w:hAnsi="Times New Roman" w:cs="Times New Roman"/>
          <w:sz w:val="24"/>
          <w:szCs w:val="24"/>
        </w:rPr>
        <w:fldChar w:fldCharType="end"/>
      </w:r>
      <w:r w:rsidRPr="00221272">
        <w:rPr>
          <w:rFonts w:ascii="Times New Roman" w:eastAsia="Times New Roman" w:hAnsi="Times New Roman" w:cs="Times New Roman"/>
          <w:sz w:val="24"/>
          <w:szCs w:val="24"/>
        </w:rPr>
        <w:t xml:space="preserve">: an increase in serum creatinine by ≥0.3 mg/dL (≥26.5 </w:t>
      </w:r>
      <w:proofErr w:type="spellStart"/>
      <w:r w:rsidRPr="00221272">
        <w:rPr>
          <w:rFonts w:ascii="Times New Roman" w:eastAsia="Times New Roman" w:hAnsi="Times New Roman" w:cs="Times New Roman"/>
          <w:sz w:val="24"/>
          <w:szCs w:val="24"/>
        </w:rPr>
        <w:t>μmol</w:t>
      </w:r>
      <w:proofErr w:type="spellEnd"/>
      <w:r w:rsidRPr="00221272">
        <w:rPr>
          <w:rFonts w:ascii="Times New Roman" w:eastAsia="Times New Roman" w:hAnsi="Times New Roman" w:cs="Times New Roman"/>
          <w:sz w:val="24"/>
          <w:szCs w:val="24"/>
        </w:rPr>
        <w:t>/L) within 48 hours; an increase to ≥1.5 times baseline within the prior 7 days; or urine output &lt;0.5 mL/kg/h for at least 6 hours.</w:t>
      </w:r>
    </w:p>
    <w:p w14:paraId="087B816B" w14:textId="7EC18873" w:rsidR="00143EB5" w:rsidRPr="00143EB5" w:rsidRDefault="00143EB5" w:rsidP="0021531C">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The prevalence of CRS1 among hospitalized patients is estimated at 25.4%, with ADHF accounting for 24–45% of cases, acute coronary syndromes for 9–19%, and the remainder related</w:t>
      </w:r>
      <w:r>
        <w:rPr>
          <w:rFonts w:ascii="Times New Roman" w:eastAsia="Times New Roman" w:hAnsi="Times New Roman" w:cs="Times New Roman"/>
          <w:sz w:val="24"/>
          <w:szCs w:val="24"/>
        </w:rPr>
        <w:t xml:space="preserve"> mainly</w:t>
      </w:r>
      <w:r w:rsidRPr="00143EB5">
        <w:rPr>
          <w:rFonts w:ascii="Times New Roman" w:eastAsia="Times New Roman" w:hAnsi="Times New Roman" w:cs="Times New Roman"/>
          <w:sz w:val="24"/>
          <w:szCs w:val="24"/>
        </w:rPr>
        <w:t xml:space="preserve"> to cardiac surgery</w:t>
      </w:r>
      <w:r w:rsidR="006D1F33">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&lt;EndNote&gt;&lt;Cite&gt;&lt;Author&gt;Nilmoje&lt;/Author&gt;&lt;Year&gt;2024&lt;/Year&gt;&lt;RecNum&gt;497&lt;/RecNum&gt;&lt;DisplayText&gt; [5]&lt;/DisplayText&gt;&lt;record&gt;&lt;rec-number&gt;497&lt;/rec-number&gt;&lt;foreign-keys&gt;&lt;key app="EN" db-id="9depddd06artptewtfnv9xa4xx9xa2v2xe0f" timestamp="1750424549"&gt;497&lt;/key&gt;&lt;/foreign-keys&gt;&lt;ref-type name="Journal Article"&gt;17&lt;/ref-type&gt;&lt;contributors&gt;&lt;authors&gt;&lt;author&gt;Nilmoje, Thanapon&lt;/author&gt;&lt;author&gt;Pongborriboon, Dhipsukon&lt;/author&gt;&lt;author&gt;Boonsrirat, Ussanee&lt;/author&gt;&lt;author&gt;Konwai, Sirihatai&lt;/author&gt;&lt;author&gt;Praditau-Krit, Suntornwit&lt;/author&gt;&lt;author&gt;Phongphithakchai, Atthaphong&lt;/author&gt;&lt;/authors&gt;&lt;/contributors&gt;&lt;titles&gt;&lt;title&gt;Prognosis and factors affecting mortality in patients with acute kidney injury due to cardiorenal syndrome type 1 treated with sustained low-efficiency dialysis&lt;/title&gt;&lt;secondary-title&gt;Journal of Nephropharmacology&lt;/secondary-title&gt;&lt;/titles&gt;&lt;periodical&gt;&lt;full-title&gt;Journal of Nephropharmacology&lt;/full-title&gt;&lt;/periodical&gt;&lt;pages&gt;e12686-e12686&lt;/pages&gt;&lt;volume&gt;13&lt;/volume&gt;&lt;number&gt;2&lt;/number&gt;&lt;dates&gt;&lt;year&gt;2024&lt;/year&gt;&lt;/dates&gt;&lt;isbn&gt;2345-4202&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5" w:tooltip="Nilmoje, 2024 #497" w:history="1">
        <w:r w:rsidR="0021531C" w:rsidRPr="0021531C">
          <w:rPr>
            <w:rStyle w:val="Hyperlink"/>
          </w:rPr>
          <w:t>5</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Notably, approximately one in four patients hospitalized for ADHF develop AKI of varying severity, fulfilling CRS1 criteria</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2" w:tooltip="Thanapongsatorn, 2024 #494" w:history="1">
        <w:r w:rsidR="0021531C" w:rsidRPr="0021531C">
          <w:rPr>
            <w:rStyle w:val="Hyperlink"/>
          </w:rPr>
          <w:t>2</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This condition is associated with poor prognosis: rising creatinine levels during hospitalization correlate with increased in-hospital and long-term mortality, with reported mortality rates as high as 42.5%</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2" w:tooltip="Thanapongsatorn, 2024 #494" w:history="1">
        <w:r w:rsidR="0021531C" w:rsidRPr="0021531C">
          <w:rPr>
            <w:rStyle w:val="Hyperlink"/>
          </w:rPr>
          <w:t>2</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xml:space="preserve">. CRS1 also contributes to prolonged hospital stays and </w:t>
      </w:r>
      <w:r>
        <w:rPr>
          <w:rFonts w:ascii="Times New Roman" w:eastAsia="Times New Roman" w:hAnsi="Times New Roman" w:cs="Times New Roman"/>
          <w:sz w:val="24"/>
          <w:szCs w:val="24"/>
        </w:rPr>
        <w:t xml:space="preserve">a </w:t>
      </w:r>
      <w:r w:rsidRPr="00143EB5">
        <w:rPr>
          <w:rFonts w:ascii="Times New Roman" w:eastAsia="Times New Roman" w:hAnsi="Times New Roman" w:cs="Times New Roman"/>
          <w:sz w:val="24"/>
          <w:szCs w:val="24"/>
        </w:rPr>
        <w:t>greater healthcare burden.</w:t>
      </w:r>
    </w:p>
    <w:p w14:paraId="516DBD0F" w14:textId="76AA91AF" w:rsidR="00143EB5" w:rsidRPr="00143EB5" w:rsidRDefault="00143EB5" w:rsidP="0021531C">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The pathophysiology of CRS1 is multifactorial, involving renal hypoperfusion, increased renal venous congestion, maladaptive neurohormonal activation</w:t>
      </w:r>
      <w:r>
        <w:rPr>
          <w:rFonts w:ascii="Times New Roman" w:eastAsia="Times New Roman" w:hAnsi="Times New Roman" w:cs="Times New Roman"/>
          <w:sz w:val="24"/>
          <w:szCs w:val="24"/>
        </w:rPr>
        <w:t>, i</w:t>
      </w:r>
      <w:r w:rsidRPr="00143EB5">
        <w:rPr>
          <w:rFonts w:ascii="Times New Roman" w:eastAsia="Times New Roman" w:hAnsi="Times New Roman" w:cs="Times New Roman"/>
          <w:sz w:val="24"/>
          <w:szCs w:val="24"/>
        </w:rPr>
        <w:t>ncluding the renin-angiotensin-aldosterone system</w:t>
      </w:r>
      <w:r>
        <w:rPr>
          <w:rFonts w:ascii="Times New Roman" w:eastAsia="Times New Roman" w:hAnsi="Times New Roman" w:cs="Times New Roman"/>
          <w:sz w:val="24"/>
          <w:szCs w:val="24"/>
        </w:rPr>
        <w:t xml:space="preserve">, </w:t>
      </w:r>
      <w:r w:rsidRPr="00143EB5">
        <w:rPr>
          <w:rFonts w:ascii="Times New Roman" w:eastAsia="Times New Roman" w:hAnsi="Times New Roman" w:cs="Times New Roman"/>
          <w:sz w:val="24"/>
          <w:szCs w:val="24"/>
        </w:rPr>
        <w:t>and right ventricular dysfunction. Management strategies have historically focused on decongestion; while diuretics remain the cornerstone of therapy, the benefits of ultrafiltration on renal recovery and survival remain uncertain</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&lt;EndNote&gt;&lt;Cite&gt;&lt;Author&gt;Lim&lt;/Author&gt;&lt;Year&gt;2021&lt;/Year&gt;&lt;RecNum&gt;498&lt;/RecNum&gt;&lt;DisplayText&gt; [6]&lt;/DisplayText&gt;&lt;record&gt;&lt;rec-number&gt;498&lt;/rec-number&gt;&lt;foreign-keys&gt;&lt;key app="EN" db-id="9depddd06artptewtfnv9xa4xx9xa2v2xe0f" timestamp="1750424657"&gt;498&lt;/key&gt;&lt;/foreign-keys&gt;&lt;ref-type name="Journal Article"&gt;17&lt;/ref-type&gt;&lt;contributors&gt;&lt;authors&gt;&lt;author&gt;Lim, Sung Yoon&lt;/author&gt;&lt;author&gt;Kim, Sejoong&lt;/author&gt;&lt;/authors&gt;&lt;/contributors&gt;&lt;titles&gt;&lt;title&gt;Pathophysiology of Cardiorenal Syndrome and Use of Diuretics and Ultrafiltration as Volume Control&lt;/title&gt;&lt;secondary-title&gt;Korean Circ J&lt;/secondary-title&gt;&lt;/titles&gt;&lt;periodical&gt;&lt;full-title&gt;Korean Circ J&lt;/full-title&gt;&lt;/periodical&gt;&lt;pages&gt;656-667&lt;/pages&gt;&lt;volume&gt;51&lt;/volume&gt;&lt;number&gt;8&lt;/number&gt;&lt;keywords&gt;&lt;keyword&gt;Cardiorenal syndrome&lt;/keyword&gt;&lt;keyword&gt;heart failure&lt;/keyword&gt;&lt;keyword&gt;Diuretics&lt;/keyword&gt;&lt;keyword&gt;ultrafiltration&lt;/keyword&gt;&lt;/keywords&gt;&lt;dates&gt;&lt;year&gt;2021&lt;/year&gt;&lt;pub-dates&gt;&lt;date&gt;8/&lt;/date&gt;&lt;/pub-dates&gt;&lt;/dates&gt;&lt;publisher&gt;The Korean Society of Cardiology&lt;/publisher&gt;&lt;isbn&gt;1738-5520&lt;/isbn&gt;&lt;urls&gt;&lt;related-urls&gt;&lt;url&gt;https://doi.org/10.4070/kcj.2021.0996&lt;/url&gt;&lt;/related-urls&gt;&lt;/urls&gt;&lt;/record&gt;&lt;/Cite&gt;&lt;/EndNote&gt;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6" w:tooltip="Lim, 2021 #498" w:history="1">
        <w:r w:rsidR="0021531C" w:rsidRPr="0021531C">
          <w:rPr>
            <w:rStyle w:val="Hyperlink"/>
          </w:rPr>
          <w:t>6</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w:t>
      </w:r>
    </w:p>
    <w:p w14:paraId="269A246C" w14:textId="0D84D964" w:rsidR="00143EB5" w:rsidRPr="00143EB5" w:rsidRDefault="00143EB5" w:rsidP="0021531C">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lastRenderedPageBreak/>
        <w:t>Guideline-directed medical therapy (GDMT) has transformed heart failure management, particularly in patients with reduced ejection fraction (HFrEF), improving morbidity and mortality</w:t>
      </w:r>
      <w:r w:rsidR="006D1F33">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&lt;EndNote&gt;&lt;Cite&gt;&lt;Author&gt;Heidenreich&lt;/Author&gt;&lt;Year&gt;2022&lt;/Year&gt;&lt;RecNum&gt;499&lt;/RecNum&gt;&lt;DisplayText&gt; [7]&lt;/DisplayText&gt;&lt;record&gt;&lt;rec-number&gt;499&lt;/rec-number&gt;&lt;foreign-keys&gt;&lt;key app="EN" db-id="9depddd06artptewtfnv9xa4xx9xa2v2xe0f" timestamp="1750424779"&gt;499&lt;/key&gt;&lt;/foreign-keys&gt;&lt;ref-type name="Journal Article"&gt;17&lt;/ref-type&gt;&lt;contributors&gt;&lt;authors&gt;&lt;author&gt;Heidenreich, Paul A&lt;/author&gt;&lt;author&gt;Bozkurt, Biykem&lt;/author&gt;&lt;author&gt;Aguilar, David&lt;/author&gt;&lt;author&gt;Allen, Larry A&lt;/author&gt;&lt;author&gt;Byun, Joni J&lt;/author&gt;&lt;author&gt;Colvin, Monica M&lt;/author&gt;&lt;author&gt;Deswal, Anita&lt;/author&gt;&lt;author&gt;Drazner, Mark H&lt;/author&gt;&lt;author&gt;Dunlay, Shannon M&lt;/author&gt;&lt;author&gt;Evers, Linda R&lt;/author&gt;&lt;/authors&gt;&lt;/contributors&gt;&lt;titles&gt;&lt;title&gt;2022 AHA/ACC/HFSA guideline for the management of heart failure: a report of the American College of Cardiology/American Heart Association Joint Committee on Clinical Practice Guidelines&lt;/title&gt;&lt;secondary-title&gt;Journal of the American College of Cardiology&lt;/secondary-title&gt;&lt;/titles&gt;&lt;periodical&gt;&lt;full-title&gt;Journal of the American College of Cardiology&lt;/full-title&gt;&lt;/periodical&gt;&lt;pages&gt;e263-e421&lt;/pages&gt;&lt;volume&gt;79&lt;/volume&gt;&lt;number&gt;17&lt;/number&gt;&lt;dates&gt;&lt;year&gt;2022&lt;/year&gt;&lt;/dates&gt;&lt;isbn&gt;1558-3597&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7" w:tooltip="Heidenreich, 2022 #499" w:history="1">
        <w:r w:rsidR="0021531C" w:rsidRPr="0021531C">
          <w:rPr>
            <w:rStyle w:val="Hyperlink"/>
          </w:rPr>
          <w:t>7</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Emerging agents, such as angiotensin receptor–neprilysin inhibitors and sodium–glucose cotransporter-2 (SGLT2) inhibitors, have shown potential benefits in both HFrEF and heart failure with preserved ejection fraction (HFpEF)</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&lt;EndNote&gt;&lt;Cite&gt;&lt;Author&gt;Azancot Rivero&lt;/Author&gt;&lt;Year&gt;2022&lt;/Year&gt;&lt;RecNum&gt;500&lt;/RecNum&gt;&lt;DisplayText&gt; [8]&lt;/DisplayText&gt;&lt;record&gt;&lt;rec-number&gt;500&lt;/rec-number&gt;&lt;foreign-keys&gt;&lt;key app="EN" db-id="9depddd06artptewtfnv9xa4xx9xa2v2xe0f" timestamp="1750424860"&gt;500&lt;/key&gt;&lt;/foreign-keys&gt;&lt;ref-type name="Journal Article"&gt;17&lt;/ref-type&gt;&lt;contributors&gt;&lt;authors&gt;&lt;author&gt;Azancot Rivero, M Antonieta&lt;/author&gt;&lt;author&gt;Soler Romeo, Maria Jose&lt;/author&gt;&lt;author&gt;Méndez Fernández, Ana Belén&lt;/author&gt;&lt;/authors&gt;&lt;/contributors&gt;&lt;titles&gt;&lt;title&gt;New aspects in cardiorenal syndrome and HFpEF&lt;/title&gt;&lt;/titles&gt;&lt;dates&gt;&lt;year&gt;2022&lt;/year&gt;&lt;/dates&gt;&lt;isbn&gt;2048-8513&lt;/isbn&gt;&lt;urls&gt;&lt;/urls&gt;&lt;/record&gt;&lt;/Cite&gt;&lt;/EndNote&gt;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8" w:tooltip="Azancot Rivero, 2022 #500" w:history="1">
        <w:r w:rsidR="0021531C" w:rsidRPr="0021531C">
          <w:rPr>
            <w:rStyle w:val="Hyperlink"/>
          </w:rPr>
          <w:t>8</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Despite robust evidence, GDMT remains underutilized, often due to limited awareness</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6D1F33">
        <w:rPr>
          <w:rFonts w:ascii="Times New Roman" w:eastAsia="Times New Roman" w:hAnsi="Times New Roman" w:cs="Times New Roman"/>
          <w:sz w:val="24"/>
          <w:szCs w:val="24"/>
        </w:rPr>
        <w:instrText xml:space="preserve"> ADDIN EN.CITE </w:instrText>
      </w:r>
      <w:r w:rsidR="006D1F33">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6D1F33">
        <w:rPr>
          <w:rFonts w:ascii="Times New Roman" w:eastAsia="Times New Roman" w:hAnsi="Times New Roman" w:cs="Times New Roman"/>
          <w:sz w:val="24"/>
          <w:szCs w:val="24"/>
        </w:rPr>
        <w:instrText xml:space="preserve"> ADDIN EN.CITE.DATA </w:instrText>
      </w:r>
      <w:r w:rsidR="006D1F33">
        <w:rPr>
          <w:rFonts w:ascii="Times New Roman" w:eastAsia="Times New Roman" w:hAnsi="Times New Roman" w:cs="Times New Roman"/>
          <w:sz w:val="24"/>
          <w:szCs w:val="24"/>
        </w:rPr>
      </w:r>
      <w:r w:rsidR="006D1F33">
        <w:rPr>
          <w:rFonts w:ascii="Times New Roman" w:eastAsia="Times New Roman" w:hAnsi="Times New Roman" w:cs="Times New Roman"/>
          <w:sz w:val="24"/>
          <w:szCs w:val="24"/>
        </w:rPr>
        <w:fldChar w:fldCharType="end"/>
      </w:r>
      <w:r w:rsidR="006D1F33">
        <w:rPr>
          <w:rFonts w:ascii="Times New Roman" w:eastAsia="Times New Roman" w:hAnsi="Times New Roman" w:cs="Times New Roman"/>
          <w:sz w:val="24"/>
          <w:szCs w:val="24"/>
        </w:rPr>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9" w:tooltip="Patel, 2023 #501" w:history="1">
        <w:r w:rsidR="0021531C" w:rsidRPr="0021531C">
          <w:rPr>
            <w:rStyle w:val="Hyperlink"/>
          </w:rPr>
          <w:t>9</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w:t>
      </w:r>
    </w:p>
    <w:p w14:paraId="0E1A1094" w14:textId="4AE7B2BC" w:rsidR="00D66227" w:rsidRDefault="00143EB5" w:rsidP="00823000">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Given the frequent clinical encounter with CRS1 in our practice, this study aimed to determine its incidence, identify independent clinical and laboratory predictors, and evaluate in-hospital and six-month outcomes among patients admitted with ADHF. Secondary objectives included assessing GDMT utilization and its association with renal recovery and prognosis in this population.</w:t>
      </w:r>
      <w:bookmarkEnd w:id="0"/>
      <w:bookmarkEnd w:id="1"/>
    </w:p>
    <w:p w14:paraId="6368D4F6" w14:textId="77777777" w:rsidR="00D66227" w:rsidRPr="00D66227" w:rsidRDefault="00D66227" w:rsidP="00D66227">
      <w:pPr>
        <w:spacing w:before="100" w:beforeAutospacing="1" w:after="100" w:afterAutospacing="1" w:line="480" w:lineRule="auto"/>
        <w:jc w:val="both"/>
        <w:rPr>
          <w:rFonts w:ascii="Times New Roman" w:eastAsia="Times New Roman" w:hAnsi="Times New Roman" w:cs="Times New Roman"/>
          <w:sz w:val="24"/>
          <w:szCs w:val="24"/>
        </w:rPr>
      </w:pPr>
    </w:p>
    <w:p w14:paraId="2AC46F70" w14:textId="66B8BF8E" w:rsidR="00143EB5" w:rsidRPr="0033643E" w:rsidRDefault="00143EB5"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r w:rsidRPr="0033643E">
        <w:rPr>
          <w:rFonts w:asciiTheme="majorBidi" w:eastAsia="Times New Roman" w:hAnsiTheme="majorBidi" w:cstheme="majorBidi"/>
          <w:b/>
          <w:bCs/>
          <w:sz w:val="24"/>
          <w:szCs w:val="24"/>
          <w:u w:val="single"/>
        </w:rPr>
        <w:t xml:space="preserve">Methods </w:t>
      </w:r>
    </w:p>
    <w:p w14:paraId="3495678E" w14:textId="180736DF"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Study Design and Setting</w:t>
      </w:r>
    </w:p>
    <w:p w14:paraId="749A1C19" w14:textId="27731646"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This retrospective observational study evaluated the demographics, clinical characteristics, and outcomes of patients hospitalized with cardiorenal syndrome type 1 (CRS1) at King Abdulaziz Hospital, Ministry of National Guard Health Affairs (MNGHA), Al-Ahsa, Saudi Arabia. Management strategies, recurrent hospital admissions, and mortality</w:t>
      </w:r>
      <w:r w:rsidR="00AE632A">
        <w:rPr>
          <w:rFonts w:ascii="Times New Roman" w:eastAsia="Times New Roman" w:hAnsi="Times New Roman" w:cs="Times New Roman"/>
          <w:sz w:val="24"/>
          <w:szCs w:val="24"/>
        </w:rPr>
        <w:t xml:space="preserve"> were also assessed</w:t>
      </w:r>
      <w:r w:rsidRPr="00CE278C">
        <w:rPr>
          <w:rFonts w:ascii="Times New Roman" w:eastAsia="Times New Roman" w:hAnsi="Times New Roman" w:cs="Times New Roman"/>
          <w:sz w:val="24"/>
          <w:szCs w:val="24"/>
        </w:rPr>
        <w:t xml:space="preserve"> over a six-month follow-up</w:t>
      </w:r>
      <w:r w:rsidR="00003818">
        <w:rPr>
          <w:rFonts w:ascii="Times New Roman" w:eastAsia="Times New Roman" w:hAnsi="Times New Roman" w:cs="Times New Roman"/>
          <w:sz w:val="24"/>
          <w:szCs w:val="24"/>
        </w:rPr>
        <w:t xml:space="preserve"> period</w:t>
      </w:r>
      <w:r w:rsidRPr="00CE278C">
        <w:rPr>
          <w:rFonts w:ascii="Times New Roman" w:eastAsia="Times New Roman" w:hAnsi="Times New Roman" w:cs="Times New Roman"/>
          <w:sz w:val="24"/>
          <w:szCs w:val="24"/>
        </w:rPr>
        <w:t>.</w:t>
      </w:r>
    </w:p>
    <w:p w14:paraId="21F9FAE0" w14:textId="251E10DE"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Study Population</w:t>
      </w:r>
    </w:p>
    <w:p w14:paraId="1C723DC5" w14:textId="15EC4BA1"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lastRenderedPageBreak/>
        <w:t>All patients admitted with acute decompensated heart failure (ADHF) between April 1, 2019, and March 31, 2024, were screened. CRS1 was defined as ADHF precipitating acute kidney injury (AKI) according to KDIGO criteria.</w:t>
      </w:r>
    </w:p>
    <w:p w14:paraId="65B8816F" w14:textId="77777777"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Inclusion criteria</w:t>
      </w:r>
    </w:p>
    <w:p w14:paraId="185802C7" w14:textId="459580D9"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Age ≥18 years</w:t>
      </w:r>
      <w:r w:rsidR="003051D9">
        <w:rPr>
          <w:rFonts w:ascii="Times New Roman" w:eastAsia="Times New Roman" w:hAnsi="Times New Roman" w:cs="Times New Roman"/>
          <w:sz w:val="24"/>
          <w:szCs w:val="24"/>
        </w:rPr>
        <w:t xml:space="preserve"> and a</w:t>
      </w:r>
      <w:r w:rsidRPr="00CE278C">
        <w:rPr>
          <w:rFonts w:ascii="Times New Roman" w:eastAsia="Times New Roman" w:hAnsi="Times New Roman" w:cs="Times New Roman"/>
          <w:sz w:val="24"/>
          <w:szCs w:val="24"/>
        </w:rPr>
        <w:t>dmission diagnosis of ADHF.</w:t>
      </w:r>
    </w:p>
    <w:p w14:paraId="036F464B" w14:textId="77777777"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Exclusion criteria</w:t>
      </w:r>
    </w:p>
    <w:p w14:paraId="7F849F5B" w14:textId="35C0ACB1" w:rsidR="00D66227" w:rsidRPr="00823000" w:rsidRDefault="00CE278C" w:rsidP="00823000">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Age &lt;18 years</w:t>
      </w:r>
      <w:r w:rsidR="003051D9">
        <w:rPr>
          <w:rFonts w:ascii="Times New Roman" w:eastAsia="Times New Roman" w:hAnsi="Times New Roman" w:cs="Times New Roman"/>
          <w:sz w:val="24"/>
          <w:szCs w:val="24"/>
        </w:rPr>
        <w:t xml:space="preserve">, </w:t>
      </w:r>
      <w:proofErr w:type="gramStart"/>
      <w:r w:rsidRPr="00CE278C">
        <w:rPr>
          <w:rFonts w:ascii="Times New Roman" w:eastAsia="Times New Roman" w:hAnsi="Times New Roman" w:cs="Times New Roman"/>
          <w:sz w:val="24"/>
          <w:szCs w:val="24"/>
        </w:rPr>
        <w:t>C</w:t>
      </w:r>
      <w:r w:rsidR="00915A7B">
        <w:rPr>
          <w:rFonts w:ascii="Times New Roman" w:eastAsia="Times New Roman" w:hAnsi="Times New Roman" w:cs="Times New Roman"/>
          <w:sz w:val="24"/>
          <w:szCs w:val="24"/>
        </w:rPr>
        <w:t>hronic kidney disease</w:t>
      </w:r>
      <w:proofErr w:type="gramEnd"/>
      <w:r w:rsidR="00915A7B">
        <w:rPr>
          <w:rFonts w:ascii="Times New Roman" w:eastAsia="Times New Roman" w:hAnsi="Times New Roman" w:cs="Times New Roman"/>
          <w:sz w:val="24"/>
          <w:szCs w:val="24"/>
        </w:rPr>
        <w:t xml:space="preserve"> (CKD)</w:t>
      </w:r>
      <w:r w:rsidRPr="00CE278C">
        <w:rPr>
          <w:rFonts w:ascii="Times New Roman" w:eastAsia="Times New Roman" w:hAnsi="Times New Roman" w:cs="Times New Roman"/>
          <w:sz w:val="24"/>
          <w:szCs w:val="24"/>
        </w:rPr>
        <w:t xml:space="preserve"> stage V, regardless of dialysis status</w:t>
      </w:r>
      <w:r w:rsidR="003051D9">
        <w:rPr>
          <w:rFonts w:ascii="Times New Roman" w:eastAsia="Times New Roman" w:hAnsi="Times New Roman" w:cs="Times New Roman"/>
          <w:sz w:val="24"/>
          <w:szCs w:val="24"/>
        </w:rPr>
        <w:t xml:space="preserve">, and </w:t>
      </w:r>
      <w:r w:rsidRPr="00CE278C">
        <w:rPr>
          <w:rFonts w:ascii="Times New Roman" w:eastAsia="Times New Roman" w:hAnsi="Times New Roman" w:cs="Times New Roman"/>
          <w:sz w:val="24"/>
          <w:szCs w:val="24"/>
        </w:rPr>
        <w:t>AKI unrelated to ADHF (e.g., sepsis, vasculitis, acute glomerulonephritis, tubulointerstitial nephritis, nephrotoxic exposure, or obstructive uropathy).</w:t>
      </w:r>
    </w:p>
    <w:p w14:paraId="56E69FEC" w14:textId="47BED881"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Sampling and Data Collection</w:t>
      </w:r>
    </w:p>
    <w:p w14:paraId="0736ED3B" w14:textId="12B82BA0" w:rsidR="00CE278C" w:rsidRPr="00CE278C" w:rsidRDefault="00CE278C" w:rsidP="00D37971">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A probability sampling method was used to ensure representativeness. Data were retrieved from the BestCare Health Information System, which identified patients with concurrent heart failure and renal dysfunction. Eligible patients were randomly selected for inclusion.</w:t>
      </w:r>
      <w:r w:rsidR="00D37971">
        <w:rPr>
          <w:rFonts w:ascii="Times New Roman" w:eastAsia="Times New Roman" w:hAnsi="Times New Roman" w:cs="Times New Roman"/>
          <w:sz w:val="24"/>
          <w:szCs w:val="24"/>
        </w:rPr>
        <w:t xml:space="preserve"> </w:t>
      </w:r>
      <w:r w:rsidRPr="00CE278C">
        <w:rPr>
          <w:rFonts w:ascii="Times New Roman" w:eastAsia="Times New Roman" w:hAnsi="Times New Roman" w:cs="Times New Roman"/>
          <w:sz w:val="24"/>
          <w:szCs w:val="24"/>
        </w:rPr>
        <w:t>Collected variables included:</w:t>
      </w:r>
    </w:p>
    <w:p w14:paraId="6137B12C" w14:textId="4D6EAF37"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Demographics</w:t>
      </w:r>
      <w:r w:rsidRPr="00537471">
        <w:rPr>
          <w:rFonts w:ascii="Times New Roman" w:eastAsia="Times New Roman" w:hAnsi="Times New Roman" w:cs="Times New Roman"/>
          <w:sz w:val="24"/>
          <w:szCs w:val="24"/>
        </w:rPr>
        <w:t>: age, sex, body mass index (BMI), and smoking status.</w:t>
      </w:r>
    </w:p>
    <w:p w14:paraId="3094BC6D" w14:textId="27A1E8BB"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Comorbidities</w:t>
      </w:r>
      <w:r w:rsidRPr="00537471">
        <w:rPr>
          <w:rFonts w:ascii="Times New Roman" w:eastAsia="Times New Roman" w:hAnsi="Times New Roman" w:cs="Times New Roman"/>
          <w:sz w:val="24"/>
          <w:szCs w:val="24"/>
        </w:rPr>
        <w:t>: diabetes mellitus (DM), hypertension (HTN), cerebrovascular accident (CVA), coronary artery disease (CAD), peripheral vascular disease (PVD), chronic kidney disease (CKD), chronic obstructive pulmonary disease (COPD), and history of acute kidney injury (AKI).</w:t>
      </w:r>
    </w:p>
    <w:p w14:paraId="550D7A76" w14:textId="448276C5"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Clinical status</w:t>
      </w:r>
      <w:r w:rsidRPr="00537471">
        <w:rPr>
          <w:rFonts w:ascii="Times New Roman" w:eastAsia="Times New Roman" w:hAnsi="Times New Roman" w:cs="Times New Roman"/>
          <w:sz w:val="24"/>
          <w:szCs w:val="24"/>
        </w:rPr>
        <w:t>: New York Heart Association (NYHA) class, vital signs, and fluid balance.</w:t>
      </w:r>
    </w:p>
    <w:p w14:paraId="011FEB0B" w14:textId="0672DCED" w:rsidR="00CE278C" w:rsidRPr="003009F0"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3009F0">
        <w:rPr>
          <w:rFonts w:ascii="Times New Roman" w:eastAsia="Times New Roman" w:hAnsi="Times New Roman" w:cs="Times New Roman"/>
          <w:b/>
          <w:bCs/>
          <w:sz w:val="24"/>
          <w:szCs w:val="24"/>
        </w:rPr>
        <w:lastRenderedPageBreak/>
        <w:t>Laboratory parameters</w:t>
      </w:r>
      <w:r w:rsidRPr="003009F0">
        <w:rPr>
          <w:rFonts w:ascii="Times New Roman" w:eastAsia="Times New Roman" w:hAnsi="Times New Roman" w:cs="Times New Roman"/>
          <w:sz w:val="24"/>
          <w:szCs w:val="24"/>
        </w:rPr>
        <w:t xml:space="preserve">: hemoglobin, hematocrit, </w:t>
      </w:r>
      <w:r w:rsidR="000F5CD7" w:rsidRPr="003009F0">
        <w:rPr>
          <w:rFonts w:ascii="Times New Roman" w:eastAsia="Times New Roman" w:hAnsi="Times New Roman" w:cs="Times New Roman"/>
          <w:sz w:val="24"/>
          <w:szCs w:val="24"/>
        </w:rPr>
        <w:t>sodium and potassium</w:t>
      </w:r>
      <w:r w:rsidRPr="003009F0">
        <w:rPr>
          <w:rFonts w:ascii="Times New Roman" w:eastAsia="Times New Roman" w:hAnsi="Times New Roman" w:cs="Times New Roman"/>
          <w:sz w:val="24"/>
          <w:szCs w:val="24"/>
        </w:rPr>
        <w:t xml:space="preserve">, albumin, phosphate, uric acid, </w:t>
      </w:r>
      <w:r w:rsidR="003009F0" w:rsidRPr="003009F0">
        <w:rPr>
          <w:rFonts w:ascii="Times New Roman" w:eastAsia="Times New Roman" w:hAnsi="Times New Roman" w:cs="Times New Roman"/>
          <w:sz w:val="24"/>
          <w:szCs w:val="24"/>
        </w:rPr>
        <w:t xml:space="preserve">chloride, </w:t>
      </w:r>
      <w:r w:rsidRPr="003009F0">
        <w:rPr>
          <w:rFonts w:ascii="Times New Roman" w:eastAsia="Times New Roman" w:hAnsi="Times New Roman" w:cs="Times New Roman"/>
          <w:sz w:val="24"/>
          <w:szCs w:val="24"/>
        </w:rPr>
        <w:t xml:space="preserve">bicarbonate, </w:t>
      </w:r>
      <w:r w:rsidR="006D2F3A" w:rsidRPr="003009F0">
        <w:rPr>
          <w:rFonts w:ascii="Times New Roman" w:eastAsia="Times New Roman" w:hAnsi="Times New Roman" w:cs="Times New Roman"/>
          <w:sz w:val="24"/>
          <w:szCs w:val="24"/>
        </w:rPr>
        <w:t>glycated hemoglobin (</w:t>
      </w:r>
      <w:r w:rsidRPr="003009F0">
        <w:rPr>
          <w:rFonts w:ascii="Times New Roman" w:eastAsia="Times New Roman" w:hAnsi="Times New Roman" w:cs="Times New Roman"/>
          <w:sz w:val="24"/>
          <w:szCs w:val="24"/>
        </w:rPr>
        <w:t>HbA1c</w:t>
      </w:r>
      <w:r w:rsidR="006D2F3A" w:rsidRPr="003009F0">
        <w:rPr>
          <w:rFonts w:ascii="Times New Roman" w:eastAsia="Times New Roman" w:hAnsi="Times New Roman" w:cs="Times New Roman"/>
          <w:sz w:val="24"/>
          <w:szCs w:val="24"/>
        </w:rPr>
        <w:t>)</w:t>
      </w:r>
      <w:r w:rsidRPr="003009F0">
        <w:rPr>
          <w:rFonts w:ascii="Times New Roman" w:eastAsia="Times New Roman" w:hAnsi="Times New Roman" w:cs="Times New Roman"/>
          <w:sz w:val="24"/>
          <w:szCs w:val="24"/>
        </w:rPr>
        <w:t>, random blood sugar (RBS), estimated glomerular filtration rate (eGFR), serum creatinine, and blood urea nitrogen (BUN).</w:t>
      </w:r>
    </w:p>
    <w:p w14:paraId="4088C73C" w14:textId="01A46E1F"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Treatment variables</w:t>
      </w:r>
      <w:r w:rsidRPr="00537471">
        <w:rPr>
          <w:rFonts w:ascii="Times New Roman" w:eastAsia="Times New Roman" w:hAnsi="Times New Roman" w:cs="Times New Roman"/>
          <w:sz w:val="24"/>
          <w:szCs w:val="24"/>
        </w:rPr>
        <w:t>: diuretics</w:t>
      </w:r>
      <w:r w:rsidR="001F4F0B">
        <w:rPr>
          <w:rFonts w:ascii="Times New Roman" w:eastAsia="Times New Roman" w:hAnsi="Times New Roman" w:cs="Times New Roman"/>
          <w:sz w:val="24"/>
          <w:szCs w:val="24"/>
        </w:rPr>
        <w:t xml:space="preserve"> use</w:t>
      </w:r>
      <w:r w:rsidRPr="00537471">
        <w:rPr>
          <w:rFonts w:ascii="Times New Roman" w:eastAsia="Times New Roman" w:hAnsi="Times New Roman" w:cs="Times New Roman"/>
          <w:sz w:val="24"/>
          <w:szCs w:val="24"/>
        </w:rPr>
        <w:t>, ultrafiltration, and GDMT drug classes (β-blockers, ACE inhibitors/ARBs, mineralocorticoid receptor antagonists, SGLT2 inhibitors, and angiotensin receptor–neprilysin inhibitors).</w:t>
      </w:r>
    </w:p>
    <w:p w14:paraId="1165CAEC" w14:textId="5E6AC3E8" w:rsidR="00D66227" w:rsidRPr="00823000" w:rsidRDefault="00CE278C" w:rsidP="00823000">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Outcomes</w:t>
      </w:r>
      <w:r w:rsidRPr="00537471">
        <w:rPr>
          <w:rFonts w:ascii="Times New Roman" w:eastAsia="Times New Roman" w:hAnsi="Times New Roman" w:cs="Times New Roman"/>
          <w:sz w:val="24"/>
          <w:szCs w:val="24"/>
        </w:rPr>
        <w:t>: in-hospital mortality, 6-month mortality, dialysis requirement, rehospitalization rates (2- and 6-month), renal recovery status at discharge, and length of hospitalization.</w:t>
      </w:r>
    </w:p>
    <w:p w14:paraId="77A69D72" w14:textId="1DE265BD"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Data Analysis</w:t>
      </w:r>
    </w:p>
    <w:p w14:paraId="5CB584B0" w14:textId="0402AD00" w:rsidR="00CE278C" w:rsidRPr="00783541"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783541">
        <w:rPr>
          <w:rFonts w:ascii="Times New Roman" w:eastAsia="Times New Roman" w:hAnsi="Times New Roman" w:cs="Times New Roman"/>
          <w:sz w:val="24"/>
          <w:szCs w:val="24"/>
        </w:rPr>
        <w:t xml:space="preserve">Data were analyzed using IBM SPSS Statistics version 29. Continuous variables were summarized as </w:t>
      </w:r>
      <w:r w:rsidR="001F4F0B" w:rsidRPr="00783541">
        <w:rPr>
          <w:rFonts w:ascii="Times New Roman" w:eastAsia="Times New Roman" w:hAnsi="Times New Roman" w:cs="Times New Roman"/>
          <w:sz w:val="24"/>
          <w:szCs w:val="24"/>
        </w:rPr>
        <w:t xml:space="preserve">the </w:t>
      </w:r>
      <w:r w:rsidRPr="00783541">
        <w:rPr>
          <w:rFonts w:ascii="Times New Roman" w:eastAsia="Times New Roman" w:hAnsi="Times New Roman" w:cs="Times New Roman"/>
          <w:sz w:val="24"/>
          <w:szCs w:val="24"/>
        </w:rPr>
        <w:t xml:space="preserve">mean ± standard deviation (SD) </w:t>
      </w:r>
      <w:r w:rsidR="001F4F0B" w:rsidRPr="00783541">
        <w:rPr>
          <w:rFonts w:ascii="Times New Roman" w:eastAsia="Times New Roman" w:hAnsi="Times New Roman" w:cs="Times New Roman"/>
          <w:sz w:val="24"/>
          <w:szCs w:val="24"/>
        </w:rPr>
        <w:t xml:space="preserve">for normally </w:t>
      </w:r>
      <w:r w:rsidR="00783541" w:rsidRPr="00783541">
        <w:rPr>
          <w:rFonts w:ascii="Times New Roman" w:eastAsia="Times New Roman" w:hAnsi="Times New Roman" w:cs="Times New Roman"/>
          <w:sz w:val="24"/>
          <w:szCs w:val="24"/>
        </w:rPr>
        <w:t>distributed</w:t>
      </w:r>
      <w:r w:rsidR="001F4F0B" w:rsidRPr="00783541">
        <w:rPr>
          <w:rFonts w:ascii="Times New Roman" w:eastAsia="Times New Roman" w:hAnsi="Times New Roman" w:cs="Times New Roman"/>
          <w:sz w:val="24"/>
          <w:szCs w:val="24"/>
        </w:rPr>
        <w:t xml:space="preserve"> data</w:t>
      </w:r>
      <w:r w:rsidR="00E20154"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Categorical variables were expressed as frequencies and percentages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Group comparisons between non-CRS (NCRS) and CRS1 patients were performed using independent samples t-tests for continuous variables and chi-square tests for categorical variables.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Binary logistic regression was used to identify predictors of mortality, rehospitalization, and incomplete renal recovery, with results presented as odds ratios (ORs) and 95% confidence intervals (CIs).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 xml:space="preserve">Multiple linear regression was conducted separately for NCRS and CRS1 groups to identify predictors of </w:t>
      </w:r>
      <w:r w:rsidR="00A22723" w:rsidRPr="00783541">
        <w:rPr>
          <w:rFonts w:ascii="Times New Roman" w:eastAsia="Times New Roman" w:hAnsi="Times New Roman" w:cs="Times New Roman"/>
          <w:sz w:val="24"/>
          <w:szCs w:val="24"/>
        </w:rPr>
        <w:t xml:space="preserve">the </w:t>
      </w:r>
      <w:r w:rsidRPr="00783541">
        <w:rPr>
          <w:rFonts w:ascii="Times New Roman" w:eastAsia="Times New Roman" w:hAnsi="Times New Roman" w:cs="Times New Roman"/>
          <w:sz w:val="24"/>
          <w:szCs w:val="24"/>
        </w:rPr>
        <w:t>hospitalization length</w:t>
      </w:r>
      <w:r w:rsidR="00A22723" w:rsidRPr="00783541">
        <w:rPr>
          <w:rFonts w:ascii="Times New Roman" w:eastAsia="Times New Roman" w:hAnsi="Times New Roman" w:cs="Times New Roman"/>
          <w:sz w:val="24"/>
          <w:szCs w:val="24"/>
        </w:rPr>
        <w:t xml:space="preserve"> of stay</w:t>
      </w:r>
      <w:r w:rsidRPr="00783541">
        <w:rPr>
          <w:rFonts w:ascii="Times New Roman" w:eastAsia="Times New Roman" w:hAnsi="Times New Roman" w:cs="Times New Roman"/>
          <w:sz w:val="24"/>
          <w:szCs w:val="24"/>
        </w:rPr>
        <w:t>.</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Statistical significance was defined as a two-sided p-value &lt;0.05.</w:t>
      </w:r>
    </w:p>
    <w:p w14:paraId="15A7C825" w14:textId="35A243B3"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Ethical Considerations</w:t>
      </w:r>
    </w:p>
    <w:p w14:paraId="7A238370" w14:textId="2AE99C6D" w:rsidR="00D66227" w:rsidRDefault="00CE278C" w:rsidP="00823000">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lastRenderedPageBreak/>
        <w:t xml:space="preserve">The study followed the Strengthening the Reporting of Observational Studies in Epidemiology (STROBE) </w:t>
      </w:r>
      <w:r w:rsidRPr="009C57C6">
        <w:rPr>
          <w:rFonts w:ascii="Times New Roman" w:eastAsia="Times New Roman" w:hAnsi="Times New Roman" w:cs="Times New Roman"/>
          <w:sz w:val="24"/>
          <w:szCs w:val="24"/>
        </w:rPr>
        <w:t>guidelines. The protocol was approved by the King Abdullah International Medical Research Center (KAIMRC) Institutional Review Board (approval number NRA23A/032/07, dated October 7, 2023).</w:t>
      </w:r>
      <w:r w:rsidR="009C57C6" w:rsidRPr="009C57C6">
        <w:rPr>
          <w:rFonts w:ascii="Times New Roman" w:eastAsia="Times New Roman" w:hAnsi="Times New Roman" w:cs="Times New Roman"/>
          <w:sz w:val="24"/>
          <w:szCs w:val="24"/>
        </w:rPr>
        <w:t xml:space="preserve"> Patient confidentiality was strictly maintained, and all data were anonymized before analysis.</w:t>
      </w:r>
      <w:r w:rsidR="009C57C6">
        <w:rPr>
          <w:rFonts w:ascii="Times New Roman" w:eastAsia="Times New Roman" w:hAnsi="Times New Roman" w:cs="Times New Roman"/>
          <w:sz w:val="24"/>
          <w:szCs w:val="24"/>
        </w:rPr>
        <w:t xml:space="preserve"> </w:t>
      </w:r>
    </w:p>
    <w:p w14:paraId="5374F575" w14:textId="77777777" w:rsidR="00823000" w:rsidRPr="00823000" w:rsidRDefault="00823000" w:rsidP="00823000">
      <w:pPr>
        <w:spacing w:before="100" w:beforeAutospacing="1" w:after="100" w:afterAutospacing="1" w:line="480" w:lineRule="auto"/>
        <w:jc w:val="both"/>
        <w:rPr>
          <w:rFonts w:ascii="Times New Roman" w:eastAsia="Times New Roman" w:hAnsi="Times New Roman" w:cs="Times New Roman"/>
          <w:sz w:val="24"/>
          <w:szCs w:val="24"/>
        </w:rPr>
      </w:pPr>
    </w:p>
    <w:p w14:paraId="6CF66BB8" w14:textId="314333B5" w:rsidR="00C12D8E" w:rsidRPr="000606C0" w:rsidRDefault="004B5B12"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sidRPr="0033643E">
        <w:rPr>
          <w:rFonts w:asciiTheme="majorBidi" w:eastAsia="Times New Roman" w:hAnsiTheme="majorBidi" w:cstheme="majorBidi"/>
          <w:b/>
          <w:bCs/>
          <w:sz w:val="24"/>
          <w:szCs w:val="24"/>
          <w:u w:val="single"/>
        </w:rPr>
        <w:t>Results</w:t>
      </w:r>
    </w:p>
    <w:p w14:paraId="0614CC3B" w14:textId="033BD57C"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Baseline Characteristics</w:t>
      </w:r>
    </w:p>
    <w:p w14:paraId="2E4C263F" w14:textId="0A69DE75" w:rsidR="00DF10B4" w:rsidRPr="002A65E4" w:rsidRDefault="00F019C2" w:rsidP="004D17B4">
      <w:pPr>
        <w:spacing w:before="100" w:beforeAutospacing="1" w:after="100" w:afterAutospacing="1" w:line="480" w:lineRule="auto"/>
        <w:jc w:val="both"/>
        <w:rPr>
          <w:rFonts w:ascii="Times New Roman" w:eastAsia="Times New Roman" w:hAnsi="Times New Roman" w:cs="Times New Roman"/>
          <w:sz w:val="24"/>
          <w:szCs w:val="24"/>
        </w:rPr>
      </w:pPr>
      <w:r w:rsidRPr="002A65E4">
        <w:rPr>
          <w:rFonts w:ascii="Times New Roman" w:eastAsia="Times New Roman" w:hAnsi="Times New Roman" w:cs="Times New Roman"/>
          <w:sz w:val="24"/>
          <w:szCs w:val="24"/>
        </w:rPr>
        <w:t>Among 314 patients admitted with ADHF, 161 (51.2%) were diagnosed with CRS1 and 153 (48.7%) with non-CRS (NCRS). Table 1 summarizes baseline demographic and clinical characteristics.</w:t>
      </w:r>
      <w:r w:rsidR="000606C0" w:rsidRPr="002A65E4">
        <w:rPr>
          <w:rFonts w:ascii="Times New Roman" w:eastAsia="Times New Roman" w:hAnsi="Times New Roman" w:cs="Times New Roman"/>
          <w:sz w:val="24"/>
          <w:szCs w:val="24"/>
        </w:rPr>
        <w:t xml:space="preserve"> </w:t>
      </w:r>
      <w:r w:rsidRPr="002A65E4">
        <w:rPr>
          <w:rFonts w:ascii="Times New Roman" w:eastAsia="Times New Roman" w:hAnsi="Times New Roman" w:cs="Times New Roman"/>
          <w:sz w:val="24"/>
          <w:szCs w:val="24"/>
        </w:rPr>
        <w:t>There were no significant differences between groups in mean age (NCRS: 67.30 ± 12.36 years; CRS1: 68.43 ± 12.43 years, p = 0.421) or BMI (NCRS: 32.87 ± 8.71 kg/m²; CRS1: 32.21 ± 8.54 kg/m², p = 0.499). Gender distribution was similar (p = 0.382), as were smoking status, DM, CVA, CAD, and PVD prevalence.</w:t>
      </w:r>
      <w:r w:rsidR="000606C0" w:rsidRPr="002A65E4">
        <w:rPr>
          <w:rFonts w:ascii="Times New Roman" w:eastAsia="Times New Roman" w:hAnsi="Times New Roman" w:cs="Times New Roman"/>
          <w:sz w:val="24"/>
          <w:szCs w:val="24"/>
        </w:rPr>
        <w:t xml:space="preserve"> </w:t>
      </w:r>
      <w:r w:rsidRPr="002A65E4">
        <w:rPr>
          <w:rFonts w:ascii="Times New Roman" w:eastAsia="Times New Roman" w:hAnsi="Times New Roman" w:cs="Times New Roman"/>
          <w:sz w:val="24"/>
          <w:szCs w:val="24"/>
        </w:rPr>
        <w:t xml:space="preserve">However, CRS1 patients </w:t>
      </w:r>
      <w:r w:rsidR="002A65E4" w:rsidRPr="002A65E4">
        <w:rPr>
          <w:rFonts w:ascii="Times New Roman" w:eastAsia="Times New Roman" w:hAnsi="Times New Roman" w:cs="Times New Roman"/>
          <w:sz w:val="24"/>
          <w:szCs w:val="24"/>
        </w:rPr>
        <w:t>demonstrated a higher prevalence</w:t>
      </w:r>
      <w:r w:rsidRPr="002A65E4">
        <w:rPr>
          <w:rFonts w:ascii="Times New Roman" w:eastAsia="Times New Roman" w:hAnsi="Times New Roman" w:cs="Times New Roman"/>
          <w:sz w:val="24"/>
          <w:szCs w:val="24"/>
        </w:rPr>
        <w:t xml:space="preserve"> of hypertension (96.9% vs. 85.6%, p &lt; 0.001), prior AKI (63.4% vs. 10.5%, p &lt; 0.001), CKD (69.0% vs. 31.0%, p &lt; 0.001), and COPD (13.7% vs. 5.2%, p = 0.011). NYHA class distribution differed significantly (p = 0.007), with Class IV cases present </w:t>
      </w:r>
      <w:r w:rsidR="002A65E4">
        <w:rPr>
          <w:rFonts w:ascii="Times New Roman" w:eastAsia="Times New Roman" w:hAnsi="Times New Roman" w:cs="Times New Roman"/>
          <w:sz w:val="24"/>
          <w:szCs w:val="24"/>
        </w:rPr>
        <w:t>exclusively</w:t>
      </w:r>
      <w:r w:rsidRPr="002A65E4">
        <w:rPr>
          <w:rFonts w:ascii="Times New Roman" w:eastAsia="Times New Roman" w:hAnsi="Times New Roman" w:cs="Times New Roman"/>
          <w:sz w:val="24"/>
          <w:szCs w:val="24"/>
        </w:rPr>
        <w:t xml:space="preserve"> in the CRS1 group.</w:t>
      </w:r>
    </w:p>
    <w:p w14:paraId="465AD447" w14:textId="38628F43"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Clinical and Laboratory Findings</w:t>
      </w:r>
    </w:p>
    <w:p w14:paraId="1E8B1ABE" w14:textId="684E7D09" w:rsidR="00F019C2" w:rsidRPr="00914BB7"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914BB7">
        <w:rPr>
          <w:rFonts w:ascii="Times New Roman" w:eastAsia="Times New Roman" w:hAnsi="Times New Roman" w:cs="Times New Roman"/>
          <w:sz w:val="24"/>
          <w:szCs w:val="24"/>
        </w:rPr>
        <w:lastRenderedPageBreak/>
        <w:t xml:space="preserve">Table 2 compares in-hospital clinical and laboratory parameters. </w:t>
      </w:r>
      <w:r w:rsidR="00914BB7" w:rsidRPr="00914BB7">
        <w:rPr>
          <w:rFonts w:ascii="Times New Roman" w:eastAsia="Times New Roman" w:hAnsi="Times New Roman" w:cs="Times New Roman"/>
          <w:sz w:val="24"/>
          <w:szCs w:val="24"/>
        </w:rPr>
        <w:t>Compared with NCRS patients, those with CRS1 demonstrated</w:t>
      </w:r>
      <w:r w:rsidRPr="00914BB7">
        <w:rPr>
          <w:rFonts w:ascii="Times New Roman" w:eastAsia="Times New Roman" w:hAnsi="Times New Roman" w:cs="Times New Roman"/>
          <w:sz w:val="24"/>
          <w:szCs w:val="24"/>
        </w:rPr>
        <w:t>:</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heart rate (80.55 ± 13.18 vs. 87.45 ± 15.61 bpm, p &lt; 0.001)</w:t>
      </w:r>
      <w:r w:rsidR="000606C0" w:rsidRPr="00914BB7">
        <w:rPr>
          <w:rFonts w:ascii="Times New Roman" w:eastAsia="Times New Roman" w:hAnsi="Times New Roman" w:cs="Times New Roman"/>
          <w:sz w:val="24"/>
          <w:szCs w:val="24"/>
        </w:rPr>
        <w:t xml:space="preserve">, </w:t>
      </w:r>
      <w:r w:rsidR="00636B7A">
        <w:rPr>
          <w:rFonts w:ascii="Times New Roman" w:eastAsia="Times New Roman" w:hAnsi="Times New Roman" w:cs="Times New Roman"/>
          <w:sz w:val="24"/>
          <w:szCs w:val="24"/>
        </w:rPr>
        <w:t xml:space="preserve">low hemoglobin (11.05 </w:t>
      </w:r>
      <w:r w:rsidR="00636B7A" w:rsidRPr="00914BB7">
        <w:rPr>
          <w:rFonts w:ascii="Times New Roman" w:eastAsia="Times New Roman" w:hAnsi="Times New Roman" w:cs="Times New Roman"/>
          <w:sz w:val="24"/>
          <w:szCs w:val="24"/>
        </w:rPr>
        <w:t>±</w:t>
      </w:r>
      <w:r w:rsidR="00636B7A">
        <w:rPr>
          <w:rFonts w:ascii="Times New Roman" w:eastAsia="Times New Roman" w:hAnsi="Times New Roman" w:cs="Times New Roman"/>
          <w:sz w:val="24"/>
          <w:szCs w:val="24"/>
        </w:rPr>
        <w:t xml:space="preserve"> 2.13 vs. 11.67 </w:t>
      </w:r>
      <w:r w:rsidR="00636B7A" w:rsidRPr="00914BB7">
        <w:rPr>
          <w:rFonts w:ascii="Times New Roman" w:eastAsia="Times New Roman" w:hAnsi="Times New Roman" w:cs="Times New Roman"/>
          <w:sz w:val="24"/>
          <w:szCs w:val="24"/>
        </w:rPr>
        <w:t>±</w:t>
      </w:r>
      <w:r w:rsidR="00636B7A">
        <w:rPr>
          <w:rFonts w:ascii="Times New Roman" w:eastAsia="Times New Roman" w:hAnsi="Times New Roman" w:cs="Times New Roman"/>
          <w:sz w:val="24"/>
          <w:szCs w:val="24"/>
        </w:rPr>
        <w:t xml:space="preserve"> 2.03 g/dl, p = 0.009), </w:t>
      </w:r>
      <w:r w:rsidR="00DF10B4">
        <w:rPr>
          <w:rFonts w:ascii="Times New Roman" w:eastAsia="Times New Roman" w:hAnsi="Times New Roman" w:cs="Times New Roman"/>
          <w:sz w:val="24"/>
          <w:szCs w:val="24"/>
        </w:rPr>
        <w:t xml:space="preserve">low hematocrit (0.34 </w:t>
      </w:r>
      <w:r w:rsidR="00DF10B4" w:rsidRPr="00914BB7">
        <w:rPr>
          <w:rFonts w:ascii="Times New Roman" w:eastAsia="Times New Roman" w:hAnsi="Times New Roman" w:cs="Times New Roman"/>
          <w:sz w:val="24"/>
          <w:szCs w:val="24"/>
        </w:rPr>
        <w:t>±</w:t>
      </w:r>
      <w:r w:rsidR="00DF10B4">
        <w:rPr>
          <w:rFonts w:ascii="Times New Roman" w:eastAsia="Times New Roman" w:hAnsi="Times New Roman" w:cs="Times New Roman"/>
          <w:sz w:val="24"/>
          <w:szCs w:val="24"/>
        </w:rPr>
        <w:t xml:space="preserve">0.07 vs. 0.36 </w:t>
      </w:r>
      <w:r w:rsidR="00DF10B4" w:rsidRPr="00914BB7">
        <w:rPr>
          <w:rFonts w:ascii="Times New Roman" w:eastAsia="Times New Roman" w:hAnsi="Times New Roman" w:cs="Times New Roman"/>
          <w:sz w:val="24"/>
          <w:szCs w:val="24"/>
        </w:rPr>
        <w:t>±</w:t>
      </w:r>
      <w:r w:rsidR="00DF10B4">
        <w:rPr>
          <w:rFonts w:ascii="Times New Roman" w:eastAsia="Times New Roman" w:hAnsi="Times New Roman" w:cs="Times New Roman"/>
          <w:sz w:val="24"/>
          <w:szCs w:val="24"/>
        </w:rPr>
        <w:t xml:space="preserve"> 0.06 %,p = 0.027)</w:t>
      </w:r>
      <w:r w:rsidR="00DF10B4"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serum sodium (133.35 ± 5.24 vs. 135.04 ± 5.82 mmol/L, p = 0.007)</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phosphate (1.41 ± 0.40 vs. 1.22 ± 0.28 mmol/L,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albumin (33.47 ± 5.54 vs. 34.96 ± 4.83 g/L, p = 0.012)</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 xml:space="preserve">igher uric acid (530.65 ± 170.12 vs. 432.17 ± 148.15 </w:t>
      </w:r>
      <w:proofErr w:type="spellStart"/>
      <w:r w:rsidRPr="00914BB7">
        <w:rPr>
          <w:rFonts w:ascii="Times New Roman" w:eastAsia="Times New Roman" w:hAnsi="Times New Roman" w:cs="Times New Roman"/>
          <w:sz w:val="24"/>
          <w:szCs w:val="24"/>
        </w:rPr>
        <w:t>μmol</w:t>
      </w:r>
      <w:proofErr w:type="spellEnd"/>
      <w:r w:rsidRPr="00914BB7">
        <w:rPr>
          <w:rFonts w:ascii="Times New Roman" w:eastAsia="Times New Roman" w:hAnsi="Times New Roman" w:cs="Times New Roman"/>
          <w:sz w:val="24"/>
          <w:szCs w:val="24"/>
        </w:rPr>
        <w:t>/L,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bicarbonate (22.22 ± 5.27 vs. 24.23 ± 5.21 mmol/L, p =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random blood sugar (11.02 ± 6.07 vs. 9.74 ± 5.02 mmol/L, p = 0.044)</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eGFR (34.20 ± 12.59 vs. 68.71 ± 29.77 mL/min/1.73 m²,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 xml:space="preserve">igher creatinine (186.17 ± 78.67 vs. 109.97 ± 59.25 </w:t>
      </w:r>
      <w:proofErr w:type="spellStart"/>
      <w:r w:rsidRPr="00914BB7">
        <w:rPr>
          <w:rFonts w:ascii="Times New Roman" w:eastAsia="Times New Roman" w:hAnsi="Times New Roman" w:cs="Times New Roman"/>
          <w:sz w:val="24"/>
          <w:szCs w:val="24"/>
        </w:rPr>
        <w:t>μmol</w:t>
      </w:r>
      <w:proofErr w:type="spellEnd"/>
      <w:r w:rsidRPr="00914BB7">
        <w:rPr>
          <w:rFonts w:ascii="Times New Roman" w:eastAsia="Times New Roman" w:hAnsi="Times New Roman" w:cs="Times New Roman"/>
          <w:sz w:val="24"/>
          <w:szCs w:val="24"/>
        </w:rPr>
        <w:t>/L, p &lt; 0.001)</w:t>
      </w:r>
      <w:r w:rsidR="000606C0" w:rsidRPr="00914BB7">
        <w:rPr>
          <w:rFonts w:ascii="Times New Roman" w:eastAsia="Times New Roman" w:hAnsi="Times New Roman" w:cs="Times New Roman"/>
          <w:sz w:val="24"/>
          <w:szCs w:val="24"/>
        </w:rPr>
        <w:t xml:space="preserve">, and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BUN (16.12 ± 7.46 vs. 9.19 ± 5.43 mmol/L, p &lt; 0.001)</w:t>
      </w:r>
      <w:r w:rsidR="000606C0" w:rsidRPr="00914BB7">
        <w:rPr>
          <w:rFonts w:ascii="Times New Roman" w:eastAsia="Times New Roman" w:hAnsi="Times New Roman" w:cs="Times New Roman"/>
          <w:sz w:val="24"/>
          <w:szCs w:val="24"/>
        </w:rPr>
        <w:t xml:space="preserve">. </w:t>
      </w:r>
      <w:r w:rsidRPr="00914BB7">
        <w:rPr>
          <w:rFonts w:ascii="Times New Roman" w:eastAsia="Times New Roman" w:hAnsi="Times New Roman" w:cs="Times New Roman"/>
          <w:sz w:val="24"/>
          <w:szCs w:val="24"/>
        </w:rPr>
        <w:t>There was no significant difference in the number of GDMT agents prescribed (&lt;3 vs. ≥3, p = 0.142).</w:t>
      </w:r>
    </w:p>
    <w:p w14:paraId="2A2B98FB" w14:textId="381EDCF3"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Clinical Outcomes</w:t>
      </w:r>
    </w:p>
    <w:p w14:paraId="32CFB306" w14:textId="48F97B18" w:rsidR="00D456AD" w:rsidRPr="00823000" w:rsidRDefault="00F019C2" w:rsidP="00823000">
      <w:pPr>
        <w:spacing w:before="100" w:beforeAutospacing="1" w:after="100" w:afterAutospacing="1" w:line="480" w:lineRule="auto"/>
        <w:jc w:val="both"/>
        <w:rPr>
          <w:rFonts w:ascii="Times New Roman" w:eastAsia="Times New Roman" w:hAnsi="Times New Roman" w:cs="Times New Roman"/>
          <w:sz w:val="24"/>
          <w:szCs w:val="24"/>
        </w:rPr>
      </w:pPr>
      <w:r w:rsidRPr="00914BB7">
        <w:rPr>
          <w:rFonts w:ascii="Times New Roman" w:eastAsia="Times New Roman" w:hAnsi="Times New Roman" w:cs="Times New Roman"/>
          <w:sz w:val="24"/>
          <w:szCs w:val="24"/>
        </w:rPr>
        <w:t>Table 3 shows short-term outcomes. In-hospital mortality did not differ significantly (CRS1: 8.1% vs. NCRS: 7.2%, p = 0.756). Six-month mortality was also similar (13.8% vs. 12.4%, p = 0.727).</w:t>
      </w:r>
      <w:r w:rsidR="000606C0" w:rsidRPr="00914BB7">
        <w:rPr>
          <w:rFonts w:ascii="Times New Roman" w:eastAsia="Times New Roman" w:hAnsi="Times New Roman" w:cs="Times New Roman"/>
          <w:sz w:val="24"/>
          <w:szCs w:val="24"/>
        </w:rPr>
        <w:t xml:space="preserve"> </w:t>
      </w:r>
      <w:r w:rsidRPr="00914BB7">
        <w:rPr>
          <w:rFonts w:ascii="Times New Roman" w:eastAsia="Times New Roman" w:hAnsi="Times New Roman" w:cs="Times New Roman"/>
          <w:sz w:val="24"/>
          <w:szCs w:val="24"/>
        </w:rPr>
        <w:t xml:space="preserve">Only CRS1 patients required dialysis (n = 2), though this was not statistically significant (p = 0.165). CRS1 patients had </w:t>
      </w:r>
      <w:r w:rsidR="00012742">
        <w:rPr>
          <w:rFonts w:ascii="Times New Roman" w:eastAsia="Times New Roman" w:hAnsi="Times New Roman" w:cs="Times New Roman"/>
          <w:sz w:val="24"/>
          <w:szCs w:val="24"/>
        </w:rPr>
        <w:t xml:space="preserve">a </w:t>
      </w:r>
      <w:r w:rsidR="00DD49F9">
        <w:rPr>
          <w:rFonts w:ascii="Times New Roman" w:eastAsia="Times New Roman" w:hAnsi="Times New Roman" w:cs="Times New Roman"/>
          <w:sz w:val="24"/>
          <w:szCs w:val="24"/>
        </w:rPr>
        <w:t>significant increase of</w:t>
      </w:r>
      <w:r w:rsidRPr="00914BB7">
        <w:rPr>
          <w:rFonts w:ascii="Times New Roman" w:eastAsia="Times New Roman" w:hAnsi="Times New Roman" w:cs="Times New Roman"/>
          <w:sz w:val="24"/>
          <w:szCs w:val="24"/>
        </w:rPr>
        <w:t xml:space="preserve"> 2-month rehospitalization rates (62.5% vs. 37.5%, p = 0.016), while 6-month rehospitalization showed a non-significant trend (60% vs. 40%, p = 0.081).</w:t>
      </w:r>
      <w:r w:rsidR="000606C0" w:rsidRPr="00914BB7">
        <w:rPr>
          <w:rFonts w:ascii="Times New Roman" w:eastAsia="Times New Roman" w:hAnsi="Times New Roman" w:cs="Times New Roman"/>
          <w:sz w:val="24"/>
          <w:szCs w:val="24"/>
        </w:rPr>
        <w:t xml:space="preserve"> </w:t>
      </w:r>
      <w:r w:rsidR="00914BB7" w:rsidRPr="00914BB7">
        <w:rPr>
          <w:rFonts w:ascii="Times New Roman" w:eastAsia="Times New Roman" w:hAnsi="Times New Roman" w:cs="Times New Roman"/>
          <w:sz w:val="24"/>
          <w:szCs w:val="24"/>
        </w:rPr>
        <w:t>The length of</w:t>
      </w:r>
      <w:r w:rsidRPr="00914BB7">
        <w:rPr>
          <w:rFonts w:ascii="Times New Roman" w:eastAsia="Times New Roman" w:hAnsi="Times New Roman" w:cs="Times New Roman"/>
          <w:sz w:val="24"/>
          <w:szCs w:val="24"/>
        </w:rPr>
        <w:t xml:space="preserve"> hospital stay was </w:t>
      </w:r>
      <w:r w:rsidR="00914BB7" w:rsidRPr="00914BB7">
        <w:rPr>
          <w:rFonts w:ascii="Times New Roman" w:eastAsia="Times New Roman" w:hAnsi="Times New Roman" w:cs="Times New Roman"/>
          <w:sz w:val="24"/>
          <w:szCs w:val="24"/>
        </w:rPr>
        <w:t xml:space="preserve">significantly </w:t>
      </w:r>
      <w:r w:rsidRPr="00914BB7">
        <w:rPr>
          <w:rFonts w:ascii="Times New Roman" w:eastAsia="Times New Roman" w:hAnsi="Times New Roman" w:cs="Times New Roman"/>
          <w:sz w:val="24"/>
          <w:szCs w:val="24"/>
        </w:rPr>
        <w:t>longer for CRS1 patients (7.64 ± 7.23 vs. 5.59 ± 4.06 days, p = 0.002).</w:t>
      </w:r>
    </w:p>
    <w:p w14:paraId="777431AA" w14:textId="6C206BAD"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Multivariate Analyses</w:t>
      </w:r>
    </w:p>
    <w:p w14:paraId="4F162249" w14:textId="58710D4E"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lastRenderedPageBreak/>
        <w:t>Predictors of 6-Month Mortality in NCRS</w:t>
      </w:r>
    </w:p>
    <w:p w14:paraId="39807410" w14:textId="58B33B31" w:rsidR="00D66227" w:rsidRPr="00563FEB" w:rsidRDefault="00F019C2" w:rsidP="00563FEB">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sz w:val="24"/>
          <w:szCs w:val="24"/>
        </w:rPr>
        <w:t>Binary logistic regression identified the following independent predictors</w:t>
      </w:r>
      <w:r w:rsidR="003B7A36">
        <w:rPr>
          <w:rFonts w:ascii="Times New Roman" w:eastAsia="Times New Roman" w:hAnsi="Times New Roman" w:cs="Times New Roman"/>
          <w:sz w:val="24"/>
          <w:szCs w:val="24"/>
        </w:rPr>
        <w:t xml:space="preserve"> (Table </w:t>
      </w:r>
      <w:r w:rsidR="0052684C">
        <w:rPr>
          <w:rFonts w:ascii="Times New Roman" w:eastAsia="Times New Roman" w:hAnsi="Times New Roman" w:cs="Times New Roman"/>
          <w:sz w:val="24"/>
          <w:szCs w:val="24"/>
        </w:rPr>
        <w:t>4</w:t>
      </w:r>
      <w:r w:rsidR="003B7A36">
        <w:rPr>
          <w:rFonts w:ascii="Times New Roman" w:eastAsia="Times New Roman" w:hAnsi="Times New Roman" w:cs="Times New Roman"/>
          <w:sz w:val="24"/>
          <w:szCs w:val="24"/>
        </w:rPr>
        <w:t>)</w:t>
      </w:r>
      <w:r w:rsidRPr="00F019C2">
        <w:rPr>
          <w:rFonts w:ascii="Times New Roman" w:eastAsia="Times New Roman" w:hAnsi="Times New Roman" w:cs="Times New Roman"/>
          <w:sz w:val="24"/>
          <w:szCs w:val="24"/>
        </w:rPr>
        <w:t>:</w:t>
      </w:r>
      <w:r w:rsidR="000606C0">
        <w:rPr>
          <w:rFonts w:ascii="Times New Roman" w:eastAsia="Times New Roman" w:hAnsi="Times New Roman" w:cs="Times New Roman"/>
          <w:sz w:val="24"/>
          <w:szCs w:val="24"/>
        </w:rPr>
        <w:t xml:space="preserve"> h</w:t>
      </w:r>
      <w:r w:rsidRPr="00F019C2">
        <w:rPr>
          <w:rFonts w:ascii="Times New Roman" w:eastAsia="Times New Roman" w:hAnsi="Times New Roman" w:cs="Times New Roman"/>
          <w:sz w:val="24"/>
          <w:szCs w:val="24"/>
        </w:rPr>
        <w:t xml:space="preserve">igher serum potassium (OR </w:t>
      </w:r>
      <w:r w:rsidR="00F33FC0">
        <w:rPr>
          <w:rFonts w:ascii="Times New Roman" w:eastAsia="Times New Roman" w:hAnsi="Times New Roman" w:cs="Times New Roman"/>
          <w:sz w:val="24"/>
          <w:szCs w:val="24"/>
        </w:rPr>
        <w:t xml:space="preserve">= </w:t>
      </w:r>
      <w:r w:rsidRPr="00F019C2">
        <w:rPr>
          <w:rFonts w:ascii="Times New Roman" w:eastAsia="Times New Roman" w:hAnsi="Times New Roman" w:cs="Times New Roman"/>
          <w:sz w:val="24"/>
          <w:szCs w:val="24"/>
        </w:rPr>
        <w:t>4.07, p = 0.025)</w:t>
      </w:r>
      <w:r w:rsidR="000606C0">
        <w:rPr>
          <w:rFonts w:ascii="Times New Roman" w:eastAsia="Times New Roman" w:hAnsi="Times New Roman" w:cs="Times New Roman"/>
          <w:sz w:val="24"/>
          <w:szCs w:val="24"/>
        </w:rPr>
        <w:t>, h</w:t>
      </w:r>
      <w:r w:rsidRPr="00F019C2">
        <w:rPr>
          <w:rFonts w:ascii="Times New Roman" w:eastAsia="Times New Roman" w:hAnsi="Times New Roman" w:cs="Times New Roman"/>
          <w:sz w:val="24"/>
          <w:szCs w:val="24"/>
        </w:rPr>
        <w:t>igher serum sodium (OR 1.30, p = 0.016)</w:t>
      </w:r>
      <w:r w:rsidR="000606C0">
        <w:rPr>
          <w:rFonts w:ascii="Times New Roman" w:eastAsia="Times New Roman" w:hAnsi="Times New Roman" w:cs="Times New Roman"/>
          <w:sz w:val="24"/>
          <w:szCs w:val="24"/>
        </w:rPr>
        <w:t>, l</w:t>
      </w:r>
      <w:r w:rsidRPr="00F019C2">
        <w:rPr>
          <w:rFonts w:ascii="Times New Roman" w:eastAsia="Times New Roman" w:hAnsi="Times New Roman" w:cs="Times New Roman"/>
          <w:sz w:val="24"/>
          <w:szCs w:val="24"/>
        </w:rPr>
        <w:t>ower serum chloride (OR 0.77, p = 0.002)</w:t>
      </w:r>
      <w:r w:rsidR="000606C0">
        <w:rPr>
          <w:rFonts w:ascii="Times New Roman" w:eastAsia="Times New Roman" w:hAnsi="Times New Roman" w:cs="Times New Roman"/>
          <w:sz w:val="24"/>
          <w:szCs w:val="24"/>
        </w:rPr>
        <w:t>, and h</w:t>
      </w:r>
      <w:r w:rsidRPr="00F019C2">
        <w:rPr>
          <w:rFonts w:ascii="Times New Roman" w:eastAsia="Times New Roman" w:hAnsi="Times New Roman" w:cs="Times New Roman"/>
          <w:sz w:val="24"/>
          <w:szCs w:val="24"/>
        </w:rPr>
        <w:t>igher BUN (OR 1.28, p = 0.018)</w:t>
      </w:r>
      <w:r w:rsidR="000606C0">
        <w:rPr>
          <w:rFonts w:ascii="Times New Roman" w:eastAsia="Times New Roman" w:hAnsi="Times New Roman" w:cs="Times New Roman"/>
          <w:sz w:val="24"/>
          <w:szCs w:val="24"/>
        </w:rPr>
        <w:t xml:space="preserve">. </w:t>
      </w:r>
      <w:r w:rsidRPr="00F019C2">
        <w:rPr>
          <w:rFonts w:ascii="Times New Roman" w:eastAsia="Times New Roman" w:hAnsi="Times New Roman" w:cs="Times New Roman"/>
          <w:sz w:val="24"/>
          <w:szCs w:val="24"/>
        </w:rPr>
        <w:t>In the clinical model, CKD (</w:t>
      </w:r>
      <w:r w:rsidR="00F33FC0">
        <w:rPr>
          <w:rFonts w:ascii="Times New Roman" w:eastAsia="Times New Roman" w:hAnsi="Times New Roman" w:cs="Times New Roman"/>
          <w:sz w:val="24"/>
          <w:szCs w:val="24"/>
        </w:rPr>
        <w:t>OR = 0.04, p = 0.001</w:t>
      </w:r>
      <w:r w:rsidRPr="00F019C2">
        <w:rPr>
          <w:rFonts w:ascii="Times New Roman" w:eastAsia="Times New Roman" w:hAnsi="Times New Roman" w:cs="Times New Roman"/>
          <w:sz w:val="24"/>
          <w:szCs w:val="24"/>
        </w:rPr>
        <w:t>), COPD</w:t>
      </w:r>
      <w:r w:rsidR="00F33FC0">
        <w:rPr>
          <w:rFonts w:ascii="Times New Roman" w:eastAsia="Times New Roman" w:hAnsi="Times New Roman" w:cs="Times New Roman"/>
          <w:sz w:val="24"/>
          <w:szCs w:val="24"/>
        </w:rPr>
        <w:t xml:space="preserve"> (OR = 0.06, p = 0.011)</w:t>
      </w:r>
      <w:r w:rsidRPr="00F019C2">
        <w:rPr>
          <w:rFonts w:ascii="Times New Roman" w:eastAsia="Times New Roman" w:hAnsi="Times New Roman" w:cs="Times New Roman"/>
          <w:sz w:val="24"/>
          <w:szCs w:val="24"/>
        </w:rPr>
        <w:t xml:space="preserve">, and use of ≥3 GDMT agents </w:t>
      </w:r>
      <w:r w:rsidR="00F33FC0">
        <w:rPr>
          <w:rFonts w:ascii="Times New Roman" w:eastAsia="Times New Roman" w:hAnsi="Times New Roman" w:cs="Times New Roman"/>
          <w:sz w:val="24"/>
          <w:szCs w:val="24"/>
        </w:rPr>
        <w:t xml:space="preserve">(OR = 0.07, p = 0.022), </w:t>
      </w:r>
      <w:r w:rsidRPr="00F019C2">
        <w:rPr>
          <w:rFonts w:ascii="Times New Roman" w:eastAsia="Times New Roman" w:hAnsi="Times New Roman" w:cs="Times New Roman"/>
          <w:sz w:val="24"/>
          <w:szCs w:val="24"/>
        </w:rPr>
        <w:t xml:space="preserve">were </w:t>
      </w:r>
      <w:r w:rsidR="008F4B78">
        <w:rPr>
          <w:rFonts w:ascii="Times New Roman" w:eastAsia="Times New Roman" w:hAnsi="Times New Roman" w:cs="Times New Roman"/>
          <w:sz w:val="24"/>
          <w:szCs w:val="24"/>
        </w:rPr>
        <w:t xml:space="preserve">each </w:t>
      </w:r>
      <w:r w:rsidRPr="00F019C2">
        <w:rPr>
          <w:rFonts w:ascii="Times New Roman" w:eastAsia="Times New Roman" w:hAnsi="Times New Roman" w:cs="Times New Roman"/>
          <w:sz w:val="24"/>
          <w:szCs w:val="24"/>
        </w:rPr>
        <w:t xml:space="preserve">associated with </w:t>
      </w:r>
      <w:r w:rsidR="008F4B78">
        <w:rPr>
          <w:rFonts w:ascii="Times New Roman" w:eastAsia="Times New Roman" w:hAnsi="Times New Roman" w:cs="Times New Roman"/>
          <w:sz w:val="24"/>
          <w:szCs w:val="24"/>
        </w:rPr>
        <w:t xml:space="preserve">a </w:t>
      </w:r>
      <w:r w:rsidRPr="00F019C2">
        <w:rPr>
          <w:rFonts w:ascii="Times New Roman" w:eastAsia="Times New Roman" w:hAnsi="Times New Roman" w:cs="Times New Roman"/>
          <w:sz w:val="24"/>
          <w:szCs w:val="24"/>
        </w:rPr>
        <w:t>reduced mortality risk.</w:t>
      </w:r>
    </w:p>
    <w:p w14:paraId="7F73CBF6" w14:textId="3F7653FA"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Rehospitalization in NCRS</w:t>
      </w:r>
    </w:p>
    <w:p w14:paraId="1CED7E4C" w14:textId="0FF16647" w:rsidR="00D456AD" w:rsidRPr="00D66227" w:rsidRDefault="00467692" w:rsidP="00D66227">
      <w:pPr>
        <w:spacing w:before="100" w:beforeAutospacing="1" w:after="100" w:afterAutospacing="1" w:line="480" w:lineRule="auto"/>
        <w:jc w:val="both"/>
        <w:rPr>
          <w:rFonts w:ascii="Times New Roman" w:eastAsia="Times New Roman" w:hAnsi="Times New Roman" w:cs="Times New Roman"/>
          <w:sz w:val="24"/>
          <w:szCs w:val="24"/>
        </w:rPr>
      </w:pPr>
      <w:r w:rsidRPr="00467692">
        <w:rPr>
          <w:rFonts w:ascii="Times New Roman" w:eastAsia="Times New Roman" w:hAnsi="Times New Roman" w:cs="Times New Roman"/>
          <w:sz w:val="24"/>
          <w:szCs w:val="24"/>
        </w:rPr>
        <w:t>For NCRS group, the following variables were associated with increased risk of six-month rehospitalization</w:t>
      </w:r>
      <w:r w:rsidR="00992354">
        <w:rPr>
          <w:rFonts w:ascii="Times New Roman" w:eastAsia="Times New Roman" w:hAnsi="Times New Roman" w:cs="Times New Roman"/>
          <w:sz w:val="24"/>
          <w:szCs w:val="24"/>
        </w:rPr>
        <w:t xml:space="preserve"> (Table 5)</w:t>
      </w:r>
      <w:r w:rsidRPr="00467692">
        <w:rPr>
          <w:rFonts w:ascii="Times New Roman" w:eastAsia="Times New Roman" w:hAnsi="Times New Roman" w:cs="Times New Roman"/>
          <w:sz w:val="24"/>
          <w:szCs w:val="24"/>
        </w:rPr>
        <w:t xml:space="preserve">: </w:t>
      </w:r>
      <w:r w:rsidR="00481115">
        <w:rPr>
          <w:rFonts w:ascii="Times New Roman" w:eastAsia="Times New Roman" w:hAnsi="Times New Roman" w:cs="Times New Roman"/>
          <w:sz w:val="24"/>
          <w:szCs w:val="24"/>
        </w:rPr>
        <w:t>l</w:t>
      </w:r>
      <w:r w:rsidR="00F019C2" w:rsidRPr="00467692">
        <w:rPr>
          <w:rFonts w:ascii="Times New Roman" w:eastAsia="Times New Roman" w:hAnsi="Times New Roman" w:cs="Times New Roman"/>
          <w:sz w:val="24"/>
          <w:szCs w:val="24"/>
        </w:rPr>
        <w:t>ower serum albumin (OR 0.86, p = 0.006), CAD (OR 8.90, p = 0.002), and use of ≥3 drugs (OR 5.33, p = 0.018) increased rehospitalization risk, while smoking (OR 0.16, p = 0.010) and diuretic use (OR 0.37, p = 0.048) were protective.</w:t>
      </w:r>
    </w:p>
    <w:p w14:paraId="1CB40B75" w14:textId="71FD492F"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Mortality in CRS1</w:t>
      </w:r>
    </w:p>
    <w:p w14:paraId="1DA7C9A3" w14:textId="0C081BFB" w:rsidR="00F019C2" w:rsidRPr="008923EB" w:rsidRDefault="00F019C2" w:rsidP="008923EB">
      <w:pPr>
        <w:spacing w:before="100" w:beforeAutospacing="1" w:after="100" w:afterAutospacing="1" w:line="480" w:lineRule="auto"/>
        <w:jc w:val="both"/>
        <w:rPr>
          <w:rFonts w:asciiTheme="majorBidi" w:eastAsia="Times New Roman" w:hAnsiTheme="majorBidi" w:cstheme="majorBidi"/>
          <w:color w:val="FF0000"/>
          <w:sz w:val="24"/>
          <w:szCs w:val="24"/>
        </w:rPr>
      </w:pPr>
      <w:r w:rsidRPr="0064455C">
        <w:rPr>
          <w:rFonts w:asciiTheme="majorBidi" w:eastAsia="Times New Roman" w:hAnsiTheme="majorBidi" w:cstheme="majorBidi"/>
          <w:sz w:val="24"/>
          <w:szCs w:val="24"/>
        </w:rPr>
        <w:t>In the laboratory model, lower hematocrit</w:t>
      </w:r>
      <w:r w:rsidR="00481115" w:rsidRPr="0064455C">
        <w:rPr>
          <w:rFonts w:asciiTheme="majorBidi" w:eastAsia="Times New Roman" w:hAnsiTheme="majorBidi" w:cstheme="majorBidi"/>
          <w:sz w:val="24"/>
          <w:szCs w:val="24"/>
        </w:rPr>
        <w:t xml:space="preserve"> (OR = 0.00, p = 0.017)</w:t>
      </w:r>
      <w:r w:rsidRPr="0064455C">
        <w:rPr>
          <w:rFonts w:asciiTheme="majorBidi" w:eastAsia="Times New Roman" w:hAnsiTheme="majorBidi" w:cstheme="majorBidi"/>
          <w:sz w:val="24"/>
          <w:szCs w:val="24"/>
        </w:rPr>
        <w:t>, lower serum chloride</w:t>
      </w:r>
      <w:r w:rsidR="00481115" w:rsidRPr="0064455C">
        <w:rPr>
          <w:rFonts w:asciiTheme="majorBidi" w:eastAsia="Times New Roman" w:hAnsiTheme="majorBidi" w:cstheme="majorBidi"/>
          <w:sz w:val="24"/>
          <w:szCs w:val="24"/>
        </w:rPr>
        <w:t xml:space="preserve"> (OR = 0.78, p = 0.041)</w:t>
      </w:r>
      <w:r w:rsidRPr="0064455C">
        <w:rPr>
          <w:rFonts w:asciiTheme="majorBidi" w:eastAsia="Times New Roman" w:hAnsiTheme="majorBidi" w:cstheme="majorBidi"/>
          <w:sz w:val="24"/>
          <w:szCs w:val="24"/>
        </w:rPr>
        <w:t>, lower albumin</w:t>
      </w:r>
      <w:r w:rsidR="00481115" w:rsidRPr="0064455C">
        <w:rPr>
          <w:rFonts w:asciiTheme="majorBidi" w:eastAsia="Times New Roman" w:hAnsiTheme="majorBidi" w:cstheme="majorBidi"/>
          <w:sz w:val="24"/>
          <w:szCs w:val="24"/>
        </w:rPr>
        <w:t xml:space="preserve"> (OR = 0</w:t>
      </w:r>
      <w:r w:rsidR="00992354" w:rsidRPr="0064455C">
        <w:rPr>
          <w:rFonts w:asciiTheme="majorBidi" w:eastAsia="Times New Roman" w:hAnsiTheme="majorBidi" w:cstheme="majorBidi"/>
          <w:sz w:val="24"/>
          <w:szCs w:val="24"/>
        </w:rPr>
        <w:t>.78, p = 0.001)</w:t>
      </w:r>
      <w:r w:rsidRPr="0064455C">
        <w:rPr>
          <w:rFonts w:asciiTheme="majorBidi" w:eastAsia="Times New Roman" w:hAnsiTheme="majorBidi" w:cstheme="majorBidi"/>
          <w:sz w:val="24"/>
          <w:szCs w:val="24"/>
        </w:rPr>
        <w:t xml:space="preserve">, and lower bicarbonate </w:t>
      </w:r>
      <w:r w:rsidR="00992354" w:rsidRPr="0064455C">
        <w:rPr>
          <w:rFonts w:asciiTheme="majorBidi" w:eastAsia="Times New Roman" w:hAnsiTheme="majorBidi" w:cstheme="majorBidi"/>
          <w:sz w:val="24"/>
          <w:szCs w:val="24"/>
        </w:rPr>
        <w:t xml:space="preserve">(OR = 0.75, p = 0.019), </w:t>
      </w:r>
      <w:r w:rsidRPr="0064455C">
        <w:rPr>
          <w:rFonts w:asciiTheme="majorBidi" w:eastAsia="Times New Roman" w:hAnsiTheme="majorBidi" w:cstheme="majorBidi"/>
          <w:sz w:val="24"/>
          <w:szCs w:val="24"/>
        </w:rPr>
        <w:t xml:space="preserve">were associated with </w:t>
      </w:r>
      <w:r w:rsidRPr="0064455C">
        <w:rPr>
          <w:rFonts w:asciiTheme="majorBidi" w:eastAsia="Times New Roman" w:hAnsiTheme="majorBidi" w:cstheme="majorBidi"/>
          <w:color w:val="000000" w:themeColor="text1"/>
          <w:sz w:val="24"/>
          <w:szCs w:val="24"/>
        </w:rPr>
        <w:t>higher mortality</w:t>
      </w:r>
      <w:r w:rsidR="00992354" w:rsidRPr="0064455C">
        <w:rPr>
          <w:rFonts w:asciiTheme="majorBidi" w:eastAsia="Times New Roman" w:hAnsiTheme="majorBidi" w:cstheme="majorBidi"/>
          <w:color w:val="000000" w:themeColor="text1"/>
          <w:sz w:val="24"/>
          <w:szCs w:val="24"/>
        </w:rPr>
        <w:t xml:space="preserve"> risk</w:t>
      </w:r>
      <w:r w:rsidRPr="0064455C">
        <w:rPr>
          <w:rFonts w:asciiTheme="majorBidi" w:eastAsia="Times New Roman" w:hAnsiTheme="majorBidi" w:cstheme="majorBidi"/>
          <w:color w:val="000000" w:themeColor="text1"/>
          <w:sz w:val="24"/>
          <w:szCs w:val="24"/>
        </w:rPr>
        <w:t>.</w:t>
      </w:r>
      <w:r w:rsidR="0064455C" w:rsidRPr="0064455C">
        <w:rPr>
          <w:rFonts w:asciiTheme="majorBidi" w:eastAsia="Times New Roman" w:hAnsiTheme="majorBidi" w:cstheme="majorBidi"/>
          <w:color w:val="000000" w:themeColor="text1"/>
          <w:sz w:val="24"/>
          <w:szCs w:val="24"/>
        </w:rPr>
        <w:t xml:space="preserve"> In addition, several parameters demonstrated trends toward significance: </w:t>
      </w:r>
      <w:r w:rsidR="00DA1102">
        <w:rPr>
          <w:rFonts w:asciiTheme="majorBidi" w:eastAsia="Times New Roman" w:hAnsiTheme="majorBidi" w:cstheme="majorBidi"/>
          <w:color w:val="000000" w:themeColor="text1"/>
          <w:sz w:val="24"/>
          <w:szCs w:val="24"/>
        </w:rPr>
        <w:t>higher h</w:t>
      </w:r>
      <w:r w:rsidR="0064455C" w:rsidRPr="0064455C">
        <w:rPr>
          <w:rFonts w:asciiTheme="majorBidi" w:eastAsia="Times New Roman" w:hAnsiTheme="majorBidi" w:cstheme="majorBidi"/>
          <w:color w:val="000000" w:themeColor="text1"/>
          <w:sz w:val="24"/>
          <w:szCs w:val="24"/>
        </w:rPr>
        <w:t xml:space="preserve">eart rate (OR = 1.06,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 0.051), and </w:t>
      </w:r>
      <w:r w:rsidR="00DA1102">
        <w:rPr>
          <w:rFonts w:asciiTheme="majorBidi" w:eastAsia="Times New Roman" w:hAnsiTheme="majorBidi" w:cstheme="majorBidi"/>
          <w:color w:val="000000" w:themeColor="text1"/>
          <w:sz w:val="24"/>
          <w:szCs w:val="24"/>
        </w:rPr>
        <w:t xml:space="preserve">higher </w:t>
      </w:r>
      <w:r w:rsidR="0064455C" w:rsidRPr="0064455C">
        <w:rPr>
          <w:rFonts w:asciiTheme="majorBidi" w:eastAsia="Times New Roman" w:hAnsiTheme="majorBidi" w:cstheme="majorBidi"/>
          <w:color w:val="000000" w:themeColor="text1"/>
          <w:sz w:val="24"/>
          <w:szCs w:val="24"/>
        </w:rPr>
        <w:t xml:space="preserve">eGFR (OR = 1.11,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 0.051). Although these did not reach the conventional threshold of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&lt; 0.05, they suggest possible clinical relevance (Table 4). </w:t>
      </w:r>
    </w:p>
    <w:p w14:paraId="1926ED3E" w14:textId="46E01785"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Rehospitalization in CRS1</w:t>
      </w:r>
    </w:p>
    <w:p w14:paraId="05AC5F4B" w14:textId="6C46B0DD" w:rsidR="000606C0" w:rsidRDefault="001D5E93" w:rsidP="004B6F2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Lower</w:t>
      </w:r>
      <w:r w:rsidR="00F019C2" w:rsidRPr="00F019C2">
        <w:rPr>
          <w:rFonts w:ascii="Times New Roman" w:eastAsia="Times New Roman" w:hAnsi="Times New Roman" w:cs="Times New Roman"/>
          <w:sz w:val="24"/>
          <w:szCs w:val="24"/>
        </w:rPr>
        <w:t xml:space="preserve"> hemoglobin (OR </w:t>
      </w:r>
      <w:r>
        <w:rPr>
          <w:rFonts w:ascii="Times New Roman" w:eastAsia="Times New Roman" w:hAnsi="Times New Roman" w:cs="Times New Roman"/>
          <w:sz w:val="24"/>
          <w:szCs w:val="24"/>
        </w:rPr>
        <w:t>0.57</w:t>
      </w:r>
      <w:r w:rsidR="00F019C2" w:rsidRPr="00F019C2">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rPr>
        <w:t>=</w:t>
      </w:r>
      <w:r w:rsidR="00F019C2" w:rsidRPr="00F019C2">
        <w:rPr>
          <w:rFonts w:ascii="Times New Roman" w:eastAsia="Times New Roman" w:hAnsi="Times New Roman" w:cs="Times New Roman"/>
          <w:sz w:val="24"/>
          <w:szCs w:val="24"/>
        </w:rPr>
        <w:t xml:space="preserve"> 0.01</w:t>
      </w:r>
      <w:r>
        <w:rPr>
          <w:rFonts w:ascii="Times New Roman" w:eastAsia="Times New Roman" w:hAnsi="Times New Roman" w:cs="Times New Roman"/>
          <w:sz w:val="24"/>
          <w:szCs w:val="24"/>
        </w:rPr>
        <w:t>4</w:t>
      </w:r>
      <w:r w:rsidR="00F019C2" w:rsidRPr="00F019C2">
        <w:rPr>
          <w:rFonts w:ascii="Times New Roman" w:eastAsia="Times New Roman" w:hAnsi="Times New Roman" w:cs="Times New Roman"/>
          <w:sz w:val="24"/>
          <w:szCs w:val="24"/>
        </w:rPr>
        <w:t>) increased rehospitalization risk, while higher serum sodium was protective (OR 0.78, p = 0.009). No clinical variables reached significance</w:t>
      </w:r>
      <w:r w:rsidR="0067618C">
        <w:rPr>
          <w:rFonts w:ascii="Times New Roman" w:eastAsia="Times New Roman" w:hAnsi="Times New Roman" w:cs="Times New Roman"/>
          <w:sz w:val="24"/>
          <w:szCs w:val="24"/>
        </w:rPr>
        <w:t xml:space="preserve"> (Table 5)</w:t>
      </w:r>
      <w:r w:rsidR="00F019C2" w:rsidRPr="00F019C2">
        <w:rPr>
          <w:rFonts w:ascii="Times New Roman" w:eastAsia="Times New Roman" w:hAnsi="Times New Roman" w:cs="Times New Roman"/>
          <w:sz w:val="24"/>
          <w:szCs w:val="24"/>
        </w:rPr>
        <w:t>.</w:t>
      </w:r>
    </w:p>
    <w:p w14:paraId="2FA08807" w14:textId="23F1934B"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Hospital Length of Stay</w:t>
      </w:r>
    </w:p>
    <w:p w14:paraId="42F6C3B5" w14:textId="05455013" w:rsidR="000D7A84" w:rsidRDefault="00916DF9" w:rsidP="00823000">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916DF9">
        <w:rPr>
          <w:rFonts w:ascii="Times New Roman" w:eastAsia="Times New Roman" w:hAnsi="Times New Roman" w:cs="Times New Roman"/>
          <w:color w:val="000000" w:themeColor="text1"/>
          <w:sz w:val="24"/>
          <w:szCs w:val="24"/>
        </w:rPr>
        <w:t>For NCRS, multiple linear regression analysis showed that higher hematocrit levels (b = 1.50, p = 0.008) were associated with a longer stay, whereas a higher heart rate (b = -0.07, p = 0.004) was associated with a shorter stay. In CRS1, however, hypertension (b = 3.60, p = 0.035) was associated with a longer hospital stay, while higher serum albumin levels were linked to a shorter stay (b = -0.32, p = 0.028) (Table 6).</w:t>
      </w:r>
    </w:p>
    <w:p w14:paraId="408EA9AF" w14:textId="77777777" w:rsidR="00823000" w:rsidRDefault="00823000" w:rsidP="00823000">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14:paraId="03CD6B58" w14:textId="1DEDB2F3" w:rsidR="009C783D" w:rsidRPr="00E336E1" w:rsidRDefault="009C783D"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sidRPr="00E336E1">
        <w:rPr>
          <w:rFonts w:asciiTheme="majorBidi" w:eastAsia="Times New Roman" w:hAnsiTheme="majorBidi" w:cstheme="majorBidi"/>
          <w:b/>
          <w:bCs/>
          <w:sz w:val="24"/>
          <w:szCs w:val="24"/>
          <w:u w:val="single"/>
        </w:rPr>
        <w:t>Discussion</w:t>
      </w:r>
    </w:p>
    <w:p w14:paraId="130D3B7E" w14:textId="0E3FD935" w:rsidR="000E67F5" w:rsidRPr="000E67F5" w:rsidRDefault="000E67F5" w:rsidP="0021531C">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In this retrospective cohort, CRS1 was observed in more than half of patients hospitalized with ADHF, </w:t>
      </w:r>
      <w:r w:rsidR="00135EF4" w:rsidRPr="00135EF4">
        <w:rPr>
          <w:rFonts w:ascii="Times New Roman" w:eastAsia="Times New Roman" w:hAnsi="Times New Roman" w:cs="Times New Roman"/>
          <w:sz w:val="24"/>
          <w:szCs w:val="24"/>
        </w:rPr>
        <w:t>underlining</w:t>
      </w:r>
      <w:r w:rsidRPr="000E67F5">
        <w:rPr>
          <w:rFonts w:ascii="Times New Roman" w:eastAsia="Times New Roman" w:hAnsi="Times New Roman" w:cs="Times New Roman"/>
          <w:sz w:val="24"/>
          <w:szCs w:val="24"/>
        </w:rPr>
        <w:t xml:space="preserve"> its high clinical burden. This incidence is higher than the ~25% prevalence reported in earlier multicenter analyses</w:t>
      </w:r>
      <w:r w:rsidR="002D45AD">
        <w:rPr>
          <w:rFonts w:ascii="Times New Roman" w:eastAsia="Times New Roman" w:hAnsi="Times New Roman" w:cs="Times New Roman"/>
          <w:sz w:val="24"/>
          <w:szCs w:val="24"/>
        </w:rPr>
        <w:t xml:space="preserve"> </w:t>
      </w:r>
      <w:r w:rsidR="00801B6A">
        <w:rPr>
          <w:rFonts w:ascii="Times New Roman" w:eastAsia="Times New Roman" w:hAnsi="Times New Roman" w:cs="Times New Roman"/>
          <w:sz w:val="24"/>
          <w:szCs w:val="24"/>
        </w:rPr>
        <w:fldChar w:fldCharType="begin">
          <w:fldData xml:space="preserve">PEVuZE5vdGU+PENpdGU+PEF1dGhvcj5UaGFuYXBvbmdzYXRvcm48L0F1dGhvcj48WWVhcj4yMDI0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=
</w:fldData>
        </w:fldChar>
      </w:r>
      <w:r w:rsidR="006C66B5">
        <w:rPr>
          <w:rFonts w:ascii="Times New Roman" w:eastAsia="Times New Roman" w:hAnsi="Times New Roman" w:cs="Times New Roman"/>
          <w:sz w:val="24"/>
          <w:szCs w:val="24"/>
        </w:rPr>
        <w:instrText xml:space="preserve"> ADDIN EN.CITE </w:instrText>
      </w:r>
      <w:r w:rsidR="006C66B5">
        <w:rPr>
          <w:rFonts w:ascii="Times New Roman" w:eastAsia="Times New Roman" w:hAnsi="Times New Roman" w:cs="Times New Roman"/>
          <w:sz w:val="24"/>
          <w:szCs w:val="24"/>
        </w:rPr>
        <w:fldChar w:fldCharType="begin">
          <w:fldData xml:space="preserve">PEVuZE5vdGU+PENpdGU+PEF1dGhvcj5UaGFuYXBvbmdzYXRvcm48L0F1dGhvcj48WWVhcj4yMDI0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=
</w:fldData>
        </w:fldChar>
      </w:r>
      <w:r w:rsidR="006C66B5">
        <w:rPr>
          <w:rFonts w:ascii="Times New Roman" w:eastAsia="Times New Roman" w:hAnsi="Times New Roman" w:cs="Times New Roman"/>
          <w:sz w:val="24"/>
          <w:szCs w:val="24"/>
        </w:rPr>
        <w:instrText xml:space="preserve"> ADDIN EN.CITE.DATA </w:instrText>
      </w:r>
      <w:r w:rsidR="006C66B5">
        <w:rPr>
          <w:rFonts w:ascii="Times New Roman" w:eastAsia="Times New Roman" w:hAnsi="Times New Roman" w:cs="Times New Roman"/>
          <w:sz w:val="24"/>
          <w:szCs w:val="24"/>
        </w:rPr>
      </w:r>
      <w:r w:rsidR="006C66B5">
        <w:rPr>
          <w:rFonts w:ascii="Times New Roman" w:eastAsia="Times New Roman" w:hAnsi="Times New Roman" w:cs="Times New Roman"/>
          <w:sz w:val="24"/>
          <w:szCs w:val="24"/>
        </w:rPr>
        <w:fldChar w:fldCharType="end"/>
      </w:r>
      <w:r w:rsidR="00801B6A">
        <w:rPr>
          <w:rFonts w:ascii="Times New Roman" w:eastAsia="Times New Roman" w:hAnsi="Times New Roman" w:cs="Times New Roman"/>
          <w:sz w:val="24"/>
          <w:szCs w:val="24"/>
        </w:rPr>
      </w:r>
      <w:r w:rsidR="00801B6A">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2" w:tooltip="Thanapongsatorn, 2024 #494" w:history="1">
        <w:r w:rsidR="0021531C" w:rsidRPr="0021531C">
          <w:rPr>
            <w:rStyle w:val="Hyperlink"/>
          </w:rPr>
          <w:t>2</w:t>
        </w:r>
      </w:hyperlink>
      <w:r w:rsidR="006C66B5">
        <w:rPr>
          <w:rFonts w:ascii="Times New Roman" w:eastAsia="Times New Roman" w:hAnsi="Times New Roman" w:cs="Times New Roman"/>
          <w:noProof/>
          <w:sz w:val="24"/>
          <w:szCs w:val="24"/>
        </w:rPr>
        <w:t>,</w:t>
      </w:r>
      <w:hyperlink w:anchor="_ENREF_5" w:tooltip="Nilmoje, 2024 #497" w:history="1">
        <w:r w:rsidR="0021531C" w:rsidRPr="0021531C">
          <w:rPr>
            <w:rStyle w:val="Hyperlink"/>
          </w:rPr>
          <w:t>5</w:t>
        </w:r>
      </w:hyperlink>
      <w:r w:rsidR="006C66B5">
        <w:rPr>
          <w:rFonts w:ascii="Times New Roman" w:eastAsia="Times New Roman" w:hAnsi="Times New Roman" w:cs="Times New Roman"/>
          <w:noProof/>
          <w:sz w:val="24"/>
          <w:szCs w:val="24"/>
        </w:rPr>
        <w:t>,</w:t>
      </w:r>
      <w:hyperlink w:anchor="_ENREF_10" w:tooltip="Seckinger, 2022 #502" w:history="1">
        <w:r w:rsidR="0021531C" w:rsidRPr="0021531C">
          <w:rPr>
            <w:rStyle w:val="Hyperlink"/>
          </w:rPr>
          <w:t>10</w:t>
        </w:r>
      </w:hyperlink>
      <w:r w:rsidR="006C66B5">
        <w:rPr>
          <w:rFonts w:ascii="Times New Roman" w:eastAsia="Times New Roman" w:hAnsi="Times New Roman" w:cs="Times New Roman"/>
          <w:noProof/>
          <w:sz w:val="24"/>
          <w:szCs w:val="24"/>
        </w:rPr>
        <w:t>]</w:t>
      </w:r>
      <w:r w:rsidR="00801B6A">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but aligns closely with findings from Hu et al. (52.6%) </w:t>
      </w:r>
      <w:r w:rsidR="00F47339">
        <w:rPr>
          <w:rFonts w:ascii="Times New Roman" w:eastAsia="Times New Roman" w:hAnsi="Times New Roman" w:cs="Times New Roman"/>
          <w:sz w:val="24"/>
          <w:szCs w:val="24"/>
        </w:rPr>
        <w:fldChar w:fldCharType="begin"/>
      </w:r>
      <w:r w:rsidR="006C66B5">
        <w:rPr>
          <w:rFonts w:ascii="Times New Roman" w:eastAsia="Times New Roman" w:hAnsi="Times New Roman" w:cs="Times New Roman"/>
          <w:sz w:val="24"/>
          <w:szCs w:val="24"/>
        </w:rPr>
        <w:instrText xml:space="preserve"> ADDIN EN.CITE &lt;EndNote&gt;&lt;Cite&gt;&lt;Author&gt;Hu&lt;/Author&gt;&lt;Year&gt;2016&lt;/Year&gt;&lt;RecNum&gt;503&lt;/RecNum&gt;&lt;DisplayText&gt; [11]&lt;/DisplayText&gt;&lt;record&gt;&lt;rec-number&gt;503&lt;/rec-number&gt;&lt;foreign-keys&gt;&lt;key app="EN" db-id="9depddd06artptewtfnv9xa4xx9xa2v2xe0f" timestamp="1750616275"&gt;503&lt;/key&gt;&lt;/foreign-keys&gt;&lt;ref-type name="Journal Article"&gt;17&lt;/ref-type&gt;&lt;contributors&gt;&lt;authors&gt;&lt;author&gt;Hu, Wenxue&lt;/author&gt;&lt;author&gt;He, Wenna&lt;/author&gt;&lt;author&gt;Liu, Wei&lt;/author&gt;&lt;author&gt;Fang, Xiaowu&lt;/author&gt;&lt;author&gt;Wu, Yanhua&lt;/author&gt;&lt;author&gt;Yu, Feng&lt;/author&gt;&lt;author&gt;Hao, Wenke&lt;/author&gt;&lt;/authors&gt;&lt;/contributors&gt;&lt;titles&gt;&lt;title&gt;Risk factors and prognosis of cardiorenal syndrome type 1 in elderly Chinese patients: a retrospective observational cohort study&lt;/title&gt;&lt;secondary-title&gt;Kidney and Blood Pressure Research&lt;/secondary-title&gt;&lt;/titles&gt;&lt;periodical&gt;&lt;full-title&gt;Kidney and Blood Pressure Research&lt;/full-title&gt;&lt;/periodical&gt;&lt;pages&gt;672-679&lt;/pages&gt;&lt;volume&gt;41&lt;/volume&gt;&lt;number&gt;5&lt;/number&gt;&lt;dates&gt;&lt;year&gt;2016&lt;/year&gt;&lt;/dates&gt;&lt;isbn&gt;1420-4096&lt;/isbn&gt;&lt;urls&gt;&lt;/urls&gt;&lt;/record&gt;&lt;/Cite&gt;&lt;/EndNote&gt;</w:instrText>
      </w:r>
      <w:r w:rsidR="00F47339">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11" w:tooltip="Hu, 2016 #503" w:history="1">
        <w:r w:rsidR="0021531C" w:rsidRPr="0021531C">
          <w:rPr>
            <w:rStyle w:val="Hyperlink"/>
          </w:rPr>
          <w:t>11</w:t>
        </w:r>
      </w:hyperlink>
      <w:r w:rsidR="006C66B5">
        <w:rPr>
          <w:rFonts w:ascii="Times New Roman" w:eastAsia="Times New Roman" w:hAnsi="Times New Roman" w:cs="Times New Roman"/>
          <w:noProof/>
          <w:sz w:val="24"/>
          <w:szCs w:val="24"/>
        </w:rPr>
        <w:t>]</w:t>
      </w:r>
      <w:r w:rsidR="00F47339">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and the 2016 meta-analysis by Vandenberghe et al. (47.8%) </w:t>
      </w:r>
      <w:r w:rsidR="00F47339">
        <w:rPr>
          <w:rFonts w:ascii="Times New Roman" w:eastAsia="Times New Roman" w:hAnsi="Times New Roman" w:cs="Times New Roman"/>
          <w:sz w:val="24"/>
          <w:szCs w:val="24"/>
        </w:rPr>
        <w:fldChar w:fldCharType="begin">
          <w:fldData xml:space="preserve">PEVuZE5vdGU+PENpdGU+PEF1dGhvcj5WYW5kZW5iZXJnaGU8L0F1dGhvcj48WWVhcj4yMDE2PC9Z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</w:fldData>
        </w:fldChar>
      </w:r>
      <w:r w:rsidR="006C66B5">
        <w:rPr>
          <w:rFonts w:ascii="Times New Roman" w:eastAsia="Times New Roman" w:hAnsi="Times New Roman" w:cs="Times New Roman"/>
          <w:sz w:val="24"/>
          <w:szCs w:val="24"/>
        </w:rPr>
        <w:instrText xml:space="preserve"> ADDIN EN.CITE </w:instrText>
      </w:r>
      <w:r w:rsidR="006C66B5">
        <w:rPr>
          <w:rFonts w:ascii="Times New Roman" w:eastAsia="Times New Roman" w:hAnsi="Times New Roman" w:cs="Times New Roman"/>
          <w:sz w:val="24"/>
          <w:szCs w:val="24"/>
        </w:rPr>
        <w:fldChar w:fldCharType="begin">
          <w:fldData xml:space="preserve">PEVuZE5vdGU+PENpdGU+PEF1dGhvcj5WYW5kZW5iZXJnaGU8L0F1dGhvcj48WWVhcj4yMDE2PC9Z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</w:fldData>
        </w:fldChar>
      </w:r>
      <w:r w:rsidR="006C66B5">
        <w:rPr>
          <w:rFonts w:ascii="Times New Roman" w:eastAsia="Times New Roman" w:hAnsi="Times New Roman" w:cs="Times New Roman"/>
          <w:sz w:val="24"/>
          <w:szCs w:val="24"/>
        </w:rPr>
        <w:instrText xml:space="preserve"> ADDIN EN.CITE.DATA </w:instrText>
      </w:r>
      <w:r w:rsidR="006C66B5">
        <w:rPr>
          <w:rFonts w:ascii="Times New Roman" w:eastAsia="Times New Roman" w:hAnsi="Times New Roman" w:cs="Times New Roman"/>
          <w:sz w:val="24"/>
          <w:szCs w:val="24"/>
        </w:rPr>
      </w:r>
      <w:r w:rsidR="006C66B5">
        <w:rPr>
          <w:rFonts w:ascii="Times New Roman" w:eastAsia="Times New Roman" w:hAnsi="Times New Roman" w:cs="Times New Roman"/>
          <w:sz w:val="24"/>
          <w:szCs w:val="24"/>
        </w:rPr>
        <w:fldChar w:fldCharType="end"/>
      </w:r>
      <w:r w:rsidR="00F47339">
        <w:rPr>
          <w:rFonts w:ascii="Times New Roman" w:eastAsia="Times New Roman" w:hAnsi="Times New Roman" w:cs="Times New Roman"/>
          <w:sz w:val="24"/>
          <w:szCs w:val="24"/>
        </w:rPr>
      </w:r>
      <w:r w:rsidR="00F47339">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12" w:tooltip="Vandenberghe, 2016 #504" w:history="1">
        <w:r w:rsidR="0021531C" w:rsidRPr="0021531C">
          <w:rPr>
            <w:rStyle w:val="Hyperlink"/>
          </w:rPr>
          <w:t>12</w:t>
        </w:r>
      </w:hyperlink>
      <w:r w:rsidR="006C66B5">
        <w:rPr>
          <w:rFonts w:ascii="Times New Roman" w:eastAsia="Times New Roman" w:hAnsi="Times New Roman" w:cs="Times New Roman"/>
          <w:noProof/>
          <w:sz w:val="24"/>
          <w:szCs w:val="24"/>
        </w:rPr>
        <w:t>]</w:t>
      </w:r>
      <w:r w:rsidR="00F47339">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The elevated rate in our cohort likely reflects an older population, high BMI, and a substantial burden of comorbidities, particularly CKD, hypertension, and prior AKI, all of which emerged as independent predictors in our multivariate analysis. Similar demographic and comorbidity patterns have been noted in other regional and high-risk populations, suggesting that </w:t>
      </w:r>
      <w:r>
        <w:rPr>
          <w:rFonts w:ascii="Times New Roman" w:eastAsia="Times New Roman" w:hAnsi="Times New Roman" w:cs="Times New Roman"/>
          <w:sz w:val="24"/>
          <w:szCs w:val="24"/>
        </w:rPr>
        <w:t xml:space="preserve">the </w:t>
      </w:r>
      <w:r w:rsidRPr="000E67F5">
        <w:rPr>
          <w:rFonts w:ascii="Times New Roman" w:eastAsia="Times New Roman" w:hAnsi="Times New Roman" w:cs="Times New Roman"/>
          <w:sz w:val="24"/>
          <w:szCs w:val="24"/>
        </w:rPr>
        <w:t>baseline patient profile plays a central role in CRS1 prevalence.</w:t>
      </w:r>
    </w:p>
    <w:p w14:paraId="632FED79" w14:textId="05C3CBC9" w:rsidR="000E67F5" w:rsidRPr="000E67F5" w:rsidRDefault="000E67F5" w:rsidP="0021531C">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lastRenderedPageBreak/>
        <w:t xml:space="preserve">The risk factor profile identified here is consistent with previous studies, which have linked CKD, low baseline eGFR, high BUN, </w:t>
      </w:r>
      <w:r w:rsidRPr="00FA380C">
        <w:rPr>
          <w:rFonts w:ascii="Times New Roman" w:eastAsia="Times New Roman" w:hAnsi="Times New Roman" w:cs="Times New Roman"/>
          <w:sz w:val="24"/>
          <w:szCs w:val="24"/>
        </w:rPr>
        <w:t>elevated creatinine, and chronic diuretic exposure with increased CRS1 risk</w:t>
      </w:r>
      <w:r w:rsidR="0097390B">
        <w:rPr>
          <w:rFonts w:ascii="Times New Roman" w:eastAsia="Times New Roman" w:hAnsi="Times New Roman" w:cs="Times New Roman"/>
          <w:sz w:val="24"/>
          <w:szCs w:val="24"/>
        </w:rPr>
        <w:t>.</w:t>
      </w:r>
      <w:r w:rsidR="0097390B" w:rsidRPr="0097390B">
        <w:rPr>
          <w:rFonts w:ascii="Times New Roman" w:eastAsia="Times New Roman" w:hAnsi="Times New Roman" w:cs="Times New Roman"/>
          <w:sz w:val="24"/>
          <w:szCs w:val="24"/>
        </w:rPr>
        <w:t xml:space="preserve"> </w:t>
      </w:r>
      <w:r w:rsidR="0097390B">
        <w:rPr>
          <w:rFonts w:ascii="Times New Roman" w:eastAsia="Times New Roman" w:hAnsi="Times New Roman" w:cs="Times New Roman"/>
          <w:sz w:val="24"/>
          <w:szCs w:val="24"/>
        </w:rPr>
        <w:t>L</w:t>
      </w:r>
      <w:r w:rsidR="0097390B" w:rsidRPr="00FA380C">
        <w:rPr>
          <w:rFonts w:ascii="Times New Roman" w:eastAsia="Times New Roman" w:hAnsi="Times New Roman" w:cs="Times New Roman"/>
          <w:sz w:val="24"/>
          <w:szCs w:val="24"/>
        </w:rPr>
        <w:t>aboratory markers of hyperuricemia, hyponatremia, hypoalbuminemia, metabolic acidosis, and low hemoglobin and hematocrit</w:t>
      </w:r>
      <w:r w:rsidR="0097390B">
        <w:rPr>
          <w:rFonts w:ascii="Times New Roman" w:eastAsia="Times New Roman" w:hAnsi="Times New Roman" w:cs="Times New Roman"/>
          <w:sz w:val="24"/>
          <w:szCs w:val="24"/>
        </w:rPr>
        <w:t xml:space="preserve">, </w:t>
      </w:r>
      <w:r w:rsidR="0097390B" w:rsidRPr="00FA380C">
        <w:rPr>
          <w:rFonts w:ascii="Times New Roman" w:eastAsia="Times New Roman" w:hAnsi="Times New Roman" w:cs="Times New Roman"/>
          <w:sz w:val="24"/>
          <w:szCs w:val="24"/>
        </w:rPr>
        <w:t>were also more common among CRS1 patients, highlighting the interplay of renal congestion, neurohormonal</w:t>
      </w:r>
      <w:r w:rsidR="0097390B" w:rsidRPr="000E67F5">
        <w:rPr>
          <w:rFonts w:ascii="Times New Roman" w:eastAsia="Times New Roman" w:hAnsi="Times New Roman" w:cs="Times New Roman"/>
          <w:sz w:val="24"/>
          <w:szCs w:val="24"/>
        </w:rPr>
        <w:t xml:space="preserve"> activation, and impaired nutritional/metabolic status in its pathogenesis</w:t>
      </w:r>
      <w:r w:rsidR="00F47339" w:rsidRPr="00FA380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bT41MDM8L1JlY051bT48RGlzcGxheVRleHQ+wqBbMiwxMSwxM108L0Rpc3BsYXlUZXh0PjxyZWNv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bT41MDM8L1JlY051bT48RGlzcGxheVRleHQ+wqBbMiwxMSwxM108L0Rpc3BsYXlUZXh0PjxyZWNv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F47339" w:rsidRPr="00FA380C">
        <w:rPr>
          <w:rFonts w:ascii="Times New Roman" w:eastAsia="Times New Roman" w:hAnsi="Times New Roman" w:cs="Times New Roman"/>
          <w:sz w:val="24"/>
          <w:szCs w:val="24"/>
        </w:rPr>
      </w:r>
      <w:r w:rsidR="00F47339" w:rsidRPr="00FA380C">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2" w:tooltip="Thanapongsatorn, 2024 #494" w:history="1">
        <w:r w:rsidR="0021531C" w:rsidRPr="0021531C">
          <w:rPr>
            <w:rStyle w:val="Hyperlink"/>
          </w:rPr>
          <w:t>2</w:t>
        </w:r>
      </w:hyperlink>
      <w:r w:rsidR="0021531C">
        <w:rPr>
          <w:rFonts w:ascii="Times New Roman" w:eastAsia="Times New Roman" w:hAnsi="Times New Roman" w:cs="Times New Roman"/>
          <w:noProof/>
          <w:sz w:val="24"/>
          <w:szCs w:val="24"/>
        </w:rPr>
        <w:t>,</w:t>
      </w:r>
      <w:hyperlink w:anchor="_ENREF_11" w:tooltip="Hu, 2016 #503" w:history="1">
        <w:r w:rsidR="0021531C" w:rsidRPr="0021531C">
          <w:rPr>
            <w:rStyle w:val="Hyperlink"/>
          </w:rPr>
          <w:t>11</w:t>
        </w:r>
      </w:hyperlink>
      <w:r w:rsidR="0021531C">
        <w:rPr>
          <w:rFonts w:ascii="Times New Roman" w:eastAsia="Times New Roman" w:hAnsi="Times New Roman" w:cs="Times New Roman"/>
          <w:noProof/>
          <w:sz w:val="24"/>
          <w:szCs w:val="24"/>
        </w:rPr>
        <w:t>,</w:t>
      </w:r>
      <w:hyperlink w:anchor="_ENREF_13" w:tooltip="Eren, 2012 #862" w:history="1">
        <w:r w:rsidR="0021531C" w:rsidRPr="0021531C">
          <w:rPr>
            <w:rStyle w:val="Hyperlink"/>
          </w:rPr>
          <w:t>13</w:t>
        </w:r>
      </w:hyperlink>
      <w:r w:rsidR="0021531C">
        <w:rPr>
          <w:rFonts w:ascii="Times New Roman" w:eastAsia="Times New Roman" w:hAnsi="Times New Roman" w:cs="Times New Roman"/>
          <w:noProof/>
          <w:sz w:val="24"/>
          <w:szCs w:val="24"/>
        </w:rPr>
        <w:t>]</w:t>
      </w:r>
      <w:r w:rsidR="00F47339" w:rsidRPr="00FA380C">
        <w:rPr>
          <w:rFonts w:ascii="Times New Roman" w:eastAsia="Times New Roman" w:hAnsi="Times New Roman" w:cs="Times New Roman"/>
          <w:sz w:val="24"/>
          <w:szCs w:val="24"/>
        </w:rPr>
        <w:fldChar w:fldCharType="end"/>
      </w:r>
      <w:r w:rsidRPr="00FA380C">
        <w:rPr>
          <w:rFonts w:ascii="Times New Roman" w:eastAsia="Times New Roman" w:hAnsi="Times New Roman" w:cs="Times New Roman"/>
          <w:sz w:val="24"/>
          <w:szCs w:val="24"/>
        </w:rPr>
        <w:t>.</w:t>
      </w:r>
      <w:r w:rsidR="0097390B">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This constellation of abnormalities </w:t>
      </w:r>
      <w:r w:rsidR="00120875" w:rsidRPr="00120875">
        <w:rPr>
          <w:rFonts w:ascii="Times New Roman" w:eastAsia="Times New Roman" w:hAnsi="Times New Roman" w:cs="Times New Roman"/>
          <w:sz w:val="24"/>
          <w:szCs w:val="24"/>
        </w:rPr>
        <w:t>accentuates</w:t>
      </w:r>
      <w:r w:rsidRPr="000E67F5">
        <w:rPr>
          <w:rFonts w:ascii="Times New Roman" w:eastAsia="Times New Roman" w:hAnsi="Times New Roman" w:cs="Times New Roman"/>
          <w:sz w:val="24"/>
          <w:szCs w:val="24"/>
        </w:rPr>
        <w:t xml:space="preserve"> the complex bidirectional nature of heart–kidney interactions in acute decompensation.</w:t>
      </w:r>
    </w:p>
    <w:p w14:paraId="288736E6" w14:textId="57D84894" w:rsidR="000E67F5" w:rsidRPr="000E67F5" w:rsidRDefault="000E67F5" w:rsidP="0021531C">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Although mortality differences between CRS1 and NCRS patients were modest in our cohort, persistent renal dysfunction was common and clinically important. Only 52.2% of CRS1 patients achieved full renal recovery by discharge, and incomplete or absent recovery was associated with longer hospitalization and higher readmission risk, findings consistent with earlier reports </w:t>
      </w:r>
      <w:r w:rsidR="001A6F42">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bT41MDM8L1JlY051bT48RGlzcGxheVRleHQ+wqBbMTEsMTRdPC9EaXNwbGF5VGV4dD48cmVjb3Jk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bT41MDM8L1JlY051bT48RGlzcGxheVRleHQ+wqBbMTEsMTRdPC9EaXNwbGF5VGV4dD48cmVjb3Jk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1A6F42">
        <w:rPr>
          <w:rFonts w:ascii="Times New Roman" w:eastAsia="Times New Roman" w:hAnsi="Times New Roman" w:cs="Times New Roman"/>
          <w:sz w:val="24"/>
          <w:szCs w:val="24"/>
        </w:rPr>
      </w:r>
      <w:r w:rsidR="001A6F42">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1" w:tooltip="Hu, 2016 #503" w:history="1">
        <w:r w:rsidR="0021531C" w:rsidRPr="0021531C">
          <w:rPr>
            <w:rStyle w:val="Hyperlink"/>
          </w:rPr>
          <w:t>11</w:t>
        </w:r>
      </w:hyperlink>
      <w:r w:rsidR="0021531C">
        <w:rPr>
          <w:rFonts w:ascii="Times New Roman" w:eastAsia="Times New Roman" w:hAnsi="Times New Roman" w:cs="Times New Roman"/>
          <w:noProof/>
          <w:sz w:val="24"/>
          <w:szCs w:val="24"/>
        </w:rPr>
        <w:t>,</w:t>
      </w:r>
      <w:hyperlink w:anchor="_ENREF_14" w:tooltip="Duarte, 2022 #567" w:history="1">
        <w:r w:rsidR="0021531C" w:rsidRPr="0021531C">
          <w:rPr>
            <w:rStyle w:val="Hyperlink"/>
          </w:rPr>
          <w:t>14</w:t>
        </w:r>
      </w:hyperlink>
      <w:r w:rsidR="0021531C">
        <w:rPr>
          <w:rFonts w:ascii="Times New Roman" w:eastAsia="Times New Roman" w:hAnsi="Times New Roman" w:cs="Times New Roman"/>
          <w:noProof/>
          <w:sz w:val="24"/>
          <w:szCs w:val="24"/>
        </w:rPr>
        <w:t>]</w:t>
      </w:r>
      <w:r w:rsidR="001A6F42">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Our lower mortality rates compared to some prior studies may reflect a lower proportion of advanced AKI (stage 3), minimal dialysis requirement, and relatively short hospital stays in most cases. These factors, coupled with uniform care delivery within a single health system, may have mitigated early mortality despite the high comorbidity burden.</w:t>
      </w:r>
    </w:p>
    <w:p w14:paraId="6CCD703A" w14:textId="1C709A76" w:rsidR="000E67F5" w:rsidRPr="000E67F5" w:rsidRDefault="000E67F5" w:rsidP="0021531C">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Therapeutic strategies in CRS1 remain challenging. While diuretics were universally used in our cohort, ultrafiltration was rare, in keeping with guideline recommendations that reserve this approach for diuretic-resistant cases </w:t>
      </w:r>
      <w:r w:rsidR="00423056">
        <w:rPr>
          <w:rFonts w:ascii="Times New Roman" w:eastAsia="Times New Roman" w:hAnsi="Times New Roman" w:cs="Times New Roman"/>
          <w:sz w:val="24"/>
          <w:szCs w:val="24"/>
        </w:rPr>
        <w:fldChar w:fldCharType="begin">
          <w:fldData xml:space="preserve">PEVuZE5vdGU+PENpdGU+PEF1dGhvcj5SZWlzPC9BdXRob3I+PFllYXI+MjAyMzwvWWVhcj48UmVj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PEVuZE5vdGU+PENpdGU+PEF1dGhvcj5SZWlzPC9BdXRob3I+PFllYXI+MjAyMzwvWWVhcj48UmVj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5" w:tooltip="Reis, 2023 #553" w:history="1">
        <w:r w:rsidR="0021531C" w:rsidRPr="0021531C">
          <w:rPr>
            <w:rStyle w:val="Hyperlink"/>
          </w:rPr>
          <w:t>15</w:t>
        </w:r>
      </w:hyperlink>
      <w:r w:rsidR="0021531C">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The underutilization of GDMT noted here mirrors patterns reported internationally </w:t>
      </w:r>
      <w:r w:rsidR="00423056">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423056">
        <w:rPr>
          <w:rFonts w:ascii="Times New Roman" w:eastAsia="Times New Roman" w:hAnsi="Times New Roman" w:cs="Times New Roman"/>
          <w:sz w:val="24"/>
          <w:szCs w:val="24"/>
        </w:rPr>
        <w:instrText xml:space="preserve"> ADDIN EN.CITE </w:instrText>
      </w:r>
      <w:r w:rsidR="00423056">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423056">
        <w:rPr>
          <w:rFonts w:ascii="Times New Roman" w:eastAsia="Times New Roman" w:hAnsi="Times New Roman" w:cs="Times New Roman"/>
          <w:sz w:val="24"/>
          <w:szCs w:val="24"/>
        </w:rPr>
        <w:instrText xml:space="preserve"> ADDIN EN.CITE.DATA </w:instrText>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423056">
        <w:rPr>
          <w:rFonts w:ascii="Times New Roman" w:eastAsia="Times New Roman" w:hAnsi="Times New Roman" w:cs="Times New Roman"/>
          <w:noProof/>
          <w:sz w:val="24"/>
          <w:szCs w:val="24"/>
        </w:rPr>
        <w:t> [</w:t>
      </w:r>
      <w:hyperlink w:anchor="_ENREF_9" w:tooltip="Patel, 2023 #501" w:history="1">
        <w:r w:rsidR="0021531C" w:rsidRPr="0021531C">
          <w:rPr>
            <w:rStyle w:val="Hyperlink"/>
          </w:rPr>
          <w:t>9</w:t>
        </w:r>
      </w:hyperlink>
      <w:r w:rsidR="00423056">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Given its proven benefits across the heart failure spectrum </w:t>
      </w:r>
      <w:r w:rsidR="00423056">
        <w:rPr>
          <w:rFonts w:ascii="Times New Roman" w:eastAsia="Times New Roman" w:hAnsi="Times New Roman" w:cs="Times New Roman"/>
          <w:sz w:val="24"/>
          <w:szCs w:val="24"/>
        </w:rPr>
        <w:fldChar w:fldCharType="begin">
          <w:fldData xml:space="preserve">PEVuZE5vdGU+PENpdGU+PEF1dGhvcj5NY0RvbmFnaDwvQXV0aG9yPjxZZWFyPjIwMjE8L1llYXI+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PEVuZE5vdGU+PENpdGU+PEF1dGhvcj5NY0RvbmFnaDwvQXV0aG9yPjxZZWFyPjIwMjE8L1llYXI+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6" w:tooltip="McDonagh, 2021 #554" w:history="1">
        <w:r w:rsidR="0021531C" w:rsidRPr="0021531C">
          <w:rPr>
            <w:rStyle w:val="Hyperlink"/>
          </w:rPr>
          <w:t>16</w:t>
        </w:r>
      </w:hyperlink>
      <w:r w:rsidR="0021531C">
        <w:rPr>
          <w:rFonts w:ascii="Times New Roman" w:eastAsia="Times New Roman" w:hAnsi="Times New Roman" w:cs="Times New Roman"/>
          <w:noProof/>
          <w:sz w:val="24"/>
          <w:szCs w:val="24"/>
        </w:rPr>
        <w:t>,</w:t>
      </w:r>
      <w:hyperlink w:anchor="_ENREF_17" w:tooltip="Mullens, 2022 #555" w:history="1">
        <w:r w:rsidR="0021531C" w:rsidRPr="0021531C">
          <w:rPr>
            <w:rStyle w:val="Hyperlink"/>
          </w:rPr>
          <w:t>17</w:t>
        </w:r>
      </w:hyperlink>
      <w:r w:rsidR="0021531C">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optimizing GDMT use</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particularly SGLT2 inhibitors, which offer both renal and cardiovascular protection</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should be a key management priority. Greater adherence to </w:t>
      </w:r>
      <w:r w:rsidRPr="000E67F5">
        <w:rPr>
          <w:rFonts w:ascii="Times New Roman" w:eastAsia="Times New Roman" w:hAnsi="Times New Roman" w:cs="Times New Roman"/>
          <w:sz w:val="24"/>
          <w:szCs w:val="24"/>
        </w:rPr>
        <w:lastRenderedPageBreak/>
        <w:t>guideline-directed therapy in high-risk CRS1 patients could improve both renal recovery and long-term cardiovascular outcomes.</w:t>
      </w:r>
    </w:p>
    <w:p w14:paraId="52D9D093" w14:textId="33863DA3" w:rsidR="000E67F5" w:rsidRPr="000E67F5" w:rsidRDefault="000E67F5" w:rsidP="0021531C">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The six-month outcomes in this study</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a mortality rate of </w:t>
      </w:r>
      <w:r w:rsidR="00801228">
        <w:rPr>
          <w:rFonts w:ascii="Times New Roman" w:eastAsia="Times New Roman" w:hAnsi="Times New Roman" w:cs="Times New Roman"/>
          <w:sz w:val="24"/>
          <w:szCs w:val="24"/>
        </w:rPr>
        <w:t>53.7</w:t>
      </w:r>
      <w:r w:rsidRPr="000E67F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 </w:t>
      </w:r>
      <w:r w:rsidRPr="000E67F5">
        <w:rPr>
          <w:rFonts w:ascii="Times New Roman" w:eastAsia="Times New Roman" w:hAnsi="Times New Roman" w:cs="Times New Roman"/>
          <w:sz w:val="24"/>
          <w:szCs w:val="24"/>
        </w:rPr>
        <w:t>rehospitalization rate of 6</w:t>
      </w:r>
      <w:r w:rsidR="00801228">
        <w:rPr>
          <w:rFonts w:ascii="Times New Roman" w:eastAsia="Times New Roman" w:hAnsi="Times New Roman" w:cs="Times New Roman"/>
          <w:sz w:val="24"/>
          <w:szCs w:val="24"/>
        </w:rPr>
        <w:t>0</w:t>
      </w:r>
      <w:r w:rsidRPr="000E6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were </w:t>
      </w:r>
      <w:r w:rsidR="00801228">
        <w:rPr>
          <w:rFonts w:ascii="Times New Roman" w:eastAsia="Times New Roman" w:hAnsi="Times New Roman" w:cs="Times New Roman"/>
          <w:sz w:val="24"/>
          <w:szCs w:val="24"/>
        </w:rPr>
        <w:t>higher</w:t>
      </w:r>
      <w:r w:rsidRPr="000E67F5">
        <w:rPr>
          <w:rFonts w:ascii="Times New Roman" w:eastAsia="Times New Roman" w:hAnsi="Times New Roman" w:cs="Times New Roman"/>
          <w:sz w:val="24"/>
          <w:szCs w:val="24"/>
        </w:rPr>
        <w:t xml:space="preserve"> than the one-year figures reported by Thanapongsatorn et al. (25.2% and 43.5%, respectively) </w:t>
      </w:r>
      <w:r w:rsidR="00423056">
        <w:rPr>
          <w:rFonts w:ascii="Times New Roman" w:eastAsia="Times New Roman" w:hAnsi="Times New Roman" w:cs="Times New Roman"/>
          <w:sz w:val="24"/>
          <w:szCs w:val="24"/>
        </w:rPr>
        <w:fldChar w:fldCharType="begin"/>
      </w:r>
      <w:r w:rsidR="00423056">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423056">
        <w:rPr>
          <w:rFonts w:ascii="Times New Roman" w:eastAsia="Times New Roman" w:hAnsi="Times New Roman" w:cs="Times New Roman"/>
          <w:sz w:val="24"/>
          <w:szCs w:val="24"/>
        </w:rPr>
        <w:fldChar w:fldCharType="separate"/>
      </w:r>
      <w:r w:rsidR="00423056">
        <w:rPr>
          <w:rFonts w:ascii="Times New Roman" w:eastAsia="Times New Roman" w:hAnsi="Times New Roman" w:cs="Times New Roman"/>
          <w:noProof/>
          <w:sz w:val="24"/>
          <w:szCs w:val="24"/>
        </w:rPr>
        <w:t> [</w:t>
      </w:r>
      <w:hyperlink w:anchor="_ENREF_2" w:tooltip="Thanapongsatorn, 2024 #494" w:history="1">
        <w:r w:rsidR="0021531C" w:rsidRPr="0021531C">
          <w:rPr>
            <w:rStyle w:val="Hyperlink"/>
          </w:rPr>
          <w:t>2</w:t>
        </w:r>
      </w:hyperlink>
      <w:r w:rsidR="00423056">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Nonetheless, the significantly higher early rehospitalization rate (within two months) in CRS1 patients highlights the need for intensified post-discharge monitoring and proactive management, including early outpatient follow-up and optimization of both cardiac and renal care.</w:t>
      </w:r>
    </w:p>
    <w:p w14:paraId="3820AAF8" w14:textId="550462C6" w:rsidR="00772CF4" w:rsidRPr="00772CF4" w:rsidRDefault="000E67F5" w:rsidP="004B6F20">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A major strength of this study is the homogeneity of the patient population, all treated within the same healthcare system, which minimizes variability in management protocols and access to care. Additionally, the use of multivariate modeling allowed for the identification of independent predictors beyond univariate associations, adding robustness to the findings.</w:t>
      </w:r>
    </w:p>
    <w:p w14:paraId="08F6B8F7" w14:textId="7A9781FC" w:rsidR="00D66227" w:rsidRPr="00D66227" w:rsidRDefault="00772CF4" w:rsidP="00D66227">
      <w:pPr>
        <w:spacing w:before="100" w:beforeAutospacing="1" w:after="100" w:afterAutospacing="1" w:line="480" w:lineRule="auto"/>
        <w:jc w:val="both"/>
        <w:rPr>
          <w:rFonts w:ascii="Times New Roman" w:eastAsia="Times New Roman" w:hAnsi="Times New Roman" w:cs="Times New Roman"/>
          <w:sz w:val="24"/>
          <w:szCs w:val="24"/>
        </w:rPr>
      </w:pPr>
      <w:r w:rsidRPr="00772CF4">
        <w:rPr>
          <w:rFonts w:ascii="Times New Roman" w:eastAsia="Times New Roman" w:hAnsi="Times New Roman" w:cs="Times New Roman"/>
          <w:sz w:val="24"/>
          <w:szCs w:val="24"/>
        </w:rPr>
        <w:t>However, the study’s retrospective single-center design limits causal inference and generalizability. The focus on ADHF-related CRS1 excludes other clinical scenarios of CRS, and the six-month follow-up may underestimate long-term adverse outcomes. Data on certain potential prognostic variables</w:t>
      </w:r>
      <w:r>
        <w:rPr>
          <w:rFonts w:ascii="Times New Roman" w:eastAsia="Times New Roman" w:hAnsi="Times New Roman" w:cs="Times New Roman"/>
          <w:sz w:val="24"/>
          <w:szCs w:val="24"/>
        </w:rPr>
        <w:t xml:space="preserve">, </w:t>
      </w:r>
      <w:r w:rsidRPr="00772CF4">
        <w:rPr>
          <w:rFonts w:ascii="Times New Roman" w:eastAsia="Times New Roman" w:hAnsi="Times New Roman" w:cs="Times New Roman"/>
          <w:sz w:val="24"/>
          <w:szCs w:val="24"/>
        </w:rPr>
        <w:t>such as longitudinal medication adherence, outpatient diuretic adjustments, and markers of congestion</w:t>
      </w:r>
      <w:r>
        <w:rPr>
          <w:rFonts w:ascii="Times New Roman" w:eastAsia="Times New Roman" w:hAnsi="Times New Roman" w:cs="Times New Roman"/>
          <w:sz w:val="24"/>
          <w:szCs w:val="24"/>
        </w:rPr>
        <w:t xml:space="preserve">, </w:t>
      </w:r>
      <w:r w:rsidRPr="00772CF4">
        <w:rPr>
          <w:rFonts w:ascii="Times New Roman" w:eastAsia="Times New Roman" w:hAnsi="Times New Roman" w:cs="Times New Roman"/>
          <w:sz w:val="24"/>
          <w:szCs w:val="24"/>
        </w:rPr>
        <w:t>were not available, which may have influenced event rates. Prospective multicenter studies with extended follow-up are warranted to confirm these findings, validate the identified predictors, and evaluate targeted interventions aimed at improving renal recovery and reducing hospital readmissions in this high-risk population.</w:t>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p>
    <w:p w14:paraId="6B4BC36B" w14:textId="3C4C54B4" w:rsidR="00DF3B65" w:rsidRDefault="00DF3B65"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 xml:space="preserve">Conclusion </w:t>
      </w:r>
    </w:p>
    <w:p w14:paraId="0A0EFB25" w14:textId="31A69E9C" w:rsidR="009B6F89" w:rsidRPr="009B6F89" w:rsidRDefault="00D15178" w:rsidP="00D66227">
      <w:pPr>
        <w:spacing w:before="100" w:beforeAutospacing="1" w:after="100" w:afterAutospacing="1" w:line="480" w:lineRule="auto"/>
        <w:jc w:val="both"/>
        <w:rPr>
          <w:rFonts w:ascii="Times New Roman" w:eastAsia="Times New Roman" w:hAnsi="Times New Roman" w:cs="Times New Roman"/>
          <w:sz w:val="24"/>
          <w:szCs w:val="24"/>
        </w:rPr>
      </w:pPr>
      <w:r w:rsidRPr="00D15178">
        <w:rPr>
          <w:rFonts w:ascii="Times New Roman" w:eastAsia="Times New Roman" w:hAnsi="Times New Roman" w:cs="Times New Roman"/>
          <w:sz w:val="24"/>
          <w:szCs w:val="24"/>
        </w:rPr>
        <w:lastRenderedPageBreak/>
        <w:t xml:space="preserve">In this large single-center cohort, more than half of patients hospitalized with acute decompensated heart failure developed cardiorenal syndrome type 1, with CKD, hypertension, prior AKI, </w:t>
      </w:r>
      <w:r w:rsidR="008D01FD">
        <w:rPr>
          <w:rFonts w:ascii="Times New Roman" w:eastAsia="Times New Roman" w:hAnsi="Times New Roman" w:cs="Times New Roman"/>
          <w:sz w:val="24"/>
          <w:szCs w:val="24"/>
        </w:rPr>
        <w:t xml:space="preserve">COPD, </w:t>
      </w:r>
      <w:r w:rsidRPr="00D15178">
        <w:rPr>
          <w:rFonts w:ascii="Times New Roman" w:eastAsia="Times New Roman" w:hAnsi="Times New Roman" w:cs="Times New Roman"/>
          <w:sz w:val="24"/>
          <w:szCs w:val="24"/>
        </w:rPr>
        <w:t xml:space="preserve">and elevated BMI as prominent risk factors. Although short-term mortality differences between CRS1 and non-CRS patients were modest, incomplete renal recovery was common and strongly associated with longer hospitalization and higher readmission rates. Laboratory markers such as hypoalbuminemia, </w:t>
      </w:r>
      <w:r w:rsidR="005F3941">
        <w:rPr>
          <w:rFonts w:ascii="Times New Roman" w:eastAsia="Times New Roman" w:hAnsi="Times New Roman" w:cs="Times New Roman"/>
          <w:sz w:val="24"/>
          <w:szCs w:val="24"/>
        </w:rPr>
        <w:t xml:space="preserve">anemia, </w:t>
      </w:r>
      <w:r w:rsidRPr="00D15178">
        <w:rPr>
          <w:rFonts w:ascii="Times New Roman" w:eastAsia="Times New Roman" w:hAnsi="Times New Roman" w:cs="Times New Roman"/>
          <w:sz w:val="24"/>
          <w:szCs w:val="24"/>
        </w:rPr>
        <w:t>hyponatremia, and metabolic acidosis further identified patients at risk of poor outcomes.</w:t>
      </w:r>
      <w:r w:rsidR="00D66227">
        <w:rPr>
          <w:rFonts w:ascii="Times New Roman" w:eastAsia="Times New Roman" w:hAnsi="Times New Roman" w:cs="Times New Roman"/>
          <w:sz w:val="24"/>
          <w:szCs w:val="24"/>
        </w:rPr>
        <w:t xml:space="preserve"> </w:t>
      </w:r>
      <w:r w:rsidRPr="00D15178">
        <w:rPr>
          <w:rFonts w:ascii="Times New Roman" w:eastAsia="Times New Roman" w:hAnsi="Times New Roman" w:cs="Times New Roman"/>
          <w:sz w:val="24"/>
          <w:szCs w:val="24"/>
        </w:rPr>
        <w:t>Early recognition of high-risk patients, aggressive optimization of guideline-directed medical therapy, and close post-discharge monitoring may improve prognosis in this vulnerable group. Future prospective multicenter studies with longer follow-up are needed to validate these findings, identify modifiable predictors, and refine management strategies aimed at enhancing renal recovery and reducing recurrent hospitalization</w:t>
      </w:r>
      <w:r>
        <w:rPr>
          <w:rFonts w:ascii="Times New Roman" w:eastAsia="Times New Roman" w:hAnsi="Times New Roman" w:cs="Times New Roman"/>
          <w:sz w:val="24"/>
          <w:szCs w:val="24"/>
        </w:rPr>
        <w:t>.</w:t>
      </w:r>
    </w:p>
    <w:p w14:paraId="2297E79B" w14:textId="07AF9128" w:rsidR="001D004E" w:rsidRDefault="001D004E" w:rsidP="00CD04AF">
      <w:pPr>
        <w:spacing w:before="100" w:beforeAutospacing="1" w:after="100" w:afterAutospacing="1" w:line="480" w:lineRule="auto"/>
        <w:jc w:val="both"/>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 xml:space="preserve">Conflicts of interest </w:t>
      </w:r>
    </w:p>
    <w:p w14:paraId="578AD67D" w14:textId="7BC57E8C" w:rsidR="008714C7" w:rsidRPr="008714C7" w:rsidRDefault="008714C7" w:rsidP="009B6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Bidi" w:hAnsiTheme="majorBidi" w:cstheme="majorBidi"/>
          <w:sz w:val="24"/>
          <w:szCs w:val="24"/>
        </w:rPr>
      </w:pPr>
      <w:r w:rsidRPr="008714C7">
        <w:rPr>
          <w:rFonts w:asciiTheme="majorBidi" w:hAnsiTheme="majorBidi" w:cstheme="majorBidi"/>
          <w:bCs/>
          <w:sz w:val="24"/>
          <w:szCs w:val="24"/>
        </w:rPr>
        <w:t>The authors acknowledge no financial or other conflicts of interest.</w:t>
      </w:r>
      <w:r w:rsidRPr="008714C7">
        <w:rPr>
          <w:rFonts w:asciiTheme="majorBidi" w:hAnsiTheme="majorBidi" w:cstheme="majorBidi"/>
          <w:sz w:val="24"/>
          <w:szCs w:val="24"/>
        </w:rPr>
        <w:t xml:space="preserve"> </w:t>
      </w:r>
    </w:p>
    <w:p w14:paraId="4FC77D38" w14:textId="37B3AFA1" w:rsidR="00FE2848" w:rsidRPr="00BA702A" w:rsidRDefault="00252253" w:rsidP="00BA702A">
      <w:pPr>
        <w:spacing w:before="100" w:beforeAutospacing="1" w:after="100" w:afterAutospacing="1" w:line="480" w:lineRule="auto"/>
        <w:jc w:val="both"/>
        <w:rPr>
          <w:rFonts w:asciiTheme="majorBidi" w:eastAsia="Times New Roman" w:hAnsiTheme="majorBidi" w:cstheme="majorBidi"/>
          <w:b/>
          <w:bCs/>
          <w:sz w:val="24"/>
          <w:szCs w:val="24"/>
          <w:u w:val="single"/>
        </w:rPr>
      </w:pPr>
      <w:r w:rsidRPr="00252253">
        <w:rPr>
          <w:rFonts w:asciiTheme="majorBidi" w:eastAsia="Times New Roman" w:hAnsiTheme="majorBidi" w:cstheme="majorBidi"/>
          <w:b/>
          <w:bCs/>
          <w:sz w:val="24"/>
          <w:szCs w:val="24"/>
          <w:u w:val="single"/>
        </w:rPr>
        <w:t>Reference</w:t>
      </w:r>
      <w:r>
        <w:rPr>
          <w:rFonts w:asciiTheme="majorBidi" w:eastAsia="Times New Roman" w:hAnsiTheme="majorBidi" w:cstheme="majorBidi"/>
          <w:b/>
          <w:bCs/>
          <w:sz w:val="24"/>
          <w:szCs w:val="24"/>
          <w:u w:val="single"/>
        </w:rPr>
        <w:t>s</w:t>
      </w:r>
      <w:r w:rsidRPr="00252253">
        <w:rPr>
          <w:rFonts w:asciiTheme="majorBidi" w:eastAsia="Times New Roman" w:hAnsiTheme="majorBidi" w:cstheme="majorBidi"/>
          <w:b/>
          <w:bCs/>
          <w:sz w:val="24"/>
          <w:szCs w:val="24"/>
          <w:u w:val="single"/>
        </w:rPr>
        <w:t>:</w:t>
      </w:r>
    </w:p>
    <w:p w14:paraId="57839772" w14:textId="77777777" w:rsidR="0021531C" w:rsidRPr="0021531C" w:rsidRDefault="00FE2848" w:rsidP="0021531C">
      <w:pPr>
        <w:pStyle w:val="EndNoteBibliography"/>
        <w:spacing w:after="0"/>
        <w:ind w:left="720" w:hanging="720"/>
        <w:rPr>
          <w:noProof/>
        </w:rPr>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bookmarkStart w:id="3" w:name="_ENREF_1"/>
      <w:r w:rsidR="0021531C" w:rsidRPr="0021531C">
        <w:rPr>
          <w:noProof/>
        </w:rPr>
        <w:t>1.</w:t>
      </w:r>
      <w:r w:rsidR="0021531C" w:rsidRPr="0021531C">
        <w:rPr>
          <w:noProof/>
        </w:rPr>
        <w:tab/>
        <w:t xml:space="preserve">Ronco C, Bellasi A, Di Lullo L. Cardiorenal syndrome: an overview. </w:t>
      </w:r>
      <w:r w:rsidR="0021531C" w:rsidRPr="0021531C">
        <w:rPr>
          <w:i/>
          <w:noProof/>
        </w:rPr>
        <w:t>Advances in chronic kidney disease</w:t>
      </w:r>
      <w:r w:rsidR="0021531C" w:rsidRPr="0021531C">
        <w:rPr>
          <w:noProof/>
        </w:rPr>
        <w:t xml:space="preserve"> 2018;25:382-390.</w:t>
      </w:r>
      <w:bookmarkEnd w:id="3"/>
    </w:p>
    <w:p w14:paraId="490CCC6B" w14:textId="77777777" w:rsidR="0021531C" w:rsidRPr="0021531C" w:rsidRDefault="0021531C" w:rsidP="0021531C">
      <w:pPr>
        <w:pStyle w:val="EndNoteBibliography"/>
        <w:spacing w:after="0"/>
        <w:ind w:left="720" w:hanging="720"/>
        <w:rPr>
          <w:noProof/>
        </w:rPr>
      </w:pPr>
      <w:bookmarkStart w:id="4" w:name="_ENREF_2"/>
      <w:r w:rsidRPr="0021531C">
        <w:rPr>
          <w:noProof/>
        </w:rPr>
        <w:t>2.</w:t>
      </w:r>
      <w:r w:rsidRPr="0021531C">
        <w:rPr>
          <w:noProof/>
        </w:rPr>
        <w:tab/>
        <w:t xml:space="preserve">Thanapongsatorn P, Tanomchartchai A, Assavahanrit J. Long-term outcomes of acute kidney injury in acute decompensated heart failure: identifying true cardiorenal syndrome and unveiling prognostic significance. </w:t>
      </w:r>
      <w:r w:rsidRPr="0021531C">
        <w:rPr>
          <w:i/>
          <w:noProof/>
        </w:rPr>
        <w:t>Kidney Research and Clinical Practice</w:t>
      </w:r>
      <w:r w:rsidRPr="0021531C">
        <w:rPr>
          <w:noProof/>
        </w:rPr>
        <w:t xml:space="preserve"> 2024;43:480.</w:t>
      </w:r>
      <w:bookmarkEnd w:id="4"/>
    </w:p>
    <w:p w14:paraId="5A439F90" w14:textId="77777777" w:rsidR="0021531C" w:rsidRPr="0021531C" w:rsidRDefault="0021531C" w:rsidP="0021531C">
      <w:pPr>
        <w:pStyle w:val="EndNoteBibliography"/>
        <w:spacing w:after="0"/>
        <w:ind w:left="720" w:hanging="720"/>
        <w:rPr>
          <w:noProof/>
        </w:rPr>
      </w:pPr>
      <w:bookmarkStart w:id="5" w:name="_ENREF_3"/>
      <w:r w:rsidRPr="0021531C">
        <w:rPr>
          <w:noProof/>
        </w:rPr>
        <w:t>3.</w:t>
      </w:r>
      <w:r w:rsidRPr="0021531C">
        <w:rPr>
          <w:noProof/>
        </w:rPr>
        <w:tab/>
        <w:t xml:space="preserve">Banerjee D, Ali MA, Wang AY-M, Jha V. Acute kidney injury in acute heart failure–when to worry and when not to worry? </w:t>
      </w:r>
      <w:r w:rsidRPr="0021531C">
        <w:rPr>
          <w:i/>
          <w:noProof/>
        </w:rPr>
        <w:t>Nephrology Dialysis Transplantation</w:t>
      </w:r>
      <w:r w:rsidRPr="0021531C">
        <w:rPr>
          <w:noProof/>
        </w:rPr>
        <w:t xml:space="preserve"> 2024;40:10-18.</w:t>
      </w:r>
      <w:bookmarkEnd w:id="5"/>
    </w:p>
    <w:p w14:paraId="00A2887D" w14:textId="1E21FE6D" w:rsidR="0021531C" w:rsidRPr="0021531C" w:rsidRDefault="0021531C" w:rsidP="0021531C">
      <w:pPr>
        <w:pStyle w:val="EndNoteBibliography"/>
        <w:spacing w:after="0"/>
        <w:ind w:left="720" w:hanging="720"/>
        <w:rPr>
          <w:noProof/>
        </w:rPr>
      </w:pPr>
      <w:bookmarkStart w:id="6" w:name="_ENREF_4"/>
      <w:r w:rsidRPr="0021531C">
        <w:rPr>
          <w:noProof/>
        </w:rPr>
        <w:t>4.</w:t>
      </w:r>
      <w:r w:rsidRPr="0021531C">
        <w:rPr>
          <w:noProof/>
        </w:rPr>
        <w:tab/>
        <w:t xml:space="preserve">Goyal A DP, Hashmi MF, et al. Acute Kidney Injury. </w:t>
      </w:r>
      <w:r w:rsidRPr="0021531C">
        <w:rPr>
          <w:i/>
          <w:noProof/>
        </w:rPr>
        <w:t>StatPearls [Internet]</w:t>
      </w:r>
      <w:r w:rsidRPr="0021531C">
        <w:rPr>
          <w:noProof/>
        </w:rPr>
        <w:t xml:space="preserve"> 2023. DOI: </w:t>
      </w:r>
      <w:hyperlink r:id="rId8" w:history="1">
        <w:r w:rsidRPr="0021531C">
          <w:rPr>
            <w:rStyle w:val="Hyperlink"/>
            <w:noProof/>
          </w:rPr>
          <w:t>https://www.ncbi.nlm.nih.gov/books/NBK441896/</w:t>
        </w:r>
      </w:hyperlink>
      <w:r w:rsidRPr="0021531C">
        <w:rPr>
          <w:noProof/>
        </w:rPr>
        <w:t>.</w:t>
      </w:r>
      <w:bookmarkEnd w:id="6"/>
    </w:p>
    <w:p w14:paraId="3B83F7ED" w14:textId="77777777" w:rsidR="0021531C" w:rsidRPr="0021531C" w:rsidRDefault="0021531C" w:rsidP="0021531C">
      <w:pPr>
        <w:pStyle w:val="EndNoteBibliography"/>
        <w:spacing w:after="0"/>
        <w:ind w:left="720" w:hanging="720"/>
        <w:rPr>
          <w:noProof/>
        </w:rPr>
      </w:pPr>
      <w:bookmarkStart w:id="7" w:name="_ENREF_5"/>
      <w:r w:rsidRPr="0021531C">
        <w:rPr>
          <w:noProof/>
        </w:rPr>
        <w:t>5.</w:t>
      </w:r>
      <w:r w:rsidRPr="0021531C">
        <w:rPr>
          <w:noProof/>
        </w:rPr>
        <w:tab/>
        <w:t xml:space="preserve">Nilmoje T, Pongborriboon D, Boonsrirat U, Konwai S, Praditau-Krit S, Phongphithakchai A. Prognosis and factors affecting mortality in patients with acute kidney injury due to cardiorenal syndrome type 1 treated with sustained low-efficiency dialysis. </w:t>
      </w:r>
      <w:r w:rsidRPr="0021531C">
        <w:rPr>
          <w:i/>
          <w:noProof/>
        </w:rPr>
        <w:t>Journal of Nephropharmacology</w:t>
      </w:r>
      <w:r w:rsidRPr="0021531C">
        <w:rPr>
          <w:noProof/>
        </w:rPr>
        <w:t xml:space="preserve"> 2024;13:e12686-e12686.</w:t>
      </w:r>
      <w:bookmarkEnd w:id="7"/>
    </w:p>
    <w:p w14:paraId="700ABB33" w14:textId="77777777" w:rsidR="0021531C" w:rsidRPr="0021531C" w:rsidRDefault="0021531C" w:rsidP="0021531C">
      <w:pPr>
        <w:pStyle w:val="EndNoteBibliography"/>
        <w:spacing w:after="0"/>
        <w:ind w:left="720" w:hanging="720"/>
        <w:rPr>
          <w:noProof/>
        </w:rPr>
      </w:pPr>
      <w:bookmarkStart w:id="8" w:name="_ENREF_6"/>
      <w:r w:rsidRPr="0021531C">
        <w:rPr>
          <w:noProof/>
        </w:rPr>
        <w:t>6.</w:t>
      </w:r>
      <w:r w:rsidRPr="0021531C">
        <w:rPr>
          <w:noProof/>
        </w:rPr>
        <w:tab/>
        <w:t xml:space="preserve">Lim SY, Kim S. Pathophysiology of Cardiorenal Syndrome and Use of Diuretics and Ultrafiltration as Volume Control. </w:t>
      </w:r>
      <w:r w:rsidRPr="0021531C">
        <w:rPr>
          <w:i/>
          <w:noProof/>
        </w:rPr>
        <w:t>Korean Circ J</w:t>
      </w:r>
      <w:r w:rsidRPr="0021531C">
        <w:rPr>
          <w:noProof/>
        </w:rPr>
        <w:t xml:space="preserve"> 2021;51:656-667.</w:t>
      </w:r>
      <w:bookmarkEnd w:id="8"/>
    </w:p>
    <w:p w14:paraId="7B3B6DF7" w14:textId="77777777" w:rsidR="0021531C" w:rsidRPr="0021531C" w:rsidRDefault="0021531C" w:rsidP="0021531C">
      <w:pPr>
        <w:pStyle w:val="EndNoteBibliography"/>
        <w:spacing w:after="0"/>
        <w:ind w:left="720" w:hanging="720"/>
        <w:rPr>
          <w:noProof/>
        </w:rPr>
      </w:pPr>
      <w:bookmarkStart w:id="9" w:name="_ENREF_7"/>
      <w:r w:rsidRPr="0021531C">
        <w:rPr>
          <w:noProof/>
        </w:rPr>
        <w:lastRenderedPageBreak/>
        <w:t>7.</w:t>
      </w:r>
      <w:r w:rsidRPr="0021531C">
        <w:rPr>
          <w:noProof/>
        </w:rPr>
        <w:tab/>
        <w:t xml:space="preserve">Heidenreich PA, Bozkurt B, Aguilar D, et al. 2022 AHA/ACC/HFSA guideline for the management of heart failure: a report of the American College of Cardiology/American Heart Association Joint Committee on Clinical Practice Guidelines. </w:t>
      </w:r>
      <w:r w:rsidRPr="0021531C">
        <w:rPr>
          <w:i/>
          <w:noProof/>
        </w:rPr>
        <w:t>Journal of the American College of Cardiology</w:t>
      </w:r>
      <w:r w:rsidRPr="0021531C">
        <w:rPr>
          <w:noProof/>
        </w:rPr>
        <w:t xml:space="preserve"> 2022;79:e263-e421.</w:t>
      </w:r>
      <w:bookmarkEnd w:id="9"/>
    </w:p>
    <w:p w14:paraId="75409065" w14:textId="77777777" w:rsidR="0021531C" w:rsidRPr="0021531C" w:rsidRDefault="0021531C" w:rsidP="0021531C">
      <w:pPr>
        <w:pStyle w:val="EndNoteBibliography"/>
        <w:spacing w:after="0"/>
        <w:ind w:left="720" w:hanging="720"/>
        <w:rPr>
          <w:noProof/>
        </w:rPr>
      </w:pPr>
      <w:bookmarkStart w:id="10" w:name="_ENREF_8"/>
      <w:r w:rsidRPr="0021531C">
        <w:rPr>
          <w:noProof/>
        </w:rPr>
        <w:t>8.</w:t>
      </w:r>
      <w:r w:rsidRPr="0021531C">
        <w:rPr>
          <w:noProof/>
        </w:rPr>
        <w:tab/>
        <w:t>Azancot Rivero MA, Soler Romeo MJ, Méndez Fernández AB. New aspects in cardiorenal syndrome and HFpEF. 2022.</w:t>
      </w:r>
      <w:bookmarkEnd w:id="10"/>
    </w:p>
    <w:p w14:paraId="4CB0BEB6" w14:textId="77777777" w:rsidR="0021531C" w:rsidRPr="0021531C" w:rsidRDefault="0021531C" w:rsidP="0021531C">
      <w:pPr>
        <w:pStyle w:val="EndNoteBibliography"/>
        <w:spacing w:after="0"/>
        <w:ind w:left="720" w:hanging="720"/>
        <w:rPr>
          <w:noProof/>
        </w:rPr>
      </w:pPr>
      <w:bookmarkStart w:id="11" w:name="_ENREF_9"/>
      <w:r w:rsidRPr="0021531C">
        <w:rPr>
          <w:noProof/>
        </w:rPr>
        <w:t>9.</w:t>
      </w:r>
      <w:r w:rsidRPr="0021531C">
        <w:rPr>
          <w:noProof/>
        </w:rPr>
        <w:tab/>
        <w:t xml:space="preserve">Patel J, Rassekh N, Fonarow GC, et al. Guideline-Directed Medical Therapy for the Treatment of Heart Failure with Reduced Ejection Fraction. </w:t>
      </w:r>
      <w:r w:rsidRPr="0021531C">
        <w:rPr>
          <w:i/>
          <w:noProof/>
        </w:rPr>
        <w:t>Drugs</w:t>
      </w:r>
      <w:r w:rsidRPr="0021531C">
        <w:rPr>
          <w:noProof/>
        </w:rPr>
        <w:t xml:space="preserve"> 2023;83:747-759.</w:t>
      </w:r>
      <w:bookmarkEnd w:id="11"/>
    </w:p>
    <w:p w14:paraId="0E651973" w14:textId="77777777" w:rsidR="0021531C" w:rsidRPr="0021531C" w:rsidRDefault="0021531C" w:rsidP="0021531C">
      <w:pPr>
        <w:pStyle w:val="EndNoteBibliography"/>
        <w:spacing w:after="0"/>
        <w:ind w:left="720" w:hanging="720"/>
        <w:rPr>
          <w:noProof/>
        </w:rPr>
      </w:pPr>
      <w:bookmarkStart w:id="12" w:name="_ENREF_10"/>
      <w:r w:rsidRPr="0021531C">
        <w:rPr>
          <w:noProof/>
        </w:rPr>
        <w:t>10.</w:t>
      </w:r>
      <w:r w:rsidRPr="0021531C">
        <w:rPr>
          <w:noProof/>
        </w:rPr>
        <w:tab/>
        <w:t xml:space="preserve">Seckinger D, Ritter O, Patschan D. Risk factors and outcome variables of cardiorenal syndrome type 1 from the nephrologist's perspective. </w:t>
      </w:r>
      <w:r w:rsidRPr="0021531C">
        <w:rPr>
          <w:i/>
          <w:noProof/>
        </w:rPr>
        <w:t>Int Urol Nephrol</w:t>
      </w:r>
      <w:r w:rsidRPr="0021531C">
        <w:rPr>
          <w:noProof/>
        </w:rPr>
        <w:t xml:space="preserve"> 2022;54:1591-1601.</w:t>
      </w:r>
      <w:bookmarkEnd w:id="12"/>
    </w:p>
    <w:p w14:paraId="646F52E3" w14:textId="77777777" w:rsidR="0021531C" w:rsidRPr="0021531C" w:rsidRDefault="0021531C" w:rsidP="0021531C">
      <w:pPr>
        <w:pStyle w:val="EndNoteBibliography"/>
        <w:spacing w:after="0"/>
        <w:ind w:left="720" w:hanging="720"/>
        <w:rPr>
          <w:noProof/>
        </w:rPr>
      </w:pPr>
      <w:bookmarkStart w:id="13" w:name="_ENREF_11"/>
      <w:r w:rsidRPr="0021531C">
        <w:rPr>
          <w:noProof/>
        </w:rPr>
        <w:t>11.</w:t>
      </w:r>
      <w:r w:rsidRPr="0021531C">
        <w:rPr>
          <w:noProof/>
        </w:rPr>
        <w:tab/>
        <w:t xml:space="preserve">Hu W, He W, Liu W, et al. Risk factors and prognosis of cardiorenal syndrome type 1 in elderly Chinese patients: a retrospective observational cohort study. </w:t>
      </w:r>
      <w:r w:rsidRPr="0021531C">
        <w:rPr>
          <w:i/>
          <w:noProof/>
        </w:rPr>
        <w:t>Kidney and Blood Pressure Research</w:t>
      </w:r>
      <w:r w:rsidRPr="0021531C">
        <w:rPr>
          <w:noProof/>
        </w:rPr>
        <w:t xml:space="preserve"> 2016;41:672-679.</w:t>
      </w:r>
      <w:bookmarkEnd w:id="13"/>
    </w:p>
    <w:p w14:paraId="6CEDA120" w14:textId="77777777" w:rsidR="0021531C" w:rsidRPr="0021531C" w:rsidRDefault="0021531C" w:rsidP="0021531C">
      <w:pPr>
        <w:pStyle w:val="EndNoteBibliography"/>
        <w:spacing w:after="0"/>
        <w:ind w:left="720" w:hanging="720"/>
        <w:rPr>
          <w:noProof/>
        </w:rPr>
      </w:pPr>
      <w:bookmarkStart w:id="14" w:name="_ENREF_12"/>
      <w:r w:rsidRPr="0021531C">
        <w:rPr>
          <w:noProof/>
        </w:rPr>
        <w:t>12.</w:t>
      </w:r>
      <w:r w:rsidRPr="0021531C">
        <w:rPr>
          <w:noProof/>
        </w:rPr>
        <w:tab/>
        <w:t xml:space="preserve">Vandenberghe W, Gevaert S, Kellum JA, et al. Acute Kidney Injury in Cardiorenal Syndrome Type 1 Patients: A Systematic Review and Meta-Analysis. </w:t>
      </w:r>
      <w:r w:rsidRPr="0021531C">
        <w:rPr>
          <w:i/>
          <w:noProof/>
        </w:rPr>
        <w:t>Cardiorenal Med</w:t>
      </w:r>
      <w:r w:rsidRPr="0021531C">
        <w:rPr>
          <w:noProof/>
        </w:rPr>
        <w:t xml:space="preserve"> 2016;6:116-128.</w:t>
      </w:r>
      <w:bookmarkEnd w:id="14"/>
    </w:p>
    <w:p w14:paraId="26954876" w14:textId="77777777" w:rsidR="0021531C" w:rsidRPr="0021531C" w:rsidRDefault="0021531C" w:rsidP="0021531C">
      <w:pPr>
        <w:pStyle w:val="EndNoteBibliography"/>
        <w:spacing w:after="0"/>
        <w:ind w:left="720" w:hanging="720"/>
        <w:rPr>
          <w:noProof/>
        </w:rPr>
      </w:pPr>
      <w:bookmarkStart w:id="15" w:name="_ENREF_13"/>
      <w:r w:rsidRPr="0021531C">
        <w:rPr>
          <w:noProof/>
        </w:rPr>
        <w:t>13.</w:t>
      </w:r>
      <w:r w:rsidRPr="0021531C">
        <w:rPr>
          <w:noProof/>
        </w:rPr>
        <w:tab/>
        <w:t xml:space="preserve">Eren Z, Ozveren O, Buvukoner E, Kaspar E, Degertekin M, Kantarci G. A Single-Centre Study of Acute Cardiorenal Syndrome: Incidence, Risk Factors and Consequences. </w:t>
      </w:r>
      <w:r w:rsidRPr="0021531C">
        <w:rPr>
          <w:i/>
          <w:noProof/>
        </w:rPr>
        <w:t>Cardiorenal Med</w:t>
      </w:r>
      <w:r w:rsidRPr="0021531C">
        <w:rPr>
          <w:noProof/>
        </w:rPr>
        <w:t xml:space="preserve"> 2012;2:168-176.</w:t>
      </w:r>
      <w:bookmarkEnd w:id="15"/>
    </w:p>
    <w:p w14:paraId="00EEBD7C" w14:textId="77777777" w:rsidR="0021531C" w:rsidRPr="0021531C" w:rsidRDefault="0021531C" w:rsidP="0021531C">
      <w:pPr>
        <w:pStyle w:val="EndNoteBibliography"/>
        <w:spacing w:after="0"/>
        <w:ind w:left="720" w:hanging="720"/>
        <w:rPr>
          <w:noProof/>
        </w:rPr>
      </w:pPr>
      <w:bookmarkStart w:id="16" w:name="_ENREF_14"/>
      <w:r w:rsidRPr="0021531C">
        <w:rPr>
          <w:noProof/>
        </w:rPr>
        <w:t>14.</w:t>
      </w:r>
      <w:r w:rsidRPr="0021531C">
        <w:rPr>
          <w:noProof/>
        </w:rPr>
        <w:tab/>
        <w:t xml:space="preserve">Duarte TTP, Magro MCS. Recovery of Renal Function in Clinical Patients with Acute Kidney Injury: Impact on Mortality. </w:t>
      </w:r>
      <w:r w:rsidRPr="0021531C">
        <w:rPr>
          <w:i/>
          <w:noProof/>
        </w:rPr>
        <w:t>Life (Basel)</w:t>
      </w:r>
      <w:r w:rsidRPr="0021531C">
        <w:rPr>
          <w:noProof/>
        </w:rPr>
        <w:t xml:space="preserve"> 2022;12:852.</w:t>
      </w:r>
      <w:bookmarkEnd w:id="16"/>
    </w:p>
    <w:p w14:paraId="1AEFCA6F" w14:textId="77777777" w:rsidR="0021531C" w:rsidRPr="0021531C" w:rsidRDefault="0021531C" w:rsidP="0021531C">
      <w:pPr>
        <w:pStyle w:val="EndNoteBibliography"/>
        <w:spacing w:after="0"/>
        <w:ind w:left="720" w:hanging="720"/>
        <w:rPr>
          <w:noProof/>
        </w:rPr>
      </w:pPr>
      <w:bookmarkStart w:id="17" w:name="_ENREF_15"/>
      <w:r w:rsidRPr="0021531C">
        <w:rPr>
          <w:noProof/>
        </w:rPr>
        <w:t>15.</w:t>
      </w:r>
      <w:r w:rsidRPr="0021531C">
        <w:rPr>
          <w:noProof/>
        </w:rPr>
        <w:tab/>
        <w:t xml:space="preserve">Reis T, Ronco F, Ostermann M. Diuretics and Ultrafiltration in Heart Failure. </w:t>
      </w:r>
      <w:r w:rsidRPr="0021531C">
        <w:rPr>
          <w:i/>
          <w:noProof/>
        </w:rPr>
        <w:t>Cardiorenal Med</w:t>
      </w:r>
      <w:r w:rsidRPr="0021531C">
        <w:rPr>
          <w:noProof/>
        </w:rPr>
        <w:t xml:space="preserve"> 2023;13:56-65.</w:t>
      </w:r>
      <w:bookmarkEnd w:id="17"/>
    </w:p>
    <w:p w14:paraId="01B4EDA2" w14:textId="77777777" w:rsidR="0021531C" w:rsidRPr="0021531C" w:rsidRDefault="0021531C" w:rsidP="0021531C">
      <w:pPr>
        <w:pStyle w:val="EndNoteBibliography"/>
        <w:spacing w:after="0"/>
        <w:ind w:left="720" w:hanging="720"/>
        <w:rPr>
          <w:noProof/>
        </w:rPr>
      </w:pPr>
      <w:bookmarkStart w:id="18" w:name="_ENREF_16"/>
      <w:r w:rsidRPr="0021531C">
        <w:rPr>
          <w:noProof/>
        </w:rPr>
        <w:t>16.</w:t>
      </w:r>
      <w:r w:rsidRPr="0021531C">
        <w:rPr>
          <w:noProof/>
        </w:rPr>
        <w:tab/>
        <w:t xml:space="preserve">McDonagh TA, Metra M, Adamo M, et al. Corrigendum to: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w:t>
      </w:r>
      <w:r w:rsidRPr="0021531C">
        <w:rPr>
          <w:i/>
          <w:noProof/>
        </w:rPr>
        <w:t>Eur Heart J</w:t>
      </w:r>
      <w:r w:rsidRPr="0021531C">
        <w:rPr>
          <w:noProof/>
        </w:rPr>
        <w:t xml:space="preserve"> 2021;42:4901.</w:t>
      </w:r>
      <w:bookmarkEnd w:id="18"/>
    </w:p>
    <w:p w14:paraId="06B99863" w14:textId="77777777" w:rsidR="0021531C" w:rsidRPr="0021531C" w:rsidRDefault="0021531C" w:rsidP="0021531C">
      <w:pPr>
        <w:pStyle w:val="EndNoteBibliography"/>
        <w:ind w:left="720" w:hanging="720"/>
        <w:rPr>
          <w:noProof/>
        </w:rPr>
      </w:pPr>
      <w:bookmarkStart w:id="19" w:name="_ENREF_17"/>
      <w:r w:rsidRPr="0021531C">
        <w:rPr>
          <w:noProof/>
        </w:rPr>
        <w:t>17.</w:t>
      </w:r>
      <w:r w:rsidRPr="0021531C">
        <w:rPr>
          <w:noProof/>
        </w:rPr>
        <w:tab/>
        <w:t xml:space="preserve">Mullens W, Martens P, Testani JM, et al. Renal effects of guideline-directed medical therapies in heart failure: a consensus document from the Heart Failure Association of the European Society of Cardiology. </w:t>
      </w:r>
      <w:r w:rsidRPr="0021531C">
        <w:rPr>
          <w:i/>
          <w:noProof/>
        </w:rPr>
        <w:t>Eur J Heart Fail</w:t>
      </w:r>
      <w:r w:rsidRPr="0021531C">
        <w:rPr>
          <w:noProof/>
        </w:rPr>
        <w:t xml:space="preserve"> 2022;24:603-619.</w:t>
      </w:r>
      <w:bookmarkEnd w:id="19"/>
    </w:p>
    <w:p w14:paraId="406AAF6D" w14:textId="2ED6EFC8" w:rsidR="00B61946" w:rsidRDefault="00FE2848" w:rsidP="0021531C">
      <w:pPr>
        <w:pStyle w:val="EndNoteBibliography"/>
        <w:spacing w:after="0" w:line="480" w:lineRule="auto"/>
        <w:rPr>
          <w:rFonts w:asciiTheme="majorBidi" w:hAnsiTheme="majorBidi" w:cstheme="majorBidi"/>
        </w:rPr>
      </w:pPr>
      <w:r>
        <w:rPr>
          <w:rFonts w:asciiTheme="majorBidi" w:hAnsiTheme="majorBidi" w:cstheme="majorBidi"/>
        </w:rPr>
        <w:fldChar w:fldCharType="end"/>
      </w:r>
    </w:p>
    <w:p w14:paraId="500A2248" w14:textId="77777777" w:rsidR="00823000" w:rsidRDefault="00823000" w:rsidP="000D7A84">
      <w:pPr>
        <w:spacing w:before="100" w:beforeAutospacing="1" w:after="100" w:afterAutospacing="1" w:line="240" w:lineRule="auto"/>
        <w:rPr>
          <w:rFonts w:ascii="Times New Roman" w:eastAsia="Times New Roman" w:hAnsi="Times New Roman" w:cs="Times New Roman"/>
          <w:b/>
          <w:bCs/>
          <w:sz w:val="24"/>
          <w:szCs w:val="24"/>
        </w:rPr>
      </w:pPr>
    </w:p>
    <w:p w14:paraId="7382106A" w14:textId="5D3EDF52" w:rsidR="000D7A84" w:rsidRPr="00DD3EAA"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8F4836">
        <w:rPr>
          <w:rFonts w:ascii="Times New Roman" w:eastAsia="Times New Roman" w:hAnsi="Times New Roman" w:cs="Times New Roman"/>
          <w:b/>
          <w:bCs/>
          <w:sz w:val="24"/>
          <w:szCs w:val="24"/>
        </w:rPr>
        <w:t>Table 1.</w:t>
      </w:r>
      <w:r w:rsidRPr="008F4836">
        <w:rPr>
          <w:rFonts w:ascii="Times New Roman" w:eastAsia="Times New Roman" w:hAnsi="Times New Roman" w:cs="Times New Roman"/>
          <w:sz w:val="24"/>
          <w:szCs w:val="24"/>
        </w:rPr>
        <w:t xml:space="preserve"> Baseline characteristics of NCRS and CRS1 patients.</w:t>
      </w:r>
    </w:p>
    <w:tbl>
      <w:tblPr>
        <w:tblW w:w="5000" w:type="pct"/>
        <w:tblLook w:val="04A0" w:firstRow="1" w:lastRow="0" w:firstColumn="1" w:lastColumn="0" w:noHBand="0" w:noVBand="1"/>
      </w:tblPr>
      <w:tblGrid>
        <w:gridCol w:w="2073"/>
        <w:gridCol w:w="1524"/>
        <w:gridCol w:w="965"/>
        <w:gridCol w:w="152"/>
        <w:gridCol w:w="1464"/>
        <w:gridCol w:w="417"/>
        <w:gridCol w:w="665"/>
        <w:gridCol w:w="290"/>
        <w:gridCol w:w="161"/>
        <w:gridCol w:w="475"/>
        <w:gridCol w:w="228"/>
        <w:gridCol w:w="240"/>
        <w:gridCol w:w="706"/>
      </w:tblGrid>
      <w:tr w:rsidR="000D7A84" w:rsidRPr="00DD3EAA" w14:paraId="4D67F917" w14:textId="77777777" w:rsidTr="008D2FBB">
        <w:trPr>
          <w:trHeight w:val="269"/>
        </w:trPr>
        <w:tc>
          <w:tcPr>
            <w:tcW w:w="1108" w:type="pct"/>
            <w:tcBorders>
              <w:top w:val="single" w:sz="4" w:space="0" w:color="auto"/>
              <w:left w:val="nil"/>
              <w:bottom w:val="nil"/>
              <w:right w:val="nil"/>
            </w:tcBorders>
            <w:noWrap/>
            <w:vAlign w:val="bottom"/>
            <w:hideMark/>
          </w:tcPr>
          <w:p w14:paraId="5FBC95B6"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w:t>
            </w:r>
          </w:p>
        </w:tc>
        <w:tc>
          <w:tcPr>
            <w:tcW w:w="814" w:type="pct"/>
            <w:tcBorders>
              <w:top w:val="single" w:sz="4" w:space="0" w:color="auto"/>
              <w:left w:val="nil"/>
              <w:bottom w:val="nil"/>
              <w:right w:val="nil"/>
            </w:tcBorders>
            <w:noWrap/>
            <w:vAlign w:val="bottom"/>
            <w:hideMark/>
          </w:tcPr>
          <w:p w14:paraId="60C853D6"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DD3EAA">
              <w:rPr>
                <w:rFonts w:ascii="Times New Roman" w:eastAsia="Times New Roman" w:hAnsi="Times New Roman" w:cs="Times New Roman"/>
                <w:b/>
                <w:bCs/>
                <w:sz w:val="20"/>
                <w:szCs w:val="20"/>
              </w:rPr>
              <w:t>NCRS</w:t>
            </w:r>
          </w:p>
        </w:tc>
        <w:tc>
          <w:tcPr>
            <w:tcW w:w="1956" w:type="pct"/>
            <w:gridSpan w:val="5"/>
            <w:tcBorders>
              <w:top w:val="single" w:sz="4" w:space="0" w:color="auto"/>
              <w:left w:val="nil"/>
              <w:bottom w:val="nil"/>
              <w:right w:val="nil"/>
            </w:tcBorders>
            <w:noWrap/>
            <w:vAlign w:val="bottom"/>
            <w:hideMark/>
          </w:tcPr>
          <w:p w14:paraId="00452817"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CRS1</w:t>
            </w:r>
          </w:p>
        </w:tc>
        <w:tc>
          <w:tcPr>
            <w:tcW w:w="495" w:type="pct"/>
            <w:gridSpan w:val="3"/>
            <w:tcBorders>
              <w:top w:val="single" w:sz="4" w:space="0" w:color="auto"/>
              <w:left w:val="nil"/>
              <w:bottom w:val="nil"/>
              <w:right w:val="nil"/>
            </w:tcBorders>
            <w:noWrap/>
            <w:vAlign w:val="bottom"/>
            <w:hideMark/>
          </w:tcPr>
          <w:p w14:paraId="781FAAAE" w14:textId="77777777" w:rsidR="000D7A84" w:rsidRPr="008E638E" w:rsidRDefault="000D7A84" w:rsidP="006D6635">
            <w:pPr>
              <w:spacing w:after="0" w:line="360" w:lineRule="auto"/>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 </w:t>
            </w:r>
          </w:p>
        </w:tc>
        <w:tc>
          <w:tcPr>
            <w:tcW w:w="627" w:type="pct"/>
            <w:gridSpan w:val="3"/>
            <w:tcBorders>
              <w:top w:val="single" w:sz="4" w:space="0" w:color="auto"/>
              <w:left w:val="nil"/>
              <w:bottom w:val="nil"/>
              <w:right w:val="nil"/>
            </w:tcBorders>
            <w:noWrap/>
            <w:vAlign w:val="bottom"/>
            <w:hideMark/>
          </w:tcPr>
          <w:p w14:paraId="71E3DB7B"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 </w:t>
            </w:r>
          </w:p>
        </w:tc>
      </w:tr>
      <w:tr w:rsidR="000D7A84" w:rsidRPr="00DD3EAA" w14:paraId="3DB09BF0" w14:textId="77777777" w:rsidTr="008D2FBB">
        <w:trPr>
          <w:trHeight w:val="269"/>
        </w:trPr>
        <w:tc>
          <w:tcPr>
            <w:tcW w:w="1108" w:type="pct"/>
            <w:tcBorders>
              <w:top w:val="nil"/>
              <w:left w:val="nil"/>
              <w:bottom w:val="single" w:sz="4" w:space="0" w:color="auto"/>
              <w:right w:val="nil"/>
            </w:tcBorders>
            <w:noWrap/>
            <w:vAlign w:val="bottom"/>
            <w:hideMark/>
          </w:tcPr>
          <w:p w14:paraId="28CBC77D"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w:t>
            </w:r>
          </w:p>
        </w:tc>
        <w:tc>
          <w:tcPr>
            <w:tcW w:w="814" w:type="pct"/>
            <w:tcBorders>
              <w:top w:val="nil"/>
              <w:left w:val="nil"/>
              <w:bottom w:val="single" w:sz="4" w:space="0" w:color="auto"/>
              <w:right w:val="nil"/>
            </w:tcBorders>
            <w:noWrap/>
            <w:vAlign w:val="bottom"/>
            <w:hideMark/>
          </w:tcPr>
          <w:p w14:paraId="2CB0E1F9"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M±SD</w:t>
            </w:r>
          </w:p>
        </w:tc>
        <w:tc>
          <w:tcPr>
            <w:tcW w:w="515" w:type="pct"/>
            <w:tcBorders>
              <w:top w:val="nil"/>
              <w:left w:val="nil"/>
              <w:bottom w:val="single" w:sz="4" w:space="0" w:color="auto"/>
              <w:right w:val="nil"/>
            </w:tcBorders>
            <w:noWrap/>
            <w:vAlign w:val="bottom"/>
            <w:hideMark/>
          </w:tcPr>
          <w:p w14:paraId="18D9E5F3"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p>
        </w:tc>
        <w:tc>
          <w:tcPr>
            <w:tcW w:w="863" w:type="pct"/>
            <w:gridSpan w:val="2"/>
            <w:tcBorders>
              <w:top w:val="nil"/>
              <w:left w:val="nil"/>
              <w:bottom w:val="single" w:sz="4" w:space="0" w:color="auto"/>
              <w:right w:val="nil"/>
            </w:tcBorders>
            <w:noWrap/>
            <w:vAlign w:val="bottom"/>
            <w:hideMark/>
          </w:tcPr>
          <w:p w14:paraId="7A57629B"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M±SD</w:t>
            </w:r>
          </w:p>
        </w:tc>
        <w:tc>
          <w:tcPr>
            <w:tcW w:w="733" w:type="pct"/>
            <w:gridSpan w:val="3"/>
            <w:tcBorders>
              <w:top w:val="nil"/>
              <w:left w:val="nil"/>
              <w:bottom w:val="single" w:sz="4" w:space="0" w:color="auto"/>
              <w:right w:val="nil"/>
            </w:tcBorders>
            <w:noWrap/>
            <w:vAlign w:val="bottom"/>
            <w:hideMark/>
          </w:tcPr>
          <w:p w14:paraId="056ED185"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p>
        </w:tc>
        <w:tc>
          <w:tcPr>
            <w:tcW w:w="462" w:type="pct"/>
            <w:gridSpan w:val="3"/>
            <w:tcBorders>
              <w:top w:val="nil"/>
              <w:left w:val="nil"/>
              <w:bottom w:val="single" w:sz="4" w:space="0" w:color="auto"/>
              <w:right w:val="nil"/>
            </w:tcBorders>
            <w:noWrap/>
            <w:vAlign w:val="bottom"/>
            <w:hideMark/>
          </w:tcPr>
          <w:p w14:paraId="07687C83"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t / χ2</w:t>
            </w:r>
          </w:p>
        </w:tc>
        <w:tc>
          <w:tcPr>
            <w:tcW w:w="505" w:type="pct"/>
            <w:gridSpan w:val="2"/>
            <w:tcBorders>
              <w:top w:val="nil"/>
              <w:left w:val="nil"/>
              <w:bottom w:val="single" w:sz="4" w:space="0" w:color="auto"/>
              <w:right w:val="nil"/>
            </w:tcBorders>
            <w:noWrap/>
            <w:vAlign w:val="bottom"/>
            <w:hideMark/>
          </w:tcPr>
          <w:p w14:paraId="4E7D72F9"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p</w:t>
            </w:r>
          </w:p>
        </w:tc>
      </w:tr>
      <w:tr w:rsidR="000D7A84" w:rsidRPr="00DD3EAA" w14:paraId="2EA7B79A" w14:textId="77777777" w:rsidTr="008D2FBB">
        <w:trPr>
          <w:trHeight w:val="269"/>
        </w:trPr>
        <w:tc>
          <w:tcPr>
            <w:tcW w:w="1108" w:type="pct"/>
            <w:tcBorders>
              <w:top w:val="nil"/>
              <w:left w:val="nil"/>
              <w:bottom w:val="nil"/>
              <w:right w:val="nil"/>
            </w:tcBorders>
            <w:noWrap/>
            <w:vAlign w:val="bottom"/>
            <w:hideMark/>
          </w:tcPr>
          <w:p w14:paraId="3B5B2C17"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Age in years</w:t>
            </w:r>
          </w:p>
        </w:tc>
        <w:tc>
          <w:tcPr>
            <w:tcW w:w="814" w:type="pct"/>
            <w:tcBorders>
              <w:top w:val="nil"/>
              <w:left w:val="nil"/>
              <w:bottom w:val="nil"/>
              <w:right w:val="nil"/>
            </w:tcBorders>
            <w:noWrap/>
            <w:vAlign w:val="bottom"/>
            <w:hideMark/>
          </w:tcPr>
          <w:p w14:paraId="33B7496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67.30 ± 12.36</w:t>
            </w:r>
          </w:p>
        </w:tc>
        <w:tc>
          <w:tcPr>
            <w:tcW w:w="515" w:type="pct"/>
            <w:tcBorders>
              <w:top w:val="nil"/>
              <w:left w:val="nil"/>
              <w:bottom w:val="nil"/>
              <w:right w:val="nil"/>
            </w:tcBorders>
            <w:noWrap/>
            <w:vAlign w:val="bottom"/>
            <w:hideMark/>
          </w:tcPr>
          <w:p w14:paraId="198775C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7CBDC46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68.43 ± 12.43</w:t>
            </w:r>
          </w:p>
        </w:tc>
        <w:tc>
          <w:tcPr>
            <w:tcW w:w="733" w:type="pct"/>
            <w:gridSpan w:val="3"/>
            <w:tcBorders>
              <w:top w:val="nil"/>
              <w:left w:val="nil"/>
              <w:bottom w:val="nil"/>
              <w:right w:val="nil"/>
            </w:tcBorders>
            <w:noWrap/>
            <w:vAlign w:val="bottom"/>
            <w:hideMark/>
          </w:tcPr>
          <w:p w14:paraId="1723B7D3"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04FD36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-0.81</w:t>
            </w:r>
          </w:p>
        </w:tc>
        <w:tc>
          <w:tcPr>
            <w:tcW w:w="505" w:type="pct"/>
            <w:gridSpan w:val="2"/>
            <w:tcBorders>
              <w:top w:val="nil"/>
              <w:left w:val="nil"/>
              <w:bottom w:val="nil"/>
              <w:right w:val="nil"/>
            </w:tcBorders>
            <w:noWrap/>
            <w:vAlign w:val="bottom"/>
            <w:hideMark/>
          </w:tcPr>
          <w:p w14:paraId="216EB1C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.421</w:t>
            </w:r>
          </w:p>
        </w:tc>
      </w:tr>
      <w:tr w:rsidR="000D7A84" w:rsidRPr="00DD3EAA" w14:paraId="45254AED" w14:textId="77777777" w:rsidTr="008D2FBB">
        <w:trPr>
          <w:trHeight w:val="269"/>
        </w:trPr>
        <w:tc>
          <w:tcPr>
            <w:tcW w:w="1108" w:type="pct"/>
            <w:tcBorders>
              <w:top w:val="nil"/>
              <w:left w:val="nil"/>
              <w:bottom w:val="nil"/>
              <w:right w:val="nil"/>
            </w:tcBorders>
            <w:noWrap/>
            <w:vAlign w:val="bottom"/>
            <w:hideMark/>
          </w:tcPr>
          <w:p w14:paraId="733B5646" w14:textId="77777777" w:rsidR="000D7A84" w:rsidRPr="00DD3EAA" w:rsidRDefault="000D7A84" w:rsidP="006D6635">
            <w:pPr>
              <w:spacing w:after="0" w:line="360" w:lineRule="auto"/>
              <w:rPr>
                <w:rFonts w:ascii="Times New Roman" w:eastAsia="Times New Roman" w:hAnsi="Times New Roman" w:cs="Times New Roman"/>
                <w:sz w:val="20"/>
                <w:szCs w:val="20"/>
              </w:rPr>
            </w:pPr>
          </w:p>
          <w:p w14:paraId="4669B8A3"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Gender</w:t>
            </w:r>
          </w:p>
        </w:tc>
        <w:tc>
          <w:tcPr>
            <w:tcW w:w="814" w:type="pct"/>
            <w:tcBorders>
              <w:top w:val="nil"/>
              <w:left w:val="nil"/>
              <w:bottom w:val="nil"/>
              <w:right w:val="nil"/>
            </w:tcBorders>
            <w:noWrap/>
            <w:vAlign w:val="bottom"/>
            <w:hideMark/>
          </w:tcPr>
          <w:p w14:paraId="60DD0CC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Male</w:t>
            </w:r>
          </w:p>
        </w:tc>
        <w:tc>
          <w:tcPr>
            <w:tcW w:w="515" w:type="pct"/>
            <w:tcBorders>
              <w:top w:val="nil"/>
              <w:left w:val="nil"/>
              <w:bottom w:val="nil"/>
              <w:right w:val="nil"/>
            </w:tcBorders>
            <w:noWrap/>
            <w:vAlign w:val="bottom"/>
            <w:hideMark/>
          </w:tcPr>
          <w:p w14:paraId="1B3FCD5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Female</w:t>
            </w:r>
          </w:p>
        </w:tc>
        <w:tc>
          <w:tcPr>
            <w:tcW w:w="863" w:type="pct"/>
            <w:gridSpan w:val="2"/>
            <w:tcBorders>
              <w:top w:val="nil"/>
              <w:left w:val="nil"/>
              <w:bottom w:val="nil"/>
              <w:right w:val="nil"/>
            </w:tcBorders>
            <w:noWrap/>
            <w:vAlign w:val="bottom"/>
            <w:hideMark/>
          </w:tcPr>
          <w:p w14:paraId="79B4578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Male</w:t>
            </w:r>
          </w:p>
        </w:tc>
        <w:tc>
          <w:tcPr>
            <w:tcW w:w="733" w:type="pct"/>
            <w:gridSpan w:val="3"/>
            <w:tcBorders>
              <w:top w:val="nil"/>
              <w:left w:val="nil"/>
              <w:bottom w:val="nil"/>
              <w:right w:val="nil"/>
            </w:tcBorders>
            <w:noWrap/>
            <w:vAlign w:val="bottom"/>
            <w:hideMark/>
          </w:tcPr>
          <w:p w14:paraId="168F5567"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Female</w:t>
            </w:r>
          </w:p>
        </w:tc>
        <w:tc>
          <w:tcPr>
            <w:tcW w:w="462" w:type="pct"/>
            <w:gridSpan w:val="3"/>
            <w:tcBorders>
              <w:top w:val="nil"/>
              <w:left w:val="nil"/>
              <w:bottom w:val="nil"/>
              <w:right w:val="nil"/>
            </w:tcBorders>
            <w:noWrap/>
            <w:vAlign w:val="bottom"/>
            <w:hideMark/>
          </w:tcPr>
          <w:p w14:paraId="13CC051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14EC37C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r>
      <w:tr w:rsidR="000D7A84" w:rsidRPr="00DD3EAA" w14:paraId="1930D2DD" w14:textId="77777777" w:rsidTr="008D2FBB">
        <w:trPr>
          <w:trHeight w:val="533"/>
        </w:trPr>
        <w:tc>
          <w:tcPr>
            <w:tcW w:w="1108" w:type="pct"/>
            <w:tcBorders>
              <w:top w:val="nil"/>
              <w:left w:val="nil"/>
              <w:bottom w:val="nil"/>
              <w:right w:val="nil"/>
            </w:tcBorders>
            <w:noWrap/>
            <w:vAlign w:val="bottom"/>
            <w:hideMark/>
          </w:tcPr>
          <w:p w14:paraId="42B83A51" w14:textId="77777777" w:rsidR="000D7A84" w:rsidRPr="00DD3EAA" w:rsidRDefault="000D7A84" w:rsidP="006D6635">
            <w:pPr>
              <w:spacing w:after="0" w:line="360" w:lineRule="auto"/>
              <w:rPr>
                <w:rFonts w:ascii="Times New Roman" w:eastAsia="Times New Roman" w:hAnsi="Times New Roman" w:cs="Times New Roman"/>
                <w:sz w:val="20"/>
                <w:szCs w:val="20"/>
              </w:rPr>
            </w:pPr>
          </w:p>
        </w:tc>
        <w:tc>
          <w:tcPr>
            <w:tcW w:w="814" w:type="pct"/>
            <w:tcBorders>
              <w:top w:val="nil"/>
              <w:left w:val="nil"/>
              <w:bottom w:val="nil"/>
              <w:right w:val="nil"/>
            </w:tcBorders>
            <w:noWrap/>
            <w:hideMark/>
          </w:tcPr>
          <w:p w14:paraId="30A2158F"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78 (51.0%)</w:t>
            </w:r>
          </w:p>
        </w:tc>
        <w:tc>
          <w:tcPr>
            <w:tcW w:w="596" w:type="pct"/>
            <w:gridSpan w:val="2"/>
            <w:tcBorders>
              <w:top w:val="nil"/>
              <w:left w:val="nil"/>
              <w:bottom w:val="nil"/>
              <w:right w:val="nil"/>
            </w:tcBorders>
            <w:noWrap/>
            <w:hideMark/>
          </w:tcPr>
          <w:p w14:paraId="5521EA83"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75 (49.0%)</w:t>
            </w:r>
          </w:p>
        </w:tc>
        <w:tc>
          <w:tcPr>
            <w:tcW w:w="1005" w:type="pct"/>
            <w:gridSpan w:val="2"/>
            <w:tcBorders>
              <w:top w:val="nil"/>
              <w:left w:val="nil"/>
              <w:bottom w:val="nil"/>
              <w:right w:val="nil"/>
            </w:tcBorders>
            <w:noWrap/>
            <w:hideMark/>
          </w:tcPr>
          <w:p w14:paraId="112E7C15"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90 (55.9%)</w:t>
            </w:r>
          </w:p>
        </w:tc>
        <w:tc>
          <w:tcPr>
            <w:tcW w:w="596" w:type="pct"/>
            <w:gridSpan w:val="3"/>
            <w:tcBorders>
              <w:top w:val="nil"/>
              <w:left w:val="nil"/>
              <w:bottom w:val="nil"/>
              <w:right w:val="nil"/>
            </w:tcBorders>
            <w:noWrap/>
            <w:hideMark/>
          </w:tcPr>
          <w:p w14:paraId="3F5AF8F6" w14:textId="77777777" w:rsidR="000D7A84" w:rsidRPr="008E638E" w:rsidRDefault="000D7A84" w:rsidP="006D6635">
            <w:pPr>
              <w:spacing w:line="360" w:lineRule="auto"/>
              <w:jc w:val="center"/>
              <w:rPr>
                <w:rFonts w:ascii="Times New Roman" w:hAnsi="Times New Roman" w:cs="Times New Roman"/>
                <w:color w:val="000000"/>
                <w:sz w:val="20"/>
                <w:szCs w:val="20"/>
              </w:rPr>
            </w:pPr>
            <w:r w:rsidRPr="008E638E">
              <w:rPr>
                <w:rFonts w:ascii="Times New Roman" w:hAnsi="Times New Roman" w:cs="Times New Roman"/>
                <w:color w:val="000000"/>
                <w:sz w:val="20"/>
                <w:szCs w:val="20"/>
              </w:rPr>
              <w:t>71 (44.1%)</w:t>
            </w:r>
          </w:p>
        </w:tc>
        <w:tc>
          <w:tcPr>
            <w:tcW w:w="504" w:type="pct"/>
            <w:gridSpan w:val="3"/>
            <w:tcBorders>
              <w:top w:val="nil"/>
              <w:left w:val="nil"/>
              <w:bottom w:val="nil"/>
              <w:right w:val="nil"/>
            </w:tcBorders>
            <w:noWrap/>
            <w:hideMark/>
          </w:tcPr>
          <w:p w14:paraId="200DCC36" w14:textId="77777777" w:rsidR="000D7A84" w:rsidRPr="008E638E" w:rsidRDefault="000D7A84" w:rsidP="006D6635">
            <w:pPr>
              <w:spacing w:after="0" w:line="360" w:lineRule="auto"/>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0.76</w:t>
            </w:r>
          </w:p>
        </w:tc>
        <w:tc>
          <w:tcPr>
            <w:tcW w:w="377" w:type="pct"/>
            <w:tcBorders>
              <w:top w:val="nil"/>
              <w:left w:val="nil"/>
              <w:bottom w:val="nil"/>
              <w:right w:val="nil"/>
            </w:tcBorders>
            <w:noWrap/>
            <w:hideMark/>
          </w:tcPr>
          <w:p w14:paraId="4C5FFB19" w14:textId="77777777" w:rsidR="000D7A84" w:rsidRPr="008E638E" w:rsidRDefault="000D7A84" w:rsidP="006D6635">
            <w:pPr>
              <w:spacing w:after="0" w:line="360" w:lineRule="auto"/>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.382</w:t>
            </w:r>
          </w:p>
        </w:tc>
      </w:tr>
      <w:tr w:rsidR="000D7A84" w:rsidRPr="00DD3EAA" w14:paraId="3E40AD02" w14:textId="77777777" w:rsidTr="008D2FBB">
        <w:trPr>
          <w:trHeight w:val="269"/>
        </w:trPr>
        <w:tc>
          <w:tcPr>
            <w:tcW w:w="1108" w:type="pct"/>
            <w:tcBorders>
              <w:top w:val="nil"/>
              <w:left w:val="nil"/>
              <w:bottom w:val="nil"/>
              <w:right w:val="nil"/>
            </w:tcBorders>
            <w:noWrap/>
            <w:vAlign w:val="bottom"/>
            <w:hideMark/>
          </w:tcPr>
          <w:p w14:paraId="01162787" w14:textId="77777777" w:rsidR="000D7A84" w:rsidRPr="00DD3EAA" w:rsidRDefault="000D7A84" w:rsidP="006D6635">
            <w:pPr>
              <w:spacing w:after="0" w:line="360" w:lineRule="auto"/>
              <w:rPr>
                <w:rFonts w:ascii="Times New Roman" w:eastAsia="Times New Roman" w:hAnsi="Times New Roman" w:cs="Times New Roman"/>
                <w:sz w:val="20"/>
                <w:szCs w:val="20"/>
              </w:rPr>
            </w:pPr>
          </w:p>
          <w:p w14:paraId="49F72535"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lastRenderedPageBreak/>
              <w:t>BMI (kg/m2)</w:t>
            </w:r>
          </w:p>
        </w:tc>
        <w:tc>
          <w:tcPr>
            <w:tcW w:w="814" w:type="pct"/>
            <w:tcBorders>
              <w:top w:val="nil"/>
              <w:left w:val="nil"/>
              <w:bottom w:val="nil"/>
              <w:right w:val="nil"/>
            </w:tcBorders>
            <w:noWrap/>
            <w:vAlign w:val="bottom"/>
            <w:hideMark/>
          </w:tcPr>
          <w:p w14:paraId="295B40D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lastRenderedPageBreak/>
              <w:t>32.87 ± 8.71</w:t>
            </w:r>
          </w:p>
        </w:tc>
        <w:tc>
          <w:tcPr>
            <w:tcW w:w="515" w:type="pct"/>
            <w:tcBorders>
              <w:top w:val="nil"/>
              <w:left w:val="nil"/>
              <w:bottom w:val="nil"/>
              <w:right w:val="nil"/>
            </w:tcBorders>
            <w:noWrap/>
            <w:vAlign w:val="bottom"/>
            <w:hideMark/>
          </w:tcPr>
          <w:p w14:paraId="2CD259B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1CC84F0C"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32.21 ± 8.54</w:t>
            </w:r>
          </w:p>
        </w:tc>
        <w:tc>
          <w:tcPr>
            <w:tcW w:w="733" w:type="pct"/>
            <w:gridSpan w:val="3"/>
            <w:tcBorders>
              <w:top w:val="nil"/>
              <w:left w:val="nil"/>
              <w:bottom w:val="nil"/>
              <w:right w:val="nil"/>
            </w:tcBorders>
            <w:noWrap/>
            <w:vAlign w:val="bottom"/>
            <w:hideMark/>
          </w:tcPr>
          <w:p w14:paraId="4B8D2E1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022EF59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0.68</w:t>
            </w:r>
          </w:p>
        </w:tc>
        <w:tc>
          <w:tcPr>
            <w:tcW w:w="505" w:type="pct"/>
            <w:gridSpan w:val="2"/>
            <w:tcBorders>
              <w:top w:val="nil"/>
              <w:left w:val="nil"/>
              <w:bottom w:val="nil"/>
              <w:right w:val="nil"/>
            </w:tcBorders>
            <w:noWrap/>
            <w:vAlign w:val="bottom"/>
            <w:hideMark/>
          </w:tcPr>
          <w:p w14:paraId="5E8F65C9"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.499</w:t>
            </w:r>
          </w:p>
        </w:tc>
      </w:tr>
      <w:tr w:rsidR="000D7A84" w:rsidRPr="008E638E" w14:paraId="05D95CC2" w14:textId="77777777" w:rsidTr="008D2FBB">
        <w:trPr>
          <w:trHeight w:val="269"/>
        </w:trPr>
        <w:tc>
          <w:tcPr>
            <w:tcW w:w="1108" w:type="pct"/>
            <w:tcBorders>
              <w:top w:val="nil"/>
              <w:left w:val="nil"/>
              <w:bottom w:val="nil"/>
              <w:right w:val="nil"/>
            </w:tcBorders>
            <w:noWrap/>
            <w:vAlign w:val="bottom"/>
            <w:hideMark/>
          </w:tcPr>
          <w:p w14:paraId="523A002A" w14:textId="77777777" w:rsidR="000D7A84" w:rsidRPr="00DD3EAA" w:rsidRDefault="000D7A84" w:rsidP="006D6635">
            <w:pPr>
              <w:spacing w:after="0" w:line="360" w:lineRule="auto"/>
              <w:ind w:left="-21"/>
              <w:rPr>
                <w:rFonts w:ascii="Times New Roman" w:eastAsia="Times New Roman" w:hAnsi="Times New Roman" w:cs="Times New Roman"/>
                <w:sz w:val="20"/>
                <w:szCs w:val="20"/>
              </w:rPr>
            </w:pPr>
          </w:p>
          <w:p w14:paraId="16252E51" w14:textId="77777777" w:rsidR="000D7A84" w:rsidRPr="00DD3EAA" w:rsidRDefault="000D7A84" w:rsidP="006D6635">
            <w:pPr>
              <w:spacing w:after="0" w:line="360" w:lineRule="auto"/>
              <w:ind w:left="-21"/>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Comorbidities</w:t>
            </w:r>
          </w:p>
          <w:p w14:paraId="2B6E91D9" w14:textId="77777777" w:rsidR="000D7A84" w:rsidRPr="00DD3EAA" w:rsidRDefault="000D7A84" w:rsidP="006D6635">
            <w:pPr>
              <w:spacing w:after="0" w:line="360" w:lineRule="auto"/>
              <w:ind w:left="-21"/>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 xml:space="preserve">      Smoking</w:t>
            </w:r>
          </w:p>
        </w:tc>
        <w:tc>
          <w:tcPr>
            <w:tcW w:w="814" w:type="pct"/>
            <w:tcBorders>
              <w:top w:val="nil"/>
              <w:left w:val="nil"/>
              <w:bottom w:val="nil"/>
              <w:right w:val="nil"/>
            </w:tcBorders>
            <w:noWrap/>
            <w:vAlign w:val="center"/>
            <w:hideMark/>
          </w:tcPr>
          <w:p w14:paraId="4BDE030E"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1F280608"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5D7C217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32 (20.9%)</w:t>
            </w:r>
          </w:p>
        </w:tc>
        <w:tc>
          <w:tcPr>
            <w:tcW w:w="515" w:type="pct"/>
            <w:tcBorders>
              <w:top w:val="nil"/>
              <w:left w:val="nil"/>
              <w:bottom w:val="nil"/>
              <w:right w:val="nil"/>
            </w:tcBorders>
            <w:noWrap/>
            <w:vAlign w:val="bottom"/>
            <w:hideMark/>
          </w:tcPr>
          <w:p w14:paraId="7E1DCEA3"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588D4AAF"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3F770500"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54079A4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34 (21.1%)</w:t>
            </w:r>
          </w:p>
        </w:tc>
        <w:tc>
          <w:tcPr>
            <w:tcW w:w="733" w:type="pct"/>
            <w:gridSpan w:val="3"/>
            <w:tcBorders>
              <w:top w:val="nil"/>
              <w:left w:val="nil"/>
              <w:bottom w:val="nil"/>
              <w:right w:val="nil"/>
            </w:tcBorders>
            <w:noWrap/>
            <w:vAlign w:val="bottom"/>
            <w:hideMark/>
          </w:tcPr>
          <w:p w14:paraId="42B6885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F9A00D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0.00</w:t>
            </w:r>
          </w:p>
        </w:tc>
        <w:tc>
          <w:tcPr>
            <w:tcW w:w="505" w:type="pct"/>
            <w:gridSpan w:val="2"/>
            <w:tcBorders>
              <w:top w:val="nil"/>
              <w:left w:val="nil"/>
              <w:bottom w:val="nil"/>
              <w:right w:val="nil"/>
            </w:tcBorders>
            <w:noWrap/>
            <w:vAlign w:val="bottom"/>
            <w:hideMark/>
          </w:tcPr>
          <w:p w14:paraId="021F4CFE"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.965</w:t>
            </w:r>
          </w:p>
        </w:tc>
      </w:tr>
      <w:tr w:rsidR="000D7A84" w:rsidRPr="008E638E" w14:paraId="34640B20" w14:textId="77777777" w:rsidTr="008D2FBB">
        <w:trPr>
          <w:trHeight w:val="269"/>
        </w:trPr>
        <w:tc>
          <w:tcPr>
            <w:tcW w:w="1108" w:type="pct"/>
            <w:tcBorders>
              <w:top w:val="nil"/>
              <w:left w:val="nil"/>
              <w:bottom w:val="nil"/>
              <w:right w:val="nil"/>
            </w:tcBorders>
            <w:noWrap/>
            <w:vAlign w:val="bottom"/>
            <w:hideMark/>
          </w:tcPr>
          <w:p w14:paraId="7EC81F98"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DM</w:t>
            </w:r>
          </w:p>
        </w:tc>
        <w:tc>
          <w:tcPr>
            <w:tcW w:w="814" w:type="pct"/>
            <w:tcBorders>
              <w:top w:val="nil"/>
              <w:left w:val="nil"/>
              <w:bottom w:val="nil"/>
              <w:right w:val="nil"/>
            </w:tcBorders>
            <w:noWrap/>
            <w:vAlign w:val="center"/>
            <w:hideMark/>
          </w:tcPr>
          <w:p w14:paraId="5E7105F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123 (80.4%)</w:t>
            </w:r>
          </w:p>
        </w:tc>
        <w:tc>
          <w:tcPr>
            <w:tcW w:w="515" w:type="pct"/>
            <w:tcBorders>
              <w:top w:val="nil"/>
              <w:left w:val="nil"/>
              <w:bottom w:val="nil"/>
              <w:right w:val="nil"/>
            </w:tcBorders>
            <w:noWrap/>
            <w:vAlign w:val="bottom"/>
            <w:hideMark/>
          </w:tcPr>
          <w:p w14:paraId="30FFDC88"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2BC1F8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139 (86.3%)</w:t>
            </w:r>
          </w:p>
        </w:tc>
        <w:tc>
          <w:tcPr>
            <w:tcW w:w="733" w:type="pct"/>
            <w:gridSpan w:val="3"/>
            <w:tcBorders>
              <w:top w:val="nil"/>
              <w:left w:val="nil"/>
              <w:bottom w:val="nil"/>
              <w:right w:val="nil"/>
            </w:tcBorders>
            <w:noWrap/>
            <w:vAlign w:val="bottom"/>
            <w:hideMark/>
          </w:tcPr>
          <w:p w14:paraId="66125AE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9354599"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2.01</w:t>
            </w:r>
          </w:p>
        </w:tc>
        <w:tc>
          <w:tcPr>
            <w:tcW w:w="505" w:type="pct"/>
            <w:gridSpan w:val="2"/>
            <w:tcBorders>
              <w:top w:val="nil"/>
              <w:left w:val="nil"/>
              <w:bottom w:val="nil"/>
              <w:right w:val="nil"/>
            </w:tcBorders>
            <w:noWrap/>
            <w:vAlign w:val="bottom"/>
            <w:hideMark/>
          </w:tcPr>
          <w:p w14:paraId="3BBBF2F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.157</w:t>
            </w:r>
          </w:p>
        </w:tc>
      </w:tr>
      <w:tr w:rsidR="000D7A84" w:rsidRPr="008E638E" w14:paraId="20EBE1B5" w14:textId="77777777" w:rsidTr="008D2FBB">
        <w:trPr>
          <w:trHeight w:val="269"/>
        </w:trPr>
        <w:tc>
          <w:tcPr>
            <w:tcW w:w="1108" w:type="pct"/>
            <w:tcBorders>
              <w:top w:val="nil"/>
              <w:left w:val="nil"/>
              <w:bottom w:val="nil"/>
              <w:right w:val="nil"/>
            </w:tcBorders>
            <w:noWrap/>
            <w:vAlign w:val="bottom"/>
            <w:hideMark/>
          </w:tcPr>
          <w:p w14:paraId="7D0BA2F6"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HTN</w:t>
            </w:r>
          </w:p>
        </w:tc>
        <w:tc>
          <w:tcPr>
            <w:tcW w:w="814" w:type="pct"/>
            <w:tcBorders>
              <w:top w:val="nil"/>
              <w:left w:val="nil"/>
              <w:bottom w:val="nil"/>
              <w:right w:val="nil"/>
            </w:tcBorders>
            <w:noWrap/>
            <w:vAlign w:val="center"/>
            <w:hideMark/>
          </w:tcPr>
          <w:p w14:paraId="4277BD7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131 (85.6%)</w:t>
            </w:r>
          </w:p>
        </w:tc>
        <w:tc>
          <w:tcPr>
            <w:tcW w:w="515" w:type="pct"/>
            <w:tcBorders>
              <w:top w:val="nil"/>
              <w:left w:val="nil"/>
              <w:bottom w:val="nil"/>
              <w:right w:val="nil"/>
            </w:tcBorders>
            <w:noWrap/>
            <w:vAlign w:val="bottom"/>
            <w:hideMark/>
          </w:tcPr>
          <w:p w14:paraId="06AD437F"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400325DF"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156 (96.9%)</w:t>
            </w:r>
          </w:p>
        </w:tc>
        <w:tc>
          <w:tcPr>
            <w:tcW w:w="733" w:type="pct"/>
            <w:gridSpan w:val="3"/>
            <w:tcBorders>
              <w:top w:val="nil"/>
              <w:left w:val="nil"/>
              <w:bottom w:val="nil"/>
              <w:right w:val="nil"/>
            </w:tcBorders>
            <w:noWrap/>
            <w:vAlign w:val="bottom"/>
            <w:hideMark/>
          </w:tcPr>
          <w:p w14:paraId="53D0A17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05CF610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12.69</w:t>
            </w:r>
          </w:p>
        </w:tc>
        <w:tc>
          <w:tcPr>
            <w:tcW w:w="505" w:type="pct"/>
            <w:gridSpan w:val="2"/>
            <w:tcBorders>
              <w:top w:val="nil"/>
              <w:left w:val="nil"/>
              <w:bottom w:val="nil"/>
              <w:right w:val="nil"/>
            </w:tcBorders>
            <w:noWrap/>
            <w:vAlign w:val="bottom"/>
            <w:hideMark/>
          </w:tcPr>
          <w:p w14:paraId="7FCAC4C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30F04390" w14:textId="77777777" w:rsidTr="008D2FBB">
        <w:trPr>
          <w:trHeight w:val="269"/>
        </w:trPr>
        <w:tc>
          <w:tcPr>
            <w:tcW w:w="1108" w:type="pct"/>
            <w:tcBorders>
              <w:top w:val="nil"/>
              <w:left w:val="nil"/>
              <w:bottom w:val="nil"/>
              <w:right w:val="nil"/>
            </w:tcBorders>
            <w:noWrap/>
            <w:vAlign w:val="bottom"/>
            <w:hideMark/>
          </w:tcPr>
          <w:p w14:paraId="143EA750"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History of AKI</w:t>
            </w:r>
          </w:p>
        </w:tc>
        <w:tc>
          <w:tcPr>
            <w:tcW w:w="814" w:type="pct"/>
            <w:tcBorders>
              <w:top w:val="nil"/>
              <w:left w:val="nil"/>
              <w:bottom w:val="nil"/>
              <w:right w:val="nil"/>
            </w:tcBorders>
            <w:noWrap/>
            <w:vAlign w:val="center"/>
            <w:hideMark/>
          </w:tcPr>
          <w:p w14:paraId="42A55146"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16 (10.5%)</w:t>
            </w:r>
          </w:p>
        </w:tc>
        <w:tc>
          <w:tcPr>
            <w:tcW w:w="515" w:type="pct"/>
            <w:tcBorders>
              <w:top w:val="nil"/>
              <w:left w:val="nil"/>
              <w:bottom w:val="nil"/>
              <w:right w:val="nil"/>
            </w:tcBorders>
            <w:noWrap/>
            <w:vAlign w:val="bottom"/>
            <w:hideMark/>
          </w:tcPr>
          <w:p w14:paraId="5B2BC08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3885A33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102 (63.4%)</w:t>
            </w:r>
          </w:p>
        </w:tc>
        <w:tc>
          <w:tcPr>
            <w:tcW w:w="733" w:type="pct"/>
            <w:gridSpan w:val="3"/>
            <w:tcBorders>
              <w:top w:val="nil"/>
              <w:left w:val="nil"/>
              <w:bottom w:val="nil"/>
              <w:right w:val="nil"/>
            </w:tcBorders>
            <w:noWrap/>
            <w:vAlign w:val="bottom"/>
            <w:hideMark/>
          </w:tcPr>
          <w:p w14:paraId="79D2E983"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2B554ED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95.58</w:t>
            </w:r>
          </w:p>
        </w:tc>
        <w:tc>
          <w:tcPr>
            <w:tcW w:w="505" w:type="pct"/>
            <w:gridSpan w:val="2"/>
            <w:tcBorders>
              <w:top w:val="nil"/>
              <w:left w:val="nil"/>
              <w:bottom w:val="nil"/>
              <w:right w:val="nil"/>
            </w:tcBorders>
            <w:noWrap/>
            <w:vAlign w:val="bottom"/>
            <w:hideMark/>
          </w:tcPr>
          <w:p w14:paraId="02BD3D9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36B3881F" w14:textId="77777777" w:rsidTr="008D2FBB">
        <w:trPr>
          <w:trHeight w:val="269"/>
        </w:trPr>
        <w:tc>
          <w:tcPr>
            <w:tcW w:w="1108" w:type="pct"/>
            <w:tcBorders>
              <w:top w:val="nil"/>
              <w:left w:val="nil"/>
              <w:bottom w:val="nil"/>
              <w:right w:val="nil"/>
            </w:tcBorders>
            <w:noWrap/>
            <w:vAlign w:val="bottom"/>
            <w:hideMark/>
          </w:tcPr>
          <w:p w14:paraId="0C5CBB44"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CVA</w:t>
            </w:r>
          </w:p>
        </w:tc>
        <w:tc>
          <w:tcPr>
            <w:tcW w:w="814" w:type="pct"/>
            <w:tcBorders>
              <w:top w:val="nil"/>
              <w:left w:val="nil"/>
              <w:bottom w:val="nil"/>
              <w:right w:val="nil"/>
            </w:tcBorders>
            <w:noWrap/>
            <w:vAlign w:val="center"/>
            <w:hideMark/>
          </w:tcPr>
          <w:p w14:paraId="5C88E2E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14 (9.2%)</w:t>
            </w:r>
          </w:p>
        </w:tc>
        <w:tc>
          <w:tcPr>
            <w:tcW w:w="515" w:type="pct"/>
            <w:tcBorders>
              <w:top w:val="nil"/>
              <w:left w:val="nil"/>
              <w:bottom w:val="nil"/>
              <w:right w:val="nil"/>
            </w:tcBorders>
            <w:noWrap/>
            <w:vAlign w:val="bottom"/>
            <w:hideMark/>
          </w:tcPr>
          <w:p w14:paraId="0A76023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C402F0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19 (11.8%)</w:t>
            </w:r>
          </w:p>
        </w:tc>
        <w:tc>
          <w:tcPr>
            <w:tcW w:w="733" w:type="pct"/>
            <w:gridSpan w:val="3"/>
            <w:tcBorders>
              <w:top w:val="nil"/>
              <w:left w:val="nil"/>
              <w:bottom w:val="nil"/>
              <w:right w:val="nil"/>
            </w:tcBorders>
            <w:noWrap/>
            <w:vAlign w:val="bottom"/>
            <w:hideMark/>
          </w:tcPr>
          <w:p w14:paraId="75591614"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75B0E4B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0.59</w:t>
            </w:r>
          </w:p>
        </w:tc>
        <w:tc>
          <w:tcPr>
            <w:tcW w:w="505" w:type="pct"/>
            <w:gridSpan w:val="2"/>
            <w:tcBorders>
              <w:top w:val="nil"/>
              <w:left w:val="nil"/>
              <w:bottom w:val="nil"/>
              <w:right w:val="nil"/>
            </w:tcBorders>
            <w:noWrap/>
            <w:vAlign w:val="bottom"/>
            <w:hideMark/>
          </w:tcPr>
          <w:p w14:paraId="1E442105"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.444</w:t>
            </w:r>
          </w:p>
        </w:tc>
      </w:tr>
      <w:tr w:rsidR="000D7A84" w:rsidRPr="008E638E" w14:paraId="1E1C1F4E" w14:textId="77777777" w:rsidTr="008D2FBB">
        <w:trPr>
          <w:trHeight w:val="269"/>
        </w:trPr>
        <w:tc>
          <w:tcPr>
            <w:tcW w:w="1108" w:type="pct"/>
            <w:tcBorders>
              <w:top w:val="nil"/>
              <w:left w:val="nil"/>
              <w:bottom w:val="nil"/>
              <w:right w:val="nil"/>
            </w:tcBorders>
            <w:noWrap/>
            <w:vAlign w:val="bottom"/>
            <w:hideMark/>
          </w:tcPr>
          <w:p w14:paraId="2079D5CB"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CAD</w:t>
            </w:r>
          </w:p>
        </w:tc>
        <w:tc>
          <w:tcPr>
            <w:tcW w:w="814" w:type="pct"/>
            <w:tcBorders>
              <w:top w:val="nil"/>
              <w:left w:val="nil"/>
              <w:bottom w:val="nil"/>
              <w:right w:val="nil"/>
            </w:tcBorders>
            <w:noWrap/>
            <w:vAlign w:val="center"/>
            <w:hideMark/>
          </w:tcPr>
          <w:p w14:paraId="7D0B9FF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98 (64.1%)</w:t>
            </w:r>
          </w:p>
        </w:tc>
        <w:tc>
          <w:tcPr>
            <w:tcW w:w="515" w:type="pct"/>
            <w:tcBorders>
              <w:top w:val="nil"/>
              <w:left w:val="nil"/>
              <w:bottom w:val="nil"/>
              <w:right w:val="nil"/>
            </w:tcBorders>
            <w:noWrap/>
            <w:vAlign w:val="bottom"/>
            <w:hideMark/>
          </w:tcPr>
          <w:p w14:paraId="4205A58B"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DACB044"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106 (65.8%)</w:t>
            </w:r>
          </w:p>
        </w:tc>
        <w:tc>
          <w:tcPr>
            <w:tcW w:w="733" w:type="pct"/>
            <w:gridSpan w:val="3"/>
            <w:tcBorders>
              <w:top w:val="nil"/>
              <w:left w:val="nil"/>
              <w:bottom w:val="nil"/>
              <w:right w:val="nil"/>
            </w:tcBorders>
            <w:noWrap/>
            <w:vAlign w:val="bottom"/>
            <w:hideMark/>
          </w:tcPr>
          <w:p w14:paraId="14F31AB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4D53A0B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0.01</w:t>
            </w:r>
          </w:p>
        </w:tc>
        <w:tc>
          <w:tcPr>
            <w:tcW w:w="505" w:type="pct"/>
            <w:gridSpan w:val="2"/>
            <w:tcBorders>
              <w:top w:val="nil"/>
              <w:left w:val="nil"/>
              <w:bottom w:val="nil"/>
              <w:right w:val="nil"/>
            </w:tcBorders>
            <w:noWrap/>
            <w:vAlign w:val="bottom"/>
            <w:hideMark/>
          </w:tcPr>
          <w:p w14:paraId="1C48561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.933</w:t>
            </w:r>
          </w:p>
        </w:tc>
      </w:tr>
      <w:tr w:rsidR="000D7A84" w:rsidRPr="008E638E" w14:paraId="157B2F8D" w14:textId="77777777" w:rsidTr="008D2FBB">
        <w:trPr>
          <w:trHeight w:val="269"/>
        </w:trPr>
        <w:tc>
          <w:tcPr>
            <w:tcW w:w="1108" w:type="pct"/>
            <w:tcBorders>
              <w:top w:val="nil"/>
              <w:left w:val="nil"/>
              <w:bottom w:val="nil"/>
              <w:right w:val="nil"/>
            </w:tcBorders>
            <w:noWrap/>
            <w:vAlign w:val="bottom"/>
            <w:hideMark/>
          </w:tcPr>
          <w:p w14:paraId="37E9B07A"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CKD</w:t>
            </w:r>
          </w:p>
        </w:tc>
        <w:tc>
          <w:tcPr>
            <w:tcW w:w="814" w:type="pct"/>
            <w:tcBorders>
              <w:top w:val="nil"/>
              <w:left w:val="nil"/>
              <w:bottom w:val="nil"/>
              <w:right w:val="nil"/>
            </w:tcBorders>
            <w:noWrap/>
            <w:vAlign w:val="bottom"/>
            <w:hideMark/>
          </w:tcPr>
          <w:p w14:paraId="1B241A8E"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 xml:space="preserve">    45(31.0%)</w:t>
            </w:r>
          </w:p>
        </w:tc>
        <w:tc>
          <w:tcPr>
            <w:tcW w:w="515" w:type="pct"/>
            <w:tcBorders>
              <w:top w:val="nil"/>
              <w:left w:val="nil"/>
              <w:bottom w:val="nil"/>
              <w:right w:val="nil"/>
            </w:tcBorders>
            <w:noWrap/>
            <w:vAlign w:val="bottom"/>
            <w:hideMark/>
          </w:tcPr>
          <w:p w14:paraId="531B721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5EF467D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100(69.0%)</w:t>
            </w:r>
          </w:p>
        </w:tc>
        <w:tc>
          <w:tcPr>
            <w:tcW w:w="733" w:type="pct"/>
            <w:gridSpan w:val="3"/>
            <w:tcBorders>
              <w:top w:val="nil"/>
              <w:left w:val="nil"/>
              <w:bottom w:val="nil"/>
              <w:right w:val="nil"/>
            </w:tcBorders>
            <w:noWrap/>
            <w:vAlign w:val="bottom"/>
            <w:hideMark/>
          </w:tcPr>
          <w:p w14:paraId="613FB51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413DA7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33.75</w:t>
            </w:r>
          </w:p>
        </w:tc>
        <w:tc>
          <w:tcPr>
            <w:tcW w:w="505" w:type="pct"/>
            <w:gridSpan w:val="2"/>
            <w:tcBorders>
              <w:top w:val="nil"/>
              <w:left w:val="nil"/>
              <w:bottom w:val="nil"/>
              <w:right w:val="nil"/>
            </w:tcBorders>
            <w:noWrap/>
            <w:vAlign w:val="bottom"/>
            <w:hideMark/>
          </w:tcPr>
          <w:p w14:paraId="68B2267B"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2341AF0C" w14:textId="77777777" w:rsidTr="008D2FBB">
        <w:trPr>
          <w:trHeight w:val="269"/>
        </w:trPr>
        <w:tc>
          <w:tcPr>
            <w:tcW w:w="1108" w:type="pct"/>
            <w:tcBorders>
              <w:top w:val="nil"/>
              <w:left w:val="nil"/>
              <w:bottom w:val="nil"/>
              <w:right w:val="nil"/>
            </w:tcBorders>
            <w:noWrap/>
            <w:vAlign w:val="bottom"/>
            <w:hideMark/>
          </w:tcPr>
          <w:p w14:paraId="31DBF928"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PVD</w:t>
            </w:r>
          </w:p>
        </w:tc>
        <w:tc>
          <w:tcPr>
            <w:tcW w:w="814" w:type="pct"/>
            <w:tcBorders>
              <w:top w:val="nil"/>
              <w:left w:val="nil"/>
              <w:bottom w:val="nil"/>
              <w:right w:val="nil"/>
            </w:tcBorders>
            <w:noWrap/>
            <w:vAlign w:val="center"/>
            <w:hideMark/>
          </w:tcPr>
          <w:p w14:paraId="5EF2519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 (3.3%)</w:t>
            </w:r>
          </w:p>
        </w:tc>
        <w:tc>
          <w:tcPr>
            <w:tcW w:w="515" w:type="pct"/>
            <w:tcBorders>
              <w:top w:val="nil"/>
              <w:left w:val="nil"/>
              <w:bottom w:val="nil"/>
              <w:right w:val="nil"/>
            </w:tcBorders>
            <w:noWrap/>
            <w:vAlign w:val="bottom"/>
            <w:hideMark/>
          </w:tcPr>
          <w:p w14:paraId="112FFFF2"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797A9956"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12 (7.5%)</w:t>
            </w:r>
          </w:p>
        </w:tc>
        <w:tc>
          <w:tcPr>
            <w:tcW w:w="733" w:type="pct"/>
            <w:gridSpan w:val="3"/>
            <w:tcBorders>
              <w:top w:val="nil"/>
              <w:left w:val="nil"/>
              <w:bottom w:val="nil"/>
              <w:right w:val="nil"/>
            </w:tcBorders>
            <w:noWrap/>
            <w:vAlign w:val="bottom"/>
            <w:hideMark/>
          </w:tcPr>
          <w:p w14:paraId="6F5981C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7D5CEEB"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2.68</w:t>
            </w:r>
          </w:p>
        </w:tc>
        <w:tc>
          <w:tcPr>
            <w:tcW w:w="505" w:type="pct"/>
            <w:gridSpan w:val="2"/>
            <w:tcBorders>
              <w:top w:val="nil"/>
              <w:left w:val="nil"/>
              <w:bottom w:val="nil"/>
              <w:right w:val="nil"/>
            </w:tcBorders>
            <w:noWrap/>
            <w:vAlign w:val="bottom"/>
            <w:hideMark/>
          </w:tcPr>
          <w:p w14:paraId="406FFCCA"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.101</w:t>
            </w:r>
          </w:p>
        </w:tc>
      </w:tr>
      <w:tr w:rsidR="000D7A84" w:rsidRPr="008E638E" w14:paraId="4E9491CA" w14:textId="77777777" w:rsidTr="008D2FBB">
        <w:trPr>
          <w:trHeight w:val="269"/>
        </w:trPr>
        <w:tc>
          <w:tcPr>
            <w:tcW w:w="1108" w:type="pct"/>
            <w:tcBorders>
              <w:top w:val="nil"/>
              <w:left w:val="nil"/>
              <w:bottom w:val="nil"/>
              <w:right w:val="nil"/>
            </w:tcBorders>
            <w:noWrap/>
            <w:vAlign w:val="bottom"/>
            <w:hideMark/>
          </w:tcPr>
          <w:p w14:paraId="29E514C9"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COPD</w:t>
            </w:r>
          </w:p>
        </w:tc>
        <w:tc>
          <w:tcPr>
            <w:tcW w:w="814" w:type="pct"/>
            <w:tcBorders>
              <w:top w:val="nil"/>
              <w:left w:val="nil"/>
              <w:bottom w:val="nil"/>
              <w:right w:val="nil"/>
            </w:tcBorders>
            <w:noWrap/>
            <w:vAlign w:val="center"/>
            <w:hideMark/>
          </w:tcPr>
          <w:p w14:paraId="545B2A0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 (5.2%)</w:t>
            </w:r>
          </w:p>
        </w:tc>
        <w:tc>
          <w:tcPr>
            <w:tcW w:w="515" w:type="pct"/>
            <w:tcBorders>
              <w:top w:val="nil"/>
              <w:left w:val="nil"/>
              <w:bottom w:val="nil"/>
              <w:right w:val="nil"/>
            </w:tcBorders>
            <w:noWrap/>
            <w:vAlign w:val="bottom"/>
            <w:hideMark/>
          </w:tcPr>
          <w:p w14:paraId="4869160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027FEF0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22 (13.7%)</w:t>
            </w:r>
          </w:p>
        </w:tc>
        <w:tc>
          <w:tcPr>
            <w:tcW w:w="733" w:type="pct"/>
            <w:gridSpan w:val="3"/>
            <w:tcBorders>
              <w:top w:val="nil"/>
              <w:left w:val="nil"/>
              <w:bottom w:val="nil"/>
              <w:right w:val="nil"/>
            </w:tcBorders>
            <w:noWrap/>
            <w:vAlign w:val="bottom"/>
            <w:hideMark/>
          </w:tcPr>
          <w:p w14:paraId="0102A90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E1A58B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6.46</w:t>
            </w:r>
          </w:p>
        </w:tc>
        <w:tc>
          <w:tcPr>
            <w:tcW w:w="505" w:type="pct"/>
            <w:gridSpan w:val="2"/>
            <w:tcBorders>
              <w:top w:val="nil"/>
              <w:left w:val="nil"/>
              <w:bottom w:val="nil"/>
              <w:right w:val="nil"/>
            </w:tcBorders>
            <w:noWrap/>
            <w:vAlign w:val="bottom"/>
            <w:hideMark/>
          </w:tcPr>
          <w:p w14:paraId="33C95A2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.011*</w:t>
            </w:r>
          </w:p>
        </w:tc>
      </w:tr>
      <w:tr w:rsidR="000D7A84" w:rsidRPr="008E638E" w14:paraId="3CCAA786" w14:textId="77777777" w:rsidTr="008D2FBB">
        <w:trPr>
          <w:trHeight w:val="269"/>
        </w:trPr>
        <w:tc>
          <w:tcPr>
            <w:tcW w:w="1108" w:type="pct"/>
            <w:tcBorders>
              <w:top w:val="nil"/>
              <w:left w:val="nil"/>
              <w:bottom w:val="nil"/>
              <w:right w:val="nil"/>
            </w:tcBorders>
            <w:noWrap/>
            <w:vAlign w:val="bottom"/>
            <w:hideMark/>
          </w:tcPr>
          <w:p w14:paraId="34A9C362"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NYHA      Class 1</w:t>
            </w:r>
          </w:p>
        </w:tc>
        <w:tc>
          <w:tcPr>
            <w:tcW w:w="814" w:type="pct"/>
            <w:tcBorders>
              <w:top w:val="nil"/>
              <w:left w:val="nil"/>
              <w:bottom w:val="nil"/>
              <w:right w:val="nil"/>
            </w:tcBorders>
            <w:noWrap/>
            <w:vAlign w:val="center"/>
            <w:hideMark/>
          </w:tcPr>
          <w:p w14:paraId="6FB947A3"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4 (44.4%)</w:t>
            </w:r>
          </w:p>
        </w:tc>
        <w:tc>
          <w:tcPr>
            <w:tcW w:w="515" w:type="pct"/>
            <w:tcBorders>
              <w:top w:val="nil"/>
              <w:left w:val="nil"/>
              <w:bottom w:val="nil"/>
              <w:right w:val="nil"/>
            </w:tcBorders>
            <w:noWrap/>
            <w:vAlign w:val="bottom"/>
            <w:hideMark/>
          </w:tcPr>
          <w:p w14:paraId="31FE2B88"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7ED8C8DC"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 (55.6%)</w:t>
            </w:r>
          </w:p>
        </w:tc>
        <w:tc>
          <w:tcPr>
            <w:tcW w:w="733" w:type="pct"/>
            <w:gridSpan w:val="3"/>
            <w:tcBorders>
              <w:top w:val="nil"/>
              <w:left w:val="nil"/>
              <w:bottom w:val="nil"/>
              <w:right w:val="nil"/>
            </w:tcBorders>
            <w:noWrap/>
            <w:vAlign w:val="bottom"/>
            <w:hideMark/>
          </w:tcPr>
          <w:p w14:paraId="5D9E929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tcPr>
          <w:p w14:paraId="276974B5" w14:textId="34167969"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tcPr>
          <w:p w14:paraId="13AF07CB" w14:textId="764E4769" w:rsidR="000D7A84" w:rsidRPr="008E638E" w:rsidRDefault="000D7A84" w:rsidP="006D6635">
            <w:pPr>
              <w:spacing w:after="0" w:line="360" w:lineRule="auto"/>
              <w:jc w:val="center"/>
              <w:rPr>
                <w:rFonts w:ascii="Times New Roman" w:eastAsia="Times New Roman" w:hAnsi="Times New Roman" w:cs="Times New Roman"/>
                <w:sz w:val="20"/>
                <w:szCs w:val="20"/>
              </w:rPr>
            </w:pPr>
          </w:p>
        </w:tc>
      </w:tr>
      <w:tr w:rsidR="000D7A84" w:rsidRPr="008E638E" w14:paraId="50E3796C" w14:textId="77777777" w:rsidTr="008D2FBB">
        <w:trPr>
          <w:trHeight w:val="269"/>
        </w:trPr>
        <w:tc>
          <w:tcPr>
            <w:tcW w:w="1108" w:type="pct"/>
            <w:tcBorders>
              <w:top w:val="nil"/>
              <w:left w:val="nil"/>
              <w:bottom w:val="nil"/>
              <w:right w:val="nil"/>
            </w:tcBorders>
            <w:noWrap/>
            <w:vAlign w:val="bottom"/>
            <w:hideMark/>
          </w:tcPr>
          <w:p w14:paraId="4589A309" w14:textId="77777777" w:rsidR="000D7A84" w:rsidRPr="00DD3EAA" w:rsidRDefault="000D7A84" w:rsidP="006D6635">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2</w:t>
            </w:r>
          </w:p>
        </w:tc>
        <w:tc>
          <w:tcPr>
            <w:tcW w:w="814" w:type="pct"/>
            <w:tcBorders>
              <w:top w:val="nil"/>
              <w:left w:val="nil"/>
              <w:bottom w:val="nil"/>
              <w:right w:val="nil"/>
            </w:tcBorders>
            <w:noWrap/>
            <w:vAlign w:val="center"/>
            <w:hideMark/>
          </w:tcPr>
          <w:p w14:paraId="4C406490"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65 (54.6%)</w:t>
            </w:r>
          </w:p>
        </w:tc>
        <w:tc>
          <w:tcPr>
            <w:tcW w:w="515" w:type="pct"/>
            <w:tcBorders>
              <w:top w:val="nil"/>
              <w:left w:val="nil"/>
              <w:bottom w:val="nil"/>
              <w:right w:val="nil"/>
            </w:tcBorders>
            <w:noWrap/>
            <w:vAlign w:val="bottom"/>
            <w:hideMark/>
          </w:tcPr>
          <w:p w14:paraId="5D5ECF6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tcPr>
          <w:p w14:paraId="1947ECF4"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54 (45.4%)</w:t>
            </w:r>
          </w:p>
        </w:tc>
        <w:tc>
          <w:tcPr>
            <w:tcW w:w="733" w:type="pct"/>
            <w:gridSpan w:val="3"/>
            <w:tcBorders>
              <w:top w:val="nil"/>
              <w:left w:val="nil"/>
              <w:bottom w:val="nil"/>
              <w:right w:val="nil"/>
            </w:tcBorders>
            <w:noWrap/>
            <w:vAlign w:val="bottom"/>
            <w:hideMark/>
          </w:tcPr>
          <w:p w14:paraId="7759FF24"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29DF24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106369EE"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 </w:t>
            </w:r>
          </w:p>
        </w:tc>
      </w:tr>
      <w:tr w:rsidR="000D7A84" w:rsidRPr="008E638E" w14:paraId="49957468" w14:textId="77777777" w:rsidTr="008D2FBB">
        <w:trPr>
          <w:trHeight w:val="269"/>
        </w:trPr>
        <w:tc>
          <w:tcPr>
            <w:tcW w:w="1108" w:type="pct"/>
            <w:tcBorders>
              <w:top w:val="nil"/>
              <w:left w:val="nil"/>
              <w:bottom w:val="nil"/>
              <w:right w:val="nil"/>
            </w:tcBorders>
            <w:noWrap/>
            <w:vAlign w:val="bottom"/>
            <w:hideMark/>
          </w:tcPr>
          <w:p w14:paraId="41B5F349" w14:textId="77777777" w:rsidR="000D7A84" w:rsidRPr="00DD3EAA" w:rsidRDefault="000D7A84" w:rsidP="006D6635">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3</w:t>
            </w:r>
          </w:p>
        </w:tc>
        <w:tc>
          <w:tcPr>
            <w:tcW w:w="814" w:type="pct"/>
            <w:tcBorders>
              <w:top w:val="nil"/>
              <w:left w:val="nil"/>
              <w:bottom w:val="nil"/>
              <w:right w:val="nil"/>
            </w:tcBorders>
            <w:noWrap/>
            <w:vAlign w:val="center"/>
            <w:hideMark/>
          </w:tcPr>
          <w:p w14:paraId="7C430332"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85 (50.9%)</w:t>
            </w:r>
          </w:p>
        </w:tc>
        <w:tc>
          <w:tcPr>
            <w:tcW w:w="515" w:type="pct"/>
            <w:tcBorders>
              <w:top w:val="nil"/>
              <w:left w:val="nil"/>
              <w:bottom w:val="nil"/>
              <w:right w:val="nil"/>
            </w:tcBorders>
            <w:noWrap/>
            <w:vAlign w:val="bottom"/>
            <w:hideMark/>
          </w:tcPr>
          <w:p w14:paraId="31DE808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tcPr>
          <w:p w14:paraId="3FF5ECD9"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81 (49.1%)</w:t>
            </w:r>
          </w:p>
        </w:tc>
        <w:tc>
          <w:tcPr>
            <w:tcW w:w="733" w:type="pct"/>
            <w:gridSpan w:val="3"/>
            <w:tcBorders>
              <w:top w:val="nil"/>
              <w:left w:val="nil"/>
              <w:bottom w:val="nil"/>
              <w:right w:val="nil"/>
            </w:tcBorders>
            <w:noWrap/>
            <w:vAlign w:val="bottom"/>
            <w:hideMark/>
          </w:tcPr>
          <w:p w14:paraId="588C1BF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1218E7F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6087820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 </w:t>
            </w:r>
          </w:p>
        </w:tc>
      </w:tr>
      <w:tr w:rsidR="008D2FBB" w:rsidRPr="00DD3EAA" w14:paraId="2E59589B" w14:textId="77777777" w:rsidTr="008D2FBB">
        <w:trPr>
          <w:trHeight w:val="269"/>
        </w:trPr>
        <w:tc>
          <w:tcPr>
            <w:tcW w:w="1108" w:type="pct"/>
            <w:tcBorders>
              <w:top w:val="nil"/>
              <w:left w:val="nil"/>
              <w:bottom w:val="single" w:sz="4" w:space="0" w:color="auto"/>
              <w:right w:val="nil"/>
            </w:tcBorders>
            <w:noWrap/>
            <w:vAlign w:val="bottom"/>
            <w:hideMark/>
          </w:tcPr>
          <w:p w14:paraId="059F9666" w14:textId="77777777" w:rsidR="008D2FBB" w:rsidRPr="00DD3EAA" w:rsidRDefault="008D2FBB" w:rsidP="008D2FBB">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4</w:t>
            </w:r>
          </w:p>
        </w:tc>
        <w:tc>
          <w:tcPr>
            <w:tcW w:w="814" w:type="pct"/>
            <w:tcBorders>
              <w:top w:val="nil"/>
              <w:left w:val="nil"/>
              <w:bottom w:val="single" w:sz="4" w:space="0" w:color="auto"/>
              <w:right w:val="nil"/>
            </w:tcBorders>
            <w:noWrap/>
            <w:vAlign w:val="center"/>
            <w:hideMark/>
          </w:tcPr>
          <w:p w14:paraId="565967A6"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0 (0%)</w:t>
            </w:r>
          </w:p>
        </w:tc>
        <w:tc>
          <w:tcPr>
            <w:tcW w:w="515" w:type="pct"/>
            <w:tcBorders>
              <w:top w:val="nil"/>
              <w:left w:val="nil"/>
              <w:bottom w:val="single" w:sz="4" w:space="0" w:color="auto"/>
              <w:right w:val="nil"/>
            </w:tcBorders>
            <w:noWrap/>
            <w:vAlign w:val="bottom"/>
            <w:hideMark/>
          </w:tcPr>
          <w:p w14:paraId="3EEA25AB"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single" w:sz="4" w:space="0" w:color="auto"/>
              <w:right w:val="nil"/>
            </w:tcBorders>
            <w:noWrap/>
            <w:vAlign w:val="center"/>
          </w:tcPr>
          <w:p w14:paraId="37B3ED35"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11(100%)</w:t>
            </w:r>
          </w:p>
        </w:tc>
        <w:tc>
          <w:tcPr>
            <w:tcW w:w="733" w:type="pct"/>
            <w:gridSpan w:val="3"/>
            <w:tcBorders>
              <w:top w:val="nil"/>
              <w:left w:val="nil"/>
              <w:bottom w:val="single" w:sz="4" w:space="0" w:color="auto"/>
              <w:right w:val="nil"/>
            </w:tcBorders>
            <w:noWrap/>
            <w:vAlign w:val="bottom"/>
            <w:hideMark/>
          </w:tcPr>
          <w:p w14:paraId="0C9FED2A" w14:textId="77777777" w:rsidR="008D2FBB" w:rsidRPr="008E638E" w:rsidRDefault="008D2FBB" w:rsidP="008D2FBB">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single" w:sz="4" w:space="0" w:color="auto"/>
              <w:right w:val="nil"/>
            </w:tcBorders>
            <w:noWrap/>
            <w:vAlign w:val="bottom"/>
            <w:hideMark/>
          </w:tcPr>
          <w:p w14:paraId="6E5A0EBD" w14:textId="751EDB7C" w:rsidR="008D2FBB" w:rsidRPr="008E638E" w:rsidRDefault="008D2FBB" w:rsidP="008D2FBB">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12.17</w:t>
            </w:r>
          </w:p>
        </w:tc>
        <w:tc>
          <w:tcPr>
            <w:tcW w:w="505" w:type="pct"/>
            <w:gridSpan w:val="2"/>
            <w:tcBorders>
              <w:top w:val="nil"/>
              <w:left w:val="nil"/>
              <w:bottom w:val="single" w:sz="4" w:space="0" w:color="auto"/>
              <w:right w:val="nil"/>
            </w:tcBorders>
            <w:noWrap/>
            <w:vAlign w:val="bottom"/>
            <w:hideMark/>
          </w:tcPr>
          <w:p w14:paraId="0FF4687E" w14:textId="3BD70AB3" w:rsidR="008D2FBB" w:rsidRPr="008E638E" w:rsidRDefault="008D2FBB" w:rsidP="008D2FBB">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.007*</w:t>
            </w:r>
          </w:p>
        </w:tc>
      </w:tr>
    </w:tbl>
    <w:p w14:paraId="1E0AA148" w14:textId="279B1D1E" w:rsidR="000D7A84" w:rsidRPr="00563FEB" w:rsidRDefault="000D7A84" w:rsidP="00563FEB">
      <w:pPr>
        <w:rPr>
          <w:rFonts w:asciiTheme="majorBidi" w:hAnsiTheme="majorBidi" w:cstheme="majorBidi"/>
          <w:sz w:val="18"/>
          <w:szCs w:val="18"/>
        </w:rPr>
      </w:pPr>
      <w:r w:rsidRPr="00DD3EAA">
        <w:rPr>
          <w:rFonts w:asciiTheme="majorBidi" w:hAnsiTheme="majorBidi" w:cstheme="majorBidi"/>
          <w:sz w:val="18"/>
          <w:szCs w:val="18"/>
        </w:rPr>
        <w:t>Note: data are presented as mean ± SD or number (%) of subjects. * P&lt;0.05</w:t>
      </w:r>
      <w:r w:rsidR="00186707">
        <w:rPr>
          <w:rFonts w:asciiTheme="majorBidi" w:hAnsiTheme="majorBidi" w:cstheme="majorBidi"/>
          <w:sz w:val="18"/>
          <w:szCs w:val="18"/>
        </w:rPr>
        <w:t xml:space="preserve">. DM, Diabetes; HTN, </w:t>
      </w:r>
      <w:proofErr w:type="gramStart"/>
      <w:r w:rsidR="00186707" w:rsidRPr="00537471">
        <w:rPr>
          <w:rFonts w:ascii="Times New Roman" w:eastAsia="Times New Roman" w:hAnsi="Times New Roman" w:cs="Times New Roman"/>
          <w:sz w:val="24"/>
          <w:szCs w:val="24"/>
        </w:rPr>
        <w:t>hypertension</w:t>
      </w:r>
      <w:r w:rsidR="00186707">
        <w:rPr>
          <w:rFonts w:asciiTheme="majorBidi" w:hAnsiTheme="majorBidi" w:cstheme="majorBidi"/>
          <w:sz w:val="18"/>
          <w:szCs w:val="18"/>
        </w:rPr>
        <w:t>;CVA, ;</w:t>
      </w:r>
      <w:proofErr w:type="gramEnd"/>
      <w:r w:rsidR="00186707">
        <w:rPr>
          <w:rFonts w:asciiTheme="majorBidi" w:hAnsiTheme="majorBidi" w:cstheme="majorBidi"/>
          <w:sz w:val="18"/>
          <w:szCs w:val="18"/>
        </w:rPr>
        <w:t xml:space="preserve"> CAD</w:t>
      </w:r>
      <w:proofErr w:type="gramStart"/>
      <w:r w:rsidR="00186707">
        <w:rPr>
          <w:rFonts w:asciiTheme="majorBidi" w:hAnsiTheme="majorBidi" w:cstheme="majorBidi"/>
          <w:sz w:val="18"/>
          <w:szCs w:val="18"/>
        </w:rPr>
        <w:t>, ;</w:t>
      </w:r>
      <w:proofErr w:type="gramEnd"/>
      <w:r w:rsidR="00186707">
        <w:rPr>
          <w:rFonts w:asciiTheme="majorBidi" w:hAnsiTheme="majorBidi" w:cstheme="majorBidi"/>
          <w:sz w:val="18"/>
          <w:szCs w:val="18"/>
        </w:rPr>
        <w:t xml:space="preserve"> CKD</w:t>
      </w:r>
      <w:proofErr w:type="gramStart"/>
      <w:r w:rsidR="00186707">
        <w:rPr>
          <w:rFonts w:asciiTheme="majorBidi" w:hAnsiTheme="majorBidi" w:cstheme="majorBidi"/>
          <w:sz w:val="18"/>
          <w:szCs w:val="18"/>
        </w:rPr>
        <w:t>, ;</w:t>
      </w:r>
      <w:proofErr w:type="gramEnd"/>
      <w:r w:rsidR="00186707">
        <w:rPr>
          <w:rFonts w:asciiTheme="majorBidi" w:hAnsiTheme="majorBidi" w:cstheme="majorBidi"/>
          <w:sz w:val="18"/>
          <w:szCs w:val="18"/>
        </w:rPr>
        <w:t xml:space="preserve"> PVD</w:t>
      </w:r>
      <w:proofErr w:type="gramStart"/>
      <w:r w:rsidR="00186707">
        <w:rPr>
          <w:rFonts w:asciiTheme="majorBidi" w:hAnsiTheme="majorBidi" w:cstheme="majorBidi"/>
          <w:sz w:val="18"/>
          <w:szCs w:val="18"/>
        </w:rPr>
        <w:t>, ;</w:t>
      </w:r>
      <w:proofErr w:type="gramEnd"/>
      <w:r w:rsidR="00186707">
        <w:rPr>
          <w:rFonts w:asciiTheme="majorBidi" w:hAnsiTheme="majorBidi" w:cstheme="majorBidi"/>
          <w:sz w:val="18"/>
          <w:szCs w:val="18"/>
        </w:rPr>
        <w:t xml:space="preserve"> COPD</w:t>
      </w:r>
      <w:proofErr w:type="gramStart"/>
      <w:r w:rsidR="00186707">
        <w:rPr>
          <w:rFonts w:asciiTheme="majorBidi" w:hAnsiTheme="majorBidi" w:cstheme="majorBidi"/>
          <w:sz w:val="18"/>
          <w:szCs w:val="18"/>
        </w:rPr>
        <w:t>, ;</w:t>
      </w:r>
      <w:proofErr w:type="gramEnd"/>
      <w:r w:rsidR="00186707">
        <w:rPr>
          <w:rFonts w:asciiTheme="majorBidi" w:hAnsiTheme="majorBidi" w:cstheme="majorBidi"/>
          <w:sz w:val="18"/>
          <w:szCs w:val="18"/>
        </w:rPr>
        <w:t xml:space="preserve"> </w:t>
      </w:r>
      <w:proofErr w:type="gramStart"/>
      <w:r w:rsidR="00186707">
        <w:rPr>
          <w:rFonts w:asciiTheme="majorBidi" w:hAnsiTheme="majorBidi" w:cstheme="majorBidi"/>
          <w:sz w:val="18"/>
          <w:szCs w:val="18"/>
        </w:rPr>
        <w:t xml:space="preserve">NYHA,  </w:t>
      </w:r>
      <w:r w:rsidR="00C82EAE">
        <w:rPr>
          <w:rFonts w:asciiTheme="majorBidi" w:hAnsiTheme="majorBidi" w:cstheme="majorBidi"/>
          <w:sz w:val="18"/>
          <w:szCs w:val="18"/>
        </w:rPr>
        <w:t>New</w:t>
      </w:r>
      <w:proofErr w:type="gramEnd"/>
      <w:r w:rsidR="00C82EAE">
        <w:rPr>
          <w:rFonts w:asciiTheme="majorBidi" w:hAnsiTheme="majorBidi" w:cstheme="majorBidi"/>
          <w:sz w:val="18"/>
          <w:szCs w:val="18"/>
        </w:rPr>
        <w:t xml:space="preserve"> York Heart Association.</w:t>
      </w:r>
    </w:p>
    <w:p w14:paraId="0DEFC9B3"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2F167284" w14:textId="77777777" w:rsidR="00563FEB" w:rsidRDefault="00563FEB" w:rsidP="000D7A84">
      <w:pPr>
        <w:spacing w:before="100" w:beforeAutospacing="1" w:after="100" w:afterAutospacing="1" w:line="240" w:lineRule="auto"/>
        <w:rPr>
          <w:rFonts w:ascii="Times New Roman" w:eastAsia="Times New Roman" w:hAnsi="Times New Roman" w:cs="Times New Roman"/>
          <w:b/>
          <w:bCs/>
          <w:sz w:val="24"/>
          <w:szCs w:val="24"/>
        </w:rPr>
      </w:pPr>
    </w:p>
    <w:p w14:paraId="48EF442B"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74E5916E"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4832455E"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18DA0713"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7F4E150D" w14:textId="77777777" w:rsidR="000D7A84" w:rsidRPr="00B21CDC"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B21CDC">
        <w:rPr>
          <w:rFonts w:ascii="Times New Roman" w:eastAsia="Times New Roman" w:hAnsi="Times New Roman" w:cs="Times New Roman"/>
          <w:b/>
          <w:bCs/>
          <w:sz w:val="24"/>
          <w:szCs w:val="24"/>
        </w:rPr>
        <w:t>Table 2.</w:t>
      </w:r>
      <w:r w:rsidRPr="00B21CDC">
        <w:rPr>
          <w:rFonts w:ascii="Times New Roman" w:eastAsia="Times New Roman" w:hAnsi="Times New Roman" w:cs="Times New Roman"/>
          <w:sz w:val="24"/>
          <w:szCs w:val="24"/>
        </w:rPr>
        <w:t xml:space="preserve"> Clinical and laboratory parameters of NCRS and CRS1 patients.</w:t>
      </w:r>
    </w:p>
    <w:tbl>
      <w:tblPr>
        <w:tblW w:w="8402" w:type="dxa"/>
        <w:tblLook w:val="04A0" w:firstRow="1" w:lastRow="0" w:firstColumn="1" w:lastColumn="0" w:noHBand="0" w:noVBand="1"/>
      </w:tblPr>
      <w:tblGrid>
        <w:gridCol w:w="3060"/>
        <w:gridCol w:w="69"/>
        <w:gridCol w:w="1834"/>
        <w:gridCol w:w="326"/>
        <w:gridCol w:w="111"/>
        <w:gridCol w:w="125"/>
        <w:gridCol w:w="1765"/>
        <w:gridCol w:w="125"/>
        <w:gridCol w:w="231"/>
        <w:gridCol w:w="631"/>
        <w:gridCol w:w="125"/>
      </w:tblGrid>
      <w:tr w:rsidR="00300509" w:rsidRPr="00FB6AE8" w14:paraId="0F876D65" w14:textId="77777777" w:rsidTr="00300509">
        <w:trPr>
          <w:gridAfter w:val="1"/>
          <w:wAfter w:w="125" w:type="dxa"/>
          <w:trHeight w:val="193"/>
        </w:trPr>
        <w:tc>
          <w:tcPr>
            <w:tcW w:w="3060" w:type="dxa"/>
            <w:tcBorders>
              <w:top w:val="single" w:sz="4" w:space="0" w:color="auto"/>
              <w:left w:val="nil"/>
              <w:bottom w:val="single" w:sz="4" w:space="0" w:color="auto"/>
              <w:right w:val="nil"/>
            </w:tcBorders>
            <w:noWrap/>
            <w:vAlign w:val="bottom"/>
            <w:hideMark/>
          </w:tcPr>
          <w:p w14:paraId="718A99EB"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Clinical Picture</w:t>
            </w:r>
          </w:p>
        </w:tc>
        <w:tc>
          <w:tcPr>
            <w:tcW w:w="2340" w:type="dxa"/>
            <w:gridSpan w:val="4"/>
            <w:tcBorders>
              <w:top w:val="single" w:sz="4" w:space="0" w:color="auto"/>
              <w:left w:val="nil"/>
              <w:bottom w:val="single" w:sz="4" w:space="0" w:color="auto"/>
              <w:right w:val="nil"/>
            </w:tcBorders>
            <w:noWrap/>
            <w:vAlign w:val="bottom"/>
            <w:hideMark/>
          </w:tcPr>
          <w:p w14:paraId="6D3FB27F"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xml:space="preserve"> NCRS</w:t>
            </w:r>
          </w:p>
        </w:tc>
        <w:tc>
          <w:tcPr>
            <w:tcW w:w="2246" w:type="dxa"/>
            <w:gridSpan w:val="4"/>
            <w:tcBorders>
              <w:top w:val="single" w:sz="4" w:space="0" w:color="auto"/>
              <w:left w:val="nil"/>
              <w:bottom w:val="single" w:sz="4" w:space="0" w:color="auto"/>
              <w:right w:val="nil"/>
            </w:tcBorders>
            <w:noWrap/>
            <w:vAlign w:val="bottom"/>
            <w:hideMark/>
          </w:tcPr>
          <w:p w14:paraId="3FAFA228"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CRS1</w:t>
            </w:r>
          </w:p>
        </w:tc>
        <w:tc>
          <w:tcPr>
            <w:tcW w:w="631" w:type="dxa"/>
            <w:tcBorders>
              <w:top w:val="single" w:sz="4" w:space="0" w:color="auto"/>
              <w:left w:val="nil"/>
              <w:bottom w:val="single" w:sz="4" w:space="0" w:color="auto"/>
              <w:right w:val="nil"/>
            </w:tcBorders>
            <w:noWrap/>
            <w:vAlign w:val="bottom"/>
            <w:hideMark/>
          </w:tcPr>
          <w:p w14:paraId="43F455AC" w14:textId="77777777" w:rsidR="00300509" w:rsidRPr="00C53AEF" w:rsidRDefault="00300509" w:rsidP="006D6635">
            <w:pPr>
              <w:spacing w:after="0" w:line="480" w:lineRule="auto"/>
              <w:jc w:val="center"/>
              <w:rPr>
                <w:rFonts w:ascii="Times New Roman" w:eastAsia="Times New Roman" w:hAnsi="Times New Roman" w:cs="Times New Roman"/>
                <w:b/>
                <w:bCs/>
                <w:sz w:val="20"/>
                <w:szCs w:val="20"/>
              </w:rPr>
            </w:pPr>
            <w:r w:rsidRPr="00C53AEF">
              <w:rPr>
                <w:rFonts w:ascii="Times New Roman" w:eastAsia="Times New Roman" w:hAnsi="Times New Roman" w:cs="Times New Roman"/>
                <w:b/>
                <w:bCs/>
                <w:sz w:val="20"/>
                <w:szCs w:val="20"/>
              </w:rPr>
              <w:t> </w:t>
            </w:r>
          </w:p>
        </w:tc>
      </w:tr>
      <w:tr w:rsidR="00300509" w:rsidRPr="00FB6AE8" w14:paraId="39B83B46" w14:textId="77777777" w:rsidTr="00300509">
        <w:trPr>
          <w:gridAfter w:val="1"/>
          <w:wAfter w:w="125" w:type="dxa"/>
          <w:trHeight w:val="193"/>
        </w:trPr>
        <w:tc>
          <w:tcPr>
            <w:tcW w:w="3060" w:type="dxa"/>
            <w:tcBorders>
              <w:top w:val="single" w:sz="4" w:space="0" w:color="auto"/>
              <w:left w:val="nil"/>
              <w:bottom w:val="single" w:sz="4" w:space="0" w:color="auto"/>
              <w:right w:val="nil"/>
            </w:tcBorders>
            <w:noWrap/>
            <w:vAlign w:val="bottom"/>
            <w:hideMark/>
          </w:tcPr>
          <w:p w14:paraId="597C813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w:t>
            </w:r>
          </w:p>
        </w:tc>
        <w:tc>
          <w:tcPr>
            <w:tcW w:w="1903" w:type="dxa"/>
            <w:gridSpan w:val="2"/>
            <w:tcBorders>
              <w:top w:val="single" w:sz="4" w:space="0" w:color="auto"/>
              <w:left w:val="nil"/>
              <w:bottom w:val="single" w:sz="4" w:space="0" w:color="auto"/>
              <w:right w:val="nil"/>
            </w:tcBorders>
            <w:noWrap/>
            <w:vAlign w:val="bottom"/>
            <w:hideMark/>
          </w:tcPr>
          <w:p w14:paraId="1876572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M ± SD</w:t>
            </w:r>
          </w:p>
        </w:tc>
        <w:tc>
          <w:tcPr>
            <w:tcW w:w="437" w:type="dxa"/>
            <w:gridSpan w:val="2"/>
            <w:tcBorders>
              <w:top w:val="single" w:sz="4" w:space="0" w:color="auto"/>
              <w:left w:val="nil"/>
              <w:bottom w:val="single" w:sz="4" w:space="0" w:color="auto"/>
              <w:right w:val="nil"/>
            </w:tcBorders>
            <w:noWrap/>
            <w:vAlign w:val="bottom"/>
          </w:tcPr>
          <w:p w14:paraId="0EF9444A" w14:textId="77777777" w:rsidR="00300509" w:rsidRPr="00FB6AE8" w:rsidRDefault="00300509" w:rsidP="006D6635">
            <w:pPr>
              <w:spacing w:after="0" w:line="480" w:lineRule="auto"/>
              <w:jc w:val="center"/>
              <w:rPr>
                <w:rFonts w:ascii="Times New Roman" w:eastAsia="Times New Roman" w:hAnsi="Times New Roman" w:cs="Times New Roman"/>
                <w:sz w:val="20"/>
                <w:szCs w:val="20"/>
              </w:rPr>
            </w:pPr>
          </w:p>
        </w:tc>
        <w:tc>
          <w:tcPr>
            <w:tcW w:w="1890" w:type="dxa"/>
            <w:gridSpan w:val="2"/>
            <w:tcBorders>
              <w:top w:val="single" w:sz="4" w:space="0" w:color="auto"/>
              <w:left w:val="nil"/>
              <w:bottom w:val="single" w:sz="4" w:space="0" w:color="auto"/>
              <w:right w:val="nil"/>
            </w:tcBorders>
            <w:noWrap/>
            <w:vAlign w:val="bottom"/>
            <w:hideMark/>
          </w:tcPr>
          <w:p w14:paraId="0BBD804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M ± SD</w:t>
            </w:r>
          </w:p>
        </w:tc>
        <w:tc>
          <w:tcPr>
            <w:tcW w:w="987" w:type="dxa"/>
            <w:gridSpan w:val="3"/>
            <w:tcBorders>
              <w:top w:val="single" w:sz="4" w:space="0" w:color="auto"/>
              <w:left w:val="nil"/>
              <w:bottom w:val="single" w:sz="4" w:space="0" w:color="auto"/>
              <w:right w:val="nil"/>
            </w:tcBorders>
            <w:noWrap/>
            <w:vAlign w:val="bottom"/>
            <w:hideMark/>
          </w:tcPr>
          <w:p w14:paraId="672CB8BE"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p</w:t>
            </w:r>
          </w:p>
        </w:tc>
      </w:tr>
      <w:tr w:rsidR="00300509" w:rsidRPr="00FB6AE8" w14:paraId="2055C724" w14:textId="77777777" w:rsidTr="00300509">
        <w:trPr>
          <w:gridAfter w:val="1"/>
          <w:wAfter w:w="125" w:type="dxa"/>
          <w:trHeight w:val="193"/>
        </w:trPr>
        <w:tc>
          <w:tcPr>
            <w:tcW w:w="3060" w:type="dxa"/>
            <w:tcBorders>
              <w:top w:val="nil"/>
              <w:left w:val="nil"/>
              <w:bottom w:val="nil"/>
              <w:right w:val="nil"/>
            </w:tcBorders>
            <w:vAlign w:val="bottom"/>
            <w:hideMark/>
          </w:tcPr>
          <w:p w14:paraId="6BC6B5A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HR</w:t>
            </w:r>
          </w:p>
        </w:tc>
        <w:tc>
          <w:tcPr>
            <w:tcW w:w="1903" w:type="dxa"/>
            <w:gridSpan w:val="2"/>
            <w:tcBorders>
              <w:top w:val="nil"/>
              <w:left w:val="nil"/>
              <w:bottom w:val="nil"/>
              <w:right w:val="nil"/>
            </w:tcBorders>
            <w:noWrap/>
            <w:hideMark/>
          </w:tcPr>
          <w:p w14:paraId="4132F37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87.45 ± 15.61  </w:t>
            </w:r>
          </w:p>
        </w:tc>
        <w:tc>
          <w:tcPr>
            <w:tcW w:w="437" w:type="dxa"/>
            <w:gridSpan w:val="2"/>
            <w:tcBorders>
              <w:top w:val="nil"/>
              <w:left w:val="nil"/>
              <w:bottom w:val="nil"/>
              <w:right w:val="nil"/>
            </w:tcBorders>
            <w:noWrap/>
            <w:vAlign w:val="bottom"/>
          </w:tcPr>
          <w:p w14:paraId="5AB25652"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6A675F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80.55 ± 13.18  </w:t>
            </w:r>
          </w:p>
        </w:tc>
        <w:tc>
          <w:tcPr>
            <w:tcW w:w="987" w:type="dxa"/>
            <w:gridSpan w:val="3"/>
            <w:tcBorders>
              <w:top w:val="nil"/>
              <w:left w:val="nil"/>
              <w:bottom w:val="nil"/>
              <w:right w:val="nil"/>
            </w:tcBorders>
            <w:noWrap/>
            <w:vAlign w:val="bottom"/>
            <w:hideMark/>
          </w:tcPr>
          <w:p w14:paraId="752ED2B1"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626C88D3" w14:textId="77777777" w:rsidTr="00300509">
        <w:trPr>
          <w:gridAfter w:val="1"/>
          <w:wAfter w:w="125" w:type="dxa"/>
          <w:trHeight w:val="193"/>
        </w:trPr>
        <w:tc>
          <w:tcPr>
            <w:tcW w:w="3060" w:type="dxa"/>
            <w:tcBorders>
              <w:top w:val="nil"/>
              <w:left w:val="nil"/>
              <w:bottom w:val="nil"/>
              <w:right w:val="nil"/>
            </w:tcBorders>
            <w:hideMark/>
          </w:tcPr>
          <w:p w14:paraId="15C566B4" w14:textId="29CDBD84"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hAnsi="Times New Roman" w:cs="Times New Roman"/>
                <w:color w:val="000000" w:themeColor="text1"/>
                <w:sz w:val="20"/>
                <w:szCs w:val="20"/>
              </w:rPr>
              <w:t>Hemoglobin(g/dl)</w:t>
            </w:r>
          </w:p>
        </w:tc>
        <w:tc>
          <w:tcPr>
            <w:tcW w:w="1903" w:type="dxa"/>
            <w:gridSpan w:val="2"/>
            <w:tcBorders>
              <w:top w:val="nil"/>
              <w:left w:val="nil"/>
              <w:bottom w:val="nil"/>
              <w:right w:val="nil"/>
            </w:tcBorders>
            <w:noWrap/>
            <w:hideMark/>
          </w:tcPr>
          <w:p w14:paraId="5101CAD3" w14:textId="05C4F907"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hAnsi="Times New Roman" w:cs="Times New Roman"/>
                <w:color w:val="000000" w:themeColor="text1"/>
                <w:sz w:val="20"/>
                <w:szCs w:val="20"/>
              </w:rPr>
              <w:t>11.67 ± 2.03</w:t>
            </w:r>
          </w:p>
        </w:tc>
        <w:tc>
          <w:tcPr>
            <w:tcW w:w="437" w:type="dxa"/>
            <w:gridSpan w:val="2"/>
            <w:tcBorders>
              <w:top w:val="nil"/>
              <w:left w:val="nil"/>
              <w:bottom w:val="nil"/>
              <w:right w:val="nil"/>
            </w:tcBorders>
            <w:noWrap/>
            <w:vAlign w:val="bottom"/>
          </w:tcPr>
          <w:p w14:paraId="4CCEECC6" w14:textId="77777777" w:rsidR="00300509" w:rsidRPr="00FB6AE8" w:rsidRDefault="00300509" w:rsidP="001B7EEB">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395E45E4" w14:textId="3584416B"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eastAsia="Times New Roman" w:hAnsi="Times New Roman" w:cs="Times New Roman"/>
                <w:color w:val="000000" w:themeColor="text1"/>
                <w:sz w:val="20"/>
                <w:szCs w:val="20"/>
              </w:rPr>
              <w:t xml:space="preserve">11.05 </w:t>
            </w:r>
            <w:r w:rsidRPr="0024794C">
              <w:rPr>
                <w:rFonts w:ascii="Times New Roman" w:hAnsi="Times New Roman" w:cs="Times New Roman"/>
                <w:color w:val="000000" w:themeColor="text1"/>
                <w:sz w:val="20"/>
                <w:szCs w:val="20"/>
              </w:rPr>
              <w:t>± 2.13</w:t>
            </w:r>
          </w:p>
        </w:tc>
        <w:tc>
          <w:tcPr>
            <w:tcW w:w="987" w:type="dxa"/>
            <w:gridSpan w:val="3"/>
            <w:tcBorders>
              <w:top w:val="nil"/>
              <w:left w:val="nil"/>
              <w:bottom w:val="nil"/>
              <w:right w:val="nil"/>
            </w:tcBorders>
            <w:noWrap/>
            <w:vAlign w:val="bottom"/>
            <w:hideMark/>
          </w:tcPr>
          <w:p w14:paraId="3F2AA79A" w14:textId="16C73649" w:rsidR="00300509" w:rsidRPr="00C53AEF" w:rsidRDefault="00300509" w:rsidP="001B7EEB">
            <w:pPr>
              <w:spacing w:after="0" w:line="480" w:lineRule="auto"/>
              <w:jc w:val="center"/>
              <w:rPr>
                <w:rFonts w:ascii="Times New Roman" w:eastAsia="Times New Roman" w:hAnsi="Times New Roman" w:cs="Times New Roman"/>
                <w:sz w:val="20"/>
                <w:szCs w:val="20"/>
              </w:rPr>
            </w:pPr>
            <w:r w:rsidRPr="0024794C">
              <w:rPr>
                <w:rFonts w:ascii="Times New Roman" w:eastAsia="Times New Roman" w:hAnsi="Times New Roman" w:cs="Times New Roman"/>
                <w:color w:val="000000" w:themeColor="text1"/>
                <w:sz w:val="20"/>
                <w:szCs w:val="20"/>
              </w:rPr>
              <w:t>.009*</w:t>
            </w:r>
          </w:p>
        </w:tc>
      </w:tr>
      <w:tr w:rsidR="00300509" w:rsidRPr="00FB6AE8" w14:paraId="2B771744" w14:textId="77777777" w:rsidTr="00300509">
        <w:trPr>
          <w:gridAfter w:val="1"/>
          <w:wAfter w:w="125" w:type="dxa"/>
          <w:trHeight w:val="193"/>
        </w:trPr>
        <w:tc>
          <w:tcPr>
            <w:tcW w:w="3060" w:type="dxa"/>
            <w:tcBorders>
              <w:top w:val="nil"/>
              <w:left w:val="nil"/>
              <w:bottom w:val="nil"/>
              <w:right w:val="nil"/>
            </w:tcBorders>
            <w:hideMark/>
          </w:tcPr>
          <w:p w14:paraId="78C9E43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Hematocrit</w:t>
            </w:r>
          </w:p>
        </w:tc>
        <w:tc>
          <w:tcPr>
            <w:tcW w:w="1903" w:type="dxa"/>
            <w:gridSpan w:val="2"/>
            <w:tcBorders>
              <w:top w:val="nil"/>
              <w:left w:val="nil"/>
              <w:bottom w:val="nil"/>
              <w:right w:val="nil"/>
            </w:tcBorders>
            <w:noWrap/>
            <w:hideMark/>
          </w:tcPr>
          <w:p w14:paraId="7445CCFA" w14:textId="584D5B9C"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0.</w:t>
            </w:r>
            <w:r>
              <w:rPr>
                <w:rFonts w:ascii="Times New Roman" w:hAnsi="Times New Roman" w:cs="Times New Roman"/>
                <w:sz w:val="20"/>
                <w:szCs w:val="20"/>
              </w:rPr>
              <w:t>36</w:t>
            </w:r>
            <w:r w:rsidRPr="00FB6AE8">
              <w:rPr>
                <w:rFonts w:ascii="Times New Roman" w:hAnsi="Times New Roman" w:cs="Times New Roman"/>
                <w:sz w:val="20"/>
                <w:szCs w:val="20"/>
              </w:rPr>
              <w:t xml:space="preserve"> ± 0.</w:t>
            </w:r>
            <w:r>
              <w:rPr>
                <w:rFonts w:ascii="Times New Roman" w:hAnsi="Times New Roman" w:cs="Times New Roman"/>
                <w:sz w:val="20"/>
                <w:szCs w:val="20"/>
              </w:rPr>
              <w:t>0</w:t>
            </w:r>
            <w:r w:rsidRPr="00FB6AE8">
              <w:rPr>
                <w:rFonts w:ascii="Times New Roman" w:hAnsi="Times New Roman" w:cs="Times New Roman"/>
                <w:sz w:val="20"/>
                <w:szCs w:val="20"/>
              </w:rPr>
              <w:t xml:space="preserve">6  </w:t>
            </w:r>
          </w:p>
        </w:tc>
        <w:tc>
          <w:tcPr>
            <w:tcW w:w="437" w:type="dxa"/>
            <w:gridSpan w:val="2"/>
            <w:tcBorders>
              <w:top w:val="nil"/>
              <w:left w:val="nil"/>
              <w:bottom w:val="nil"/>
              <w:right w:val="nil"/>
            </w:tcBorders>
            <w:noWrap/>
            <w:vAlign w:val="bottom"/>
          </w:tcPr>
          <w:p w14:paraId="34D58456"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E42B845" w14:textId="17236EB2"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0.</w:t>
            </w:r>
            <w:r>
              <w:rPr>
                <w:rFonts w:ascii="Times New Roman" w:hAnsi="Times New Roman" w:cs="Times New Roman"/>
                <w:sz w:val="20"/>
                <w:szCs w:val="20"/>
              </w:rPr>
              <w:t>34</w:t>
            </w:r>
            <w:r w:rsidRPr="00FB6AE8">
              <w:rPr>
                <w:rFonts w:ascii="Times New Roman" w:hAnsi="Times New Roman" w:cs="Times New Roman"/>
                <w:sz w:val="20"/>
                <w:szCs w:val="20"/>
              </w:rPr>
              <w:t xml:space="preserve"> ± </w:t>
            </w:r>
            <w:r>
              <w:rPr>
                <w:rFonts w:ascii="Times New Roman" w:hAnsi="Times New Roman" w:cs="Times New Roman"/>
                <w:sz w:val="20"/>
                <w:szCs w:val="20"/>
              </w:rPr>
              <w:t>0.07</w:t>
            </w:r>
            <w:r w:rsidRPr="00FB6AE8">
              <w:rPr>
                <w:rFonts w:ascii="Times New Roman" w:hAnsi="Times New Roman" w:cs="Times New Roman"/>
                <w:sz w:val="20"/>
                <w:szCs w:val="20"/>
              </w:rPr>
              <w:t xml:space="preserve">  </w:t>
            </w:r>
          </w:p>
        </w:tc>
        <w:tc>
          <w:tcPr>
            <w:tcW w:w="987" w:type="dxa"/>
            <w:gridSpan w:val="3"/>
            <w:tcBorders>
              <w:top w:val="nil"/>
              <w:left w:val="nil"/>
              <w:bottom w:val="nil"/>
              <w:right w:val="nil"/>
            </w:tcBorders>
            <w:noWrap/>
            <w:vAlign w:val="bottom"/>
            <w:hideMark/>
          </w:tcPr>
          <w:p w14:paraId="14C02C7B" w14:textId="23B507FB"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w:t>
            </w:r>
            <w:r>
              <w:rPr>
                <w:rFonts w:ascii="Times New Roman" w:eastAsia="Times New Roman" w:hAnsi="Times New Roman" w:cs="Times New Roman"/>
                <w:sz w:val="20"/>
                <w:szCs w:val="20"/>
              </w:rPr>
              <w:t>027*</w:t>
            </w:r>
          </w:p>
        </w:tc>
      </w:tr>
      <w:tr w:rsidR="00300509" w:rsidRPr="00FB6AE8" w14:paraId="77489EAD" w14:textId="77777777" w:rsidTr="00300509">
        <w:trPr>
          <w:gridAfter w:val="1"/>
          <w:wAfter w:w="125" w:type="dxa"/>
          <w:trHeight w:val="193"/>
        </w:trPr>
        <w:tc>
          <w:tcPr>
            <w:tcW w:w="3060" w:type="dxa"/>
            <w:tcBorders>
              <w:top w:val="nil"/>
              <w:left w:val="nil"/>
              <w:bottom w:val="nil"/>
              <w:right w:val="nil"/>
            </w:tcBorders>
            <w:hideMark/>
          </w:tcPr>
          <w:p w14:paraId="12C4687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lastRenderedPageBreak/>
              <w:t xml:space="preserve">Serum </w:t>
            </w:r>
            <w:proofErr w:type="spellStart"/>
            <w:r w:rsidRPr="00FB6AE8">
              <w:rPr>
                <w:rFonts w:ascii="Times New Roman" w:hAnsi="Times New Roman" w:cs="Times New Roman"/>
                <w:sz w:val="20"/>
                <w:szCs w:val="20"/>
              </w:rPr>
              <w:t>K</w:t>
            </w:r>
            <w:r w:rsidRPr="00FB6AE8">
              <w:rPr>
                <w:rFonts w:ascii="Gadugi" w:hAnsi="Gadugi" w:cs="Gadugi"/>
                <w:sz w:val="20"/>
                <w:szCs w:val="20"/>
              </w:rPr>
              <w:t>ᐩ</w:t>
            </w:r>
            <w:proofErr w:type="spellEnd"/>
          </w:p>
        </w:tc>
        <w:tc>
          <w:tcPr>
            <w:tcW w:w="1903" w:type="dxa"/>
            <w:gridSpan w:val="2"/>
            <w:tcBorders>
              <w:top w:val="nil"/>
              <w:left w:val="nil"/>
              <w:bottom w:val="nil"/>
              <w:right w:val="nil"/>
            </w:tcBorders>
            <w:noWrap/>
            <w:hideMark/>
          </w:tcPr>
          <w:p w14:paraId="13E8722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4.29 ± 0.60  </w:t>
            </w:r>
          </w:p>
        </w:tc>
        <w:tc>
          <w:tcPr>
            <w:tcW w:w="437" w:type="dxa"/>
            <w:gridSpan w:val="2"/>
            <w:tcBorders>
              <w:top w:val="nil"/>
              <w:left w:val="nil"/>
              <w:bottom w:val="nil"/>
              <w:right w:val="nil"/>
            </w:tcBorders>
            <w:noWrap/>
            <w:vAlign w:val="bottom"/>
          </w:tcPr>
          <w:p w14:paraId="576F07BF"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989073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4.40 ± 0.59  </w:t>
            </w:r>
          </w:p>
        </w:tc>
        <w:tc>
          <w:tcPr>
            <w:tcW w:w="987" w:type="dxa"/>
            <w:gridSpan w:val="3"/>
            <w:tcBorders>
              <w:top w:val="nil"/>
              <w:left w:val="nil"/>
              <w:bottom w:val="nil"/>
              <w:right w:val="nil"/>
            </w:tcBorders>
            <w:noWrap/>
            <w:vAlign w:val="bottom"/>
            <w:hideMark/>
          </w:tcPr>
          <w:p w14:paraId="58E228EB"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.114</w:t>
            </w:r>
          </w:p>
        </w:tc>
      </w:tr>
      <w:tr w:rsidR="00300509" w:rsidRPr="00FB6AE8" w14:paraId="6F50F6C7" w14:textId="77777777" w:rsidTr="00300509">
        <w:trPr>
          <w:gridAfter w:val="1"/>
          <w:wAfter w:w="125" w:type="dxa"/>
          <w:trHeight w:val="193"/>
        </w:trPr>
        <w:tc>
          <w:tcPr>
            <w:tcW w:w="3060" w:type="dxa"/>
            <w:tcBorders>
              <w:top w:val="nil"/>
              <w:left w:val="nil"/>
              <w:bottom w:val="nil"/>
              <w:right w:val="nil"/>
            </w:tcBorders>
            <w:hideMark/>
          </w:tcPr>
          <w:p w14:paraId="37FC54D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Serum </w:t>
            </w:r>
            <w:proofErr w:type="spellStart"/>
            <w:r w:rsidRPr="00FB6AE8">
              <w:rPr>
                <w:rFonts w:ascii="Times New Roman" w:hAnsi="Times New Roman" w:cs="Times New Roman"/>
                <w:sz w:val="20"/>
                <w:szCs w:val="20"/>
              </w:rPr>
              <w:t>Na</w:t>
            </w:r>
            <w:r w:rsidRPr="00FB6AE8">
              <w:rPr>
                <w:rFonts w:ascii="Gadugi" w:hAnsi="Gadugi" w:cs="Gadugi"/>
                <w:sz w:val="20"/>
                <w:szCs w:val="20"/>
              </w:rPr>
              <w:t>ᐩ</w:t>
            </w:r>
            <w:proofErr w:type="spellEnd"/>
          </w:p>
        </w:tc>
        <w:tc>
          <w:tcPr>
            <w:tcW w:w="1903" w:type="dxa"/>
            <w:gridSpan w:val="2"/>
            <w:tcBorders>
              <w:top w:val="nil"/>
              <w:left w:val="nil"/>
              <w:bottom w:val="nil"/>
              <w:right w:val="nil"/>
            </w:tcBorders>
            <w:noWrap/>
            <w:hideMark/>
          </w:tcPr>
          <w:p w14:paraId="664FE85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135.04 ± 5.82  </w:t>
            </w:r>
          </w:p>
        </w:tc>
        <w:tc>
          <w:tcPr>
            <w:tcW w:w="437" w:type="dxa"/>
            <w:gridSpan w:val="2"/>
            <w:tcBorders>
              <w:top w:val="nil"/>
              <w:left w:val="nil"/>
              <w:bottom w:val="nil"/>
              <w:right w:val="nil"/>
            </w:tcBorders>
            <w:noWrap/>
            <w:vAlign w:val="bottom"/>
          </w:tcPr>
          <w:p w14:paraId="22922854"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C21F19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133.35 ± 5.24  </w:t>
            </w:r>
          </w:p>
        </w:tc>
        <w:tc>
          <w:tcPr>
            <w:tcW w:w="987" w:type="dxa"/>
            <w:gridSpan w:val="3"/>
            <w:tcBorders>
              <w:top w:val="nil"/>
              <w:left w:val="nil"/>
              <w:bottom w:val="nil"/>
              <w:right w:val="nil"/>
            </w:tcBorders>
            <w:noWrap/>
            <w:vAlign w:val="bottom"/>
            <w:hideMark/>
          </w:tcPr>
          <w:p w14:paraId="7B0AFB20"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.007*</w:t>
            </w:r>
          </w:p>
        </w:tc>
      </w:tr>
      <w:tr w:rsidR="00300509" w:rsidRPr="00FB6AE8" w14:paraId="45DE37B1" w14:textId="77777777" w:rsidTr="00300509">
        <w:trPr>
          <w:gridAfter w:val="1"/>
          <w:wAfter w:w="125" w:type="dxa"/>
          <w:trHeight w:val="193"/>
        </w:trPr>
        <w:tc>
          <w:tcPr>
            <w:tcW w:w="3060" w:type="dxa"/>
            <w:tcBorders>
              <w:top w:val="nil"/>
              <w:left w:val="nil"/>
              <w:bottom w:val="nil"/>
              <w:right w:val="nil"/>
            </w:tcBorders>
            <w:hideMark/>
          </w:tcPr>
          <w:p w14:paraId="10182FC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Cl⁻</w:t>
            </w:r>
          </w:p>
        </w:tc>
        <w:tc>
          <w:tcPr>
            <w:tcW w:w="1903" w:type="dxa"/>
            <w:gridSpan w:val="2"/>
            <w:tcBorders>
              <w:top w:val="nil"/>
              <w:left w:val="nil"/>
              <w:bottom w:val="nil"/>
              <w:right w:val="nil"/>
            </w:tcBorders>
            <w:noWrap/>
            <w:hideMark/>
          </w:tcPr>
          <w:p w14:paraId="0AEC8B2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98.76 ± 10.58  </w:t>
            </w:r>
          </w:p>
        </w:tc>
        <w:tc>
          <w:tcPr>
            <w:tcW w:w="437" w:type="dxa"/>
            <w:gridSpan w:val="2"/>
            <w:tcBorders>
              <w:top w:val="nil"/>
              <w:left w:val="nil"/>
              <w:bottom w:val="nil"/>
              <w:right w:val="nil"/>
            </w:tcBorders>
            <w:noWrap/>
            <w:vAlign w:val="bottom"/>
          </w:tcPr>
          <w:p w14:paraId="2FA4208E"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4681ADF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98.11 ± 6.57  </w:t>
            </w:r>
          </w:p>
        </w:tc>
        <w:tc>
          <w:tcPr>
            <w:tcW w:w="987" w:type="dxa"/>
            <w:gridSpan w:val="3"/>
            <w:tcBorders>
              <w:top w:val="nil"/>
              <w:left w:val="nil"/>
              <w:bottom w:val="nil"/>
              <w:right w:val="nil"/>
            </w:tcBorders>
            <w:noWrap/>
            <w:vAlign w:val="bottom"/>
            <w:hideMark/>
          </w:tcPr>
          <w:p w14:paraId="4528B616"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.511</w:t>
            </w:r>
          </w:p>
        </w:tc>
      </w:tr>
      <w:tr w:rsidR="00300509" w:rsidRPr="00FB6AE8" w14:paraId="25B8FD0B" w14:textId="77777777" w:rsidTr="00300509">
        <w:trPr>
          <w:gridAfter w:val="1"/>
          <w:wAfter w:w="125" w:type="dxa"/>
          <w:trHeight w:val="193"/>
        </w:trPr>
        <w:tc>
          <w:tcPr>
            <w:tcW w:w="3060" w:type="dxa"/>
            <w:tcBorders>
              <w:top w:val="nil"/>
              <w:left w:val="nil"/>
              <w:bottom w:val="nil"/>
              <w:right w:val="nil"/>
            </w:tcBorders>
            <w:hideMark/>
          </w:tcPr>
          <w:p w14:paraId="790B690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Adj Ca</w:t>
            </w:r>
            <w:r w:rsidRPr="00FB6AE8">
              <w:rPr>
                <w:rFonts w:ascii="Times New Roman" w:hAnsi="Times New Roman" w:cs="Times New Roman"/>
                <w:sz w:val="20"/>
                <w:szCs w:val="20"/>
                <w:vertAlign w:val="superscript"/>
              </w:rPr>
              <w:t>2</w:t>
            </w:r>
            <w:r w:rsidRPr="00FB6AE8">
              <w:rPr>
                <w:rFonts w:ascii="Gadugi" w:hAnsi="Gadugi" w:cs="Gadugi"/>
                <w:sz w:val="20"/>
                <w:szCs w:val="20"/>
                <w:vertAlign w:val="superscript"/>
              </w:rPr>
              <w:t>ᐩ</w:t>
            </w:r>
          </w:p>
        </w:tc>
        <w:tc>
          <w:tcPr>
            <w:tcW w:w="1903" w:type="dxa"/>
            <w:gridSpan w:val="2"/>
            <w:tcBorders>
              <w:top w:val="nil"/>
              <w:left w:val="nil"/>
              <w:bottom w:val="nil"/>
              <w:right w:val="nil"/>
            </w:tcBorders>
            <w:noWrap/>
            <w:hideMark/>
          </w:tcPr>
          <w:p w14:paraId="45C80DD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2.31 ± 0.16  </w:t>
            </w:r>
          </w:p>
        </w:tc>
        <w:tc>
          <w:tcPr>
            <w:tcW w:w="437" w:type="dxa"/>
            <w:gridSpan w:val="2"/>
            <w:tcBorders>
              <w:top w:val="nil"/>
              <w:left w:val="nil"/>
              <w:bottom w:val="nil"/>
              <w:right w:val="nil"/>
            </w:tcBorders>
            <w:noWrap/>
            <w:vAlign w:val="bottom"/>
          </w:tcPr>
          <w:p w14:paraId="26C735FD"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436EF8B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2.32 ± 0.23  </w:t>
            </w:r>
          </w:p>
        </w:tc>
        <w:tc>
          <w:tcPr>
            <w:tcW w:w="987" w:type="dxa"/>
            <w:gridSpan w:val="3"/>
            <w:tcBorders>
              <w:top w:val="nil"/>
              <w:left w:val="nil"/>
              <w:bottom w:val="nil"/>
              <w:right w:val="nil"/>
            </w:tcBorders>
            <w:noWrap/>
            <w:vAlign w:val="bottom"/>
            <w:hideMark/>
          </w:tcPr>
          <w:p w14:paraId="3A4FE2B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.892</w:t>
            </w:r>
          </w:p>
        </w:tc>
      </w:tr>
      <w:tr w:rsidR="00300509" w:rsidRPr="00FB6AE8" w14:paraId="629625DF" w14:textId="77777777" w:rsidTr="00300509">
        <w:trPr>
          <w:gridAfter w:val="1"/>
          <w:wAfter w:w="125" w:type="dxa"/>
          <w:trHeight w:val="193"/>
        </w:trPr>
        <w:tc>
          <w:tcPr>
            <w:tcW w:w="3060" w:type="dxa"/>
            <w:tcBorders>
              <w:top w:val="nil"/>
              <w:left w:val="nil"/>
              <w:bottom w:val="nil"/>
              <w:right w:val="nil"/>
            </w:tcBorders>
            <w:hideMark/>
          </w:tcPr>
          <w:p w14:paraId="44D046D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PO4</w:t>
            </w:r>
            <w:r w:rsidRPr="00FB6AE8">
              <w:rPr>
                <w:rFonts w:ascii="Times New Roman" w:hAnsi="Times New Roman" w:cs="Times New Roman"/>
                <w:sz w:val="20"/>
                <w:szCs w:val="20"/>
                <w:vertAlign w:val="superscript"/>
              </w:rPr>
              <w:t>3-</w:t>
            </w:r>
          </w:p>
        </w:tc>
        <w:tc>
          <w:tcPr>
            <w:tcW w:w="1903" w:type="dxa"/>
            <w:gridSpan w:val="2"/>
            <w:tcBorders>
              <w:top w:val="nil"/>
              <w:left w:val="nil"/>
              <w:bottom w:val="nil"/>
              <w:right w:val="nil"/>
            </w:tcBorders>
            <w:noWrap/>
            <w:hideMark/>
          </w:tcPr>
          <w:p w14:paraId="0539A62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1.22 ± 0.28  </w:t>
            </w:r>
          </w:p>
        </w:tc>
        <w:tc>
          <w:tcPr>
            <w:tcW w:w="437" w:type="dxa"/>
            <w:gridSpan w:val="2"/>
            <w:tcBorders>
              <w:top w:val="nil"/>
              <w:left w:val="nil"/>
              <w:bottom w:val="nil"/>
              <w:right w:val="nil"/>
            </w:tcBorders>
            <w:noWrap/>
            <w:vAlign w:val="bottom"/>
          </w:tcPr>
          <w:p w14:paraId="0FA7108A"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7323BB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1.41 ± 0.40  </w:t>
            </w:r>
          </w:p>
        </w:tc>
        <w:tc>
          <w:tcPr>
            <w:tcW w:w="987" w:type="dxa"/>
            <w:gridSpan w:val="3"/>
            <w:tcBorders>
              <w:top w:val="nil"/>
              <w:left w:val="nil"/>
              <w:bottom w:val="nil"/>
              <w:right w:val="nil"/>
            </w:tcBorders>
            <w:noWrap/>
            <w:vAlign w:val="bottom"/>
            <w:hideMark/>
          </w:tcPr>
          <w:p w14:paraId="71BC5F0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19AAF337" w14:textId="77777777" w:rsidTr="00300509">
        <w:trPr>
          <w:gridAfter w:val="1"/>
          <w:wAfter w:w="125" w:type="dxa"/>
          <w:trHeight w:val="193"/>
        </w:trPr>
        <w:tc>
          <w:tcPr>
            <w:tcW w:w="3060" w:type="dxa"/>
            <w:tcBorders>
              <w:top w:val="nil"/>
              <w:left w:val="nil"/>
              <w:bottom w:val="nil"/>
              <w:right w:val="nil"/>
            </w:tcBorders>
            <w:hideMark/>
          </w:tcPr>
          <w:p w14:paraId="3537BAC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Albumin (g/l)</w:t>
            </w:r>
          </w:p>
        </w:tc>
        <w:tc>
          <w:tcPr>
            <w:tcW w:w="1903" w:type="dxa"/>
            <w:gridSpan w:val="2"/>
            <w:tcBorders>
              <w:top w:val="nil"/>
              <w:left w:val="nil"/>
              <w:bottom w:val="nil"/>
              <w:right w:val="nil"/>
            </w:tcBorders>
            <w:noWrap/>
            <w:hideMark/>
          </w:tcPr>
          <w:p w14:paraId="3605F55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34.96 ± 4.83  </w:t>
            </w:r>
          </w:p>
        </w:tc>
        <w:tc>
          <w:tcPr>
            <w:tcW w:w="437" w:type="dxa"/>
            <w:gridSpan w:val="2"/>
            <w:tcBorders>
              <w:top w:val="nil"/>
              <w:left w:val="nil"/>
              <w:bottom w:val="nil"/>
              <w:right w:val="nil"/>
            </w:tcBorders>
            <w:noWrap/>
            <w:vAlign w:val="bottom"/>
          </w:tcPr>
          <w:p w14:paraId="1DA193D3"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AB0C63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33.47 ± 5.54  </w:t>
            </w:r>
          </w:p>
        </w:tc>
        <w:tc>
          <w:tcPr>
            <w:tcW w:w="987" w:type="dxa"/>
            <w:gridSpan w:val="3"/>
            <w:tcBorders>
              <w:top w:val="nil"/>
              <w:left w:val="nil"/>
              <w:bottom w:val="nil"/>
              <w:right w:val="nil"/>
            </w:tcBorders>
            <w:noWrap/>
            <w:vAlign w:val="bottom"/>
            <w:hideMark/>
          </w:tcPr>
          <w:p w14:paraId="0FA074BB"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.012*</w:t>
            </w:r>
          </w:p>
        </w:tc>
      </w:tr>
      <w:tr w:rsidR="00300509" w:rsidRPr="00FB6AE8" w14:paraId="1F6AD2A1" w14:textId="77777777" w:rsidTr="00300509">
        <w:trPr>
          <w:gridAfter w:val="1"/>
          <w:wAfter w:w="125" w:type="dxa"/>
          <w:trHeight w:val="193"/>
        </w:trPr>
        <w:tc>
          <w:tcPr>
            <w:tcW w:w="3060" w:type="dxa"/>
            <w:tcBorders>
              <w:top w:val="nil"/>
              <w:left w:val="nil"/>
              <w:bottom w:val="nil"/>
              <w:right w:val="nil"/>
            </w:tcBorders>
            <w:hideMark/>
          </w:tcPr>
          <w:p w14:paraId="4E41512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Uric acid (µmol/l)</w:t>
            </w:r>
          </w:p>
        </w:tc>
        <w:tc>
          <w:tcPr>
            <w:tcW w:w="1903" w:type="dxa"/>
            <w:gridSpan w:val="2"/>
            <w:tcBorders>
              <w:top w:val="nil"/>
              <w:left w:val="nil"/>
              <w:bottom w:val="nil"/>
              <w:right w:val="nil"/>
            </w:tcBorders>
            <w:noWrap/>
            <w:hideMark/>
          </w:tcPr>
          <w:p w14:paraId="3AD4478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432.17 ± 148.15  </w:t>
            </w:r>
          </w:p>
        </w:tc>
        <w:tc>
          <w:tcPr>
            <w:tcW w:w="437" w:type="dxa"/>
            <w:gridSpan w:val="2"/>
            <w:tcBorders>
              <w:top w:val="nil"/>
              <w:left w:val="nil"/>
              <w:bottom w:val="nil"/>
              <w:right w:val="nil"/>
            </w:tcBorders>
            <w:noWrap/>
            <w:vAlign w:val="bottom"/>
          </w:tcPr>
          <w:p w14:paraId="7CC7C1A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65D20C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530.65 ± 170.12  </w:t>
            </w:r>
          </w:p>
        </w:tc>
        <w:tc>
          <w:tcPr>
            <w:tcW w:w="987" w:type="dxa"/>
            <w:gridSpan w:val="3"/>
            <w:tcBorders>
              <w:top w:val="nil"/>
              <w:left w:val="nil"/>
              <w:bottom w:val="nil"/>
              <w:right w:val="nil"/>
            </w:tcBorders>
            <w:noWrap/>
            <w:vAlign w:val="bottom"/>
            <w:hideMark/>
          </w:tcPr>
          <w:p w14:paraId="07994EA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&lt;.001*</w:t>
            </w:r>
          </w:p>
        </w:tc>
      </w:tr>
      <w:tr w:rsidR="00300509" w:rsidRPr="00FB6AE8" w14:paraId="7BEF2BAC" w14:textId="77777777" w:rsidTr="00300509">
        <w:trPr>
          <w:gridAfter w:val="1"/>
          <w:wAfter w:w="125" w:type="dxa"/>
          <w:trHeight w:val="193"/>
        </w:trPr>
        <w:tc>
          <w:tcPr>
            <w:tcW w:w="3060" w:type="dxa"/>
            <w:tcBorders>
              <w:top w:val="nil"/>
              <w:left w:val="nil"/>
              <w:bottom w:val="nil"/>
              <w:right w:val="nil"/>
            </w:tcBorders>
            <w:hideMark/>
          </w:tcPr>
          <w:p w14:paraId="601F374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HCO3⁻</w:t>
            </w:r>
          </w:p>
        </w:tc>
        <w:tc>
          <w:tcPr>
            <w:tcW w:w="1903" w:type="dxa"/>
            <w:gridSpan w:val="2"/>
            <w:tcBorders>
              <w:top w:val="nil"/>
              <w:left w:val="nil"/>
              <w:bottom w:val="nil"/>
              <w:right w:val="nil"/>
            </w:tcBorders>
            <w:noWrap/>
            <w:hideMark/>
          </w:tcPr>
          <w:p w14:paraId="2898F2B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24.23 ± 5.21  </w:t>
            </w:r>
          </w:p>
        </w:tc>
        <w:tc>
          <w:tcPr>
            <w:tcW w:w="437" w:type="dxa"/>
            <w:gridSpan w:val="2"/>
            <w:tcBorders>
              <w:top w:val="nil"/>
              <w:left w:val="nil"/>
              <w:bottom w:val="nil"/>
              <w:right w:val="nil"/>
            </w:tcBorders>
            <w:noWrap/>
            <w:vAlign w:val="bottom"/>
          </w:tcPr>
          <w:p w14:paraId="0EA33DDB"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2788ADF6"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22.22 ± 5.27  </w:t>
            </w:r>
          </w:p>
        </w:tc>
        <w:tc>
          <w:tcPr>
            <w:tcW w:w="987" w:type="dxa"/>
            <w:gridSpan w:val="3"/>
            <w:tcBorders>
              <w:top w:val="nil"/>
              <w:left w:val="nil"/>
              <w:bottom w:val="nil"/>
              <w:right w:val="nil"/>
            </w:tcBorders>
            <w:noWrap/>
            <w:vAlign w:val="bottom"/>
            <w:hideMark/>
          </w:tcPr>
          <w:p w14:paraId="3DEE5993"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.001*</w:t>
            </w:r>
          </w:p>
        </w:tc>
      </w:tr>
      <w:tr w:rsidR="00300509" w:rsidRPr="00FB6AE8" w14:paraId="2604B05B" w14:textId="77777777" w:rsidTr="00300509">
        <w:trPr>
          <w:gridAfter w:val="1"/>
          <w:wAfter w:w="125" w:type="dxa"/>
          <w:trHeight w:val="193"/>
        </w:trPr>
        <w:tc>
          <w:tcPr>
            <w:tcW w:w="3060" w:type="dxa"/>
            <w:tcBorders>
              <w:top w:val="nil"/>
              <w:left w:val="nil"/>
              <w:bottom w:val="nil"/>
              <w:right w:val="nil"/>
            </w:tcBorders>
            <w:vAlign w:val="bottom"/>
            <w:hideMark/>
          </w:tcPr>
          <w:p w14:paraId="216B6C6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Hgb A1c</w:t>
            </w:r>
          </w:p>
        </w:tc>
        <w:tc>
          <w:tcPr>
            <w:tcW w:w="1903" w:type="dxa"/>
            <w:gridSpan w:val="2"/>
            <w:tcBorders>
              <w:top w:val="nil"/>
              <w:left w:val="nil"/>
              <w:bottom w:val="nil"/>
              <w:right w:val="nil"/>
            </w:tcBorders>
            <w:noWrap/>
            <w:hideMark/>
          </w:tcPr>
          <w:p w14:paraId="312B970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7.61 ± 1.89  </w:t>
            </w:r>
          </w:p>
        </w:tc>
        <w:tc>
          <w:tcPr>
            <w:tcW w:w="437" w:type="dxa"/>
            <w:gridSpan w:val="2"/>
            <w:tcBorders>
              <w:top w:val="nil"/>
              <w:left w:val="nil"/>
              <w:bottom w:val="nil"/>
              <w:right w:val="nil"/>
            </w:tcBorders>
            <w:noWrap/>
            <w:vAlign w:val="bottom"/>
          </w:tcPr>
          <w:p w14:paraId="704E6E1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BE2542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7.65 ± 2.02  </w:t>
            </w:r>
          </w:p>
        </w:tc>
        <w:tc>
          <w:tcPr>
            <w:tcW w:w="987" w:type="dxa"/>
            <w:gridSpan w:val="3"/>
            <w:tcBorders>
              <w:top w:val="nil"/>
              <w:left w:val="nil"/>
              <w:bottom w:val="nil"/>
              <w:right w:val="nil"/>
            </w:tcBorders>
            <w:noWrap/>
            <w:vAlign w:val="bottom"/>
            <w:hideMark/>
          </w:tcPr>
          <w:p w14:paraId="42573122"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.855</w:t>
            </w:r>
          </w:p>
        </w:tc>
      </w:tr>
      <w:tr w:rsidR="00300509" w:rsidRPr="00FB6AE8" w14:paraId="21C84589" w14:textId="77777777" w:rsidTr="00300509">
        <w:trPr>
          <w:gridAfter w:val="1"/>
          <w:wAfter w:w="125" w:type="dxa"/>
          <w:trHeight w:val="193"/>
        </w:trPr>
        <w:tc>
          <w:tcPr>
            <w:tcW w:w="3060" w:type="dxa"/>
            <w:tcBorders>
              <w:top w:val="nil"/>
              <w:left w:val="nil"/>
              <w:bottom w:val="nil"/>
              <w:right w:val="nil"/>
            </w:tcBorders>
            <w:vAlign w:val="bottom"/>
            <w:hideMark/>
          </w:tcPr>
          <w:p w14:paraId="1CEE661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RBS</w:t>
            </w:r>
          </w:p>
        </w:tc>
        <w:tc>
          <w:tcPr>
            <w:tcW w:w="1903" w:type="dxa"/>
            <w:gridSpan w:val="2"/>
            <w:tcBorders>
              <w:top w:val="nil"/>
              <w:left w:val="nil"/>
              <w:bottom w:val="nil"/>
              <w:right w:val="nil"/>
            </w:tcBorders>
            <w:noWrap/>
            <w:hideMark/>
          </w:tcPr>
          <w:p w14:paraId="00CEF10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9.74 ± 5.02  </w:t>
            </w:r>
          </w:p>
        </w:tc>
        <w:tc>
          <w:tcPr>
            <w:tcW w:w="437" w:type="dxa"/>
            <w:gridSpan w:val="2"/>
            <w:tcBorders>
              <w:top w:val="nil"/>
              <w:left w:val="nil"/>
              <w:bottom w:val="nil"/>
              <w:right w:val="nil"/>
            </w:tcBorders>
            <w:noWrap/>
            <w:vAlign w:val="bottom"/>
          </w:tcPr>
          <w:p w14:paraId="1E003769"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95A89A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11.02 ± 6.07  </w:t>
            </w:r>
          </w:p>
        </w:tc>
        <w:tc>
          <w:tcPr>
            <w:tcW w:w="987" w:type="dxa"/>
            <w:gridSpan w:val="3"/>
            <w:tcBorders>
              <w:top w:val="nil"/>
              <w:left w:val="nil"/>
              <w:bottom w:val="nil"/>
              <w:right w:val="nil"/>
            </w:tcBorders>
            <w:noWrap/>
            <w:vAlign w:val="bottom"/>
            <w:hideMark/>
          </w:tcPr>
          <w:p w14:paraId="71ECBAD4"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.044*</w:t>
            </w:r>
          </w:p>
        </w:tc>
      </w:tr>
      <w:tr w:rsidR="00300509" w:rsidRPr="00FB6AE8" w14:paraId="14CB1D2C" w14:textId="77777777" w:rsidTr="00300509">
        <w:trPr>
          <w:trHeight w:val="193"/>
        </w:trPr>
        <w:tc>
          <w:tcPr>
            <w:tcW w:w="3129" w:type="dxa"/>
            <w:gridSpan w:val="2"/>
            <w:tcBorders>
              <w:top w:val="nil"/>
              <w:left w:val="nil"/>
              <w:bottom w:val="nil"/>
              <w:right w:val="nil"/>
            </w:tcBorders>
            <w:hideMark/>
          </w:tcPr>
          <w:p w14:paraId="1B206F9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eGFR (ml/min.1.73m</w:t>
            </w:r>
            <w:r w:rsidRPr="00FB6AE8">
              <w:rPr>
                <w:rFonts w:ascii="Times New Roman" w:hAnsi="Times New Roman" w:cs="Times New Roman"/>
                <w:sz w:val="20"/>
                <w:szCs w:val="20"/>
                <w:vertAlign w:val="superscript"/>
              </w:rPr>
              <w:t>2</w:t>
            </w:r>
            <w:r w:rsidRPr="00FB6AE8">
              <w:rPr>
                <w:rFonts w:ascii="Times New Roman" w:hAnsi="Times New Roman" w:cs="Times New Roman"/>
                <w:sz w:val="20"/>
                <w:szCs w:val="20"/>
              </w:rPr>
              <w:t>)</w:t>
            </w:r>
          </w:p>
        </w:tc>
        <w:tc>
          <w:tcPr>
            <w:tcW w:w="2160" w:type="dxa"/>
            <w:gridSpan w:val="2"/>
            <w:tcBorders>
              <w:top w:val="nil"/>
              <w:left w:val="nil"/>
              <w:bottom w:val="nil"/>
              <w:right w:val="nil"/>
            </w:tcBorders>
            <w:noWrap/>
            <w:hideMark/>
          </w:tcPr>
          <w:p w14:paraId="4666A184"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68.71 ± 29.77  </w:t>
            </w:r>
          </w:p>
        </w:tc>
        <w:tc>
          <w:tcPr>
            <w:tcW w:w="236" w:type="dxa"/>
            <w:gridSpan w:val="2"/>
            <w:tcBorders>
              <w:top w:val="nil"/>
              <w:left w:val="nil"/>
              <w:bottom w:val="nil"/>
              <w:right w:val="nil"/>
            </w:tcBorders>
            <w:noWrap/>
            <w:vAlign w:val="bottom"/>
          </w:tcPr>
          <w:p w14:paraId="6A4F29BB"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A00D08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34.20 ± 12.59  </w:t>
            </w:r>
          </w:p>
        </w:tc>
        <w:tc>
          <w:tcPr>
            <w:tcW w:w="987" w:type="dxa"/>
            <w:gridSpan w:val="3"/>
            <w:tcBorders>
              <w:top w:val="nil"/>
              <w:left w:val="nil"/>
              <w:bottom w:val="nil"/>
              <w:right w:val="nil"/>
            </w:tcBorders>
            <w:noWrap/>
            <w:vAlign w:val="bottom"/>
            <w:hideMark/>
          </w:tcPr>
          <w:p w14:paraId="4EEDD32C" w14:textId="77777777" w:rsidR="00300509" w:rsidRPr="00C53AEF" w:rsidRDefault="00300509" w:rsidP="006D6635">
            <w:pPr>
              <w:spacing w:after="0" w:line="480" w:lineRule="auto"/>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 xml:space="preserve"> .000*</w:t>
            </w:r>
          </w:p>
        </w:tc>
      </w:tr>
      <w:tr w:rsidR="00300509" w:rsidRPr="00FB6AE8" w14:paraId="6E7CD2A1" w14:textId="77777777" w:rsidTr="00300509">
        <w:trPr>
          <w:gridAfter w:val="1"/>
          <w:wAfter w:w="125" w:type="dxa"/>
          <w:trHeight w:val="193"/>
        </w:trPr>
        <w:tc>
          <w:tcPr>
            <w:tcW w:w="3060" w:type="dxa"/>
            <w:tcBorders>
              <w:top w:val="nil"/>
              <w:left w:val="nil"/>
              <w:bottom w:val="nil"/>
              <w:right w:val="nil"/>
            </w:tcBorders>
            <w:hideMark/>
          </w:tcPr>
          <w:p w14:paraId="4F2AEC4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creatinine (µmol/l)</w:t>
            </w:r>
          </w:p>
        </w:tc>
        <w:tc>
          <w:tcPr>
            <w:tcW w:w="1903" w:type="dxa"/>
            <w:gridSpan w:val="2"/>
            <w:tcBorders>
              <w:top w:val="nil"/>
              <w:left w:val="nil"/>
              <w:bottom w:val="nil"/>
              <w:right w:val="nil"/>
            </w:tcBorders>
            <w:noWrap/>
            <w:hideMark/>
          </w:tcPr>
          <w:p w14:paraId="3CB79B6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109.97 ± 59.25  </w:t>
            </w:r>
          </w:p>
        </w:tc>
        <w:tc>
          <w:tcPr>
            <w:tcW w:w="437" w:type="dxa"/>
            <w:gridSpan w:val="2"/>
            <w:tcBorders>
              <w:top w:val="nil"/>
              <w:left w:val="nil"/>
              <w:bottom w:val="nil"/>
              <w:right w:val="nil"/>
            </w:tcBorders>
            <w:noWrap/>
            <w:vAlign w:val="bottom"/>
          </w:tcPr>
          <w:p w14:paraId="6AD204C0"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60D326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186.17 ± 78.67  </w:t>
            </w:r>
          </w:p>
        </w:tc>
        <w:tc>
          <w:tcPr>
            <w:tcW w:w="987" w:type="dxa"/>
            <w:gridSpan w:val="3"/>
            <w:tcBorders>
              <w:top w:val="nil"/>
              <w:left w:val="nil"/>
              <w:bottom w:val="nil"/>
              <w:right w:val="nil"/>
            </w:tcBorders>
            <w:noWrap/>
            <w:vAlign w:val="bottom"/>
            <w:hideMark/>
          </w:tcPr>
          <w:p w14:paraId="00B658E4"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181C3705" w14:textId="77777777" w:rsidTr="00300509">
        <w:trPr>
          <w:gridAfter w:val="1"/>
          <w:wAfter w:w="125" w:type="dxa"/>
          <w:trHeight w:val="193"/>
        </w:trPr>
        <w:tc>
          <w:tcPr>
            <w:tcW w:w="3060" w:type="dxa"/>
            <w:tcBorders>
              <w:top w:val="nil"/>
              <w:left w:val="nil"/>
              <w:bottom w:val="nil"/>
              <w:right w:val="nil"/>
            </w:tcBorders>
            <w:hideMark/>
          </w:tcPr>
          <w:p w14:paraId="45A9665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BUN (mmol/l)</w:t>
            </w:r>
          </w:p>
        </w:tc>
        <w:tc>
          <w:tcPr>
            <w:tcW w:w="1903" w:type="dxa"/>
            <w:gridSpan w:val="2"/>
            <w:tcBorders>
              <w:top w:val="nil"/>
              <w:left w:val="nil"/>
              <w:bottom w:val="nil"/>
              <w:right w:val="nil"/>
            </w:tcBorders>
            <w:noWrap/>
            <w:hideMark/>
          </w:tcPr>
          <w:p w14:paraId="0EC82CF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9.19 ± 5.43</w:t>
            </w:r>
          </w:p>
        </w:tc>
        <w:tc>
          <w:tcPr>
            <w:tcW w:w="437" w:type="dxa"/>
            <w:gridSpan w:val="2"/>
            <w:tcBorders>
              <w:top w:val="nil"/>
              <w:left w:val="nil"/>
              <w:bottom w:val="nil"/>
              <w:right w:val="nil"/>
            </w:tcBorders>
            <w:noWrap/>
            <w:vAlign w:val="bottom"/>
          </w:tcPr>
          <w:p w14:paraId="3070CD6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284B69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16.12 ± 7.46</w:t>
            </w:r>
          </w:p>
        </w:tc>
        <w:tc>
          <w:tcPr>
            <w:tcW w:w="987" w:type="dxa"/>
            <w:gridSpan w:val="3"/>
            <w:tcBorders>
              <w:top w:val="nil"/>
              <w:left w:val="nil"/>
              <w:bottom w:val="nil"/>
              <w:right w:val="nil"/>
            </w:tcBorders>
            <w:noWrap/>
            <w:vAlign w:val="bottom"/>
            <w:hideMark/>
          </w:tcPr>
          <w:p w14:paraId="7C6DB741"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79BDF9A3" w14:textId="77777777" w:rsidTr="00300509">
        <w:trPr>
          <w:gridAfter w:val="1"/>
          <w:wAfter w:w="125" w:type="dxa"/>
          <w:trHeight w:val="193"/>
        </w:trPr>
        <w:tc>
          <w:tcPr>
            <w:tcW w:w="3060" w:type="dxa"/>
            <w:tcBorders>
              <w:top w:val="nil"/>
              <w:left w:val="nil"/>
              <w:bottom w:val="nil"/>
              <w:right w:val="nil"/>
            </w:tcBorders>
            <w:vAlign w:val="bottom"/>
            <w:hideMark/>
          </w:tcPr>
          <w:p w14:paraId="0D777EC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Num of Drugs: &lt; 3</w:t>
            </w:r>
          </w:p>
        </w:tc>
        <w:tc>
          <w:tcPr>
            <w:tcW w:w="1903" w:type="dxa"/>
            <w:gridSpan w:val="2"/>
            <w:tcBorders>
              <w:top w:val="nil"/>
              <w:left w:val="nil"/>
              <w:bottom w:val="nil"/>
              <w:right w:val="nil"/>
            </w:tcBorders>
            <w:noWrap/>
            <w:vAlign w:val="bottom"/>
            <w:hideMark/>
          </w:tcPr>
          <w:p w14:paraId="3C476877"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114.00</w:t>
            </w:r>
          </w:p>
        </w:tc>
        <w:tc>
          <w:tcPr>
            <w:tcW w:w="437" w:type="dxa"/>
            <w:gridSpan w:val="2"/>
            <w:tcBorders>
              <w:top w:val="nil"/>
              <w:left w:val="nil"/>
              <w:bottom w:val="nil"/>
              <w:right w:val="nil"/>
            </w:tcBorders>
            <w:noWrap/>
            <w:vAlign w:val="bottom"/>
            <w:hideMark/>
          </w:tcPr>
          <w:p w14:paraId="1A7F84B6"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vAlign w:val="bottom"/>
            <w:hideMark/>
          </w:tcPr>
          <w:p w14:paraId="2912E7A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131.00</w:t>
            </w:r>
          </w:p>
        </w:tc>
        <w:tc>
          <w:tcPr>
            <w:tcW w:w="987" w:type="dxa"/>
            <w:gridSpan w:val="3"/>
            <w:tcBorders>
              <w:top w:val="nil"/>
              <w:left w:val="nil"/>
              <w:bottom w:val="nil"/>
              <w:right w:val="nil"/>
            </w:tcBorders>
            <w:noWrap/>
            <w:vAlign w:val="bottom"/>
            <w:hideMark/>
          </w:tcPr>
          <w:p w14:paraId="5CE5DF8D"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.142</w:t>
            </w:r>
          </w:p>
        </w:tc>
      </w:tr>
      <w:tr w:rsidR="00300509" w:rsidRPr="00FB6AE8" w14:paraId="6E20D691" w14:textId="77777777" w:rsidTr="00300509">
        <w:trPr>
          <w:gridAfter w:val="1"/>
          <w:wAfter w:w="125" w:type="dxa"/>
          <w:trHeight w:val="193"/>
        </w:trPr>
        <w:tc>
          <w:tcPr>
            <w:tcW w:w="3060" w:type="dxa"/>
            <w:tcBorders>
              <w:top w:val="nil"/>
              <w:left w:val="nil"/>
              <w:bottom w:val="single" w:sz="4" w:space="0" w:color="auto"/>
              <w:right w:val="nil"/>
            </w:tcBorders>
            <w:vAlign w:val="bottom"/>
            <w:hideMark/>
          </w:tcPr>
          <w:p w14:paraId="081EE51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                  3 or more</w:t>
            </w:r>
          </w:p>
        </w:tc>
        <w:tc>
          <w:tcPr>
            <w:tcW w:w="1903" w:type="dxa"/>
            <w:gridSpan w:val="2"/>
            <w:tcBorders>
              <w:top w:val="nil"/>
              <w:left w:val="nil"/>
              <w:bottom w:val="single" w:sz="4" w:space="0" w:color="auto"/>
              <w:right w:val="nil"/>
            </w:tcBorders>
            <w:noWrap/>
            <w:vAlign w:val="bottom"/>
            <w:hideMark/>
          </w:tcPr>
          <w:p w14:paraId="24486FF7"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39.00</w:t>
            </w:r>
          </w:p>
        </w:tc>
        <w:tc>
          <w:tcPr>
            <w:tcW w:w="437" w:type="dxa"/>
            <w:gridSpan w:val="2"/>
            <w:tcBorders>
              <w:top w:val="nil"/>
              <w:left w:val="nil"/>
              <w:bottom w:val="single" w:sz="4" w:space="0" w:color="auto"/>
              <w:right w:val="nil"/>
            </w:tcBorders>
            <w:noWrap/>
            <w:vAlign w:val="bottom"/>
            <w:hideMark/>
          </w:tcPr>
          <w:p w14:paraId="09FC15D3"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single" w:sz="4" w:space="0" w:color="auto"/>
              <w:right w:val="nil"/>
            </w:tcBorders>
            <w:noWrap/>
            <w:vAlign w:val="bottom"/>
            <w:hideMark/>
          </w:tcPr>
          <w:p w14:paraId="26DDF0E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60.00</w:t>
            </w:r>
          </w:p>
        </w:tc>
        <w:tc>
          <w:tcPr>
            <w:tcW w:w="987" w:type="dxa"/>
            <w:gridSpan w:val="3"/>
            <w:tcBorders>
              <w:top w:val="nil"/>
              <w:left w:val="nil"/>
              <w:bottom w:val="single" w:sz="4" w:space="0" w:color="auto"/>
              <w:right w:val="nil"/>
            </w:tcBorders>
            <w:noWrap/>
            <w:vAlign w:val="bottom"/>
            <w:hideMark/>
          </w:tcPr>
          <w:p w14:paraId="0BB65D2A"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p>
        </w:tc>
      </w:tr>
    </w:tbl>
    <w:p w14:paraId="7CD46F5C" w14:textId="77777777" w:rsidR="000D7A84" w:rsidRPr="00FB6AE8" w:rsidRDefault="000D7A84" w:rsidP="000D7A84">
      <w:pPr>
        <w:rPr>
          <w:rFonts w:asciiTheme="majorBidi" w:hAnsiTheme="majorBidi" w:cstheme="majorBidi"/>
          <w:sz w:val="18"/>
          <w:szCs w:val="18"/>
        </w:rPr>
      </w:pPr>
      <w:r w:rsidRPr="00DD3EAA">
        <w:rPr>
          <w:rFonts w:asciiTheme="majorBidi" w:hAnsiTheme="majorBidi" w:cstheme="majorBidi"/>
          <w:sz w:val="18"/>
          <w:szCs w:val="18"/>
        </w:rPr>
        <w:t>Note: data are presented as mean ± SD. * P&lt;0.05</w:t>
      </w:r>
    </w:p>
    <w:p w14:paraId="7CC111D5"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15D60A7F"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4F5D7630"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4F8BF74A"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479AA248" w14:textId="77777777" w:rsidR="000D7A84" w:rsidRPr="00124D31"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124D31">
        <w:rPr>
          <w:rFonts w:ascii="Times New Roman" w:eastAsia="Times New Roman" w:hAnsi="Times New Roman" w:cs="Times New Roman"/>
          <w:b/>
          <w:bCs/>
          <w:sz w:val="24"/>
          <w:szCs w:val="24"/>
        </w:rPr>
        <w:t>Table 3.</w:t>
      </w:r>
      <w:r w:rsidRPr="00124D31">
        <w:rPr>
          <w:rFonts w:ascii="Times New Roman" w:eastAsia="Times New Roman" w:hAnsi="Times New Roman" w:cs="Times New Roman"/>
          <w:sz w:val="24"/>
          <w:szCs w:val="24"/>
        </w:rPr>
        <w:t xml:space="preserve"> Clinical outcomes in NCRS and CRS1 patients.</w:t>
      </w:r>
    </w:p>
    <w:tbl>
      <w:tblPr>
        <w:tblW w:w="5000" w:type="pct"/>
        <w:tblLook w:val="04A0" w:firstRow="1" w:lastRow="0" w:firstColumn="1" w:lastColumn="0" w:noHBand="0" w:noVBand="1"/>
      </w:tblPr>
      <w:tblGrid>
        <w:gridCol w:w="3837"/>
        <w:gridCol w:w="1778"/>
        <w:gridCol w:w="286"/>
        <w:gridCol w:w="1780"/>
        <w:gridCol w:w="818"/>
        <w:gridCol w:w="288"/>
        <w:gridCol w:w="573"/>
      </w:tblGrid>
      <w:tr w:rsidR="000D7A84" w:rsidRPr="00FB6AE8" w14:paraId="645A89D9" w14:textId="77777777" w:rsidTr="006D6635">
        <w:trPr>
          <w:trHeight w:val="264"/>
        </w:trPr>
        <w:tc>
          <w:tcPr>
            <w:tcW w:w="2049" w:type="pct"/>
            <w:tcBorders>
              <w:top w:val="single" w:sz="4" w:space="0" w:color="auto"/>
              <w:left w:val="nil"/>
              <w:bottom w:val="single" w:sz="4" w:space="0" w:color="auto"/>
              <w:right w:val="nil"/>
            </w:tcBorders>
            <w:noWrap/>
            <w:vAlign w:val="bottom"/>
            <w:hideMark/>
          </w:tcPr>
          <w:p w14:paraId="12507A2D"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Clinical Picture</w:t>
            </w:r>
          </w:p>
        </w:tc>
        <w:tc>
          <w:tcPr>
            <w:tcW w:w="950" w:type="pct"/>
            <w:tcBorders>
              <w:top w:val="single" w:sz="4" w:space="0" w:color="auto"/>
              <w:left w:val="nil"/>
              <w:bottom w:val="single" w:sz="4" w:space="0" w:color="auto"/>
              <w:right w:val="nil"/>
            </w:tcBorders>
            <w:noWrap/>
            <w:vAlign w:val="bottom"/>
            <w:hideMark/>
          </w:tcPr>
          <w:p w14:paraId="346BD7E8"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xml:space="preserve"> NCRS</w:t>
            </w:r>
          </w:p>
        </w:tc>
        <w:tc>
          <w:tcPr>
            <w:tcW w:w="1104" w:type="pct"/>
            <w:gridSpan w:val="2"/>
            <w:tcBorders>
              <w:top w:val="single" w:sz="4" w:space="0" w:color="auto"/>
              <w:left w:val="nil"/>
              <w:bottom w:val="single" w:sz="4" w:space="0" w:color="auto"/>
              <w:right w:val="nil"/>
            </w:tcBorders>
            <w:noWrap/>
            <w:vAlign w:val="bottom"/>
            <w:hideMark/>
          </w:tcPr>
          <w:p w14:paraId="2846A4AB"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FB6AE8">
              <w:rPr>
                <w:rFonts w:ascii="Times New Roman" w:eastAsia="Times New Roman" w:hAnsi="Times New Roman" w:cs="Times New Roman"/>
                <w:b/>
                <w:bCs/>
                <w:sz w:val="20"/>
                <w:szCs w:val="20"/>
              </w:rPr>
              <w:t>CRS1</w:t>
            </w:r>
          </w:p>
        </w:tc>
        <w:tc>
          <w:tcPr>
            <w:tcW w:w="591" w:type="pct"/>
            <w:gridSpan w:val="2"/>
            <w:tcBorders>
              <w:top w:val="single" w:sz="4" w:space="0" w:color="auto"/>
              <w:left w:val="nil"/>
              <w:bottom w:val="single" w:sz="4" w:space="0" w:color="auto"/>
              <w:right w:val="nil"/>
            </w:tcBorders>
            <w:noWrap/>
            <w:vAlign w:val="bottom"/>
            <w:hideMark/>
          </w:tcPr>
          <w:p w14:paraId="3927EF3E"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c>
          <w:tcPr>
            <w:tcW w:w="307" w:type="pct"/>
            <w:tcBorders>
              <w:top w:val="single" w:sz="4" w:space="0" w:color="auto"/>
              <w:left w:val="nil"/>
              <w:bottom w:val="single" w:sz="4" w:space="0" w:color="auto"/>
              <w:right w:val="nil"/>
            </w:tcBorders>
            <w:noWrap/>
            <w:vAlign w:val="bottom"/>
            <w:hideMark/>
          </w:tcPr>
          <w:p w14:paraId="4C11DD10" w14:textId="77777777" w:rsidR="000D7A84" w:rsidRPr="00FB6AE8" w:rsidRDefault="000D7A84" w:rsidP="006D6635">
            <w:pPr>
              <w:spacing w:after="0" w:line="480" w:lineRule="auto"/>
              <w:jc w:val="center"/>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r>
      <w:tr w:rsidR="000D7A84" w:rsidRPr="00FB6AE8" w14:paraId="3D014819" w14:textId="77777777" w:rsidTr="006D6635">
        <w:trPr>
          <w:trHeight w:val="264"/>
        </w:trPr>
        <w:tc>
          <w:tcPr>
            <w:tcW w:w="2049" w:type="pct"/>
            <w:tcBorders>
              <w:top w:val="single" w:sz="4" w:space="0" w:color="auto"/>
              <w:left w:val="nil"/>
              <w:bottom w:val="single" w:sz="4" w:space="0" w:color="auto"/>
              <w:right w:val="nil"/>
            </w:tcBorders>
            <w:noWrap/>
            <w:vAlign w:val="bottom"/>
            <w:hideMark/>
          </w:tcPr>
          <w:p w14:paraId="00673E46"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w:t>
            </w:r>
          </w:p>
        </w:tc>
        <w:tc>
          <w:tcPr>
            <w:tcW w:w="950" w:type="pct"/>
            <w:tcBorders>
              <w:top w:val="single" w:sz="4" w:space="0" w:color="auto"/>
              <w:left w:val="nil"/>
              <w:bottom w:val="single" w:sz="4" w:space="0" w:color="auto"/>
              <w:right w:val="nil"/>
            </w:tcBorders>
            <w:noWrap/>
            <w:vAlign w:val="bottom"/>
            <w:hideMark/>
          </w:tcPr>
          <w:p w14:paraId="13CCC140"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M ± SD/ </w:t>
            </w:r>
            <w:proofErr w:type="gramStart"/>
            <w:r w:rsidRPr="00FB6AE8">
              <w:rPr>
                <w:rFonts w:ascii="Times New Roman" w:eastAsia="Times New Roman" w:hAnsi="Times New Roman" w:cs="Times New Roman"/>
                <w:sz w:val="20"/>
                <w:szCs w:val="20"/>
              </w:rPr>
              <w:t>F(</w:t>
            </w:r>
            <w:proofErr w:type="gramEnd"/>
            <w:r w:rsidRPr="00FB6AE8">
              <w:rPr>
                <w:rFonts w:ascii="Times New Roman" w:eastAsia="Times New Roman" w:hAnsi="Times New Roman" w:cs="Times New Roman"/>
                <w:sz w:val="20"/>
                <w:szCs w:val="20"/>
              </w:rPr>
              <w:t>%)</w:t>
            </w:r>
          </w:p>
        </w:tc>
        <w:tc>
          <w:tcPr>
            <w:tcW w:w="153" w:type="pct"/>
            <w:tcBorders>
              <w:top w:val="single" w:sz="4" w:space="0" w:color="auto"/>
              <w:left w:val="nil"/>
              <w:bottom w:val="single" w:sz="4" w:space="0" w:color="auto"/>
              <w:right w:val="nil"/>
            </w:tcBorders>
            <w:noWrap/>
            <w:vAlign w:val="bottom"/>
            <w:hideMark/>
          </w:tcPr>
          <w:p w14:paraId="311E621C"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single" w:sz="4" w:space="0" w:color="auto"/>
              <w:left w:val="nil"/>
              <w:bottom w:val="single" w:sz="4" w:space="0" w:color="auto"/>
              <w:right w:val="nil"/>
            </w:tcBorders>
            <w:noWrap/>
            <w:vAlign w:val="bottom"/>
            <w:hideMark/>
          </w:tcPr>
          <w:p w14:paraId="75A6944E"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M ± SD/ </w:t>
            </w:r>
            <w:proofErr w:type="gramStart"/>
            <w:r w:rsidRPr="00FB6AE8">
              <w:rPr>
                <w:rFonts w:ascii="Times New Roman" w:eastAsia="Times New Roman" w:hAnsi="Times New Roman" w:cs="Times New Roman"/>
                <w:sz w:val="20"/>
                <w:szCs w:val="20"/>
              </w:rPr>
              <w:t>F(</w:t>
            </w:r>
            <w:proofErr w:type="gramEnd"/>
            <w:r w:rsidRPr="00FB6AE8">
              <w:rPr>
                <w:rFonts w:ascii="Times New Roman" w:eastAsia="Times New Roman" w:hAnsi="Times New Roman" w:cs="Times New Roman"/>
                <w:sz w:val="20"/>
                <w:szCs w:val="20"/>
              </w:rPr>
              <w:t>%)</w:t>
            </w:r>
          </w:p>
        </w:tc>
        <w:tc>
          <w:tcPr>
            <w:tcW w:w="437" w:type="pct"/>
            <w:tcBorders>
              <w:top w:val="single" w:sz="4" w:space="0" w:color="auto"/>
              <w:left w:val="nil"/>
              <w:bottom w:val="single" w:sz="4" w:space="0" w:color="auto"/>
              <w:right w:val="nil"/>
            </w:tcBorders>
            <w:noWrap/>
            <w:vAlign w:val="bottom"/>
            <w:hideMark/>
          </w:tcPr>
          <w:p w14:paraId="12947956"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t / χ2</w:t>
            </w:r>
          </w:p>
        </w:tc>
        <w:tc>
          <w:tcPr>
            <w:tcW w:w="460" w:type="pct"/>
            <w:gridSpan w:val="2"/>
            <w:tcBorders>
              <w:top w:val="single" w:sz="4" w:space="0" w:color="auto"/>
              <w:left w:val="nil"/>
              <w:bottom w:val="single" w:sz="4" w:space="0" w:color="auto"/>
              <w:right w:val="nil"/>
            </w:tcBorders>
            <w:noWrap/>
            <w:vAlign w:val="bottom"/>
            <w:hideMark/>
          </w:tcPr>
          <w:p w14:paraId="64FF9B9A"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p</w:t>
            </w:r>
          </w:p>
        </w:tc>
      </w:tr>
      <w:tr w:rsidR="000D7A84" w:rsidRPr="00FB6AE8" w14:paraId="0A1DEA61" w14:textId="77777777" w:rsidTr="006D6635">
        <w:trPr>
          <w:trHeight w:val="264"/>
        </w:trPr>
        <w:tc>
          <w:tcPr>
            <w:tcW w:w="2049" w:type="pct"/>
            <w:tcBorders>
              <w:top w:val="nil"/>
              <w:left w:val="nil"/>
              <w:bottom w:val="nil"/>
              <w:right w:val="nil"/>
            </w:tcBorders>
            <w:vAlign w:val="bottom"/>
            <w:hideMark/>
          </w:tcPr>
          <w:p w14:paraId="7537C929"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In-Hospitalization mortality</w:t>
            </w:r>
          </w:p>
        </w:tc>
        <w:tc>
          <w:tcPr>
            <w:tcW w:w="950" w:type="pct"/>
            <w:tcBorders>
              <w:top w:val="nil"/>
              <w:left w:val="nil"/>
              <w:bottom w:val="nil"/>
              <w:right w:val="nil"/>
            </w:tcBorders>
            <w:noWrap/>
            <w:vAlign w:val="bottom"/>
            <w:hideMark/>
          </w:tcPr>
          <w:p w14:paraId="782D212D"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11(45.8%)</w:t>
            </w:r>
          </w:p>
        </w:tc>
        <w:tc>
          <w:tcPr>
            <w:tcW w:w="153" w:type="pct"/>
            <w:tcBorders>
              <w:top w:val="nil"/>
              <w:left w:val="nil"/>
              <w:bottom w:val="nil"/>
              <w:right w:val="nil"/>
            </w:tcBorders>
            <w:noWrap/>
            <w:vAlign w:val="bottom"/>
            <w:hideMark/>
          </w:tcPr>
          <w:p w14:paraId="765EC224"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2C4AD69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13(54.2%)</w:t>
            </w:r>
          </w:p>
        </w:tc>
        <w:tc>
          <w:tcPr>
            <w:tcW w:w="437" w:type="pct"/>
            <w:tcBorders>
              <w:top w:val="nil"/>
              <w:left w:val="nil"/>
              <w:bottom w:val="nil"/>
              <w:right w:val="nil"/>
            </w:tcBorders>
            <w:noWrap/>
            <w:vAlign w:val="bottom"/>
            <w:hideMark/>
          </w:tcPr>
          <w:p w14:paraId="4E172DE7"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0.10</w:t>
            </w:r>
          </w:p>
        </w:tc>
        <w:tc>
          <w:tcPr>
            <w:tcW w:w="460" w:type="pct"/>
            <w:gridSpan w:val="2"/>
            <w:tcBorders>
              <w:top w:val="nil"/>
              <w:left w:val="nil"/>
              <w:bottom w:val="nil"/>
              <w:right w:val="nil"/>
            </w:tcBorders>
            <w:noWrap/>
            <w:vAlign w:val="bottom"/>
            <w:hideMark/>
          </w:tcPr>
          <w:p w14:paraId="6A48E8F5"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.756</w:t>
            </w:r>
          </w:p>
        </w:tc>
      </w:tr>
      <w:tr w:rsidR="000D7A84" w:rsidRPr="00FB6AE8" w14:paraId="04A1AF22" w14:textId="77777777" w:rsidTr="006D6635">
        <w:trPr>
          <w:trHeight w:val="264"/>
        </w:trPr>
        <w:tc>
          <w:tcPr>
            <w:tcW w:w="2049" w:type="pct"/>
            <w:tcBorders>
              <w:top w:val="nil"/>
              <w:left w:val="nil"/>
              <w:bottom w:val="nil"/>
              <w:right w:val="nil"/>
            </w:tcBorders>
            <w:vAlign w:val="bottom"/>
            <w:hideMark/>
          </w:tcPr>
          <w:p w14:paraId="38B549E1"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6 months later, mortality</w:t>
            </w:r>
          </w:p>
        </w:tc>
        <w:tc>
          <w:tcPr>
            <w:tcW w:w="950" w:type="pct"/>
            <w:tcBorders>
              <w:top w:val="nil"/>
              <w:left w:val="nil"/>
              <w:bottom w:val="nil"/>
              <w:right w:val="nil"/>
            </w:tcBorders>
            <w:noWrap/>
            <w:vAlign w:val="bottom"/>
            <w:hideMark/>
          </w:tcPr>
          <w:p w14:paraId="1DE010E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19(49.3%)</w:t>
            </w:r>
          </w:p>
        </w:tc>
        <w:tc>
          <w:tcPr>
            <w:tcW w:w="153" w:type="pct"/>
            <w:tcBorders>
              <w:top w:val="nil"/>
              <w:left w:val="nil"/>
              <w:bottom w:val="nil"/>
              <w:right w:val="nil"/>
            </w:tcBorders>
            <w:noWrap/>
            <w:vAlign w:val="bottom"/>
            <w:hideMark/>
          </w:tcPr>
          <w:p w14:paraId="37F48744"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3AF61B6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22(53.7%)</w:t>
            </w:r>
          </w:p>
        </w:tc>
        <w:tc>
          <w:tcPr>
            <w:tcW w:w="437" w:type="pct"/>
            <w:tcBorders>
              <w:top w:val="nil"/>
              <w:left w:val="nil"/>
              <w:bottom w:val="nil"/>
              <w:right w:val="nil"/>
            </w:tcBorders>
            <w:noWrap/>
            <w:vAlign w:val="bottom"/>
            <w:hideMark/>
          </w:tcPr>
          <w:p w14:paraId="0E857D15"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0.12</w:t>
            </w:r>
          </w:p>
        </w:tc>
        <w:tc>
          <w:tcPr>
            <w:tcW w:w="460" w:type="pct"/>
            <w:gridSpan w:val="2"/>
            <w:tcBorders>
              <w:top w:val="nil"/>
              <w:left w:val="nil"/>
              <w:bottom w:val="nil"/>
              <w:right w:val="nil"/>
            </w:tcBorders>
            <w:noWrap/>
            <w:vAlign w:val="bottom"/>
            <w:hideMark/>
          </w:tcPr>
          <w:p w14:paraId="321C597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.727</w:t>
            </w:r>
          </w:p>
        </w:tc>
      </w:tr>
      <w:tr w:rsidR="000D7A84" w:rsidRPr="00FB6AE8" w14:paraId="3B323054" w14:textId="77777777" w:rsidTr="006D6635">
        <w:trPr>
          <w:trHeight w:val="264"/>
        </w:trPr>
        <w:tc>
          <w:tcPr>
            <w:tcW w:w="2049" w:type="pct"/>
            <w:tcBorders>
              <w:top w:val="nil"/>
              <w:left w:val="nil"/>
              <w:bottom w:val="nil"/>
              <w:right w:val="nil"/>
            </w:tcBorders>
            <w:vAlign w:val="bottom"/>
            <w:hideMark/>
          </w:tcPr>
          <w:p w14:paraId="49C870F6"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Dialysis</w:t>
            </w:r>
          </w:p>
        </w:tc>
        <w:tc>
          <w:tcPr>
            <w:tcW w:w="950" w:type="pct"/>
            <w:tcBorders>
              <w:top w:val="nil"/>
              <w:left w:val="nil"/>
              <w:bottom w:val="nil"/>
              <w:right w:val="nil"/>
            </w:tcBorders>
            <w:noWrap/>
            <w:vAlign w:val="bottom"/>
            <w:hideMark/>
          </w:tcPr>
          <w:p w14:paraId="29A25D64"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0.00(0%)</w:t>
            </w:r>
          </w:p>
        </w:tc>
        <w:tc>
          <w:tcPr>
            <w:tcW w:w="153" w:type="pct"/>
            <w:tcBorders>
              <w:top w:val="nil"/>
              <w:left w:val="nil"/>
              <w:bottom w:val="nil"/>
              <w:right w:val="nil"/>
            </w:tcBorders>
            <w:noWrap/>
            <w:vAlign w:val="bottom"/>
            <w:hideMark/>
          </w:tcPr>
          <w:p w14:paraId="54E59EDE"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080C86D0"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2.00 (100%)</w:t>
            </w:r>
          </w:p>
        </w:tc>
        <w:tc>
          <w:tcPr>
            <w:tcW w:w="437" w:type="pct"/>
            <w:tcBorders>
              <w:top w:val="nil"/>
              <w:left w:val="nil"/>
              <w:bottom w:val="nil"/>
              <w:right w:val="nil"/>
            </w:tcBorders>
            <w:noWrap/>
            <w:vAlign w:val="bottom"/>
            <w:hideMark/>
          </w:tcPr>
          <w:p w14:paraId="639C9D1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1.93</w:t>
            </w:r>
          </w:p>
        </w:tc>
        <w:tc>
          <w:tcPr>
            <w:tcW w:w="460" w:type="pct"/>
            <w:gridSpan w:val="2"/>
            <w:tcBorders>
              <w:top w:val="nil"/>
              <w:left w:val="nil"/>
              <w:bottom w:val="nil"/>
              <w:right w:val="nil"/>
            </w:tcBorders>
            <w:noWrap/>
            <w:vAlign w:val="bottom"/>
            <w:hideMark/>
          </w:tcPr>
          <w:p w14:paraId="0A42AEA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.165</w:t>
            </w:r>
          </w:p>
        </w:tc>
      </w:tr>
      <w:tr w:rsidR="000D7A84" w:rsidRPr="00FB6AE8" w14:paraId="3E3E7A30" w14:textId="77777777" w:rsidTr="006D6635">
        <w:trPr>
          <w:trHeight w:val="317"/>
        </w:trPr>
        <w:tc>
          <w:tcPr>
            <w:tcW w:w="2049" w:type="pct"/>
            <w:tcBorders>
              <w:top w:val="nil"/>
              <w:left w:val="nil"/>
              <w:bottom w:val="nil"/>
              <w:right w:val="nil"/>
            </w:tcBorders>
            <w:vAlign w:val="bottom"/>
            <w:hideMark/>
          </w:tcPr>
          <w:p w14:paraId="0F74D831"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lastRenderedPageBreak/>
              <w:t>Rehospitalization within 2 months</w:t>
            </w:r>
          </w:p>
        </w:tc>
        <w:tc>
          <w:tcPr>
            <w:tcW w:w="950" w:type="pct"/>
            <w:tcBorders>
              <w:top w:val="nil"/>
              <w:left w:val="nil"/>
              <w:bottom w:val="nil"/>
              <w:right w:val="nil"/>
            </w:tcBorders>
            <w:noWrap/>
            <w:vAlign w:val="bottom"/>
            <w:hideMark/>
          </w:tcPr>
          <w:p w14:paraId="109682D5"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33.00(37.5%)</w:t>
            </w:r>
          </w:p>
        </w:tc>
        <w:tc>
          <w:tcPr>
            <w:tcW w:w="153" w:type="pct"/>
            <w:tcBorders>
              <w:top w:val="nil"/>
              <w:left w:val="nil"/>
              <w:bottom w:val="nil"/>
              <w:right w:val="nil"/>
            </w:tcBorders>
            <w:noWrap/>
            <w:vAlign w:val="bottom"/>
            <w:hideMark/>
          </w:tcPr>
          <w:p w14:paraId="7925CD3D"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3A3F8F4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55.00(62.5%)</w:t>
            </w:r>
          </w:p>
        </w:tc>
        <w:tc>
          <w:tcPr>
            <w:tcW w:w="437" w:type="pct"/>
            <w:tcBorders>
              <w:top w:val="nil"/>
              <w:left w:val="nil"/>
              <w:bottom w:val="nil"/>
              <w:right w:val="nil"/>
            </w:tcBorders>
            <w:noWrap/>
            <w:vAlign w:val="bottom"/>
            <w:hideMark/>
          </w:tcPr>
          <w:p w14:paraId="336862D9"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5.83</w:t>
            </w:r>
          </w:p>
        </w:tc>
        <w:tc>
          <w:tcPr>
            <w:tcW w:w="460" w:type="pct"/>
            <w:gridSpan w:val="2"/>
            <w:tcBorders>
              <w:top w:val="nil"/>
              <w:left w:val="nil"/>
              <w:bottom w:val="nil"/>
              <w:right w:val="nil"/>
            </w:tcBorders>
            <w:noWrap/>
            <w:vAlign w:val="bottom"/>
            <w:hideMark/>
          </w:tcPr>
          <w:p w14:paraId="46A4E05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.016*</w:t>
            </w:r>
          </w:p>
        </w:tc>
      </w:tr>
      <w:tr w:rsidR="000D7A84" w:rsidRPr="00FB6AE8" w14:paraId="7165B3DF" w14:textId="77777777" w:rsidTr="006D6635">
        <w:trPr>
          <w:trHeight w:val="437"/>
        </w:trPr>
        <w:tc>
          <w:tcPr>
            <w:tcW w:w="2049" w:type="pct"/>
            <w:tcBorders>
              <w:top w:val="nil"/>
              <w:left w:val="nil"/>
              <w:right w:val="nil"/>
            </w:tcBorders>
            <w:vAlign w:val="bottom"/>
            <w:hideMark/>
          </w:tcPr>
          <w:p w14:paraId="7DE25974"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Rehospitalization within 6 months</w:t>
            </w:r>
          </w:p>
        </w:tc>
        <w:tc>
          <w:tcPr>
            <w:tcW w:w="950" w:type="pct"/>
            <w:tcBorders>
              <w:top w:val="nil"/>
              <w:left w:val="nil"/>
              <w:right w:val="nil"/>
            </w:tcBorders>
            <w:noWrap/>
            <w:vAlign w:val="bottom"/>
            <w:hideMark/>
          </w:tcPr>
          <w:p w14:paraId="6F8EA50F"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34.00(40%)</w:t>
            </w:r>
          </w:p>
        </w:tc>
        <w:tc>
          <w:tcPr>
            <w:tcW w:w="153" w:type="pct"/>
            <w:tcBorders>
              <w:top w:val="nil"/>
              <w:left w:val="nil"/>
              <w:right w:val="nil"/>
            </w:tcBorders>
            <w:noWrap/>
            <w:vAlign w:val="bottom"/>
            <w:hideMark/>
          </w:tcPr>
          <w:p w14:paraId="4E5F1C45"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right w:val="nil"/>
            </w:tcBorders>
            <w:noWrap/>
            <w:vAlign w:val="bottom"/>
            <w:hideMark/>
          </w:tcPr>
          <w:p w14:paraId="31CC6B98"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51.00(60%)</w:t>
            </w:r>
          </w:p>
        </w:tc>
        <w:tc>
          <w:tcPr>
            <w:tcW w:w="437" w:type="pct"/>
            <w:tcBorders>
              <w:top w:val="nil"/>
              <w:left w:val="nil"/>
              <w:right w:val="nil"/>
            </w:tcBorders>
            <w:noWrap/>
            <w:vAlign w:val="bottom"/>
            <w:hideMark/>
          </w:tcPr>
          <w:p w14:paraId="0A48689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3.05</w:t>
            </w:r>
          </w:p>
        </w:tc>
        <w:tc>
          <w:tcPr>
            <w:tcW w:w="460" w:type="pct"/>
            <w:gridSpan w:val="2"/>
            <w:tcBorders>
              <w:top w:val="nil"/>
              <w:left w:val="nil"/>
              <w:right w:val="nil"/>
            </w:tcBorders>
            <w:noWrap/>
            <w:vAlign w:val="bottom"/>
            <w:hideMark/>
          </w:tcPr>
          <w:p w14:paraId="16E1D99A"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.081</w:t>
            </w:r>
          </w:p>
        </w:tc>
      </w:tr>
      <w:tr w:rsidR="000D7A84" w:rsidRPr="00FB6AE8" w14:paraId="01628700" w14:textId="77777777" w:rsidTr="006D6635">
        <w:trPr>
          <w:trHeight w:val="437"/>
        </w:trPr>
        <w:tc>
          <w:tcPr>
            <w:tcW w:w="2049" w:type="pct"/>
            <w:tcBorders>
              <w:top w:val="nil"/>
              <w:left w:val="nil"/>
              <w:bottom w:val="single" w:sz="4" w:space="0" w:color="auto"/>
              <w:right w:val="nil"/>
            </w:tcBorders>
            <w:vAlign w:val="bottom"/>
            <w:hideMark/>
          </w:tcPr>
          <w:p w14:paraId="65B2646D"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Hospitalization length in Days</w:t>
            </w:r>
          </w:p>
        </w:tc>
        <w:tc>
          <w:tcPr>
            <w:tcW w:w="950" w:type="pct"/>
            <w:tcBorders>
              <w:top w:val="nil"/>
              <w:left w:val="nil"/>
              <w:bottom w:val="single" w:sz="4" w:space="0" w:color="auto"/>
              <w:right w:val="nil"/>
            </w:tcBorders>
            <w:noWrap/>
            <w:vAlign w:val="bottom"/>
            <w:hideMark/>
          </w:tcPr>
          <w:p w14:paraId="07C3918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5.59 ± 4.06</w:t>
            </w:r>
          </w:p>
        </w:tc>
        <w:tc>
          <w:tcPr>
            <w:tcW w:w="153" w:type="pct"/>
            <w:tcBorders>
              <w:top w:val="nil"/>
              <w:left w:val="nil"/>
              <w:bottom w:val="single" w:sz="4" w:space="0" w:color="auto"/>
              <w:right w:val="nil"/>
            </w:tcBorders>
            <w:noWrap/>
            <w:vAlign w:val="bottom"/>
            <w:hideMark/>
          </w:tcPr>
          <w:p w14:paraId="74B2990B"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single" w:sz="4" w:space="0" w:color="auto"/>
              <w:right w:val="nil"/>
            </w:tcBorders>
            <w:noWrap/>
            <w:vAlign w:val="bottom"/>
            <w:hideMark/>
          </w:tcPr>
          <w:p w14:paraId="02A6334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7.64 ± 7.23</w:t>
            </w:r>
          </w:p>
        </w:tc>
        <w:tc>
          <w:tcPr>
            <w:tcW w:w="437" w:type="pct"/>
            <w:tcBorders>
              <w:top w:val="nil"/>
              <w:left w:val="nil"/>
              <w:bottom w:val="single" w:sz="4" w:space="0" w:color="auto"/>
              <w:right w:val="nil"/>
            </w:tcBorders>
            <w:noWrap/>
            <w:vAlign w:val="bottom"/>
            <w:hideMark/>
          </w:tcPr>
          <w:p w14:paraId="3D0932F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-3.06</w:t>
            </w:r>
          </w:p>
        </w:tc>
        <w:tc>
          <w:tcPr>
            <w:tcW w:w="460" w:type="pct"/>
            <w:gridSpan w:val="2"/>
            <w:tcBorders>
              <w:top w:val="nil"/>
              <w:left w:val="nil"/>
              <w:bottom w:val="single" w:sz="4" w:space="0" w:color="auto"/>
              <w:right w:val="nil"/>
            </w:tcBorders>
            <w:noWrap/>
            <w:vAlign w:val="bottom"/>
            <w:hideMark/>
          </w:tcPr>
          <w:p w14:paraId="24F5B66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.002*</w:t>
            </w:r>
          </w:p>
        </w:tc>
      </w:tr>
    </w:tbl>
    <w:p w14:paraId="3BE1C3B9" w14:textId="77777777" w:rsidR="000D7A84" w:rsidRDefault="000D7A84" w:rsidP="000D7A84">
      <w:pPr>
        <w:rPr>
          <w:rFonts w:asciiTheme="majorBidi" w:hAnsiTheme="majorBidi" w:cstheme="majorBidi"/>
          <w:sz w:val="18"/>
          <w:szCs w:val="18"/>
        </w:rPr>
      </w:pPr>
      <w:r w:rsidRPr="00DD3EAA">
        <w:rPr>
          <w:rFonts w:asciiTheme="majorBidi" w:hAnsiTheme="majorBidi" w:cstheme="majorBidi"/>
          <w:sz w:val="18"/>
          <w:szCs w:val="18"/>
        </w:rPr>
        <w:t>Note: data are presented as mean ± SD or number (%) of subjects. * P&lt;0.05</w:t>
      </w:r>
    </w:p>
    <w:p w14:paraId="5F1E56F0" w14:textId="77777777" w:rsidR="000D7A84" w:rsidRPr="00CE3074" w:rsidRDefault="000D7A84" w:rsidP="000D7A84">
      <w:pPr>
        <w:rPr>
          <w:rFonts w:asciiTheme="majorBidi" w:hAnsiTheme="majorBidi" w:cstheme="majorBidi"/>
          <w:sz w:val="18"/>
          <w:szCs w:val="18"/>
        </w:rPr>
      </w:pPr>
    </w:p>
    <w:p w14:paraId="29FA2C7A" w14:textId="77777777" w:rsidR="000D7A84" w:rsidRPr="00916DF9" w:rsidRDefault="000D7A84" w:rsidP="000D7A84">
      <w:pPr>
        <w:spacing w:before="100" w:beforeAutospacing="1" w:after="100" w:afterAutospacing="1" w:line="240" w:lineRule="auto"/>
        <w:rPr>
          <w:rFonts w:asciiTheme="majorBidi" w:hAnsiTheme="majorBidi" w:cstheme="majorBidi"/>
          <w:color w:val="000000" w:themeColor="text1"/>
          <w:sz w:val="24"/>
          <w:szCs w:val="24"/>
        </w:rPr>
      </w:pPr>
      <w:r w:rsidRPr="00916DF9">
        <w:rPr>
          <w:rFonts w:asciiTheme="majorBidi" w:eastAsia="Times New Roman" w:hAnsiTheme="majorBidi" w:cstheme="majorBidi"/>
          <w:b/>
          <w:bCs/>
          <w:color w:val="000000" w:themeColor="text1"/>
          <w:sz w:val="24"/>
          <w:szCs w:val="24"/>
        </w:rPr>
        <w:t>Table 4</w:t>
      </w:r>
      <w:r w:rsidRPr="00916DF9">
        <w:rPr>
          <w:rFonts w:asciiTheme="majorBidi" w:hAnsiTheme="majorBidi" w:cstheme="majorBidi"/>
          <w:color w:val="000000" w:themeColor="text1"/>
          <w:sz w:val="24"/>
          <w:szCs w:val="24"/>
        </w:rPr>
        <w:t>. Risk factors for 6-month mortality</w:t>
      </w:r>
    </w:p>
    <w:tbl>
      <w:tblPr>
        <w:tblW w:w="5000" w:type="pct"/>
        <w:tblLook w:val="04A0" w:firstRow="1" w:lastRow="0" w:firstColumn="1" w:lastColumn="0" w:noHBand="0" w:noVBand="1"/>
      </w:tblPr>
      <w:tblGrid>
        <w:gridCol w:w="3773"/>
        <w:gridCol w:w="1809"/>
        <w:gridCol w:w="480"/>
        <w:gridCol w:w="451"/>
        <w:gridCol w:w="1466"/>
        <w:gridCol w:w="451"/>
        <w:gridCol w:w="273"/>
        <w:gridCol w:w="657"/>
      </w:tblGrid>
      <w:tr w:rsidR="000D7A84" w:rsidRPr="00FB6AE8" w14:paraId="46F22CA1" w14:textId="77777777" w:rsidTr="006D6635">
        <w:trPr>
          <w:trHeight w:val="264"/>
        </w:trPr>
        <w:tc>
          <w:tcPr>
            <w:tcW w:w="2015" w:type="pct"/>
            <w:tcBorders>
              <w:top w:val="single" w:sz="4" w:space="0" w:color="auto"/>
              <w:left w:val="nil"/>
              <w:bottom w:val="single" w:sz="4" w:space="0" w:color="auto"/>
              <w:right w:val="nil"/>
            </w:tcBorders>
            <w:noWrap/>
            <w:vAlign w:val="bottom"/>
            <w:hideMark/>
          </w:tcPr>
          <w:p w14:paraId="7D88FE63"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c>
          <w:tcPr>
            <w:tcW w:w="1222" w:type="pct"/>
            <w:gridSpan w:val="2"/>
            <w:tcBorders>
              <w:top w:val="single" w:sz="4" w:space="0" w:color="auto"/>
              <w:left w:val="nil"/>
              <w:bottom w:val="single" w:sz="4" w:space="0" w:color="auto"/>
              <w:right w:val="nil"/>
            </w:tcBorders>
            <w:noWrap/>
            <w:vAlign w:val="bottom"/>
          </w:tcPr>
          <w:p w14:paraId="0B941367"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NCRS</w:t>
            </w:r>
          </w:p>
        </w:tc>
        <w:tc>
          <w:tcPr>
            <w:tcW w:w="1024" w:type="pct"/>
            <w:gridSpan w:val="2"/>
            <w:tcBorders>
              <w:top w:val="single" w:sz="4" w:space="0" w:color="auto"/>
              <w:left w:val="nil"/>
              <w:bottom w:val="single" w:sz="4" w:space="0" w:color="auto"/>
              <w:right w:val="nil"/>
            </w:tcBorders>
            <w:noWrap/>
            <w:vAlign w:val="bottom"/>
            <w:hideMark/>
          </w:tcPr>
          <w:p w14:paraId="4AB91E6C" w14:textId="77777777" w:rsidR="000D7A84" w:rsidRPr="00FB6AE8" w:rsidRDefault="000D7A84" w:rsidP="006D6635">
            <w:pPr>
              <w:spacing w:after="0" w:line="480" w:lineRule="auto"/>
              <w:jc w:val="right"/>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CRS1</w:t>
            </w:r>
          </w:p>
        </w:tc>
        <w:tc>
          <w:tcPr>
            <w:tcW w:w="387" w:type="pct"/>
            <w:gridSpan w:val="2"/>
            <w:tcBorders>
              <w:top w:val="single" w:sz="4" w:space="0" w:color="auto"/>
              <w:left w:val="nil"/>
              <w:bottom w:val="single" w:sz="4" w:space="0" w:color="auto"/>
              <w:right w:val="nil"/>
            </w:tcBorders>
            <w:noWrap/>
            <w:vAlign w:val="bottom"/>
            <w:hideMark/>
          </w:tcPr>
          <w:p w14:paraId="3AD1046E" w14:textId="77777777" w:rsidR="000D7A84" w:rsidRPr="00FB6AE8" w:rsidRDefault="000D7A84" w:rsidP="006D6635">
            <w:pPr>
              <w:spacing w:after="0" w:line="480" w:lineRule="auto"/>
              <w:jc w:val="right"/>
              <w:rPr>
                <w:rFonts w:ascii="Times New Roman" w:eastAsia="Times New Roman" w:hAnsi="Times New Roman" w:cs="Times New Roman"/>
                <w:b/>
                <w:bCs/>
                <w:sz w:val="20"/>
                <w:szCs w:val="20"/>
              </w:rPr>
            </w:pPr>
          </w:p>
        </w:tc>
        <w:tc>
          <w:tcPr>
            <w:tcW w:w="351" w:type="pct"/>
            <w:tcBorders>
              <w:top w:val="single" w:sz="4" w:space="0" w:color="auto"/>
              <w:left w:val="nil"/>
              <w:bottom w:val="single" w:sz="4" w:space="0" w:color="auto"/>
              <w:right w:val="nil"/>
            </w:tcBorders>
            <w:noWrap/>
            <w:vAlign w:val="bottom"/>
            <w:hideMark/>
          </w:tcPr>
          <w:p w14:paraId="7FA3B8B6" w14:textId="77777777" w:rsidR="000D7A84" w:rsidRPr="00FB6AE8" w:rsidRDefault="000D7A84" w:rsidP="006D6635">
            <w:pPr>
              <w:spacing w:after="0" w:line="480" w:lineRule="auto"/>
              <w:jc w:val="center"/>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r>
      <w:tr w:rsidR="000D7A84" w:rsidRPr="00FB6AE8" w14:paraId="3F2FFBC1" w14:textId="77777777" w:rsidTr="006D6635">
        <w:trPr>
          <w:trHeight w:val="300"/>
        </w:trPr>
        <w:tc>
          <w:tcPr>
            <w:tcW w:w="2015" w:type="pct"/>
            <w:tcBorders>
              <w:top w:val="single" w:sz="4" w:space="0" w:color="auto"/>
              <w:left w:val="nil"/>
              <w:bottom w:val="nil"/>
              <w:right w:val="nil"/>
            </w:tcBorders>
            <w:vAlign w:val="center"/>
            <w:hideMark/>
          </w:tcPr>
          <w:p w14:paraId="53A708C2"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Predictor</w:t>
            </w:r>
          </w:p>
        </w:tc>
        <w:tc>
          <w:tcPr>
            <w:tcW w:w="966" w:type="pct"/>
            <w:tcBorders>
              <w:top w:val="single" w:sz="4" w:space="0" w:color="auto"/>
              <w:left w:val="nil"/>
              <w:bottom w:val="nil"/>
              <w:right w:val="nil"/>
            </w:tcBorders>
            <w:vAlign w:val="center"/>
            <w:hideMark/>
          </w:tcPr>
          <w:p w14:paraId="4A07E65F"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OR (95% CI)</w:t>
            </w:r>
          </w:p>
        </w:tc>
        <w:tc>
          <w:tcPr>
            <w:tcW w:w="497" w:type="pct"/>
            <w:gridSpan w:val="2"/>
            <w:tcBorders>
              <w:top w:val="single" w:sz="4" w:space="0" w:color="auto"/>
              <w:left w:val="nil"/>
              <w:bottom w:val="nil"/>
              <w:right w:val="nil"/>
            </w:tcBorders>
            <w:vAlign w:val="center"/>
            <w:hideMark/>
          </w:tcPr>
          <w:p w14:paraId="2C1DB9EE"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p-value</w:t>
            </w:r>
          </w:p>
        </w:tc>
        <w:tc>
          <w:tcPr>
            <w:tcW w:w="1024" w:type="pct"/>
            <w:gridSpan w:val="2"/>
            <w:tcBorders>
              <w:top w:val="single" w:sz="4" w:space="0" w:color="auto"/>
              <w:left w:val="nil"/>
              <w:bottom w:val="nil"/>
              <w:right w:val="nil"/>
            </w:tcBorders>
            <w:vAlign w:val="center"/>
            <w:hideMark/>
          </w:tcPr>
          <w:p w14:paraId="0B72BD20"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 xml:space="preserve"> OR (95% CI)</w:t>
            </w:r>
          </w:p>
        </w:tc>
        <w:tc>
          <w:tcPr>
            <w:tcW w:w="497" w:type="pct"/>
            <w:gridSpan w:val="2"/>
            <w:tcBorders>
              <w:top w:val="single" w:sz="4" w:space="0" w:color="auto"/>
              <w:left w:val="nil"/>
              <w:bottom w:val="nil"/>
              <w:right w:val="nil"/>
            </w:tcBorders>
            <w:vAlign w:val="center"/>
            <w:hideMark/>
          </w:tcPr>
          <w:p w14:paraId="4BCE2A0C"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p-value</w:t>
            </w:r>
          </w:p>
        </w:tc>
      </w:tr>
      <w:tr w:rsidR="000D7A84" w:rsidRPr="00FB6AE8" w14:paraId="7517776D" w14:textId="77777777" w:rsidTr="006D6635">
        <w:trPr>
          <w:trHeight w:val="300"/>
        </w:trPr>
        <w:tc>
          <w:tcPr>
            <w:tcW w:w="2015" w:type="pct"/>
            <w:tcBorders>
              <w:top w:val="single" w:sz="4" w:space="0" w:color="auto"/>
              <w:left w:val="nil"/>
              <w:bottom w:val="nil"/>
              <w:right w:val="nil"/>
            </w:tcBorders>
            <w:vAlign w:val="center"/>
            <w:hideMark/>
          </w:tcPr>
          <w:p w14:paraId="2ED9FC72"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potassium (↑)</w:t>
            </w:r>
          </w:p>
        </w:tc>
        <w:tc>
          <w:tcPr>
            <w:tcW w:w="966" w:type="pct"/>
            <w:tcBorders>
              <w:top w:val="single" w:sz="4" w:space="0" w:color="auto"/>
              <w:left w:val="nil"/>
              <w:bottom w:val="nil"/>
              <w:right w:val="nil"/>
            </w:tcBorders>
            <w:vAlign w:val="center"/>
            <w:hideMark/>
          </w:tcPr>
          <w:p w14:paraId="7BB6796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4.07 (1.19–13.91)</w:t>
            </w:r>
          </w:p>
        </w:tc>
        <w:tc>
          <w:tcPr>
            <w:tcW w:w="497" w:type="pct"/>
            <w:gridSpan w:val="2"/>
            <w:tcBorders>
              <w:top w:val="single" w:sz="4" w:space="0" w:color="auto"/>
              <w:left w:val="nil"/>
              <w:bottom w:val="nil"/>
              <w:right w:val="nil"/>
            </w:tcBorders>
            <w:vAlign w:val="center"/>
            <w:hideMark/>
          </w:tcPr>
          <w:p w14:paraId="225B6185"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0.025</w:t>
            </w:r>
          </w:p>
        </w:tc>
        <w:tc>
          <w:tcPr>
            <w:tcW w:w="1024" w:type="pct"/>
            <w:gridSpan w:val="2"/>
            <w:tcBorders>
              <w:top w:val="single" w:sz="4" w:space="0" w:color="auto"/>
              <w:left w:val="nil"/>
              <w:bottom w:val="nil"/>
              <w:right w:val="nil"/>
            </w:tcBorders>
            <w:vAlign w:val="center"/>
            <w:hideMark/>
          </w:tcPr>
          <w:p w14:paraId="26B8F8B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single" w:sz="4" w:space="0" w:color="auto"/>
              <w:left w:val="nil"/>
              <w:bottom w:val="nil"/>
              <w:right w:val="nil"/>
            </w:tcBorders>
            <w:vAlign w:val="center"/>
            <w:hideMark/>
          </w:tcPr>
          <w:p w14:paraId="212A76AC"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3B6BC024" w14:textId="77777777" w:rsidTr="006D6635">
        <w:trPr>
          <w:trHeight w:val="300"/>
        </w:trPr>
        <w:tc>
          <w:tcPr>
            <w:tcW w:w="2015" w:type="pct"/>
            <w:tcBorders>
              <w:top w:val="nil"/>
              <w:left w:val="nil"/>
              <w:bottom w:val="nil"/>
              <w:right w:val="nil"/>
            </w:tcBorders>
            <w:vAlign w:val="center"/>
            <w:hideMark/>
          </w:tcPr>
          <w:p w14:paraId="204D93B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sodium (↑)</w:t>
            </w:r>
          </w:p>
        </w:tc>
        <w:tc>
          <w:tcPr>
            <w:tcW w:w="966" w:type="pct"/>
            <w:tcBorders>
              <w:top w:val="nil"/>
              <w:left w:val="nil"/>
              <w:bottom w:val="nil"/>
              <w:right w:val="nil"/>
            </w:tcBorders>
            <w:vAlign w:val="center"/>
            <w:hideMark/>
          </w:tcPr>
          <w:p w14:paraId="5B28F519" w14:textId="042624DA"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1.</w:t>
            </w:r>
            <w:r w:rsidR="002A5C7E">
              <w:rPr>
                <w:rFonts w:ascii="Times New Roman" w:eastAsia="Times New Roman" w:hAnsi="Times New Roman" w:cs="Times New Roman"/>
                <w:color w:val="000000"/>
                <w:sz w:val="20"/>
                <w:szCs w:val="20"/>
              </w:rPr>
              <w:t>28</w:t>
            </w:r>
            <w:r w:rsidRPr="00FB6AE8">
              <w:rPr>
                <w:rFonts w:ascii="Times New Roman" w:eastAsia="Times New Roman" w:hAnsi="Times New Roman" w:cs="Times New Roman"/>
                <w:color w:val="000000"/>
                <w:sz w:val="20"/>
                <w:szCs w:val="20"/>
              </w:rPr>
              <w:t xml:space="preserve"> (1.05–1.61)</w:t>
            </w:r>
          </w:p>
        </w:tc>
        <w:tc>
          <w:tcPr>
            <w:tcW w:w="497" w:type="pct"/>
            <w:gridSpan w:val="2"/>
            <w:tcBorders>
              <w:top w:val="nil"/>
              <w:left w:val="nil"/>
              <w:bottom w:val="nil"/>
              <w:right w:val="nil"/>
            </w:tcBorders>
            <w:vAlign w:val="center"/>
            <w:hideMark/>
          </w:tcPr>
          <w:p w14:paraId="4D4FB891" w14:textId="7973C235"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w:t>
            </w:r>
            <w:r w:rsidR="00C65A21">
              <w:rPr>
                <w:rFonts w:ascii="Times New Roman" w:eastAsia="Times New Roman" w:hAnsi="Times New Roman" w:cs="Times New Roman"/>
                <w:color w:val="000000"/>
                <w:sz w:val="20"/>
                <w:szCs w:val="20"/>
              </w:rPr>
              <w:t>5</w:t>
            </w:r>
            <w:r w:rsidRPr="00FB6AE8">
              <w:rPr>
                <w:rFonts w:ascii="Times New Roman" w:eastAsia="Times New Roman" w:hAnsi="Times New Roman" w:cs="Times New Roman"/>
                <w:color w:val="000000"/>
                <w:sz w:val="20"/>
                <w:szCs w:val="20"/>
              </w:rPr>
              <w:t>6</w:t>
            </w:r>
          </w:p>
        </w:tc>
        <w:tc>
          <w:tcPr>
            <w:tcW w:w="1024" w:type="pct"/>
            <w:gridSpan w:val="2"/>
            <w:tcBorders>
              <w:top w:val="nil"/>
              <w:left w:val="nil"/>
              <w:bottom w:val="nil"/>
              <w:right w:val="nil"/>
            </w:tcBorders>
            <w:vAlign w:val="center"/>
            <w:hideMark/>
          </w:tcPr>
          <w:p w14:paraId="06686F84"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6F8AD073"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5E148E55" w14:textId="77777777" w:rsidTr="006D6635">
        <w:trPr>
          <w:trHeight w:val="300"/>
        </w:trPr>
        <w:tc>
          <w:tcPr>
            <w:tcW w:w="2015" w:type="pct"/>
            <w:tcBorders>
              <w:top w:val="nil"/>
              <w:left w:val="nil"/>
              <w:bottom w:val="nil"/>
              <w:right w:val="nil"/>
            </w:tcBorders>
            <w:vAlign w:val="center"/>
            <w:hideMark/>
          </w:tcPr>
          <w:p w14:paraId="2FB7025D"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chloride (↓)</w:t>
            </w:r>
          </w:p>
        </w:tc>
        <w:tc>
          <w:tcPr>
            <w:tcW w:w="966" w:type="pct"/>
            <w:tcBorders>
              <w:top w:val="nil"/>
              <w:left w:val="nil"/>
              <w:bottom w:val="nil"/>
              <w:right w:val="nil"/>
            </w:tcBorders>
            <w:vAlign w:val="center"/>
            <w:hideMark/>
          </w:tcPr>
          <w:p w14:paraId="1AE2891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0.77 (0.65–0.91)</w:t>
            </w:r>
          </w:p>
        </w:tc>
        <w:tc>
          <w:tcPr>
            <w:tcW w:w="497" w:type="pct"/>
            <w:gridSpan w:val="2"/>
            <w:tcBorders>
              <w:top w:val="nil"/>
              <w:left w:val="nil"/>
              <w:bottom w:val="nil"/>
              <w:right w:val="nil"/>
            </w:tcBorders>
            <w:vAlign w:val="center"/>
            <w:hideMark/>
          </w:tcPr>
          <w:p w14:paraId="7FB2395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0.002</w:t>
            </w:r>
          </w:p>
        </w:tc>
        <w:tc>
          <w:tcPr>
            <w:tcW w:w="1024" w:type="pct"/>
            <w:gridSpan w:val="2"/>
            <w:tcBorders>
              <w:top w:val="nil"/>
              <w:left w:val="nil"/>
              <w:bottom w:val="nil"/>
              <w:right w:val="nil"/>
            </w:tcBorders>
            <w:vAlign w:val="center"/>
            <w:hideMark/>
          </w:tcPr>
          <w:p w14:paraId="734F3784" w14:textId="2916C72F"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w:t>
            </w:r>
            <w:r w:rsidR="00C65A21">
              <w:rPr>
                <w:rFonts w:ascii="Times New Roman" w:eastAsia="Times New Roman" w:hAnsi="Times New Roman" w:cs="Times New Roman"/>
                <w:color w:val="000000"/>
                <w:sz w:val="20"/>
                <w:szCs w:val="20"/>
              </w:rPr>
              <w:t>78</w:t>
            </w:r>
            <w:r w:rsidRPr="00FB6AE8">
              <w:rPr>
                <w:rFonts w:ascii="Times New Roman" w:eastAsia="Times New Roman" w:hAnsi="Times New Roman" w:cs="Times New Roman"/>
                <w:color w:val="000000"/>
                <w:sz w:val="20"/>
                <w:szCs w:val="20"/>
              </w:rPr>
              <w:t xml:space="preserve"> (0.64–0.99)</w:t>
            </w:r>
          </w:p>
        </w:tc>
        <w:tc>
          <w:tcPr>
            <w:tcW w:w="497" w:type="pct"/>
            <w:gridSpan w:val="2"/>
            <w:tcBorders>
              <w:top w:val="nil"/>
              <w:left w:val="nil"/>
              <w:bottom w:val="nil"/>
              <w:right w:val="nil"/>
            </w:tcBorders>
            <w:vAlign w:val="center"/>
            <w:hideMark/>
          </w:tcPr>
          <w:p w14:paraId="4111AC8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0.041</w:t>
            </w:r>
          </w:p>
        </w:tc>
      </w:tr>
      <w:tr w:rsidR="000D7A84" w:rsidRPr="00FB6AE8" w14:paraId="16354911" w14:textId="77777777" w:rsidTr="006D6635">
        <w:trPr>
          <w:trHeight w:val="300"/>
        </w:trPr>
        <w:tc>
          <w:tcPr>
            <w:tcW w:w="2015" w:type="pct"/>
            <w:tcBorders>
              <w:top w:val="nil"/>
              <w:left w:val="nil"/>
              <w:bottom w:val="nil"/>
              <w:right w:val="nil"/>
            </w:tcBorders>
            <w:vAlign w:val="center"/>
            <w:hideMark/>
          </w:tcPr>
          <w:p w14:paraId="55A5442B"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Blood urea nitrogen (↑)</w:t>
            </w:r>
          </w:p>
        </w:tc>
        <w:tc>
          <w:tcPr>
            <w:tcW w:w="966" w:type="pct"/>
            <w:tcBorders>
              <w:top w:val="nil"/>
              <w:left w:val="nil"/>
              <w:bottom w:val="nil"/>
              <w:right w:val="nil"/>
            </w:tcBorders>
            <w:vAlign w:val="center"/>
            <w:hideMark/>
          </w:tcPr>
          <w:p w14:paraId="4035180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1.28 (1.04–1.58)</w:t>
            </w:r>
          </w:p>
        </w:tc>
        <w:tc>
          <w:tcPr>
            <w:tcW w:w="497" w:type="pct"/>
            <w:gridSpan w:val="2"/>
            <w:tcBorders>
              <w:top w:val="nil"/>
              <w:left w:val="nil"/>
              <w:bottom w:val="nil"/>
              <w:right w:val="nil"/>
            </w:tcBorders>
            <w:vAlign w:val="center"/>
            <w:hideMark/>
          </w:tcPr>
          <w:p w14:paraId="4FE7F91F"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0.018</w:t>
            </w:r>
          </w:p>
        </w:tc>
        <w:tc>
          <w:tcPr>
            <w:tcW w:w="1024" w:type="pct"/>
            <w:gridSpan w:val="2"/>
            <w:tcBorders>
              <w:top w:val="nil"/>
              <w:left w:val="nil"/>
              <w:bottom w:val="nil"/>
              <w:right w:val="nil"/>
            </w:tcBorders>
            <w:vAlign w:val="center"/>
            <w:hideMark/>
          </w:tcPr>
          <w:p w14:paraId="114CEAA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ED32B69"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42B71E40" w14:textId="77777777" w:rsidTr="006D6635">
        <w:trPr>
          <w:trHeight w:val="510"/>
        </w:trPr>
        <w:tc>
          <w:tcPr>
            <w:tcW w:w="2015" w:type="pct"/>
            <w:tcBorders>
              <w:top w:val="nil"/>
              <w:left w:val="nil"/>
              <w:bottom w:val="nil"/>
              <w:right w:val="nil"/>
            </w:tcBorders>
            <w:vAlign w:val="center"/>
            <w:hideMark/>
          </w:tcPr>
          <w:p w14:paraId="1540D69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Chronic kidney disease*</w:t>
            </w:r>
          </w:p>
        </w:tc>
        <w:tc>
          <w:tcPr>
            <w:tcW w:w="966" w:type="pct"/>
            <w:tcBorders>
              <w:top w:val="nil"/>
              <w:left w:val="nil"/>
              <w:bottom w:val="nil"/>
              <w:right w:val="nil"/>
            </w:tcBorders>
            <w:vAlign w:val="center"/>
            <w:hideMark/>
          </w:tcPr>
          <w:p w14:paraId="73740D6E"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0.04 (0.006–0.30)</w:t>
            </w:r>
          </w:p>
        </w:tc>
        <w:tc>
          <w:tcPr>
            <w:tcW w:w="497" w:type="pct"/>
            <w:gridSpan w:val="2"/>
            <w:tcBorders>
              <w:top w:val="nil"/>
              <w:left w:val="nil"/>
              <w:bottom w:val="nil"/>
              <w:right w:val="nil"/>
            </w:tcBorders>
            <w:vAlign w:val="center"/>
            <w:hideMark/>
          </w:tcPr>
          <w:p w14:paraId="46341AD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0.001</w:t>
            </w:r>
          </w:p>
        </w:tc>
        <w:tc>
          <w:tcPr>
            <w:tcW w:w="1024" w:type="pct"/>
            <w:gridSpan w:val="2"/>
            <w:tcBorders>
              <w:top w:val="nil"/>
              <w:left w:val="nil"/>
              <w:bottom w:val="nil"/>
              <w:right w:val="nil"/>
            </w:tcBorders>
            <w:vAlign w:val="center"/>
            <w:hideMark/>
          </w:tcPr>
          <w:p w14:paraId="57F76B52"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9DD1D3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4D1DDF50" w14:textId="77777777" w:rsidTr="006D6635">
        <w:trPr>
          <w:trHeight w:val="510"/>
        </w:trPr>
        <w:tc>
          <w:tcPr>
            <w:tcW w:w="2015" w:type="pct"/>
            <w:tcBorders>
              <w:top w:val="nil"/>
              <w:left w:val="nil"/>
              <w:bottom w:val="nil"/>
              <w:right w:val="nil"/>
            </w:tcBorders>
            <w:vAlign w:val="center"/>
            <w:hideMark/>
          </w:tcPr>
          <w:p w14:paraId="0610517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Chronic obstructive pulmonary disease*</w:t>
            </w:r>
          </w:p>
        </w:tc>
        <w:tc>
          <w:tcPr>
            <w:tcW w:w="966" w:type="pct"/>
            <w:tcBorders>
              <w:top w:val="nil"/>
              <w:left w:val="nil"/>
              <w:bottom w:val="nil"/>
              <w:right w:val="nil"/>
            </w:tcBorders>
            <w:vAlign w:val="center"/>
            <w:hideMark/>
          </w:tcPr>
          <w:p w14:paraId="3B1248BA"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0.06 (0.007–0.54)</w:t>
            </w:r>
          </w:p>
        </w:tc>
        <w:tc>
          <w:tcPr>
            <w:tcW w:w="497" w:type="pct"/>
            <w:gridSpan w:val="2"/>
            <w:tcBorders>
              <w:top w:val="nil"/>
              <w:left w:val="nil"/>
              <w:bottom w:val="nil"/>
              <w:right w:val="nil"/>
            </w:tcBorders>
            <w:vAlign w:val="center"/>
            <w:hideMark/>
          </w:tcPr>
          <w:p w14:paraId="477CE322"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0.011</w:t>
            </w:r>
          </w:p>
        </w:tc>
        <w:tc>
          <w:tcPr>
            <w:tcW w:w="1024" w:type="pct"/>
            <w:gridSpan w:val="2"/>
            <w:tcBorders>
              <w:top w:val="nil"/>
              <w:left w:val="nil"/>
              <w:bottom w:val="nil"/>
              <w:right w:val="nil"/>
            </w:tcBorders>
            <w:vAlign w:val="center"/>
            <w:hideMark/>
          </w:tcPr>
          <w:p w14:paraId="1D2267D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BF690C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13F3FBC1" w14:textId="77777777" w:rsidTr="006D6635">
        <w:trPr>
          <w:trHeight w:val="300"/>
        </w:trPr>
        <w:tc>
          <w:tcPr>
            <w:tcW w:w="2015" w:type="pct"/>
            <w:tcBorders>
              <w:top w:val="nil"/>
              <w:left w:val="nil"/>
              <w:bottom w:val="nil"/>
              <w:right w:val="nil"/>
            </w:tcBorders>
            <w:vAlign w:val="center"/>
            <w:hideMark/>
          </w:tcPr>
          <w:p w14:paraId="0E0CEDE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≥3 GDMT drugs*</w:t>
            </w:r>
          </w:p>
        </w:tc>
        <w:tc>
          <w:tcPr>
            <w:tcW w:w="966" w:type="pct"/>
            <w:tcBorders>
              <w:top w:val="nil"/>
              <w:left w:val="nil"/>
              <w:bottom w:val="nil"/>
              <w:right w:val="nil"/>
            </w:tcBorders>
            <w:vAlign w:val="center"/>
            <w:hideMark/>
          </w:tcPr>
          <w:p w14:paraId="210FC21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0.07 (0.007–0.68)</w:t>
            </w:r>
          </w:p>
        </w:tc>
        <w:tc>
          <w:tcPr>
            <w:tcW w:w="497" w:type="pct"/>
            <w:gridSpan w:val="2"/>
            <w:tcBorders>
              <w:top w:val="nil"/>
              <w:left w:val="nil"/>
              <w:bottom w:val="nil"/>
              <w:right w:val="nil"/>
            </w:tcBorders>
            <w:vAlign w:val="center"/>
            <w:hideMark/>
          </w:tcPr>
          <w:p w14:paraId="74949F0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0.022</w:t>
            </w:r>
          </w:p>
        </w:tc>
        <w:tc>
          <w:tcPr>
            <w:tcW w:w="1024" w:type="pct"/>
            <w:gridSpan w:val="2"/>
            <w:tcBorders>
              <w:top w:val="nil"/>
              <w:left w:val="nil"/>
              <w:bottom w:val="nil"/>
              <w:right w:val="nil"/>
            </w:tcBorders>
            <w:vAlign w:val="center"/>
            <w:hideMark/>
          </w:tcPr>
          <w:p w14:paraId="04A69B41"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069EC4E3"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60A8435F" w14:textId="77777777" w:rsidTr="006D6635">
        <w:trPr>
          <w:trHeight w:val="300"/>
        </w:trPr>
        <w:tc>
          <w:tcPr>
            <w:tcW w:w="2015" w:type="pct"/>
            <w:tcBorders>
              <w:top w:val="nil"/>
              <w:left w:val="nil"/>
              <w:bottom w:val="nil"/>
              <w:right w:val="nil"/>
            </w:tcBorders>
            <w:vAlign w:val="center"/>
            <w:hideMark/>
          </w:tcPr>
          <w:p w14:paraId="120DD2F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Hematocrit (↓)</w:t>
            </w:r>
          </w:p>
        </w:tc>
        <w:tc>
          <w:tcPr>
            <w:tcW w:w="966" w:type="pct"/>
            <w:tcBorders>
              <w:top w:val="nil"/>
              <w:left w:val="nil"/>
              <w:bottom w:val="nil"/>
              <w:right w:val="nil"/>
            </w:tcBorders>
            <w:vAlign w:val="center"/>
            <w:hideMark/>
          </w:tcPr>
          <w:p w14:paraId="3762010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5CE3A1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1397685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 (0.000–0.059)</w:t>
            </w:r>
          </w:p>
        </w:tc>
        <w:tc>
          <w:tcPr>
            <w:tcW w:w="497" w:type="pct"/>
            <w:gridSpan w:val="2"/>
            <w:tcBorders>
              <w:top w:val="nil"/>
              <w:left w:val="nil"/>
              <w:bottom w:val="nil"/>
              <w:right w:val="nil"/>
            </w:tcBorders>
            <w:vAlign w:val="center"/>
            <w:hideMark/>
          </w:tcPr>
          <w:p w14:paraId="32898461"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0.017</w:t>
            </w:r>
          </w:p>
        </w:tc>
      </w:tr>
      <w:tr w:rsidR="000D7A84" w:rsidRPr="00FB6AE8" w14:paraId="1E166094" w14:textId="77777777" w:rsidTr="006D6635">
        <w:trPr>
          <w:trHeight w:val="300"/>
        </w:trPr>
        <w:tc>
          <w:tcPr>
            <w:tcW w:w="2015" w:type="pct"/>
            <w:tcBorders>
              <w:top w:val="nil"/>
              <w:left w:val="nil"/>
              <w:bottom w:val="nil"/>
              <w:right w:val="nil"/>
            </w:tcBorders>
            <w:vAlign w:val="center"/>
            <w:hideMark/>
          </w:tcPr>
          <w:p w14:paraId="322D6DF4"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albumin (↓)</w:t>
            </w:r>
          </w:p>
        </w:tc>
        <w:tc>
          <w:tcPr>
            <w:tcW w:w="966" w:type="pct"/>
            <w:tcBorders>
              <w:top w:val="nil"/>
              <w:left w:val="nil"/>
              <w:bottom w:val="nil"/>
              <w:right w:val="nil"/>
            </w:tcBorders>
            <w:vAlign w:val="center"/>
            <w:hideMark/>
          </w:tcPr>
          <w:p w14:paraId="13DFE656"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0F9429AB"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420F2FFB"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0.78 (0.67–0.91)</w:t>
            </w:r>
          </w:p>
        </w:tc>
        <w:tc>
          <w:tcPr>
            <w:tcW w:w="497" w:type="pct"/>
            <w:gridSpan w:val="2"/>
            <w:tcBorders>
              <w:top w:val="nil"/>
              <w:left w:val="nil"/>
              <w:bottom w:val="nil"/>
              <w:right w:val="nil"/>
            </w:tcBorders>
            <w:vAlign w:val="center"/>
            <w:hideMark/>
          </w:tcPr>
          <w:p w14:paraId="5BB08620"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0.001</w:t>
            </w:r>
          </w:p>
        </w:tc>
      </w:tr>
      <w:tr w:rsidR="000D7A84" w:rsidRPr="00FB6AE8" w14:paraId="021D83A9" w14:textId="77777777" w:rsidTr="006D6635">
        <w:trPr>
          <w:trHeight w:val="300"/>
        </w:trPr>
        <w:tc>
          <w:tcPr>
            <w:tcW w:w="2015" w:type="pct"/>
            <w:tcBorders>
              <w:top w:val="nil"/>
              <w:left w:val="nil"/>
              <w:bottom w:val="nil"/>
              <w:right w:val="nil"/>
            </w:tcBorders>
            <w:vAlign w:val="center"/>
            <w:hideMark/>
          </w:tcPr>
          <w:p w14:paraId="5B83D745"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bicarbonate (↓)</w:t>
            </w:r>
          </w:p>
        </w:tc>
        <w:tc>
          <w:tcPr>
            <w:tcW w:w="966" w:type="pct"/>
            <w:tcBorders>
              <w:top w:val="nil"/>
              <w:left w:val="nil"/>
              <w:bottom w:val="nil"/>
              <w:right w:val="nil"/>
            </w:tcBorders>
            <w:vAlign w:val="center"/>
            <w:hideMark/>
          </w:tcPr>
          <w:p w14:paraId="6BE6532C"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7E11A86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06768D81"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0.75 (0.59–0.95)</w:t>
            </w:r>
          </w:p>
        </w:tc>
        <w:tc>
          <w:tcPr>
            <w:tcW w:w="497" w:type="pct"/>
            <w:gridSpan w:val="2"/>
            <w:tcBorders>
              <w:top w:val="nil"/>
              <w:left w:val="nil"/>
              <w:bottom w:val="nil"/>
              <w:right w:val="nil"/>
            </w:tcBorders>
            <w:vAlign w:val="center"/>
            <w:hideMark/>
          </w:tcPr>
          <w:p w14:paraId="0D1F3AC0"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0.019</w:t>
            </w:r>
          </w:p>
        </w:tc>
      </w:tr>
      <w:tr w:rsidR="000D7A84" w:rsidRPr="00FB6AE8" w14:paraId="544B1F8F" w14:textId="77777777" w:rsidTr="006D6635">
        <w:trPr>
          <w:trHeight w:val="315"/>
        </w:trPr>
        <w:tc>
          <w:tcPr>
            <w:tcW w:w="2015" w:type="pct"/>
            <w:tcBorders>
              <w:top w:val="nil"/>
              <w:left w:val="nil"/>
              <w:bottom w:val="nil"/>
              <w:right w:val="nil"/>
            </w:tcBorders>
            <w:vAlign w:val="center"/>
            <w:hideMark/>
          </w:tcPr>
          <w:p w14:paraId="4150AECE"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Heart Rate (↑)</w:t>
            </w:r>
          </w:p>
        </w:tc>
        <w:tc>
          <w:tcPr>
            <w:tcW w:w="966" w:type="pct"/>
            <w:tcBorders>
              <w:top w:val="nil"/>
              <w:left w:val="nil"/>
              <w:bottom w:val="nil"/>
              <w:right w:val="nil"/>
            </w:tcBorders>
            <w:vAlign w:val="center"/>
            <w:hideMark/>
          </w:tcPr>
          <w:p w14:paraId="4F4EE875"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497" w:type="pct"/>
            <w:gridSpan w:val="2"/>
            <w:tcBorders>
              <w:top w:val="nil"/>
              <w:left w:val="nil"/>
              <w:bottom w:val="nil"/>
              <w:right w:val="nil"/>
            </w:tcBorders>
            <w:vAlign w:val="center"/>
            <w:hideMark/>
          </w:tcPr>
          <w:p w14:paraId="2138B642"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1024" w:type="pct"/>
            <w:gridSpan w:val="2"/>
            <w:tcBorders>
              <w:top w:val="nil"/>
              <w:left w:val="nil"/>
              <w:bottom w:val="nil"/>
              <w:right w:val="nil"/>
            </w:tcBorders>
            <w:vAlign w:val="center"/>
            <w:hideMark/>
          </w:tcPr>
          <w:p w14:paraId="17B4CF15"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1.06(1.00-1.13)</w:t>
            </w:r>
          </w:p>
        </w:tc>
        <w:tc>
          <w:tcPr>
            <w:tcW w:w="497" w:type="pct"/>
            <w:gridSpan w:val="2"/>
            <w:tcBorders>
              <w:top w:val="nil"/>
              <w:left w:val="nil"/>
              <w:bottom w:val="nil"/>
              <w:right w:val="nil"/>
            </w:tcBorders>
            <w:vAlign w:val="center"/>
            <w:hideMark/>
          </w:tcPr>
          <w:p w14:paraId="0E790896"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0.051</w:t>
            </w:r>
          </w:p>
        </w:tc>
      </w:tr>
      <w:tr w:rsidR="000D7A84" w:rsidRPr="00FB6AE8" w14:paraId="7D39C13B" w14:textId="77777777" w:rsidTr="006D6635">
        <w:trPr>
          <w:trHeight w:val="315"/>
        </w:trPr>
        <w:tc>
          <w:tcPr>
            <w:tcW w:w="2015" w:type="pct"/>
            <w:tcBorders>
              <w:top w:val="nil"/>
              <w:left w:val="nil"/>
              <w:bottom w:val="single" w:sz="4" w:space="0" w:color="auto"/>
              <w:right w:val="nil"/>
            </w:tcBorders>
            <w:vAlign w:val="center"/>
            <w:hideMark/>
          </w:tcPr>
          <w:p w14:paraId="61068C36"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eGFR (↑)</w:t>
            </w:r>
          </w:p>
        </w:tc>
        <w:tc>
          <w:tcPr>
            <w:tcW w:w="966" w:type="pct"/>
            <w:tcBorders>
              <w:top w:val="nil"/>
              <w:left w:val="nil"/>
              <w:bottom w:val="single" w:sz="4" w:space="0" w:color="auto"/>
              <w:right w:val="nil"/>
            </w:tcBorders>
            <w:vAlign w:val="center"/>
            <w:hideMark/>
          </w:tcPr>
          <w:p w14:paraId="533DD699"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497" w:type="pct"/>
            <w:gridSpan w:val="2"/>
            <w:tcBorders>
              <w:top w:val="nil"/>
              <w:left w:val="nil"/>
              <w:bottom w:val="single" w:sz="4" w:space="0" w:color="auto"/>
              <w:right w:val="nil"/>
            </w:tcBorders>
            <w:vAlign w:val="center"/>
            <w:hideMark/>
          </w:tcPr>
          <w:p w14:paraId="065E8367"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1024" w:type="pct"/>
            <w:gridSpan w:val="2"/>
            <w:tcBorders>
              <w:top w:val="nil"/>
              <w:left w:val="nil"/>
              <w:bottom w:val="single" w:sz="4" w:space="0" w:color="auto"/>
              <w:right w:val="nil"/>
            </w:tcBorders>
            <w:vAlign w:val="center"/>
            <w:hideMark/>
          </w:tcPr>
          <w:p w14:paraId="72E3B565"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1.11(1.00-1.24)</w:t>
            </w:r>
          </w:p>
        </w:tc>
        <w:tc>
          <w:tcPr>
            <w:tcW w:w="497" w:type="pct"/>
            <w:gridSpan w:val="2"/>
            <w:tcBorders>
              <w:top w:val="nil"/>
              <w:left w:val="nil"/>
              <w:bottom w:val="single" w:sz="4" w:space="0" w:color="auto"/>
              <w:right w:val="nil"/>
            </w:tcBorders>
            <w:vAlign w:val="center"/>
            <w:hideMark/>
          </w:tcPr>
          <w:p w14:paraId="24B2DFA0"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0.051</w:t>
            </w:r>
          </w:p>
        </w:tc>
      </w:tr>
    </w:tbl>
    <w:p w14:paraId="2BB6F8E9" w14:textId="77777777" w:rsidR="000D7A84" w:rsidRPr="00CE3074" w:rsidRDefault="000D7A84" w:rsidP="000D7A84">
      <w:pPr>
        <w:spacing w:after="100" w:afterAutospacing="1" w:line="240" w:lineRule="auto"/>
        <w:rPr>
          <w:rFonts w:ascii="Times New Roman" w:eastAsia="Times New Roman" w:hAnsi="Times New Roman" w:cs="Times New Roman"/>
          <w:sz w:val="18"/>
          <w:szCs w:val="18"/>
        </w:rPr>
      </w:pPr>
      <w:r w:rsidRPr="00DD3EAA">
        <w:rPr>
          <w:rFonts w:ascii="Times New Roman" w:eastAsia="Times New Roman" w:hAnsi="Times New Roman" w:cs="Times New Roman"/>
          <w:sz w:val="18"/>
          <w:szCs w:val="18"/>
        </w:rPr>
        <w:t>Note: *Protective factor. GDMT: guideline-directed medical therapy; OR: odds ratio; CI: confidence interval.</w:t>
      </w:r>
    </w:p>
    <w:p w14:paraId="2577BB84" w14:textId="77777777" w:rsidR="000D7A84" w:rsidRPr="00CE3074" w:rsidRDefault="000D7A84" w:rsidP="000D7A84">
      <w:pPr>
        <w:spacing w:before="100" w:beforeAutospacing="1" w:after="100" w:afterAutospacing="1" w:line="240" w:lineRule="auto"/>
        <w:rPr>
          <w:rFonts w:ascii="Times New Roman" w:eastAsia="Times New Roman" w:hAnsi="Times New Roman" w:cs="Times New Roman"/>
          <w:b/>
          <w:bCs/>
          <w:color w:val="000000" w:themeColor="text1"/>
        </w:rPr>
      </w:pPr>
      <w:r w:rsidRPr="00CE3074">
        <w:rPr>
          <w:rFonts w:ascii="Times New Roman" w:eastAsia="Times New Roman" w:hAnsi="Times New Roman" w:cs="Times New Roman"/>
          <w:b/>
          <w:bCs/>
          <w:color w:val="000000" w:themeColor="text1"/>
        </w:rPr>
        <w:t xml:space="preserve">Table 5. </w:t>
      </w:r>
      <w:r w:rsidRPr="00CE3074">
        <w:rPr>
          <w:rFonts w:ascii="Times New Roman" w:eastAsia="Times New Roman" w:hAnsi="Times New Roman" w:cs="Times New Roman"/>
          <w:color w:val="000000" w:themeColor="text1"/>
        </w:rPr>
        <w:t>Risk Factors of 6-Month Rehospitalization</w:t>
      </w:r>
    </w:p>
    <w:tbl>
      <w:tblPr>
        <w:tblW w:w="5000" w:type="pct"/>
        <w:tblLook w:val="04A0" w:firstRow="1" w:lastRow="0" w:firstColumn="1" w:lastColumn="0" w:noHBand="0" w:noVBand="1"/>
      </w:tblPr>
      <w:tblGrid>
        <w:gridCol w:w="2969"/>
        <w:gridCol w:w="2252"/>
        <w:gridCol w:w="1022"/>
        <w:gridCol w:w="2099"/>
        <w:gridCol w:w="1018"/>
      </w:tblGrid>
      <w:tr w:rsidR="000D7A84" w:rsidRPr="00DD3EAA" w14:paraId="0BBA5CAD" w14:textId="77777777" w:rsidTr="005E6E83">
        <w:trPr>
          <w:trHeight w:val="264"/>
        </w:trPr>
        <w:tc>
          <w:tcPr>
            <w:tcW w:w="1586" w:type="pct"/>
            <w:tcBorders>
              <w:top w:val="single" w:sz="4" w:space="0" w:color="auto"/>
              <w:left w:val="nil"/>
              <w:bottom w:val="single" w:sz="4" w:space="0" w:color="auto"/>
              <w:right w:val="nil"/>
            </w:tcBorders>
            <w:noWrap/>
            <w:vAlign w:val="bottom"/>
            <w:hideMark/>
          </w:tcPr>
          <w:p w14:paraId="7D618B9E" w14:textId="77777777" w:rsidR="000D7A84" w:rsidRPr="00DD3EAA" w:rsidRDefault="000D7A84" w:rsidP="006D6635">
            <w:pPr>
              <w:spacing w:after="0" w:line="480" w:lineRule="auto"/>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w:t>
            </w:r>
          </w:p>
        </w:tc>
        <w:tc>
          <w:tcPr>
            <w:tcW w:w="1203" w:type="pct"/>
            <w:tcBorders>
              <w:top w:val="single" w:sz="4" w:space="0" w:color="auto"/>
              <w:left w:val="nil"/>
              <w:bottom w:val="single" w:sz="4" w:space="0" w:color="auto"/>
              <w:right w:val="nil"/>
            </w:tcBorders>
            <w:noWrap/>
            <w:vAlign w:val="bottom"/>
          </w:tcPr>
          <w:p w14:paraId="22363658" w14:textId="77777777" w:rsidR="000D7A84" w:rsidRPr="00DD3EAA" w:rsidRDefault="000D7A84" w:rsidP="006D6635">
            <w:pPr>
              <w:spacing w:after="0" w:line="480" w:lineRule="auto"/>
              <w:jc w:val="both"/>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NCRS</w:t>
            </w:r>
          </w:p>
        </w:tc>
        <w:tc>
          <w:tcPr>
            <w:tcW w:w="546" w:type="pct"/>
            <w:tcBorders>
              <w:top w:val="single" w:sz="4" w:space="0" w:color="auto"/>
              <w:left w:val="nil"/>
              <w:bottom w:val="single" w:sz="4" w:space="0" w:color="auto"/>
              <w:right w:val="nil"/>
            </w:tcBorders>
            <w:noWrap/>
            <w:vAlign w:val="bottom"/>
            <w:hideMark/>
          </w:tcPr>
          <w:p w14:paraId="14CF90E2" w14:textId="77777777" w:rsidR="000D7A84" w:rsidRPr="00DD3EAA" w:rsidRDefault="000D7A84" w:rsidP="006D6635">
            <w:pPr>
              <w:spacing w:after="0" w:line="480" w:lineRule="auto"/>
              <w:jc w:val="right"/>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p>
        </w:tc>
        <w:tc>
          <w:tcPr>
            <w:tcW w:w="1121" w:type="pct"/>
            <w:tcBorders>
              <w:top w:val="single" w:sz="4" w:space="0" w:color="auto"/>
              <w:left w:val="nil"/>
              <w:bottom w:val="single" w:sz="4" w:space="0" w:color="auto"/>
              <w:right w:val="nil"/>
            </w:tcBorders>
            <w:noWrap/>
            <w:vAlign w:val="bottom"/>
            <w:hideMark/>
          </w:tcPr>
          <w:p w14:paraId="79F5E971" w14:textId="77777777" w:rsidR="000D7A84" w:rsidRPr="00DD3EAA" w:rsidRDefault="000D7A84" w:rsidP="006D6635">
            <w:pPr>
              <w:spacing w:after="0" w:line="480" w:lineRule="auto"/>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CRS1</w:t>
            </w:r>
          </w:p>
        </w:tc>
        <w:tc>
          <w:tcPr>
            <w:tcW w:w="544" w:type="pct"/>
            <w:tcBorders>
              <w:top w:val="single" w:sz="4" w:space="0" w:color="auto"/>
              <w:left w:val="nil"/>
              <w:bottom w:val="single" w:sz="4" w:space="0" w:color="auto"/>
              <w:right w:val="nil"/>
            </w:tcBorders>
            <w:noWrap/>
            <w:vAlign w:val="bottom"/>
            <w:hideMark/>
          </w:tcPr>
          <w:p w14:paraId="6A098EDB" w14:textId="77777777" w:rsidR="000D7A84" w:rsidRPr="00DD3EAA" w:rsidRDefault="000D7A84" w:rsidP="006D6635">
            <w:pPr>
              <w:spacing w:after="0" w:line="480" w:lineRule="auto"/>
              <w:jc w:val="center"/>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w:t>
            </w:r>
          </w:p>
        </w:tc>
      </w:tr>
      <w:tr w:rsidR="000D7A84" w:rsidRPr="00E728CA" w14:paraId="69A8634C" w14:textId="77777777" w:rsidTr="005E6E83">
        <w:tblPrEx>
          <w:tblCellSpacing w:w="15" w:type="dxa"/>
          <w:tblBorders>
            <w:bottom w:val="single" w:sz="4" w:space="0" w:color="auto"/>
          </w:tblBorders>
          <w:tblCellMar>
            <w:top w:w="15" w:type="dxa"/>
            <w:left w:w="15" w:type="dxa"/>
            <w:bottom w:w="15" w:type="dxa"/>
            <w:right w:w="15" w:type="dxa"/>
          </w:tblCellMar>
        </w:tblPrEx>
        <w:trPr>
          <w:tblHeader/>
          <w:tblCellSpacing w:w="15" w:type="dxa"/>
        </w:trPr>
        <w:tc>
          <w:tcPr>
            <w:tcW w:w="1586" w:type="pct"/>
            <w:tcBorders>
              <w:top w:val="single" w:sz="4" w:space="0" w:color="auto"/>
              <w:bottom w:val="single" w:sz="4" w:space="0" w:color="auto"/>
            </w:tcBorders>
            <w:vAlign w:val="center"/>
            <w:hideMark/>
          </w:tcPr>
          <w:p w14:paraId="078208A8"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Predictor</w:t>
            </w:r>
          </w:p>
        </w:tc>
        <w:tc>
          <w:tcPr>
            <w:tcW w:w="1203" w:type="pct"/>
            <w:tcBorders>
              <w:top w:val="single" w:sz="4" w:space="0" w:color="auto"/>
              <w:bottom w:val="single" w:sz="4" w:space="0" w:color="auto"/>
            </w:tcBorders>
            <w:vAlign w:val="center"/>
            <w:hideMark/>
          </w:tcPr>
          <w:p w14:paraId="2292C42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OR (95% CI)</w:t>
            </w:r>
          </w:p>
        </w:tc>
        <w:tc>
          <w:tcPr>
            <w:tcW w:w="546" w:type="pct"/>
            <w:tcBorders>
              <w:top w:val="single" w:sz="4" w:space="0" w:color="auto"/>
              <w:bottom w:val="single" w:sz="4" w:space="0" w:color="auto"/>
            </w:tcBorders>
            <w:vAlign w:val="center"/>
            <w:hideMark/>
          </w:tcPr>
          <w:p w14:paraId="737C3C66"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p-value</w:t>
            </w:r>
          </w:p>
        </w:tc>
        <w:tc>
          <w:tcPr>
            <w:tcW w:w="1121" w:type="pct"/>
            <w:tcBorders>
              <w:top w:val="single" w:sz="4" w:space="0" w:color="auto"/>
              <w:bottom w:val="single" w:sz="4" w:space="0" w:color="auto"/>
            </w:tcBorders>
            <w:vAlign w:val="center"/>
            <w:hideMark/>
          </w:tcPr>
          <w:p w14:paraId="0025F74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OR (95% CI)</w:t>
            </w:r>
          </w:p>
        </w:tc>
        <w:tc>
          <w:tcPr>
            <w:tcW w:w="544" w:type="pct"/>
            <w:tcBorders>
              <w:top w:val="single" w:sz="4" w:space="0" w:color="auto"/>
              <w:bottom w:val="single" w:sz="4" w:space="0" w:color="auto"/>
            </w:tcBorders>
            <w:vAlign w:val="center"/>
            <w:hideMark/>
          </w:tcPr>
          <w:p w14:paraId="4B8C8A7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p-value</w:t>
            </w:r>
          </w:p>
        </w:tc>
      </w:tr>
      <w:tr w:rsidR="000D7A84" w:rsidRPr="00E728CA" w14:paraId="107A9EC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7BF65D0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Coronary artery disease</w:t>
            </w:r>
          </w:p>
        </w:tc>
        <w:tc>
          <w:tcPr>
            <w:tcW w:w="1203" w:type="pct"/>
            <w:vAlign w:val="center"/>
            <w:hideMark/>
          </w:tcPr>
          <w:p w14:paraId="355CEB5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8.90 (2.25–35.30)</w:t>
            </w:r>
          </w:p>
        </w:tc>
        <w:tc>
          <w:tcPr>
            <w:tcW w:w="546" w:type="pct"/>
            <w:vAlign w:val="center"/>
            <w:hideMark/>
          </w:tcPr>
          <w:p w14:paraId="48BDD2E8"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0.002</w:t>
            </w:r>
          </w:p>
        </w:tc>
        <w:tc>
          <w:tcPr>
            <w:tcW w:w="1121" w:type="pct"/>
            <w:vAlign w:val="center"/>
            <w:hideMark/>
          </w:tcPr>
          <w:p w14:paraId="3550E7B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7BD75F9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33BD6AEF"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4B296B3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≥3 GDMT drugs</w:t>
            </w:r>
          </w:p>
        </w:tc>
        <w:tc>
          <w:tcPr>
            <w:tcW w:w="1203" w:type="pct"/>
            <w:vAlign w:val="center"/>
            <w:hideMark/>
          </w:tcPr>
          <w:p w14:paraId="0F02142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5.33 (1.33–21.33)</w:t>
            </w:r>
          </w:p>
        </w:tc>
        <w:tc>
          <w:tcPr>
            <w:tcW w:w="546" w:type="pct"/>
            <w:vAlign w:val="center"/>
            <w:hideMark/>
          </w:tcPr>
          <w:p w14:paraId="5DCC4F2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0.018</w:t>
            </w:r>
          </w:p>
        </w:tc>
        <w:tc>
          <w:tcPr>
            <w:tcW w:w="1121" w:type="pct"/>
            <w:vAlign w:val="center"/>
            <w:hideMark/>
          </w:tcPr>
          <w:p w14:paraId="0206228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4066685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1CB75DAC"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04BC2C7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lastRenderedPageBreak/>
              <w:t>Serum albumin (↓)</w:t>
            </w:r>
          </w:p>
        </w:tc>
        <w:tc>
          <w:tcPr>
            <w:tcW w:w="1203" w:type="pct"/>
            <w:vAlign w:val="center"/>
            <w:hideMark/>
          </w:tcPr>
          <w:p w14:paraId="4201A7D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0.86 (0.77–0.96)</w:t>
            </w:r>
          </w:p>
        </w:tc>
        <w:tc>
          <w:tcPr>
            <w:tcW w:w="546" w:type="pct"/>
            <w:vAlign w:val="center"/>
            <w:hideMark/>
          </w:tcPr>
          <w:p w14:paraId="548FE2A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0.006</w:t>
            </w:r>
          </w:p>
        </w:tc>
        <w:tc>
          <w:tcPr>
            <w:tcW w:w="1121" w:type="pct"/>
            <w:vAlign w:val="center"/>
            <w:hideMark/>
          </w:tcPr>
          <w:p w14:paraId="2EF7FA50"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7A4AA560"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4D7E1EA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4191447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Smoking*</w:t>
            </w:r>
          </w:p>
        </w:tc>
        <w:tc>
          <w:tcPr>
            <w:tcW w:w="1203" w:type="pct"/>
            <w:vAlign w:val="center"/>
            <w:hideMark/>
          </w:tcPr>
          <w:p w14:paraId="7CFC2673"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0.16 (0.04–0.65)</w:t>
            </w:r>
          </w:p>
        </w:tc>
        <w:tc>
          <w:tcPr>
            <w:tcW w:w="546" w:type="pct"/>
            <w:vAlign w:val="center"/>
            <w:hideMark/>
          </w:tcPr>
          <w:p w14:paraId="705C03D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0.010</w:t>
            </w:r>
          </w:p>
        </w:tc>
        <w:tc>
          <w:tcPr>
            <w:tcW w:w="1121" w:type="pct"/>
            <w:vAlign w:val="center"/>
            <w:hideMark/>
          </w:tcPr>
          <w:p w14:paraId="150BFE8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0830A6D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650A66F9"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7A6A2F73"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Diuretic use*</w:t>
            </w:r>
          </w:p>
        </w:tc>
        <w:tc>
          <w:tcPr>
            <w:tcW w:w="1203" w:type="pct"/>
            <w:vAlign w:val="center"/>
            <w:hideMark/>
          </w:tcPr>
          <w:p w14:paraId="56AB3F9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0.37 (0.14–0.99)</w:t>
            </w:r>
          </w:p>
        </w:tc>
        <w:tc>
          <w:tcPr>
            <w:tcW w:w="546" w:type="pct"/>
            <w:vAlign w:val="center"/>
            <w:hideMark/>
          </w:tcPr>
          <w:p w14:paraId="02B47F5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0.048</w:t>
            </w:r>
          </w:p>
        </w:tc>
        <w:tc>
          <w:tcPr>
            <w:tcW w:w="1121" w:type="pct"/>
            <w:vAlign w:val="center"/>
            <w:hideMark/>
          </w:tcPr>
          <w:p w14:paraId="6187135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15FEA4F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5E6E83" w:rsidRPr="00E728CA" w14:paraId="0CAB19F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5B1D4BDA" w14:textId="1D1973AA"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Hemoglobin (↓)</w:t>
            </w:r>
          </w:p>
        </w:tc>
        <w:tc>
          <w:tcPr>
            <w:tcW w:w="1203" w:type="pct"/>
            <w:vAlign w:val="center"/>
            <w:hideMark/>
          </w:tcPr>
          <w:p w14:paraId="0DF3CB88" w14:textId="77777777"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6" w:type="pct"/>
            <w:vAlign w:val="center"/>
            <w:hideMark/>
          </w:tcPr>
          <w:p w14:paraId="5CD3D202" w14:textId="77777777"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1121" w:type="pct"/>
            <w:vAlign w:val="center"/>
            <w:hideMark/>
          </w:tcPr>
          <w:p w14:paraId="452C7A02" w14:textId="2A324B1D" w:rsidR="005E6E83" w:rsidRPr="005E6E83"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5E6E83">
              <w:rPr>
                <w:rFonts w:ascii="Times New Roman" w:eastAsia="Times New Roman" w:hAnsi="Times New Roman" w:cs="Times New Roman"/>
                <w:sz w:val="20"/>
                <w:szCs w:val="20"/>
              </w:rPr>
              <w:t>0.</w:t>
            </w:r>
            <w:r w:rsidR="004741A1">
              <w:rPr>
                <w:rFonts w:ascii="Times New Roman" w:eastAsia="Times New Roman" w:hAnsi="Times New Roman" w:cs="Times New Roman"/>
                <w:sz w:val="20"/>
                <w:szCs w:val="20"/>
              </w:rPr>
              <w:t>57</w:t>
            </w:r>
            <w:r w:rsidRPr="005E6E83">
              <w:rPr>
                <w:rFonts w:ascii="Times New Roman" w:eastAsia="Times New Roman" w:hAnsi="Times New Roman" w:cs="Times New Roman"/>
                <w:sz w:val="20"/>
                <w:szCs w:val="20"/>
              </w:rPr>
              <w:t xml:space="preserve"> (0.3</w:t>
            </w:r>
            <w:r w:rsidR="004741A1">
              <w:rPr>
                <w:rFonts w:ascii="Times New Roman" w:eastAsia="Times New Roman" w:hAnsi="Times New Roman" w:cs="Times New Roman"/>
                <w:sz w:val="20"/>
                <w:szCs w:val="20"/>
              </w:rPr>
              <w:t>7</w:t>
            </w:r>
            <w:r w:rsidRPr="005E6E83">
              <w:rPr>
                <w:rFonts w:ascii="Times New Roman" w:eastAsia="Times New Roman" w:hAnsi="Times New Roman" w:cs="Times New Roman"/>
                <w:sz w:val="20"/>
                <w:szCs w:val="20"/>
              </w:rPr>
              <w:t>–0.</w:t>
            </w:r>
            <w:r w:rsidR="004741A1">
              <w:rPr>
                <w:rFonts w:ascii="Times New Roman" w:eastAsia="Times New Roman" w:hAnsi="Times New Roman" w:cs="Times New Roman"/>
                <w:sz w:val="20"/>
                <w:szCs w:val="20"/>
              </w:rPr>
              <w:t>89</w:t>
            </w:r>
            <w:r w:rsidRPr="005E6E83">
              <w:rPr>
                <w:rFonts w:ascii="Times New Roman" w:eastAsia="Times New Roman" w:hAnsi="Times New Roman" w:cs="Times New Roman"/>
                <w:sz w:val="20"/>
                <w:szCs w:val="20"/>
              </w:rPr>
              <w:t>)</w:t>
            </w:r>
          </w:p>
        </w:tc>
        <w:tc>
          <w:tcPr>
            <w:tcW w:w="544" w:type="pct"/>
            <w:vAlign w:val="center"/>
            <w:hideMark/>
          </w:tcPr>
          <w:p w14:paraId="56516C0D" w14:textId="511352CA" w:rsidR="005E6E83" w:rsidRPr="005E6E83"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5E6E83">
              <w:rPr>
                <w:rFonts w:ascii="Times New Roman" w:eastAsia="Times New Roman" w:hAnsi="Times New Roman" w:cs="Times New Roman"/>
                <w:sz w:val="20"/>
                <w:szCs w:val="20"/>
              </w:rPr>
              <w:t xml:space="preserve"> 0.0</w:t>
            </w:r>
            <w:r w:rsidR="004741A1">
              <w:rPr>
                <w:rFonts w:ascii="Times New Roman" w:eastAsia="Times New Roman" w:hAnsi="Times New Roman" w:cs="Times New Roman"/>
                <w:sz w:val="20"/>
                <w:szCs w:val="20"/>
              </w:rPr>
              <w:t>14</w:t>
            </w:r>
          </w:p>
        </w:tc>
      </w:tr>
      <w:tr w:rsidR="000D7A84" w:rsidRPr="00E728CA" w14:paraId="1D1A0FC8"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1B0F2FF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Serum sodium (↑)</w:t>
            </w:r>
          </w:p>
        </w:tc>
        <w:tc>
          <w:tcPr>
            <w:tcW w:w="1203" w:type="pct"/>
            <w:vAlign w:val="center"/>
            <w:hideMark/>
          </w:tcPr>
          <w:p w14:paraId="30B08C92"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6" w:type="pct"/>
            <w:vAlign w:val="center"/>
            <w:hideMark/>
          </w:tcPr>
          <w:p w14:paraId="000D957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1121" w:type="pct"/>
            <w:vAlign w:val="center"/>
            <w:hideMark/>
          </w:tcPr>
          <w:p w14:paraId="242B69D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0.78 (0.65–0.94)</w:t>
            </w:r>
          </w:p>
        </w:tc>
        <w:tc>
          <w:tcPr>
            <w:tcW w:w="544" w:type="pct"/>
            <w:vAlign w:val="center"/>
            <w:hideMark/>
          </w:tcPr>
          <w:p w14:paraId="3089449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0.009</w:t>
            </w:r>
          </w:p>
        </w:tc>
      </w:tr>
    </w:tbl>
    <w:p w14:paraId="0BDC2FD8" w14:textId="145DD631" w:rsidR="000D7A84" w:rsidRDefault="000D7A84" w:rsidP="00ED06F6">
      <w:pPr>
        <w:spacing w:after="100" w:afterAutospacing="1"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Note: </w:t>
      </w:r>
      <w:r w:rsidRPr="00E728CA">
        <w:rPr>
          <w:rFonts w:ascii="Times New Roman" w:eastAsia="Times New Roman" w:hAnsi="Times New Roman" w:cs="Times New Roman"/>
          <w:sz w:val="18"/>
          <w:szCs w:val="18"/>
        </w:rPr>
        <w:t>*Protective factor.</w:t>
      </w:r>
      <w:r w:rsidR="00ED06F6" w:rsidRPr="00ED06F6">
        <w:rPr>
          <w:rFonts w:ascii="Times New Roman" w:eastAsia="Times New Roman" w:hAnsi="Times New Roman" w:cs="Times New Roman"/>
          <w:sz w:val="18"/>
          <w:szCs w:val="18"/>
        </w:rPr>
        <w:t xml:space="preserve"> </w:t>
      </w:r>
      <w:r w:rsidR="00ED06F6">
        <w:rPr>
          <w:rFonts w:ascii="Times New Roman" w:eastAsia="Times New Roman" w:hAnsi="Times New Roman" w:cs="Times New Roman"/>
          <w:sz w:val="18"/>
          <w:szCs w:val="18"/>
        </w:rPr>
        <w:t xml:space="preserve">NCRS, non-cardiorenal syndrome; CRS1, cardiorenal syndrome type 1. </w:t>
      </w:r>
    </w:p>
    <w:p w14:paraId="19243030" w14:textId="77777777" w:rsidR="000D7A84" w:rsidRDefault="000D7A84" w:rsidP="000D7A84">
      <w:pPr>
        <w:spacing w:after="100" w:afterAutospacing="1" w:line="240" w:lineRule="auto"/>
        <w:rPr>
          <w:rFonts w:ascii="Times New Roman" w:eastAsia="Times New Roman" w:hAnsi="Times New Roman" w:cs="Times New Roman"/>
          <w:sz w:val="18"/>
          <w:szCs w:val="18"/>
        </w:rPr>
      </w:pPr>
    </w:p>
    <w:p w14:paraId="1C595631" w14:textId="77777777" w:rsidR="000D7A84" w:rsidRPr="00CE3074" w:rsidRDefault="000D7A84" w:rsidP="000D7A84">
      <w:pPr>
        <w:spacing w:before="100" w:beforeAutospacing="1" w:after="100" w:afterAutospacing="1" w:line="240" w:lineRule="auto"/>
        <w:rPr>
          <w:rFonts w:ascii="Times New Roman" w:eastAsia="Times New Roman" w:hAnsi="Times New Roman" w:cs="Times New Roman"/>
          <w:color w:val="000000" w:themeColor="text1"/>
        </w:rPr>
      </w:pPr>
      <w:r w:rsidRPr="00CE3074">
        <w:rPr>
          <w:rFonts w:ascii="Times New Roman" w:eastAsia="Times New Roman" w:hAnsi="Times New Roman" w:cs="Times New Roman"/>
          <w:b/>
          <w:bCs/>
          <w:color w:val="000000" w:themeColor="text1"/>
        </w:rPr>
        <w:t xml:space="preserve">Table 6. </w:t>
      </w:r>
      <w:r w:rsidRPr="00CE3074">
        <w:rPr>
          <w:rFonts w:ascii="Times New Roman" w:eastAsia="Times New Roman" w:hAnsi="Times New Roman" w:cs="Times New Roman"/>
          <w:color w:val="000000" w:themeColor="text1"/>
        </w:rPr>
        <w:t>Predictors of Hospital Length of Stay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4625"/>
        <w:gridCol w:w="3190"/>
      </w:tblGrid>
      <w:tr w:rsidR="000D7A84" w:rsidRPr="00E728CA" w14:paraId="295B1503" w14:textId="77777777" w:rsidTr="006D6635">
        <w:trPr>
          <w:tblHeader/>
          <w:tblCellSpacing w:w="15" w:type="dxa"/>
        </w:trPr>
        <w:tc>
          <w:tcPr>
            <w:tcW w:w="786" w:type="pct"/>
            <w:vAlign w:val="center"/>
            <w:hideMark/>
          </w:tcPr>
          <w:p w14:paraId="2A4C447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Group</w:t>
            </w:r>
          </w:p>
        </w:tc>
        <w:tc>
          <w:tcPr>
            <w:tcW w:w="2408" w:type="pct"/>
            <w:vAlign w:val="center"/>
            <w:hideMark/>
          </w:tcPr>
          <w:p w14:paraId="4AEC02B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Predictor</w:t>
            </w:r>
          </w:p>
        </w:tc>
        <w:tc>
          <w:tcPr>
            <w:tcW w:w="1649" w:type="pct"/>
            <w:vAlign w:val="center"/>
            <w:hideMark/>
          </w:tcPr>
          <w:p w14:paraId="5B32079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Effect on LOS</w:t>
            </w:r>
          </w:p>
        </w:tc>
      </w:tr>
      <w:tr w:rsidR="000D7A84" w:rsidRPr="00E728CA" w14:paraId="1B63DE27" w14:textId="77777777" w:rsidTr="006D6635">
        <w:trPr>
          <w:tblCellSpacing w:w="15" w:type="dxa"/>
        </w:trPr>
        <w:tc>
          <w:tcPr>
            <w:tcW w:w="786" w:type="pct"/>
            <w:tcBorders>
              <w:top w:val="single" w:sz="4" w:space="0" w:color="auto"/>
              <w:bottom w:val="nil"/>
            </w:tcBorders>
            <w:vAlign w:val="center"/>
            <w:hideMark/>
          </w:tcPr>
          <w:p w14:paraId="2641DB0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NCRS</w:t>
            </w:r>
          </w:p>
        </w:tc>
        <w:tc>
          <w:tcPr>
            <w:tcW w:w="2408" w:type="pct"/>
            <w:tcBorders>
              <w:top w:val="single" w:sz="4" w:space="0" w:color="auto"/>
              <w:bottom w:val="nil"/>
            </w:tcBorders>
            <w:vAlign w:val="center"/>
            <w:hideMark/>
          </w:tcPr>
          <w:p w14:paraId="477D35B9"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hematocrit</w:t>
            </w:r>
          </w:p>
        </w:tc>
        <w:tc>
          <w:tcPr>
            <w:tcW w:w="1649" w:type="pct"/>
            <w:tcBorders>
              <w:top w:val="single" w:sz="4" w:space="0" w:color="auto"/>
              <w:bottom w:val="nil"/>
            </w:tcBorders>
            <w:vAlign w:val="center"/>
            <w:hideMark/>
          </w:tcPr>
          <w:p w14:paraId="2982D64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Longer stay</w:t>
            </w:r>
          </w:p>
        </w:tc>
      </w:tr>
      <w:tr w:rsidR="000D7A84" w:rsidRPr="00E728CA" w14:paraId="0756EB50" w14:textId="77777777" w:rsidTr="006D6635">
        <w:trPr>
          <w:tblCellSpacing w:w="15" w:type="dxa"/>
        </w:trPr>
        <w:tc>
          <w:tcPr>
            <w:tcW w:w="786" w:type="pct"/>
            <w:vAlign w:val="center"/>
            <w:hideMark/>
          </w:tcPr>
          <w:p w14:paraId="614E4F0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NCRS</w:t>
            </w:r>
          </w:p>
        </w:tc>
        <w:tc>
          <w:tcPr>
            <w:tcW w:w="2408" w:type="pct"/>
            <w:vAlign w:val="center"/>
            <w:hideMark/>
          </w:tcPr>
          <w:p w14:paraId="143A25E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heart rate</w:t>
            </w:r>
          </w:p>
        </w:tc>
        <w:tc>
          <w:tcPr>
            <w:tcW w:w="1649" w:type="pct"/>
            <w:vAlign w:val="center"/>
            <w:hideMark/>
          </w:tcPr>
          <w:p w14:paraId="15CD7D9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Shorter stay</w:t>
            </w:r>
          </w:p>
        </w:tc>
      </w:tr>
      <w:tr w:rsidR="000D7A84" w:rsidRPr="00E728CA" w14:paraId="262CF4CD" w14:textId="77777777" w:rsidTr="006D6635">
        <w:trPr>
          <w:tblCellSpacing w:w="15" w:type="dxa"/>
        </w:trPr>
        <w:tc>
          <w:tcPr>
            <w:tcW w:w="786" w:type="pct"/>
            <w:vAlign w:val="center"/>
            <w:hideMark/>
          </w:tcPr>
          <w:p w14:paraId="2C8E020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CRS1</w:t>
            </w:r>
          </w:p>
        </w:tc>
        <w:tc>
          <w:tcPr>
            <w:tcW w:w="2408" w:type="pct"/>
            <w:vAlign w:val="center"/>
            <w:hideMark/>
          </w:tcPr>
          <w:p w14:paraId="5EF18A1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Hypertension</w:t>
            </w:r>
          </w:p>
        </w:tc>
        <w:tc>
          <w:tcPr>
            <w:tcW w:w="1649" w:type="pct"/>
            <w:vAlign w:val="center"/>
            <w:hideMark/>
          </w:tcPr>
          <w:p w14:paraId="734B2DE7"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Longer stay</w:t>
            </w:r>
          </w:p>
        </w:tc>
      </w:tr>
      <w:tr w:rsidR="000D7A84" w:rsidRPr="00E728CA" w14:paraId="705D7391" w14:textId="77777777" w:rsidTr="006D6635">
        <w:trPr>
          <w:tblCellSpacing w:w="15" w:type="dxa"/>
        </w:trPr>
        <w:tc>
          <w:tcPr>
            <w:tcW w:w="786" w:type="pct"/>
            <w:vAlign w:val="center"/>
            <w:hideMark/>
          </w:tcPr>
          <w:p w14:paraId="25B815F2"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CRS1</w:t>
            </w:r>
          </w:p>
        </w:tc>
        <w:tc>
          <w:tcPr>
            <w:tcW w:w="2408" w:type="pct"/>
            <w:vAlign w:val="center"/>
            <w:hideMark/>
          </w:tcPr>
          <w:p w14:paraId="222EA49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serum albumin</w:t>
            </w:r>
          </w:p>
        </w:tc>
        <w:tc>
          <w:tcPr>
            <w:tcW w:w="1649" w:type="pct"/>
            <w:vAlign w:val="center"/>
            <w:hideMark/>
          </w:tcPr>
          <w:p w14:paraId="726D90E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Shorter stay</w:t>
            </w:r>
          </w:p>
        </w:tc>
      </w:tr>
    </w:tbl>
    <w:p w14:paraId="4C27669B" w14:textId="5D99D47C" w:rsidR="000D7A84" w:rsidRPr="00721838" w:rsidRDefault="000D7A84" w:rsidP="000D7A84">
      <w:pPr>
        <w:spacing w:after="100" w:afterAutospacing="1"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Note: </w:t>
      </w:r>
      <w:r w:rsidRPr="00E728CA">
        <w:rPr>
          <w:rFonts w:ascii="Times New Roman" w:eastAsia="Times New Roman" w:hAnsi="Times New Roman" w:cs="Times New Roman"/>
          <w:sz w:val="18"/>
          <w:szCs w:val="18"/>
        </w:rPr>
        <w:t>LOS</w:t>
      </w:r>
      <w:r w:rsidR="00ED06F6">
        <w:rPr>
          <w:rFonts w:ascii="Times New Roman" w:eastAsia="Times New Roman" w:hAnsi="Times New Roman" w:cs="Times New Roman"/>
          <w:sz w:val="18"/>
          <w:szCs w:val="18"/>
        </w:rPr>
        <w:t xml:space="preserve">, </w:t>
      </w:r>
      <w:r w:rsidRPr="00E728CA">
        <w:rPr>
          <w:rFonts w:ascii="Times New Roman" w:eastAsia="Times New Roman" w:hAnsi="Times New Roman" w:cs="Times New Roman"/>
          <w:sz w:val="18"/>
          <w:szCs w:val="18"/>
        </w:rPr>
        <w:t>length of</w:t>
      </w:r>
      <w:r>
        <w:rPr>
          <w:rFonts w:ascii="Times New Roman" w:eastAsia="Times New Roman" w:hAnsi="Times New Roman" w:cs="Times New Roman"/>
          <w:sz w:val="18"/>
          <w:szCs w:val="18"/>
        </w:rPr>
        <w:t xml:space="preserve"> Stay</w:t>
      </w:r>
      <w:r w:rsidR="00ED06F6">
        <w:rPr>
          <w:rFonts w:ascii="Times New Roman" w:eastAsia="Times New Roman" w:hAnsi="Times New Roman" w:cs="Times New Roman"/>
          <w:sz w:val="18"/>
          <w:szCs w:val="18"/>
        </w:rPr>
        <w:t xml:space="preserve">; NCRS, non-cardiorenal syndrome; CRS1, cardiorenal syndrome type 1. </w:t>
      </w:r>
    </w:p>
    <w:p w14:paraId="1CD35C21" w14:textId="77777777" w:rsidR="000D7A84" w:rsidRDefault="000D7A84" w:rsidP="006C66B5">
      <w:pPr>
        <w:pStyle w:val="EndNoteBibliography"/>
        <w:spacing w:after="0" w:line="480" w:lineRule="auto"/>
        <w:rPr>
          <w:rFonts w:asciiTheme="majorBidi" w:hAnsiTheme="majorBidi" w:cstheme="majorBidi"/>
        </w:rPr>
      </w:pPr>
    </w:p>
    <w:p w14:paraId="1FC29546" w14:textId="77777777" w:rsidR="000D7A84" w:rsidRDefault="000D7A84" w:rsidP="006C66B5">
      <w:pPr>
        <w:pStyle w:val="EndNoteBibliography"/>
        <w:spacing w:after="0" w:line="480" w:lineRule="auto"/>
        <w:rPr>
          <w:rFonts w:asciiTheme="majorBidi" w:hAnsiTheme="majorBidi" w:cstheme="majorBidi"/>
        </w:rPr>
      </w:pPr>
    </w:p>
    <w:p w14:paraId="2989402B" w14:textId="77777777" w:rsidR="000D7A84" w:rsidRDefault="000D7A84" w:rsidP="006C66B5">
      <w:pPr>
        <w:pStyle w:val="EndNoteBibliography"/>
        <w:spacing w:after="0" w:line="480" w:lineRule="auto"/>
        <w:rPr>
          <w:rFonts w:asciiTheme="majorBidi" w:hAnsiTheme="majorBidi" w:cstheme="majorBidi"/>
        </w:rPr>
      </w:pPr>
    </w:p>
    <w:p w14:paraId="2A8211A0" w14:textId="77777777" w:rsidR="000D7A84" w:rsidRDefault="000D7A84" w:rsidP="006C66B5">
      <w:pPr>
        <w:pStyle w:val="EndNoteBibliography"/>
        <w:spacing w:after="0" w:line="480" w:lineRule="auto"/>
        <w:rPr>
          <w:rFonts w:asciiTheme="majorBidi" w:hAnsiTheme="majorBidi" w:cstheme="majorBidi"/>
        </w:rPr>
      </w:pPr>
    </w:p>
    <w:p w14:paraId="0EC67904" w14:textId="77777777" w:rsidR="000D7A84" w:rsidRDefault="000D7A84" w:rsidP="000D7A84">
      <w:pPr>
        <w:spacing w:before="100" w:beforeAutospacing="1" w:after="100" w:afterAutospacing="1" w:line="480" w:lineRule="auto"/>
        <w:outlineLvl w:val="3"/>
        <w:rPr>
          <w:rFonts w:asciiTheme="majorBidi" w:hAnsiTheme="majorBidi" w:cstheme="majorBidi"/>
          <w:i/>
          <w:iCs/>
          <w:sz w:val="24"/>
          <w:szCs w:val="24"/>
        </w:rPr>
      </w:pPr>
      <w:r>
        <w:rPr>
          <w:rFonts w:ascii="Times New Roman" w:hAnsi="Times New Roman" w:cs="Times New Roman"/>
          <w:noProof/>
          <w:sz w:val="24"/>
          <w:szCs w:val="24"/>
        </w:rPr>
        <w:lastRenderedPageBreak/>
        <w:drawing>
          <wp:inline distT="0" distB="0" distL="0" distR="0" wp14:anchorId="20FF2CEA" wp14:editId="786ADB9B">
            <wp:extent cx="5353250" cy="3420000"/>
            <wp:effectExtent l="0" t="0" r="0" b="0"/>
            <wp:docPr id="1589934322" name="Picture 158993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0057" b="2281"/>
                    <a:stretch>
                      <a:fillRect/>
                    </a:stretch>
                  </pic:blipFill>
                  <pic:spPr bwMode="auto">
                    <a:xfrm>
                      <a:off x="0" y="0"/>
                      <a:ext cx="5353250" cy="3420000"/>
                    </a:xfrm>
                    <a:prstGeom prst="rect">
                      <a:avLst/>
                    </a:prstGeom>
                    <a:noFill/>
                    <a:ln>
                      <a:noFill/>
                    </a:ln>
                    <a:extLst>
                      <a:ext uri="{53640926-AAD7-44D8-BBD7-CCE9431645EC}">
                        <a14:shadowObscured xmlns:a14="http://schemas.microsoft.com/office/drawing/2010/main"/>
                      </a:ext>
                    </a:extLst>
                  </pic:spPr>
                </pic:pic>
              </a:graphicData>
            </a:graphic>
          </wp:inline>
        </w:drawing>
      </w:r>
    </w:p>
    <w:p w14:paraId="6F1D5722" w14:textId="77777777" w:rsidR="000D7A84" w:rsidRPr="00E728CA" w:rsidRDefault="000D7A84" w:rsidP="000D7A84">
      <w:pPr>
        <w:spacing w:before="100" w:beforeAutospacing="1" w:after="100" w:afterAutospacing="1" w:line="480" w:lineRule="auto"/>
        <w:jc w:val="center"/>
        <w:outlineLvl w:val="3"/>
        <w:rPr>
          <w:rFonts w:asciiTheme="majorBidi" w:eastAsia="Times New Roman" w:hAnsiTheme="majorBidi" w:cstheme="majorBidi"/>
          <w:i/>
          <w:iCs/>
          <w:sz w:val="21"/>
          <w:szCs w:val="21"/>
        </w:rPr>
      </w:pPr>
      <w:r w:rsidRPr="00084A7A">
        <w:rPr>
          <w:rFonts w:asciiTheme="majorBidi" w:hAnsiTheme="majorBidi" w:cstheme="majorBidi"/>
          <w:i/>
          <w:iCs/>
          <w:sz w:val="21"/>
          <w:szCs w:val="21"/>
        </w:rPr>
        <w:t xml:space="preserve">Figure </w:t>
      </w:r>
      <w:r w:rsidRPr="00084A7A">
        <w:rPr>
          <w:rFonts w:asciiTheme="majorBidi" w:hAnsiTheme="majorBidi" w:cstheme="majorBidi"/>
          <w:i/>
          <w:iCs/>
          <w:sz w:val="21"/>
          <w:szCs w:val="21"/>
        </w:rPr>
        <w:fldChar w:fldCharType="begin"/>
      </w:r>
      <w:r w:rsidRPr="00084A7A">
        <w:rPr>
          <w:rFonts w:asciiTheme="majorBidi" w:hAnsiTheme="majorBidi" w:cstheme="majorBidi"/>
          <w:i/>
          <w:iCs/>
          <w:sz w:val="21"/>
          <w:szCs w:val="21"/>
        </w:rPr>
        <w:instrText xml:space="preserve"> SEQ Figure \* ARABIC </w:instrText>
      </w:r>
      <w:r w:rsidRPr="00084A7A">
        <w:rPr>
          <w:rFonts w:asciiTheme="majorBidi" w:hAnsiTheme="majorBidi" w:cstheme="majorBidi"/>
          <w:i/>
          <w:iCs/>
          <w:sz w:val="21"/>
          <w:szCs w:val="21"/>
        </w:rPr>
        <w:fldChar w:fldCharType="separate"/>
      </w:r>
      <w:r w:rsidRPr="00084A7A">
        <w:rPr>
          <w:rFonts w:asciiTheme="majorBidi" w:hAnsiTheme="majorBidi" w:cstheme="majorBidi"/>
          <w:i/>
          <w:iCs/>
          <w:noProof/>
          <w:sz w:val="21"/>
          <w:szCs w:val="21"/>
        </w:rPr>
        <w:t>1</w:t>
      </w:r>
      <w:r w:rsidRPr="00084A7A">
        <w:rPr>
          <w:rFonts w:asciiTheme="majorBidi" w:hAnsiTheme="majorBidi" w:cstheme="majorBidi"/>
          <w:i/>
          <w:iCs/>
          <w:sz w:val="21"/>
          <w:szCs w:val="21"/>
        </w:rPr>
        <w:fldChar w:fldCharType="end"/>
      </w:r>
      <w:r w:rsidRPr="00084A7A">
        <w:rPr>
          <w:rFonts w:asciiTheme="majorBidi" w:hAnsiTheme="majorBidi" w:cstheme="majorBidi"/>
          <w:i/>
          <w:iCs/>
          <w:sz w:val="21"/>
          <w:szCs w:val="21"/>
        </w:rPr>
        <w:t xml:space="preserve">: </w:t>
      </w:r>
      <w:r w:rsidRPr="00084A7A">
        <w:rPr>
          <w:rFonts w:asciiTheme="majorBidi" w:eastAsia="Times New Roman" w:hAnsiTheme="majorBidi" w:cstheme="majorBidi"/>
          <w:i/>
          <w:iCs/>
          <w:sz w:val="21"/>
          <w:szCs w:val="21"/>
        </w:rPr>
        <w:t>Scatterplot Showing the negative linear relationship between Heart Rate and hospitalization days.</w:t>
      </w:r>
    </w:p>
    <w:p w14:paraId="53A4A009" w14:textId="77777777" w:rsidR="000D7A84" w:rsidRDefault="000D7A84" w:rsidP="000D7A84">
      <w:pPr>
        <w:spacing w:before="100" w:beforeAutospacing="1" w:after="100" w:afterAutospacing="1" w:line="480" w:lineRule="auto"/>
        <w:outlineLvl w:val="3"/>
        <w:rPr>
          <w:rFonts w:asciiTheme="majorBidi" w:hAnsiTheme="majorBidi" w:cstheme="majorBidi"/>
          <w:i/>
          <w:iCs/>
          <w:sz w:val="21"/>
          <w:szCs w:val="21"/>
        </w:rPr>
      </w:pPr>
      <w:r w:rsidRPr="009A3EE8">
        <w:rPr>
          <w:noProof/>
        </w:rPr>
        <w:drawing>
          <wp:inline distT="0" distB="0" distL="0" distR="0" wp14:anchorId="3677B7E7" wp14:editId="29D6F6A8">
            <wp:extent cx="5375496" cy="3420000"/>
            <wp:effectExtent l="0" t="0" r="0" b="0"/>
            <wp:docPr id="754237158" name="Picture 75423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0067" b="11840"/>
                    <a:stretch>
                      <a:fillRect/>
                    </a:stretch>
                  </pic:blipFill>
                  <pic:spPr bwMode="auto">
                    <a:xfrm>
                      <a:off x="0" y="0"/>
                      <a:ext cx="5375496" cy="3420000"/>
                    </a:xfrm>
                    <a:prstGeom prst="rect">
                      <a:avLst/>
                    </a:prstGeom>
                    <a:ln>
                      <a:noFill/>
                    </a:ln>
                    <a:extLst>
                      <a:ext uri="{53640926-AAD7-44D8-BBD7-CCE9431645EC}">
                        <a14:shadowObscured xmlns:a14="http://schemas.microsoft.com/office/drawing/2010/main"/>
                      </a:ext>
                    </a:extLst>
                  </pic:spPr>
                </pic:pic>
              </a:graphicData>
            </a:graphic>
          </wp:inline>
        </w:drawing>
      </w:r>
    </w:p>
    <w:p w14:paraId="00F33F0D" w14:textId="36C1476D" w:rsidR="000D7A84" w:rsidRPr="000D7A84" w:rsidRDefault="000D7A84" w:rsidP="000D7A84">
      <w:pPr>
        <w:spacing w:before="100" w:beforeAutospacing="1" w:after="100" w:afterAutospacing="1" w:line="480" w:lineRule="auto"/>
        <w:outlineLvl w:val="3"/>
        <w:rPr>
          <w:rFonts w:asciiTheme="majorBidi" w:hAnsiTheme="majorBidi" w:cstheme="majorBidi"/>
          <w:i/>
          <w:iCs/>
          <w:sz w:val="24"/>
          <w:szCs w:val="24"/>
        </w:rPr>
      </w:pPr>
      <w:r w:rsidRPr="008724A4">
        <w:rPr>
          <w:rFonts w:asciiTheme="majorBidi" w:hAnsiTheme="majorBidi" w:cstheme="majorBidi"/>
          <w:i/>
          <w:iCs/>
          <w:sz w:val="21"/>
          <w:szCs w:val="21"/>
        </w:rPr>
        <w:t xml:space="preserve">Figure </w:t>
      </w:r>
      <w:r w:rsidRPr="008724A4">
        <w:rPr>
          <w:rFonts w:asciiTheme="majorBidi" w:hAnsiTheme="majorBidi" w:cstheme="majorBidi"/>
          <w:i/>
          <w:iCs/>
          <w:sz w:val="21"/>
          <w:szCs w:val="21"/>
        </w:rPr>
        <w:fldChar w:fldCharType="begin"/>
      </w:r>
      <w:r w:rsidRPr="008724A4">
        <w:rPr>
          <w:rFonts w:asciiTheme="majorBidi" w:hAnsiTheme="majorBidi" w:cstheme="majorBidi"/>
          <w:i/>
          <w:iCs/>
          <w:sz w:val="21"/>
          <w:szCs w:val="21"/>
        </w:rPr>
        <w:instrText xml:space="preserve"> SEQ Figure \* ARABIC </w:instrText>
      </w:r>
      <w:r w:rsidRPr="008724A4">
        <w:rPr>
          <w:rFonts w:asciiTheme="majorBidi" w:hAnsiTheme="majorBidi" w:cstheme="majorBidi"/>
          <w:i/>
          <w:iCs/>
          <w:sz w:val="21"/>
          <w:szCs w:val="21"/>
        </w:rPr>
        <w:fldChar w:fldCharType="separate"/>
      </w:r>
      <w:r w:rsidRPr="008724A4">
        <w:rPr>
          <w:rFonts w:asciiTheme="majorBidi" w:hAnsiTheme="majorBidi" w:cstheme="majorBidi"/>
          <w:i/>
          <w:iCs/>
          <w:noProof/>
          <w:sz w:val="21"/>
          <w:szCs w:val="21"/>
        </w:rPr>
        <w:t>2</w:t>
      </w:r>
      <w:r w:rsidRPr="008724A4">
        <w:rPr>
          <w:rFonts w:asciiTheme="majorBidi" w:hAnsiTheme="majorBidi" w:cstheme="majorBidi"/>
          <w:i/>
          <w:iCs/>
          <w:sz w:val="21"/>
          <w:szCs w:val="21"/>
        </w:rPr>
        <w:fldChar w:fldCharType="end"/>
      </w:r>
      <w:r w:rsidRPr="008724A4">
        <w:rPr>
          <w:rFonts w:asciiTheme="majorBidi" w:hAnsiTheme="majorBidi" w:cstheme="majorBidi"/>
          <w:i/>
          <w:iCs/>
          <w:sz w:val="21"/>
          <w:szCs w:val="21"/>
        </w:rPr>
        <w:t xml:space="preserve">: </w:t>
      </w:r>
      <w:r w:rsidRPr="008724A4">
        <w:rPr>
          <w:rFonts w:asciiTheme="majorBidi" w:eastAsia="Times New Roman" w:hAnsiTheme="majorBidi" w:cstheme="majorBidi"/>
          <w:i/>
          <w:iCs/>
          <w:sz w:val="21"/>
          <w:szCs w:val="21"/>
        </w:rPr>
        <w:t>Scatterplot Showing the negative linear relationship between Albumin and hospitalization days.</w:t>
      </w:r>
    </w:p>
    <w:sectPr w:rsidR="000D7A84" w:rsidRPr="000D7A8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1DEF" w14:textId="77777777" w:rsidR="00325499" w:rsidRDefault="00325499" w:rsidP="00687958">
      <w:pPr>
        <w:spacing w:after="0" w:line="240" w:lineRule="auto"/>
      </w:pPr>
      <w:r>
        <w:separator/>
      </w:r>
    </w:p>
  </w:endnote>
  <w:endnote w:type="continuationSeparator" w:id="0">
    <w:p w14:paraId="33058804" w14:textId="77777777" w:rsidR="00325499" w:rsidRDefault="00325499" w:rsidP="0068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533025"/>
      <w:docPartObj>
        <w:docPartGallery w:val="Page Numbers (Bottom of Page)"/>
        <w:docPartUnique/>
      </w:docPartObj>
    </w:sdtPr>
    <w:sdtContent>
      <w:p w14:paraId="183FCE41" w14:textId="1F6840CE" w:rsidR="00341E5C" w:rsidRDefault="00341E5C" w:rsidP="000662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ECA9ED" w14:textId="77777777" w:rsidR="00341E5C" w:rsidRDefault="00341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458671"/>
      <w:docPartObj>
        <w:docPartGallery w:val="Page Numbers (Bottom of Page)"/>
        <w:docPartUnique/>
      </w:docPartObj>
    </w:sdtPr>
    <w:sdtContent>
      <w:p w14:paraId="32923A7C" w14:textId="5765A6F1" w:rsidR="00341E5C" w:rsidRDefault="00341E5C" w:rsidP="000662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5D6901" w14:textId="77777777" w:rsidR="00341E5C" w:rsidRDefault="00341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E38D" w14:textId="77777777" w:rsidR="002767F0" w:rsidRDefault="00276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8733" w14:textId="77777777" w:rsidR="00325499" w:rsidRDefault="00325499" w:rsidP="00687958">
      <w:pPr>
        <w:spacing w:after="0" w:line="240" w:lineRule="auto"/>
      </w:pPr>
      <w:r>
        <w:separator/>
      </w:r>
    </w:p>
  </w:footnote>
  <w:footnote w:type="continuationSeparator" w:id="0">
    <w:p w14:paraId="0DBA54B6" w14:textId="77777777" w:rsidR="00325499" w:rsidRDefault="00325499" w:rsidP="00687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AC99" w14:textId="3D4410B8" w:rsidR="002767F0" w:rsidRDefault="002767F0">
    <w:pPr>
      <w:pStyle w:val="Header"/>
    </w:pPr>
    <w:r>
      <w:rPr>
        <w:noProof/>
      </w:rPr>
      <w:pict w14:anchorId="0A21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8772" w14:textId="394743B0" w:rsidR="002767F0" w:rsidRDefault="002767F0">
    <w:pPr>
      <w:pStyle w:val="Header"/>
    </w:pPr>
    <w:r>
      <w:rPr>
        <w:noProof/>
      </w:rPr>
      <w:pict w14:anchorId="112AF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C38" w14:textId="76FEA69C" w:rsidR="002767F0" w:rsidRDefault="002767F0">
    <w:pPr>
      <w:pStyle w:val="Header"/>
    </w:pPr>
    <w:r>
      <w:rPr>
        <w:noProof/>
      </w:rPr>
      <w:pict w14:anchorId="5058B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E18"/>
    <w:multiLevelType w:val="hybridMultilevel"/>
    <w:tmpl w:val="A030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63E2"/>
    <w:multiLevelType w:val="multilevel"/>
    <w:tmpl w:val="537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5C92"/>
    <w:multiLevelType w:val="multilevel"/>
    <w:tmpl w:val="4AB2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7231B"/>
    <w:multiLevelType w:val="hybridMultilevel"/>
    <w:tmpl w:val="F06AB380"/>
    <w:lvl w:ilvl="0" w:tplc="B3A2C6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46A83"/>
    <w:multiLevelType w:val="multilevel"/>
    <w:tmpl w:val="C7C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D4601"/>
    <w:multiLevelType w:val="multilevel"/>
    <w:tmpl w:val="BD12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20F29"/>
    <w:multiLevelType w:val="hybridMultilevel"/>
    <w:tmpl w:val="1C146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01B2C"/>
    <w:multiLevelType w:val="hybridMultilevel"/>
    <w:tmpl w:val="4932707A"/>
    <w:lvl w:ilvl="0" w:tplc="B92091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470CA"/>
    <w:multiLevelType w:val="hybridMultilevel"/>
    <w:tmpl w:val="891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47C82"/>
    <w:multiLevelType w:val="hybridMultilevel"/>
    <w:tmpl w:val="78F61904"/>
    <w:lvl w:ilvl="0" w:tplc="0554CB32">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8247A"/>
    <w:multiLevelType w:val="hybridMultilevel"/>
    <w:tmpl w:val="3BC6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970142">
    <w:abstractNumId w:val="4"/>
  </w:num>
  <w:num w:numId="2" w16cid:durableId="45297628">
    <w:abstractNumId w:val="1"/>
  </w:num>
  <w:num w:numId="3" w16cid:durableId="1738702525">
    <w:abstractNumId w:val="2"/>
  </w:num>
  <w:num w:numId="4" w16cid:durableId="157617270">
    <w:abstractNumId w:val="3"/>
  </w:num>
  <w:num w:numId="5" w16cid:durableId="988364847">
    <w:abstractNumId w:val="9"/>
  </w:num>
  <w:num w:numId="6" w16cid:durableId="1055739890">
    <w:abstractNumId w:val="5"/>
  </w:num>
  <w:num w:numId="7" w16cid:durableId="1260528196">
    <w:abstractNumId w:val="6"/>
  </w:num>
  <w:num w:numId="8" w16cid:durableId="1589730820">
    <w:abstractNumId w:val="7"/>
  </w:num>
  <w:num w:numId="9" w16cid:durableId="694385153">
    <w:abstractNumId w:val="0"/>
  </w:num>
  <w:num w:numId="10" w16cid:durableId="1565992701">
    <w:abstractNumId w:val="8"/>
  </w:num>
  <w:num w:numId="11" w16cid:durableId="349643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Kidney_Research_and_Clinical_Practi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depddd06artptewtfnv9xa4xx9xa2v2xe0f&quot;&gt;My EndNote Library&lt;record-ids&gt;&lt;item&gt;493&lt;/item&gt;&lt;item&gt;494&lt;/item&gt;&lt;item&gt;495&lt;/item&gt;&lt;item&gt;496&lt;/item&gt;&lt;item&gt;497&lt;/item&gt;&lt;item&gt;498&lt;/item&gt;&lt;item&gt;499&lt;/item&gt;&lt;item&gt;500&lt;/item&gt;&lt;item&gt;501&lt;/item&gt;&lt;item&gt;502&lt;/item&gt;&lt;item&gt;503&lt;/item&gt;&lt;item&gt;504&lt;/item&gt;&lt;item&gt;553&lt;/item&gt;&lt;item&gt;554&lt;/item&gt;&lt;item&gt;555&lt;/item&gt;&lt;item&gt;567&lt;/item&gt;&lt;item&gt;862&lt;/item&gt;&lt;/record-ids&gt;&lt;/item&gt;&lt;/Libraries&gt;"/>
  </w:docVars>
  <w:rsids>
    <w:rsidRoot w:val="004B5B12"/>
    <w:rsid w:val="00001344"/>
    <w:rsid w:val="00003818"/>
    <w:rsid w:val="000066E5"/>
    <w:rsid w:val="00006B8F"/>
    <w:rsid w:val="00007308"/>
    <w:rsid w:val="000079AF"/>
    <w:rsid w:val="00012582"/>
    <w:rsid w:val="00012742"/>
    <w:rsid w:val="000204C3"/>
    <w:rsid w:val="0002370A"/>
    <w:rsid w:val="00033E9B"/>
    <w:rsid w:val="000401EC"/>
    <w:rsid w:val="000420CE"/>
    <w:rsid w:val="00046EBB"/>
    <w:rsid w:val="00053F65"/>
    <w:rsid w:val="0005433E"/>
    <w:rsid w:val="000555FD"/>
    <w:rsid w:val="00057FCF"/>
    <w:rsid w:val="000606C0"/>
    <w:rsid w:val="000751A8"/>
    <w:rsid w:val="00080151"/>
    <w:rsid w:val="00083B64"/>
    <w:rsid w:val="00084A7A"/>
    <w:rsid w:val="00086DA7"/>
    <w:rsid w:val="000916E6"/>
    <w:rsid w:val="00091BE1"/>
    <w:rsid w:val="0009267C"/>
    <w:rsid w:val="00092AB6"/>
    <w:rsid w:val="00092B10"/>
    <w:rsid w:val="00094581"/>
    <w:rsid w:val="000A1076"/>
    <w:rsid w:val="000A394C"/>
    <w:rsid w:val="000A6C73"/>
    <w:rsid w:val="000B28AB"/>
    <w:rsid w:val="000C3EDF"/>
    <w:rsid w:val="000C405F"/>
    <w:rsid w:val="000C56AC"/>
    <w:rsid w:val="000C6D4B"/>
    <w:rsid w:val="000D022F"/>
    <w:rsid w:val="000D284C"/>
    <w:rsid w:val="000D4FAF"/>
    <w:rsid w:val="000D5D92"/>
    <w:rsid w:val="000D7A84"/>
    <w:rsid w:val="000E31D1"/>
    <w:rsid w:val="000E67F5"/>
    <w:rsid w:val="000F4BAE"/>
    <w:rsid w:val="000F5CD7"/>
    <w:rsid w:val="0010082D"/>
    <w:rsid w:val="00115980"/>
    <w:rsid w:val="001173C0"/>
    <w:rsid w:val="00120875"/>
    <w:rsid w:val="00124D31"/>
    <w:rsid w:val="001273E9"/>
    <w:rsid w:val="001301B5"/>
    <w:rsid w:val="001320AB"/>
    <w:rsid w:val="00135EF4"/>
    <w:rsid w:val="00137436"/>
    <w:rsid w:val="00143EB5"/>
    <w:rsid w:val="00152885"/>
    <w:rsid w:val="00164E6A"/>
    <w:rsid w:val="00181006"/>
    <w:rsid w:val="00186707"/>
    <w:rsid w:val="00187799"/>
    <w:rsid w:val="00192DB1"/>
    <w:rsid w:val="00196784"/>
    <w:rsid w:val="001A5DB8"/>
    <w:rsid w:val="001A6F42"/>
    <w:rsid w:val="001B3812"/>
    <w:rsid w:val="001B432E"/>
    <w:rsid w:val="001B5DAA"/>
    <w:rsid w:val="001B7135"/>
    <w:rsid w:val="001B7EEB"/>
    <w:rsid w:val="001C5A84"/>
    <w:rsid w:val="001D004E"/>
    <w:rsid w:val="001D1443"/>
    <w:rsid w:val="001D5E93"/>
    <w:rsid w:val="001E19D8"/>
    <w:rsid w:val="001E7ACE"/>
    <w:rsid w:val="001F4F0B"/>
    <w:rsid w:val="001F561C"/>
    <w:rsid w:val="001F6CC4"/>
    <w:rsid w:val="001F6CD3"/>
    <w:rsid w:val="00203062"/>
    <w:rsid w:val="002064A1"/>
    <w:rsid w:val="00211336"/>
    <w:rsid w:val="00213E1A"/>
    <w:rsid w:val="002142FA"/>
    <w:rsid w:val="0021531C"/>
    <w:rsid w:val="00221272"/>
    <w:rsid w:val="00226FC9"/>
    <w:rsid w:val="00231DA3"/>
    <w:rsid w:val="00244108"/>
    <w:rsid w:val="00245DE0"/>
    <w:rsid w:val="00246C22"/>
    <w:rsid w:val="002475B3"/>
    <w:rsid w:val="00252253"/>
    <w:rsid w:val="002600BD"/>
    <w:rsid w:val="00262BA6"/>
    <w:rsid w:val="002639E7"/>
    <w:rsid w:val="00267278"/>
    <w:rsid w:val="00267B62"/>
    <w:rsid w:val="00274B4D"/>
    <w:rsid w:val="002767F0"/>
    <w:rsid w:val="00276AA9"/>
    <w:rsid w:val="00282F10"/>
    <w:rsid w:val="00283A41"/>
    <w:rsid w:val="00287941"/>
    <w:rsid w:val="00290CCA"/>
    <w:rsid w:val="00294A26"/>
    <w:rsid w:val="002975EC"/>
    <w:rsid w:val="002A1F54"/>
    <w:rsid w:val="002A2421"/>
    <w:rsid w:val="002A560D"/>
    <w:rsid w:val="002A5C69"/>
    <w:rsid w:val="002A5C7E"/>
    <w:rsid w:val="002A5EB0"/>
    <w:rsid w:val="002A65E4"/>
    <w:rsid w:val="002B5004"/>
    <w:rsid w:val="002B577B"/>
    <w:rsid w:val="002B7792"/>
    <w:rsid w:val="002C2959"/>
    <w:rsid w:val="002C46A5"/>
    <w:rsid w:val="002C47B2"/>
    <w:rsid w:val="002C4F1E"/>
    <w:rsid w:val="002C77B0"/>
    <w:rsid w:val="002D0DC9"/>
    <w:rsid w:val="002D18D9"/>
    <w:rsid w:val="002D45AD"/>
    <w:rsid w:val="002D5B1F"/>
    <w:rsid w:val="002E6B84"/>
    <w:rsid w:val="002F1768"/>
    <w:rsid w:val="002F5327"/>
    <w:rsid w:val="002F5F91"/>
    <w:rsid w:val="00300509"/>
    <w:rsid w:val="003009F0"/>
    <w:rsid w:val="003051D9"/>
    <w:rsid w:val="0031311C"/>
    <w:rsid w:val="003135FB"/>
    <w:rsid w:val="003222E0"/>
    <w:rsid w:val="0032517C"/>
    <w:rsid w:val="00325499"/>
    <w:rsid w:val="00325B25"/>
    <w:rsid w:val="00327B20"/>
    <w:rsid w:val="003357F3"/>
    <w:rsid w:val="0033643E"/>
    <w:rsid w:val="00336F34"/>
    <w:rsid w:val="003413DA"/>
    <w:rsid w:val="00341CE0"/>
    <w:rsid w:val="00341E5C"/>
    <w:rsid w:val="00350439"/>
    <w:rsid w:val="003504F8"/>
    <w:rsid w:val="00353F42"/>
    <w:rsid w:val="00356B71"/>
    <w:rsid w:val="003644E0"/>
    <w:rsid w:val="003647D4"/>
    <w:rsid w:val="00365838"/>
    <w:rsid w:val="00367B0F"/>
    <w:rsid w:val="003724D6"/>
    <w:rsid w:val="00373FA9"/>
    <w:rsid w:val="0037600B"/>
    <w:rsid w:val="00376E60"/>
    <w:rsid w:val="003779EF"/>
    <w:rsid w:val="00377DB9"/>
    <w:rsid w:val="00381895"/>
    <w:rsid w:val="003850A8"/>
    <w:rsid w:val="00385BD9"/>
    <w:rsid w:val="00385E29"/>
    <w:rsid w:val="0039290A"/>
    <w:rsid w:val="003A2707"/>
    <w:rsid w:val="003A6C5A"/>
    <w:rsid w:val="003B7A36"/>
    <w:rsid w:val="003C5105"/>
    <w:rsid w:val="003C512E"/>
    <w:rsid w:val="003C6A8E"/>
    <w:rsid w:val="003D7511"/>
    <w:rsid w:val="003E0ABA"/>
    <w:rsid w:val="003E3C46"/>
    <w:rsid w:val="003F106B"/>
    <w:rsid w:val="003F3D89"/>
    <w:rsid w:val="003F57FE"/>
    <w:rsid w:val="003F609F"/>
    <w:rsid w:val="003F64E4"/>
    <w:rsid w:val="00400B85"/>
    <w:rsid w:val="0040204A"/>
    <w:rsid w:val="00405CB7"/>
    <w:rsid w:val="00414DB8"/>
    <w:rsid w:val="00416F4C"/>
    <w:rsid w:val="00417A3D"/>
    <w:rsid w:val="00423056"/>
    <w:rsid w:val="00426A09"/>
    <w:rsid w:val="00427B25"/>
    <w:rsid w:val="0043174E"/>
    <w:rsid w:val="00432886"/>
    <w:rsid w:val="00432E70"/>
    <w:rsid w:val="00433DB5"/>
    <w:rsid w:val="00435026"/>
    <w:rsid w:val="0044028C"/>
    <w:rsid w:val="004511A0"/>
    <w:rsid w:val="00452FD0"/>
    <w:rsid w:val="00457E62"/>
    <w:rsid w:val="00463500"/>
    <w:rsid w:val="004673EF"/>
    <w:rsid w:val="00467692"/>
    <w:rsid w:val="0047215D"/>
    <w:rsid w:val="00473446"/>
    <w:rsid w:val="004741A1"/>
    <w:rsid w:val="00481115"/>
    <w:rsid w:val="00481581"/>
    <w:rsid w:val="0049063A"/>
    <w:rsid w:val="004929D1"/>
    <w:rsid w:val="004932F4"/>
    <w:rsid w:val="0049597C"/>
    <w:rsid w:val="004A0595"/>
    <w:rsid w:val="004A65A2"/>
    <w:rsid w:val="004B2B01"/>
    <w:rsid w:val="004B5B12"/>
    <w:rsid w:val="004B6217"/>
    <w:rsid w:val="004B6B8A"/>
    <w:rsid w:val="004B6F20"/>
    <w:rsid w:val="004C272E"/>
    <w:rsid w:val="004D17B4"/>
    <w:rsid w:val="004D4233"/>
    <w:rsid w:val="004D47DC"/>
    <w:rsid w:val="004E2960"/>
    <w:rsid w:val="004E5992"/>
    <w:rsid w:val="004E6005"/>
    <w:rsid w:val="004E76BD"/>
    <w:rsid w:val="004F05AE"/>
    <w:rsid w:val="004F0D40"/>
    <w:rsid w:val="004F61F4"/>
    <w:rsid w:val="005010F0"/>
    <w:rsid w:val="00505375"/>
    <w:rsid w:val="0050693C"/>
    <w:rsid w:val="00511784"/>
    <w:rsid w:val="005122A4"/>
    <w:rsid w:val="00514647"/>
    <w:rsid w:val="005228BE"/>
    <w:rsid w:val="005235CA"/>
    <w:rsid w:val="0052603C"/>
    <w:rsid w:val="0052684C"/>
    <w:rsid w:val="00530163"/>
    <w:rsid w:val="005307AE"/>
    <w:rsid w:val="0053423C"/>
    <w:rsid w:val="00537471"/>
    <w:rsid w:val="00537607"/>
    <w:rsid w:val="00551CE7"/>
    <w:rsid w:val="00557C1D"/>
    <w:rsid w:val="00561DC2"/>
    <w:rsid w:val="00563FEB"/>
    <w:rsid w:val="005709A5"/>
    <w:rsid w:val="005809E5"/>
    <w:rsid w:val="005814B4"/>
    <w:rsid w:val="00581F1B"/>
    <w:rsid w:val="005938F0"/>
    <w:rsid w:val="005A131A"/>
    <w:rsid w:val="005A6C3F"/>
    <w:rsid w:val="005A6CBA"/>
    <w:rsid w:val="005B1772"/>
    <w:rsid w:val="005B2F24"/>
    <w:rsid w:val="005B45A3"/>
    <w:rsid w:val="005C37EE"/>
    <w:rsid w:val="005C40FC"/>
    <w:rsid w:val="005C74D9"/>
    <w:rsid w:val="005D1744"/>
    <w:rsid w:val="005D17DF"/>
    <w:rsid w:val="005D58EB"/>
    <w:rsid w:val="005D5927"/>
    <w:rsid w:val="005E059F"/>
    <w:rsid w:val="005E21B8"/>
    <w:rsid w:val="005E6E83"/>
    <w:rsid w:val="005F3941"/>
    <w:rsid w:val="005F61FC"/>
    <w:rsid w:val="00602A56"/>
    <w:rsid w:val="00604477"/>
    <w:rsid w:val="0061376A"/>
    <w:rsid w:val="006177CB"/>
    <w:rsid w:val="00626B09"/>
    <w:rsid w:val="00631B95"/>
    <w:rsid w:val="00633CA4"/>
    <w:rsid w:val="00634D1D"/>
    <w:rsid w:val="00636B7A"/>
    <w:rsid w:val="0064455C"/>
    <w:rsid w:val="006520C0"/>
    <w:rsid w:val="0067618C"/>
    <w:rsid w:val="00676E3D"/>
    <w:rsid w:val="00677E93"/>
    <w:rsid w:val="00680AD3"/>
    <w:rsid w:val="00683806"/>
    <w:rsid w:val="00686C55"/>
    <w:rsid w:val="00687958"/>
    <w:rsid w:val="00692FE5"/>
    <w:rsid w:val="00695255"/>
    <w:rsid w:val="00695BD3"/>
    <w:rsid w:val="006A1536"/>
    <w:rsid w:val="006A3C58"/>
    <w:rsid w:val="006A640B"/>
    <w:rsid w:val="006B525A"/>
    <w:rsid w:val="006B70F6"/>
    <w:rsid w:val="006C29B3"/>
    <w:rsid w:val="006C3260"/>
    <w:rsid w:val="006C66B5"/>
    <w:rsid w:val="006D1F33"/>
    <w:rsid w:val="006D2F3A"/>
    <w:rsid w:val="006F3656"/>
    <w:rsid w:val="007031B8"/>
    <w:rsid w:val="00712A7F"/>
    <w:rsid w:val="00712D86"/>
    <w:rsid w:val="00721838"/>
    <w:rsid w:val="00723575"/>
    <w:rsid w:val="00726F96"/>
    <w:rsid w:val="0073129A"/>
    <w:rsid w:val="00732377"/>
    <w:rsid w:val="00734905"/>
    <w:rsid w:val="00737FD1"/>
    <w:rsid w:val="00746C7F"/>
    <w:rsid w:val="00752A9D"/>
    <w:rsid w:val="00756849"/>
    <w:rsid w:val="00757DAF"/>
    <w:rsid w:val="00764242"/>
    <w:rsid w:val="007721B7"/>
    <w:rsid w:val="00772CF4"/>
    <w:rsid w:val="00773D52"/>
    <w:rsid w:val="00780374"/>
    <w:rsid w:val="00783541"/>
    <w:rsid w:val="007873A9"/>
    <w:rsid w:val="0079009A"/>
    <w:rsid w:val="00790B79"/>
    <w:rsid w:val="00791267"/>
    <w:rsid w:val="00795137"/>
    <w:rsid w:val="007B0830"/>
    <w:rsid w:val="007B2232"/>
    <w:rsid w:val="007B7401"/>
    <w:rsid w:val="007B755A"/>
    <w:rsid w:val="007B7E8E"/>
    <w:rsid w:val="007C0FB7"/>
    <w:rsid w:val="007C102A"/>
    <w:rsid w:val="007C2119"/>
    <w:rsid w:val="007D1300"/>
    <w:rsid w:val="007D2850"/>
    <w:rsid w:val="007D6060"/>
    <w:rsid w:val="007D6F48"/>
    <w:rsid w:val="007E11EE"/>
    <w:rsid w:val="007F0969"/>
    <w:rsid w:val="007F435D"/>
    <w:rsid w:val="007F780A"/>
    <w:rsid w:val="00801228"/>
    <w:rsid w:val="00801B6A"/>
    <w:rsid w:val="00802AD6"/>
    <w:rsid w:val="008032B9"/>
    <w:rsid w:val="00805C6E"/>
    <w:rsid w:val="00806AD5"/>
    <w:rsid w:val="00811D04"/>
    <w:rsid w:val="00811D5A"/>
    <w:rsid w:val="00823000"/>
    <w:rsid w:val="00823F67"/>
    <w:rsid w:val="00825063"/>
    <w:rsid w:val="008309D2"/>
    <w:rsid w:val="00833CD1"/>
    <w:rsid w:val="008375A6"/>
    <w:rsid w:val="00842C9A"/>
    <w:rsid w:val="00850B10"/>
    <w:rsid w:val="00860D49"/>
    <w:rsid w:val="008615E2"/>
    <w:rsid w:val="00862379"/>
    <w:rsid w:val="008625CB"/>
    <w:rsid w:val="0086750F"/>
    <w:rsid w:val="008714C7"/>
    <w:rsid w:val="00871FB5"/>
    <w:rsid w:val="008724A4"/>
    <w:rsid w:val="008736FE"/>
    <w:rsid w:val="008748E9"/>
    <w:rsid w:val="008777DE"/>
    <w:rsid w:val="00877CB7"/>
    <w:rsid w:val="008912F5"/>
    <w:rsid w:val="00892370"/>
    <w:rsid w:val="008923EB"/>
    <w:rsid w:val="00892C0A"/>
    <w:rsid w:val="0089432F"/>
    <w:rsid w:val="008A11AB"/>
    <w:rsid w:val="008A15A5"/>
    <w:rsid w:val="008A23C3"/>
    <w:rsid w:val="008A7255"/>
    <w:rsid w:val="008A7FFD"/>
    <w:rsid w:val="008B632F"/>
    <w:rsid w:val="008C1436"/>
    <w:rsid w:val="008C7E76"/>
    <w:rsid w:val="008D01FD"/>
    <w:rsid w:val="008D2FBB"/>
    <w:rsid w:val="008D4AA8"/>
    <w:rsid w:val="008E1FE9"/>
    <w:rsid w:val="008E5EC2"/>
    <w:rsid w:val="008E638E"/>
    <w:rsid w:val="008E7952"/>
    <w:rsid w:val="008E7B96"/>
    <w:rsid w:val="008F07CE"/>
    <w:rsid w:val="008F21F7"/>
    <w:rsid w:val="008F3B87"/>
    <w:rsid w:val="008F4836"/>
    <w:rsid w:val="008F4B78"/>
    <w:rsid w:val="00902E67"/>
    <w:rsid w:val="0090637A"/>
    <w:rsid w:val="00913BBE"/>
    <w:rsid w:val="0091415D"/>
    <w:rsid w:val="00914BB7"/>
    <w:rsid w:val="00915069"/>
    <w:rsid w:val="00915A7B"/>
    <w:rsid w:val="00916DF9"/>
    <w:rsid w:val="00917954"/>
    <w:rsid w:val="00920061"/>
    <w:rsid w:val="009202BE"/>
    <w:rsid w:val="00932FB0"/>
    <w:rsid w:val="00935CB7"/>
    <w:rsid w:val="00940C20"/>
    <w:rsid w:val="009418DA"/>
    <w:rsid w:val="009440EE"/>
    <w:rsid w:val="00946877"/>
    <w:rsid w:val="00955868"/>
    <w:rsid w:val="00955F41"/>
    <w:rsid w:val="009560EA"/>
    <w:rsid w:val="0096272A"/>
    <w:rsid w:val="00964147"/>
    <w:rsid w:val="009660BD"/>
    <w:rsid w:val="00967C5E"/>
    <w:rsid w:val="009701A6"/>
    <w:rsid w:val="009709F0"/>
    <w:rsid w:val="0097390B"/>
    <w:rsid w:val="00976DB4"/>
    <w:rsid w:val="009810BB"/>
    <w:rsid w:val="009847A3"/>
    <w:rsid w:val="00992354"/>
    <w:rsid w:val="00995555"/>
    <w:rsid w:val="00995CFB"/>
    <w:rsid w:val="009A00E9"/>
    <w:rsid w:val="009A098E"/>
    <w:rsid w:val="009A3973"/>
    <w:rsid w:val="009A4EAF"/>
    <w:rsid w:val="009B664C"/>
    <w:rsid w:val="009B6F89"/>
    <w:rsid w:val="009C2912"/>
    <w:rsid w:val="009C33EA"/>
    <w:rsid w:val="009C57C6"/>
    <w:rsid w:val="009C6BCE"/>
    <w:rsid w:val="009C783D"/>
    <w:rsid w:val="009D16E2"/>
    <w:rsid w:val="009D5A2D"/>
    <w:rsid w:val="009D5A78"/>
    <w:rsid w:val="009E0DAF"/>
    <w:rsid w:val="009E2262"/>
    <w:rsid w:val="009F0E62"/>
    <w:rsid w:val="009F4175"/>
    <w:rsid w:val="009F6AD4"/>
    <w:rsid w:val="00A02B05"/>
    <w:rsid w:val="00A043BD"/>
    <w:rsid w:val="00A07508"/>
    <w:rsid w:val="00A07C48"/>
    <w:rsid w:val="00A07E8A"/>
    <w:rsid w:val="00A13CBC"/>
    <w:rsid w:val="00A21896"/>
    <w:rsid w:val="00A22723"/>
    <w:rsid w:val="00A33534"/>
    <w:rsid w:val="00A36A22"/>
    <w:rsid w:val="00A40F5E"/>
    <w:rsid w:val="00A44FC3"/>
    <w:rsid w:val="00A4718B"/>
    <w:rsid w:val="00A471BD"/>
    <w:rsid w:val="00A47E0D"/>
    <w:rsid w:val="00A515C1"/>
    <w:rsid w:val="00A51CBD"/>
    <w:rsid w:val="00A63712"/>
    <w:rsid w:val="00A639FD"/>
    <w:rsid w:val="00A70A3A"/>
    <w:rsid w:val="00A7116A"/>
    <w:rsid w:val="00A8195E"/>
    <w:rsid w:val="00A83488"/>
    <w:rsid w:val="00A852BE"/>
    <w:rsid w:val="00A863C0"/>
    <w:rsid w:val="00A9043C"/>
    <w:rsid w:val="00A965B9"/>
    <w:rsid w:val="00A96A4C"/>
    <w:rsid w:val="00A97207"/>
    <w:rsid w:val="00AA4107"/>
    <w:rsid w:val="00AA47EB"/>
    <w:rsid w:val="00AA6BC5"/>
    <w:rsid w:val="00AB4112"/>
    <w:rsid w:val="00AB665C"/>
    <w:rsid w:val="00AC7108"/>
    <w:rsid w:val="00AD1535"/>
    <w:rsid w:val="00AD1C24"/>
    <w:rsid w:val="00AE2924"/>
    <w:rsid w:val="00AE632A"/>
    <w:rsid w:val="00AE765B"/>
    <w:rsid w:val="00AF30D7"/>
    <w:rsid w:val="00AF32EE"/>
    <w:rsid w:val="00AF6367"/>
    <w:rsid w:val="00B01299"/>
    <w:rsid w:val="00B02C56"/>
    <w:rsid w:val="00B07562"/>
    <w:rsid w:val="00B15329"/>
    <w:rsid w:val="00B176D1"/>
    <w:rsid w:val="00B177FA"/>
    <w:rsid w:val="00B21CDC"/>
    <w:rsid w:val="00B26B01"/>
    <w:rsid w:val="00B26DC4"/>
    <w:rsid w:val="00B347C7"/>
    <w:rsid w:val="00B3568A"/>
    <w:rsid w:val="00B357CA"/>
    <w:rsid w:val="00B36725"/>
    <w:rsid w:val="00B45AF0"/>
    <w:rsid w:val="00B5136B"/>
    <w:rsid w:val="00B528AF"/>
    <w:rsid w:val="00B528D5"/>
    <w:rsid w:val="00B52D68"/>
    <w:rsid w:val="00B55B29"/>
    <w:rsid w:val="00B60DD1"/>
    <w:rsid w:val="00B61946"/>
    <w:rsid w:val="00B63288"/>
    <w:rsid w:val="00B634F2"/>
    <w:rsid w:val="00B679DD"/>
    <w:rsid w:val="00B714FF"/>
    <w:rsid w:val="00B73F00"/>
    <w:rsid w:val="00B7731C"/>
    <w:rsid w:val="00B77505"/>
    <w:rsid w:val="00B843E0"/>
    <w:rsid w:val="00B8719C"/>
    <w:rsid w:val="00B94177"/>
    <w:rsid w:val="00B965FB"/>
    <w:rsid w:val="00B96DFE"/>
    <w:rsid w:val="00B977E5"/>
    <w:rsid w:val="00BA1CBA"/>
    <w:rsid w:val="00BA702A"/>
    <w:rsid w:val="00BA746E"/>
    <w:rsid w:val="00BB097E"/>
    <w:rsid w:val="00BB4244"/>
    <w:rsid w:val="00BB638F"/>
    <w:rsid w:val="00BC3818"/>
    <w:rsid w:val="00BC7E43"/>
    <w:rsid w:val="00BD09C7"/>
    <w:rsid w:val="00BD1FF1"/>
    <w:rsid w:val="00BD6121"/>
    <w:rsid w:val="00BE2DE3"/>
    <w:rsid w:val="00BE3040"/>
    <w:rsid w:val="00BE4686"/>
    <w:rsid w:val="00BE71E6"/>
    <w:rsid w:val="00BF22CB"/>
    <w:rsid w:val="00BF38D6"/>
    <w:rsid w:val="00BF47FA"/>
    <w:rsid w:val="00C06A0E"/>
    <w:rsid w:val="00C11438"/>
    <w:rsid w:val="00C11608"/>
    <w:rsid w:val="00C12D8E"/>
    <w:rsid w:val="00C36026"/>
    <w:rsid w:val="00C36262"/>
    <w:rsid w:val="00C36286"/>
    <w:rsid w:val="00C53483"/>
    <w:rsid w:val="00C53AEF"/>
    <w:rsid w:val="00C6477B"/>
    <w:rsid w:val="00C65A21"/>
    <w:rsid w:val="00C77D8F"/>
    <w:rsid w:val="00C77DD4"/>
    <w:rsid w:val="00C8068F"/>
    <w:rsid w:val="00C82EAE"/>
    <w:rsid w:val="00C848F5"/>
    <w:rsid w:val="00C87772"/>
    <w:rsid w:val="00C90873"/>
    <w:rsid w:val="00C923B7"/>
    <w:rsid w:val="00C93199"/>
    <w:rsid w:val="00C96099"/>
    <w:rsid w:val="00C96819"/>
    <w:rsid w:val="00CA2DF8"/>
    <w:rsid w:val="00CA4EA7"/>
    <w:rsid w:val="00CB1842"/>
    <w:rsid w:val="00CB2612"/>
    <w:rsid w:val="00CB78EB"/>
    <w:rsid w:val="00CC0601"/>
    <w:rsid w:val="00CC4CAA"/>
    <w:rsid w:val="00CD04AF"/>
    <w:rsid w:val="00CD0B2B"/>
    <w:rsid w:val="00CD1CE1"/>
    <w:rsid w:val="00CE0E60"/>
    <w:rsid w:val="00CE205E"/>
    <w:rsid w:val="00CE278C"/>
    <w:rsid w:val="00CE2DA0"/>
    <w:rsid w:val="00CE3074"/>
    <w:rsid w:val="00CE358B"/>
    <w:rsid w:val="00CF191A"/>
    <w:rsid w:val="00CF6B42"/>
    <w:rsid w:val="00D01BEA"/>
    <w:rsid w:val="00D1137F"/>
    <w:rsid w:val="00D12737"/>
    <w:rsid w:val="00D147BF"/>
    <w:rsid w:val="00D15178"/>
    <w:rsid w:val="00D16EFD"/>
    <w:rsid w:val="00D207F7"/>
    <w:rsid w:val="00D23941"/>
    <w:rsid w:val="00D2634C"/>
    <w:rsid w:val="00D3281D"/>
    <w:rsid w:val="00D347F5"/>
    <w:rsid w:val="00D37971"/>
    <w:rsid w:val="00D433CD"/>
    <w:rsid w:val="00D456AD"/>
    <w:rsid w:val="00D509A9"/>
    <w:rsid w:val="00D50F5C"/>
    <w:rsid w:val="00D51656"/>
    <w:rsid w:val="00D52DD0"/>
    <w:rsid w:val="00D62508"/>
    <w:rsid w:val="00D64FCF"/>
    <w:rsid w:val="00D66227"/>
    <w:rsid w:val="00D6668D"/>
    <w:rsid w:val="00D67374"/>
    <w:rsid w:val="00D9184D"/>
    <w:rsid w:val="00D9433F"/>
    <w:rsid w:val="00D959F0"/>
    <w:rsid w:val="00D966C5"/>
    <w:rsid w:val="00D97DE0"/>
    <w:rsid w:val="00DA1102"/>
    <w:rsid w:val="00DA4B38"/>
    <w:rsid w:val="00DA69DE"/>
    <w:rsid w:val="00DB6041"/>
    <w:rsid w:val="00DC3ACC"/>
    <w:rsid w:val="00DC5E3B"/>
    <w:rsid w:val="00DC7E59"/>
    <w:rsid w:val="00DD1682"/>
    <w:rsid w:val="00DD3EAA"/>
    <w:rsid w:val="00DD49F9"/>
    <w:rsid w:val="00DD6525"/>
    <w:rsid w:val="00DE1012"/>
    <w:rsid w:val="00DE33AD"/>
    <w:rsid w:val="00DE35CD"/>
    <w:rsid w:val="00DF10B4"/>
    <w:rsid w:val="00DF3B65"/>
    <w:rsid w:val="00E01445"/>
    <w:rsid w:val="00E13289"/>
    <w:rsid w:val="00E16B81"/>
    <w:rsid w:val="00E20154"/>
    <w:rsid w:val="00E2336E"/>
    <w:rsid w:val="00E25039"/>
    <w:rsid w:val="00E32ED7"/>
    <w:rsid w:val="00E336E1"/>
    <w:rsid w:val="00E34DDF"/>
    <w:rsid w:val="00E41867"/>
    <w:rsid w:val="00E43580"/>
    <w:rsid w:val="00E43B08"/>
    <w:rsid w:val="00E500EC"/>
    <w:rsid w:val="00E506FD"/>
    <w:rsid w:val="00E542E0"/>
    <w:rsid w:val="00E5492A"/>
    <w:rsid w:val="00E562AD"/>
    <w:rsid w:val="00E57851"/>
    <w:rsid w:val="00E60985"/>
    <w:rsid w:val="00E61154"/>
    <w:rsid w:val="00E641E4"/>
    <w:rsid w:val="00E70996"/>
    <w:rsid w:val="00E72247"/>
    <w:rsid w:val="00E728CA"/>
    <w:rsid w:val="00E80E2A"/>
    <w:rsid w:val="00E82C9E"/>
    <w:rsid w:val="00E83B90"/>
    <w:rsid w:val="00E86050"/>
    <w:rsid w:val="00E8695D"/>
    <w:rsid w:val="00E8701C"/>
    <w:rsid w:val="00E87FC5"/>
    <w:rsid w:val="00E92788"/>
    <w:rsid w:val="00E92ADA"/>
    <w:rsid w:val="00E93AD2"/>
    <w:rsid w:val="00E97FA4"/>
    <w:rsid w:val="00EA1C44"/>
    <w:rsid w:val="00EA35E8"/>
    <w:rsid w:val="00EB4BB0"/>
    <w:rsid w:val="00EB56E4"/>
    <w:rsid w:val="00EB62C6"/>
    <w:rsid w:val="00EC11BC"/>
    <w:rsid w:val="00EC43A5"/>
    <w:rsid w:val="00EC49B0"/>
    <w:rsid w:val="00EC5C91"/>
    <w:rsid w:val="00ED06F6"/>
    <w:rsid w:val="00ED33EB"/>
    <w:rsid w:val="00ED56C8"/>
    <w:rsid w:val="00ED60EF"/>
    <w:rsid w:val="00EE5F63"/>
    <w:rsid w:val="00EF6236"/>
    <w:rsid w:val="00EF7B97"/>
    <w:rsid w:val="00F019C2"/>
    <w:rsid w:val="00F1499D"/>
    <w:rsid w:val="00F20BF1"/>
    <w:rsid w:val="00F2328B"/>
    <w:rsid w:val="00F25846"/>
    <w:rsid w:val="00F27CEC"/>
    <w:rsid w:val="00F3028B"/>
    <w:rsid w:val="00F3170F"/>
    <w:rsid w:val="00F31CB8"/>
    <w:rsid w:val="00F32946"/>
    <w:rsid w:val="00F33FC0"/>
    <w:rsid w:val="00F40543"/>
    <w:rsid w:val="00F41BAC"/>
    <w:rsid w:val="00F4297C"/>
    <w:rsid w:val="00F451A2"/>
    <w:rsid w:val="00F47339"/>
    <w:rsid w:val="00F53C26"/>
    <w:rsid w:val="00F55BE5"/>
    <w:rsid w:val="00F55DF3"/>
    <w:rsid w:val="00F57ADB"/>
    <w:rsid w:val="00F62503"/>
    <w:rsid w:val="00F6693F"/>
    <w:rsid w:val="00F66F6E"/>
    <w:rsid w:val="00F7022F"/>
    <w:rsid w:val="00F71B5D"/>
    <w:rsid w:val="00F7224C"/>
    <w:rsid w:val="00F7451A"/>
    <w:rsid w:val="00F8445C"/>
    <w:rsid w:val="00F84F42"/>
    <w:rsid w:val="00F879E7"/>
    <w:rsid w:val="00F93199"/>
    <w:rsid w:val="00F943B3"/>
    <w:rsid w:val="00FA0822"/>
    <w:rsid w:val="00FA3375"/>
    <w:rsid w:val="00FA380C"/>
    <w:rsid w:val="00FA6EA2"/>
    <w:rsid w:val="00FB4614"/>
    <w:rsid w:val="00FB6AE8"/>
    <w:rsid w:val="00FD0281"/>
    <w:rsid w:val="00FD178F"/>
    <w:rsid w:val="00FD3A3B"/>
    <w:rsid w:val="00FE0650"/>
    <w:rsid w:val="00FE2848"/>
    <w:rsid w:val="00FE5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9A137"/>
  <w15:chartTrackingRefBased/>
  <w15:docId w15:val="{3A0ED8D4-A539-40BC-9E0B-A08D9DC8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B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A96A4C"/>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96A4C"/>
    <w:rPr>
      <w:rFonts w:ascii="Calibri" w:hAnsi="Calibri" w:cs="Calibri"/>
    </w:rPr>
  </w:style>
  <w:style w:type="paragraph" w:customStyle="1" w:styleId="EndNoteBibliography">
    <w:name w:val="EndNote Bibliography"/>
    <w:basedOn w:val="Normal"/>
    <w:link w:val="EndNoteBibliographyChar"/>
    <w:rsid w:val="00A96A4C"/>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A96A4C"/>
    <w:rPr>
      <w:rFonts w:ascii="Calibri" w:hAnsi="Calibri" w:cs="Calibri"/>
    </w:rPr>
  </w:style>
  <w:style w:type="table" w:styleId="TableGrid">
    <w:name w:val="Table Grid"/>
    <w:basedOn w:val="TableNormal"/>
    <w:uiPriority w:val="39"/>
    <w:rsid w:val="00DA69D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69DE"/>
    <w:pPr>
      <w:spacing w:after="0" w:line="240" w:lineRule="auto"/>
    </w:pPr>
    <w:rPr>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A69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0C3EDF"/>
    <w:pPr>
      <w:spacing w:after="200" w:line="240" w:lineRule="auto"/>
    </w:pPr>
    <w:rPr>
      <w:i/>
      <w:iCs/>
      <w:color w:val="44546A" w:themeColor="text2"/>
      <w:sz w:val="18"/>
      <w:szCs w:val="18"/>
    </w:rPr>
  </w:style>
  <w:style w:type="paragraph" w:customStyle="1" w:styleId="p1">
    <w:name w:val="p1"/>
    <w:basedOn w:val="Normal"/>
    <w:rsid w:val="004D4233"/>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4D4233"/>
    <w:rPr>
      <w:rFonts w:ascii="Symbol" w:hAnsi="Symbol" w:hint="default"/>
      <w:sz w:val="18"/>
      <w:szCs w:val="18"/>
    </w:rPr>
  </w:style>
  <w:style w:type="character" w:customStyle="1" w:styleId="s2">
    <w:name w:val="s2"/>
    <w:basedOn w:val="DefaultParagraphFont"/>
    <w:rsid w:val="004D4233"/>
    <w:rPr>
      <w:rFonts w:ascii="Symbol" w:hAnsi="Symbol" w:hint="default"/>
      <w:sz w:val="11"/>
      <w:szCs w:val="11"/>
    </w:rPr>
  </w:style>
  <w:style w:type="character" w:customStyle="1" w:styleId="s3">
    <w:name w:val="s3"/>
    <w:basedOn w:val="DefaultParagraphFont"/>
    <w:rsid w:val="004D4233"/>
    <w:rPr>
      <w:rFonts w:ascii="Helvetica" w:hAnsi="Helvetica" w:hint="default"/>
      <w:sz w:val="11"/>
      <w:szCs w:val="11"/>
    </w:rPr>
  </w:style>
  <w:style w:type="paragraph" w:customStyle="1" w:styleId="p2">
    <w:name w:val="p2"/>
    <w:basedOn w:val="Normal"/>
    <w:rsid w:val="004D4233"/>
    <w:pPr>
      <w:spacing w:after="0" w:line="240" w:lineRule="auto"/>
    </w:pPr>
    <w:rPr>
      <w:rFonts w:ascii="Helvetica" w:eastAsia="Times New Roman" w:hAnsi="Helvetica" w:cs="Times New Roman"/>
      <w:color w:val="182951"/>
      <w:sz w:val="18"/>
      <w:szCs w:val="18"/>
    </w:rPr>
  </w:style>
  <w:style w:type="paragraph" w:styleId="ListParagraph">
    <w:name w:val="List Paragraph"/>
    <w:basedOn w:val="Normal"/>
    <w:uiPriority w:val="34"/>
    <w:qFormat/>
    <w:rsid w:val="00F8445C"/>
    <w:pPr>
      <w:ind w:left="720"/>
      <w:contextualSpacing/>
    </w:pPr>
  </w:style>
  <w:style w:type="table" w:styleId="PlainTable1">
    <w:name w:val="Plain Table 1"/>
    <w:basedOn w:val="TableNormal"/>
    <w:uiPriority w:val="41"/>
    <w:rsid w:val="000F4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51CE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51CE7"/>
    <w:rPr>
      <w:color w:val="0000FF"/>
      <w:u w:val="single"/>
    </w:rPr>
  </w:style>
  <w:style w:type="paragraph" w:customStyle="1" w:styleId="halfrhythm">
    <w:name w:val="half_rhythm"/>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551CE7"/>
  </w:style>
  <w:style w:type="paragraph" w:customStyle="1" w:styleId="contrib-group">
    <w:name w:val="contrib-group"/>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551CE7"/>
  </w:style>
  <w:style w:type="paragraph" w:customStyle="1" w:styleId="small">
    <w:name w:val="small"/>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51CE7"/>
    <w:rPr>
      <w:color w:val="605E5C"/>
      <w:shd w:val="clear" w:color="auto" w:fill="E1DFDD"/>
    </w:rPr>
  </w:style>
  <w:style w:type="character" w:styleId="FollowedHyperlink">
    <w:name w:val="FollowedHyperlink"/>
    <w:basedOn w:val="DefaultParagraphFont"/>
    <w:uiPriority w:val="99"/>
    <w:semiHidden/>
    <w:unhideWhenUsed/>
    <w:rsid w:val="005F61FC"/>
    <w:rPr>
      <w:color w:val="954F72" w:themeColor="followedHyperlink"/>
      <w:u w:val="single"/>
    </w:rPr>
  </w:style>
  <w:style w:type="character" w:styleId="Emphasis">
    <w:name w:val="Emphasis"/>
    <w:basedOn w:val="DefaultParagraphFont"/>
    <w:uiPriority w:val="20"/>
    <w:qFormat/>
    <w:rsid w:val="009C783D"/>
    <w:rPr>
      <w:i/>
      <w:iCs/>
    </w:rPr>
  </w:style>
  <w:style w:type="table" w:styleId="PlainTable2">
    <w:name w:val="Plain Table 2"/>
    <w:basedOn w:val="TableNormal"/>
    <w:uiPriority w:val="42"/>
    <w:rsid w:val="008748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748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8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958"/>
  </w:style>
  <w:style w:type="paragraph" w:styleId="Footer">
    <w:name w:val="footer"/>
    <w:basedOn w:val="Normal"/>
    <w:link w:val="FooterChar"/>
    <w:uiPriority w:val="99"/>
    <w:unhideWhenUsed/>
    <w:rsid w:val="0068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58"/>
  </w:style>
  <w:style w:type="table" w:styleId="TableGridLight">
    <w:name w:val="Grid Table Light"/>
    <w:basedOn w:val="TableNormal"/>
    <w:uiPriority w:val="40"/>
    <w:rsid w:val="00B356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3">
    <w:name w:val="List Table 7 Colorful Accent 3"/>
    <w:basedOn w:val="TableNormal"/>
    <w:uiPriority w:val="52"/>
    <w:rsid w:val="00B3568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377DB9"/>
    <w:rPr>
      <w:b/>
      <w:bCs/>
    </w:rPr>
  </w:style>
  <w:style w:type="paragraph" w:customStyle="1" w:styleId="p3">
    <w:name w:val="p3"/>
    <w:basedOn w:val="Normal"/>
    <w:rsid w:val="00EB5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CE27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CE2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278C"/>
  </w:style>
  <w:style w:type="paragraph" w:customStyle="1" w:styleId="p6">
    <w:name w:val="p6"/>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73EF"/>
  </w:style>
  <w:style w:type="character" w:styleId="PageNumber">
    <w:name w:val="page number"/>
    <w:basedOn w:val="DefaultParagraphFont"/>
    <w:uiPriority w:val="99"/>
    <w:semiHidden/>
    <w:unhideWhenUsed/>
    <w:rsid w:val="0034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0333">
      <w:bodyDiv w:val="1"/>
      <w:marLeft w:val="0"/>
      <w:marRight w:val="0"/>
      <w:marTop w:val="0"/>
      <w:marBottom w:val="0"/>
      <w:divBdr>
        <w:top w:val="none" w:sz="0" w:space="0" w:color="auto"/>
        <w:left w:val="none" w:sz="0" w:space="0" w:color="auto"/>
        <w:bottom w:val="none" w:sz="0" w:space="0" w:color="auto"/>
        <w:right w:val="none" w:sz="0" w:space="0" w:color="auto"/>
      </w:divBdr>
    </w:div>
    <w:div w:id="561139126">
      <w:bodyDiv w:val="1"/>
      <w:marLeft w:val="0"/>
      <w:marRight w:val="0"/>
      <w:marTop w:val="0"/>
      <w:marBottom w:val="0"/>
      <w:divBdr>
        <w:top w:val="none" w:sz="0" w:space="0" w:color="auto"/>
        <w:left w:val="none" w:sz="0" w:space="0" w:color="auto"/>
        <w:bottom w:val="none" w:sz="0" w:space="0" w:color="auto"/>
        <w:right w:val="none" w:sz="0" w:space="0" w:color="auto"/>
      </w:divBdr>
    </w:div>
    <w:div w:id="789126728">
      <w:bodyDiv w:val="1"/>
      <w:marLeft w:val="0"/>
      <w:marRight w:val="0"/>
      <w:marTop w:val="0"/>
      <w:marBottom w:val="0"/>
      <w:divBdr>
        <w:top w:val="none" w:sz="0" w:space="0" w:color="auto"/>
        <w:left w:val="none" w:sz="0" w:space="0" w:color="auto"/>
        <w:bottom w:val="none" w:sz="0" w:space="0" w:color="auto"/>
        <w:right w:val="none" w:sz="0" w:space="0" w:color="auto"/>
      </w:divBdr>
    </w:div>
    <w:div w:id="799301220">
      <w:bodyDiv w:val="1"/>
      <w:marLeft w:val="0"/>
      <w:marRight w:val="0"/>
      <w:marTop w:val="0"/>
      <w:marBottom w:val="0"/>
      <w:divBdr>
        <w:top w:val="none" w:sz="0" w:space="0" w:color="auto"/>
        <w:left w:val="none" w:sz="0" w:space="0" w:color="auto"/>
        <w:bottom w:val="none" w:sz="0" w:space="0" w:color="auto"/>
        <w:right w:val="none" w:sz="0" w:space="0" w:color="auto"/>
      </w:divBdr>
    </w:div>
    <w:div w:id="879589556">
      <w:bodyDiv w:val="1"/>
      <w:marLeft w:val="0"/>
      <w:marRight w:val="0"/>
      <w:marTop w:val="0"/>
      <w:marBottom w:val="0"/>
      <w:divBdr>
        <w:top w:val="none" w:sz="0" w:space="0" w:color="auto"/>
        <w:left w:val="none" w:sz="0" w:space="0" w:color="auto"/>
        <w:bottom w:val="none" w:sz="0" w:space="0" w:color="auto"/>
        <w:right w:val="none" w:sz="0" w:space="0" w:color="auto"/>
      </w:divBdr>
    </w:div>
    <w:div w:id="1132288259">
      <w:bodyDiv w:val="1"/>
      <w:marLeft w:val="0"/>
      <w:marRight w:val="0"/>
      <w:marTop w:val="0"/>
      <w:marBottom w:val="0"/>
      <w:divBdr>
        <w:top w:val="none" w:sz="0" w:space="0" w:color="auto"/>
        <w:left w:val="none" w:sz="0" w:space="0" w:color="auto"/>
        <w:bottom w:val="none" w:sz="0" w:space="0" w:color="auto"/>
        <w:right w:val="none" w:sz="0" w:space="0" w:color="auto"/>
      </w:divBdr>
      <w:divsChild>
        <w:div w:id="309480744">
          <w:marLeft w:val="0"/>
          <w:marRight w:val="0"/>
          <w:marTop w:val="0"/>
          <w:marBottom w:val="0"/>
          <w:divBdr>
            <w:top w:val="none" w:sz="0" w:space="0" w:color="auto"/>
            <w:left w:val="none" w:sz="0" w:space="0" w:color="auto"/>
            <w:bottom w:val="none" w:sz="0" w:space="0" w:color="auto"/>
            <w:right w:val="none" w:sz="0" w:space="0" w:color="auto"/>
          </w:divBdr>
        </w:div>
        <w:div w:id="517814564">
          <w:marLeft w:val="0"/>
          <w:marRight w:val="0"/>
          <w:marTop w:val="0"/>
          <w:marBottom w:val="0"/>
          <w:divBdr>
            <w:top w:val="none" w:sz="0" w:space="0" w:color="auto"/>
            <w:left w:val="none" w:sz="0" w:space="0" w:color="auto"/>
            <w:bottom w:val="none" w:sz="0" w:space="0" w:color="auto"/>
            <w:right w:val="none" w:sz="0" w:space="0" w:color="auto"/>
          </w:divBdr>
        </w:div>
        <w:div w:id="1043938969">
          <w:marLeft w:val="0"/>
          <w:marRight w:val="0"/>
          <w:marTop w:val="0"/>
          <w:marBottom w:val="0"/>
          <w:divBdr>
            <w:top w:val="none" w:sz="0" w:space="0" w:color="auto"/>
            <w:left w:val="none" w:sz="0" w:space="0" w:color="auto"/>
            <w:bottom w:val="none" w:sz="0" w:space="0" w:color="auto"/>
            <w:right w:val="none" w:sz="0" w:space="0" w:color="auto"/>
          </w:divBdr>
        </w:div>
        <w:div w:id="1608806401">
          <w:marLeft w:val="0"/>
          <w:marRight w:val="0"/>
          <w:marTop w:val="0"/>
          <w:marBottom w:val="0"/>
          <w:divBdr>
            <w:top w:val="none" w:sz="0" w:space="0" w:color="auto"/>
            <w:left w:val="none" w:sz="0" w:space="0" w:color="auto"/>
            <w:bottom w:val="none" w:sz="0" w:space="0" w:color="auto"/>
            <w:right w:val="none" w:sz="0" w:space="0" w:color="auto"/>
          </w:divBdr>
        </w:div>
        <w:div w:id="2120756942">
          <w:marLeft w:val="0"/>
          <w:marRight w:val="0"/>
          <w:marTop w:val="0"/>
          <w:marBottom w:val="0"/>
          <w:divBdr>
            <w:top w:val="none" w:sz="0" w:space="0" w:color="auto"/>
            <w:left w:val="none" w:sz="0" w:space="0" w:color="auto"/>
            <w:bottom w:val="none" w:sz="0" w:space="0" w:color="auto"/>
            <w:right w:val="none" w:sz="0" w:space="0" w:color="auto"/>
          </w:divBdr>
        </w:div>
        <w:div w:id="841822802">
          <w:marLeft w:val="0"/>
          <w:marRight w:val="0"/>
          <w:marTop w:val="0"/>
          <w:marBottom w:val="0"/>
          <w:divBdr>
            <w:top w:val="none" w:sz="0" w:space="0" w:color="auto"/>
            <w:left w:val="none" w:sz="0" w:space="0" w:color="auto"/>
            <w:bottom w:val="none" w:sz="0" w:space="0" w:color="auto"/>
            <w:right w:val="none" w:sz="0" w:space="0" w:color="auto"/>
          </w:divBdr>
        </w:div>
        <w:div w:id="293098864">
          <w:marLeft w:val="0"/>
          <w:marRight w:val="0"/>
          <w:marTop w:val="0"/>
          <w:marBottom w:val="0"/>
          <w:divBdr>
            <w:top w:val="none" w:sz="0" w:space="0" w:color="auto"/>
            <w:left w:val="none" w:sz="0" w:space="0" w:color="auto"/>
            <w:bottom w:val="none" w:sz="0" w:space="0" w:color="auto"/>
            <w:right w:val="none" w:sz="0" w:space="0" w:color="auto"/>
          </w:divBdr>
        </w:div>
      </w:divsChild>
    </w:div>
    <w:div w:id="1231160175">
      <w:bodyDiv w:val="1"/>
      <w:marLeft w:val="0"/>
      <w:marRight w:val="0"/>
      <w:marTop w:val="0"/>
      <w:marBottom w:val="0"/>
      <w:divBdr>
        <w:top w:val="none" w:sz="0" w:space="0" w:color="auto"/>
        <w:left w:val="none" w:sz="0" w:space="0" w:color="auto"/>
        <w:bottom w:val="none" w:sz="0" w:space="0" w:color="auto"/>
        <w:right w:val="none" w:sz="0" w:space="0" w:color="auto"/>
      </w:divBdr>
    </w:div>
    <w:div w:id="1271665525">
      <w:bodyDiv w:val="1"/>
      <w:marLeft w:val="0"/>
      <w:marRight w:val="0"/>
      <w:marTop w:val="0"/>
      <w:marBottom w:val="0"/>
      <w:divBdr>
        <w:top w:val="none" w:sz="0" w:space="0" w:color="auto"/>
        <w:left w:val="none" w:sz="0" w:space="0" w:color="auto"/>
        <w:bottom w:val="none" w:sz="0" w:space="0" w:color="auto"/>
        <w:right w:val="none" w:sz="0" w:space="0" w:color="auto"/>
      </w:divBdr>
    </w:div>
    <w:div w:id="1363285043">
      <w:bodyDiv w:val="1"/>
      <w:marLeft w:val="0"/>
      <w:marRight w:val="0"/>
      <w:marTop w:val="0"/>
      <w:marBottom w:val="0"/>
      <w:divBdr>
        <w:top w:val="none" w:sz="0" w:space="0" w:color="auto"/>
        <w:left w:val="none" w:sz="0" w:space="0" w:color="auto"/>
        <w:bottom w:val="none" w:sz="0" w:space="0" w:color="auto"/>
        <w:right w:val="none" w:sz="0" w:space="0" w:color="auto"/>
      </w:divBdr>
    </w:div>
    <w:div w:id="16840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4189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7FCCF-3072-EC48-AE95-EDBE2632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6118</Words>
  <Characters>34876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Yaqob Samir Taleb</dc:creator>
  <cp:keywords/>
  <dc:description/>
  <cp:lastModifiedBy>SDI 1137</cp:lastModifiedBy>
  <cp:revision>9</cp:revision>
  <dcterms:created xsi:type="dcterms:W3CDTF">2025-10-13T09:33:00Z</dcterms:created>
  <dcterms:modified xsi:type="dcterms:W3CDTF">2025-10-21T09:18:00Z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bffab533-a124-49bb-8b98-e7049039b6ce</vt:lpwstr>
  </property>
</Properties>
</file>