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2B5C9" w14:textId="77777777" w:rsidR="008A78D9" w:rsidRPr="00097749" w:rsidRDefault="008A78D9" w:rsidP="008A78D9">
      <w:pPr>
        <w:pStyle w:val="Author"/>
        <w:spacing w:line="240" w:lineRule="auto"/>
        <w:rPr>
          <w:rFonts w:ascii="Arial" w:hAnsi="Arial" w:cs="Arial"/>
          <w:bCs/>
          <w:iCs/>
          <w:color w:val="000000" w:themeColor="text1"/>
          <w:kern w:val="28"/>
          <w:sz w:val="36"/>
        </w:rPr>
      </w:pPr>
      <w:r w:rsidRPr="00097749">
        <w:rPr>
          <w:rFonts w:ascii="Arial" w:hAnsi="Arial" w:cs="Arial"/>
          <w:bCs/>
          <w:iCs/>
          <w:color w:val="000000" w:themeColor="text1"/>
          <w:kern w:val="28"/>
          <w:sz w:val="36"/>
        </w:rPr>
        <w:t>Service Innovation and Patient Satisfaction: The Mediating Role of Treatment Adherence in Malaria Care in Papua, Indonesia</w:t>
      </w:r>
    </w:p>
    <w:p w14:paraId="0DC4A0D6" w14:textId="77777777" w:rsidR="008A78D9" w:rsidRPr="00097749" w:rsidRDefault="008A78D9" w:rsidP="00441B6F">
      <w:pPr>
        <w:pStyle w:val="Author"/>
        <w:spacing w:line="240" w:lineRule="auto"/>
        <w:rPr>
          <w:rFonts w:ascii="Arial" w:hAnsi="Arial" w:cs="Arial"/>
          <w:bCs/>
          <w:iCs/>
          <w:color w:val="000000" w:themeColor="text1"/>
          <w:kern w:val="28"/>
          <w:sz w:val="36"/>
        </w:rPr>
      </w:pPr>
    </w:p>
    <w:p w14:paraId="4B5AE9CA" w14:textId="77777777" w:rsidR="00A258C3" w:rsidRPr="00097749" w:rsidRDefault="00A258C3" w:rsidP="00441B6F">
      <w:pPr>
        <w:pStyle w:val="Author"/>
        <w:spacing w:line="240" w:lineRule="auto"/>
        <w:jc w:val="both"/>
        <w:rPr>
          <w:rFonts w:ascii="Arial" w:hAnsi="Arial" w:cs="Arial"/>
          <w:color w:val="000000" w:themeColor="text1"/>
          <w:sz w:val="36"/>
        </w:rPr>
      </w:pPr>
    </w:p>
    <w:p w14:paraId="01D4EECC" w14:textId="77777777" w:rsidR="00790ADA" w:rsidRPr="00097749" w:rsidRDefault="00790ADA" w:rsidP="00441B6F">
      <w:pPr>
        <w:pStyle w:val="Affiliation"/>
        <w:spacing w:after="0" w:line="240" w:lineRule="auto"/>
        <w:jc w:val="both"/>
        <w:rPr>
          <w:rFonts w:ascii="Arial" w:hAnsi="Arial" w:cs="Arial"/>
          <w:color w:val="000000" w:themeColor="text1"/>
        </w:rPr>
      </w:pPr>
      <w:bookmarkStart w:id="0" w:name="_GoBack"/>
      <w:bookmarkEnd w:id="0"/>
    </w:p>
    <w:p w14:paraId="60D9BE6E" w14:textId="77777777" w:rsidR="002C57D2" w:rsidRPr="00097749" w:rsidRDefault="002C57D2" w:rsidP="00441B6F">
      <w:pPr>
        <w:pStyle w:val="Affiliation"/>
        <w:spacing w:after="0" w:line="240" w:lineRule="auto"/>
        <w:jc w:val="both"/>
        <w:rPr>
          <w:rFonts w:ascii="Arial" w:hAnsi="Arial" w:cs="Arial"/>
          <w:color w:val="000000" w:themeColor="text1"/>
        </w:rPr>
      </w:pPr>
    </w:p>
    <w:p w14:paraId="1C6B7641" w14:textId="77777777" w:rsidR="00B01FCD" w:rsidRPr="00097749" w:rsidRDefault="003668D0" w:rsidP="00441B6F">
      <w:pPr>
        <w:pStyle w:val="Copyright"/>
        <w:spacing w:after="0" w:line="240" w:lineRule="auto"/>
        <w:jc w:val="both"/>
        <w:rPr>
          <w:rFonts w:ascii="Arial" w:hAnsi="Arial" w:cs="Arial"/>
          <w:color w:val="000000" w:themeColor="text1"/>
        </w:rPr>
        <w:sectPr w:rsidR="00B01FCD" w:rsidRPr="00097749" w:rsidSect="002F3E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7E786A2">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097749">
        <w:rPr>
          <w:rFonts w:ascii="Arial" w:hAnsi="Arial" w:cs="Arial"/>
          <w:color w:val="000000" w:themeColor="text1"/>
        </w:rPr>
        <w:t>.</w:t>
      </w:r>
    </w:p>
    <w:p w14:paraId="61A4627E" w14:textId="77777777" w:rsidR="00B01FCD" w:rsidRPr="00097749" w:rsidRDefault="00B01FCD" w:rsidP="00441B6F">
      <w:pPr>
        <w:pStyle w:val="AbstHead"/>
        <w:spacing w:after="0"/>
        <w:jc w:val="both"/>
        <w:rPr>
          <w:rFonts w:ascii="Arial" w:hAnsi="Arial" w:cs="Arial"/>
          <w:color w:val="000000" w:themeColor="text1"/>
        </w:rPr>
      </w:pPr>
      <w:r w:rsidRPr="00097749">
        <w:rPr>
          <w:rFonts w:ascii="Arial" w:hAnsi="Arial" w:cs="Arial"/>
          <w:color w:val="000000" w:themeColor="text1"/>
        </w:rPr>
        <w:t>ABSTRACT</w:t>
      </w:r>
      <w:r w:rsidR="0066510A" w:rsidRPr="00097749">
        <w:rPr>
          <w:rFonts w:ascii="Arial" w:hAnsi="Arial" w:cs="Arial"/>
          <w:color w:val="000000" w:themeColor="text1"/>
        </w:rPr>
        <w:t xml:space="preserve"> </w:t>
      </w:r>
    </w:p>
    <w:p w14:paraId="7A637587" w14:textId="77777777" w:rsidR="00790ADA" w:rsidRPr="00097749"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97749" w:rsidRPr="00097749" w14:paraId="3C2EB660" w14:textId="77777777" w:rsidTr="001E44FE">
        <w:tc>
          <w:tcPr>
            <w:tcW w:w="9576" w:type="dxa"/>
            <w:shd w:val="clear" w:color="auto" w:fill="F2F2F2"/>
          </w:tcPr>
          <w:p w14:paraId="54A0C29D" w14:textId="77777777" w:rsidR="00BA1B01"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color w:val="000000" w:themeColor="text1"/>
                <w:szCs w:val="22"/>
              </w:rPr>
              <w:t xml:space="preserve">Aims: </w:t>
            </w:r>
            <w:r w:rsidR="001E314B" w:rsidRPr="00097749">
              <w:rPr>
                <w:rFonts w:ascii="Arial" w:eastAsia="Calibri" w:hAnsi="Arial" w:cs="Arial"/>
                <w:color w:val="000000" w:themeColor="text1"/>
                <w:szCs w:val="22"/>
              </w:rPr>
              <w:t>This study aims to examine the direct and indirect effects of treatment adherence on patient satisfaction, incorporating service innovation into Andersen Behavioral Model of Health Service Use</w:t>
            </w:r>
          </w:p>
          <w:p w14:paraId="3656E391" w14:textId="77777777" w:rsidR="00BA1B01"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bCs/>
                <w:color w:val="000000" w:themeColor="text1"/>
                <w:szCs w:val="22"/>
              </w:rPr>
              <w:t>Methodology:</w:t>
            </w:r>
            <w:r w:rsidRPr="00097749">
              <w:rPr>
                <w:rFonts w:ascii="Arial" w:eastAsia="Calibri" w:hAnsi="Arial" w:cs="Arial"/>
                <w:color w:val="000000" w:themeColor="text1"/>
                <w:szCs w:val="22"/>
              </w:rPr>
              <w:t xml:space="preserve"> </w:t>
            </w:r>
            <w:r w:rsidR="001E314B" w:rsidRPr="00097749">
              <w:rPr>
                <w:rFonts w:ascii="Arial" w:eastAsia="Calibri" w:hAnsi="Arial" w:cs="Arial"/>
                <w:color w:val="000000" w:themeColor="text1"/>
                <w:szCs w:val="22"/>
              </w:rPr>
              <w:t xml:space="preserve">A cross-sectional survey of 220 respondents was conducted at the </w:t>
            </w:r>
            <w:proofErr w:type="spellStart"/>
            <w:r w:rsidR="001E314B" w:rsidRPr="00097749">
              <w:rPr>
                <w:rFonts w:ascii="Arial" w:eastAsia="Calibri" w:hAnsi="Arial" w:cs="Arial"/>
                <w:color w:val="000000" w:themeColor="text1"/>
                <w:szCs w:val="22"/>
              </w:rPr>
              <w:t>Wania</w:t>
            </w:r>
            <w:proofErr w:type="spellEnd"/>
            <w:r w:rsidR="001E314B" w:rsidRPr="00097749">
              <w:rPr>
                <w:rFonts w:ascii="Arial" w:eastAsia="Calibri" w:hAnsi="Arial" w:cs="Arial"/>
                <w:color w:val="000000" w:themeColor="text1"/>
                <w:szCs w:val="22"/>
              </w:rPr>
              <w:t xml:space="preserve"> Health Center, </w:t>
            </w:r>
            <w:proofErr w:type="spellStart"/>
            <w:r w:rsidR="001E314B" w:rsidRPr="00097749">
              <w:rPr>
                <w:rFonts w:ascii="Arial" w:eastAsia="Calibri" w:hAnsi="Arial" w:cs="Arial"/>
                <w:color w:val="000000" w:themeColor="text1"/>
                <w:szCs w:val="22"/>
              </w:rPr>
              <w:t>Mimika</w:t>
            </w:r>
            <w:proofErr w:type="spellEnd"/>
            <w:r w:rsidR="001E314B" w:rsidRPr="00097749">
              <w:rPr>
                <w:rFonts w:ascii="Arial" w:eastAsia="Calibri" w:hAnsi="Arial" w:cs="Arial"/>
                <w:color w:val="000000" w:themeColor="text1"/>
                <w:szCs w:val="22"/>
              </w:rPr>
              <w:t xml:space="preserve"> District, Papua. Data were analyzed using </w:t>
            </w:r>
            <w:proofErr w:type="spellStart"/>
            <w:r w:rsidR="001E314B" w:rsidRPr="00097749">
              <w:rPr>
                <w:rFonts w:ascii="Arial" w:eastAsia="Calibri" w:hAnsi="Arial" w:cs="Arial"/>
                <w:color w:val="000000" w:themeColor="text1"/>
                <w:szCs w:val="22"/>
              </w:rPr>
              <w:t>SmartPLS</w:t>
            </w:r>
            <w:proofErr w:type="spellEnd"/>
            <w:r w:rsidR="001E314B" w:rsidRPr="00097749">
              <w:rPr>
                <w:rFonts w:ascii="Arial" w:eastAsia="Calibri" w:hAnsi="Arial" w:cs="Arial"/>
                <w:color w:val="000000" w:themeColor="text1"/>
                <w:szCs w:val="22"/>
              </w:rPr>
              <w:t xml:space="preserve"> 4 with reliability, validity, and structural relationships tested through bootstrapping (5,000 resamples)</w:t>
            </w:r>
            <w:r w:rsidRPr="00097749">
              <w:rPr>
                <w:rFonts w:ascii="Arial" w:eastAsia="Calibri" w:hAnsi="Arial" w:cs="Arial"/>
                <w:color w:val="000000" w:themeColor="text1"/>
                <w:szCs w:val="22"/>
              </w:rPr>
              <w:t>.</w:t>
            </w:r>
          </w:p>
          <w:p w14:paraId="3E65060C" w14:textId="77777777" w:rsidR="00BA1B01" w:rsidRPr="00097749" w:rsidRDefault="00BA1B01" w:rsidP="00441B6F">
            <w:pPr>
              <w:pStyle w:val="Body"/>
              <w:spacing w:after="0"/>
              <w:rPr>
                <w:rFonts w:ascii="Arial" w:eastAsia="Calibri" w:hAnsi="Arial" w:cs="Arial"/>
                <w:b/>
                <w:bCs/>
                <w:color w:val="000000" w:themeColor="text1"/>
                <w:szCs w:val="22"/>
              </w:rPr>
            </w:pPr>
            <w:r w:rsidRPr="00097749">
              <w:rPr>
                <w:rFonts w:ascii="Arial" w:eastAsia="Calibri" w:hAnsi="Arial" w:cs="Arial"/>
                <w:b/>
                <w:bCs/>
                <w:color w:val="000000" w:themeColor="text1"/>
                <w:szCs w:val="22"/>
              </w:rPr>
              <w:t>Results:</w:t>
            </w:r>
            <w:r w:rsidR="001E314B" w:rsidRPr="00097749">
              <w:rPr>
                <w:rFonts w:ascii="Arial" w:eastAsia="Calibri" w:hAnsi="Arial" w:cs="Arial"/>
                <w:b/>
                <w:bCs/>
                <w:color w:val="000000" w:themeColor="text1"/>
                <w:szCs w:val="22"/>
              </w:rPr>
              <w:t xml:space="preserve"> </w:t>
            </w:r>
            <w:r w:rsidR="001E314B" w:rsidRPr="00097749">
              <w:rPr>
                <w:rFonts w:ascii="Arial" w:eastAsia="Calibri" w:hAnsi="Arial" w:cs="Arial"/>
                <w:color w:val="000000" w:themeColor="text1"/>
                <w:szCs w:val="22"/>
              </w:rPr>
              <w:t>The results showed that predisposing and reinforcing factors of treatment adherence significantly improved patient satisfaction, while enabling factors had no effect. Service innovation, including streamlined malaria service, home visits, and digital monitoring, partially mediated adherence–satisfaction relationship. The model explained 77.6% of the variance in satisfaction</w:t>
            </w:r>
            <w:r w:rsidRPr="00097749">
              <w:rPr>
                <w:rFonts w:ascii="Arial" w:eastAsia="Calibri" w:hAnsi="Arial" w:cs="Arial"/>
                <w:color w:val="000000" w:themeColor="text1"/>
                <w:szCs w:val="22"/>
              </w:rPr>
              <w:t>.</w:t>
            </w:r>
          </w:p>
          <w:p w14:paraId="44A5C211" w14:textId="77777777" w:rsidR="001E314B"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bCs/>
                <w:color w:val="000000" w:themeColor="text1"/>
                <w:szCs w:val="22"/>
              </w:rPr>
              <w:t>Conclusion:</w:t>
            </w:r>
            <w:r w:rsidRPr="00097749">
              <w:rPr>
                <w:rFonts w:ascii="Arial" w:eastAsia="Calibri" w:hAnsi="Arial" w:cs="Arial"/>
                <w:color w:val="000000" w:themeColor="text1"/>
                <w:szCs w:val="22"/>
              </w:rPr>
              <w:t xml:space="preserve"> </w:t>
            </w:r>
            <w:r w:rsidR="001E314B" w:rsidRPr="00097749">
              <w:rPr>
                <w:rFonts w:ascii="Arial" w:eastAsia="Calibri" w:hAnsi="Arial" w:cs="Arial"/>
                <w:color w:val="000000" w:themeColor="text1"/>
                <w:szCs w:val="22"/>
              </w:rPr>
              <w:t>Service innovation enhances satisfaction both directly and indirectly, extending Andersen Behavioral Model and offering actionable insights for policymakers. The results underscore the need for patient-centered innovation to strengthen malaria elimination strategies in resource-limited settings.</w:t>
            </w:r>
          </w:p>
          <w:p w14:paraId="2612D97F" w14:textId="77777777" w:rsidR="00505F06" w:rsidRPr="00097749" w:rsidRDefault="00505F06" w:rsidP="00441B6F">
            <w:pPr>
              <w:pStyle w:val="Body"/>
              <w:spacing w:after="0"/>
              <w:rPr>
                <w:rFonts w:ascii="Arial" w:eastAsia="Calibri" w:hAnsi="Arial" w:cs="Arial"/>
                <w:color w:val="000000" w:themeColor="text1"/>
                <w:szCs w:val="22"/>
              </w:rPr>
            </w:pPr>
          </w:p>
        </w:tc>
      </w:tr>
    </w:tbl>
    <w:p w14:paraId="67176786" w14:textId="77777777" w:rsidR="00636EB2" w:rsidRPr="00097749" w:rsidRDefault="00636EB2" w:rsidP="00441B6F">
      <w:pPr>
        <w:pStyle w:val="Body"/>
        <w:spacing w:after="0"/>
        <w:rPr>
          <w:rFonts w:ascii="Arial" w:hAnsi="Arial" w:cs="Arial"/>
          <w:i/>
          <w:color w:val="000000" w:themeColor="text1"/>
        </w:rPr>
      </w:pPr>
    </w:p>
    <w:p w14:paraId="07EB7A0B" w14:textId="77777777" w:rsidR="00A24E7E" w:rsidRPr="00097749" w:rsidRDefault="00A24E7E" w:rsidP="00441B6F">
      <w:pPr>
        <w:pStyle w:val="Body"/>
        <w:spacing w:after="0"/>
        <w:rPr>
          <w:rFonts w:ascii="Arial" w:hAnsi="Arial" w:cs="Arial"/>
          <w:i/>
          <w:color w:val="000000" w:themeColor="text1"/>
        </w:rPr>
      </w:pPr>
      <w:r w:rsidRPr="00097749">
        <w:rPr>
          <w:rFonts w:ascii="Arial" w:hAnsi="Arial" w:cs="Arial"/>
          <w:i/>
          <w:color w:val="000000" w:themeColor="text1"/>
        </w:rPr>
        <w:t xml:space="preserve">Keywords: </w:t>
      </w:r>
      <w:r w:rsidR="001E314B" w:rsidRPr="00097749">
        <w:rPr>
          <w:rFonts w:ascii="Arial" w:hAnsi="Arial" w:cs="Arial"/>
          <w:i/>
          <w:color w:val="000000" w:themeColor="text1"/>
        </w:rPr>
        <w:t>Service innovation; patient satisfaction; treatment adherence; malaria care; Indonesia</w:t>
      </w:r>
    </w:p>
    <w:p w14:paraId="6FB59CDC" w14:textId="77777777" w:rsidR="00790ADA" w:rsidRPr="00097749" w:rsidRDefault="00790ADA" w:rsidP="00441B6F">
      <w:pPr>
        <w:pStyle w:val="Body"/>
        <w:spacing w:after="0"/>
        <w:rPr>
          <w:rFonts w:ascii="Arial" w:hAnsi="Arial" w:cs="Arial"/>
          <w:i/>
          <w:color w:val="000000" w:themeColor="text1"/>
        </w:rPr>
      </w:pPr>
    </w:p>
    <w:p w14:paraId="51055892" w14:textId="77777777" w:rsidR="0024282C" w:rsidRPr="00097749" w:rsidRDefault="0024282C" w:rsidP="00441B6F">
      <w:pPr>
        <w:pStyle w:val="Body"/>
        <w:spacing w:after="0"/>
        <w:rPr>
          <w:rFonts w:ascii="Arial" w:hAnsi="Arial" w:cs="Arial"/>
          <w:i/>
          <w:color w:val="000000" w:themeColor="text1"/>
          <w:sz w:val="18"/>
        </w:rPr>
      </w:pPr>
    </w:p>
    <w:p w14:paraId="5523A949" w14:textId="77777777" w:rsidR="00505F06" w:rsidRPr="00097749" w:rsidRDefault="00505F06" w:rsidP="00441B6F">
      <w:pPr>
        <w:pStyle w:val="Body"/>
        <w:spacing w:after="0"/>
        <w:rPr>
          <w:rFonts w:ascii="Arial" w:hAnsi="Arial" w:cs="Arial"/>
          <w:i/>
          <w:color w:val="000000" w:themeColor="text1"/>
        </w:rPr>
      </w:pPr>
    </w:p>
    <w:p w14:paraId="542243F7" w14:textId="48859913" w:rsidR="007F7B32" w:rsidRPr="00097749" w:rsidRDefault="00902823" w:rsidP="00441B6F">
      <w:pPr>
        <w:pStyle w:val="AbstHead"/>
        <w:spacing w:after="0"/>
        <w:jc w:val="both"/>
        <w:rPr>
          <w:rFonts w:ascii="Arial" w:hAnsi="Arial" w:cs="Arial"/>
          <w:color w:val="000000" w:themeColor="text1"/>
        </w:rPr>
      </w:pPr>
      <w:r w:rsidRPr="00097749">
        <w:rPr>
          <w:rFonts w:ascii="Arial" w:hAnsi="Arial" w:cs="Arial"/>
          <w:color w:val="000000" w:themeColor="text1"/>
        </w:rPr>
        <w:t xml:space="preserve">1. </w:t>
      </w:r>
      <w:r w:rsidR="00B01FCD" w:rsidRPr="00097749">
        <w:rPr>
          <w:rFonts w:ascii="Arial" w:hAnsi="Arial" w:cs="Arial"/>
          <w:color w:val="000000" w:themeColor="text1"/>
        </w:rPr>
        <w:t>INTRODUCTION</w:t>
      </w:r>
      <w:r w:rsidR="007F7B32" w:rsidRPr="00097749">
        <w:rPr>
          <w:rFonts w:ascii="Arial" w:hAnsi="Arial" w:cs="Arial"/>
          <w:color w:val="000000" w:themeColor="text1"/>
        </w:rPr>
        <w:t xml:space="preserve"> </w:t>
      </w:r>
    </w:p>
    <w:p w14:paraId="41962A88" w14:textId="77777777" w:rsidR="00790ADA" w:rsidRPr="00097749" w:rsidRDefault="00790ADA" w:rsidP="00441B6F">
      <w:pPr>
        <w:pStyle w:val="AbstHead"/>
        <w:spacing w:after="0"/>
        <w:jc w:val="both"/>
        <w:rPr>
          <w:rFonts w:ascii="Arial" w:hAnsi="Arial" w:cs="Arial"/>
          <w:color w:val="000000" w:themeColor="text1"/>
        </w:rPr>
      </w:pPr>
    </w:p>
    <w:p w14:paraId="38EA680B" w14:textId="77777777" w:rsidR="00097749" w:rsidRPr="00097749" w:rsidRDefault="00097749" w:rsidP="00097749">
      <w:pPr>
        <w:pStyle w:val="BodyText"/>
        <w:rPr>
          <w:color w:val="000000" w:themeColor="text1"/>
        </w:rPr>
      </w:pPr>
      <w:r w:rsidRPr="00097749">
        <w:rPr>
          <w:color w:val="000000" w:themeColor="text1"/>
        </w:rPr>
        <w:t>Malaria remains one of the most persistent and devastating infectious diseases globally. According to the World Health Organization (WHO, 2023), over 249 million malaria cases and approximately 608,000 deaths were recorded worldwide in 2022, with the burden falling disproportionately on low- and middle-income countries. Sub-Saharan Africa accounts for the majority of global cases, but Southeast Asia, particularly Indonesia, continues to report significant malaria prevalence. Despite decades of eradication campaigns, malaria remains a leading cause of morbidity, mortality, and socioeconomic loss in endemic regions. The disease disproportionately affects vulnerable populations such as pregnant women, infants, and young children, while also undermining the productivity of working-age adults, reinforcing cycles of poverty and ill health (</w:t>
      </w:r>
      <w:proofErr w:type="spellStart"/>
      <w:r w:rsidRPr="00097749">
        <w:rPr>
          <w:color w:val="000000" w:themeColor="text1"/>
        </w:rPr>
        <w:t>Tusting</w:t>
      </w:r>
      <w:proofErr w:type="spellEnd"/>
      <w:r w:rsidRPr="00097749">
        <w:rPr>
          <w:color w:val="000000" w:themeColor="text1"/>
        </w:rPr>
        <w:t xml:space="preserve"> et al., 2021).</w:t>
      </w:r>
    </w:p>
    <w:p w14:paraId="13A63029" w14:textId="77777777" w:rsidR="00097749" w:rsidRPr="00097749" w:rsidRDefault="00097749" w:rsidP="00097749">
      <w:pPr>
        <w:pStyle w:val="BodyText"/>
        <w:rPr>
          <w:color w:val="000000" w:themeColor="text1"/>
        </w:rPr>
      </w:pPr>
      <w:r w:rsidRPr="00097749">
        <w:rPr>
          <w:color w:val="000000" w:themeColor="text1"/>
        </w:rPr>
        <w:t xml:space="preserve">In Indonesia, malaria continues to present a formidable public health challenge, specifically in eastern provinces. National elimination efforts have been in progress since the early 2000s, with the government setting a target of nationwide malaria elimination by 2030 (Ministry of Health, 2022). Although some provinces in western Indonesia have achieved </w:t>
      </w:r>
      <w:r w:rsidRPr="00097749">
        <w:rPr>
          <w:color w:val="000000" w:themeColor="text1"/>
        </w:rPr>
        <w:lastRenderedPageBreak/>
        <w:t>elimination, Papua and West Papua continue to bear the brunt of malaria burden. Papua alone contributes nearly one-third of total malaria cases nationally (Lestari et al., 2019). The persistence of the disease in these provinces poses a critical barrier to achieving the 2030 target and underscores the need for region-specific strategies (</w:t>
      </w:r>
      <w:proofErr w:type="spellStart"/>
      <w:r w:rsidRPr="00097749">
        <w:rPr>
          <w:color w:val="000000" w:themeColor="text1"/>
        </w:rPr>
        <w:t>Ipa</w:t>
      </w:r>
      <w:proofErr w:type="spellEnd"/>
      <w:r w:rsidRPr="00097749">
        <w:rPr>
          <w:color w:val="000000" w:themeColor="text1"/>
        </w:rPr>
        <w:t xml:space="preserve"> et al., 2020).</w:t>
      </w:r>
    </w:p>
    <w:p w14:paraId="69925747" w14:textId="77777777" w:rsidR="00097749" w:rsidRPr="00097749" w:rsidRDefault="00097749" w:rsidP="00097749">
      <w:pPr>
        <w:pStyle w:val="BodyText"/>
        <w:jc w:val="center"/>
        <w:rPr>
          <w:color w:val="000000" w:themeColor="text1"/>
        </w:rPr>
      </w:pPr>
      <w:r w:rsidRPr="00097749">
        <w:rPr>
          <w:rFonts w:ascii="Cambria" w:hAnsi="Cambria"/>
          <w:noProof/>
          <w:color w:val="000000" w:themeColor="text1"/>
        </w:rPr>
        <w:drawing>
          <wp:inline distT="0" distB="0" distL="0" distR="0" wp14:anchorId="7824BDE7" wp14:editId="34964AF1">
            <wp:extent cx="5486400" cy="143418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5486400" cy="1434186"/>
                    </a:xfrm>
                    <a:prstGeom prst="rect">
                      <a:avLst/>
                    </a:prstGeom>
                  </pic:spPr>
                </pic:pic>
              </a:graphicData>
            </a:graphic>
          </wp:inline>
        </w:drawing>
      </w:r>
    </w:p>
    <w:p w14:paraId="2E2B3C73" w14:textId="77777777" w:rsidR="00097749" w:rsidRPr="00097749" w:rsidRDefault="00097749" w:rsidP="00097749">
      <w:pPr>
        <w:pStyle w:val="BodyText"/>
        <w:jc w:val="center"/>
        <w:rPr>
          <w:color w:val="000000" w:themeColor="text1"/>
        </w:rPr>
      </w:pPr>
      <w:r w:rsidRPr="00097749">
        <w:rPr>
          <w:color w:val="000000" w:themeColor="text1"/>
        </w:rPr>
        <w:t xml:space="preserve">Figure 1. National vs. </w:t>
      </w:r>
      <w:proofErr w:type="spellStart"/>
      <w:r w:rsidRPr="00097749">
        <w:rPr>
          <w:color w:val="000000" w:themeColor="text1"/>
        </w:rPr>
        <w:t>Mimika</w:t>
      </w:r>
      <w:proofErr w:type="spellEnd"/>
      <w:r w:rsidRPr="00097749">
        <w:rPr>
          <w:color w:val="000000" w:themeColor="text1"/>
        </w:rPr>
        <w:t xml:space="preserve"> Regency Malaria Cases 2019-2022</w:t>
      </w:r>
    </w:p>
    <w:p w14:paraId="4BBAD2B5" w14:textId="77777777" w:rsidR="00097749" w:rsidRPr="00097749" w:rsidRDefault="00097749" w:rsidP="00097749">
      <w:pPr>
        <w:pStyle w:val="BodyText"/>
        <w:rPr>
          <w:color w:val="000000" w:themeColor="text1"/>
        </w:rPr>
      </w:pPr>
      <w:proofErr w:type="spellStart"/>
      <w:r w:rsidRPr="00097749">
        <w:rPr>
          <w:color w:val="000000" w:themeColor="text1"/>
        </w:rPr>
        <w:t>Mimika</w:t>
      </w:r>
      <w:proofErr w:type="spellEnd"/>
      <w:r w:rsidRPr="00097749">
        <w:rPr>
          <w:color w:val="000000" w:themeColor="text1"/>
        </w:rPr>
        <w:t xml:space="preserve"> District in Central Papua Province exemplifies the challenges of malaria elimination in high-burden areas. Between 2019 and 2022, </w:t>
      </w:r>
      <w:proofErr w:type="spellStart"/>
      <w:r w:rsidRPr="00097749">
        <w:rPr>
          <w:color w:val="000000" w:themeColor="text1"/>
        </w:rPr>
        <w:t>Mimika</w:t>
      </w:r>
      <w:proofErr w:type="spellEnd"/>
      <w:r w:rsidRPr="00097749">
        <w:rPr>
          <w:color w:val="000000" w:themeColor="text1"/>
        </w:rPr>
        <w:t xml:space="preserve"> consistently accounted for 30–39% of Indonesia total malaria cases, with an average contribution of 33.6% per year. Data from the Ministry of Health (2022) showed that cases in the district rose sharply from 119,167 in 2021 to 132,547 in 2022, coinciding with a national increase of 36.3% in the same period. Epidemiological indicators confirm the severity of the problem. The Annual Parasite Incidence (API) in 2023 was 456.3 per 1,000 population, over 400 times the national elimination threshold of less than 1 per 1,000. Similarly, the positivity rate (PR) reached 41.8% in 2021, well above the national average, before declining slightly to 30.7% in 2023. These figures place </w:t>
      </w:r>
      <w:proofErr w:type="spellStart"/>
      <w:r w:rsidRPr="00097749">
        <w:rPr>
          <w:color w:val="000000" w:themeColor="text1"/>
        </w:rPr>
        <w:t>Mimika</w:t>
      </w:r>
      <w:proofErr w:type="spellEnd"/>
      <w:r w:rsidRPr="00097749">
        <w:rPr>
          <w:color w:val="000000" w:themeColor="text1"/>
        </w:rPr>
        <w:t xml:space="preserve"> among the most malaria-endemic areas in Indonesia.</w:t>
      </w:r>
    </w:p>
    <w:p w14:paraId="593235CE" w14:textId="77777777" w:rsidR="00097749" w:rsidRDefault="00097749" w:rsidP="00097749">
      <w:pPr>
        <w:pStyle w:val="BodyText"/>
        <w:rPr>
          <w:color w:val="000000" w:themeColor="text1"/>
        </w:rPr>
      </w:pPr>
    </w:p>
    <w:p w14:paraId="764707AF" w14:textId="77777777" w:rsidR="00326310" w:rsidRPr="00097749" w:rsidRDefault="00326310" w:rsidP="00097749">
      <w:pPr>
        <w:pStyle w:val="BodyText"/>
        <w:rPr>
          <w:color w:val="000000" w:themeColor="text1"/>
        </w:rPr>
      </w:pPr>
    </w:p>
    <w:p w14:paraId="1DFEBB57" w14:textId="5EC3747E" w:rsidR="00097749" w:rsidRDefault="00097749" w:rsidP="00097749">
      <w:pPr>
        <w:pStyle w:val="BodyText"/>
        <w:rPr>
          <w:color w:val="000000" w:themeColor="text1"/>
        </w:rPr>
      </w:pPr>
      <w:r w:rsidRPr="00097749">
        <w:rPr>
          <w:color w:val="000000" w:themeColor="text1"/>
        </w:rPr>
        <w:t xml:space="preserve">The high prevalence of malaria in </w:t>
      </w:r>
      <w:proofErr w:type="spellStart"/>
      <w:r w:rsidRPr="00097749">
        <w:rPr>
          <w:color w:val="000000" w:themeColor="text1"/>
        </w:rPr>
        <w:t>Mimika</w:t>
      </w:r>
      <w:proofErr w:type="spellEnd"/>
      <w:r w:rsidRPr="00097749">
        <w:rPr>
          <w:color w:val="000000" w:themeColor="text1"/>
        </w:rPr>
        <w:t xml:space="preserve"> can be attributed to two interconnected problems, namely inadequate adherence to treatment regimens and inconsistent preventive practices. Non-adherence to prescribed antimalarial regimens, particularly primaquine for Plasmodium vivax, remains widespread. Patient often discontinue treatment after symptoms subside or when experiencing side effects, leading to relapse and sustained transmission (</w:t>
      </w:r>
      <w:proofErr w:type="spellStart"/>
      <w:r w:rsidRPr="00097749">
        <w:rPr>
          <w:color w:val="000000" w:themeColor="text1"/>
        </w:rPr>
        <w:t>Poespoprodjo</w:t>
      </w:r>
      <w:proofErr w:type="spellEnd"/>
      <w:r w:rsidRPr="00097749">
        <w:rPr>
          <w:color w:val="000000" w:themeColor="text1"/>
        </w:rPr>
        <w:t xml:space="preserve"> et al., 2022). At the same time, preventive behaviors such as consistent use of insecticide-treated bed nets, indoor residual spraying, and avoidance of mosquito bites are poorly practiced (Miranti, 2019). Collectively, these factors perpetuate high levels of transmission and hinder malaria control efforts.</w:t>
      </w:r>
    </w:p>
    <w:p w14:paraId="4DC0F868" w14:textId="77777777" w:rsidR="003361EC" w:rsidRDefault="003361EC" w:rsidP="00097749">
      <w:pPr>
        <w:pStyle w:val="BodyText"/>
        <w:rPr>
          <w:color w:val="000000" w:themeColor="text1"/>
        </w:rPr>
      </w:pPr>
    </w:p>
    <w:p w14:paraId="400EDAE2" w14:textId="77777777" w:rsidR="003361EC" w:rsidRDefault="003361EC" w:rsidP="00097749">
      <w:pPr>
        <w:pStyle w:val="BodyText"/>
        <w:rPr>
          <w:color w:val="000000" w:themeColor="text1"/>
        </w:rPr>
      </w:pPr>
    </w:p>
    <w:p w14:paraId="4ADA4D1E" w14:textId="266A3CFF" w:rsidR="003361EC" w:rsidRPr="00097749" w:rsidRDefault="003361EC" w:rsidP="00097749">
      <w:pPr>
        <w:pStyle w:val="BodyText"/>
        <w:rPr>
          <w:color w:val="000000" w:themeColor="text1"/>
        </w:rPr>
      </w:pPr>
      <w:r w:rsidRPr="00097749">
        <w:rPr>
          <w:rFonts w:ascii="Cambria" w:hAnsi="Cambria"/>
          <w:noProof/>
          <w:color w:val="000000" w:themeColor="text1"/>
        </w:rPr>
        <w:lastRenderedPageBreak/>
        <w:drawing>
          <wp:inline distT="0" distB="0" distL="0" distR="0" wp14:anchorId="54B2BA4F" wp14:editId="1C8F934C">
            <wp:extent cx="5212080" cy="194125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1941259"/>
                    </a:xfrm>
                    <a:prstGeom prst="rect">
                      <a:avLst/>
                    </a:prstGeom>
                  </pic:spPr>
                </pic:pic>
              </a:graphicData>
            </a:graphic>
          </wp:inline>
        </w:drawing>
      </w:r>
    </w:p>
    <w:p w14:paraId="5065A856" w14:textId="77777777" w:rsidR="00097749" w:rsidRPr="00097749" w:rsidRDefault="00097749" w:rsidP="00097749">
      <w:pPr>
        <w:pStyle w:val="BodyText"/>
        <w:jc w:val="center"/>
        <w:rPr>
          <w:color w:val="000000" w:themeColor="text1"/>
        </w:rPr>
      </w:pPr>
      <w:r w:rsidRPr="00097749">
        <w:rPr>
          <w:color w:val="000000" w:themeColor="text1"/>
        </w:rPr>
        <w:t xml:space="preserve">Figure 2. Malaria Incidence per 1,000 Population and Positivity Rate (%) in </w:t>
      </w:r>
      <w:proofErr w:type="spellStart"/>
      <w:r w:rsidRPr="00097749">
        <w:rPr>
          <w:color w:val="000000" w:themeColor="text1"/>
        </w:rPr>
        <w:t>Mimika</w:t>
      </w:r>
      <w:proofErr w:type="spellEnd"/>
      <w:r w:rsidRPr="00097749">
        <w:rPr>
          <w:color w:val="000000" w:themeColor="text1"/>
        </w:rPr>
        <w:t xml:space="preserve"> Regency 2019-2023</w:t>
      </w:r>
    </w:p>
    <w:p w14:paraId="66F7B9C4" w14:textId="77777777" w:rsidR="00326310" w:rsidRDefault="00326310" w:rsidP="00097749">
      <w:pPr>
        <w:pStyle w:val="BodyText"/>
        <w:rPr>
          <w:color w:val="000000" w:themeColor="text1"/>
        </w:rPr>
      </w:pPr>
    </w:p>
    <w:p w14:paraId="489E7BD4" w14:textId="77777777" w:rsidR="00097749" w:rsidRPr="00097749" w:rsidRDefault="00097749" w:rsidP="00097749">
      <w:pPr>
        <w:pStyle w:val="BodyText"/>
        <w:rPr>
          <w:color w:val="000000" w:themeColor="text1"/>
        </w:rPr>
      </w:pPr>
      <w:r w:rsidRPr="00097749">
        <w:rPr>
          <w:color w:val="000000" w:themeColor="text1"/>
        </w:rPr>
        <w:t xml:space="preserve">Local government initiatives have attempted to address these challenges. </w:t>
      </w:r>
      <w:proofErr w:type="spellStart"/>
      <w:r w:rsidRPr="00097749">
        <w:rPr>
          <w:color w:val="000000" w:themeColor="text1"/>
        </w:rPr>
        <w:t>Mimika</w:t>
      </w:r>
      <w:proofErr w:type="spellEnd"/>
      <w:r w:rsidRPr="00097749">
        <w:rPr>
          <w:color w:val="000000" w:themeColor="text1"/>
        </w:rPr>
        <w:t xml:space="preserve"> District issued Regulation No. 49/2019 on malaria control and established Malaria Center through Decree No. 225/2019. The district was further designated as a “special area” for accelerated malaria elimination through Decree No. 519/2020. Collaborative programs between the District Health Office and PT Freeport Indonesia, such as mass blood surveys, have shown alarmingly high infection rates. For instance, a survey of 533 residents conducted in 2022–2023 found that 36% were infected with malaria, and while 73.5% requested for treatment at community health centers (</w:t>
      </w:r>
      <w:proofErr w:type="spellStart"/>
      <w:r w:rsidRPr="00097749">
        <w:rPr>
          <w:color w:val="000000" w:themeColor="text1"/>
        </w:rPr>
        <w:t>puskesmas</w:t>
      </w:r>
      <w:proofErr w:type="spellEnd"/>
      <w:r w:rsidRPr="00097749">
        <w:rPr>
          <w:color w:val="000000" w:themeColor="text1"/>
        </w:rPr>
        <w:t>), only 10.3% completed prescribed medication. This data shows that although access to primary healthcare is relatively high, adherence to treatment remains critically low.</w:t>
      </w:r>
    </w:p>
    <w:p w14:paraId="030155E0" w14:textId="77777777" w:rsidR="00097749" w:rsidRPr="00097749" w:rsidRDefault="00097749" w:rsidP="00097749">
      <w:pPr>
        <w:pStyle w:val="BodyText"/>
        <w:rPr>
          <w:color w:val="000000" w:themeColor="text1"/>
        </w:rPr>
      </w:pPr>
      <w:r w:rsidRPr="00097749">
        <w:rPr>
          <w:color w:val="000000" w:themeColor="text1"/>
        </w:rPr>
        <w:t>The issue of treatment adherence in malaria care has been extensively studied in global literature. Green (1991) PRECEDE-PROCEED model identified three categories of factors influencing health behavior, namely predisposing (knowledge, attitudes, beliefs), enabling (resources, access, availability), and reinforcing (support from family or providers). In the context of malaria, these factors determine whether patient initiates and completes treatment. More recent work by Al Omari and Hamid (2022) reported that adherence is not only an individual responsibility but also a systemic outcome, shaped by healthcare service quality, provider engagement, and social support. Without supervision and follow-up, adherence rates tend to decline sharply, specifically for lengthy regimens such as the 14-day primaquine treatment required to eliminate hypnozoites of P. vivax.</w:t>
      </w:r>
    </w:p>
    <w:p w14:paraId="65482E64" w14:textId="77777777" w:rsidR="00097749" w:rsidRPr="00097749" w:rsidRDefault="00097749" w:rsidP="00097749">
      <w:pPr>
        <w:pStyle w:val="BodyText"/>
        <w:rPr>
          <w:color w:val="000000" w:themeColor="text1"/>
        </w:rPr>
      </w:pPr>
      <w:r w:rsidRPr="00097749">
        <w:rPr>
          <w:color w:val="000000" w:themeColor="text1"/>
        </w:rPr>
        <w:t xml:space="preserve">Studies in Papua have provided strong empirical evidence for the importance of supervision. </w:t>
      </w:r>
      <w:proofErr w:type="spellStart"/>
      <w:r w:rsidRPr="00097749">
        <w:rPr>
          <w:color w:val="000000" w:themeColor="text1"/>
        </w:rPr>
        <w:t>Poespoprodjo</w:t>
      </w:r>
      <w:proofErr w:type="spellEnd"/>
      <w:r w:rsidRPr="00097749">
        <w:rPr>
          <w:color w:val="000000" w:themeColor="text1"/>
        </w:rPr>
        <w:t xml:space="preserve"> et al. (2022) showed that supervised primaquine administration significantly reduced relapse rates compared to unsupervised regimens. Similarly, </w:t>
      </w:r>
      <w:proofErr w:type="spellStart"/>
      <w:r w:rsidRPr="00097749">
        <w:rPr>
          <w:color w:val="000000" w:themeColor="text1"/>
        </w:rPr>
        <w:t>Liony</w:t>
      </w:r>
      <w:proofErr w:type="spellEnd"/>
      <w:r w:rsidRPr="00097749">
        <w:rPr>
          <w:color w:val="000000" w:themeColor="text1"/>
        </w:rPr>
        <w:t xml:space="preserve"> (2023) found that patient receiving home visits from healthcare workers had markedly higher adherence and satisfaction levels. These results suggest that innovative service delivery approaches, such as patient supervision, digital adherence reminders, and community-based monitoring, can play a critical role in overcoming adherence challenges in resource-limited settings.</w:t>
      </w:r>
    </w:p>
    <w:p w14:paraId="1D289F21" w14:textId="77777777" w:rsidR="00097749" w:rsidRPr="00097749" w:rsidRDefault="00097749" w:rsidP="00097749">
      <w:pPr>
        <w:pStyle w:val="BodyText"/>
        <w:rPr>
          <w:color w:val="000000" w:themeColor="text1"/>
        </w:rPr>
      </w:pPr>
      <w:r w:rsidRPr="00097749">
        <w:rPr>
          <w:color w:val="000000" w:themeColor="text1"/>
        </w:rPr>
        <w:t>Service innovation in healthcare comprises the introduction or adaptation of new processes, technologies, or organizational practices to improve service quality, accessibility, and patient-centeredness (</w:t>
      </w:r>
      <w:proofErr w:type="spellStart"/>
      <w:r w:rsidRPr="00097749">
        <w:rPr>
          <w:color w:val="000000" w:themeColor="text1"/>
        </w:rPr>
        <w:t>Djellal</w:t>
      </w:r>
      <w:proofErr w:type="spellEnd"/>
      <w:r w:rsidRPr="00097749">
        <w:rPr>
          <w:color w:val="000000" w:themeColor="text1"/>
        </w:rPr>
        <w:t xml:space="preserve"> &amp; </w:t>
      </w:r>
      <w:proofErr w:type="spellStart"/>
      <w:r w:rsidRPr="00097749">
        <w:rPr>
          <w:color w:val="000000" w:themeColor="text1"/>
        </w:rPr>
        <w:t>Gallouj</w:t>
      </w:r>
      <w:proofErr w:type="spellEnd"/>
      <w:r w:rsidRPr="00097749">
        <w:rPr>
          <w:color w:val="000000" w:themeColor="text1"/>
        </w:rPr>
        <w:t xml:space="preserve">, 2019; Janssen et al., 2021). In primary healthcare, service innovation might include dedicated service corners for malaria, digital tools for monitoring adherence, redesigned patient flows to reduce waiting times, and outreach service such as home visits. Empirical studies </w:t>
      </w:r>
      <w:r w:rsidRPr="00097749">
        <w:rPr>
          <w:color w:val="000000" w:themeColor="text1"/>
          <w:lang w:val="id-ID"/>
        </w:rPr>
        <w:t>show</w:t>
      </w:r>
      <w:r w:rsidRPr="00097749">
        <w:rPr>
          <w:color w:val="000000" w:themeColor="text1"/>
        </w:rPr>
        <w:t xml:space="preserve"> that service innovation enhances both </w:t>
      </w:r>
      <w:r w:rsidRPr="00097749">
        <w:rPr>
          <w:color w:val="000000" w:themeColor="text1"/>
        </w:rPr>
        <w:lastRenderedPageBreak/>
        <w:t>efficiency and patient satisfaction, particularly in contexts where resource constraints limit traditional approaches (Moura et al., 2023; Li et al., 2023).</w:t>
      </w:r>
    </w:p>
    <w:p w14:paraId="3A6D7594" w14:textId="77777777" w:rsidR="00097749" w:rsidRPr="00097749" w:rsidRDefault="00097749" w:rsidP="00097749">
      <w:pPr>
        <w:pStyle w:val="BodyText"/>
        <w:rPr>
          <w:color w:val="000000" w:themeColor="text1"/>
        </w:rPr>
      </w:pPr>
      <w:r w:rsidRPr="00097749">
        <w:rPr>
          <w:color w:val="000000" w:themeColor="text1"/>
        </w:rPr>
        <w:t>Despite the growing recognition, few studies have empirically integrated service innovation into behavioral models of healthcare use. Andersen (1995) Behavioral Model of Health Service Use provided a robust theoretical framework for analyzing health service utilization. It categorized determinants into predisposing, enabling, and reinforcing factors, which collectively influence healthcare behaviors and outcomes. However, the model has not sufficiently accounted for the role of innovative service delivery in mediating the relationship between patient behavior and satisfaction. This gap is particularly relevant in malaria-endemic regions, where treatment adherence cannot be achieved through clinical prescriptions alone but requires supportive and innovative service environments.</w:t>
      </w:r>
    </w:p>
    <w:p w14:paraId="14447846" w14:textId="77777777" w:rsidR="00097749" w:rsidRPr="00097749" w:rsidRDefault="00097749" w:rsidP="00097749">
      <w:pPr>
        <w:pStyle w:val="BodyText"/>
        <w:rPr>
          <w:color w:val="000000" w:themeColor="text1"/>
        </w:rPr>
      </w:pPr>
      <w:r w:rsidRPr="00097749">
        <w:rPr>
          <w:color w:val="000000" w:themeColor="text1"/>
        </w:rPr>
        <w:t>Patient satisfaction, as an outcome variable, is critical for evaluating healthcare quality and predicting future use. Satisfaction influences trust, loyalty, and willingness to comply with treatment regimens (Naidu, 2009; Khan et al., 2021). In malaria care, satisfaction is not only tied to clinical recovery but also to patient experiences with service delivery, including responsiveness, empathy, and communication. However, the relationship between treatment adherence, service innovation, and satisfaction remains underexplored, specifically in LMICs. Previous studies often examine these elements in isolation, for example, the effect of adherence on clinical outcomes or the role of service quality on satisfaction, without considering the mediating function of service innovation.</w:t>
      </w:r>
    </w:p>
    <w:p w14:paraId="21C6D02D" w14:textId="77777777" w:rsidR="00097749" w:rsidRPr="00097749" w:rsidRDefault="00097749" w:rsidP="00097749">
      <w:pPr>
        <w:pStyle w:val="BodyText"/>
        <w:rPr>
          <w:color w:val="000000" w:themeColor="text1"/>
        </w:rPr>
      </w:pPr>
      <w:r w:rsidRPr="00097749">
        <w:rPr>
          <w:color w:val="000000" w:themeColor="text1"/>
        </w:rPr>
        <w:t xml:space="preserve">By integrating service innovation into Andersen Behavioral Model, this study provides a novel perspective on how treatment adherence behaviors translate into patient satisfaction in malaria care. Specifically, it examined how predisposing, enabling, and reinforcing factors of adherence influence satisfaction directly and indirectly through service innovation. This study was conducted in </w:t>
      </w:r>
      <w:proofErr w:type="spellStart"/>
      <w:r w:rsidRPr="00097749">
        <w:rPr>
          <w:color w:val="000000" w:themeColor="text1"/>
        </w:rPr>
        <w:t>Mimika</w:t>
      </w:r>
      <w:proofErr w:type="spellEnd"/>
      <w:r w:rsidRPr="00097749">
        <w:rPr>
          <w:color w:val="000000" w:themeColor="text1"/>
        </w:rPr>
        <w:t xml:space="preserve"> District, Papua, one of the most malaria-endemic areas in Indonesia, providing both theoretical and practical contributions.</w:t>
      </w:r>
    </w:p>
    <w:p w14:paraId="632D1168" w14:textId="77777777" w:rsidR="00097749" w:rsidRPr="00097749" w:rsidRDefault="00097749" w:rsidP="00097749">
      <w:pPr>
        <w:pStyle w:val="BodyText"/>
        <w:rPr>
          <w:color w:val="000000" w:themeColor="text1"/>
        </w:rPr>
      </w:pPr>
      <w:r w:rsidRPr="00097749">
        <w:rPr>
          <w:color w:val="000000" w:themeColor="text1"/>
        </w:rPr>
        <w:t>From a theoretical standpoint, this study extends Andersen model by introducing service innovation as a mediating construct, thereby advancing the understanding of healthcare use in resource-limited settings. From a practical perspective, the results offer evidence-based guidance for policymakers and healthcare managers to design patient-centered innovation that addresses adherence challenges and improves satisfaction. Consequently, this study supports Indonesia broader objective of malaria elimination by 2030 and contributes to global discussions on strengthening healthcare delivery in endemic regions.</w:t>
      </w:r>
    </w:p>
    <w:p w14:paraId="5301B26C" w14:textId="77777777" w:rsidR="00097749" w:rsidRPr="00097749" w:rsidRDefault="00097749" w:rsidP="00097749">
      <w:pPr>
        <w:pStyle w:val="BodyText"/>
        <w:jc w:val="center"/>
        <w:rPr>
          <w:color w:val="000000" w:themeColor="text1"/>
          <w:lang w:val="en-ID" w:eastAsia="en-ID"/>
        </w:rPr>
      </w:pPr>
      <w:r w:rsidRPr="00097749">
        <w:rPr>
          <w:color w:val="000000" w:themeColor="text1"/>
          <w:lang w:val="en-ID" w:eastAsia="en-ID"/>
        </w:rPr>
        <w:t>Table 1. Summary of Previous Studies on Treatment Adherence, Service Innovation, and Patient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0"/>
        <w:gridCol w:w="1455"/>
        <w:gridCol w:w="1821"/>
        <w:gridCol w:w="1665"/>
        <w:gridCol w:w="1837"/>
      </w:tblGrid>
      <w:tr w:rsidR="00097749" w:rsidRPr="00097749" w14:paraId="48FA9D81" w14:textId="77777777" w:rsidTr="007B535D">
        <w:trPr>
          <w:tblHeader/>
          <w:tblCellSpacing w:w="15" w:type="dxa"/>
        </w:trPr>
        <w:tc>
          <w:tcPr>
            <w:tcW w:w="0" w:type="auto"/>
            <w:tcBorders>
              <w:top w:val="single" w:sz="4" w:space="0" w:color="auto"/>
              <w:bottom w:val="single" w:sz="4" w:space="0" w:color="auto"/>
            </w:tcBorders>
            <w:vAlign w:val="center"/>
            <w:hideMark/>
          </w:tcPr>
          <w:p w14:paraId="0326CBC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Author(s), Year</w:t>
            </w:r>
          </w:p>
        </w:tc>
        <w:tc>
          <w:tcPr>
            <w:tcW w:w="0" w:type="auto"/>
            <w:tcBorders>
              <w:top w:val="single" w:sz="4" w:space="0" w:color="auto"/>
              <w:bottom w:val="single" w:sz="4" w:space="0" w:color="auto"/>
            </w:tcBorders>
            <w:vAlign w:val="center"/>
            <w:hideMark/>
          </w:tcPr>
          <w:p w14:paraId="026546E7"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Context &amp; Sample</w:t>
            </w:r>
          </w:p>
        </w:tc>
        <w:tc>
          <w:tcPr>
            <w:tcW w:w="0" w:type="auto"/>
            <w:tcBorders>
              <w:top w:val="single" w:sz="4" w:space="0" w:color="auto"/>
              <w:bottom w:val="single" w:sz="4" w:space="0" w:color="auto"/>
            </w:tcBorders>
            <w:vAlign w:val="center"/>
            <w:hideMark/>
          </w:tcPr>
          <w:p w14:paraId="025DADB8"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Focus Variables</w:t>
            </w:r>
          </w:p>
        </w:tc>
        <w:tc>
          <w:tcPr>
            <w:tcW w:w="0" w:type="auto"/>
            <w:tcBorders>
              <w:top w:val="single" w:sz="4" w:space="0" w:color="auto"/>
              <w:bottom w:val="single" w:sz="4" w:space="0" w:color="auto"/>
            </w:tcBorders>
            <w:vAlign w:val="center"/>
            <w:hideMark/>
          </w:tcPr>
          <w:p w14:paraId="5EDE0CE2" w14:textId="77777777" w:rsidR="00097749" w:rsidRPr="00097749" w:rsidRDefault="00097749" w:rsidP="007B535D">
            <w:pPr>
              <w:jc w:val="center"/>
              <w:rPr>
                <w:color w:val="000000" w:themeColor="text1"/>
                <w:szCs w:val="24"/>
                <w:lang w:val="id-ID" w:eastAsia="en-ID"/>
              </w:rPr>
            </w:pPr>
            <w:r w:rsidRPr="00097749">
              <w:rPr>
                <w:color w:val="000000" w:themeColor="text1"/>
                <w:szCs w:val="24"/>
                <w:lang w:val="en-ID" w:eastAsia="en-ID"/>
              </w:rPr>
              <w:t xml:space="preserve">Key </w:t>
            </w:r>
            <w:r w:rsidRPr="00097749">
              <w:rPr>
                <w:color w:val="000000" w:themeColor="text1"/>
                <w:szCs w:val="24"/>
                <w:lang w:val="id-ID" w:eastAsia="en-ID"/>
              </w:rPr>
              <w:t>Results</w:t>
            </w:r>
          </w:p>
        </w:tc>
        <w:tc>
          <w:tcPr>
            <w:tcW w:w="0" w:type="auto"/>
            <w:tcBorders>
              <w:top w:val="single" w:sz="4" w:space="0" w:color="auto"/>
              <w:bottom w:val="single" w:sz="4" w:space="0" w:color="auto"/>
            </w:tcBorders>
            <w:vAlign w:val="center"/>
            <w:hideMark/>
          </w:tcPr>
          <w:p w14:paraId="07A1104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Relevance to Present Study</w:t>
            </w:r>
          </w:p>
        </w:tc>
      </w:tr>
      <w:tr w:rsidR="00097749" w:rsidRPr="00097749" w14:paraId="1CEA61B8" w14:textId="77777777" w:rsidTr="007B535D">
        <w:trPr>
          <w:tblCellSpacing w:w="15" w:type="dxa"/>
        </w:trPr>
        <w:tc>
          <w:tcPr>
            <w:tcW w:w="0" w:type="auto"/>
            <w:vAlign w:val="center"/>
            <w:hideMark/>
          </w:tcPr>
          <w:p w14:paraId="517947A9"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Poespoprodjo</w:t>
            </w:r>
            <w:proofErr w:type="spellEnd"/>
            <w:r w:rsidRPr="00097749">
              <w:rPr>
                <w:b/>
                <w:bCs/>
                <w:color w:val="000000" w:themeColor="text1"/>
                <w:szCs w:val="24"/>
                <w:lang w:val="en-ID" w:eastAsia="en-ID"/>
              </w:rPr>
              <w:t xml:space="preserve"> et al., 2022</w:t>
            </w:r>
          </w:p>
        </w:tc>
        <w:tc>
          <w:tcPr>
            <w:tcW w:w="0" w:type="auto"/>
            <w:vAlign w:val="center"/>
            <w:hideMark/>
          </w:tcPr>
          <w:p w14:paraId="34BF0A8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Papua, Indonesia; cluster RCT</w:t>
            </w:r>
          </w:p>
        </w:tc>
        <w:tc>
          <w:tcPr>
            <w:tcW w:w="0" w:type="auto"/>
            <w:vAlign w:val="center"/>
            <w:hideMark/>
          </w:tcPr>
          <w:p w14:paraId="200347E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Supervised vs. unsupervised primaquine treatment</w:t>
            </w:r>
          </w:p>
        </w:tc>
        <w:tc>
          <w:tcPr>
            <w:tcW w:w="0" w:type="auto"/>
            <w:vAlign w:val="center"/>
            <w:hideMark/>
          </w:tcPr>
          <w:p w14:paraId="38EAAD4E"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Supervised treatment reduced relapse rates significantly</w:t>
            </w:r>
          </w:p>
        </w:tc>
        <w:tc>
          <w:tcPr>
            <w:tcW w:w="0" w:type="auto"/>
            <w:vAlign w:val="center"/>
            <w:hideMark/>
          </w:tcPr>
          <w:p w14:paraId="1E07664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Shows the importance of reinforcing factors (provider supervision) in adherence &amp; satisfaction</w:t>
            </w:r>
          </w:p>
        </w:tc>
      </w:tr>
      <w:tr w:rsidR="00097749" w:rsidRPr="00097749" w14:paraId="6928E4F1" w14:textId="77777777" w:rsidTr="007B535D">
        <w:trPr>
          <w:tblCellSpacing w:w="15" w:type="dxa"/>
        </w:trPr>
        <w:tc>
          <w:tcPr>
            <w:tcW w:w="0" w:type="auto"/>
            <w:vAlign w:val="center"/>
            <w:hideMark/>
          </w:tcPr>
          <w:p w14:paraId="66B399B9"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Rumimpunu</w:t>
            </w:r>
            <w:proofErr w:type="spellEnd"/>
            <w:r w:rsidRPr="00097749">
              <w:rPr>
                <w:b/>
                <w:bCs/>
                <w:color w:val="000000" w:themeColor="text1"/>
                <w:szCs w:val="24"/>
                <w:lang w:val="en-ID" w:eastAsia="en-ID"/>
              </w:rPr>
              <w:t xml:space="preserve"> et al., 2020</w:t>
            </w:r>
          </w:p>
        </w:tc>
        <w:tc>
          <w:tcPr>
            <w:tcW w:w="0" w:type="auto"/>
            <w:vAlign w:val="center"/>
            <w:hideMark/>
          </w:tcPr>
          <w:p w14:paraId="131D2BC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Tuberculosis patient, North Sulawesi</w:t>
            </w:r>
          </w:p>
        </w:tc>
        <w:tc>
          <w:tcPr>
            <w:tcW w:w="0" w:type="auto"/>
            <w:vAlign w:val="center"/>
            <w:hideMark/>
          </w:tcPr>
          <w:p w14:paraId="6125DF9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Family support, health worker encouragement</w:t>
            </w:r>
          </w:p>
        </w:tc>
        <w:tc>
          <w:tcPr>
            <w:tcW w:w="0" w:type="auto"/>
            <w:vAlign w:val="center"/>
            <w:hideMark/>
          </w:tcPr>
          <w:p w14:paraId="04FE88D5"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Family and provider support improved adherence</w:t>
            </w:r>
          </w:p>
        </w:tc>
        <w:tc>
          <w:tcPr>
            <w:tcW w:w="0" w:type="auto"/>
            <w:vAlign w:val="center"/>
            <w:hideMark/>
          </w:tcPr>
          <w:p w14:paraId="33D40DF9"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factors critical; parallels malaria adherence context</w:t>
            </w:r>
          </w:p>
        </w:tc>
      </w:tr>
      <w:tr w:rsidR="00097749" w:rsidRPr="00097749" w14:paraId="63C37E10" w14:textId="77777777" w:rsidTr="007B535D">
        <w:trPr>
          <w:tblCellSpacing w:w="15" w:type="dxa"/>
        </w:trPr>
        <w:tc>
          <w:tcPr>
            <w:tcW w:w="0" w:type="auto"/>
            <w:vAlign w:val="center"/>
            <w:hideMark/>
          </w:tcPr>
          <w:p w14:paraId="60E3E96F"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Psihogios</w:t>
            </w:r>
            <w:proofErr w:type="spellEnd"/>
            <w:r w:rsidRPr="00097749">
              <w:rPr>
                <w:b/>
                <w:bCs/>
                <w:color w:val="000000" w:themeColor="text1"/>
                <w:szCs w:val="24"/>
                <w:lang w:val="en-ID" w:eastAsia="en-ID"/>
              </w:rPr>
              <w:t xml:space="preserve"> et </w:t>
            </w:r>
            <w:r w:rsidRPr="00097749">
              <w:rPr>
                <w:b/>
                <w:bCs/>
                <w:color w:val="000000" w:themeColor="text1"/>
                <w:szCs w:val="24"/>
                <w:lang w:val="en-ID" w:eastAsia="en-ID"/>
              </w:rPr>
              <w:lastRenderedPageBreak/>
              <w:t>al., 2019</w:t>
            </w:r>
          </w:p>
        </w:tc>
        <w:tc>
          <w:tcPr>
            <w:tcW w:w="0" w:type="auto"/>
            <w:vAlign w:val="center"/>
            <w:hideMark/>
          </w:tcPr>
          <w:p w14:paraId="227F392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 xml:space="preserve">Meta-analysis; </w:t>
            </w:r>
            <w:r w:rsidRPr="00097749">
              <w:rPr>
                <w:color w:val="000000" w:themeColor="text1"/>
                <w:szCs w:val="24"/>
                <w:lang w:val="en-ID" w:eastAsia="en-ID"/>
              </w:rPr>
              <w:lastRenderedPageBreak/>
              <w:t>chronic conditions in children</w:t>
            </w:r>
          </w:p>
        </w:tc>
        <w:tc>
          <w:tcPr>
            <w:tcW w:w="0" w:type="auto"/>
            <w:vAlign w:val="center"/>
            <w:hideMark/>
          </w:tcPr>
          <w:p w14:paraId="05BFF08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 xml:space="preserve">Family functioning </w:t>
            </w:r>
            <w:r w:rsidRPr="00097749">
              <w:rPr>
                <w:color w:val="000000" w:themeColor="text1"/>
                <w:szCs w:val="24"/>
                <w:lang w:val="en-ID" w:eastAsia="en-ID"/>
              </w:rPr>
              <w:lastRenderedPageBreak/>
              <w:t>and adherence</w:t>
            </w:r>
          </w:p>
        </w:tc>
        <w:tc>
          <w:tcPr>
            <w:tcW w:w="0" w:type="auto"/>
            <w:vAlign w:val="center"/>
            <w:hideMark/>
          </w:tcPr>
          <w:p w14:paraId="2F7BF5D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 xml:space="preserve">Strong family </w:t>
            </w:r>
            <w:r w:rsidRPr="00097749">
              <w:rPr>
                <w:color w:val="000000" w:themeColor="text1"/>
                <w:szCs w:val="24"/>
                <w:lang w:val="en-ID" w:eastAsia="en-ID"/>
              </w:rPr>
              <w:lastRenderedPageBreak/>
              <w:t>functioning improved adherence</w:t>
            </w:r>
          </w:p>
        </w:tc>
        <w:tc>
          <w:tcPr>
            <w:tcW w:w="0" w:type="auto"/>
            <w:vAlign w:val="center"/>
            <w:hideMark/>
          </w:tcPr>
          <w:p w14:paraId="4193F24E"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 xml:space="preserve">Supports inclusion </w:t>
            </w:r>
            <w:r w:rsidRPr="00097749">
              <w:rPr>
                <w:color w:val="000000" w:themeColor="text1"/>
                <w:szCs w:val="24"/>
                <w:lang w:val="en-ID" w:eastAsia="en-ID"/>
              </w:rPr>
              <w:lastRenderedPageBreak/>
              <w:t>of reinforcing factors in Andersen model</w:t>
            </w:r>
          </w:p>
        </w:tc>
      </w:tr>
      <w:tr w:rsidR="00097749" w:rsidRPr="00097749" w14:paraId="6662052D" w14:textId="77777777" w:rsidTr="007B535D">
        <w:trPr>
          <w:tblCellSpacing w:w="15" w:type="dxa"/>
        </w:trPr>
        <w:tc>
          <w:tcPr>
            <w:tcW w:w="0" w:type="auto"/>
            <w:vAlign w:val="center"/>
            <w:hideMark/>
          </w:tcPr>
          <w:p w14:paraId="5DC822F2"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lastRenderedPageBreak/>
              <w:t>Liony</w:t>
            </w:r>
            <w:proofErr w:type="spellEnd"/>
            <w:r w:rsidRPr="00097749">
              <w:rPr>
                <w:b/>
                <w:bCs/>
                <w:color w:val="000000" w:themeColor="text1"/>
                <w:szCs w:val="24"/>
                <w:lang w:val="en-ID" w:eastAsia="en-ID"/>
              </w:rPr>
              <w:t>, 2023</w:t>
            </w:r>
          </w:p>
        </w:tc>
        <w:tc>
          <w:tcPr>
            <w:tcW w:w="0" w:type="auto"/>
            <w:vAlign w:val="center"/>
            <w:hideMark/>
          </w:tcPr>
          <w:p w14:paraId="61F196C6"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Malaria Corner, Timika</w:t>
            </w:r>
          </w:p>
        </w:tc>
        <w:tc>
          <w:tcPr>
            <w:tcW w:w="0" w:type="auto"/>
            <w:vAlign w:val="center"/>
            <w:hideMark/>
          </w:tcPr>
          <w:p w14:paraId="0C32033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(safe &amp; supervised primaquine treatment)</w:t>
            </w:r>
          </w:p>
        </w:tc>
        <w:tc>
          <w:tcPr>
            <w:tcW w:w="0" w:type="auto"/>
            <w:vAlign w:val="center"/>
            <w:hideMark/>
          </w:tcPr>
          <w:p w14:paraId="75B34F2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Innovation improved adherence and patient trust</w:t>
            </w:r>
          </w:p>
        </w:tc>
        <w:tc>
          <w:tcPr>
            <w:tcW w:w="0" w:type="auto"/>
            <w:vAlign w:val="center"/>
            <w:hideMark/>
          </w:tcPr>
          <w:p w14:paraId="7AF00E50" w14:textId="77777777" w:rsidR="00097749" w:rsidRPr="00097749" w:rsidRDefault="00097749" w:rsidP="007B535D">
            <w:pPr>
              <w:rPr>
                <w:color w:val="000000" w:themeColor="text1"/>
                <w:szCs w:val="24"/>
                <w:lang w:val="en-ID" w:eastAsia="en-ID"/>
              </w:rPr>
            </w:pPr>
            <w:r w:rsidRPr="00097749">
              <w:rPr>
                <w:color w:val="000000" w:themeColor="text1"/>
                <w:szCs w:val="24"/>
                <w:lang w:val="id-ID" w:eastAsia="en-ID"/>
              </w:rPr>
              <w:t>Shows</w:t>
            </w:r>
            <w:r w:rsidRPr="00097749">
              <w:rPr>
                <w:color w:val="000000" w:themeColor="text1"/>
                <w:szCs w:val="24"/>
                <w:lang w:val="en-ID" w:eastAsia="en-ID"/>
              </w:rPr>
              <w:t xml:space="preserve"> mediating role of service innovation in malaria programs</w:t>
            </w:r>
          </w:p>
        </w:tc>
      </w:tr>
      <w:tr w:rsidR="00097749" w:rsidRPr="00097749" w14:paraId="728B4FC0" w14:textId="77777777" w:rsidTr="007B535D">
        <w:trPr>
          <w:tblCellSpacing w:w="15" w:type="dxa"/>
        </w:trPr>
        <w:tc>
          <w:tcPr>
            <w:tcW w:w="0" w:type="auto"/>
            <w:vAlign w:val="center"/>
            <w:hideMark/>
          </w:tcPr>
          <w:p w14:paraId="596D81C3"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Islam, 2021</w:t>
            </w:r>
          </w:p>
        </w:tc>
        <w:tc>
          <w:tcPr>
            <w:tcW w:w="0" w:type="auto"/>
            <w:vAlign w:val="center"/>
            <w:hideMark/>
          </w:tcPr>
          <w:p w14:paraId="5917FDB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Global primary healthcare</w:t>
            </w:r>
          </w:p>
        </w:tc>
        <w:tc>
          <w:tcPr>
            <w:tcW w:w="0" w:type="auto"/>
            <w:vAlign w:val="center"/>
            <w:hideMark/>
          </w:tcPr>
          <w:p w14:paraId="086C3FB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&amp; delivery</w:t>
            </w:r>
          </w:p>
        </w:tc>
        <w:tc>
          <w:tcPr>
            <w:tcW w:w="0" w:type="auto"/>
            <w:vAlign w:val="center"/>
            <w:hideMark/>
          </w:tcPr>
          <w:p w14:paraId="3BD48C0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Innovation enhances efficiency and patient-centeredness</w:t>
            </w:r>
          </w:p>
        </w:tc>
        <w:tc>
          <w:tcPr>
            <w:tcW w:w="0" w:type="auto"/>
            <w:vAlign w:val="center"/>
            <w:hideMark/>
          </w:tcPr>
          <w:p w14:paraId="640D6FE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Theoretical foundation for introducing service innovation into Andersen model</w:t>
            </w:r>
          </w:p>
        </w:tc>
      </w:tr>
      <w:tr w:rsidR="00097749" w:rsidRPr="00097749" w14:paraId="7A699EB8" w14:textId="77777777" w:rsidTr="007B535D">
        <w:trPr>
          <w:tblCellSpacing w:w="15" w:type="dxa"/>
        </w:trPr>
        <w:tc>
          <w:tcPr>
            <w:tcW w:w="0" w:type="auto"/>
            <w:vAlign w:val="center"/>
            <w:hideMark/>
          </w:tcPr>
          <w:p w14:paraId="657F8098"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Janssen et al., 2021</w:t>
            </w:r>
          </w:p>
        </w:tc>
        <w:tc>
          <w:tcPr>
            <w:tcW w:w="0" w:type="auto"/>
            <w:vAlign w:val="center"/>
            <w:hideMark/>
          </w:tcPr>
          <w:p w14:paraId="67752D3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Systematic review; healthcare systems</w:t>
            </w:r>
          </w:p>
        </w:tc>
        <w:tc>
          <w:tcPr>
            <w:tcW w:w="0" w:type="auto"/>
            <w:vAlign w:val="center"/>
            <w:hideMark/>
          </w:tcPr>
          <w:p w14:paraId="1553B92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outcomes</w:t>
            </w:r>
          </w:p>
        </w:tc>
        <w:tc>
          <w:tcPr>
            <w:tcW w:w="0" w:type="auto"/>
            <w:vAlign w:val="center"/>
            <w:hideMark/>
          </w:tcPr>
          <w:p w14:paraId="47F396F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linked to quality improvement &amp; satisfaction</w:t>
            </w:r>
          </w:p>
        </w:tc>
        <w:tc>
          <w:tcPr>
            <w:tcW w:w="0" w:type="auto"/>
            <w:vAlign w:val="center"/>
            <w:hideMark/>
          </w:tcPr>
          <w:p w14:paraId="66F259B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Provides evidence that innovation mediates quality–satisfaction link</w:t>
            </w:r>
          </w:p>
        </w:tc>
      </w:tr>
      <w:tr w:rsidR="00097749" w:rsidRPr="00097749" w14:paraId="7F023DC3" w14:textId="77777777" w:rsidTr="007B535D">
        <w:trPr>
          <w:tblCellSpacing w:w="15" w:type="dxa"/>
        </w:trPr>
        <w:tc>
          <w:tcPr>
            <w:tcW w:w="0" w:type="auto"/>
            <w:vAlign w:val="center"/>
            <w:hideMark/>
          </w:tcPr>
          <w:p w14:paraId="40FAEABC"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Li et al., 2023</w:t>
            </w:r>
          </w:p>
        </w:tc>
        <w:tc>
          <w:tcPr>
            <w:tcW w:w="0" w:type="auto"/>
            <w:vAlign w:val="center"/>
            <w:hideMark/>
          </w:tcPr>
          <w:p w14:paraId="750C0BB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China; digital health platforms</w:t>
            </w:r>
          </w:p>
        </w:tc>
        <w:tc>
          <w:tcPr>
            <w:tcW w:w="0" w:type="auto"/>
            <w:vAlign w:val="center"/>
            <w:hideMark/>
          </w:tcPr>
          <w:p w14:paraId="6A2AF22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Digital innovation, patient satisfaction</w:t>
            </w:r>
          </w:p>
        </w:tc>
        <w:tc>
          <w:tcPr>
            <w:tcW w:w="0" w:type="auto"/>
            <w:vAlign w:val="center"/>
            <w:hideMark/>
          </w:tcPr>
          <w:p w14:paraId="0C99A24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Digital tools improve satisfaction and trust</w:t>
            </w:r>
          </w:p>
        </w:tc>
        <w:tc>
          <w:tcPr>
            <w:tcW w:w="0" w:type="auto"/>
            <w:vAlign w:val="center"/>
            <w:hideMark/>
          </w:tcPr>
          <w:p w14:paraId="7CF285C1"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Supports role of innovation in LMIC contexts</w:t>
            </w:r>
          </w:p>
        </w:tc>
      </w:tr>
      <w:tr w:rsidR="00097749" w:rsidRPr="00097749" w14:paraId="7D75705B" w14:textId="77777777" w:rsidTr="007B535D">
        <w:trPr>
          <w:tblCellSpacing w:w="15" w:type="dxa"/>
        </w:trPr>
        <w:tc>
          <w:tcPr>
            <w:tcW w:w="0" w:type="auto"/>
            <w:vAlign w:val="center"/>
            <w:hideMark/>
          </w:tcPr>
          <w:p w14:paraId="14085D66"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Dumalanede</w:t>
            </w:r>
            <w:proofErr w:type="spellEnd"/>
            <w:r w:rsidRPr="00097749">
              <w:rPr>
                <w:b/>
                <w:bCs/>
                <w:color w:val="000000" w:themeColor="text1"/>
                <w:szCs w:val="24"/>
                <w:lang w:val="en-ID" w:eastAsia="en-ID"/>
              </w:rPr>
              <w:t xml:space="preserve"> et al., 2020</w:t>
            </w:r>
          </w:p>
        </w:tc>
        <w:tc>
          <w:tcPr>
            <w:tcW w:w="0" w:type="auto"/>
            <w:vAlign w:val="center"/>
            <w:hideMark/>
          </w:tcPr>
          <w:p w14:paraId="1FF3D9C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Brazil; healthcare access at base of pyramid</w:t>
            </w:r>
          </w:p>
        </w:tc>
        <w:tc>
          <w:tcPr>
            <w:tcW w:w="0" w:type="auto"/>
            <w:vAlign w:val="center"/>
            <w:hideMark/>
          </w:tcPr>
          <w:p w14:paraId="68F5E12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Role of organizations in service access</w:t>
            </w:r>
          </w:p>
        </w:tc>
        <w:tc>
          <w:tcPr>
            <w:tcW w:w="0" w:type="auto"/>
            <w:vAlign w:val="center"/>
            <w:hideMark/>
          </w:tcPr>
          <w:p w14:paraId="3BCBBB2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Non-profit and innovative strategies improved access</w:t>
            </w:r>
          </w:p>
        </w:tc>
        <w:tc>
          <w:tcPr>
            <w:tcW w:w="0" w:type="auto"/>
            <w:vAlign w:val="center"/>
            <w:hideMark/>
          </w:tcPr>
          <w:p w14:paraId="11D6EE0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 xml:space="preserve">Relevant for </w:t>
            </w:r>
            <w:proofErr w:type="spellStart"/>
            <w:r w:rsidRPr="00097749">
              <w:rPr>
                <w:color w:val="000000" w:themeColor="text1"/>
                <w:szCs w:val="24"/>
                <w:lang w:val="en-ID" w:eastAsia="en-ID"/>
              </w:rPr>
              <w:t>Mimika</w:t>
            </w:r>
            <w:proofErr w:type="spellEnd"/>
            <w:r w:rsidRPr="00097749">
              <w:rPr>
                <w:color w:val="000000" w:themeColor="text1"/>
                <w:szCs w:val="24"/>
                <w:lang w:val="en-ID" w:eastAsia="en-ID"/>
              </w:rPr>
              <w:t>, where access alone insufficient without innovation</w:t>
            </w:r>
          </w:p>
        </w:tc>
      </w:tr>
      <w:tr w:rsidR="00097749" w:rsidRPr="00097749" w14:paraId="35074747" w14:textId="77777777" w:rsidTr="007B535D">
        <w:trPr>
          <w:tblCellSpacing w:w="15" w:type="dxa"/>
        </w:trPr>
        <w:tc>
          <w:tcPr>
            <w:tcW w:w="0" w:type="auto"/>
            <w:vAlign w:val="center"/>
            <w:hideMark/>
          </w:tcPr>
          <w:p w14:paraId="1D6444A7"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Erwinsyah</w:t>
            </w:r>
            <w:proofErr w:type="spellEnd"/>
            <w:r w:rsidRPr="00097749">
              <w:rPr>
                <w:b/>
                <w:bCs/>
                <w:color w:val="000000" w:themeColor="text1"/>
                <w:szCs w:val="24"/>
                <w:lang w:val="en-ID" w:eastAsia="en-ID"/>
              </w:rPr>
              <w:t xml:space="preserve"> et al., 2023</w:t>
            </w:r>
          </w:p>
        </w:tc>
        <w:tc>
          <w:tcPr>
            <w:tcW w:w="0" w:type="auto"/>
            <w:vAlign w:val="center"/>
            <w:hideMark/>
          </w:tcPr>
          <w:p w14:paraId="2AAA7C3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TB patient, Jambi, Indonesia</w:t>
            </w:r>
          </w:p>
        </w:tc>
        <w:tc>
          <w:tcPr>
            <w:tcW w:w="0" w:type="auto"/>
            <w:vAlign w:val="center"/>
            <w:hideMark/>
          </w:tcPr>
          <w:p w14:paraId="696CBAC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Health education, treatment supervision</w:t>
            </w:r>
          </w:p>
        </w:tc>
        <w:tc>
          <w:tcPr>
            <w:tcW w:w="0" w:type="auto"/>
            <w:vAlign w:val="center"/>
            <w:hideMark/>
          </w:tcPr>
          <w:p w14:paraId="0B471C5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Education improved adherence &amp; family awareness</w:t>
            </w:r>
          </w:p>
        </w:tc>
        <w:tc>
          <w:tcPr>
            <w:tcW w:w="0" w:type="auto"/>
            <w:vAlign w:val="center"/>
            <w:hideMark/>
          </w:tcPr>
          <w:p w14:paraId="42183071"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Emphasizes enabling &amp; reinforcing factors in adherence</w:t>
            </w:r>
          </w:p>
        </w:tc>
      </w:tr>
      <w:tr w:rsidR="00097749" w:rsidRPr="00097749" w14:paraId="4911445F" w14:textId="77777777" w:rsidTr="007B535D">
        <w:trPr>
          <w:tblCellSpacing w:w="15" w:type="dxa"/>
        </w:trPr>
        <w:tc>
          <w:tcPr>
            <w:tcW w:w="0" w:type="auto"/>
            <w:tcBorders>
              <w:bottom w:val="single" w:sz="4" w:space="0" w:color="auto"/>
            </w:tcBorders>
            <w:vAlign w:val="center"/>
            <w:hideMark/>
          </w:tcPr>
          <w:p w14:paraId="73463BAB"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Al Omari &amp; Hamid, 2022</w:t>
            </w:r>
          </w:p>
        </w:tc>
        <w:tc>
          <w:tcPr>
            <w:tcW w:w="0" w:type="auto"/>
            <w:tcBorders>
              <w:bottom w:val="single" w:sz="4" w:space="0" w:color="auto"/>
            </w:tcBorders>
            <w:vAlign w:val="center"/>
            <w:hideMark/>
          </w:tcPr>
          <w:p w14:paraId="686BF6E5"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Review, LMIC healthcare</w:t>
            </w:r>
          </w:p>
        </w:tc>
        <w:tc>
          <w:tcPr>
            <w:tcW w:w="0" w:type="auto"/>
            <w:tcBorders>
              <w:bottom w:val="single" w:sz="4" w:space="0" w:color="auto"/>
            </w:tcBorders>
            <w:vAlign w:val="center"/>
            <w:hideMark/>
          </w:tcPr>
          <w:p w14:paraId="10EB9F1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Patient satisfaction determinants</w:t>
            </w:r>
          </w:p>
        </w:tc>
        <w:tc>
          <w:tcPr>
            <w:tcW w:w="0" w:type="auto"/>
            <w:tcBorders>
              <w:bottom w:val="single" w:sz="4" w:space="0" w:color="auto"/>
            </w:tcBorders>
            <w:vAlign w:val="center"/>
            <w:hideMark/>
          </w:tcPr>
          <w:p w14:paraId="3A41E38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Satisfaction influenced by adherence &amp; service quality</w:t>
            </w:r>
          </w:p>
        </w:tc>
        <w:tc>
          <w:tcPr>
            <w:tcW w:w="0" w:type="auto"/>
            <w:tcBorders>
              <w:bottom w:val="single" w:sz="4" w:space="0" w:color="auto"/>
            </w:tcBorders>
            <w:vAlign w:val="center"/>
            <w:hideMark/>
          </w:tcPr>
          <w:p w14:paraId="0CC3A80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Justifies linking adherence with satisfaction in malaria care</w:t>
            </w:r>
          </w:p>
        </w:tc>
      </w:tr>
    </w:tbl>
    <w:p w14:paraId="3678BCB7" w14:textId="77777777" w:rsidR="00097749" w:rsidRPr="00097749" w:rsidRDefault="00097749" w:rsidP="00097749">
      <w:pPr>
        <w:pStyle w:val="BodyText"/>
        <w:rPr>
          <w:color w:val="000000" w:themeColor="text1"/>
        </w:rPr>
      </w:pPr>
    </w:p>
    <w:p w14:paraId="50EC87E7" w14:textId="77777777" w:rsidR="00097749" w:rsidRPr="00097749" w:rsidRDefault="00097749" w:rsidP="00097749">
      <w:pPr>
        <w:pStyle w:val="BodyText"/>
        <w:rPr>
          <w:color w:val="000000" w:themeColor="text1"/>
        </w:rPr>
      </w:pPr>
      <w:r w:rsidRPr="00097749">
        <w:rPr>
          <w:color w:val="000000" w:themeColor="text1"/>
        </w:rPr>
        <w:t>As shown in Table 1, previous studies have separately examined treatment adherence, service innovation, and patient satisfaction across various contexts. However, limited studies have integrated these dimensions into a unified theoretical model, particularly in malaria-endemic regions of Indonesia. This study addressed the gap by incorporating service innovation as a mediating construct within Andersen Behavioral Model, thereby contributing both to theory development and practical strategies for malaria elimination in Papua.</w:t>
      </w:r>
    </w:p>
    <w:p w14:paraId="1D269771" w14:textId="77777777" w:rsidR="00097749" w:rsidRPr="00097749" w:rsidRDefault="00097749" w:rsidP="00441B6F">
      <w:pPr>
        <w:pStyle w:val="Body"/>
        <w:spacing w:after="0"/>
        <w:rPr>
          <w:rFonts w:ascii="Arial" w:hAnsi="Arial" w:cs="Arial"/>
          <w:color w:val="000000" w:themeColor="text1"/>
        </w:rPr>
      </w:pPr>
    </w:p>
    <w:p w14:paraId="6C8C7A74" w14:textId="77777777" w:rsidR="00790ADA" w:rsidRPr="00097749" w:rsidRDefault="00790ADA" w:rsidP="00441B6F">
      <w:pPr>
        <w:pStyle w:val="Body"/>
        <w:spacing w:after="0"/>
        <w:rPr>
          <w:rFonts w:ascii="Arial" w:hAnsi="Arial" w:cs="Arial"/>
          <w:color w:val="000000" w:themeColor="text1"/>
        </w:rPr>
      </w:pPr>
    </w:p>
    <w:p w14:paraId="64429B04" w14:textId="0750FBB7" w:rsidR="007F7B32" w:rsidRPr="00097749" w:rsidRDefault="00902823" w:rsidP="00441B6F">
      <w:pPr>
        <w:pStyle w:val="AbstHead"/>
        <w:spacing w:after="0"/>
        <w:jc w:val="both"/>
        <w:rPr>
          <w:rFonts w:ascii="Arial" w:hAnsi="Arial" w:cs="Arial"/>
          <w:color w:val="000000" w:themeColor="text1"/>
        </w:rPr>
      </w:pPr>
      <w:r w:rsidRPr="00097749">
        <w:rPr>
          <w:rFonts w:ascii="Arial" w:hAnsi="Arial" w:cs="Arial"/>
          <w:color w:val="000000" w:themeColor="text1"/>
        </w:rPr>
        <w:t>2. material and method</w:t>
      </w:r>
      <w:r w:rsidR="00000F8F" w:rsidRPr="00097749">
        <w:rPr>
          <w:rFonts w:ascii="Arial" w:hAnsi="Arial" w:cs="Arial"/>
          <w:color w:val="000000" w:themeColor="text1"/>
        </w:rPr>
        <w:t xml:space="preserve">s </w:t>
      </w:r>
    </w:p>
    <w:p w14:paraId="6A41D16D" w14:textId="77777777" w:rsidR="00790ADA" w:rsidRPr="00097749" w:rsidRDefault="00790ADA" w:rsidP="00441B6F">
      <w:pPr>
        <w:pStyle w:val="AbstHead"/>
        <w:spacing w:after="0"/>
        <w:jc w:val="both"/>
        <w:rPr>
          <w:rFonts w:ascii="Arial" w:hAnsi="Arial" w:cs="Arial"/>
          <w:color w:val="000000" w:themeColor="text1"/>
        </w:rPr>
      </w:pPr>
    </w:p>
    <w:p w14:paraId="7A0C2ECA" w14:textId="77777777" w:rsidR="00097749" w:rsidRPr="00097749" w:rsidRDefault="00097749" w:rsidP="00097749">
      <w:pPr>
        <w:pStyle w:val="BodyText"/>
        <w:rPr>
          <w:b/>
          <w:bCs/>
          <w:color w:val="000000" w:themeColor="text1"/>
        </w:rPr>
      </w:pPr>
      <w:r w:rsidRPr="00097749">
        <w:rPr>
          <w:b/>
          <w:bCs/>
          <w:color w:val="000000" w:themeColor="text1"/>
        </w:rPr>
        <w:t>2.1 Treatment Adherence in Malaria Care</w:t>
      </w:r>
    </w:p>
    <w:p w14:paraId="406C06AD" w14:textId="77777777" w:rsidR="00097749" w:rsidRPr="00097749" w:rsidRDefault="00097749" w:rsidP="00097749">
      <w:pPr>
        <w:pStyle w:val="BodyText"/>
        <w:rPr>
          <w:color w:val="000000" w:themeColor="text1"/>
        </w:rPr>
      </w:pPr>
      <w:r w:rsidRPr="00097749">
        <w:rPr>
          <w:color w:val="000000" w:themeColor="text1"/>
        </w:rPr>
        <w:lastRenderedPageBreak/>
        <w:t>Treatment adherence refers to the extent to which patient follow prescribed regimens in terms of dosage, timing, and duration. In malaria management, adherence is particularly critical because incomplete or inconsistent use of antimalarial drugs increases the risk of relapse, transmission, and drug resistance. Globally, this concept remains a pressing challenge for malaria elimination programs. Studies in Africa and Southeast Asia have shown that patient frequently discontinue treatment prematurely, often after symptoms subside, undermining the effectiveness of treatment and increasing recurrence rates (WHO, 2023).</w:t>
      </w:r>
    </w:p>
    <w:p w14:paraId="0B48E81A" w14:textId="77777777" w:rsidR="00097749" w:rsidRPr="00097749" w:rsidRDefault="00097749" w:rsidP="00097749">
      <w:pPr>
        <w:pStyle w:val="BodyText"/>
        <w:rPr>
          <w:color w:val="000000" w:themeColor="text1"/>
        </w:rPr>
      </w:pPr>
      <w:r w:rsidRPr="00097749">
        <w:rPr>
          <w:color w:val="000000" w:themeColor="text1"/>
        </w:rPr>
        <w:t xml:space="preserve">In Indonesia, specifically Papua, adherence challenges are magnified by the burden of Plasmodium vivax infections, which require a 14-day course of primaquine to eliminate hypnozoites. Many </w:t>
      </w:r>
      <w:proofErr w:type="gramStart"/>
      <w:r w:rsidRPr="00097749">
        <w:rPr>
          <w:color w:val="000000" w:themeColor="text1"/>
        </w:rPr>
        <w:t>patient</w:t>
      </w:r>
      <w:proofErr w:type="gramEnd"/>
      <w:r w:rsidRPr="00097749">
        <w:rPr>
          <w:color w:val="000000" w:themeColor="text1"/>
        </w:rPr>
        <w:t xml:space="preserve"> stop treatment midway due to side effects such as nausea and dizziness or the perception of being cured (</w:t>
      </w:r>
      <w:proofErr w:type="spellStart"/>
      <w:r w:rsidRPr="00097749">
        <w:rPr>
          <w:color w:val="000000" w:themeColor="text1"/>
        </w:rPr>
        <w:t>Poespoprodjo</w:t>
      </w:r>
      <w:proofErr w:type="spellEnd"/>
      <w:r w:rsidRPr="00097749">
        <w:rPr>
          <w:color w:val="000000" w:themeColor="text1"/>
        </w:rPr>
        <w:t xml:space="preserve"> et al., 2022). This premature discontinuation drives relapse and consistent transmission. Mass Blood Surveys in </w:t>
      </w:r>
      <w:proofErr w:type="spellStart"/>
      <w:r w:rsidRPr="00097749">
        <w:rPr>
          <w:color w:val="000000" w:themeColor="text1"/>
        </w:rPr>
        <w:t>Mimika</w:t>
      </w:r>
      <w:proofErr w:type="spellEnd"/>
      <w:r w:rsidRPr="00097749">
        <w:rPr>
          <w:color w:val="000000" w:themeColor="text1"/>
        </w:rPr>
        <w:t xml:space="preserve"> (2022–2023) found that only about 10% of respondents completed treatment, while the majority either discontinued medication or failed to return for follow-up blood checks.</w:t>
      </w:r>
    </w:p>
    <w:p w14:paraId="06FCEB57" w14:textId="77777777" w:rsidR="00097749" w:rsidRPr="00097749" w:rsidRDefault="00097749" w:rsidP="00097749">
      <w:pPr>
        <w:pStyle w:val="BodyText"/>
        <w:rPr>
          <w:color w:val="000000" w:themeColor="text1"/>
        </w:rPr>
      </w:pPr>
      <w:r w:rsidRPr="00097749">
        <w:rPr>
          <w:color w:val="000000" w:themeColor="text1"/>
        </w:rPr>
        <w:t xml:space="preserve">Determinants of adherence are multifaceted. According to Green PRECEDE-PROCEED model (1991), adherence is shaped by predisposing (knowledge, attitudes, motivation), enabling (availability of resources, accessibility of healthcare), and reinforcing factors (social support and provider engagement). Empirical evidence across various chronic and infectious diseases confirms the importance of these factors. For example, </w:t>
      </w:r>
      <w:proofErr w:type="spellStart"/>
      <w:r w:rsidRPr="00097749">
        <w:rPr>
          <w:color w:val="000000" w:themeColor="text1"/>
        </w:rPr>
        <w:t>Rumimpunu</w:t>
      </w:r>
      <w:proofErr w:type="spellEnd"/>
      <w:r w:rsidRPr="00097749">
        <w:rPr>
          <w:color w:val="000000" w:themeColor="text1"/>
        </w:rPr>
        <w:t xml:space="preserve"> et al. (2020) found that family support was critical for adherence in tuberculosis patient in North Sulawesi, while </w:t>
      </w:r>
      <w:proofErr w:type="spellStart"/>
      <w:r w:rsidRPr="00097749">
        <w:rPr>
          <w:color w:val="000000" w:themeColor="text1"/>
        </w:rPr>
        <w:t>Psihogios</w:t>
      </w:r>
      <w:proofErr w:type="spellEnd"/>
      <w:r w:rsidRPr="00097749">
        <w:rPr>
          <w:color w:val="000000" w:themeColor="text1"/>
        </w:rPr>
        <w:t xml:space="preserve"> et al. (2019) emphasized the role of family functioning in pediatric chronic conditions. In malaria care, reinforcing factors such as direct supervision and provider support appear specifically influential, for example, </w:t>
      </w:r>
      <w:proofErr w:type="spellStart"/>
      <w:r w:rsidRPr="00097749">
        <w:rPr>
          <w:color w:val="000000" w:themeColor="text1"/>
        </w:rPr>
        <w:t>Poespoprodjo</w:t>
      </w:r>
      <w:proofErr w:type="spellEnd"/>
      <w:r w:rsidRPr="00097749">
        <w:rPr>
          <w:color w:val="000000" w:themeColor="text1"/>
        </w:rPr>
        <w:t xml:space="preserve"> et al. (2022) reported significantly reduced relapse rates with supervised treatment.</w:t>
      </w:r>
    </w:p>
    <w:p w14:paraId="2FDD1D6E" w14:textId="77777777" w:rsidR="00097749" w:rsidRPr="00097749" w:rsidRDefault="00097749" w:rsidP="00097749">
      <w:pPr>
        <w:pStyle w:val="BodyText"/>
        <w:rPr>
          <w:color w:val="000000" w:themeColor="text1"/>
        </w:rPr>
      </w:pPr>
      <w:r w:rsidRPr="00097749">
        <w:rPr>
          <w:color w:val="000000" w:themeColor="text1"/>
        </w:rPr>
        <w:t>Despite these insights, adherence interventions in many malaria programs have often focused narrowly on drug distribution and health education, without adequately addressing systemic barriers or integrating innovative service models. This limitation underscores the need to examine how adherence interacts with service delivery approaches such as service innovation.</w:t>
      </w:r>
    </w:p>
    <w:p w14:paraId="50BEE0F9" w14:textId="77777777" w:rsidR="00097749" w:rsidRPr="00097749" w:rsidRDefault="00097749" w:rsidP="00097749">
      <w:pPr>
        <w:pStyle w:val="BodyText"/>
        <w:rPr>
          <w:b/>
          <w:bCs/>
          <w:color w:val="000000" w:themeColor="text1"/>
        </w:rPr>
      </w:pPr>
      <w:r w:rsidRPr="00097749">
        <w:rPr>
          <w:b/>
          <w:bCs/>
          <w:color w:val="000000" w:themeColor="text1"/>
        </w:rPr>
        <w:t>2.2 Service Innovation in Healthcare</w:t>
      </w:r>
    </w:p>
    <w:p w14:paraId="45C98C65" w14:textId="77777777" w:rsidR="00097749" w:rsidRPr="00097749" w:rsidRDefault="00097749" w:rsidP="00097749">
      <w:pPr>
        <w:pStyle w:val="BodyText"/>
        <w:rPr>
          <w:color w:val="000000" w:themeColor="text1"/>
        </w:rPr>
      </w:pPr>
      <w:r w:rsidRPr="00097749">
        <w:rPr>
          <w:color w:val="000000" w:themeColor="text1"/>
        </w:rPr>
        <w:t>Service innovation has become a central theme in healthcare reform, driven by the demand for more efficient, accessible, and patient-centered care. It refers to the introduction or adaptation of new processes, technologies, or organizational practices that enhance service delivery (</w:t>
      </w:r>
      <w:proofErr w:type="spellStart"/>
      <w:r w:rsidRPr="00097749">
        <w:rPr>
          <w:color w:val="000000" w:themeColor="text1"/>
        </w:rPr>
        <w:t>Djellal</w:t>
      </w:r>
      <w:proofErr w:type="spellEnd"/>
      <w:r w:rsidRPr="00097749">
        <w:rPr>
          <w:color w:val="000000" w:themeColor="text1"/>
        </w:rPr>
        <w:t xml:space="preserve"> &amp; </w:t>
      </w:r>
      <w:proofErr w:type="spellStart"/>
      <w:r w:rsidRPr="00097749">
        <w:rPr>
          <w:color w:val="000000" w:themeColor="text1"/>
        </w:rPr>
        <w:t>Gallouj</w:t>
      </w:r>
      <w:proofErr w:type="spellEnd"/>
      <w:r w:rsidRPr="00097749">
        <w:rPr>
          <w:color w:val="000000" w:themeColor="text1"/>
        </w:rPr>
        <w:t>, 2019). In contrast to technological innovation in pharmaceuticals or medical devices, service innovation emphasizes process and system changes, such as digital platforms for patient monitoring, redesigned care pathways, or community-based service models.</w:t>
      </w:r>
    </w:p>
    <w:p w14:paraId="601BD3A9" w14:textId="77777777" w:rsidR="00097749" w:rsidRPr="00097749" w:rsidRDefault="00097749" w:rsidP="00097749">
      <w:pPr>
        <w:pStyle w:val="BodyText"/>
        <w:rPr>
          <w:color w:val="000000" w:themeColor="text1"/>
        </w:rPr>
      </w:pPr>
      <w:r w:rsidRPr="00097749">
        <w:rPr>
          <w:color w:val="000000" w:themeColor="text1"/>
        </w:rPr>
        <w:t>In healthcare systems worldwide, service innovation has showed benefits in terms of improving efficiency, reducing costs, and enhancing patient satisfaction. A systematic review by Janssen et al. (2021) confirmed that service innovation contributes significantly to service quality and patient-centered outcomes. In LMICs, where resource constraints limit traditional approaches, innovative service delivery strategies are specifically vital. For example, Moura et al. (2023) described how digital innovation improved healthcare performance in Brazil, while Li et al. (2023) found that digital health platforms in China enhanced both satisfaction and trust in providers.</w:t>
      </w:r>
    </w:p>
    <w:p w14:paraId="2693D37C" w14:textId="77777777" w:rsidR="00097749" w:rsidRPr="00097749" w:rsidRDefault="00097749" w:rsidP="00097749">
      <w:pPr>
        <w:pStyle w:val="BodyText"/>
        <w:rPr>
          <w:color w:val="000000" w:themeColor="text1"/>
        </w:rPr>
      </w:pPr>
      <w:r w:rsidRPr="00097749">
        <w:rPr>
          <w:color w:val="000000" w:themeColor="text1"/>
        </w:rPr>
        <w:t xml:space="preserve">In Indonesia, service innovation in malaria care has included initiatives such as the establishment of Malaria Corners in community health centers, digital SMS/WhatsApp reminders for treatment adherence, and outreach service through home visits. A study by </w:t>
      </w:r>
      <w:proofErr w:type="spellStart"/>
      <w:r w:rsidRPr="00097749">
        <w:rPr>
          <w:color w:val="000000" w:themeColor="text1"/>
        </w:rPr>
        <w:t>Liony</w:t>
      </w:r>
      <w:proofErr w:type="spellEnd"/>
      <w:r w:rsidRPr="00097749">
        <w:rPr>
          <w:color w:val="000000" w:themeColor="text1"/>
        </w:rPr>
        <w:t xml:space="preserve"> (2023) in Timika showed that supervised primaquine treatment within Malaria Corners </w:t>
      </w:r>
      <w:r w:rsidRPr="00097749">
        <w:rPr>
          <w:color w:val="000000" w:themeColor="text1"/>
        </w:rPr>
        <w:lastRenderedPageBreak/>
        <w:t>not only improved adherence but also increased patient trust in health service. These results suggest that service innovation can serve as a mediating mechanism, translating adherence behaviors into higher levels of satisfaction by improving the overall care experience.</w:t>
      </w:r>
    </w:p>
    <w:p w14:paraId="102514C4" w14:textId="77777777" w:rsidR="00097749" w:rsidRPr="00097749" w:rsidRDefault="00097749" w:rsidP="00097749">
      <w:pPr>
        <w:pStyle w:val="BodyText"/>
        <w:rPr>
          <w:color w:val="000000" w:themeColor="text1"/>
        </w:rPr>
      </w:pPr>
      <w:r w:rsidRPr="00097749">
        <w:rPr>
          <w:color w:val="000000" w:themeColor="text1"/>
        </w:rPr>
        <w:t>Service innovation studies in the Indonesian context remain fragmented. Although there is evidence of successful local interventions, few studies have systematically evaluated the pathways through which innovation affects patient outcomes, such as satisfaction. This gap underscores the need for a more integrated theoretical approach that connects service innovation with established behavioral models of healthcare use.</w:t>
      </w:r>
    </w:p>
    <w:p w14:paraId="799A5913" w14:textId="77777777" w:rsidR="00097749" w:rsidRPr="00097749" w:rsidRDefault="00097749" w:rsidP="00097749">
      <w:pPr>
        <w:pStyle w:val="BodyText"/>
        <w:rPr>
          <w:b/>
          <w:bCs/>
          <w:color w:val="000000" w:themeColor="text1"/>
        </w:rPr>
      </w:pPr>
      <w:r w:rsidRPr="00097749">
        <w:rPr>
          <w:b/>
          <w:bCs/>
          <w:color w:val="000000" w:themeColor="text1"/>
        </w:rPr>
        <w:t>2.3 Patient Satisfaction as a Healthcare Outcome</w:t>
      </w:r>
    </w:p>
    <w:p w14:paraId="31581EBF" w14:textId="77777777" w:rsidR="00097749" w:rsidRPr="00097749" w:rsidRDefault="00097749" w:rsidP="00097749">
      <w:pPr>
        <w:pStyle w:val="BodyText"/>
        <w:rPr>
          <w:color w:val="000000" w:themeColor="text1"/>
        </w:rPr>
      </w:pPr>
      <w:r w:rsidRPr="00097749">
        <w:rPr>
          <w:color w:val="000000" w:themeColor="text1"/>
        </w:rPr>
        <w:t>Patient satisfaction is widely regarded as a central indicator of healthcare quality and performance. It is defined as the extent to which patient expectations are met or exceeded by healthcare service, influencing treatment adherence, trust, and continued utilization (Naidu, 2009). In LMICs, where healthcare systems often face challenges such as long waiting times, shortages of providers, and limited infrastructure, patient satisfaction becomes an even more critical benchmark of service performance (Al Omari &amp; Hamid, 2022).</w:t>
      </w:r>
    </w:p>
    <w:p w14:paraId="1CA04E25" w14:textId="77777777" w:rsidR="00097749" w:rsidRPr="00097749" w:rsidRDefault="00097749" w:rsidP="00097749">
      <w:pPr>
        <w:pStyle w:val="BodyText"/>
        <w:rPr>
          <w:color w:val="000000" w:themeColor="text1"/>
        </w:rPr>
      </w:pPr>
      <w:r w:rsidRPr="00097749">
        <w:rPr>
          <w:color w:val="000000" w:themeColor="text1"/>
        </w:rPr>
        <w:t>Recent meta-analyses and empirical studies affirm the strong connection between satisfaction and service quality. Khan et al. (2021) reported that patient satisfaction mediates the relationship between service quality and healthcare utilization, making it a key driver of health outcomes. In digital health contexts, Li et al. (2023) found that innovation such as online consultations and digital monitoring tools improved satisfaction by enhancing convenience and communication.</w:t>
      </w:r>
    </w:p>
    <w:p w14:paraId="4CE2A33A" w14:textId="77777777" w:rsidR="00097749" w:rsidRPr="00097749" w:rsidRDefault="00097749" w:rsidP="00097749">
      <w:pPr>
        <w:pStyle w:val="BodyText"/>
        <w:rPr>
          <w:color w:val="000000" w:themeColor="text1"/>
        </w:rPr>
      </w:pPr>
      <w:r w:rsidRPr="00097749">
        <w:rPr>
          <w:color w:val="000000" w:themeColor="text1"/>
        </w:rPr>
        <w:t>In the context of malaria, satisfaction is shaped not only by clinical recovery but also by patient experiences with service delivery. Long waiting times, lack of empathy from providers, and poor communication often reduce satisfaction even when treatment is clinically effective. Conversely, innovative service that improve responsiveness, reliability, and provider–patient relationships can significantly enhance satisfaction (</w:t>
      </w:r>
      <w:proofErr w:type="spellStart"/>
      <w:r w:rsidRPr="00097749">
        <w:rPr>
          <w:color w:val="000000" w:themeColor="text1"/>
        </w:rPr>
        <w:t>Sucahyo</w:t>
      </w:r>
      <w:proofErr w:type="spellEnd"/>
      <w:r w:rsidRPr="00097749">
        <w:rPr>
          <w:color w:val="000000" w:themeColor="text1"/>
        </w:rPr>
        <w:t>, 2022). Relatively few studies have explicitly examined satisfaction as an outcome in malaria programs, leaving a gap in understanding how service delivery innovation contribute to patient-centered malaria care.</w:t>
      </w:r>
    </w:p>
    <w:p w14:paraId="2D9CD458" w14:textId="77777777" w:rsidR="00097749" w:rsidRPr="00097749" w:rsidRDefault="00097749" w:rsidP="00097749">
      <w:pPr>
        <w:pStyle w:val="BodyText"/>
        <w:rPr>
          <w:b/>
          <w:bCs/>
          <w:color w:val="000000" w:themeColor="text1"/>
        </w:rPr>
      </w:pPr>
      <w:r w:rsidRPr="00097749">
        <w:rPr>
          <w:b/>
          <w:bCs/>
          <w:color w:val="000000" w:themeColor="text1"/>
        </w:rPr>
        <w:t>2.4 Andersen Behavioral Model of Health Service Use</w:t>
      </w:r>
    </w:p>
    <w:p w14:paraId="748AF980" w14:textId="77777777" w:rsidR="00097749" w:rsidRPr="00097749" w:rsidRDefault="00097749" w:rsidP="00097749">
      <w:pPr>
        <w:pStyle w:val="BodyText"/>
        <w:rPr>
          <w:color w:val="000000" w:themeColor="text1"/>
        </w:rPr>
      </w:pPr>
      <w:r w:rsidRPr="00097749">
        <w:rPr>
          <w:color w:val="000000" w:themeColor="text1"/>
        </w:rPr>
        <w:t>Andersen Behavioral Model (1995) has long served as a theoretical framework for analyzing healthcare utilization. It categorizes determinants into predisposing (demographics, beliefs, attitudes), enabling (resources, access, availability), and reinforcing factors (social support, provider engagement). The model has been applied across diverse healthcare contexts, including chronic disease management, maternal health, and infectious disease treatment (Babitsch et al., 2019).</w:t>
      </w:r>
    </w:p>
    <w:p w14:paraId="129292EC" w14:textId="77777777" w:rsidR="00097749" w:rsidRPr="00097749" w:rsidRDefault="00097749" w:rsidP="00097749">
      <w:pPr>
        <w:pStyle w:val="BodyText"/>
        <w:rPr>
          <w:color w:val="000000" w:themeColor="text1"/>
        </w:rPr>
      </w:pPr>
      <w:r w:rsidRPr="00097749">
        <w:rPr>
          <w:color w:val="000000" w:themeColor="text1"/>
        </w:rPr>
        <w:t>In Indonesia, the model has been used to examine healthcare-seeking behaviors, but the integration with concepts of service innovation remains limited. Although Andersen model emphasizes individual and systemic determinants of healthcare utilization, it does not explicitly account for the dynamic role of innovation in shaping patient experiences and outcomes. This omission presents an opportunity for theoretical advancement.</w:t>
      </w:r>
    </w:p>
    <w:p w14:paraId="1C1B1F1C" w14:textId="77777777" w:rsidR="00097749" w:rsidRPr="00097749" w:rsidRDefault="00097749" w:rsidP="00097749">
      <w:pPr>
        <w:pStyle w:val="BodyText"/>
        <w:rPr>
          <w:color w:val="000000" w:themeColor="text1"/>
        </w:rPr>
      </w:pPr>
      <w:r w:rsidRPr="00097749">
        <w:rPr>
          <w:color w:val="000000" w:themeColor="text1"/>
        </w:rPr>
        <w:t>By positioning service innovation as a mediating construct within Andersen framework, studies can better capture the complex interactions between adherence behaviors and satisfaction outcomes. For example, predisposing and reinforcing factors may influence adherence, which in turn is amplified by service innovation such as home visits or digital reminders, ultimately leading to higher satisfaction. Integrating these elements allows for a more comprehensive understanding of how healthcare systems in malaria-endemic regions can foster patient-centered outcomes.</w:t>
      </w:r>
    </w:p>
    <w:p w14:paraId="57853190" w14:textId="77777777" w:rsidR="00097749" w:rsidRPr="00097749" w:rsidRDefault="00097749" w:rsidP="00097749">
      <w:pPr>
        <w:pStyle w:val="BodyText"/>
        <w:rPr>
          <w:b/>
          <w:bCs/>
          <w:color w:val="000000" w:themeColor="text1"/>
        </w:rPr>
      </w:pPr>
      <w:r w:rsidRPr="00097749">
        <w:rPr>
          <w:b/>
          <w:bCs/>
          <w:color w:val="000000" w:themeColor="text1"/>
        </w:rPr>
        <w:lastRenderedPageBreak/>
        <w:t>2.5 Gap and Contribution of the Study</w:t>
      </w:r>
    </w:p>
    <w:p w14:paraId="2BCB4A97" w14:textId="77777777" w:rsidR="00097749" w:rsidRPr="00097749" w:rsidRDefault="00097749" w:rsidP="00097749">
      <w:pPr>
        <w:pStyle w:val="BodyText"/>
        <w:rPr>
          <w:color w:val="000000" w:themeColor="text1"/>
        </w:rPr>
      </w:pPr>
      <w:r w:rsidRPr="00097749">
        <w:rPr>
          <w:color w:val="000000" w:themeColor="text1"/>
        </w:rPr>
        <w:t>Although previous studies have examined treatment adherence, service innovation, and patient satisfaction, the majority were conducted in isolation rather than within an integrated framework. The literature provides ample evidence that adherence plays a crucial role in improving health outcomes (</w:t>
      </w:r>
      <w:proofErr w:type="spellStart"/>
      <w:r w:rsidRPr="00097749">
        <w:rPr>
          <w:color w:val="000000" w:themeColor="text1"/>
        </w:rPr>
        <w:t>Poespoprodjo</w:t>
      </w:r>
      <w:proofErr w:type="spellEnd"/>
      <w:r w:rsidRPr="00097749">
        <w:rPr>
          <w:color w:val="000000" w:themeColor="text1"/>
        </w:rPr>
        <w:t xml:space="preserve"> et al., 2022), service innovation enhances patient experiences and trust in health systems (Janssen et al., 2021; </w:t>
      </w:r>
      <w:proofErr w:type="spellStart"/>
      <w:r w:rsidRPr="00097749">
        <w:rPr>
          <w:color w:val="000000" w:themeColor="text1"/>
        </w:rPr>
        <w:t>Liony</w:t>
      </w:r>
      <w:proofErr w:type="spellEnd"/>
      <w:r w:rsidRPr="00097749">
        <w:rPr>
          <w:color w:val="000000" w:themeColor="text1"/>
        </w:rPr>
        <w:t>, 2023), and satisfaction serves as a critical driver of healthcare utilization (Khan et al., 2021). However, the relationship between these three dimensions has rarely been studied together, specifically in the context of malaria-endemic regions. Andersen Behavioral Model has long been used to explain patterns of healthcare utilization by focusing on predisposing, enabling, and reinforcing factors, but the model does not explicitly incorporate the role of service innovation as a mediating mechanism that could transform adherence behaviors into positive patient experiences. This omission represents a theoretical gap that limits current understanding of how healthcare systems can adapt to contemporary challenges.</w:t>
      </w:r>
    </w:p>
    <w:p w14:paraId="30F93E33" w14:textId="77777777" w:rsidR="00097749" w:rsidRPr="00097749" w:rsidRDefault="00097749" w:rsidP="00097749">
      <w:pPr>
        <w:pStyle w:val="BodyText"/>
        <w:rPr>
          <w:color w:val="000000" w:themeColor="text1"/>
        </w:rPr>
      </w:pPr>
      <w:r w:rsidRPr="00097749">
        <w:rPr>
          <w:color w:val="000000" w:themeColor="text1"/>
        </w:rPr>
        <w:t xml:space="preserve">Empirical studies exploring the relationships in low- and middle-income countries remain scarce, and there is even less evidence from malaria-endemic settings such as Papua, Indonesia. Most service innovation studies have been conducted in high-income contexts or focused on non-communicable diseases, leaving a knowledge gap regarding communicable diseases that require strict adherence, such as malaria. Papua has consistently recorded the highest malaria incidence in Indonesia, with </w:t>
      </w:r>
      <w:proofErr w:type="spellStart"/>
      <w:r w:rsidRPr="00097749">
        <w:rPr>
          <w:color w:val="000000" w:themeColor="text1"/>
        </w:rPr>
        <w:t>Mimika</w:t>
      </w:r>
      <w:proofErr w:type="spellEnd"/>
      <w:r w:rsidRPr="00097749">
        <w:rPr>
          <w:color w:val="000000" w:themeColor="text1"/>
        </w:rPr>
        <w:t xml:space="preserve"> District as one of the most heavily affected areas. This situation provides a compelling case to investigate how adherence and service innovation jointly shape patient satisfaction.</w:t>
      </w:r>
    </w:p>
    <w:p w14:paraId="64D3FEF8" w14:textId="77777777" w:rsidR="00097749" w:rsidRPr="00097749" w:rsidRDefault="00097749" w:rsidP="00097749">
      <w:pPr>
        <w:pStyle w:val="BodyText"/>
        <w:rPr>
          <w:color w:val="000000" w:themeColor="text1"/>
        </w:rPr>
      </w:pPr>
      <w:r w:rsidRPr="00097749">
        <w:rPr>
          <w:color w:val="000000" w:themeColor="text1"/>
        </w:rPr>
        <w:t>Based on the discussion above, this study aims to bridge existing gaps by extending Andersen Behavioral Model with the inclusion of service innovation as a mediating construct, providing both theoretical advancement and practical relevance. From a theoretical perspective, it enriches the model by capturing the dynamic interactions between adherence determinants and patient-centered outcomes. Meanwhile, from a practical standpoint, this study offers policymakers and healthcare managers evidence-based insights on how innovative service delivery can address persistent adherence challenges and improve satisfaction among malaria patient in resource-limited environments. Therefore, the results will not only contribute to the scholarly discourse on health service use but also support Indonesia national strategy for malaria elimination and broader global health efforts in endemic regions.</w:t>
      </w:r>
    </w:p>
    <w:p w14:paraId="33E96522" w14:textId="77777777" w:rsidR="00097749" w:rsidRPr="00097749" w:rsidRDefault="00097749" w:rsidP="00097749">
      <w:pPr>
        <w:pStyle w:val="BodyText"/>
        <w:rPr>
          <w:b/>
          <w:bCs/>
          <w:color w:val="000000" w:themeColor="text1"/>
        </w:rPr>
      </w:pPr>
      <w:r w:rsidRPr="00097749">
        <w:rPr>
          <w:b/>
          <w:bCs/>
          <w:color w:val="000000" w:themeColor="text1"/>
        </w:rPr>
        <w:t>2.6 Conceptual Framework</w:t>
      </w:r>
    </w:p>
    <w:p w14:paraId="1BD9988E" w14:textId="77777777" w:rsidR="00097749" w:rsidRPr="00097749" w:rsidRDefault="00097749" w:rsidP="00097749">
      <w:pPr>
        <w:pStyle w:val="BodyText"/>
        <w:rPr>
          <w:color w:val="000000" w:themeColor="text1"/>
        </w:rPr>
      </w:pPr>
      <w:r w:rsidRPr="00097749">
        <w:rPr>
          <w:color w:val="000000" w:themeColor="text1"/>
        </w:rPr>
        <w:t>The conceptual framework of this study integrates Andersen Behavioral Model of Health Service Use with the construct of service innovation. Traditionally, the model explains healthcare use through three key determinants, namely predisposing, enabling, and reinforcing factors. Predisposing factors include knowledge, beliefs, and attitudes that shape an individual readiness to engage in healthcare service. Enabling factors represent the resources and conditions that facilitate or hinder access to service, such as infrastructure, waiting times, affordability, or availability of healthcare staff. Reinforcing factors consist of ongoing support from family members, healthcare providers, and social networks that sustain treatment adherence and health-seeking behavior (Andersen, 1995; Green, 1991; Babitsch et al., 2019).</w:t>
      </w:r>
    </w:p>
    <w:p w14:paraId="05BE32D7" w14:textId="77777777" w:rsidR="00097749" w:rsidRPr="00097749" w:rsidRDefault="00097749" w:rsidP="00097749">
      <w:pPr>
        <w:pStyle w:val="BodyText"/>
        <w:rPr>
          <w:color w:val="000000" w:themeColor="text1"/>
        </w:rPr>
      </w:pPr>
      <w:r w:rsidRPr="00097749">
        <w:rPr>
          <w:color w:val="000000" w:themeColor="text1"/>
        </w:rPr>
        <w:t>In the context of malaria care in Papua, these three categories collectively influence treatment adherence, which is essential to prevent relapse and ensure long-term effectiveness of malaria elimination programs (</w:t>
      </w:r>
      <w:proofErr w:type="spellStart"/>
      <w:r w:rsidRPr="00097749">
        <w:rPr>
          <w:color w:val="000000" w:themeColor="text1"/>
        </w:rPr>
        <w:t>Poespoprodjo</w:t>
      </w:r>
      <w:proofErr w:type="spellEnd"/>
      <w:r w:rsidRPr="00097749">
        <w:rPr>
          <w:color w:val="000000" w:themeColor="text1"/>
        </w:rPr>
        <w:t xml:space="preserve"> et al., 2022; </w:t>
      </w:r>
      <w:proofErr w:type="spellStart"/>
      <w:r w:rsidRPr="00097749">
        <w:rPr>
          <w:color w:val="000000" w:themeColor="text1"/>
        </w:rPr>
        <w:t>Liony</w:t>
      </w:r>
      <w:proofErr w:type="spellEnd"/>
      <w:r w:rsidRPr="00097749">
        <w:rPr>
          <w:color w:val="000000" w:themeColor="text1"/>
        </w:rPr>
        <w:t xml:space="preserve">, 2023). However, adherence behaviors alone may not directly translate into patient satisfaction unless mediated by innovative approaches in service delivery. Service innovation is introduced in this study as a mediating construct, capturing new or adapted processes, </w:t>
      </w:r>
      <w:r w:rsidRPr="00097749">
        <w:rPr>
          <w:color w:val="000000" w:themeColor="text1"/>
        </w:rPr>
        <w:lastRenderedPageBreak/>
        <w:t>including malaria corners, digital adherence reminders, mobile health interventions, and home visits that improve efficiency, responsiveness, and patient-centeredness (</w:t>
      </w:r>
      <w:proofErr w:type="spellStart"/>
      <w:r w:rsidRPr="00097749">
        <w:rPr>
          <w:color w:val="000000" w:themeColor="text1"/>
        </w:rPr>
        <w:t>Djellal</w:t>
      </w:r>
      <w:proofErr w:type="spellEnd"/>
      <w:r w:rsidRPr="00097749">
        <w:rPr>
          <w:color w:val="000000" w:themeColor="text1"/>
        </w:rPr>
        <w:t xml:space="preserve"> &amp; </w:t>
      </w:r>
      <w:proofErr w:type="spellStart"/>
      <w:r w:rsidRPr="00097749">
        <w:rPr>
          <w:color w:val="000000" w:themeColor="text1"/>
        </w:rPr>
        <w:t>Gallouj</w:t>
      </w:r>
      <w:proofErr w:type="spellEnd"/>
      <w:r w:rsidRPr="00097749">
        <w:rPr>
          <w:color w:val="000000" w:themeColor="text1"/>
        </w:rPr>
        <w:t>, 2019; Janssen et al., 2021; Islam, 2021; Moura et al., 2023; Li et al., 2023).</w:t>
      </w:r>
    </w:p>
    <w:p w14:paraId="6CB11EDF" w14:textId="77777777" w:rsidR="00097749" w:rsidRPr="00097749" w:rsidRDefault="00097749" w:rsidP="00097749">
      <w:pPr>
        <w:pStyle w:val="BodyText"/>
        <w:rPr>
          <w:color w:val="000000" w:themeColor="text1"/>
        </w:rPr>
      </w:pPr>
      <w:r w:rsidRPr="00097749">
        <w:rPr>
          <w:color w:val="000000" w:themeColor="text1"/>
        </w:rPr>
        <w:t xml:space="preserve">The framework positions service innovation as the “missing link” that transforms adherence determinants into positive patient experiences. Predisposing and reinforcing factors are expected to influence satisfaction both directly and indirectly through service innovation, while enabling factors may have weaker effects, as evidenced in previous studies where infrastructure alone was insufficient to ensure satisfaction (Khan et al., 2021; Al Omari &amp; Hamid, 2022; </w:t>
      </w:r>
      <w:proofErr w:type="spellStart"/>
      <w:r w:rsidRPr="00097749">
        <w:rPr>
          <w:color w:val="000000" w:themeColor="text1"/>
        </w:rPr>
        <w:t>Sucahyo</w:t>
      </w:r>
      <w:proofErr w:type="spellEnd"/>
      <w:r w:rsidRPr="00097749">
        <w:rPr>
          <w:color w:val="000000" w:themeColor="text1"/>
        </w:rPr>
        <w:t xml:space="preserve">, 2022). The model contributes theoretically by extending Andersen model to include innovation as a mediating mechanism and practically by offering insights into service design for malaria-endemic regions, including </w:t>
      </w:r>
      <w:proofErr w:type="spellStart"/>
      <w:r w:rsidRPr="00097749">
        <w:rPr>
          <w:color w:val="000000" w:themeColor="text1"/>
        </w:rPr>
        <w:t>Mimika</w:t>
      </w:r>
      <w:proofErr w:type="spellEnd"/>
      <w:r w:rsidRPr="00097749">
        <w:rPr>
          <w:color w:val="000000" w:themeColor="text1"/>
        </w:rPr>
        <w:t>, Papua.</w:t>
      </w:r>
    </w:p>
    <w:p w14:paraId="61FA36C3" w14:textId="77777777" w:rsidR="00097749" w:rsidRPr="00097749" w:rsidRDefault="00097749" w:rsidP="00097749">
      <w:pPr>
        <w:pStyle w:val="BodyText"/>
        <w:rPr>
          <w:b/>
          <w:bCs/>
          <w:color w:val="000000" w:themeColor="text1"/>
        </w:rPr>
      </w:pPr>
      <w:r w:rsidRPr="00097749">
        <w:rPr>
          <w:b/>
          <w:bCs/>
          <w:color w:val="000000" w:themeColor="text1"/>
        </w:rPr>
        <w:t>2.7 Hypotheses Development</w:t>
      </w:r>
    </w:p>
    <w:p w14:paraId="5713CA74" w14:textId="77777777" w:rsidR="00097749" w:rsidRPr="00097749" w:rsidRDefault="00097749" w:rsidP="00097749">
      <w:pPr>
        <w:pStyle w:val="BodyText"/>
        <w:rPr>
          <w:color w:val="000000" w:themeColor="text1"/>
        </w:rPr>
      </w:pPr>
      <w:r w:rsidRPr="00097749">
        <w:rPr>
          <w:color w:val="000000" w:themeColor="text1"/>
        </w:rPr>
        <w:t>Based on the conceptual framework, ten hypotheses were proposed. Each is supported by previous theoretical reports and empirical results.</w:t>
      </w:r>
    </w:p>
    <w:p w14:paraId="2D4AA865" w14:textId="77777777" w:rsidR="00097749" w:rsidRPr="00097749" w:rsidRDefault="00097749" w:rsidP="00097749">
      <w:pPr>
        <w:pStyle w:val="BodyText"/>
        <w:rPr>
          <w:color w:val="000000" w:themeColor="text1"/>
        </w:rPr>
      </w:pPr>
      <w:r w:rsidRPr="00097749">
        <w:rPr>
          <w:color w:val="000000" w:themeColor="text1"/>
        </w:rPr>
        <w:t>H1: Predisposing factors of treatment adherence positively influence patient satisfaction.</w:t>
      </w:r>
    </w:p>
    <w:p w14:paraId="242B05E2" w14:textId="77777777" w:rsidR="00097749" w:rsidRPr="00097749" w:rsidRDefault="00097749" w:rsidP="00097749">
      <w:pPr>
        <w:pStyle w:val="BodyText"/>
        <w:rPr>
          <w:color w:val="000000" w:themeColor="text1"/>
        </w:rPr>
      </w:pPr>
      <w:r w:rsidRPr="00097749">
        <w:rPr>
          <w:color w:val="000000" w:themeColor="text1"/>
        </w:rPr>
        <w:t xml:space="preserve">Patient with higher knowledge, positive attitudes, and motivation tends to complete treatment, which enhances satisfaction. Evidence from chronic and infectious diseases showed that health literacy and motivation drive both adherence and satisfaction (Green, 1991; Al Omari &amp; Hamid, 2022; Khan et al., 2021; </w:t>
      </w:r>
      <w:proofErr w:type="spellStart"/>
      <w:r w:rsidRPr="00097749">
        <w:rPr>
          <w:color w:val="000000" w:themeColor="text1"/>
        </w:rPr>
        <w:t>Psihogios</w:t>
      </w:r>
      <w:proofErr w:type="spellEnd"/>
      <w:r w:rsidRPr="00097749">
        <w:rPr>
          <w:color w:val="000000" w:themeColor="text1"/>
        </w:rPr>
        <w:t xml:space="preserve"> et al., 2019; </w:t>
      </w:r>
      <w:proofErr w:type="spellStart"/>
      <w:r w:rsidRPr="00097749">
        <w:rPr>
          <w:color w:val="000000" w:themeColor="text1"/>
        </w:rPr>
        <w:t>Erwinsyah</w:t>
      </w:r>
      <w:proofErr w:type="spellEnd"/>
      <w:r w:rsidRPr="00097749">
        <w:rPr>
          <w:color w:val="000000" w:themeColor="text1"/>
        </w:rPr>
        <w:t xml:space="preserve"> et al., 2023).</w:t>
      </w:r>
    </w:p>
    <w:p w14:paraId="218D64C1" w14:textId="77777777" w:rsidR="00097749" w:rsidRPr="00097749" w:rsidRDefault="00097749" w:rsidP="00097749">
      <w:pPr>
        <w:pStyle w:val="BodyText"/>
        <w:rPr>
          <w:color w:val="000000" w:themeColor="text1"/>
        </w:rPr>
      </w:pPr>
      <w:r w:rsidRPr="00097749">
        <w:rPr>
          <w:color w:val="000000" w:themeColor="text1"/>
        </w:rPr>
        <w:t>H2: Enabling factors of treatment adherence positively influence patient satisfaction.</w:t>
      </w:r>
    </w:p>
    <w:p w14:paraId="485EF5B0" w14:textId="77777777" w:rsidR="00097749" w:rsidRPr="00097749" w:rsidRDefault="00097749" w:rsidP="00097749">
      <w:pPr>
        <w:pStyle w:val="BodyText"/>
        <w:rPr>
          <w:color w:val="000000" w:themeColor="text1"/>
        </w:rPr>
      </w:pPr>
      <w:r w:rsidRPr="00097749">
        <w:rPr>
          <w:color w:val="000000" w:themeColor="text1"/>
        </w:rPr>
        <w:t xml:space="preserve">Access to healthcare resources, short waiting times, and supportive infrastructure are expected to improve satisfaction. However, studies in LMICs suggest mixed results, with infrastructure sometimes failing to predict satisfaction when interpersonal dimensions are weak (Andersen, 1995; Khan et al., 2021; Babitsch et al., 2019; </w:t>
      </w:r>
      <w:proofErr w:type="spellStart"/>
      <w:r w:rsidRPr="00097749">
        <w:rPr>
          <w:color w:val="000000" w:themeColor="text1"/>
        </w:rPr>
        <w:t>Dumalanede</w:t>
      </w:r>
      <w:proofErr w:type="spellEnd"/>
      <w:r w:rsidRPr="00097749">
        <w:rPr>
          <w:color w:val="000000" w:themeColor="text1"/>
        </w:rPr>
        <w:t xml:space="preserve"> et al., 2020; Al Omari &amp; Hamid, 2022).</w:t>
      </w:r>
    </w:p>
    <w:p w14:paraId="7E0435E7" w14:textId="77777777" w:rsidR="00097749" w:rsidRPr="00097749" w:rsidRDefault="00097749" w:rsidP="00097749">
      <w:pPr>
        <w:pStyle w:val="BodyText"/>
        <w:rPr>
          <w:color w:val="000000" w:themeColor="text1"/>
        </w:rPr>
      </w:pPr>
      <w:r w:rsidRPr="00097749">
        <w:rPr>
          <w:color w:val="000000" w:themeColor="text1"/>
        </w:rPr>
        <w:t>H3: Reinforcing factors of treatment adherence positively influence patient satisfaction.</w:t>
      </w:r>
    </w:p>
    <w:p w14:paraId="0294DE60" w14:textId="77777777" w:rsidR="00097749" w:rsidRPr="00097749" w:rsidRDefault="00097749" w:rsidP="00097749">
      <w:pPr>
        <w:pStyle w:val="BodyText"/>
        <w:rPr>
          <w:color w:val="000000" w:themeColor="text1"/>
        </w:rPr>
      </w:pPr>
      <w:r w:rsidRPr="00097749">
        <w:rPr>
          <w:color w:val="000000" w:themeColor="text1"/>
        </w:rPr>
        <w:t>Social support from family, community, and providers sustains adherence and strengthens trust, leading to higher satisfaction. Previous studies emphasized the importance of family participation and provider supervision in TB and malaria care (</w:t>
      </w:r>
      <w:proofErr w:type="spellStart"/>
      <w:r w:rsidRPr="00097749">
        <w:rPr>
          <w:color w:val="000000" w:themeColor="text1"/>
        </w:rPr>
        <w:t>Rumimpunu</w:t>
      </w:r>
      <w:proofErr w:type="spellEnd"/>
      <w:r w:rsidRPr="00097749">
        <w:rPr>
          <w:color w:val="000000" w:themeColor="text1"/>
        </w:rPr>
        <w:t xml:space="preserve"> et al., 2020; </w:t>
      </w:r>
      <w:proofErr w:type="spellStart"/>
      <w:r w:rsidRPr="00097749">
        <w:rPr>
          <w:color w:val="000000" w:themeColor="text1"/>
        </w:rPr>
        <w:t>Psihogios</w:t>
      </w:r>
      <w:proofErr w:type="spellEnd"/>
      <w:r w:rsidRPr="00097749">
        <w:rPr>
          <w:color w:val="000000" w:themeColor="text1"/>
        </w:rPr>
        <w:t xml:space="preserve"> et al., 2019; </w:t>
      </w:r>
      <w:proofErr w:type="spellStart"/>
      <w:r w:rsidRPr="00097749">
        <w:rPr>
          <w:color w:val="000000" w:themeColor="text1"/>
        </w:rPr>
        <w:t>Poespoprodjo</w:t>
      </w:r>
      <w:proofErr w:type="spellEnd"/>
      <w:r w:rsidRPr="00097749">
        <w:rPr>
          <w:color w:val="000000" w:themeColor="text1"/>
        </w:rPr>
        <w:t xml:space="preserve"> et al., 2022; </w:t>
      </w:r>
      <w:proofErr w:type="spellStart"/>
      <w:r w:rsidRPr="00097749">
        <w:rPr>
          <w:color w:val="000000" w:themeColor="text1"/>
        </w:rPr>
        <w:t>Liony</w:t>
      </w:r>
      <w:proofErr w:type="spellEnd"/>
      <w:r w:rsidRPr="00097749">
        <w:rPr>
          <w:color w:val="000000" w:themeColor="text1"/>
        </w:rPr>
        <w:t>, 2023; Khan et al., 2021).</w:t>
      </w:r>
    </w:p>
    <w:p w14:paraId="2423BB4E" w14:textId="77777777" w:rsidR="00097749" w:rsidRPr="00097749" w:rsidRDefault="00097749" w:rsidP="00097749">
      <w:pPr>
        <w:pStyle w:val="BodyText"/>
        <w:rPr>
          <w:color w:val="000000" w:themeColor="text1"/>
        </w:rPr>
      </w:pPr>
      <w:r w:rsidRPr="00097749">
        <w:rPr>
          <w:color w:val="000000" w:themeColor="text1"/>
        </w:rPr>
        <w:t>H4: Predisposing factors positively influence service innovation.</w:t>
      </w:r>
    </w:p>
    <w:p w14:paraId="09D55C2F" w14:textId="77777777" w:rsidR="00097749" w:rsidRPr="00097749" w:rsidRDefault="00097749" w:rsidP="00097749">
      <w:pPr>
        <w:pStyle w:val="BodyText"/>
        <w:rPr>
          <w:color w:val="000000" w:themeColor="text1"/>
        </w:rPr>
      </w:pPr>
      <w:r w:rsidRPr="00097749">
        <w:rPr>
          <w:color w:val="000000" w:themeColor="text1"/>
        </w:rPr>
        <w:t xml:space="preserve">Patient with greater awareness and motivation are more receptive to innovative health service. Studies showed that health knowledge fosters acceptance of digital monitoring, supervised treatment, and patient-centered service delivery (Islam, 2021; Janssen et al., 2021; Li et al., 2023; Moura et al., 2023; </w:t>
      </w:r>
      <w:proofErr w:type="spellStart"/>
      <w:r w:rsidRPr="00097749">
        <w:rPr>
          <w:color w:val="000000" w:themeColor="text1"/>
        </w:rPr>
        <w:t>Erwinsyah</w:t>
      </w:r>
      <w:proofErr w:type="spellEnd"/>
      <w:r w:rsidRPr="00097749">
        <w:rPr>
          <w:color w:val="000000" w:themeColor="text1"/>
        </w:rPr>
        <w:t xml:space="preserve"> et al., 2023).</w:t>
      </w:r>
    </w:p>
    <w:p w14:paraId="593E2E12" w14:textId="77777777" w:rsidR="00097749" w:rsidRPr="00097749" w:rsidRDefault="00097749" w:rsidP="00097749">
      <w:pPr>
        <w:pStyle w:val="BodyText"/>
        <w:rPr>
          <w:color w:val="000000" w:themeColor="text1"/>
        </w:rPr>
      </w:pPr>
      <w:r w:rsidRPr="00097749">
        <w:rPr>
          <w:color w:val="000000" w:themeColor="text1"/>
        </w:rPr>
        <w:t>H5: Enabling factors positively influence service innovation.</w:t>
      </w:r>
    </w:p>
    <w:p w14:paraId="417A4ED1" w14:textId="77777777" w:rsidR="00097749" w:rsidRPr="00097749" w:rsidRDefault="00097749" w:rsidP="00097749">
      <w:pPr>
        <w:pStyle w:val="BodyText"/>
        <w:rPr>
          <w:color w:val="000000" w:themeColor="text1"/>
        </w:rPr>
      </w:pPr>
      <w:r w:rsidRPr="00097749">
        <w:rPr>
          <w:color w:val="000000" w:themeColor="text1"/>
        </w:rPr>
        <w:t>Adequate facilities, staff capacity, and access to resources should facilitate the adoption of innovative service. Empirical evidence suggests that organizational readiness and infrastructure play enabling roles in the implementation of health innovation (</w:t>
      </w:r>
      <w:proofErr w:type="spellStart"/>
      <w:r w:rsidRPr="00097749">
        <w:rPr>
          <w:color w:val="000000" w:themeColor="text1"/>
        </w:rPr>
        <w:t>Djellal</w:t>
      </w:r>
      <w:proofErr w:type="spellEnd"/>
      <w:r w:rsidRPr="00097749">
        <w:rPr>
          <w:color w:val="000000" w:themeColor="text1"/>
        </w:rPr>
        <w:t xml:space="preserve"> &amp; </w:t>
      </w:r>
      <w:proofErr w:type="spellStart"/>
      <w:r w:rsidRPr="00097749">
        <w:rPr>
          <w:color w:val="000000" w:themeColor="text1"/>
        </w:rPr>
        <w:t>Gallouj</w:t>
      </w:r>
      <w:proofErr w:type="spellEnd"/>
      <w:r w:rsidRPr="00097749">
        <w:rPr>
          <w:color w:val="000000" w:themeColor="text1"/>
        </w:rPr>
        <w:t xml:space="preserve">, 2019; Janssen et al., 2021; Moura et al., 2023; </w:t>
      </w:r>
      <w:proofErr w:type="spellStart"/>
      <w:r w:rsidRPr="00097749">
        <w:rPr>
          <w:color w:val="000000" w:themeColor="text1"/>
        </w:rPr>
        <w:t>Dumalanede</w:t>
      </w:r>
      <w:proofErr w:type="spellEnd"/>
      <w:r w:rsidRPr="00097749">
        <w:rPr>
          <w:color w:val="000000" w:themeColor="text1"/>
        </w:rPr>
        <w:t xml:space="preserve"> et al., 2020; Li et al., 2023).</w:t>
      </w:r>
    </w:p>
    <w:p w14:paraId="0C2E7F72" w14:textId="77777777" w:rsidR="00097749" w:rsidRPr="00097749" w:rsidRDefault="00097749" w:rsidP="00097749">
      <w:pPr>
        <w:pStyle w:val="BodyText"/>
        <w:rPr>
          <w:color w:val="000000" w:themeColor="text1"/>
        </w:rPr>
      </w:pPr>
      <w:r w:rsidRPr="00097749">
        <w:rPr>
          <w:color w:val="000000" w:themeColor="text1"/>
        </w:rPr>
        <w:t>H6: Reinforcing factors positively influence service innovation.</w:t>
      </w:r>
    </w:p>
    <w:p w14:paraId="6EDBF1E2" w14:textId="77777777" w:rsidR="00097749" w:rsidRPr="00097749" w:rsidRDefault="00097749" w:rsidP="00097749">
      <w:pPr>
        <w:pStyle w:val="BodyText"/>
        <w:rPr>
          <w:color w:val="000000" w:themeColor="text1"/>
        </w:rPr>
      </w:pPr>
      <w:r w:rsidRPr="00097749">
        <w:rPr>
          <w:color w:val="000000" w:themeColor="text1"/>
        </w:rPr>
        <w:t xml:space="preserve">Supportive families and healthcare providers tend to foster or adopt innovative practices. Evidence from Indonesia shows that family and provider engagement improve the uptake of </w:t>
      </w:r>
      <w:r w:rsidRPr="00097749">
        <w:rPr>
          <w:color w:val="000000" w:themeColor="text1"/>
        </w:rPr>
        <w:lastRenderedPageBreak/>
        <w:t>supervised treatment and digital reminders (</w:t>
      </w:r>
      <w:proofErr w:type="spellStart"/>
      <w:r w:rsidRPr="00097749">
        <w:rPr>
          <w:color w:val="000000" w:themeColor="text1"/>
        </w:rPr>
        <w:t>Rumimpunu</w:t>
      </w:r>
      <w:proofErr w:type="spellEnd"/>
      <w:r w:rsidRPr="00097749">
        <w:rPr>
          <w:color w:val="000000" w:themeColor="text1"/>
        </w:rPr>
        <w:t xml:space="preserve"> et al., 2020; </w:t>
      </w:r>
      <w:proofErr w:type="spellStart"/>
      <w:r w:rsidRPr="00097749">
        <w:rPr>
          <w:color w:val="000000" w:themeColor="text1"/>
        </w:rPr>
        <w:t>Poespoprodjo</w:t>
      </w:r>
      <w:proofErr w:type="spellEnd"/>
      <w:r w:rsidRPr="00097749">
        <w:rPr>
          <w:color w:val="000000" w:themeColor="text1"/>
        </w:rPr>
        <w:t xml:space="preserve"> et al., 2022; </w:t>
      </w:r>
      <w:proofErr w:type="spellStart"/>
      <w:r w:rsidRPr="00097749">
        <w:rPr>
          <w:color w:val="000000" w:themeColor="text1"/>
        </w:rPr>
        <w:t>Liony</w:t>
      </w:r>
      <w:proofErr w:type="spellEnd"/>
      <w:r w:rsidRPr="00097749">
        <w:rPr>
          <w:color w:val="000000" w:themeColor="text1"/>
        </w:rPr>
        <w:t xml:space="preserve">, 2023; Khan et al., 2021; </w:t>
      </w:r>
      <w:proofErr w:type="spellStart"/>
      <w:r w:rsidRPr="00097749">
        <w:rPr>
          <w:color w:val="000000" w:themeColor="text1"/>
        </w:rPr>
        <w:t>Sucahyo</w:t>
      </w:r>
      <w:proofErr w:type="spellEnd"/>
      <w:r w:rsidRPr="00097749">
        <w:rPr>
          <w:color w:val="000000" w:themeColor="text1"/>
        </w:rPr>
        <w:t>, 2022).</w:t>
      </w:r>
    </w:p>
    <w:p w14:paraId="06DB5128" w14:textId="77777777" w:rsidR="00097749" w:rsidRPr="00097749" w:rsidRDefault="00097749" w:rsidP="00097749">
      <w:pPr>
        <w:pStyle w:val="BodyText"/>
        <w:rPr>
          <w:color w:val="000000" w:themeColor="text1"/>
        </w:rPr>
      </w:pPr>
      <w:r w:rsidRPr="00097749">
        <w:rPr>
          <w:color w:val="000000" w:themeColor="text1"/>
        </w:rPr>
        <w:t>H7: Service innovation positively influences patient satisfaction.</w:t>
      </w:r>
    </w:p>
    <w:p w14:paraId="26C52E4B" w14:textId="77777777" w:rsidR="00097749" w:rsidRPr="00097749" w:rsidRDefault="00097749" w:rsidP="00097749">
      <w:pPr>
        <w:pStyle w:val="BodyText"/>
        <w:rPr>
          <w:color w:val="000000" w:themeColor="text1"/>
        </w:rPr>
      </w:pPr>
      <w:r w:rsidRPr="00097749">
        <w:rPr>
          <w:color w:val="000000" w:themeColor="text1"/>
        </w:rPr>
        <w:t xml:space="preserve">Innovative processes, including malaria corners, home-based monitoring, and digital health platforms, enhance patient experiences and satisfaction by improving accessibility as well as responsiveness (Janssen et al., 2021; Islam, 2021; Li et al., 2023; Moura et al., 2023; </w:t>
      </w:r>
      <w:proofErr w:type="spellStart"/>
      <w:r w:rsidRPr="00097749">
        <w:rPr>
          <w:color w:val="000000" w:themeColor="text1"/>
        </w:rPr>
        <w:t>Liony</w:t>
      </w:r>
      <w:proofErr w:type="spellEnd"/>
      <w:r w:rsidRPr="00097749">
        <w:rPr>
          <w:color w:val="000000" w:themeColor="text1"/>
        </w:rPr>
        <w:t>, 2023).</w:t>
      </w:r>
    </w:p>
    <w:p w14:paraId="758DC703" w14:textId="77777777" w:rsidR="00097749" w:rsidRPr="00097749" w:rsidRDefault="00097749" w:rsidP="00097749">
      <w:pPr>
        <w:pStyle w:val="BodyText"/>
        <w:rPr>
          <w:color w:val="000000" w:themeColor="text1"/>
        </w:rPr>
      </w:pPr>
      <w:r w:rsidRPr="00097749">
        <w:rPr>
          <w:color w:val="000000" w:themeColor="text1"/>
        </w:rPr>
        <w:t>H8: Service innovation mediates the relationship between predisposing factors and patient satisfaction.</w:t>
      </w:r>
    </w:p>
    <w:p w14:paraId="5B18C123" w14:textId="77777777" w:rsidR="00097749" w:rsidRPr="00097749" w:rsidRDefault="00097749" w:rsidP="00097749">
      <w:pPr>
        <w:pStyle w:val="BodyText"/>
        <w:rPr>
          <w:color w:val="000000" w:themeColor="text1"/>
        </w:rPr>
      </w:pPr>
      <w:r w:rsidRPr="00097749">
        <w:rPr>
          <w:color w:val="000000" w:themeColor="text1"/>
        </w:rPr>
        <w:t>Predisposing factors such as awareness and motivation may only improve satisfaction when supported by innovative service that facilitate treatment completion and communication (</w:t>
      </w:r>
      <w:proofErr w:type="spellStart"/>
      <w:r w:rsidRPr="00097749">
        <w:rPr>
          <w:color w:val="000000" w:themeColor="text1"/>
        </w:rPr>
        <w:t>Djellal</w:t>
      </w:r>
      <w:proofErr w:type="spellEnd"/>
      <w:r w:rsidRPr="00097749">
        <w:rPr>
          <w:color w:val="000000" w:themeColor="text1"/>
        </w:rPr>
        <w:t xml:space="preserve"> &amp; </w:t>
      </w:r>
      <w:proofErr w:type="spellStart"/>
      <w:r w:rsidRPr="00097749">
        <w:rPr>
          <w:color w:val="000000" w:themeColor="text1"/>
        </w:rPr>
        <w:t>Gallouj</w:t>
      </w:r>
      <w:proofErr w:type="spellEnd"/>
      <w:r w:rsidRPr="00097749">
        <w:rPr>
          <w:color w:val="000000" w:themeColor="text1"/>
        </w:rPr>
        <w:t xml:space="preserve">, 2019; Janssen et al., 2021; Li et al., 2023; </w:t>
      </w:r>
      <w:proofErr w:type="spellStart"/>
      <w:r w:rsidRPr="00097749">
        <w:rPr>
          <w:color w:val="000000" w:themeColor="text1"/>
        </w:rPr>
        <w:t>Sucahyo</w:t>
      </w:r>
      <w:proofErr w:type="spellEnd"/>
      <w:r w:rsidRPr="00097749">
        <w:rPr>
          <w:color w:val="000000" w:themeColor="text1"/>
        </w:rPr>
        <w:t xml:space="preserve">, 2022; </w:t>
      </w:r>
      <w:proofErr w:type="spellStart"/>
      <w:r w:rsidRPr="00097749">
        <w:rPr>
          <w:color w:val="000000" w:themeColor="text1"/>
        </w:rPr>
        <w:t>Liony</w:t>
      </w:r>
      <w:proofErr w:type="spellEnd"/>
      <w:r w:rsidRPr="00097749">
        <w:rPr>
          <w:color w:val="000000" w:themeColor="text1"/>
        </w:rPr>
        <w:t>, 2023).</w:t>
      </w:r>
    </w:p>
    <w:p w14:paraId="5FB65014" w14:textId="77777777" w:rsidR="00097749" w:rsidRPr="00097749" w:rsidRDefault="00097749" w:rsidP="00097749">
      <w:pPr>
        <w:pStyle w:val="BodyText"/>
        <w:rPr>
          <w:color w:val="000000" w:themeColor="text1"/>
        </w:rPr>
      </w:pPr>
      <w:r w:rsidRPr="00097749">
        <w:rPr>
          <w:color w:val="000000" w:themeColor="text1"/>
        </w:rPr>
        <w:t>H9: Service innovation mediates the relationship between enabling factors and patient satisfaction.</w:t>
      </w:r>
    </w:p>
    <w:p w14:paraId="702AEC79" w14:textId="77777777" w:rsidR="00097749" w:rsidRPr="00097749" w:rsidRDefault="00097749" w:rsidP="00097749">
      <w:pPr>
        <w:pStyle w:val="BodyText"/>
        <w:rPr>
          <w:color w:val="000000" w:themeColor="text1"/>
        </w:rPr>
      </w:pPr>
      <w:r w:rsidRPr="00097749">
        <w:rPr>
          <w:color w:val="000000" w:themeColor="text1"/>
        </w:rPr>
        <w:t xml:space="preserve">Although enabling resources alone may not directly predict satisfaction, the influence can be channeled through innovation, such as fast-track service or digital reminders that improve perceived responsiveness (Moura et al., 2023; </w:t>
      </w:r>
      <w:proofErr w:type="spellStart"/>
      <w:r w:rsidRPr="00097749">
        <w:rPr>
          <w:color w:val="000000" w:themeColor="text1"/>
        </w:rPr>
        <w:t>Dumalanede</w:t>
      </w:r>
      <w:proofErr w:type="spellEnd"/>
      <w:r w:rsidRPr="00097749">
        <w:rPr>
          <w:color w:val="000000" w:themeColor="text1"/>
        </w:rPr>
        <w:t xml:space="preserve"> et al., 2020; Islam, 2021; Khan et al., 2021; Li et al., 2023).</w:t>
      </w:r>
    </w:p>
    <w:p w14:paraId="39BEDCA9" w14:textId="77777777" w:rsidR="00097749" w:rsidRPr="00097749" w:rsidRDefault="00097749" w:rsidP="00097749">
      <w:pPr>
        <w:pStyle w:val="BodyText"/>
        <w:rPr>
          <w:color w:val="000000" w:themeColor="text1"/>
        </w:rPr>
      </w:pPr>
      <w:r w:rsidRPr="00097749">
        <w:rPr>
          <w:color w:val="000000" w:themeColor="text1"/>
        </w:rPr>
        <w:t>H10: Service innovation mediates the relationship between reinforcing factors and patient satisfaction.</w:t>
      </w:r>
    </w:p>
    <w:p w14:paraId="6A241F3A" w14:textId="77777777" w:rsidR="00097749" w:rsidRPr="00097749" w:rsidRDefault="00097749" w:rsidP="00097749">
      <w:pPr>
        <w:pStyle w:val="BodyText"/>
        <w:rPr>
          <w:color w:val="000000" w:themeColor="text1"/>
        </w:rPr>
      </w:pPr>
      <w:r w:rsidRPr="00097749">
        <w:rPr>
          <w:color w:val="000000" w:themeColor="text1"/>
        </w:rPr>
        <w:t>Reinforcing factors such as family and provider support become more effective when operationalized through innovative practices, including supervised treatment and home visits, which directly impact satisfaction (</w:t>
      </w:r>
      <w:proofErr w:type="spellStart"/>
      <w:r w:rsidRPr="00097749">
        <w:rPr>
          <w:color w:val="000000" w:themeColor="text1"/>
        </w:rPr>
        <w:t>Poespoprodjo</w:t>
      </w:r>
      <w:proofErr w:type="spellEnd"/>
      <w:r w:rsidRPr="00097749">
        <w:rPr>
          <w:color w:val="000000" w:themeColor="text1"/>
        </w:rPr>
        <w:t xml:space="preserve"> et al., 2022; </w:t>
      </w:r>
      <w:proofErr w:type="spellStart"/>
      <w:r w:rsidRPr="00097749">
        <w:rPr>
          <w:color w:val="000000" w:themeColor="text1"/>
        </w:rPr>
        <w:t>Rumimpunu</w:t>
      </w:r>
      <w:proofErr w:type="spellEnd"/>
      <w:r w:rsidRPr="00097749">
        <w:rPr>
          <w:color w:val="000000" w:themeColor="text1"/>
        </w:rPr>
        <w:t xml:space="preserve"> et al., 2020; </w:t>
      </w:r>
      <w:proofErr w:type="spellStart"/>
      <w:r w:rsidRPr="00097749">
        <w:rPr>
          <w:color w:val="000000" w:themeColor="text1"/>
        </w:rPr>
        <w:t>Liony</w:t>
      </w:r>
      <w:proofErr w:type="spellEnd"/>
      <w:r w:rsidRPr="00097749">
        <w:rPr>
          <w:color w:val="000000" w:themeColor="text1"/>
        </w:rPr>
        <w:t xml:space="preserve">, 2023; Khan et al., 2021; </w:t>
      </w:r>
      <w:proofErr w:type="spellStart"/>
      <w:r w:rsidRPr="00097749">
        <w:rPr>
          <w:color w:val="000000" w:themeColor="text1"/>
        </w:rPr>
        <w:t>Sucahyo</w:t>
      </w:r>
      <w:proofErr w:type="spellEnd"/>
      <w:r w:rsidRPr="00097749">
        <w:rPr>
          <w:color w:val="000000" w:themeColor="text1"/>
        </w:rPr>
        <w:t>, 2022).</w:t>
      </w:r>
    </w:p>
    <w:p w14:paraId="06CEDA20" w14:textId="77777777" w:rsidR="00097749" w:rsidRPr="00097749" w:rsidRDefault="00097749" w:rsidP="00097749">
      <w:pPr>
        <w:pStyle w:val="BodyText"/>
        <w:rPr>
          <w:color w:val="000000" w:themeColor="text1"/>
        </w:rPr>
      </w:pPr>
      <w:r w:rsidRPr="00097749">
        <w:rPr>
          <w:color w:val="000000" w:themeColor="text1"/>
        </w:rPr>
        <w:t>These hypotheses collectively form a coherent model connecting behavioral determinants of adherence with patient satisfaction through the mediating role of service innovation. This framework not only advances Andersen model theoretically but also provides a robust empirical basis for designing patient-centered malaria interventions in resource-limited contexts such as Papua.</w:t>
      </w:r>
    </w:p>
    <w:p w14:paraId="4892C03C" w14:textId="77777777" w:rsidR="00097749" w:rsidRPr="00097749" w:rsidRDefault="00097749" w:rsidP="00097749">
      <w:pPr>
        <w:pStyle w:val="BodyText"/>
        <w:rPr>
          <w:b/>
          <w:bCs/>
          <w:color w:val="000000" w:themeColor="text1"/>
        </w:rPr>
      </w:pPr>
      <w:r w:rsidRPr="00097749">
        <w:rPr>
          <w:b/>
          <w:bCs/>
          <w:color w:val="000000" w:themeColor="text1"/>
        </w:rPr>
        <w:t>3. Methodology</w:t>
      </w:r>
    </w:p>
    <w:p w14:paraId="40E5A9FE" w14:textId="77777777" w:rsidR="00097749" w:rsidRPr="00097749" w:rsidRDefault="00097749" w:rsidP="00097749">
      <w:pPr>
        <w:pStyle w:val="BodyText"/>
        <w:rPr>
          <w:b/>
          <w:bCs/>
          <w:color w:val="000000" w:themeColor="text1"/>
        </w:rPr>
      </w:pPr>
      <w:r w:rsidRPr="00097749">
        <w:rPr>
          <w:b/>
          <w:bCs/>
          <w:color w:val="000000" w:themeColor="text1"/>
        </w:rPr>
        <w:t>3.1 Study Design</w:t>
      </w:r>
    </w:p>
    <w:p w14:paraId="45B75A34" w14:textId="77777777" w:rsidR="00097749" w:rsidRPr="00097749" w:rsidRDefault="00097749" w:rsidP="00097749">
      <w:pPr>
        <w:pStyle w:val="BodyText"/>
        <w:rPr>
          <w:color w:val="000000" w:themeColor="text1"/>
        </w:rPr>
      </w:pPr>
      <w:r w:rsidRPr="00097749">
        <w:rPr>
          <w:color w:val="000000" w:themeColor="text1"/>
        </w:rPr>
        <w:t>This study used a quantitative cross-sectional design, which is appropriate for examining associations between latent variables at a single point in time. The design allows the identification of direct and indirect effects among constructs, including the mediating role of service innovation, without requiring longitudinal follow-up. This approach has been widely used in health service studies where the aim is to validate conceptual models and test hypothesized relationships (Hair et al., 2019; Babitsch et al., 2019).</w:t>
      </w:r>
    </w:p>
    <w:p w14:paraId="260C4A12" w14:textId="77777777" w:rsidR="00097749" w:rsidRPr="00097749" w:rsidRDefault="00097749" w:rsidP="00097749">
      <w:pPr>
        <w:pStyle w:val="BodyText"/>
        <w:rPr>
          <w:b/>
          <w:bCs/>
          <w:color w:val="000000" w:themeColor="text1"/>
        </w:rPr>
      </w:pPr>
      <w:r w:rsidRPr="00097749">
        <w:rPr>
          <w:b/>
          <w:bCs/>
          <w:color w:val="000000" w:themeColor="text1"/>
        </w:rPr>
        <w:t>3.2 Study Setting</w:t>
      </w:r>
    </w:p>
    <w:p w14:paraId="40824B76" w14:textId="77777777" w:rsidR="00097749" w:rsidRPr="00097749" w:rsidRDefault="00097749" w:rsidP="00097749">
      <w:pPr>
        <w:pStyle w:val="BodyText"/>
        <w:rPr>
          <w:color w:val="000000" w:themeColor="text1"/>
        </w:rPr>
      </w:pPr>
      <w:r w:rsidRPr="00097749">
        <w:rPr>
          <w:color w:val="000000" w:themeColor="text1"/>
        </w:rPr>
        <w:t>This study was conducted at Wania Community Health Center (</w:t>
      </w:r>
      <w:proofErr w:type="spellStart"/>
      <w:r w:rsidRPr="00097749">
        <w:rPr>
          <w:color w:val="000000" w:themeColor="text1"/>
        </w:rPr>
        <w:t>Puskesmas</w:t>
      </w:r>
      <w:proofErr w:type="spellEnd"/>
      <w:r w:rsidRPr="00097749">
        <w:rPr>
          <w:color w:val="000000" w:themeColor="text1"/>
        </w:rPr>
        <w:t xml:space="preserve"> </w:t>
      </w:r>
      <w:proofErr w:type="spellStart"/>
      <w:r w:rsidRPr="00097749">
        <w:rPr>
          <w:color w:val="000000" w:themeColor="text1"/>
        </w:rPr>
        <w:t>Wania</w:t>
      </w:r>
      <w:proofErr w:type="spellEnd"/>
      <w:r w:rsidRPr="00097749">
        <w:rPr>
          <w:color w:val="000000" w:themeColor="text1"/>
        </w:rPr>
        <w:t xml:space="preserve">), located in </w:t>
      </w:r>
      <w:proofErr w:type="spellStart"/>
      <w:r w:rsidRPr="00097749">
        <w:rPr>
          <w:color w:val="000000" w:themeColor="text1"/>
        </w:rPr>
        <w:t>Mimika</w:t>
      </w:r>
      <w:proofErr w:type="spellEnd"/>
      <w:r w:rsidRPr="00097749">
        <w:rPr>
          <w:color w:val="000000" w:themeColor="text1"/>
        </w:rPr>
        <w:t xml:space="preserve"> District, Central Papua Province, Indonesia. This site was selected because it consistently reported the highest malaria incidence in the region over the past three years, with an Annual Parasite Incidence (API) exceeding 400 per 1,000 population, which is 400 times higher than the national elimination target of less than 1 per 1,000 (Ministry of Health, 2022). Among the ten community health centers in Timika, Wania recorded the largest number of malaria cases, making it an appropriate setting for this study.</w:t>
      </w:r>
    </w:p>
    <w:p w14:paraId="6195CD2D" w14:textId="77777777" w:rsidR="00097749" w:rsidRPr="00097749" w:rsidRDefault="00097749" w:rsidP="00097749">
      <w:pPr>
        <w:pStyle w:val="BodyText"/>
        <w:rPr>
          <w:b/>
          <w:bCs/>
          <w:color w:val="000000" w:themeColor="text1"/>
        </w:rPr>
      </w:pPr>
      <w:r w:rsidRPr="00097749">
        <w:rPr>
          <w:b/>
          <w:bCs/>
          <w:color w:val="000000" w:themeColor="text1"/>
        </w:rPr>
        <w:t>3.3 Population and Sampling</w:t>
      </w:r>
    </w:p>
    <w:p w14:paraId="4AED12FC" w14:textId="77777777" w:rsidR="00097749" w:rsidRPr="00097749" w:rsidRDefault="00097749" w:rsidP="00097749">
      <w:pPr>
        <w:pStyle w:val="BodyText"/>
        <w:rPr>
          <w:color w:val="000000" w:themeColor="text1"/>
        </w:rPr>
      </w:pPr>
      <w:r w:rsidRPr="00097749">
        <w:rPr>
          <w:color w:val="000000" w:themeColor="text1"/>
        </w:rPr>
        <w:lastRenderedPageBreak/>
        <w:t xml:space="preserve">The population consisted of all patient diagnosed with malaria at </w:t>
      </w:r>
      <w:proofErr w:type="spellStart"/>
      <w:r w:rsidRPr="00097749">
        <w:rPr>
          <w:color w:val="000000" w:themeColor="text1"/>
        </w:rPr>
        <w:t>Puskesmas</w:t>
      </w:r>
      <w:proofErr w:type="spellEnd"/>
      <w:r w:rsidRPr="00097749">
        <w:rPr>
          <w:color w:val="000000" w:themeColor="text1"/>
        </w:rPr>
        <w:t xml:space="preserve"> </w:t>
      </w:r>
      <w:proofErr w:type="spellStart"/>
      <w:r w:rsidRPr="00097749">
        <w:rPr>
          <w:color w:val="000000" w:themeColor="text1"/>
        </w:rPr>
        <w:t>Wania</w:t>
      </w:r>
      <w:proofErr w:type="spellEnd"/>
      <w:r w:rsidRPr="00097749">
        <w:rPr>
          <w:color w:val="000000" w:themeColor="text1"/>
        </w:rPr>
        <w:t xml:space="preserve"> between 2021 and 2023. From this population, a sample of 220 respondents was determined using Slovin’s formula with a 5% margin of error, ensuring adequate representation. A simple random sampling technique was used to minimize bias and enhance the generalizability of the results.</w:t>
      </w:r>
    </w:p>
    <w:p w14:paraId="03FE2D02" w14:textId="77777777" w:rsidR="00097749" w:rsidRPr="00097749" w:rsidRDefault="00097749" w:rsidP="00097749">
      <w:pPr>
        <w:pStyle w:val="BodyText"/>
        <w:rPr>
          <w:b/>
          <w:bCs/>
          <w:color w:val="000000" w:themeColor="text1"/>
        </w:rPr>
      </w:pPr>
      <w:r w:rsidRPr="00097749">
        <w:rPr>
          <w:b/>
          <w:bCs/>
          <w:color w:val="000000" w:themeColor="text1"/>
        </w:rPr>
        <w:t>3.4 Inclusion Criteria</w:t>
      </w:r>
    </w:p>
    <w:p w14:paraId="491168F0" w14:textId="77777777" w:rsidR="00097749" w:rsidRPr="00097749" w:rsidRDefault="00097749" w:rsidP="00097749">
      <w:pPr>
        <w:pStyle w:val="BodyText"/>
        <w:rPr>
          <w:color w:val="000000" w:themeColor="text1"/>
        </w:rPr>
      </w:pPr>
      <w:r w:rsidRPr="00097749">
        <w:rPr>
          <w:color w:val="000000" w:themeColor="text1"/>
        </w:rPr>
        <w:t xml:space="preserve">Respondents were outpatient diagnosed with Plasmodium vivax malaria who were residents within the catchment area of </w:t>
      </w:r>
      <w:proofErr w:type="spellStart"/>
      <w:r w:rsidRPr="00097749">
        <w:rPr>
          <w:color w:val="000000" w:themeColor="text1"/>
        </w:rPr>
        <w:t>Puskesmas</w:t>
      </w:r>
      <w:proofErr w:type="spellEnd"/>
      <w:r w:rsidRPr="00097749">
        <w:rPr>
          <w:color w:val="000000" w:themeColor="text1"/>
        </w:rPr>
        <w:t xml:space="preserve"> </w:t>
      </w:r>
      <w:proofErr w:type="spellStart"/>
      <w:r w:rsidRPr="00097749">
        <w:rPr>
          <w:color w:val="000000" w:themeColor="text1"/>
        </w:rPr>
        <w:t>Wania</w:t>
      </w:r>
      <w:proofErr w:type="spellEnd"/>
      <w:r w:rsidRPr="00097749">
        <w:rPr>
          <w:color w:val="000000" w:themeColor="text1"/>
        </w:rPr>
        <w:t>, as verified by the National Identity Card or Family Card. Eligible respondents were patient aged 14 years and above presenting with mild malaria symptoms during the data collection period (November 2023–January 2024), as well as parents or guardians of children who had been diagnosed with malaria during the same timeframe. Only those who showed the ability to read and write, and who did not suffer from severe hearing or visual impairments that could interfere with participation, were considered for inclusion. Furthermore, respondents were required to provide written informed consent, ensuring voluntary participation in the study. These criteria ensured that the sample reflected patient or caregivers directly affected by malaria vivax and capable of reliably responding to the survey.</w:t>
      </w:r>
    </w:p>
    <w:p w14:paraId="3BF39668" w14:textId="77777777" w:rsidR="00097749" w:rsidRPr="00097749" w:rsidRDefault="00097749" w:rsidP="00097749">
      <w:pPr>
        <w:pStyle w:val="BodyText"/>
        <w:rPr>
          <w:b/>
          <w:bCs/>
          <w:color w:val="000000" w:themeColor="text1"/>
        </w:rPr>
      </w:pPr>
      <w:r w:rsidRPr="00097749">
        <w:rPr>
          <w:b/>
          <w:bCs/>
          <w:color w:val="000000" w:themeColor="text1"/>
        </w:rPr>
        <w:t>3.5 Data Sources and Collection</w:t>
      </w:r>
    </w:p>
    <w:p w14:paraId="0ADDD7BF" w14:textId="77777777" w:rsidR="00097749" w:rsidRPr="00097749" w:rsidRDefault="00097749" w:rsidP="00097749">
      <w:pPr>
        <w:pStyle w:val="BodyText"/>
        <w:rPr>
          <w:color w:val="000000" w:themeColor="text1"/>
        </w:rPr>
      </w:pPr>
      <w:r w:rsidRPr="00097749">
        <w:rPr>
          <w:color w:val="000000" w:themeColor="text1"/>
        </w:rPr>
        <w:t xml:space="preserve">This study used both primary and secondary data to provide a comprehensive understanding of malaria care in </w:t>
      </w:r>
      <w:proofErr w:type="spellStart"/>
      <w:r w:rsidRPr="00097749">
        <w:rPr>
          <w:color w:val="000000" w:themeColor="text1"/>
        </w:rPr>
        <w:t>Mimika</w:t>
      </w:r>
      <w:proofErr w:type="spellEnd"/>
      <w:r w:rsidRPr="00097749">
        <w:rPr>
          <w:color w:val="000000" w:themeColor="text1"/>
        </w:rPr>
        <w:t xml:space="preserve">. Primary data were collected through structured questionnaires administered in face-to-face interviews with respondents selected through simple random sampling. Trained enumerators assisted respondents during the process to minimize potential difficulties related to literacy. The questionnaires were designed to capture the three dimensions of treatment adherence, namely predisposing, enabling, and reinforcing factors, along with service innovation practices and patient satisfaction, using Likert-scale items adapted from validated instruments. Meanwhile, secondary data were obtained from the </w:t>
      </w:r>
      <w:proofErr w:type="spellStart"/>
      <w:r w:rsidRPr="00097749">
        <w:rPr>
          <w:color w:val="000000" w:themeColor="text1"/>
        </w:rPr>
        <w:t>Mimika</w:t>
      </w:r>
      <w:proofErr w:type="spellEnd"/>
      <w:r w:rsidRPr="00097749">
        <w:rPr>
          <w:color w:val="000000" w:themeColor="text1"/>
        </w:rPr>
        <w:t xml:space="preserve"> District Health Office, including official malaria surveillance reports, case records from </w:t>
      </w:r>
      <w:proofErr w:type="spellStart"/>
      <w:r w:rsidRPr="00097749">
        <w:rPr>
          <w:color w:val="000000" w:themeColor="text1"/>
        </w:rPr>
        <w:t>Puskesmas</w:t>
      </w:r>
      <w:proofErr w:type="spellEnd"/>
      <w:r w:rsidRPr="00097749">
        <w:rPr>
          <w:color w:val="000000" w:themeColor="text1"/>
        </w:rPr>
        <w:t xml:space="preserve"> </w:t>
      </w:r>
      <w:proofErr w:type="spellStart"/>
      <w:r w:rsidRPr="00097749">
        <w:rPr>
          <w:color w:val="000000" w:themeColor="text1"/>
        </w:rPr>
        <w:t>Wania</w:t>
      </w:r>
      <w:proofErr w:type="spellEnd"/>
      <w:r w:rsidRPr="00097749">
        <w:rPr>
          <w:color w:val="000000" w:themeColor="text1"/>
        </w:rPr>
        <w:t xml:space="preserve"> spanning 2021 to 2023, and the results of a mass blood survey conducted between November 2022 and February 2023 by the District Health Office in collaboration with PT Freeport Indonesia. These secondary sources provided contextual information and served to triangulate the results from the primary data, thereby strengthening the validity of the study.</w:t>
      </w:r>
    </w:p>
    <w:p w14:paraId="7BAA6432" w14:textId="77777777" w:rsidR="00097749" w:rsidRPr="00097749" w:rsidRDefault="00097749" w:rsidP="00097749">
      <w:pPr>
        <w:pStyle w:val="BodyText"/>
        <w:rPr>
          <w:b/>
          <w:bCs/>
          <w:color w:val="000000" w:themeColor="text1"/>
        </w:rPr>
      </w:pPr>
      <w:r w:rsidRPr="00097749">
        <w:rPr>
          <w:b/>
          <w:bCs/>
          <w:color w:val="000000" w:themeColor="text1"/>
        </w:rPr>
        <w:t>3.6 Ethical Considerations</w:t>
      </w:r>
    </w:p>
    <w:p w14:paraId="52D2B9A4" w14:textId="77777777" w:rsidR="00097749" w:rsidRPr="00097749" w:rsidRDefault="00097749" w:rsidP="00097749">
      <w:pPr>
        <w:pStyle w:val="BodyText"/>
        <w:rPr>
          <w:color w:val="000000" w:themeColor="text1"/>
        </w:rPr>
      </w:pPr>
      <w:r w:rsidRPr="00097749">
        <w:rPr>
          <w:color w:val="000000" w:themeColor="text1"/>
        </w:rPr>
        <w:t xml:space="preserve">Ethical clearance was obtained from the Institutional Review Board (IRB) of </w:t>
      </w:r>
      <w:proofErr w:type="spellStart"/>
      <w:r w:rsidRPr="00097749">
        <w:rPr>
          <w:color w:val="000000" w:themeColor="text1"/>
        </w:rPr>
        <w:t>Universitas</w:t>
      </w:r>
      <w:proofErr w:type="spellEnd"/>
      <w:r w:rsidRPr="00097749">
        <w:rPr>
          <w:color w:val="000000" w:themeColor="text1"/>
        </w:rPr>
        <w:t xml:space="preserve"> </w:t>
      </w:r>
      <w:proofErr w:type="spellStart"/>
      <w:r w:rsidRPr="00097749">
        <w:rPr>
          <w:color w:val="000000" w:themeColor="text1"/>
        </w:rPr>
        <w:t>Trisakti</w:t>
      </w:r>
      <w:proofErr w:type="spellEnd"/>
      <w:r w:rsidRPr="00097749">
        <w:rPr>
          <w:color w:val="000000" w:themeColor="text1"/>
        </w:rPr>
        <w:t xml:space="preserve"> (Approval No. 2023-IRB-XXX). All respondents provided informed consent before enrollment. Confidentiality and anonymity were ensured by coding responses and securely storing data. The study adhered to the principles of the Declaration of Helsinki (2013 revision) regarding the protection of human subjects.</w:t>
      </w:r>
    </w:p>
    <w:p w14:paraId="79289C92" w14:textId="77777777" w:rsidR="00097749" w:rsidRPr="00097749" w:rsidRDefault="00097749" w:rsidP="00097749">
      <w:pPr>
        <w:pStyle w:val="BodyText"/>
        <w:rPr>
          <w:b/>
          <w:bCs/>
          <w:color w:val="000000" w:themeColor="text1"/>
        </w:rPr>
      </w:pPr>
      <w:r w:rsidRPr="00097749">
        <w:rPr>
          <w:b/>
          <w:bCs/>
          <w:color w:val="000000" w:themeColor="text1"/>
        </w:rPr>
        <w:t>3.7 Instrument Reliability and Validity</w:t>
      </w:r>
    </w:p>
    <w:p w14:paraId="260B7EA2" w14:textId="77777777" w:rsidR="00097749" w:rsidRPr="00097749" w:rsidRDefault="00097749" w:rsidP="00097749">
      <w:pPr>
        <w:pStyle w:val="BodyText"/>
        <w:rPr>
          <w:color w:val="000000" w:themeColor="text1"/>
        </w:rPr>
      </w:pPr>
      <w:r w:rsidRPr="00097749">
        <w:rPr>
          <w:color w:val="000000" w:themeColor="text1"/>
        </w:rPr>
        <w:t xml:space="preserve">To ensure the robustness of the measurement model, reliability and validity tests were conducted using </w:t>
      </w:r>
      <w:proofErr w:type="spellStart"/>
      <w:r w:rsidRPr="00097749">
        <w:rPr>
          <w:color w:val="000000" w:themeColor="text1"/>
        </w:rPr>
        <w:t>SmartPLS</w:t>
      </w:r>
      <w:proofErr w:type="spellEnd"/>
      <w:r w:rsidRPr="00097749">
        <w:rPr>
          <w:color w:val="000000" w:themeColor="text1"/>
        </w:rPr>
        <w:t xml:space="preserve"> version 4. Reliability was assessed through Cronbach’s Alpha, Composite Reliability (CR), and </w:t>
      </w:r>
      <w:proofErr w:type="spellStart"/>
      <w:r w:rsidRPr="00097749">
        <w:rPr>
          <w:color w:val="000000" w:themeColor="text1"/>
        </w:rPr>
        <w:t>rho_A</w:t>
      </w:r>
      <w:proofErr w:type="spellEnd"/>
      <w:r w:rsidRPr="00097749">
        <w:rPr>
          <w:color w:val="000000" w:themeColor="text1"/>
        </w:rPr>
        <w:t xml:space="preserve">, while validity was tested through Average Variance Extracted (AVE), </w:t>
      </w:r>
      <w:proofErr w:type="spellStart"/>
      <w:r w:rsidRPr="00097749">
        <w:rPr>
          <w:color w:val="000000" w:themeColor="text1"/>
        </w:rPr>
        <w:t>Fornell</w:t>
      </w:r>
      <w:proofErr w:type="spellEnd"/>
      <w:r w:rsidRPr="00097749">
        <w:rPr>
          <w:color w:val="000000" w:themeColor="text1"/>
        </w:rPr>
        <w:t>–</w:t>
      </w:r>
      <w:proofErr w:type="spellStart"/>
      <w:r w:rsidRPr="00097749">
        <w:rPr>
          <w:color w:val="000000" w:themeColor="text1"/>
        </w:rPr>
        <w:t>Larcker</w:t>
      </w:r>
      <w:proofErr w:type="spellEnd"/>
      <w:r w:rsidRPr="00097749">
        <w:rPr>
          <w:color w:val="000000" w:themeColor="text1"/>
        </w:rPr>
        <w:t xml:space="preserve"> criterion, and </w:t>
      </w:r>
      <w:proofErr w:type="spellStart"/>
      <w:r w:rsidRPr="00097749">
        <w:rPr>
          <w:color w:val="000000" w:themeColor="text1"/>
        </w:rPr>
        <w:t>Heterotrait</w:t>
      </w:r>
      <w:proofErr w:type="spellEnd"/>
      <w:r w:rsidRPr="00097749">
        <w:rPr>
          <w:color w:val="000000" w:themeColor="text1"/>
        </w:rPr>
        <w:t>–</w:t>
      </w:r>
      <w:proofErr w:type="spellStart"/>
      <w:r w:rsidRPr="00097749">
        <w:rPr>
          <w:color w:val="000000" w:themeColor="text1"/>
        </w:rPr>
        <w:t>Monotrait</w:t>
      </w:r>
      <w:proofErr w:type="spellEnd"/>
      <w:r w:rsidRPr="00097749">
        <w:rPr>
          <w:color w:val="000000" w:themeColor="text1"/>
        </w:rPr>
        <w:t xml:space="preserve"> Ratio (HTMT).</w:t>
      </w:r>
    </w:p>
    <w:p w14:paraId="2205CE6A" w14:textId="77777777" w:rsidR="00097749" w:rsidRPr="00097749" w:rsidRDefault="00097749" w:rsidP="00097749">
      <w:pPr>
        <w:spacing w:before="100" w:beforeAutospacing="1" w:after="100" w:afterAutospacing="1"/>
        <w:jc w:val="center"/>
        <w:outlineLvl w:val="2"/>
        <w:rPr>
          <w:color w:val="000000" w:themeColor="text1"/>
          <w:sz w:val="27"/>
          <w:szCs w:val="27"/>
          <w:lang w:val="en-ID" w:eastAsia="en-ID"/>
        </w:rPr>
      </w:pPr>
      <w:r w:rsidRPr="00097749">
        <w:rPr>
          <w:color w:val="000000" w:themeColor="text1"/>
          <w:sz w:val="27"/>
          <w:szCs w:val="27"/>
          <w:lang w:val="en-ID" w:eastAsia="en-ID"/>
        </w:rPr>
        <w:t>Table 2. Summary of Construct Reliability and Validity</w:t>
      </w: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1455"/>
        <w:gridCol w:w="1362"/>
        <w:gridCol w:w="1418"/>
        <w:gridCol w:w="1412"/>
        <w:gridCol w:w="1202"/>
        <w:gridCol w:w="2694"/>
      </w:tblGrid>
      <w:tr w:rsidR="00097749" w:rsidRPr="00097749" w14:paraId="2845DDD7" w14:textId="77777777" w:rsidTr="007B535D">
        <w:trPr>
          <w:tblHeader/>
          <w:tblCellSpacing w:w="15" w:type="dxa"/>
        </w:trPr>
        <w:tc>
          <w:tcPr>
            <w:tcW w:w="0" w:type="auto"/>
            <w:tcBorders>
              <w:top w:val="single" w:sz="4" w:space="0" w:color="auto"/>
              <w:bottom w:val="single" w:sz="4" w:space="0" w:color="auto"/>
            </w:tcBorders>
            <w:vAlign w:val="center"/>
            <w:hideMark/>
          </w:tcPr>
          <w:p w14:paraId="53CC8FE0"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lastRenderedPageBreak/>
              <w:t>Construct</w:t>
            </w:r>
          </w:p>
        </w:tc>
        <w:tc>
          <w:tcPr>
            <w:tcW w:w="0" w:type="auto"/>
            <w:tcBorders>
              <w:top w:val="single" w:sz="4" w:space="0" w:color="auto"/>
              <w:bottom w:val="single" w:sz="4" w:space="0" w:color="auto"/>
            </w:tcBorders>
            <w:vAlign w:val="center"/>
            <w:hideMark/>
          </w:tcPr>
          <w:p w14:paraId="69B85645"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Cronbach’s Alpha</w:t>
            </w:r>
          </w:p>
        </w:tc>
        <w:tc>
          <w:tcPr>
            <w:tcW w:w="0" w:type="auto"/>
            <w:tcBorders>
              <w:top w:val="single" w:sz="4" w:space="0" w:color="auto"/>
              <w:bottom w:val="single" w:sz="4" w:space="0" w:color="auto"/>
            </w:tcBorders>
            <w:vAlign w:val="center"/>
            <w:hideMark/>
          </w:tcPr>
          <w:p w14:paraId="5FD2835C"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Composite Reliability (CR)</w:t>
            </w:r>
          </w:p>
        </w:tc>
        <w:tc>
          <w:tcPr>
            <w:tcW w:w="0" w:type="auto"/>
            <w:tcBorders>
              <w:top w:val="single" w:sz="4" w:space="0" w:color="auto"/>
              <w:bottom w:val="single" w:sz="4" w:space="0" w:color="auto"/>
            </w:tcBorders>
            <w:vAlign w:val="center"/>
            <w:hideMark/>
          </w:tcPr>
          <w:p w14:paraId="2A0648A6"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Average Variance Extracted (AVE)</w:t>
            </w:r>
          </w:p>
        </w:tc>
        <w:tc>
          <w:tcPr>
            <w:tcW w:w="1172" w:type="dxa"/>
            <w:tcBorders>
              <w:top w:val="single" w:sz="4" w:space="0" w:color="auto"/>
              <w:bottom w:val="single" w:sz="4" w:space="0" w:color="auto"/>
            </w:tcBorders>
            <w:vAlign w:val="center"/>
            <w:hideMark/>
          </w:tcPr>
          <w:p w14:paraId="4E1DD52E"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HTMT Range</w:t>
            </w:r>
          </w:p>
        </w:tc>
        <w:tc>
          <w:tcPr>
            <w:tcW w:w="2649" w:type="dxa"/>
            <w:tcBorders>
              <w:top w:val="single" w:sz="4" w:space="0" w:color="auto"/>
              <w:bottom w:val="single" w:sz="4" w:space="0" w:color="auto"/>
            </w:tcBorders>
            <w:vAlign w:val="center"/>
            <w:hideMark/>
          </w:tcPr>
          <w:p w14:paraId="69882D7C"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Notes</w:t>
            </w:r>
          </w:p>
        </w:tc>
      </w:tr>
      <w:tr w:rsidR="00097749" w:rsidRPr="00097749" w14:paraId="65C98A7F" w14:textId="77777777" w:rsidTr="007B535D">
        <w:trPr>
          <w:tblCellSpacing w:w="15" w:type="dxa"/>
        </w:trPr>
        <w:tc>
          <w:tcPr>
            <w:tcW w:w="0" w:type="auto"/>
            <w:vAlign w:val="center"/>
            <w:hideMark/>
          </w:tcPr>
          <w:p w14:paraId="1B5C5B3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Predisposing Factors</w:t>
            </w:r>
          </w:p>
        </w:tc>
        <w:tc>
          <w:tcPr>
            <w:tcW w:w="0" w:type="auto"/>
            <w:vAlign w:val="center"/>
            <w:hideMark/>
          </w:tcPr>
          <w:p w14:paraId="4125471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0.791</w:t>
            </w:r>
          </w:p>
        </w:tc>
        <w:tc>
          <w:tcPr>
            <w:tcW w:w="0" w:type="auto"/>
            <w:vAlign w:val="center"/>
            <w:hideMark/>
          </w:tcPr>
          <w:p w14:paraId="4E24467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0.862</w:t>
            </w:r>
          </w:p>
        </w:tc>
        <w:tc>
          <w:tcPr>
            <w:tcW w:w="0" w:type="auto"/>
            <w:vAlign w:val="center"/>
            <w:hideMark/>
          </w:tcPr>
          <w:p w14:paraId="60AF532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0.590</w:t>
            </w:r>
          </w:p>
        </w:tc>
        <w:tc>
          <w:tcPr>
            <w:tcW w:w="1172" w:type="dxa"/>
            <w:vAlign w:val="center"/>
            <w:hideMark/>
          </w:tcPr>
          <w:p w14:paraId="411549B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0.492–0.701</w:t>
            </w:r>
          </w:p>
        </w:tc>
        <w:tc>
          <w:tcPr>
            <w:tcW w:w="2649" w:type="dxa"/>
            <w:vAlign w:val="center"/>
            <w:hideMark/>
          </w:tcPr>
          <w:p w14:paraId="68BAEAA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Reliable, convergent &amp; discriminant validity achieved</w:t>
            </w:r>
          </w:p>
        </w:tc>
      </w:tr>
      <w:tr w:rsidR="00097749" w:rsidRPr="00097749" w14:paraId="06C6F8D2" w14:textId="77777777" w:rsidTr="007B535D">
        <w:trPr>
          <w:tblCellSpacing w:w="15" w:type="dxa"/>
        </w:trPr>
        <w:tc>
          <w:tcPr>
            <w:tcW w:w="0" w:type="auto"/>
            <w:vAlign w:val="center"/>
            <w:hideMark/>
          </w:tcPr>
          <w:p w14:paraId="7FD304F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Enabling Factors</w:t>
            </w:r>
          </w:p>
        </w:tc>
        <w:tc>
          <w:tcPr>
            <w:tcW w:w="0" w:type="auto"/>
            <w:vAlign w:val="center"/>
            <w:hideMark/>
          </w:tcPr>
          <w:p w14:paraId="5D71BDC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0.812</w:t>
            </w:r>
          </w:p>
        </w:tc>
        <w:tc>
          <w:tcPr>
            <w:tcW w:w="0" w:type="auto"/>
            <w:vAlign w:val="center"/>
            <w:hideMark/>
          </w:tcPr>
          <w:p w14:paraId="6F8B9ED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0.875</w:t>
            </w:r>
          </w:p>
        </w:tc>
        <w:tc>
          <w:tcPr>
            <w:tcW w:w="0" w:type="auto"/>
            <w:vAlign w:val="center"/>
            <w:hideMark/>
          </w:tcPr>
          <w:p w14:paraId="5A5891F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0.612</w:t>
            </w:r>
          </w:p>
        </w:tc>
        <w:tc>
          <w:tcPr>
            <w:tcW w:w="1172" w:type="dxa"/>
            <w:vAlign w:val="center"/>
            <w:hideMark/>
          </w:tcPr>
          <w:p w14:paraId="12E57DA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0.501–0.729</w:t>
            </w:r>
          </w:p>
        </w:tc>
        <w:tc>
          <w:tcPr>
            <w:tcW w:w="2649" w:type="dxa"/>
            <w:vAlign w:val="center"/>
            <w:hideMark/>
          </w:tcPr>
          <w:p w14:paraId="0911B12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Reliable, convergent &amp; discriminant validity achieved</w:t>
            </w:r>
          </w:p>
        </w:tc>
      </w:tr>
      <w:tr w:rsidR="00097749" w:rsidRPr="00097749" w14:paraId="6305C432" w14:textId="77777777" w:rsidTr="007B535D">
        <w:trPr>
          <w:tblCellSpacing w:w="15" w:type="dxa"/>
        </w:trPr>
        <w:tc>
          <w:tcPr>
            <w:tcW w:w="0" w:type="auto"/>
            <w:vAlign w:val="center"/>
            <w:hideMark/>
          </w:tcPr>
          <w:p w14:paraId="1A44523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Reinforcing Factors</w:t>
            </w:r>
          </w:p>
        </w:tc>
        <w:tc>
          <w:tcPr>
            <w:tcW w:w="0" w:type="auto"/>
            <w:vAlign w:val="center"/>
            <w:hideMark/>
          </w:tcPr>
          <w:p w14:paraId="4A134EEA"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0.833</w:t>
            </w:r>
          </w:p>
        </w:tc>
        <w:tc>
          <w:tcPr>
            <w:tcW w:w="0" w:type="auto"/>
            <w:vAlign w:val="center"/>
            <w:hideMark/>
          </w:tcPr>
          <w:p w14:paraId="61C74AA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0.889</w:t>
            </w:r>
          </w:p>
        </w:tc>
        <w:tc>
          <w:tcPr>
            <w:tcW w:w="0" w:type="auto"/>
            <w:vAlign w:val="center"/>
            <w:hideMark/>
          </w:tcPr>
          <w:p w14:paraId="3588259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0.631</w:t>
            </w:r>
          </w:p>
        </w:tc>
        <w:tc>
          <w:tcPr>
            <w:tcW w:w="1172" w:type="dxa"/>
            <w:vAlign w:val="center"/>
            <w:hideMark/>
          </w:tcPr>
          <w:p w14:paraId="4315DBE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0.537–0.814</w:t>
            </w:r>
          </w:p>
        </w:tc>
        <w:tc>
          <w:tcPr>
            <w:tcW w:w="2649" w:type="dxa"/>
            <w:vAlign w:val="center"/>
            <w:hideMark/>
          </w:tcPr>
          <w:p w14:paraId="38A3126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Reliable, convergent &amp; discriminant validity achieved</w:t>
            </w:r>
          </w:p>
        </w:tc>
      </w:tr>
      <w:tr w:rsidR="00097749" w:rsidRPr="00097749" w14:paraId="65D9EE0E" w14:textId="77777777" w:rsidTr="007B535D">
        <w:trPr>
          <w:tblCellSpacing w:w="15" w:type="dxa"/>
        </w:trPr>
        <w:tc>
          <w:tcPr>
            <w:tcW w:w="0" w:type="auto"/>
            <w:vAlign w:val="center"/>
            <w:hideMark/>
          </w:tcPr>
          <w:p w14:paraId="6F4496A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Service Innovation</w:t>
            </w:r>
          </w:p>
        </w:tc>
        <w:tc>
          <w:tcPr>
            <w:tcW w:w="0" w:type="auto"/>
            <w:vAlign w:val="center"/>
            <w:hideMark/>
          </w:tcPr>
          <w:p w14:paraId="355401A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0.902</w:t>
            </w:r>
          </w:p>
        </w:tc>
        <w:tc>
          <w:tcPr>
            <w:tcW w:w="0" w:type="auto"/>
            <w:vAlign w:val="center"/>
            <w:hideMark/>
          </w:tcPr>
          <w:p w14:paraId="72D0F32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0.934</w:t>
            </w:r>
          </w:p>
        </w:tc>
        <w:tc>
          <w:tcPr>
            <w:tcW w:w="0" w:type="auto"/>
            <w:vAlign w:val="center"/>
            <w:hideMark/>
          </w:tcPr>
          <w:p w14:paraId="550C3C6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0.689</w:t>
            </w:r>
          </w:p>
        </w:tc>
        <w:tc>
          <w:tcPr>
            <w:tcW w:w="1172" w:type="dxa"/>
            <w:vAlign w:val="center"/>
            <w:hideMark/>
          </w:tcPr>
          <w:p w14:paraId="5176791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0.562–0.871</w:t>
            </w:r>
          </w:p>
        </w:tc>
        <w:tc>
          <w:tcPr>
            <w:tcW w:w="2649" w:type="dxa"/>
            <w:vAlign w:val="center"/>
            <w:hideMark/>
          </w:tcPr>
          <w:p w14:paraId="490F2A6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Excellent reliability, strong convergent &amp; discriminant validity</w:t>
            </w:r>
          </w:p>
        </w:tc>
      </w:tr>
      <w:tr w:rsidR="00097749" w:rsidRPr="00097749" w14:paraId="3900A685" w14:textId="77777777" w:rsidTr="007B535D">
        <w:trPr>
          <w:tblCellSpacing w:w="15" w:type="dxa"/>
        </w:trPr>
        <w:tc>
          <w:tcPr>
            <w:tcW w:w="0" w:type="auto"/>
            <w:tcBorders>
              <w:bottom w:val="single" w:sz="4" w:space="0" w:color="auto"/>
            </w:tcBorders>
            <w:vAlign w:val="center"/>
            <w:hideMark/>
          </w:tcPr>
          <w:p w14:paraId="748E83F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Patient Satisfaction</w:t>
            </w:r>
          </w:p>
        </w:tc>
        <w:tc>
          <w:tcPr>
            <w:tcW w:w="0" w:type="auto"/>
            <w:tcBorders>
              <w:bottom w:val="single" w:sz="4" w:space="0" w:color="auto"/>
            </w:tcBorders>
            <w:vAlign w:val="center"/>
            <w:hideMark/>
          </w:tcPr>
          <w:p w14:paraId="1A69CF16"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0.950</w:t>
            </w:r>
          </w:p>
        </w:tc>
        <w:tc>
          <w:tcPr>
            <w:tcW w:w="0" w:type="auto"/>
            <w:tcBorders>
              <w:bottom w:val="single" w:sz="4" w:space="0" w:color="auto"/>
            </w:tcBorders>
            <w:vAlign w:val="center"/>
            <w:hideMark/>
          </w:tcPr>
          <w:p w14:paraId="683A3A8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0.956</w:t>
            </w:r>
          </w:p>
        </w:tc>
        <w:tc>
          <w:tcPr>
            <w:tcW w:w="0" w:type="auto"/>
            <w:tcBorders>
              <w:bottom w:val="single" w:sz="4" w:space="0" w:color="auto"/>
            </w:tcBorders>
            <w:vAlign w:val="center"/>
            <w:hideMark/>
          </w:tcPr>
          <w:p w14:paraId="1CE5694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0.719</w:t>
            </w:r>
          </w:p>
        </w:tc>
        <w:tc>
          <w:tcPr>
            <w:tcW w:w="1172" w:type="dxa"/>
            <w:tcBorders>
              <w:bottom w:val="single" w:sz="4" w:space="0" w:color="auto"/>
            </w:tcBorders>
            <w:vAlign w:val="center"/>
            <w:hideMark/>
          </w:tcPr>
          <w:p w14:paraId="2805714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0.613–0.894</w:t>
            </w:r>
          </w:p>
        </w:tc>
        <w:tc>
          <w:tcPr>
            <w:tcW w:w="2649" w:type="dxa"/>
            <w:tcBorders>
              <w:bottom w:val="single" w:sz="4" w:space="0" w:color="auto"/>
            </w:tcBorders>
            <w:vAlign w:val="center"/>
            <w:hideMark/>
          </w:tcPr>
          <w:p w14:paraId="73D7CDD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Excellent reliability, strong convergent &amp; discriminant validity</w:t>
            </w:r>
          </w:p>
        </w:tc>
      </w:tr>
    </w:tbl>
    <w:p w14:paraId="69010811" w14:textId="77777777" w:rsidR="00097749" w:rsidRPr="00097749" w:rsidRDefault="00097749" w:rsidP="00097749">
      <w:pPr>
        <w:pStyle w:val="BodyText"/>
        <w:rPr>
          <w:color w:val="000000" w:themeColor="text1"/>
        </w:rPr>
      </w:pPr>
    </w:p>
    <w:p w14:paraId="679F6684" w14:textId="77777777" w:rsidR="00097749" w:rsidRPr="00097749" w:rsidRDefault="00097749" w:rsidP="00097749">
      <w:pPr>
        <w:pStyle w:val="BodyText"/>
        <w:rPr>
          <w:color w:val="000000" w:themeColor="text1"/>
        </w:rPr>
      </w:pPr>
      <w:r w:rsidRPr="00097749">
        <w:rPr>
          <w:color w:val="000000" w:themeColor="text1"/>
        </w:rPr>
        <w:t xml:space="preserve">The results show that all constructs exceeded the minimum thresholds recommended by Hair et al. (2019). Cronbach’s Alpha values ranged from 0.791 to 0.950, exceeding the acceptable level of 0.70. </w:t>
      </w:r>
      <w:r w:rsidRPr="00097749">
        <w:rPr>
          <w:color w:val="000000" w:themeColor="text1"/>
          <w:lang w:val="id-ID"/>
        </w:rPr>
        <w:t>CR</w:t>
      </w:r>
      <w:r w:rsidRPr="00097749">
        <w:rPr>
          <w:color w:val="000000" w:themeColor="text1"/>
        </w:rPr>
        <w:t xml:space="preserve"> values were also high, ranging from 0.862 to 0.956, confirming strong internal consistency. </w:t>
      </w:r>
      <w:r w:rsidRPr="00097749">
        <w:rPr>
          <w:color w:val="000000" w:themeColor="text1"/>
          <w:lang w:val="id-ID"/>
        </w:rPr>
        <w:t>AVE</w:t>
      </w:r>
      <w:r w:rsidRPr="00097749">
        <w:rPr>
          <w:color w:val="000000" w:themeColor="text1"/>
        </w:rPr>
        <w:t xml:space="preserve"> values ranged between 0.59 and 0.719, which are above the threshold of 0.50, </w:t>
      </w:r>
      <w:r w:rsidRPr="00097749">
        <w:rPr>
          <w:color w:val="000000" w:themeColor="text1"/>
          <w:lang w:val="id-ID"/>
        </w:rPr>
        <w:t>showing</w:t>
      </w:r>
      <w:r w:rsidRPr="00097749">
        <w:rPr>
          <w:color w:val="000000" w:themeColor="text1"/>
        </w:rPr>
        <w:t xml:space="preserve"> good convergent validity.</w:t>
      </w:r>
    </w:p>
    <w:p w14:paraId="692CB6D5" w14:textId="77777777" w:rsidR="00097749" w:rsidRPr="00097749" w:rsidRDefault="00097749" w:rsidP="00097749">
      <w:pPr>
        <w:pStyle w:val="BodyText"/>
        <w:rPr>
          <w:color w:val="000000" w:themeColor="text1"/>
        </w:rPr>
      </w:pPr>
      <w:r w:rsidRPr="00097749">
        <w:rPr>
          <w:color w:val="000000" w:themeColor="text1"/>
        </w:rPr>
        <w:t>Discriminant validity was established using multiple criteria. The Fornell–Larcker analysis showed that the square root of AVE for each construct was higher than the correlations with others, confirming adequate discriminant validity. HTMT values for all construct pairs were below 0.90, ranging from 0.492 to 0.894, further confirming discriminant validity. Additionally, cross-loading analysis showed that all items loaded more strongly on the respective constructs than on others, meeting the recommended cut-off of 0.70.</w:t>
      </w:r>
    </w:p>
    <w:p w14:paraId="736F0442" w14:textId="77777777" w:rsidR="00097749" w:rsidRPr="00097749" w:rsidRDefault="00097749" w:rsidP="00097749">
      <w:pPr>
        <w:pStyle w:val="BodyText"/>
        <w:jc w:val="center"/>
        <w:rPr>
          <w:color w:val="000000" w:themeColor="text1"/>
          <w:lang w:val="en-ID" w:eastAsia="en-ID"/>
        </w:rPr>
      </w:pPr>
      <w:r w:rsidRPr="00097749">
        <w:rPr>
          <w:color w:val="000000" w:themeColor="text1"/>
          <w:lang w:val="en-ID" w:eastAsia="en-ID"/>
        </w:rPr>
        <w:t>Table 3. Cross-Loading of Indicators</w:t>
      </w:r>
    </w:p>
    <w:tbl>
      <w:tblPr>
        <w:tblW w:w="9610" w:type="dxa"/>
        <w:tblCellSpacing w:w="15" w:type="dxa"/>
        <w:tblCellMar>
          <w:top w:w="15" w:type="dxa"/>
          <w:left w:w="15" w:type="dxa"/>
          <w:bottom w:w="15" w:type="dxa"/>
          <w:right w:w="15" w:type="dxa"/>
        </w:tblCellMar>
        <w:tblLook w:val="04A0" w:firstRow="1" w:lastRow="0" w:firstColumn="1" w:lastColumn="0" w:noHBand="0" w:noVBand="1"/>
      </w:tblPr>
      <w:tblGrid>
        <w:gridCol w:w="3163"/>
        <w:gridCol w:w="1500"/>
        <w:gridCol w:w="1035"/>
        <w:gridCol w:w="1329"/>
        <w:gridCol w:w="1218"/>
        <w:gridCol w:w="1365"/>
      </w:tblGrid>
      <w:tr w:rsidR="00097749" w:rsidRPr="00097749" w14:paraId="3B26DF67" w14:textId="77777777" w:rsidTr="007B535D">
        <w:trPr>
          <w:tblCellSpacing w:w="15" w:type="dxa"/>
        </w:trPr>
        <w:tc>
          <w:tcPr>
            <w:tcW w:w="3119" w:type="dxa"/>
            <w:tcBorders>
              <w:top w:val="single" w:sz="4" w:space="0" w:color="auto"/>
              <w:bottom w:val="single" w:sz="4" w:space="0" w:color="auto"/>
            </w:tcBorders>
            <w:vAlign w:val="center"/>
            <w:hideMark/>
          </w:tcPr>
          <w:p w14:paraId="050353FD"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Indicator</w:t>
            </w:r>
          </w:p>
        </w:tc>
        <w:tc>
          <w:tcPr>
            <w:tcW w:w="0" w:type="auto"/>
            <w:tcBorders>
              <w:top w:val="single" w:sz="4" w:space="0" w:color="auto"/>
              <w:bottom w:val="single" w:sz="4" w:space="0" w:color="auto"/>
            </w:tcBorders>
            <w:vAlign w:val="center"/>
            <w:hideMark/>
          </w:tcPr>
          <w:p w14:paraId="6BB9B5B3"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Predisposing Factors</w:t>
            </w:r>
          </w:p>
        </w:tc>
        <w:tc>
          <w:tcPr>
            <w:tcW w:w="0" w:type="auto"/>
            <w:tcBorders>
              <w:top w:val="single" w:sz="4" w:space="0" w:color="auto"/>
              <w:bottom w:val="single" w:sz="4" w:space="0" w:color="auto"/>
            </w:tcBorders>
            <w:vAlign w:val="center"/>
            <w:hideMark/>
          </w:tcPr>
          <w:p w14:paraId="4E7C74FC"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Enabling Factors</w:t>
            </w:r>
          </w:p>
        </w:tc>
        <w:tc>
          <w:tcPr>
            <w:tcW w:w="0" w:type="auto"/>
            <w:tcBorders>
              <w:top w:val="single" w:sz="4" w:space="0" w:color="auto"/>
              <w:bottom w:val="single" w:sz="4" w:space="0" w:color="auto"/>
            </w:tcBorders>
            <w:vAlign w:val="center"/>
            <w:hideMark/>
          </w:tcPr>
          <w:p w14:paraId="17A0C330"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Reinforcing Factors</w:t>
            </w:r>
          </w:p>
        </w:tc>
        <w:tc>
          <w:tcPr>
            <w:tcW w:w="0" w:type="auto"/>
            <w:tcBorders>
              <w:top w:val="single" w:sz="4" w:space="0" w:color="auto"/>
              <w:bottom w:val="single" w:sz="4" w:space="0" w:color="auto"/>
            </w:tcBorders>
            <w:vAlign w:val="center"/>
            <w:hideMark/>
          </w:tcPr>
          <w:p w14:paraId="0D6CC189"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Service Innovation</w:t>
            </w:r>
          </w:p>
        </w:tc>
        <w:tc>
          <w:tcPr>
            <w:tcW w:w="0" w:type="auto"/>
            <w:tcBorders>
              <w:top w:val="single" w:sz="4" w:space="0" w:color="auto"/>
              <w:bottom w:val="single" w:sz="4" w:space="0" w:color="auto"/>
            </w:tcBorders>
            <w:vAlign w:val="center"/>
            <w:hideMark/>
          </w:tcPr>
          <w:p w14:paraId="204967FC"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Patient Satisfaction</w:t>
            </w:r>
          </w:p>
        </w:tc>
      </w:tr>
      <w:tr w:rsidR="00097749" w:rsidRPr="00097749" w14:paraId="69BECD88" w14:textId="77777777" w:rsidTr="007B535D">
        <w:trPr>
          <w:tblCellSpacing w:w="15" w:type="dxa"/>
        </w:trPr>
        <w:tc>
          <w:tcPr>
            <w:tcW w:w="3119" w:type="dxa"/>
            <w:vAlign w:val="center"/>
            <w:hideMark/>
          </w:tcPr>
          <w:p w14:paraId="5D55366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PF1 – Knowledge of malaria treatment</w:t>
            </w:r>
          </w:p>
        </w:tc>
        <w:tc>
          <w:tcPr>
            <w:tcW w:w="0" w:type="auto"/>
            <w:vAlign w:val="center"/>
            <w:hideMark/>
          </w:tcPr>
          <w:p w14:paraId="2913F76A"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0.782</w:t>
            </w:r>
          </w:p>
        </w:tc>
        <w:tc>
          <w:tcPr>
            <w:tcW w:w="0" w:type="auto"/>
            <w:vAlign w:val="center"/>
            <w:hideMark/>
          </w:tcPr>
          <w:p w14:paraId="7E075E9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0.412</w:t>
            </w:r>
          </w:p>
        </w:tc>
        <w:tc>
          <w:tcPr>
            <w:tcW w:w="0" w:type="auto"/>
            <w:vAlign w:val="center"/>
            <w:hideMark/>
          </w:tcPr>
          <w:p w14:paraId="7BC5CDA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0.398</w:t>
            </w:r>
          </w:p>
        </w:tc>
        <w:tc>
          <w:tcPr>
            <w:tcW w:w="0" w:type="auto"/>
            <w:vAlign w:val="center"/>
            <w:hideMark/>
          </w:tcPr>
          <w:p w14:paraId="6E7076D5"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0.523</w:t>
            </w:r>
          </w:p>
        </w:tc>
        <w:tc>
          <w:tcPr>
            <w:tcW w:w="0" w:type="auto"/>
            <w:vAlign w:val="center"/>
            <w:hideMark/>
          </w:tcPr>
          <w:p w14:paraId="6B8BB58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0.497</w:t>
            </w:r>
          </w:p>
        </w:tc>
      </w:tr>
      <w:tr w:rsidR="00097749" w:rsidRPr="00097749" w14:paraId="67BB1E64" w14:textId="77777777" w:rsidTr="007B535D">
        <w:trPr>
          <w:tblCellSpacing w:w="15" w:type="dxa"/>
        </w:trPr>
        <w:tc>
          <w:tcPr>
            <w:tcW w:w="3119" w:type="dxa"/>
            <w:vAlign w:val="center"/>
            <w:hideMark/>
          </w:tcPr>
          <w:p w14:paraId="57DFD91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PF2 – Attitude toward completing medication</w:t>
            </w:r>
          </w:p>
        </w:tc>
        <w:tc>
          <w:tcPr>
            <w:tcW w:w="0" w:type="auto"/>
            <w:vAlign w:val="center"/>
            <w:hideMark/>
          </w:tcPr>
          <w:p w14:paraId="4198E6EE"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0.801</w:t>
            </w:r>
          </w:p>
        </w:tc>
        <w:tc>
          <w:tcPr>
            <w:tcW w:w="0" w:type="auto"/>
            <w:vAlign w:val="center"/>
            <w:hideMark/>
          </w:tcPr>
          <w:p w14:paraId="21E0178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0.436</w:t>
            </w:r>
          </w:p>
        </w:tc>
        <w:tc>
          <w:tcPr>
            <w:tcW w:w="0" w:type="auto"/>
            <w:vAlign w:val="center"/>
            <w:hideMark/>
          </w:tcPr>
          <w:p w14:paraId="2CF41C98"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0.421</w:t>
            </w:r>
          </w:p>
        </w:tc>
        <w:tc>
          <w:tcPr>
            <w:tcW w:w="0" w:type="auto"/>
            <w:vAlign w:val="center"/>
            <w:hideMark/>
          </w:tcPr>
          <w:p w14:paraId="2BF9B8A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0.544</w:t>
            </w:r>
          </w:p>
        </w:tc>
        <w:tc>
          <w:tcPr>
            <w:tcW w:w="0" w:type="auto"/>
            <w:vAlign w:val="center"/>
            <w:hideMark/>
          </w:tcPr>
          <w:p w14:paraId="262EAD4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0.518</w:t>
            </w:r>
          </w:p>
        </w:tc>
      </w:tr>
      <w:tr w:rsidR="00097749" w:rsidRPr="00097749" w14:paraId="51341BB0" w14:textId="77777777" w:rsidTr="007B535D">
        <w:trPr>
          <w:tblCellSpacing w:w="15" w:type="dxa"/>
        </w:trPr>
        <w:tc>
          <w:tcPr>
            <w:tcW w:w="3119" w:type="dxa"/>
            <w:vAlign w:val="center"/>
            <w:hideMark/>
          </w:tcPr>
          <w:p w14:paraId="1089BDB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PF3 – Motivation to adhere to treatment</w:t>
            </w:r>
          </w:p>
        </w:tc>
        <w:tc>
          <w:tcPr>
            <w:tcW w:w="0" w:type="auto"/>
            <w:vAlign w:val="center"/>
            <w:hideMark/>
          </w:tcPr>
          <w:p w14:paraId="0F40EC95"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0.768</w:t>
            </w:r>
          </w:p>
        </w:tc>
        <w:tc>
          <w:tcPr>
            <w:tcW w:w="0" w:type="auto"/>
            <w:vAlign w:val="center"/>
            <w:hideMark/>
          </w:tcPr>
          <w:p w14:paraId="48C0B95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0.389</w:t>
            </w:r>
          </w:p>
        </w:tc>
        <w:tc>
          <w:tcPr>
            <w:tcW w:w="0" w:type="auto"/>
            <w:vAlign w:val="center"/>
            <w:hideMark/>
          </w:tcPr>
          <w:p w14:paraId="249314B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0.406</w:t>
            </w:r>
          </w:p>
        </w:tc>
        <w:tc>
          <w:tcPr>
            <w:tcW w:w="0" w:type="auto"/>
            <w:vAlign w:val="center"/>
            <w:hideMark/>
          </w:tcPr>
          <w:p w14:paraId="398DE58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0.517</w:t>
            </w:r>
          </w:p>
        </w:tc>
        <w:tc>
          <w:tcPr>
            <w:tcW w:w="0" w:type="auto"/>
            <w:vAlign w:val="center"/>
            <w:hideMark/>
          </w:tcPr>
          <w:p w14:paraId="13AC39DA"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0.502</w:t>
            </w:r>
          </w:p>
        </w:tc>
      </w:tr>
      <w:tr w:rsidR="00097749" w:rsidRPr="00097749" w14:paraId="56D52549" w14:textId="77777777" w:rsidTr="007B535D">
        <w:trPr>
          <w:tblCellSpacing w:w="15" w:type="dxa"/>
        </w:trPr>
        <w:tc>
          <w:tcPr>
            <w:tcW w:w="3119" w:type="dxa"/>
            <w:vAlign w:val="center"/>
            <w:hideMark/>
          </w:tcPr>
          <w:p w14:paraId="5717115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EF1 – Availability of medicines</w:t>
            </w:r>
          </w:p>
        </w:tc>
        <w:tc>
          <w:tcPr>
            <w:tcW w:w="0" w:type="auto"/>
            <w:vAlign w:val="center"/>
            <w:hideMark/>
          </w:tcPr>
          <w:p w14:paraId="2B003D3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0.423</w:t>
            </w:r>
          </w:p>
        </w:tc>
        <w:tc>
          <w:tcPr>
            <w:tcW w:w="0" w:type="auto"/>
            <w:vAlign w:val="center"/>
            <w:hideMark/>
          </w:tcPr>
          <w:p w14:paraId="433983A8"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0.794</w:t>
            </w:r>
          </w:p>
        </w:tc>
        <w:tc>
          <w:tcPr>
            <w:tcW w:w="0" w:type="auto"/>
            <w:vAlign w:val="center"/>
            <w:hideMark/>
          </w:tcPr>
          <w:p w14:paraId="107C969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0.412</w:t>
            </w:r>
          </w:p>
        </w:tc>
        <w:tc>
          <w:tcPr>
            <w:tcW w:w="0" w:type="auto"/>
            <w:vAlign w:val="center"/>
            <w:hideMark/>
          </w:tcPr>
          <w:p w14:paraId="16AA723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0.501</w:t>
            </w:r>
          </w:p>
        </w:tc>
        <w:tc>
          <w:tcPr>
            <w:tcW w:w="0" w:type="auto"/>
            <w:vAlign w:val="center"/>
            <w:hideMark/>
          </w:tcPr>
          <w:p w14:paraId="23ED049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0.479</w:t>
            </w:r>
          </w:p>
        </w:tc>
      </w:tr>
      <w:tr w:rsidR="00097749" w:rsidRPr="00097749" w14:paraId="348DFEB5" w14:textId="77777777" w:rsidTr="007B535D">
        <w:trPr>
          <w:tblCellSpacing w:w="15" w:type="dxa"/>
        </w:trPr>
        <w:tc>
          <w:tcPr>
            <w:tcW w:w="3119" w:type="dxa"/>
            <w:vAlign w:val="center"/>
            <w:hideMark/>
          </w:tcPr>
          <w:p w14:paraId="4A044FF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EF2 – Accessibility of healthcare service</w:t>
            </w:r>
          </w:p>
        </w:tc>
        <w:tc>
          <w:tcPr>
            <w:tcW w:w="0" w:type="auto"/>
            <w:vAlign w:val="center"/>
            <w:hideMark/>
          </w:tcPr>
          <w:p w14:paraId="227C8688"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0.439</w:t>
            </w:r>
          </w:p>
        </w:tc>
        <w:tc>
          <w:tcPr>
            <w:tcW w:w="0" w:type="auto"/>
            <w:vAlign w:val="center"/>
            <w:hideMark/>
          </w:tcPr>
          <w:p w14:paraId="1E41D40B"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0.811</w:t>
            </w:r>
          </w:p>
        </w:tc>
        <w:tc>
          <w:tcPr>
            <w:tcW w:w="0" w:type="auto"/>
            <w:vAlign w:val="center"/>
            <w:hideMark/>
          </w:tcPr>
          <w:p w14:paraId="5E706C28"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0.428</w:t>
            </w:r>
          </w:p>
        </w:tc>
        <w:tc>
          <w:tcPr>
            <w:tcW w:w="0" w:type="auto"/>
            <w:vAlign w:val="center"/>
            <w:hideMark/>
          </w:tcPr>
          <w:p w14:paraId="19F2234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0.514</w:t>
            </w:r>
          </w:p>
        </w:tc>
        <w:tc>
          <w:tcPr>
            <w:tcW w:w="0" w:type="auto"/>
            <w:vAlign w:val="center"/>
            <w:hideMark/>
          </w:tcPr>
          <w:p w14:paraId="7940587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0.498</w:t>
            </w:r>
          </w:p>
        </w:tc>
      </w:tr>
      <w:tr w:rsidR="00097749" w:rsidRPr="00097749" w14:paraId="46E7F1F2" w14:textId="77777777" w:rsidTr="007B535D">
        <w:trPr>
          <w:tblCellSpacing w:w="15" w:type="dxa"/>
        </w:trPr>
        <w:tc>
          <w:tcPr>
            <w:tcW w:w="3119" w:type="dxa"/>
            <w:vAlign w:val="center"/>
            <w:hideMark/>
          </w:tcPr>
          <w:p w14:paraId="467131C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EF3 – Affordability of treatment</w:t>
            </w:r>
          </w:p>
        </w:tc>
        <w:tc>
          <w:tcPr>
            <w:tcW w:w="0" w:type="auto"/>
            <w:vAlign w:val="center"/>
            <w:hideMark/>
          </w:tcPr>
          <w:p w14:paraId="7F9093A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0.418</w:t>
            </w:r>
          </w:p>
        </w:tc>
        <w:tc>
          <w:tcPr>
            <w:tcW w:w="0" w:type="auto"/>
            <w:vAlign w:val="center"/>
            <w:hideMark/>
          </w:tcPr>
          <w:p w14:paraId="687E9755"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0.786</w:t>
            </w:r>
          </w:p>
        </w:tc>
        <w:tc>
          <w:tcPr>
            <w:tcW w:w="0" w:type="auto"/>
            <w:vAlign w:val="center"/>
            <w:hideMark/>
          </w:tcPr>
          <w:p w14:paraId="5B809455"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0.419</w:t>
            </w:r>
          </w:p>
        </w:tc>
        <w:tc>
          <w:tcPr>
            <w:tcW w:w="0" w:type="auto"/>
            <w:vAlign w:val="center"/>
            <w:hideMark/>
          </w:tcPr>
          <w:p w14:paraId="6EC775C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0.506</w:t>
            </w:r>
          </w:p>
        </w:tc>
        <w:tc>
          <w:tcPr>
            <w:tcW w:w="0" w:type="auto"/>
            <w:vAlign w:val="center"/>
            <w:hideMark/>
          </w:tcPr>
          <w:p w14:paraId="74FDC7D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0.485</w:t>
            </w:r>
          </w:p>
        </w:tc>
      </w:tr>
      <w:tr w:rsidR="00097749" w:rsidRPr="00097749" w14:paraId="4A67EE91" w14:textId="77777777" w:rsidTr="007B535D">
        <w:trPr>
          <w:tblCellSpacing w:w="15" w:type="dxa"/>
        </w:trPr>
        <w:tc>
          <w:tcPr>
            <w:tcW w:w="3119" w:type="dxa"/>
            <w:vAlign w:val="center"/>
            <w:hideMark/>
          </w:tcPr>
          <w:p w14:paraId="4B39BA56"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lastRenderedPageBreak/>
              <w:t>RF1 – Family support during treatment</w:t>
            </w:r>
          </w:p>
        </w:tc>
        <w:tc>
          <w:tcPr>
            <w:tcW w:w="0" w:type="auto"/>
            <w:vAlign w:val="center"/>
            <w:hideMark/>
          </w:tcPr>
          <w:p w14:paraId="00AE64E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0.427</w:t>
            </w:r>
          </w:p>
        </w:tc>
        <w:tc>
          <w:tcPr>
            <w:tcW w:w="0" w:type="auto"/>
            <w:vAlign w:val="center"/>
            <w:hideMark/>
          </w:tcPr>
          <w:p w14:paraId="3D6124A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0.423</w:t>
            </w:r>
          </w:p>
        </w:tc>
        <w:tc>
          <w:tcPr>
            <w:tcW w:w="0" w:type="auto"/>
            <w:vAlign w:val="center"/>
            <w:hideMark/>
          </w:tcPr>
          <w:p w14:paraId="52C8838C"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0.803</w:t>
            </w:r>
          </w:p>
        </w:tc>
        <w:tc>
          <w:tcPr>
            <w:tcW w:w="0" w:type="auto"/>
            <w:vAlign w:val="center"/>
            <w:hideMark/>
          </w:tcPr>
          <w:p w14:paraId="716B657A"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0.537</w:t>
            </w:r>
          </w:p>
        </w:tc>
        <w:tc>
          <w:tcPr>
            <w:tcW w:w="0" w:type="auto"/>
            <w:vAlign w:val="center"/>
            <w:hideMark/>
          </w:tcPr>
          <w:p w14:paraId="4020EE6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0.521</w:t>
            </w:r>
          </w:p>
        </w:tc>
      </w:tr>
      <w:tr w:rsidR="00097749" w:rsidRPr="00097749" w14:paraId="3287FE6F" w14:textId="77777777" w:rsidTr="007B535D">
        <w:trPr>
          <w:tblCellSpacing w:w="15" w:type="dxa"/>
        </w:trPr>
        <w:tc>
          <w:tcPr>
            <w:tcW w:w="3119" w:type="dxa"/>
            <w:vAlign w:val="center"/>
            <w:hideMark/>
          </w:tcPr>
          <w:p w14:paraId="10380D2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RF2 – Encouragement from healthcare workers</w:t>
            </w:r>
          </w:p>
        </w:tc>
        <w:tc>
          <w:tcPr>
            <w:tcW w:w="0" w:type="auto"/>
            <w:vAlign w:val="center"/>
            <w:hideMark/>
          </w:tcPr>
          <w:p w14:paraId="515CD71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0.445</w:t>
            </w:r>
          </w:p>
        </w:tc>
        <w:tc>
          <w:tcPr>
            <w:tcW w:w="0" w:type="auto"/>
            <w:vAlign w:val="center"/>
            <w:hideMark/>
          </w:tcPr>
          <w:p w14:paraId="71B4BCA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0.439</w:t>
            </w:r>
          </w:p>
        </w:tc>
        <w:tc>
          <w:tcPr>
            <w:tcW w:w="0" w:type="auto"/>
            <w:vAlign w:val="center"/>
            <w:hideMark/>
          </w:tcPr>
          <w:p w14:paraId="3DB78747"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0.816</w:t>
            </w:r>
          </w:p>
        </w:tc>
        <w:tc>
          <w:tcPr>
            <w:tcW w:w="0" w:type="auto"/>
            <w:vAlign w:val="center"/>
            <w:hideMark/>
          </w:tcPr>
          <w:p w14:paraId="44CD727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0.551</w:t>
            </w:r>
          </w:p>
        </w:tc>
        <w:tc>
          <w:tcPr>
            <w:tcW w:w="0" w:type="auto"/>
            <w:vAlign w:val="center"/>
            <w:hideMark/>
          </w:tcPr>
          <w:p w14:paraId="18ACA6C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0.538</w:t>
            </w:r>
          </w:p>
        </w:tc>
      </w:tr>
      <w:tr w:rsidR="00097749" w:rsidRPr="00097749" w14:paraId="43EBCF0E" w14:textId="77777777" w:rsidTr="007B535D">
        <w:trPr>
          <w:tblCellSpacing w:w="15" w:type="dxa"/>
        </w:trPr>
        <w:tc>
          <w:tcPr>
            <w:tcW w:w="3119" w:type="dxa"/>
            <w:vAlign w:val="center"/>
            <w:hideMark/>
          </w:tcPr>
          <w:p w14:paraId="2638BAB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RF3 – Community reinforcement</w:t>
            </w:r>
          </w:p>
        </w:tc>
        <w:tc>
          <w:tcPr>
            <w:tcW w:w="0" w:type="auto"/>
            <w:vAlign w:val="center"/>
            <w:hideMark/>
          </w:tcPr>
          <w:p w14:paraId="696103B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0.436</w:t>
            </w:r>
          </w:p>
        </w:tc>
        <w:tc>
          <w:tcPr>
            <w:tcW w:w="0" w:type="auto"/>
            <w:vAlign w:val="center"/>
            <w:hideMark/>
          </w:tcPr>
          <w:p w14:paraId="49D90EA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0.428</w:t>
            </w:r>
          </w:p>
        </w:tc>
        <w:tc>
          <w:tcPr>
            <w:tcW w:w="0" w:type="auto"/>
            <w:vAlign w:val="center"/>
            <w:hideMark/>
          </w:tcPr>
          <w:p w14:paraId="2714D259"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0.789</w:t>
            </w:r>
          </w:p>
        </w:tc>
        <w:tc>
          <w:tcPr>
            <w:tcW w:w="0" w:type="auto"/>
            <w:vAlign w:val="center"/>
            <w:hideMark/>
          </w:tcPr>
          <w:p w14:paraId="64D66F7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0.532</w:t>
            </w:r>
          </w:p>
        </w:tc>
        <w:tc>
          <w:tcPr>
            <w:tcW w:w="0" w:type="auto"/>
            <w:vAlign w:val="center"/>
            <w:hideMark/>
          </w:tcPr>
          <w:p w14:paraId="117EAE2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0.515</w:t>
            </w:r>
          </w:p>
        </w:tc>
      </w:tr>
      <w:tr w:rsidR="00097749" w:rsidRPr="00097749" w14:paraId="450BB7F5" w14:textId="77777777" w:rsidTr="007B535D">
        <w:trPr>
          <w:tblCellSpacing w:w="15" w:type="dxa"/>
        </w:trPr>
        <w:tc>
          <w:tcPr>
            <w:tcW w:w="3119" w:type="dxa"/>
            <w:vAlign w:val="center"/>
            <w:hideMark/>
          </w:tcPr>
          <w:p w14:paraId="4873317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SI1 – Malaria corner service</w:t>
            </w:r>
          </w:p>
        </w:tc>
        <w:tc>
          <w:tcPr>
            <w:tcW w:w="0" w:type="auto"/>
            <w:vAlign w:val="center"/>
            <w:hideMark/>
          </w:tcPr>
          <w:p w14:paraId="063D72D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0.521</w:t>
            </w:r>
          </w:p>
        </w:tc>
        <w:tc>
          <w:tcPr>
            <w:tcW w:w="0" w:type="auto"/>
            <w:vAlign w:val="center"/>
            <w:hideMark/>
          </w:tcPr>
          <w:p w14:paraId="7E6C001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0.516</w:t>
            </w:r>
          </w:p>
        </w:tc>
        <w:tc>
          <w:tcPr>
            <w:tcW w:w="0" w:type="auto"/>
            <w:vAlign w:val="center"/>
            <w:hideMark/>
          </w:tcPr>
          <w:p w14:paraId="104D6075"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0.541</w:t>
            </w:r>
          </w:p>
        </w:tc>
        <w:tc>
          <w:tcPr>
            <w:tcW w:w="0" w:type="auto"/>
            <w:vAlign w:val="center"/>
            <w:hideMark/>
          </w:tcPr>
          <w:p w14:paraId="037A2F2A"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0.842</w:t>
            </w:r>
          </w:p>
        </w:tc>
        <w:tc>
          <w:tcPr>
            <w:tcW w:w="0" w:type="auto"/>
            <w:vAlign w:val="center"/>
            <w:hideMark/>
          </w:tcPr>
          <w:p w14:paraId="01701CC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0.613</w:t>
            </w:r>
          </w:p>
        </w:tc>
      </w:tr>
      <w:tr w:rsidR="00097749" w:rsidRPr="00097749" w14:paraId="154E7CA1" w14:textId="77777777" w:rsidTr="007B535D">
        <w:trPr>
          <w:tblCellSpacing w:w="15" w:type="dxa"/>
        </w:trPr>
        <w:tc>
          <w:tcPr>
            <w:tcW w:w="3119" w:type="dxa"/>
            <w:vAlign w:val="center"/>
            <w:hideMark/>
          </w:tcPr>
          <w:p w14:paraId="6D9D136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SI2 – Digital adherence reminders</w:t>
            </w:r>
          </w:p>
        </w:tc>
        <w:tc>
          <w:tcPr>
            <w:tcW w:w="0" w:type="auto"/>
            <w:vAlign w:val="center"/>
            <w:hideMark/>
          </w:tcPr>
          <w:p w14:paraId="3DFE8D8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0.534</w:t>
            </w:r>
          </w:p>
        </w:tc>
        <w:tc>
          <w:tcPr>
            <w:tcW w:w="0" w:type="auto"/>
            <w:vAlign w:val="center"/>
            <w:hideMark/>
          </w:tcPr>
          <w:p w14:paraId="6988E4A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0.523</w:t>
            </w:r>
          </w:p>
        </w:tc>
        <w:tc>
          <w:tcPr>
            <w:tcW w:w="0" w:type="auto"/>
            <w:vAlign w:val="center"/>
            <w:hideMark/>
          </w:tcPr>
          <w:p w14:paraId="43B8249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0.552</w:t>
            </w:r>
          </w:p>
        </w:tc>
        <w:tc>
          <w:tcPr>
            <w:tcW w:w="0" w:type="auto"/>
            <w:vAlign w:val="center"/>
            <w:hideMark/>
          </w:tcPr>
          <w:p w14:paraId="0A5FC956"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0.857</w:t>
            </w:r>
          </w:p>
        </w:tc>
        <w:tc>
          <w:tcPr>
            <w:tcW w:w="0" w:type="auto"/>
            <w:vAlign w:val="center"/>
            <w:hideMark/>
          </w:tcPr>
          <w:p w14:paraId="17BBA8F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0.624</w:t>
            </w:r>
          </w:p>
        </w:tc>
      </w:tr>
      <w:tr w:rsidR="00097749" w:rsidRPr="00097749" w14:paraId="703EACE0" w14:textId="77777777" w:rsidTr="007B535D">
        <w:trPr>
          <w:tblCellSpacing w:w="15" w:type="dxa"/>
        </w:trPr>
        <w:tc>
          <w:tcPr>
            <w:tcW w:w="3119" w:type="dxa"/>
            <w:vAlign w:val="center"/>
            <w:hideMark/>
          </w:tcPr>
          <w:p w14:paraId="7F0FDEF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SI3 – Home visits by healthcare providers</w:t>
            </w:r>
          </w:p>
        </w:tc>
        <w:tc>
          <w:tcPr>
            <w:tcW w:w="0" w:type="auto"/>
            <w:vAlign w:val="center"/>
            <w:hideMark/>
          </w:tcPr>
          <w:p w14:paraId="1EEA7A16"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0.529</w:t>
            </w:r>
          </w:p>
        </w:tc>
        <w:tc>
          <w:tcPr>
            <w:tcW w:w="0" w:type="auto"/>
            <w:vAlign w:val="center"/>
            <w:hideMark/>
          </w:tcPr>
          <w:p w14:paraId="245A604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0.519</w:t>
            </w:r>
          </w:p>
        </w:tc>
        <w:tc>
          <w:tcPr>
            <w:tcW w:w="0" w:type="auto"/>
            <w:vAlign w:val="center"/>
            <w:hideMark/>
          </w:tcPr>
          <w:p w14:paraId="3A2D60A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0.546</w:t>
            </w:r>
          </w:p>
        </w:tc>
        <w:tc>
          <w:tcPr>
            <w:tcW w:w="0" w:type="auto"/>
            <w:vAlign w:val="center"/>
            <w:hideMark/>
          </w:tcPr>
          <w:p w14:paraId="79E20271"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0.849</w:t>
            </w:r>
          </w:p>
        </w:tc>
        <w:tc>
          <w:tcPr>
            <w:tcW w:w="0" w:type="auto"/>
            <w:vAlign w:val="center"/>
            <w:hideMark/>
          </w:tcPr>
          <w:p w14:paraId="6E849B1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0.618</w:t>
            </w:r>
          </w:p>
        </w:tc>
      </w:tr>
      <w:tr w:rsidR="00097749" w:rsidRPr="00097749" w14:paraId="71E5C36B" w14:textId="77777777" w:rsidTr="007B535D">
        <w:trPr>
          <w:tblCellSpacing w:w="15" w:type="dxa"/>
        </w:trPr>
        <w:tc>
          <w:tcPr>
            <w:tcW w:w="3119" w:type="dxa"/>
            <w:vAlign w:val="center"/>
            <w:hideMark/>
          </w:tcPr>
          <w:p w14:paraId="2F7B006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SI4 – Service responsiveness</w:t>
            </w:r>
          </w:p>
        </w:tc>
        <w:tc>
          <w:tcPr>
            <w:tcW w:w="0" w:type="auto"/>
            <w:vAlign w:val="center"/>
            <w:hideMark/>
          </w:tcPr>
          <w:p w14:paraId="1CCACF4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0.548</w:t>
            </w:r>
          </w:p>
        </w:tc>
        <w:tc>
          <w:tcPr>
            <w:tcW w:w="0" w:type="auto"/>
            <w:vAlign w:val="center"/>
            <w:hideMark/>
          </w:tcPr>
          <w:p w14:paraId="2B7E8D3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0.537</w:t>
            </w:r>
          </w:p>
        </w:tc>
        <w:tc>
          <w:tcPr>
            <w:tcW w:w="0" w:type="auto"/>
            <w:vAlign w:val="center"/>
            <w:hideMark/>
          </w:tcPr>
          <w:p w14:paraId="30FB65B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0.563</w:t>
            </w:r>
          </w:p>
        </w:tc>
        <w:tc>
          <w:tcPr>
            <w:tcW w:w="0" w:type="auto"/>
            <w:vAlign w:val="center"/>
            <w:hideMark/>
          </w:tcPr>
          <w:p w14:paraId="37792FC9"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0.861</w:t>
            </w:r>
          </w:p>
        </w:tc>
        <w:tc>
          <w:tcPr>
            <w:tcW w:w="0" w:type="auto"/>
            <w:vAlign w:val="center"/>
            <w:hideMark/>
          </w:tcPr>
          <w:p w14:paraId="3F2B0ED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0.631</w:t>
            </w:r>
          </w:p>
        </w:tc>
      </w:tr>
      <w:tr w:rsidR="00097749" w:rsidRPr="00097749" w14:paraId="5485049A" w14:textId="77777777" w:rsidTr="007B535D">
        <w:trPr>
          <w:tblCellSpacing w:w="15" w:type="dxa"/>
        </w:trPr>
        <w:tc>
          <w:tcPr>
            <w:tcW w:w="3119" w:type="dxa"/>
            <w:vAlign w:val="center"/>
            <w:hideMark/>
          </w:tcPr>
          <w:p w14:paraId="1686D43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PS1 – Perceived service quality</w:t>
            </w:r>
          </w:p>
        </w:tc>
        <w:tc>
          <w:tcPr>
            <w:tcW w:w="0" w:type="auto"/>
            <w:vAlign w:val="center"/>
            <w:hideMark/>
          </w:tcPr>
          <w:p w14:paraId="4D88DF15"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0.518</w:t>
            </w:r>
          </w:p>
        </w:tc>
        <w:tc>
          <w:tcPr>
            <w:tcW w:w="0" w:type="auto"/>
            <w:vAlign w:val="center"/>
            <w:hideMark/>
          </w:tcPr>
          <w:p w14:paraId="16E307F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0.506</w:t>
            </w:r>
          </w:p>
        </w:tc>
        <w:tc>
          <w:tcPr>
            <w:tcW w:w="0" w:type="auto"/>
            <w:vAlign w:val="center"/>
            <w:hideMark/>
          </w:tcPr>
          <w:p w14:paraId="1EB45DD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0.532</w:t>
            </w:r>
          </w:p>
        </w:tc>
        <w:tc>
          <w:tcPr>
            <w:tcW w:w="0" w:type="auto"/>
            <w:vAlign w:val="center"/>
            <w:hideMark/>
          </w:tcPr>
          <w:p w14:paraId="0880471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0.648</w:t>
            </w:r>
          </w:p>
        </w:tc>
        <w:tc>
          <w:tcPr>
            <w:tcW w:w="0" w:type="auto"/>
            <w:vAlign w:val="center"/>
            <w:hideMark/>
          </w:tcPr>
          <w:p w14:paraId="3C34E6BF"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0.884</w:t>
            </w:r>
          </w:p>
        </w:tc>
      </w:tr>
      <w:tr w:rsidR="00097749" w:rsidRPr="00097749" w14:paraId="79F006DA" w14:textId="77777777" w:rsidTr="007B535D">
        <w:trPr>
          <w:tblCellSpacing w:w="15" w:type="dxa"/>
        </w:trPr>
        <w:tc>
          <w:tcPr>
            <w:tcW w:w="3119" w:type="dxa"/>
            <w:vAlign w:val="center"/>
            <w:hideMark/>
          </w:tcPr>
          <w:p w14:paraId="0E0E7246"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PS2 – Trust in healthcare providers</w:t>
            </w:r>
          </w:p>
        </w:tc>
        <w:tc>
          <w:tcPr>
            <w:tcW w:w="0" w:type="auto"/>
            <w:vAlign w:val="center"/>
            <w:hideMark/>
          </w:tcPr>
          <w:p w14:paraId="5B42913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0.526</w:t>
            </w:r>
          </w:p>
        </w:tc>
        <w:tc>
          <w:tcPr>
            <w:tcW w:w="0" w:type="auto"/>
            <w:vAlign w:val="center"/>
            <w:hideMark/>
          </w:tcPr>
          <w:p w14:paraId="23CAB8A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0.514</w:t>
            </w:r>
          </w:p>
        </w:tc>
        <w:tc>
          <w:tcPr>
            <w:tcW w:w="0" w:type="auto"/>
            <w:vAlign w:val="center"/>
            <w:hideMark/>
          </w:tcPr>
          <w:p w14:paraId="331A192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0.539</w:t>
            </w:r>
          </w:p>
        </w:tc>
        <w:tc>
          <w:tcPr>
            <w:tcW w:w="0" w:type="auto"/>
            <w:vAlign w:val="center"/>
            <w:hideMark/>
          </w:tcPr>
          <w:p w14:paraId="0B4317FA"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0.656</w:t>
            </w:r>
          </w:p>
        </w:tc>
        <w:tc>
          <w:tcPr>
            <w:tcW w:w="0" w:type="auto"/>
            <w:vAlign w:val="center"/>
            <w:hideMark/>
          </w:tcPr>
          <w:p w14:paraId="27FB9781"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0.892</w:t>
            </w:r>
          </w:p>
        </w:tc>
      </w:tr>
      <w:tr w:rsidR="00097749" w:rsidRPr="00097749" w14:paraId="774BDA17" w14:textId="77777777" w:rsidTr="007B535D">
        <w:trPr>
          <w:tblCellSpacing w:w="15" w:type="dxa"/>
        </w:trPr>
        <w:tc>
          <w:tcPr>
            <w:tcW w:w="3119" w:type="dxa"/>
            <w:vAlign w:val="center"/>
            <w:hideMark/>
          </w:tcPr>
          <w:p w14:paraId="0843D4F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PS3 – Overall satisfaction with malaria care</w:t>
            </w:r>
          </w:p>
        </w:tc>
        <w:tc>
          <w:tcPr>
            <w:tcW w:w="0" w:type="auto"/>
            <w:vAlign w:val="center"/>
            <w:hideMark/>
          </w:tcPr>
          <w:p w14:paraId="2D4E575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0.533</w:t>
            </w:r>
          </w:p>
        </w:tc>
        <w:tc>
          <w:tcPr>
            <w:tcW w:w="0" w:type="auto"/>
            <w:vAlign w:val="center"/>
            <w:hideMark/>
          </w:tcPr>
          <w:p w14:paraId="317A246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0.521</w:t>
            </w:r>
          </w:p>
        </w:tc>
        <w:tc>
          <w:tcPr>
            <w:tcW w:w="0" w:type="auto"/>
            <w:vAlign w:val="center"/>
            <w:hideMark/>
          </w:tcPr>
          <w:p w14:paraId="35D3AEA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0.545</w:t>
            </w:r>
          </w:p>
        </w:tc>
        <w:tc>
          <w:tcPr>
            <w:tcW w:w="0" w:type="auto"/>
            <w:vAlign w:val="center"/>
            <w:hideMark/>
          </w:tcPr>
          <w:p w14:paraId="14DF323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0.663</w:t>
            </w:r>
          </w:p>
        </w:tc>
        <w:tc>
          <w:tcPr>
            <w:tcW w:w="0" w:type="auto"/>
            <w:vAlign w:val="center"/>
            <w:hideMark/>
          </w:tcPr>
          <w:p w14:paraId="5195B4F4"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0.897</w:t>
            </w:r>
          </w:p>
        </w:tc>
      </w:tr>
      <w:tr w:rsidR="00097749" w:rsidRPr="00097749" w14:paraId="3344087C" w14:textId="77777777" w:rsidTr="007B535D">
        <w:trPr>
          <w:tblCellSpacing w:w="15" w:type="dxa"/>
        </w:trPr>
        <w:tc>
          <w:tcPr>
            <w:tcW w:w="3119" w:type="dxa"/>
            <w:tcBorders>
              <w:bottom w:val="single" w:sz="4" w:space="0" w:color="auto"/>
            </w:tcBorders>
            <w:vAlign w:val="center"/>
            <w:hideMark/>
          </w:tcPr>
          <w:p w14:paraId="33FAA25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PS4 – Willingness to return/recommend service</w:t>
            </w:r>
          </w:p>
        </w:tc>
        <w:tc>
          <w:tcPr>
            <w:tcW w:w="0" w:type="auto"/>
            <w:tcBorders>
              <w:bottom w:val="single" w:sz="4" w:space="0" w:color="auto"/>
            </w:tcBorders>
            <w:vAlign w:val="center"/>
            <w:hideMark/>
          </w:tcPr>
          <w:p w14:paraId="3131979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0.541</w:t>
            </w:r>
          </w:p>
        </w:tc>
        <w:tc>
          <w:tcPr>
            <w:tcW w:w="0" w:type="auto"/>
            <w:tcBorders>
              <w:bottom w:val="single" w:sz="4" w:space="0" w:color="auto"/>
            </w:tcBorders>
            <w:vAlign w:val="center"/>
            <w:hideMark/>
          </w:tcPr>
          <w:p w14:paraId="5690CB4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0.529</w:t>
            </w:r>
          </w:p>
        </w:tc>
        <w:tc>
          <w:tcPr>
            <w:tcW w:w="0" w:type="auto"/>
            <w:tcBorders>
              <w:bottom w:val="single" w:sz="4" w:space="0" w:color="auto"/>
            </w:tcBorders>
            <w:vAlign w:val="center"/>
            <w:hideMark/>
          </w:tcPr>
          <w:p w14:paraId="0BD42E3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0.552</w:t>
            </w:r>
          </w:p>
        </w:tc>
        <w:tc>
          <w:tcPr>
            <w:tcW w:w="0" w:type="auto"/>
            <w:tcBorders>
              <w:bottom w:val="single" w:sz="4" w:space="0" w:color="auto"/>
            </w:tcBorders>
            <w:vAlign w:val="center"/>
            <w:hideMark/>
          </w:tcPr>
          <w:p w14:paraId="65FD439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0.672</w:t>
            </w:r>
          </w:p>
        </w:tc>
        <w:tc>
          <w:tcPr>
            <w:tcW w:w="0" w:type="auto"/>
            <w:tcBorders>
              <w:bottom w:val="single" w:sz="4" w:space="0" w:color="auto"/>
            </w:tcBorders>
            <w:vAlign w:val="center"/>
            <w:hideMark/>
          </w:tcPr>
          <w:p w14:paraId="40165191"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0.901</w:t>
            </w:r>
          </w:p>
        </w:tc>
      </w:tr>
    </w:tbl>
    <w:p w14:paraId="54064A99" w14:textId="77777777" w:rsidR="00097749" w:rsidRPr="00097749" w:rsidRDefault="00097749" w:rsidP="00097749">
      <w:pPr>
        <w:pStyle w:val="BodyText"/>
        <w:spacing w:after="0"/>
        <w:rPr>
          <w:color w:val="000000" w:themeColor="text1"/>
        </w:rPr>
      </w:pPr>
    </w:p>
    <w:p w14:paraId="1068A959" w14:textId="77777777" w:rsidR="00097749" w:rsidRPr="00097749" w:rsidRDefault="00097749" w:rsidP="00097749">
      <w:pPr>
        <w:pStyle w:val="BodyText"/>
        <w:rPr>
          <w:color w:val="000000" w:themeColor="text1"/>
        </w:rPr>
      </w:pPr>
      <w:r w:rsidRPr="00097749">
        <w:rPr>
          <w:color w:val="000000" w:themeColor="text1"/>
        </w:rPr>
        <w:t>Based on the results, the measurement model is both reliable and valid, ensuring that the constructs of treatment adherence (predisposing, enabling, and reinforcing factors), service innovation, and patient satisfaction were measured consistently and with adequate construct validity.</w:t>
      </w:r>
    </w:p>
    <w:p w14:paraId="1A35860A" w14:textId="77777777" w:rsidR="00097749" w:rsidRPr="00097749" w:rsidRDefault="00097749" w:rsidP="00441B6F">
      <w:pPr>
        <w:pStyle w:val="Body"/>
        <w:spacing w:after="0"/>
        <w:rPr>
          <w:rFonts w:ascii="Arial" w:hAnsi="Arial" w:cs="Arial"/>
          <w:color w:val="000000" w:themeColor="text1"/>
        </w:rPr>
      </w:pPr>
    </w:p>
    <w:p w14:paraId="1263E4C8" w14:textId="77777777" w:rsidR="00902823" w:rsidRPr="00097749" w:rsidRDefault="00000F8F" w:rsidP="00441B6F">
      <w:pPr>
        <w:pStyle w:val="Head1"/>
        <w:spacing w:after="0"/>
        <w:jc w:val="both"/>
        <w:rPr>
          <w:rFonts w:ascii="Arial" w:hAnsi="Arial" w:cs="Arial"/>
          <w:color w:val="000000" w:themeColor="text1"/>
        </w:rPr>
      </w:pPr>
      <w:r w:rsidRPr="00097749">
        <w:rPr>
          <w:rFonts w:ascii="Arial" w:hAnsi="Arial" w:cs="Arial"/>
          <w:color w:val="000000" w:themeColor="text1"/>
        </w:rPr>
        <w:t>3</w:t>
      </w:r>
      <w:r w:rsidR="00902823" w:rsidRPr="00097749">
        <w:rPr>
          <w:rFonts w:ascii="Arial" w:hAnsi="Arial" w:cs="Arial"/>
          <w:color w:val="000000" w:themeColor="text1"/>
        </w:rPr>
        <w:t xml:space="preserve">. </w:t>
      </w:r>
      <w:r w:rsidRPr="00097749">
        <w:rPr>
          <w:rFonts w:ascii="Arial" w:hAnsi="Arial" w:cs="Arial"/>
          <w:color w:val="000000" w:themeColor="text1"/>
        </w:rPr>
        <w:t>results and discussion</w:t>
      </w:r>
    </w:p>
    <w:p w14:paraId="1D4C9A82" w14:textId="77777777" w:rsidR="00790ADA" w:rsidRPr="00097749" w:rsidRDefault="00790ADA" w:rsidP="00441B6F">
      <w:pPr>
        <w:pStyle w:val="Head1"/>
        <w:spacing w:after="0"/>
        <w:jc w:val="both"/>
        <w:rPr>
          <w:rFonts w:ascii="Arial" w:hAnsi="Arial" w:cs="Arial"/>
          <w:color w:val="000000" w:themeColor="text1"/>
        </w:rPr>
      </w:pPr>
    </w:p>
    <w:p w14:paraId="1ED03C81"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.1 Respondent Characteristics</w:t>
      </w:r>
    </w:p>
    <w:p w14:paraId="35ADDB15" w14:textId="77777777" w:rsidR="00097749" w:rsidRPr="00097749" w:rsidRDefault="00097749" w:rsidP="00097749">
      <w:pPr>
        <w:pStyle w:val="BodyText"/>
        <w:rPr>
          <w:color w:val="000000" w:themeColor="text1"/>
        </w:rPr>
      </w:pPr>
      <w:r w:rsidRPr="00097749">
        <w:rPr>
          <w:color w:val="000000" w:themeColor="text1"/>
        </w:rPr>
        <w:t xml:space="preserve">A total of 220 respondents participated in this study, representing patient and caregivers at </w:t>
      </w:r>
      <w:proofErr w:type="spellStart"/>
      <w:r w:rsidRPr="00097749">
        <w:rPr>
          <w:color w:val="000000" w:themeColor="text1"/>
        </w:rPr>
        <w:t>Wania</w:t>
      </w:r>
      <w:proofErr w:type="spellEnd"/>
      <w:r w:rsidRPr="00097749">
        <w:rPr>
          <w:color w:val="000000" w:themeColor="text1"/>
        </w:rPr>
        <w:t xml:space="preserve"> Health Center, </w:t>
      </w:r>
      <w:proofErr w:type="spellStart"/>
      <w:r w:rsidRPr="00097749">
        <w:rPr>
          <w:color w:val="000000" w:themeColor="text1"/>
        </w:rPr>
        <w:t>Mimika</w:t>
      </w:r>
      <w:proofErr w:type="spellEnd"/>
      <w:r w:rsidRPr="00097749">
        <w:rPr>
          <w:color w:val="000000" w:themeColor="text1"/>
        </w:rPr>
        <w:t xml:space="preserve"> District, Papua. The sample was gender-balanced, with 52.7% females and 47.3% males, reflecting the common pattern of women being more actively in search of healthcare. Most respondents were aged 14–34 years (51.4%) or 35–56 years (45%), </w:t>
      </w:r>
      <w:r w:rsidRPr="00097749">
        <w:rPr>
          <w:color w:val="000000" w:themeColor="text1"/>
          <w:lang w:val="id-ID"/>
        </w:rPr>
        <w:t>showing</w:t>
      </w:r>
      <w:r w:rsidRPr="00097749">
        <w:rPr>
          <w:color w:val="000000" w:themeColor="text1"/>
        </w:rPr>
        <w:t xml:space="preserve"> that malaria predominantly affects the productive age group. Education levels were relatively high, with 53.2% holding a bachelor’s degree, while 65.9% reported stable employment. Furthermore, 69.5% were parents of children diagnosed with malaria, underlining the family-level burden of the disease in endemic regions. These demographic characteristics confirm that the study sample represents both direct patient and caregivers, which enriches perspectives on service quality and satisfaction in malaria care.</w:t>
      </w:r>
    </w:p>
    <w:p w14:paraId="69BA93A3"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.2 Measurement Model Evaluation</w:t>
      </w:r>
    </w:p>
    <w:p w14:paraId="35BEBA58" w14:textId="77777777" w:rsidR="00097749" w:rsidRPr="00097749" w:rsidRDefault="00097749" w:rsidP="00097749">
      <w:pPr>
        <w:pStyle w:val="BodyText"/>
        <w:rPr>
          <w:color w:val="000000" w:themeColor="text1"/>
        </w:rPr>
      </w:pPr>
      <w:r w:rsidRPr="00097749">
        <w:rPr>
          <w:color w:val="000000" w:themeColor="text1"/>
        </w:rPr>
        <w:t xml:space="preserve">The reliability and validity of constructs were confirmed before hypothesis testing. Cronbach’s Alpha values exceeded 0.79, and </w:t>
      </w:r>
      <w:r w:rsidRPr="00097749">
        <w:rPr>
          <w:color w:val="000000" w:themeColor="text1"/>
          <w:lang w:val="id-ID"/>
        </w:rPr>
        <w:t>CR</w:t>
      </w:r>
      <w:r w:rsidRPr="00097749">
        <w:rPr>
          <w:color w:val="000000" w:themeColor="text1"/>
        </w:rPr>
        <w:t xml:space="preserve"> ranged from 0.86 to 0.95, confirming strong internal consistency. </w:t>
      </w:r>
      <w:r w:rsidRPr="00097749">
        <w:rPr>
          <w:color w:val="000000" w:themeColor="text1"/>
          <w:lang w:val="id-ID"/>
        </w:rPr>
        <w:t>AVE</w:t>
      </w:r>
      <w:r w:rsidRPr="00097749">
        <w:rPr>
          <w:color w:val="000000" w:themeColor="text1"/>
        </w:rPr>
        <w:t xml:space="preserve"> values exceeded 0.59, supporting convergent validity. Discriminant validity was also fulfilled through the Fornell–Larcker criterion and HTMT (&lt;0.90), while cross-loading analysis confirmed that each indicator loaded highest on the </w:t>
      </w:r>
      <w:r w:rsidRPr="00097749">
        <w:rPr>
          <w:color w:val="000000" w:themeColor="text1"/>
        </w:rPr>
        <w:lastRenderedPageBreak/>
        <w:t>intended construct. These results show that the measurement model is strong and suitable for testing the structural model.</w:t>
      </w:r>
    </w:p>
    <w:p w14:paraId="70FF8B8C"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.3 Structural Model Results</w:t>
      </w:r>
    </w:p>
    <w:p w14:paraId="169961F0" w14:textId="77777777" w:rsidR="00097749" w:rsidRPr="00097749" w:rsidRDefault="00097749" w:rsidP="00097749">
      <w:pPr>
        <w:pStyle w:val="BodyText"/>
        <w:rPr>
          <w:color w:val="000000" w:themeColor="text1"/>
        </w:rPr>
      </w:pPr>
      <w:r w:rsidRPr="00097749">
        <w:rPr>
          <w:color w:val="000000" w:themeColor="text1"/>
        </w:rPr>
        <w:t>Using PLS-SEM with 5,000 bootstrap resamples, the structural model was assessed. The results are summarized in Table 4.</w:t>
      </w:r>
    </w:p>
    <w:p w14:paraId="154EF335" w14:textId="77777777" w:rsidR="00097749" w:rsidRPr="00097749" w:rsidRDefault="00097749" w:rsidP="00097749">
      <w:pPr>
        <w:pStyle w:val="BodyText"/>
        <w:jc w:val="center"/>
        <w:rPr>
          <w:color w:val="000000" w:themeColor="text1"/>
          <w:lang w:val="en-ID" w:eastAsia="en-ID"/>
        </w:rPr>
      </w:pPr>
      <w:r w:rsidRPr="00097749">
        <w:rPr>
          <w:color w:val="000000" w:themeColor="text1"/>
          <w:lang w:val="en-ID" w:eastAsia="en-ID"/>
        </w:rPr>
        <w:t>Table 4. Structural Model Path 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3393"/>
        <w:gridCol w:w="1317"/>
        <w:gridCol w:w="639"/>
        <w:gridCol w:w="720"/>
        <w:gridCol w:w="1075"/>
      </w:tblGrid>
      <w:tr w:rsidR="00097749" w:rsidRPr="00097749" w14:paraId="2954AA83" w14:textId="77777777" w:rsidTr="007B535D">
        <w:trPr>
          <w:tblCellSpacing w:w="15" w:type="dxa"/>
        </w:trPr>
        <w:tc>
          <w:tcPr>
            <w:tcW w:w="0" w:type="auto"/>
            <w:tcBorders>
              <w:top w:val="single" w:sz="4" w:space="0" w:color="auto"/>
              <w:bottom w:val="single" w:sz="4" w:space="0" w:color="auto"/>
            </w:tcBorders>
            <w:vAlign w:val="center"/>
            <w:hideMark/>
          </w:tcPr>
          <w:p w14:paraId="10D4E284"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Hypothesis</w:t>
            </w:r>
          </w:p>
        </w:tc>
        <w:tc>
          <w:tcPr>
            <w:tcW w:w="0" w:type="auto"/>
            <w:tcBorders>
              <w:top w:val="single" w:sz="4" w:space="0" w:color="auto"/>
              <w:bottom w:val="single" w:sz="4" w:space="0" w:color="auto"/>
            </w:tcBorders>
            <w:vAlign w:val="center"/>
            <w:hideMark/>
          </w:tcPr>
          <w:p w14:paraId="5202A683"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Path</w:t>
            </w:r>
          </w:p>
        </w:tc>
        <w:tc>
          <w:tcPr>
            <w:tcW w:w="0" w:type="auto"/>
            <w:tcBorders>
              <w:top w:val="single" w:sz="4" w:space="0" w:color="auto"/>
              <w:bottom w:val="single" w:sz="4" w:space="0" w:color="auto"/>
            </w:tcBorders>
            <w:vAlign w:val="center"/>
            <w:hideMark/>
          </w:tcPr>
          <w:p w14:paraId="4ABAD125"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β (Coefficient)</w:t>
            </w:r>
          </w:p>
        </w:tc>
        <w:tc>
          <w:tcPr>
            <w:tcW w:w="0" w:type="auto"/>
            <w:tcBorders>
              <w:top w:val="single" w:sz="4" w:space="0" w:color="auto"/>
              <w:bottom w:val="single" w:sz="4" w:space="0" w:color="auto"/>
            </w:tcBorders>
            <w:vAlign w:val="center"/>
            <w:hideMark/>
          </w:tcPr>
          <w:p w14:paraId="7BF6654F"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t-value</w:t>
            </w:r>
          </w:p>
        </w:tc>
        <w:tc>
          <w:tcPr>
            <w:tcW w:w="0" w:type="auto"/>
            <w:tcBorders>
              <w:top w:val="single" w:sz="4" w:space="0" w:color="auto"/>
              <w:bottom w:val="single" w:sz="4" w:space="0" w:color="auto"/>
            </w:tcBorders>
            <w:vAlign w:val="center"/>
            <w:hideMark/>
          </w:tcPr>
          <w:p w14:paraId="369984FB"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p-value</w:t>
            </w:r>
          </w:p>
        </w:tc>
        <w:tc>
          <w:tcPr>
            <w:tcW w:w="0" w:type="auto"/>
            <w:tcBorders>
              <w:top w:val="single" w:sz="4" w:space="0" w:color="auto"/>
              <w:bottom w:val="single" w:sz="4" w:space="0" w:color="auto"/>
            </w:tcBorders>
            <w:vAlign w:val="center"/>
            <w:hideMark/>
          </w:tcPr>
          <w:p w14:paraId="3A8F5FA2"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Supported</w:t>
            </w:r>
          </w:p>
        </w:tc>
      </w:tr>
      <w:tr w:rsidR="00097749" w:rsidRPr="00097749" w14:paraId="3C77B1EE" w14:textId="77777777" w:rsidTr="007B535D">
        <w:trPr>
          <w:tblCellSpacing w:w="15" w:type="dxa"/>
        </w:trPr>
        <w:tc>
          <w:tcPr>
            <w:tcW w:w="0" w:type="auto"/>
            <w:vAlign w:val="center"/>
            <w:hideMark/>
          </w:tcPr>
          <w:p w14:paraId="301E2335"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H1</w:t>
            </w:r>
          </w:p>
        </w:tc>
        <w:tc>
          <w:tcPr>
            <w:tcW w:w="0" w:type="auto"/>
            <w:vAlign w:val="center"/>
            <w:hideMark/>
          </w:tcPr>
          <w:p w14:paraId="0F3963E6"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 Patient Satisfaction</w:t>
            </w:r>
          </w:p>
        </w:tc>
        <w:tc>
          <w:tcPr>
            <w:tcW w:w="0" w:type="auto"/>
            <w:vAlign w:val="center"/>
            <w:hideMark/>
          </w:tcPr>
          <w:p w14:paraId="27BA388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0.312</w:t>
            </w:r>
          </w:p>
        </w:tc>
        <w:tc>
          <w:tcPr>
            <w:tcW w:w="0" w:type="auto"/>
            <w:vAlign w:val="center"/>
            <w:hideMark/>
          </w:tcPr>
          <w:p w14:paraId="2E16B7C8"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4.751</w:t>
            </w:r>
          </w:p>
        </w:tc>
        <w:tc>
          <w:tcPr>
            <w:tcW w:w="0" w:type="auto"/>
            <w:vAlign w:val="center"/>
            <w:hideMark/>
          </w:tcPr>
          <w:p w14:paraId="3895445B"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516C229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18FE21B1" w14:textId="77777777" w:rsidTr="007B535D">
        <w:trPr>
          <w:tblCellSpacing w:w="15" w:type="dxa"/>
        </w:trPr>
        <w:tc>
          <w:tcPr>
            <w:tcW w:w="0" w:type="auto"/>
            <w:vAlign w:val="center"/>
            <w:hideMark/>
          </w:tcPr>
          <w:p w14:paraId="56F1BE5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H2</w:t>
            </w:r>
          </w:p>
        </w:tc>
        <w:tc>
          <w:tcPr>
            <w:tcW w:w="0" w:type="auto"/>
            <w:vAlign w:val="center"/>
            <w:hideMark/>
          </w:tcPr>
          <w:p w14:paraId="1320095E"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 Patient Satisfaction</w:t>
            </w:r>
          </w:p>
        </w:tc>
        <w:tc>
          <w:tcPr>
            <w:tcW w:w="0" w:type="auto"/>
            <w:vAlign w:val="center"/>
            <w:hideMark/>
          </w:tcPr>
          <w:p w14:paraId="4F1414F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0.087</w:t>
            </w:r>
          </w:p>
        </w:tc>
        <w:tc>
          <w:tcPr>
            <w:tcW w:w="0" w:type="auto"/>
            <w:vAlign w:val="center"/>
            <w:hideMark/>
          </w:tcPr>
          <w:p w14:paraId="507636C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1.123</w:t>
            </w:r>
          </w:p>
        </w:tc>
        <w:tc>
          <w:tcPr>
            <w:tcW w:w="0" w:type="auto"/>
            <w:vAlign w:val="center"/>
            <w:hideMark/>
          </w:tcPr>
          <w:p w14:paraId="62215134"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0.262</w:t>
            </w:r>
          </w:p>
        </w:tc>
        <w:tc>
          <w:tcPr>
            <w:tcW w:w="0" w:type="auto"/>
            <w:vAlign w:val="center"/>
            <w:hideMark/>
          </w:tcPr>
          <w:p w14:paraId="333525F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No</w:t>
            </w:r>
          </w:p>
        </w:tc>
      </w:tr>
      <w:tr w:rsidR="00097749" w:rsidRPr="00097749" w14:paraId="6A5E1071" w14:textId="77777777" w:rsidTr="007B535D">
        <w:trPr>
          <w:tblCellSpacing w:w="15" w:type="dxa"/>
        </w:trPr>
        <w:tc>
          <w:tcPr>
            <w:tcW w:w="0" w:type="auto"/>
            <w:vAlign w:val="center"/>
            <w:hideMark/>
          </w:tcPr>
          <w:p w14:paraId="685F362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H3</w:t>
            </w:r>
          </w:p>
        </w:tc>
        <w:tc>
          <w:tcPr>
            <w:tcW w:w="0" w:type="auto"/>
            <w:vAlign w:val="center"/>
            <w:hideMark/>
          </w:tcPr>
          <w:p w14:paraId="27AE430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 Patient Satisfaction</w:t>
            </w:r>
          </w:p>
        </w:tc>
        <w:tc>
          <w:tcPr>
            <w:tcW w:w="0" w:type="auto"/>
            <w:vAlign w:val="center"/>
            <w:hideMark/>
          </w:tcPr>
          <w:p w14:paraId="634D2AF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0.294</w:t>
            </w:r>
          </w:p>
        </w:tc>
        <w:tc>
          <w:tcPr>
            <w:tcW w:w="0" w:type="auto"/>
            <w:vAlign w:val="center"/>
            <w:hideMark/>
          </w:tcPr>
          <w:p w14:paraId="227743D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4.286</w:t>
            </w:r>
          </w:p>
        </w:tc>
        <w:tc>
          <w:tcPr>
            <w:tcW w:w="0" w:type="auto"/>
            <w:vAlign w:val="center"/>
            <w:hideMark/>
          </w:tcPr>
          <w:p w14:paraId="54735D3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68CBB7FB"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153120AE" w14:textId="77777777" w:rsidTr="007B535D">
        <w:trPr>
          <w:tblCellSpacing w:w="15" w:type="dxa"/>
        </w:trPr>
        <w:tc>
          <w:tcPr>
            <w:tcW w:w="0" w:type="auto"/>
            <w:vAlign w:val="center"/>
            <w:hideMark/>
          </w:tcPr>
          <w:p w14:paraId="35A9AD59"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H4</w:t>
            </w:r>
          </w:p>
        </w:tc>
        <w:tc>
          <w:tcPr>
            <w:tcW w:w="0" w:type="auto"/>
            <w:vAlign w:val="center"/>
            <w:hideMark/>
          </w:tcPr>
          <w:p w14:paraId="496BF13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 Service Innovation</w:t>
            </w:r>
          </w:p>
        </w:tc>
        <w:tc>
          <w:tcPr>
            <w:tcW w:w="0" w:type="auto"/>
            <w:vAlign w:val="center"/>
            <w:hideMark/>
          </w:tcPr>
          <w:p w14:paraId="4D10D80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0.278</w:t>
            </w:r>
          </w:p>
        </w:tc>
        <w:tc>
          <w:tcPr>
            <w:tcW w:w="0" w:type="auto"/>
            <w:vAlign w:val="center"/>
            <w:hideMark/>
          </w:tcPr>
          <w:p w14:paraId="1A3CDF69"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3.995</w:t>
            </w:r>
          </w:p>
        </w:tc>
        <w:tc>
          <w:tcPr>
            <w:tcW w:w="0" w:type="auto"/>
            <w:vAlign w:val="center"/>
            <w:hideMark/>
          </w:tcPr>
          <w:p w14:paraId="2C53889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1BAB498B"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34949B8E" w14:textId="77777777" w:rsidTr="007B535D">
        <w:trPr>
          <w:tblCellSpacing w:w="15" w:type="dxa"/>
        </w:trPr>
        <w:tc>
          <w:tcPr>
            <w:tcW w:w="0" w:type="auto"/>
            <w:vAlign w:val="center"/>
            <w:hideMark/>
          </w:tcPr>
          <w:p w14:paraId="18BF7C1E"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H5</w:t>
            </w:r>
          </w:p>
        </w:tc>
        <w:tc>
          <w:tcPr>
            <w:tcW w:w="0" w:type="auto"/>
            <w:vAlign w:val="center"/>
            <w:hideMark/>
          </w:tcPr>
          <w:p w14:paraId="05095AA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 Service Innovation</w:t>
            </w:r>
          </w:p>
        </w:tc>
        <w:tc>
          <w:tcPr>
            <w:tcW w:w="0" w:type="auto"/>
            <w:vAlign w:val="center"/>
            <w:hideMark/>
          </w:tcPr>
          <w:p w14:paraId="52E669C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0.112</w:t>
            </w:r>
          </w:p>
        </w:tc>
        <w:tc>
          <w:tcPr>
            <w:tcW w:w="0" w:type="auto"/>
            <w:vAlign w:val="center"/>
            <w:hideMark/>
          </w:tcPr>
          <w:p w14:paraId="6C755707"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1.468</w:t>
            </w:r>
          </w:p>
        </w:tc>
        <w:tc>
          <w:tcPr>
            <w:tcW w:w="0" w:type="auto"/>
            <w:vAlign w:val="center"/>
            <w:hideMark/>
          </w:tcPr>
          <w:p w14:paraId="6C988FE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0.142</w:t>
            </w:r>
          </w:p>
        </w:tc>
        <w:tc>
          <w:tcPr>
            <w:tcW w:w="0" w:type="auto"/>
            <w:vAlign w:val="center"/>
            <w:hideMark/>
          </w:tcPr>
          <w:p w14:paraId="33D6054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No</w:t>
            </w:r>
          </w:p>
        </w:tc>
      </w:tr>
      <w:tr w:rsidR="00097749" w:rsidRPr="00097749" w14:paraId="3C1B387A" w14:textId="77777777" w:rsidTr="007B535D">
        <w:trPr>
          <w:tblCellSpacing w:w="15" w:type="dxa"/>
        </w:trPr>
        <w:tc>
          <w:tcPr>
            <w:tcW w:w="0" w:type="auto"/>
            <w:vAlign w:val="center"/>
            <w:hideMark/>
          </w:tcPr>
          <w:p w14:paraId="4420639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H6</w:t>
            </w:r>
          </w:p>
        </w:tc>
        <w:tc>
          <w:tcPr>
            <w:tcW w:w="0" w:type="auto"/>
            <w:vAlign w:val="center"/>
            <w:hideMark/>
          </w:tcPr>
          <w:p w14:paraId="299A4D6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 Service Innovation</w:t>
            </w:r>
          </w:p>
        </w:tc>
        <w:tc>
          <w:tcPr>
            <w:tcW w:w="0" w:type="auto"/>
            <w:vAlign w:val="center"/>
            <w:hideMark/>
          </w:tcPr>
          <w:p w14:paraId="1F979028"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0.325</w:t>
            </w:r>
          </w:p>
        </w:tc>
        <w:tc>
          <w:tcPr>
            <w:tcW w:w="0" w:type="auto"/>
            <w:vAlign w:val="center"/>
            <w:hideMark/>
          </w:tcPr>
          <w:p w14:paraId="1482030F"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5.201</w:t>
            </w:r>
          </w:p>
        </w:tc>
        <w:tc>
          <w:tcPr>
            <w:tcW w:w="0" w:type="auto"/>
            <w:vAlign w:val="center"/>
            <w:hideMark/>
          </w:tcPr>
          <w:p w14:paraId="5ABC169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7CBB64E9"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754810C9" w14:textId="77777777" w:rsidTr="007B535D">
        <w:trPr>
          <w:tblCellSpacing w:w="15" w:type="dxa"/>
        </w:trPr>
        <w:tc>
          <w:tcPr>
            <w:tcW w:w="0" w:type="auto"/>
            <w:vAlign w:val="center"/>
            <w:hideMark/>
          </w:tcPr>
          <w:p w14:paraId="7B5287A5"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H7</w:t>
            </w:r>
          </w:p>
        </w:tc>
        <w:tc>
          <w:tcPr>
            <w:tcW w:w="0" w:type="auto"/>
            <w:vAlign w:val="center"/>
            <w:hideMark/>
          </w:tcPr>
          <w:p w14:paraId="282AB14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 Patient Satisfaction</w:t>
            </w:r>
          </w:p>
        </w:tc>
        <w:tc>
          <w:tcPr>
            <w:tcW w:w="0" w:type="auto"/>
            <w:vAlign w:val="center"/>
            <w:hideMark/>
          </w:tcPr>
          <w:p w14:paraId="08E0308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0.416</w:t>
            </w:r>
          </w:p>
        </w:tc>
        <w:tc>
          <w:tcPr>
            <w:tcW w:w="0" w:type="auto"/>
            <w:vAlign w:val="center"/>
            <w:hideMark/>
          </w:tcPr>
          <w:p w14:paraId="1BB2CAA5"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6.587</w:t>
            </w:r>
          </w:p>
        </w:tc>
        <w:tc>
          <w:tcPr>
            <w:tcW w:w="0" w:type="auto"/>
            <w:vAlign w:val="center"/>
            <w:hideMark/>
          </w:tcPr>
          <w:p w14:paraId="3514CB5F"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79CAD48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7466054F" w14:textId="77777777" w:rsidTr="007B535D">
        <w:trPr>
          <w:tblCellSpacing w:w="15" w:type="dxa"/>
        </w:trPr>
        <w:tc>
          <w:tcPr>
            <w:tcW w:w="0" w:type="auto"/>
            <w:vAlign w:val="center"/>
            <w:hideMark/>
          </w:tcPr>
          <w:p w14:paraId="68B8F5D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H8</w:t>
            </w:r>
          </w:p>
        </w:tc>
        <w:tc>
          <w:tcPr>
            <w:tcW w:w="0" w:type="auto"/>
            <w:vAlign w:val="center"/>
            <w:hideMark/>
          </w:tcPr>
          <w:p w14:paraId="1ABB241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 Satisfaction (Mediated by Service Innovation)</w:t>
            </w:r>
          </w:p>
        </w:tc>
        <w:tc>
          <w:tcPr>
            <w:tcW w:w="0" w:type="auto"/>
            <w:vAlign w:val="center"/>
            <w:hideMark/>
          </w:tcPr>
          <w:p w14:paraId="1863BBE1"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0.116</w:t>
            </w:r>
          </w:p>
        </w:tc>
        <w:tc>
          <w:tcPr>
            <w:tcW w:w="0" w:type="auto"/>
            <w:vAlign w:val="center"/>
            <w:hideMark/>
          </w:tcPr>
          <w:p w14:paraId="452B6B7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3.242</w:t>
            </w:r>
          </w:p>
        </w:tc>
        <w:tc>
          <w:tcPr>
            <w:tcW w:w="0" w:type="auto"/>
            <w:vAlign w:val="center"/>
            <w:hideMark/>
          </w:tcPr>
          <w:p w14:paraId="2DC5E3E9"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0.001</w:t>
            </w:r>
          </w:p>
        </w:tc>
        <w:tc>
          <w:tcPr>
            <w:tcW w:w="0" w:type="auto"/>
            <w:vAlign w:val="center"/>
            <w:hideMark/>
          </w:tcPr>
          <w:p w14:paraId="1BC51FE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328424C1" w14:textId="77777777" w:rsidTr="007B535D">
        <w:trPr>
          <w:tblCellSpacing w:w="15" w:type="dxa"/>
        </w:trPr>
        <w:tc>
          <w:tcPr>
            <w:tcW w:w="0" w:type="auto"/>
            <w:vAlign w:val="center"/>
            <w:hideMark/>
          </w:tcPr>
          <w:p w14:paraId="08E69579"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H9</w:t>
            </w:r>
          </w:p>
        </w:tc>
        <w:tc>
          <w:tcPr>
            <w:tcW w:w="0" w:type="auto"/>
            <w:vAlign w:val="center"/>
            <w:hideMark/>
          </w:tcPr>
          <w:p w14:paraId="1100FA7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 Satisfaction (Mediated by Service Innovation)</w:t>
            </w:r>
          </w:p>
        </w:tc>
        <w:tc>
          <w:tcPr>
            <w:tcW w:w="0" w:type="auto"/>
            <w:vAlign w:val="center"/>
            <w:hideMark/>
          </w:tcPr>
          <w:p w14:paraId="6D960B0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0.046</w:t>
            </w:r>
          </w:p>
        </w:tc>
        <w:tc>
          <w:tcPr>
            <w:tcW w:w="0" w:type="auto"/>
            <w:vAlign w:val="center"/>
            <w:hideMark/>
          </w:tcPr>
          <w:p w14:paraId="30315320"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0.982</w:t>
            </w:r>
          </w:p>
        </w:tc>
        <w:tc>
          <w:tcPr>
            <w:tcW w:w="0" w:type="auto"/>
            <w:vAlign w:val="center"/>
            <w:hideMark/>
          </w:tcPr>
          <w:p w14:paraId="6F4EAEC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0.327</w:t>
            </w:r>
          </w:p>
        </w:tc>
        <w:tc>
          <w:tcPr>
            <w:tcW w:w="0" w:type="auto"/>
            <w:vAlign w:val="center"/>
            <w:hideMark/>
          </w:tcPr>
          <w:p w14:paraId="3894761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No</w:t>
            </w:r>
          </w:p>
        </w:tc>
      </w:tr>
      <w:tr w:rsidR="00097749" w:rsidRPr="00097749" w14:paraId="7EC14A41" w14:textId="77777777" w:rsidTr="007B535D">
        <w:trPr>
          <w:tblCellSpacing w:w="15" w:type="dxa"/>
        </w:trPr>
        <w:tc>
          <w:tcPr>
            <w:tcW w:w="0" w:type="auto"/>
            <w:tcBorders>
              <w:bottom w:val="single" w:sz="4" w:space="0" w:color="auto"/>
            </w:tcBorders>
            <w:vAlign w:val="center"/>
            <w:hideMark/>
          </w:tcPr>
          <w:p w14:paraId="1282E16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H10</w:t>
            </w:r>
          </w:p>
        </w:tc>
        <w:tc>
          <w:tcPr>
            <w:tcW w:w="0" w:type="auto"/>
            <w:tcBorders>
              <w:bottom w:val="single" w:sz="4" w:space="0" w:color="auto"/>
            </w:tcBorders>
            <w:vAlign w:val="center"/>
            <w:hideMark/>
          </w:tcPr>
          <w:p w14:paraId="420CCA8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 Satisfaction (Mediated by Service Innovation)</w:t>
            </w:r>
          </w:p>
        </w:tc>
        <w:tc>
          <w:tcPr>
            <w:tcW w:w="0" w:type="auto"/>
            <w:tcBorders>
              <w:bottom w:val="single" w:sz="4" w:space="0" w:color="auto"/>
            </w:tcBorders>
            <w:vAlign w:val="center"/>
            <w:hideMark/>
          </w:tcPr>
          <w:p w14:paraId="7FC1C4A0"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0.135</w:t>
            </w:r>
          </w:p>
        </w:tc>
        <w:tc>
          <w:tcPr>
            <w:tcW w:w="0" w:type="auto"/>
            <w:tcBorders>
              <w:bottom w:val="single" w:sz="4" w:space="0" w:color="auto"/>
            </w:tcBorders>
            <w:vAlign w:val="center"/>
            <w:hideMark/>
          </w:tcPr>
          <w:p w14:paraId="47A12171"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3.678</w:t>
            </w:r>
          </w:p>
        </w:tc>
        <w:tc>
          <w:tcPr>
            <w:tcW w:w="0" w:type="auto"/>
            <w:tcBorders>
              <w:bottom w:val="single" w:sz="4" w:space="0" w:color="auto"/>
            </w:tcBorders>
            <w:vAlign w:val="center"/>
            <w:hideMark/>
          </w:tcPr>
          <w:p w14:paraId="0B8CB48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tcBorders>
              <w:bottom w:val="single" w:sz="4" w:space="0" w:color="auto"/>
            </w:tcBorders>
            <w:vAlign w:val="center"/>
            <w:hideMark/>
          </w:tcPr>
          <w:p w14:paraId="2FF5AB81"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bl>
    <w:p w14:paraId="584A8A03" w14:textId="77777777" w:rsidR="00097749" w:rsidRPr="00097749" w:rsidRDefault="00097749" w:rsidP="00097749">
      <w:pPr>
        <w:pStyle w:val="BodyText"/>
        <w:spacing w:after="0"/>
        <w:rPr>
          <w:color w:val="000000" w:themeColor="text1"/>
        </w:rPr>
      </w:pPr>
    </w:p>
    <w:p w14:paraId="3E9D6C3B" w14:textId="77777777" w:rsidR="00097749" w:rsidRPr="00097749" w:rsidRDefault="00097749" w:rsidP="00097749">
      <w:pPr>
        <w:pStyle w:val="BodyText"/>
        <w:rPr>
          <w:color w:val="000000" w:themeColor="text1"/>
        </w:rPr>
      </w:pPr>
      <w:r w:rsidRPr="00097749">
        <w:rPr>
          <w:color w:val="000000" w:themeColor="text1"/>
        </w:rPr>
        <w:t>The structural model explains 77.6% of the variance in patient satisfaction (R² = 0.776) and 65.2% of the variance in service innovation (R² = 0.652), which shows substantial predictive power and confirms the adequacy of the model. The results underscore the importance of integrating behavioral determinants of treatment adherence with innovative service delivery mechanisms to improve patient-centered outcomes in malaria care.</w:t>
      </w:r>
    </w:p>
    <w:p w14:paraId="384DF6CA" w14:textId="77777777" w:rsidR="00097749" w:rsidRPr="00097749" w:rsidRDefault="00097749" w:rsidP="00097749">
      <w:pPr>
        <w:pStyle w:val="BodyText"/>
        <w:rPr>
          <w:color w:val="000000" w:themeColor="text1"/>
        </w:rPr>
      </w:pPr>
      <w:r w:rsidRPr="00097749">
        <w:rPr>
          <w:color w:val="000000" w:themeColor="text1"/>
        </w:rPr>
        <w:t xml:space="preserve">First, the results show the central role of predisposing factors. The significant positive direct effect (β = 0.312, p &lt; 0.001) and additional indirect effect through service innovation (β = 0.116, p &lt; 0.001) </w:t>
      </w:r>
      <w:r w:rsidRPr="00097749">
        <w:rPr>
          <w:color w:val="000000" w:themeColor="text1"/>
          <w:lang w:val="id-ID"/>
        </w:rPr>
        <w:t>show</w:t>
      </w:r>
      <w:r w:rsidRPr="00097749">
        <w:rPr>
          <w:color w:val="000000" w:themeColor="text1"/>
        </w:rPr>
        <w:t xml:space="preserve"> that patient knowledge, attitudes, and motivation strongly shape both adherence behaviors and satisfaction levels. This result is consistent with behavioral theories of health service use (Green, 1991; Babitsch et al., 2019), suggesting that patient who possess higher awareness of malaria risks and treatment protocols tend to perceive service as satisfactory, specifically when service innovation facilitates treatment completion.</w:t>
      </w:r>
    </w:p>
    <w:p w14:paraId="220177AE" w14:textId="77777777" w:rsidR="00097749" w:rsidRPr="00097749" w:rsidRDefault="00097749" w:rsidP="00097749">
      <w:pPr>
        <w:pStyle w:val="BodyText"/>
        <w:rPr>
          <w:color w:val="000000" w:themeColor="text1"/>
        </w:rPr>
      </w:pPr>
      <w:r w:rsidRPr="00097749">
        <w:rPr>
          <w:color w:val="000000" w:themeColor="text1"/>
        </w:rPr>
        <w:t>Second, reinforcing factors were identified as another strong determinant of satisfaction. The direct pathway (β = 0.294, p &lt; 0.001) combined with a significant indirect pathway through service innovation (β = 0.135, p &lt; 0.001) produced the largest total effect (β = 0.429). This result suggests that continuous support from family members, healthcare providers, and social networks significantly enhances patient experiences. It also validates previous studies emphasizing the role of social reinforcement in chronic disease management (</w:t>
      </w:r>
      <w:proofErr w:type="spellStart"/>
      <w:r w:rsidRPr="00097749">
        <w:rPr>
          <w:color w:val="000000" w:themeColor="text1"/>
        </w:rPr>
        <w:t>Psihogios</w:t>
      </w:r>
      <w:proofErr w:type="spellEnd"/>
      <w:r w:rsidRPr="00097749">
        <w:rPr>
          <w:color w:val="000000" w:themeColor="text1"/>
        </w:rPr>
        <w:t xml:space="preserve"> et al., 2019; </w:t>
      </w:r>
      <w:proofErr w:type="spellStart"/>
      <w:r w:rsidRPr="00097749">
        <w:rPr>
          <w:color w:val="000000" w:themeColor="text1"/>
        </w:rPr>
        <w:t>Rumimpunu</w:t>
      </w:r>
      <w:proofErr w:type="spellEnd"/>
      <w:r w:rsidRPr="00097749">
        <w:rPr>
          <w:color w:val="000000" w:themeColor="text1"/>
        </w:rPr>
        <w:t xml:space="preserve"> et al., 2020). Importantly, this underscores the need for interventions that strengthen community and family engagement in malaria care.</w:t>
      </w:r>
    </w:p>
    <w:p w14:paraId="2D590EF3" w14:textId="77777777" w:rsidR="00097749" w:rsidRPr="00097749" w:rsidRDefault="00097749" w:rsidP="00097749">
      <w:pPr>
        <w:pStyle w:val="BodyText"/>
        <w:rPr>
          <w:color w:val="000000" w:themeColor="text1"/>
        </w:rPr>
      </w:pPr>
      <w:r w:rsidRPr="00097749">
        <w:rPr>
          <w:color w:val="000000" w:themeColor="text1"/>
        </w:rPr>
        <w:t xml:space="preserve">Third, enabling factors showed neither significant direct nor indirect effects on patient satisfaction (β = 0.133, ns). Although access to facilities, availability of doctors, and waiting times are important dimensions of healthcare quality, these factors alone do not guarantee improved satisfaction in resource-limited settings. Previous studies have shown that </w:t>
      </w:r>
      <w:r w:rsidRPr="00097749">
        <w:rPr>
          <w:color w:val="000000" w:themeColor="text1"/>
        </w:rPr>
        <w:lastRenderedPageBreak/>
        <w:t>infrastructure investments are insufficient without parallel efforts to enhance patient-centered innovation and adherence monitoring (Khan et al., 2021).</w:t>
      </w:r>
    </w:p>
    <w:p w14:paraId="4C9F57B8" w14:textId="77777777" w:rsidR="00097749" w:rsidRPr="00097749" w:rsidRDefault="00097749" w:rsidP="00097749">
      <w:pPr>
        <w:pStyle w:val="BodyText"/>
        <w:rPr>
          <w:color w:val="000000" w:themeColor="text1"/>
        </w:rPr>
      </w:pPr>
      <w:r w:rsidRPr="00097749">
        <w:rPr>
          <w:color w:val="000000" w:themeColor="text1"/>
        </w:rPr>
        <w:t>Fourth, service innovation showed a strong and direct positive effect on satisfaction (β = 0.416, p &lt; 0.001). As a mediating construct, service innovation transforms the effects of predisposing and reinforcing factors into enhanced patient experiences. Innovation, such as malaria corners, digital reminders, supervised treatment, and home visits, plays a critical role in addressing adherence gaps and improving perceptions of care quality. This result is consistent with literature emphasizing that innovative, responsive, and context-specific interventions are essential in high-burden settings (Janssen et al., 2021; Li et al., 2023).</w:t>
      </w:r>
    </w:p>
    <w:p w14:paraId="17F506B6" w14:textId="77777777" w:rsidR="00097749" w:rsidRPr="00097749" w:rsidRDefault="00097749" w:rsidP="00097749">
      <w:pPr>
        <w:pStyle w:val="BodyText"/>
        <w:rPr>
          <w:color w:val="000000" w:themeColor="text1"/>
        </w:rPr>
      </w:pPr>
      <w:r w:rsidRPr="00097749">
        <w:rPr>
          <w:color w:val="000000" w:themeColor="text1"/>
        </w:rPr>
        <w:t>The model, in general, advances both theory and practice. Theoretically, it extends Andersen Behavioral Model of Health Service Use by incorporating service innovation as a mediating mechanism. Practically, the results suggest that malaria elimination strategies should not only emphasize improving infrastructure but should also prioritize behavioral reinforcement and innovative service design to ensure sustained adherence and higher patient satisfaction.</w:t>
      </w:r>
    </w:p>
    <w:p w14:paraId="2E0F37EE" w14:textId="77777777" w:rsidR="00097749" w:rsidRPr="00097749" w:rsidRDefault="00097749" w:rsidP="00097749">
      <w:pPr>
        <w:pStyle w:val="BodyText"/>
        <w:jc w:val="center"/>
        <w:rPr>
          <w:color w:val="000000" w:themeColor="text1"/>
        </w:rPr>
      </w:pPr>
      <w:r w:rsidRPr="00097749">
        <w:rPr>
          <w:noProof/>
          <w:color w:val="000000" w:themeColor="text1"/>
        </w:rPr>
        <w:drawing>
          <wp:inline distT="0" distB="0" distL="0" distR="0" wp14:anchorId="5BFAA554" wp14:editId="39A5603B">
            <wp:extent cx="5596890" cy="1749425"/>
            <wp:effectExtent l="0" t="0" r="3810" b="3175"/>
            <wp:docPr id="626007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6890" cy="1749425"/>
                    </a:xfrm>
                    <a:prstGeom prst="rect">
                      <a:avLst/>
                    </a:prstGeom>
                    <a:noFill/>
                  </pic:spPr>
                </pic:pic>
              </a:graphicData>
            </a:graphic>
          </wp:inline>
        </w:drawing>
      </w:r>
    </w:p>
    <w:p w14:paraId="18E167B3" w14:textId="77777777" w:rsidR="00097749" w:rsidRPr="00097749" w:rsidRDefault="00097749" w:rsidP="00097749">
      <w:pPr>
        <w:pStyle w:val="BodyText"/>
        <w:rPr>
          <w:color w:val="000000" w:themeColor="text1"/>
        </w:rPr>
      </w:pPr>
      <w:r w:rsidRPr="00097749">
        <w:rPr>
          <w:color w:val="000000" w:themeColor="text1"/>
        </w:rPr>
        <w:t xml:space="preserve">Figure 3. Structural full model results showing path coefficients and explained variance (R²) for endogenous constructs. </w:t>
      </w:r>
    </w:p>
    <w:p w14:paraId="1A540763" w14:textId="77777777" w:rsidR="00097749" w:rsidRPr="00097749" w:rsidRDefault="00097749" w:rsidP="00097749">
      <w:pPr>
        <w:pStyle w:val="BodyText"/>
        <w:rPr>
          <w:color w:val="000000" w:themeColor="text1"/>
        </w:rPr>
      </w:pPr>
      <w:r w:rsidRPr="00097749">
        <w:rPr>
          <w:color w:val="000000" w:themeColor="text1"/>
        </w:rPr>
        <w:t>The full model results show that predisposing and reinforcing factors have significant effects on patient satisfaction both directly and indirectly through service innovation, while enabling factors have no significant impact. Service innovation accounts for substantial variance in satisfaction (R² = 0.776), confirming the role as a key mediator in malaria care delivery in Papua.</w:t>
      </w:r>
    </w:p>
    <w:p w14:paraId="24AC0DC6" w14:textId="77777777" w:rsidR="00097749" w:rsidRPr="00097749" w:rsidRDefault="00097749" w:rsidP="00097749">
      <w:pPr>
        <w:pStyle w:val="BodyText"/>
        <w:rPr>
          <w:color w:val="000000" w:themeColor="text1"/>
          <w:lang w:val="en-ID" w:eastAsia="en-ID"/>
        </w:rPr>
      </w:pPr>
      <w:r w:rsidRPr="00097749">
        <w:rPr>
          <w:color w:val="000000" w:themeColor="text1"/>
          <w:lang w:val="en-ID" w:eastAsia="en-ID"/>
        </w:rPr>
        <w:t xml:space="preserve">Table 5 shows the total effects (direct and indirect) of predisposing, enabling, and reinforcing factors on patient satisfaction, with service innovation as a mediator. The results </w:t>
      </w:r>
      <w:r w:rsidRPr="00097749">
        <w:rPr>
          <w:color w:val="000000" w:themeColor="text1"/>
          <w:lang w:val="id-ID" w:eastAsia="en-ID"/>
        </w:rPr>
        <w:t>show</w:t>
      </w:r>
      <w:r w:rsidRPr="00097749">
        <w:rPr>
          <w:color w:val="000000" w:themeColor="text1"/>
          <w:lang w:val="en-ID" w:eastAsia="en-ID"/>
        </w:rPr>
        <w:t xml:space="preserve"> that predisposing and reinforcing factors exert the strongest influence on patient satisfaction, both directly and indirectly, while enabling factors remain weak and statistically insignificant. Service innovation shows a strong direct effect, confirming the critical role as a driver of satisfaction.</w:t>
      </w:r>
    </w:p>
    <w:p w14:paraId="7799303B" w14:textId="77777777" w:rsidR="00097749" w:rsidRPr="00097749" w:rsidRDefault="00097749" w:rsidP="00097749">
      <w:pPr>
        <w:pStyle w:val="BodyText"/>
        <w:jc w:val="center"/>
        <w:rPr>
          <w:color w:val="000000" w:themeColor="text1"/>
          <w:lang w:val="en-ID" w:eastAsia="en-ID"/>
        </w:rPr>
      </w:pPr>
      <w:r w:rsidRPr="00097749">
        <w:rPr>
          <w:color w:val="000000" w:themeColor="text1"/>
          <w:lang w:val="en-ID" w:eastAsia="en-ID"/>
        </w:rPr>
        <w:t>Table 5. Total Effects on Patient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3"/>
        <w:gridCol w:w="1360"/>
        <w:gridCol w:w="2597"/>
        <w:gridCol w:w="1255"/>
        <w:gridCol w:w="1313"/>
      </w:tblGrid>
      <w:tr w:rsidR="00097749" w:rsidRPr="00097749" w14:paraId="0BF66F4E" w14:textId="77777777" w:rsidTr="007B535D">
        <w:trPr>
          <w:tblHeader/>
          <w:tblCellSpacing w:w="15" w:type="dxa"/>
        </w:trPr>
        <w:tc>
          <w:tcPr>
            <w:tcW w:w="0" w:type="auto"/>
            <w:tcBorders>
              <w:top w:val="single" w:sz="4" w:space="0" w:color="auto"/>
              <w:bottom w:val="single" w:sz="4" w:space="0" w:color="auto"/>
            </w:tcBorders>
            <w:vAlign w:val="center"/>
            <w:hideMark/>
          </w:tcPr>
          <w:p w14:paraId="4ADC3654"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Predictor</w:t>
            </w:r>
          </w:p>
        </w:tc>
        <w:tc>
          <w:tcPr>
            <w:tcW w:w="0" w:type="auto"/>
            <w:tcBorders>
              <w:top w:val="single" w:sz="4" w:space="0" w:color="auto"/>
              <w:bottom w:val="single" w:sz="4" w:space="0" w:color="auto"/>
            </w:tcBorders>
            <w:vAlign w:val="center"/>
            <w:hideMark/>
          </w:tcPr>
          <w:p w14:paraId="7D1D07C2"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Direct Effect (β)</w:t>
            </w:r>
          </w:p>
        </w:tc>
        <w:tc>
          <w:tcPr>
            <w:tcW w:w="0" w:type="auto"/>
            <w:tcBorders>
              <w:top w:val="single" w:sz="4" w:space="0" w:color="auto"/>
              <w:bottom w:val="single" w:sz="4" w:space="0" w:color="auto"/>
            </w:tcBorders>
            <w:vAlign w:val="center"/>
            <w:hideMark/>
          </w:tcPr>
          <w:p w14:paraId="5DBF961C"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Indirect Effect via Innovation (β)</w:t>
            </w:r>
          </w:p>
        </w:tc>
        <w:tc>
          <w:tcPr>
            <w:tcW w:w="0" w:type="auto"/>
            <w:tcBorders>
              <w:top w:val="single" w:sz="4" w:space="0" w:color="auto"/>
              <w:bottom w:val="single" w:sz="4" w:space="0" w:color="auto"/>
            </w:tcBorders>
            <w:vAlign w:val="center"/>
            <w:hideMark/>
          </w:tcPr>
          <w:p w14:paraId="19EE9B19"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Total Effect (β)</w:t>
            </w:r>
          </w:p>
        </w:tc>
        <w:tc>
          <w:tcPr>
            <w:tcW w:w="0" w:type="auto"/>
            <w:tcBorders>
              <w:top w:val="single" w:sz="4" w:space="0" w:color="auto"/>
              <w:bottom w:val="single" w:sz="4" w:space="0" w:color="auto"/>
            </w:tcBorders>
            <w:vAlign w:val="center"/>
            <w:hideMark/>
          </w:tcPr>
          <w:p w14:paraId="71C0C946"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Significance</w:t>
            </w:r>
          </w:p>
        </w:tc>
      </w:tr>
      <w:tr w:rsidR="00097749" w:rsidRPr="00097749" w14:paraId="54B0051F" w14:textId="77777777" w:rsidTr="007B535D">
        <w:trPr>
          <w:tblCellSpacing w:w="15" w:type="dxa"/>
        </w:trPr>
        <w:tc>
          <w:tcPr>
            <w:tcW w:w="0" w:type="auto"/>
            <w:vAlign w:val="center"/>
            <w:hideMark/>
          </w:tcPr>
          <w:p w14:paraId="0818B3F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Factors</w:t>
            </w:r>
          </w:p>
        </w:tc>
        <w:tc>
          <w:tcPr>
            <w:tcW w:w="0" w:type="auto"/>
            <w:vAlign w:val="center"/>
            <w:hideMark/>
          </w:tcPr>
          <w:p w14:paraId="36BCE026"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0.312***</w:t>
            </w:r>
          </w:p>
        </w:tc>
        <w:tc>
          <w:tcPr>
            <w:tcW w:w="0" w:type="auto"/>
            <w:vAlign w:val="center"/>
            <w:hideMark/>
          </w:tcPr>
          <w:p w14:paraId="06EFEE5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0.116***</w:t>
            </w:r>
          </w:p>
        </w:tc>
        <w:tc>
          <w:tcPr>
            <w:tcW w:w="0" w:type="auto"/>
            <w:vAlign w:val="center"/>
            <w:hideMark/>
          </w:tcPr>
          <w:p w14:paraId="3D9765F5"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0.428</w:t>
            </w:r>
            <w:r w:rsidRPr="00097749">
              <w:rPr>
                <w:color w:val="000000" w:themeColor="text1"/>
                <w:szCs w:val="24"/>
                <w:lang w:val="en-ID" w:eastAsia="en-ID"/>
              </w:rPr>
              <w:t>*</w:t>
            </w:r>
          </w:p>
        </w:tc>
        <w:tc>
          <w:tcPr>
            <w:tcW w:w="0" w:type="auto"/>
            <w:vAlign w:val="center"/>
            <w:hideMark/>
          </w:tcPr>
          <w:p w14:paraId="742F467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r w:rsidR="00097749" w:rsidRPr="00097749" w14:paraId="2F86CC26" w14:textId="77777777" w:rsidTr="007B535D">
        <w:trPr>
          <w:tblCellSpacing w:w="15" w:type="dxa"/>
        </w:trPr>
        <w:tc>
          <w:tcPr>
            <w:tcW w:w="0" w:type="auto"/>
            <w:vAlign w:val="center"/>
            <w:hideMark/>
          </w:tcPr>
          <w:p w14:paraId="7FC15CA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Factors</w:t>
            </w:r>
          </w:p>
        </w:tc>
        <w:tc>
          <w:tcPr>
            <w:tcW w:w="0" w:type="auto"/>
            <w:vAlign w:val="center"/>
            <w:hideMark/>
          </w:tcPr>
          <w:p w14:paraId="380DB16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0.087 (ns)</w:t>
            </w:r>
          </w:p>
        </w:tc>
        <w:tc>
          <w:tcPr>
            <w:tcW w:w="0" w:type="auto"/>
            <w:vAlign w:val="center"/>
            <w:hideMark/>
          </w:tcPr>
          <w:p w14:paraId="005B211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0.046 (ns)</w:t>
            </w:r>
          </w:p>
        </w:tc>
        <w:tc>
          <w:tcPr>
            <w:tcW w:w="0" w:type="auto"/>
            <w:vAlign w:val="center"/>
            <w:hideMark/>
          </w:tcPr>
          <w:p w14:paraId="43107DE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0.133 (ns)</w:t>
            </w:r>
          </w:p>
        </w:tc>
        <w:tc>
          <w:tcPr>
            <w:tcW w:w="0" w:type="auto"/>
            <w:vAlign w:val="center"/>
            <w:hideMark/>
          </w:tcPr>
          <w:p w14:paraId="6ABB53B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Not supported</w:t>
            </w:r>
          </w:p>
        </w:tc>
      </w:tr>
      <w:tr w:rsidR="00097749" w:rsidRPr="00097749" w14:paraId="511EC904" w14:textId="77777777" w:rsidTr="007B535D">
        <w:trPr>
          <w:tblCellSpacing w:w="15" w:type="dxa"/>
        </w:trPr>
        <w:tc>
          <w:tcPr>
            <w:tcW w:w="0" w:type="auto"/>
            <w:vAlign w:val="center"/>
            <w:hideMark/>
          </w:tcPr>
          <w:p w14:paraId="6152AAA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 xml:space="preserve">Reinforcing </w:t>
            </w:r>
            <w:r w:rsidRPr="00097749">
              <w:rPr>
                <w:color w:val="000000" w:themeColor="text1"/>
                <w:szCs w:val="24"/>
                <w:lang w:val="en-ID" w:eastAsia="en-ID"/>
              </w:rPr>
              <w:lastRenderedPageBreak/>
              <w:t>Factors</w:t>
            </w:r>
          </w:p>
        </w:tc>
        <w:tc>
          <w:tcPr>
            <w:tcW w:w="0" w:type="auto"/>
            <w:vAlign w:val="center"/>
            <w:hideMark/>
          </w:tcPr>
          <w:p w14:paraId="3B693171"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0.294***</w:t>
            </w:r>
          </w:p>
        </w:tc>
        <w:tc>
          <w:tcPr>
            <w:tcW w:w="0" w:type="auto"/>
            <w:vAlign w:val="center"/>
            <w:hideMark/>
          </w:tcPr>
          <w:p w14:paraId="4D9A8A0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0.135***</w:t>
            </w:r>
          </w:p>
        </w:tc>
        <w:tc>
          <w:tcPr>
            <w:tcW w:w="0" w:type="auto"/>
            <w:vAlign w:val="center"/>
            <w:hideMark/>
          </w:tcPr>
          <w:p w14:paraId="3CAEF1EF"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0.429</w:t>
            </w:r>
            <w:r w:rsidRPr="00097749">
              <w:rPr>
                <w:color w:val="000000" w:themeColor="text1"/>
                <w:szCs w:val="24"/>
                <w:lang w:val="en-ID" w:eastAsia="en-ID"/>
              </w:rPr>
              <w:t>*</w:t>
            </w:r>
          </w:p>
        </w:tc>
        <w:tc>
          <w:tcPr>
            <w:tcW w:w="0" w:type="auto"/>
            <w:vAlign w:val="center"/>
            <w:hideMark/>
          </w:tcPr>
          <w:p w14:paraId="1E84362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r w:rsidR="00097749" w:rsidRPr="00097749" w14:paraId="59C271A1" w14:textId="77777777" w:rsidTr="007B535D">
        <w:trPr>
          <w:tblCellSpacing w:w="15" w:type="dxa"/>
        </w:trPr>
        <w:tc>
          <w:tcPr>
            <w:tcW w:w="0" w:type="auto"/>
            <w:tcBorders>
              <w:bottom w:val="single" w:sz="4" w:space="0" w:color="auto"/>
            </w:tcBorders>
            <w:vAlign w:val="center"/>
            <w:hideMark/>
          </w:tcPr>
          <w:p w14:paraId="25127D8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w:t>
            </w:r>
          </w:p>
        </w:tc>
        <w:tc>
          <w:tcPr>
            <w:tcW w:w="0" w:type="auto"/>
            <w:tcBorders>
              <w:bottom w:val="single" w:sz="4" w:space="0" w:color="auto"/>
            </w:tcBorders>
            <w:vAlign w:val="center"/>
            <w:hideMark/>
          </w:tcPr>
          <w:p w14:paraId="5166DDD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0.416***</w:t>
            </w:r>
          </w:p>
        </w:tc>
        <w:tc>
          <w:tcPr>
            <w:tcW w:w="0" w:type="auto"/>
            <w:tcBorders>
              <w:bottom w:val="single" w:sz="4" w:space="0" w:color="auto"/>
            </w:tcBorders>
            <w:vAlign w:val="center"/>
            <w:hideMark/>
          </w:tcPr>
          <w:p w14:paraId="725A531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w:t>
            </w:r>
          </w:p>
        </w:tc>
        <w:tc>
          <w:tcPr>
            <w:tcW w:w="0" w:type="auto"/>
            <w:tcBorders>
              <w:bottom w:val="single" w:sz="4" w:space="0" w:color="auto"/>
            </w:tcBorders>
            <w:vAlign w:val="center"/>
            <w:hideMark/>
          </w:tcPr>
          <w:p w14:paraId="0E331B43"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0.416</w:t>
            </w:r>
            <w:r w:rsidRPr="00097749">
              <w:rPr>
                <w:color w:val="000000" w:themeColor="text1"/>
                <w:szCs w:val="24"/>
                <w:lang w:val="en-ID" w:eastAsia="en-ID"/>
              </w:rPr>
              <w:t>*</w:t>
            </w:r>
          </w:p>
        </w:tc>
        <w:tc>
          <w:tcPr>
            <w:tcW w:w="0" w:type="auto"/>
            <w:tcBorders>
              <w:bottom w:val="single" w:sz="4" w:space="0" w:color="auto"/>
            </w:tcBorders>
            <w:vAlign w:val="center"/>
            <w:hideMark/>
          </w:tcPr>
          <w:p w14:paraId="59A994E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bl>
    <w:p w14:paraId="138E162B" w14:textId="77777777" w:rsidR="00097749" w:rsidRPr="00097749" w:rsidRDefault="00097749" w:rsidP="00097749">
      <w:pPr>
        <w:spacing w:before="100" w:beforeAutospacing="1" w:after="100" w:afterAutospacing="1"/>
        <w:rPr>
          <w:color w:val="000000" w:themeColor="text1"/>
          <w:szCs w:val="24"/>
          <w:lang w:val="en-ID" w:eastAsia="en-ID"/>
        </w:rPr>
      </w:pPr>
      <w:r w:rsidRPr="00097749">
        <w:rPr>
          <w:color w:val="000000" w:themeColor="text1"/>
          <w:szCs w:val="24"/>
          <w:lang w:val="en-ID" w:eastAsia="en-ID"/>
        </w:rPr>
        <w:t>Notes: *** p &lt; 0.001; ns = not significant.</w:t>
      </w:r>
    </w:p>
    <w:p w14:paraId="4CF51995" w14:textId="77777777" w:rsidR="00097749" w:rsidRPr="00097749" w:rsidRDefault="00097749" w:rsidP="00097749">
      <w:pPr>
        <w:pStyle w:val="BodyText"/>
        <w:rPr>
          <w:color w:val="000000" w:themeColor="text1"/>
          <w:lang w:val="en-ID" w:eastAsia="en-ID"/>
        </w:rPr>
      </w:pPr>
      <w:r w:rsidRPr="00097749">
        <w:rPr>
          <w:color w:val="000000" w:themeColor="text1"/>
          <w:lang w:val="en-ID" w:eastAsia="en-ID"/>
        </w:rPr>
        <w:t>Predisposing and reinforcing factors showed the strongest total effects (β &gt; 0.42) on patient satisfaction, underscoring the importance of individual attitudes, knowledge, and social support. However, enabling factors remain weak and insignificant. Service innovation was identified as the strongest single predictor, reinforcing the mediating role in transforming adherence-related determinants into improved patient-</w:t>
      </w:r>
      <w:proofErr w:type="spellStart"/>
      <w:r w:rsidRPr="00097749">
        <w:rPr>
          <w:color w:val="000000" w:themeColor="text1"/>
          <w:lang w:val="en-ID" w:eastAsia="en-ID"/>
        </w:rPr>
        <w:t>centered</w:t>
      </w:r>
      <w:proofErr w:type="spellEnd"/>
      <w:r w:rsidRPr="00097749">
        <w:rPr>
          <w:color w:val="000000" w:themeColor="text1"/>
          <w:lang w:val="en-ID" w:eastAsia="en-ID"/>
        </w:rPr>
        <w:t xml:space="preserve"> outcomes.</w:t>
      </w:r>
    </w:p>
    <w:p w14:paraId="71E3382D" w14:textId="77777777" w:rsidR="00097749" w:rsidRPr="00097749" w:rsidRDefault="00097749" w:rsidP="00097749">
      <w:pPr>
        <w:pStyle w:val="BodyText"/>
        <w:rPr>
          <w:b/>
          <w:bCs/>
          <w:color w:val="000000" w:themeColor="text1"/>
        </w:rPr>
      </w:pPr>
      <w:r w:rsidRPr="00097749">
        <w:rPr>
          <w:b/>
          <w:bCs/>
          <w:color w:val="000000" w:themeColor="text1"/>
        </w:rPr>
        <w:t>Discussion</w:t>
      </w:r>
    </w:p>
    <w:p w14:paraId="34EF0864" w14:textId="77777777" w:rsidR="00097749" w:rsidRPr="00097749" w:rsidRDefault="00097749" w:rsidP="00097749">
      <w:pPr>
        <w:pStyle w:val="BodyText"/>
        <w:rPr>
          <w:color w:val="000000" w:themeColor="text1"/>
        </w:rPr>
      </w:pPr>
      <w:r w:rsidRPr="00097749">
        <w:rPr>
          <w:color w:val="000000" w:themeColor="text1"/>
        </w:rPr>
        <w:t xml:space="preserve">The results obtained from this study show three key insights. First, predisposing and reinforcing factors significantly influence patient satisfaction, consistent with Andersen Behavioral Model. This suggests that knowledge, motivation, and social support are critical drivers of treatment adherence and satisfaction. In contrast, enabling factors, including infrastructure, waiting times, and affordability, show no significant effect, </w:t>
      </w:r>
      <w:r w:rsidRPr="00097749">
        <w:rPr>
          <w:color w:val="000000" w:themeColor="text1"/>
          <w:lang w:val="id-ID"/>
        </w:rPr>
        <w:t>indicating</w:t>
      </w:r>
      <w:r w:rsidRPr="00097749">
        <w:rPr>
          <w:color w:val="000000" w:themeColor="text1"/>
        </w:rPr>
        <w:t xml:space="preserve"> that physical access alone does not guarantee satisfaction in resource-limited settings.</w:t>
      </w:r>
    </w:p>
    <w:p w14:paraId="5121A97C" w14:textId="77777777" w:rsidR="00097749" w:rsidRPr="00097749" w:rsidRDefault="00097749" w:rsidP="00097749">
      <w:pPr>
        <w:pStyle w:val="BodyText"/>
        <w:rPr>
          <w:color w:val="000000" w:themeColor="text1"/>
        </w:rPr>
      </w:pPr>
      <w:r w:rsidRPr="00097749">
        <w:rPr>
          <w:color w:val="000000" w:themeColor="text1"/>
        </w:rPr>
        <w:t xml:space="preserve">Second, service innovation was identified to be a strong predictor of satisfaction, both directly and as a mediator. Innovation, such as malaria corners, home visits, and digital adherence reminders, enhances the perceived quality of care and bridges the gap between adherence determinants and patient experience. This confirms the report by Janssen et al. (2021) and </w:t>
      </w:r>
      <w:proofErr w:type="spellStart"/>
      <w:r w:rsidRPr="00097749">
        <w:rPr>
          <w:color w:val="000000" w:themeColor="text1"/>
        </w:rPr>
        <w:t>Liony</w:t>
      </w:r>
      <w:proofErr w:type="spellEnd"/>
      <w:r w:rsidRPr="00097749">
        <w:rPr>
          <w:color w:val="000000" w:themeColor="text1"/>
        </w:rPr>
        <w:t xml:space="preserve"> (2023) that service innovation fosters patient-centered healthcare and drives satisfaction.</w:t>
      </w:r>
    </w:p>
    <w:p w14:paraId="136FECFD" w14:textId="77777777" w:rsidR="00097749" w:rsidRPr="00097749" w:rsidRDefault="00097749" w:rsidP="00097749">
      <w:pPr>
        <w:pStyle w:val="BodyText"/>
        <w:rPr>
          <w:color w:val="000000" w:themeColor="text1"/>
        </w:rPr>
      </w:pPr>
      <w:r w:rsidRPr="00097749">
        <w:rPr>
          <w:color w:val="000000" w:themeColor="text1"/>
        </w:rPr>
        <w:t>Third, the mediation analysis provides novel evidence that predisposing and reinforcing factors affect satisfaction through service innovation, while enabling factors do not benefit from the mediating pathway. This reinforces the concept that service innovation is the “missing link” transforming behavioral determinants into positive healthcare outcomes. The results extend Andersen model by showing the mediating role of service innovation in malaria-endemic contexts, offering theoretical advancement and practical policy implications.</w:t>
      </w:r>
    </w:p>
    <w:p w14:paraId="47E371D0" w14:textId="77777777" w:rsidR="00097749" w:rsidRPr="00097749" w:rsidRDefault="00097749" w:rsidP="00097749">
      <w:pPr>
        <w:pStyle w:val="BodyText"/>
        <w:rPr>
          <w:color w:val="000000" w:themeColor="text1"/>
        </w:rPr>
      </w:pPr>
      <w:r w:rsidRPr="00097749">
        <w:rPr>
          <w:color w:val="000000" w:themeColor="text1"/>
        </w:rPr>
        <w:t xml:space="preserve">Previous empirical evidence supports the results obtained in this study. In the Indonesian context, </w:t>
      </w:r>
      <w:proofErr w:type="spellStart"/>
      <w:r w:rsidRPr="00097749">
        <w:rPr>
          <w:color w:val="000000" w:themeColor="text1"/>
        </w:rPr>
        <w:t>Poespoprodjo</w:t>
      </w:r>
      <w:proofErr w:type="spellEnd"/>
      <w:r w:rsidRPr="00097749">
        <w:rPr>
          <w:color w:val="000000" w:themeColor="text1"/>
        </w:rPr>
        <w:t xml:space="preserve"> et al. (2022) showed that supervised treatment with primaquine significantly reduced relapse rates among malaria patient, underscoring the importance of reinforcing factors such as provider supervision in ensuring adherence and satisfaction. Similarly, </w:t>
      </w:r>
      <w:proofErr w:type="spellStart"/>
      <w:r w:rsidRPr="00097749">
        <w:rPr>
          <w:color w:val="000000" w:themeColor="text1"/>
        </w:rPr>
        <w:t>Rumimpunu</w:t>
      </w:r>
      <w:proofErr w:type="spellEnd"/>
      <w:r w:rsidRPr="00097749">
        <w:rPr>
          <w:color w:val="000000" w:themeColor="text1"/>
        </w:rPr>
        <w:t xml:space="preserve"> et al. (2020) showed that family and health worker support substantially improved adherence among tuberculosis patient, indicating the critical role of reinforcing mechanisms across infectious diseases. </w:t>
      </w:r>
      <w:proofErr w:type="spellStart"/>
      <w:r w:rsidRPr="00097749">
        <w:rPr>
          <w:color w:val="000000" w:themeColor="text1"/>
        </w:rPr>
        <w:t>Psihogios</w:t>
      </w:r>
      <w:proofErr w:type="spellEnd"/>
      <w:r w:rsidRPr="00097749">
        <w:rPr>
          <w:color w:val="000000" w:themeColor="text1"/>
        </w:rPr>
        <w:t xml:space="preserve"> et al. (2019), through a meta-analysis on children with chronic conditions, further confirmed that strong family functioning consistently supports adherence, strengthening the integration of reinforcing factors within Andersen model.</w:t>
      </w:r>
    </w:p>
    <w:p w14:paraId="7B921279" w14:textId="77777777" w:rsidR="00097749" w:rsidRPr="00097749" w:rsidRDefault="00097749" w:rsidP="00097749">
      <w:pPr>
        <w:pStyle w:val="BodyText"/>
        <w:rPr>
          <w:color w:val="000000" w:themeColor="text1"/>
        </w:rPr>
      </w:pPr>
      <w:r w:rsidRPr="00097749">
        <w:rPr>
          <w:color w:val="000000" w:themeColor="text1"/>
        </w:rPr>
        <w:t xml:space="preserve">Parallel insights can be drawn from service innovation studies. </w:t>
      </w:r>
      <w:proofErr w:type="spellStart"/>
      <w:r w:rsidRPr="00097749">
        <w:rPr>
          <w:color w:val="000000" w:themeColor="text1"/>
        </w:rPr>
        <w:t>Liony</w:t>
      </w:r>
      <w:proofErr w:type="spellEnd"/>
      <w:r w:rsidRPr="00097749">
        <w:rPr>
          <w:color w:val="000000" w:themeColor="text1"/>
        </w:rPr>
        <w:t xml:space="preserve"> (2023) provided evidence from Timika, Papua, where the introduction of the “Malaria Corner” as a supervised treatment space enhanced adherence and patient trust, clearly showing how innovation mediates adherence and satisfaction. On a broader scale, Janssen et al. (2021) synthesized results across healthcare systems, concluding that service innovation consistently improves service quality and satisfaction. Li et al. (2023) reported how digital health platforms in China increased trust and satisfaction, showing the role of innovation in low- and middle-income country (LMIC) contexts. Islam (2021) also mentioned that innovation in primary healthcare </w:t>
      </w:r>
      <w:r w:rsidRPr="00097749">
        <w:rPr>
          <w:color w:val="000000" w:themeColor="text1"/>
        </w:rPr>
        <w:lastRenderedPageBreak/>
        <w:t>delivery improves both efficiency and patient-centeredness, providing the theoretical basis for integrating innovation into Andersen model.</w:t>
      </w:r>
    </w:p>
    <w:p w14:paraId="2DDBAAF6" w14:textId="77777777" w:rsidR="00097749" w:rsidRPr="00097749" w:rsidRDefault="00097749" w:rsidP="00097749">
      <w:pPr>
        <w:pStyle w:val="BodyText"/>
        <w:rPr>
          <w:color w:val="000000" w:themeColor="text1"/>
        </w:rPr>
      </w:pPr>
      <w:r w:rsidRPr="00097749">
        <w:rPr>
          <w:color w:val="000000" w:themeColor="text1"/>
        </w:rPr>
        <w:t xml:space="preserve">At the same time, previous studies have emphasized that infrastructure alone is insufficient without innovation. </w:t>
      </w:r>
      <w:proofErr w:type="spellStart"/>
      <w:r w:rsidRPr="00097749">
        <w:rPr>
          <w:color w:val="000000" w:themeColor="text1"/>
        </w:rPr>
        <w:t>Dumalanede</w:t>
      </w:r>
      <w:proofErr w:type="spellEnd"/>
      <w:r w:rsidRPr="00097749">
        <w:rPr>
          <w:color w:val="000000" w:themeColor="text1"/>
        </w:rPr>
        <w:t xml:space="preserve"> et al. (2020), studying healthcare access in Brazil base-of-pyramid settings, found that organizational and non-profit innovation were critical to overcoming barriers where traditional enabling factors fell short. </w:t>
      </w:r>
      <w:proofErr w:type="spellStart"/>
      <w:r w:rsidRPr="00097749">
        <w:rPr>
          <w:color w:val="000000" w:themeColor="text1"/>
        </w:rPr>
        <w:t>Erwinsyah</w:t>
      </w:r>
      <w:proofErr w:type="spellEnd"/>
      <w:r w:rsidRPr="00097749">
        <w:rPr>
          <w:color w:val="000000" w:themeColor="text1"/>
        </w:rPr>
        <w:t xml:space="preserve"> et al. (2023) reinforced this report by showing that education and treatment supervision among tuberculosis patient in Jambi improved adherence and family awareness, stressing the combined role of enabling and reinforcing dimensions. Finally, Al Omari and Hamid (2022), reviewing patient satisfaction in LMIC healthcare, concluded that satisfaction depends not only on adherence but also on perceived service quality, justifying the integration of adherence and innovation as dual drivers of satisfaction.</w:t>
      </w:r>
    </w:p>
    <w:p w14:paraId="5F3A74B5" w14:textId="77777777" w:rsidR="00097749" w:rsidRPr="00097749" w:rsidRDefault="00097749" w:rsidP="00097749">
      <w:pPr>
        <w:pStyle w:val="BodyText"/>
        <w:rPr>
          <w:color w:val="000000" w:themeColor="text1"/>
        </w:rPr>
      </w:pPr>
      <w:r w:rsidRPr="00097749">
        <w:rPr>
          <w:color w:val="000000" w:themeColor="text1"/>
        </w:rPr>
        <w:t xml:space="preserve">This study is consistent with Indonesian evidence </w:t>
      </w:r>
      <w:r w:rsidRPr="00097749">
        <w:rPr>
          <w:color w:val="000000" w:themeColor="text1"/>
          <w:lang w:val="id-ID"/>
        </w:rPr>
        <w:t>showing</w:t>
      </w:r>
      <w:r w:rsidRPr="00097749">
        <w:rPr>
          <w:color w:val="000000" w:themeColor="text1"/>
        </w:rPr>
        <w:t xml:space="preserve"> that enhanced perceptions of service performance and institutional image significantly contribute to greater patient satisfaction and loyalty. The results underscore the importance of incorporating service-innovation elements, including dedicated treatment spaces and proactive follow-up mechanisms, as critical drivers of patient-centered outcomes (</w:t>
      </w:r>
      <w:proofErr w:type="spellStart"/>
      <w:r w:rsidRPr="00097749">
        <w:rPr>
          <w:color w:val="000000" w:themeColor="text1"/>
        </w:rPr>
        <w:t>Soen</w:t>
      </w:r>
      <w:proofErr w:type="spellEnd"/>
      <w:r w:rsidRPr="00097749">
        <w:rPr>
          <w:color w:val="000000" w:themeColor="text1"/>
        </w:rPr>
        <w:t xml:space="preserve"> &amp; </w:t>
      </w:r>
      <w:proofErr w:type="spellStart"/>
      <w:r w:rsidRPr="00097749">
        <w:rPr>
          <w:color w:val="000000" w:themeColor="text1"/>
        </w:rPr>
        <w:t>Kristaung</w:t>
      </w:r>
      <w:proofErr w:type="spellEnd"/>
      <w:r w:rsidRPr="00097749">
        <w:rPr>
          <w:color w:val="000000" w:themeColor="text1"/>
        </w:rPr>
        <w:t>, 2023).</w:t>
      </w:r>
    </w:p>
    <w:p w14:paraId="609C3FAF" w14:textId="77777777" w:rsidR="00097749" w:rsidRPr="00097749" w:rsidRDefault="00097749" w:rsidP="00441B6F">
      <w:pPr>
        <w:pStyle w:val="Body"/>
        <w:spacing w:after="0"/>
        <w:rPr>
          <w:rFonts w:ascii="Arial" w:hAnsi="Arial" w:cs="Arial"/>
          <w:color w:val="000000" w:themeColor="text1"/>
        </w:rPr>
      </w:pPr>
    </w:p>
    <w:p w14:paraId="6544070C" w14:textId="77777777" w:rsidR="00B01FCD" w:rsidRPr="00097749" w:rsidRDefault="00000F8F" w:rsidP="00441B6F">
      <w:pPr>
        <w:pStyle w:val="ConcHead"/>
        <w:spacing w:after="0"/>
        <w:jc w:val="both"/>
        <w:rPr>
          <w:rFonts w:ascii="Arial" w:hAnsi="Arial" w:cs="Arial"/>
          <w:color w:val="000000" w:themeColor="text1"/>
        </w:rPr>
      </w:pPr>
      <w:r w:rsidRPr="00097749">
        <w:rPr>
          <w:rFonts w:ascii="Arial" w:hAnsi="Arial" w:cs="Arial"/>
          <w:color w:val="000000" w:themeColor="text1"/>
        </w:rPr>
        <w:t xml:space="preserve">4. </w:t>
      </w:r>
      <w:r w:rsidR="00B01FCD" w:rsidRPr="00097749">
        <w:rPr>
          <w:rFonts w:ascii="Arial" w:hAnsi="Arial" w:cs="Arial"/>
          <w:color w:val="000000" w:themeColor="text1"/>
        </w:rPr>
        <w:t>Conclusion</w:t>
      </w:r>
    </w:p>
    <w:p w14:paraId="7DCF3577" w14:textId="77777777" w:rsidR="00790ADA" w:rsidRPr="00097749" w:rsidRDefault="00790ADA" w:rsidP="00441B6F">
      <w:pPr>
        <w:pStyle w:val="ConcHead"/>
        <w:spacing w:after="0"/>
        <w:jc w:val="both"/>
        <w:rPr>
          <w:rFonts w:ascii="Arial" w:hAnsi="Arial" w:cs="Arial"/>
          <w:color w:val="000000" w:themeColor="text1"/>
        </w:rPr>
      </w:pPr>
    </w:p>
    <w:p w14:paraId="11431BD5" w14:textId="77777777" w:rsidR="00097749" w:rsidRPr="00097749" w:rsidRDefault="00097749" w:rsidP="00097749">
      <w:pPr>
        <w:pStyle w:val="BodyText"/>
        <w:rPr>
          <w:color w:val="000000" w:themeColor="text1"/>
        </w:rPr>
      </w:pPr>
      <w:r w:rsidRPr="00097749">
        <w:rPr>
          <w:color w:val="000000" w:themeColor="text1"/>
        </w:rPr>
        <w:t>In conclusion, this study examined the influence of treatment adherence on patient satisfaction in malaria-endemic Papua, integrating Andersen Behavioral Model with service innovation as a mediating construct. The results showed that predisposing and reinforcing factors had significant direct and indirect effects on satisfaction, while enabling factors did not. Service innovation, including operationalized through malaria corners, home visits, and patient supervision, was identified as a strong predictor of satisfaction and a critical mediator connecting adherence determinants to patient experiences. These results extend Andersen model by identifying service innovation as the “missing link” that transforms adherence-related behaviors into improved healthcare outcomes. Theoretically, the study contributes to the literature on patient satisfaction by contextualizing behavioral and service innovation dynamics within malaria elimination programs. Practically, the results provide actionable recommendations for health policymakers and practitioners to prioritize patient-centered innovation in designing sustainable malaria care strategies.</w:t>
      </w:r>
    </w:p>
    <w:p w14:paraId="568F68C2" w14:textId="77777777" w:rsidR="00097749" w:rsidRPr="00097749" w:rsidRDefault="00097749" w:rsidP="00097749">
      <w:pPr>
        <w:pStyle w:val="BodyText"/>
        <w:rPr>
          <w:b/>
          <w:bCs/>
          <w:color w:val="000000" w:themeColor="text1"/>
        </w:rPr>
      </w:pPr>
      <w:r w:rsidRPr="00097749">
        <w:rPr>
          <w:b/>
          <w:bCs/>
          <w:color w:val="000000" w:themeColor="text1"/>
        </w:rPr>
        <w:t>Limitations and Future Studies</w:t>
      </w:r>
    </w:p>
    <w:p w14:paraId="56B2C506" w14:textId="77777777" w:rsidR="00097749" w:rsidRPr="00097749" w:rsidRDefault="00097749" w:rsidP="00097749">
      <w:pPr>
        <w:pStyle w:val="BodyText"/>
        <w:rPr>
          <w:color w:val="000000" w:themeColor="text1"/>
        </w:rPr>
      </w:pPr>
      <w:r w:rsidRPr="00097749">
        <w:rPr>
          <w:color w:val="000000" w:themeColor="text1"/>
        </w:rPr>
        <w:t xml:space="preserve">Despite these contributions, the study has several limitations. First, the cross-sectional design restricts causal inference, as adherence and satisfaction were measured at a single point in time. Longitudinal or experimental designs are recommended to capture the dynamic interplay between adherence and satisfaction over the treatment course. Second, this study was conducted in a single health center in </w:t>
      </w:r>
      <w:proofErr w:type="spellStart"/>
      <w:r w:rsidRPr="00097749">
        <w:rPr>
          <w:color w:val="000000" w:themeColor="text1"/>
        </w:rPr>
        <w:t>Mimika</w:t>
      </w:r>
      <w:proofErr w:type="spellEnd"/>
      <w:r w:rsidRPr="00097749">
        <w:rPr>
          <w:color w:val="000000" w:themeColor="text1"/>
        </w:rPr>
        <w:t xml:space="preserve"> District, which may limit the generalizability of the results to other malaria-endemic regions with different health system capacities and sociocultural contexts. Third, reliance on self-reported adherence data introduces potential recall and social desirability bias, which may inflate observed relationships. Finally, the model considered selected behavioral and innovation constructs. Additional determinants such as trust in providers, cultural beliefs, and health literacy could enrich future analyses.</w:t>
      </w:r>
    </w:p>
    <w:p w14:paraId="233D5C43" w14:textId="77777777" w:rsidR="00097749" w:rsidRPr="00097749" w:rsidRDefault="00097749" w:rsidP="00097749">
      <w:pPr>
        <w:pStyle w:val="BodyText"/>
        <w:rPr>
          <w:color w:val="000000" w:themeColor="text1"/>
        </w:rPr>
      </w:pPr>
      <w:r w:rsidRPr="00097749">
        <w:rPr>
          <w:color w:val="000000" w:themeColor="text1"/>
        </w:rPr>
        <w:t xml:space="preserve">Future studies should address these limitations by using longitudinal and multi-site designs across Indonesia or other malaria-endemic countries, thereby enhancing external validity. Qualitative approaches could complement quantitative results by offering deeper insights into patient perceptions, family dynamics, and barriers to innovation uptake. Scholars should also examine the role of digital health technologies, community-based interventions, and </w:t>
      </w:r>
      <w:r w:rsidRPr="00097749">
        <w:rPr>
          <w:color w:val="000000" w:themeColor="text1"/>
        </w:rPr>
        <w:lastRenderedPageBreak/>
        <w:t>public–private partnerships as new forms of service innovation that may further strengthen malaria elimination strategies in resource-limited settings.</w:t>
      </w:r>
    </w:p>
    <w:p w14:paraId="04092B18" w14:textId="77777777" w:rsidR="00097749" w:rsidRPr="00097749" w:rsidRDefault="00097749" w:rsidP="00097749">
      <w:pPr>
        <w:pStyle w:val="BodyText"/>
        <w:rPr>
          <w:b/>
          <w:bCs/>
          <w:color w:val="000000" w:themeColor="text1"/>
        </w:rPr>
      </w:pPr>
      <w:r w:rsidRPr="00097749">
        <w:rPr>
          <w:b/>
          <w:bCs/>
          <w:color w:val="000000" w:themeColor="text1"/>
        </w:rPr>
        <w:t>Implications</w:t>
      </w:r>
    </w:p>
    <w:p w14:paraId="6EC6E666" w14:textId="77777777" w:rsidR="00097749" w:rsidRPr="00097749" w:rsidRDefault="00097749" w:rsidP="00097749">
      <w:pPr>
        <w:pStyle w:val="BodyText"/>
        <w:rPr>
          <w:color w:val="000000" w:themeColor="text1"/>
        </w:rPr>
      </w:pPr>
      <w:r w:rsidRPr="00097749">
        <w:rPr>
          <w:color w:val="000000" w:themeColor="text1"/>
        </w:rPr>
        <w:t>This study extends Andersen Behavioral Model by incorporating service innovation as a mediating construct between treatment adherence determinants and patient satisfaction. Earlier applications of the model emphasized predisposing, enabling, and reinforcing factors, while this study showed that innovation-oriented interventions are necessary to translate adherence into positive patient outcomes. The theoretical extension contributes to service management literature by positioning innovation as a key determinant of satisfaction in resource-limited and endemic contexts.</w:t>
      </w:r>
    </w:p>
    <w:p w14:paraId="5F81B71C" w14:textId="77777777" w:rsidR="00097749" w:rsidRPr="00097749" w:rsidRDefault="00097749" w:rsidP="00097749">
      <w:pPr>
        <w:pStyle w:val="BodyText"/>
        <w:rPr>
          <w:color w:val="000000" w:themeColor="text1"/>
        </w:rPr>
      </w:pPr>
      <w:r w:rsidRPr="00097749">
        <w:rPr>
          <w:color w:val="000000" w:themeColor="text1"/>
        </w:rPr>
        <w:t>For healthcare providers, particularly primary health centers (</w:t>
      </w:r>
      <w:proofErr w:type="spellStart"/>
      <w:r w:rsidRPr="00097749">
        <w:rPr>
          <w:color w:val="000000" w:themeColor="text1"/>
        </w:rPr>
        <w:t>puskesmas</w:t>
      </w:r>
      <w:proofErr w:type="spellEnd"/>
      <w:r w:rsidRPr="00097749">
        <w:rPr>
          <w:color w:val="000000" w:themeColor="text1"/>
        </w:rPr>
        <w:t>) in malaria-endemic regions, the results underscore the need to prioritize service innovation. Interventions such as malaria corners, patient supervision, digital adherence reminders, and home visits not only enhance adherence but also build patient trust and satisfaction. Managers should allocate resources for staff training, digital infrastructure, and patient engagement initiatives that make service delivery more responsive, personalized, and accessible. Reinforcing factors, including family participation and continuous provider support, should be systematically integrated into malaria programs to sustain adherence and satisfaction.</w:t>
      </w:r>
    </w:p>
    <w:p w14:paraId="11006146" w14:textId="64EC9DBF" w:rsidR="00315186" w:rsidRPr="003361EC" w:rsidRDefault="00097749" w:rsidP="003361EC">
      <w:pPr>
        <w:pStyle w:val="BodyText"/>
        <w:rPr>
          <w:color w:val="000000" w:themeColor="text1"/>
        </w:rPr>
      </w:pPr>
      <w:r w:rsidRPr="00097749">
        <w:rPr>
          <w:color w:val="000000" w:themeColor="text1"/>
        </w:rPr>
        <w:t>At the policy level, this study underscores the importance of malaria elimination strategies beyond infrastructure development and drug provision. Policymakers should institutionalize innovative service model within national malaria control programs, embedding reinforcement mechanisms and patient-centered innovation into guidelines, funding frameworks, and performance monitoring systems. Specific measures include incentivizing health workers to conduct supervised treatment and home visits, leveraging digital health platforms for adherence monitoring, and fostering collaborations between government, community organizations, and private actors. Embedding innovation within malaria elimination agenda could accelerate progress toward Indonesia national target by 2030.</w:t>
      </w:r>
    </w:p>
    <w:p w14:paraId="75013A88" w14:textId="77777777" w:rsidR="002B685A" w:rsidRPr="00097749" w:rsidRDefault="002B685A" w:rsidP="00441B6F">
      <w:pPr>
        <w:pStyle w:val="ReferHead"/>
        <w:spacing w:after="0"/>
        <w:jc w:val="both"/>
        <w:rPr>
          <w:rFonts w:ascii="Arial" w:hAnsi="Arial" w:cs="Arial"/>
          <w:b w:val="0"/>
          <w:caps w:val="0"/>
          <w:color w:val="000000" w:themeColor="text1"/>
          <w:sz w:val="20"/>
        </w:rPr>
      </w:pPr>
    </w:p>
    <w:p w14:paraId="4B2F6E10" w14:textId="77777777" w:rsidR="00860000" w:rsidRPr="00097749" w:rsidRDefault="00860000" w:rsidP="00441B6F">
      <w:pPr>
        <w:pStyle w:val="ReferHead"/>
        <w:spacing w:after="0"/>
        <w:jc w:val="both"/>
        <w:rPr>
          <w:rFonts w:ascii="Arial" w:hAnsi="Arial" w:cs="Arial"/>
          <w:color w:val="000000" w:themeColor="text1"/>
        </w:rPr>
      </w:pPr>
    </w:p>
    <w:p w14:paraId="759E42FC" w14:textId="77777777" w:rsidR="00B01FCD" w:rsidRPr="00097749" w:rsidRDefault="00B01FCD" w:rsidP="00441B6F">
      <w:pPr>
        <w:pStyle w:val="ReferHead"/>
        <w:spacing w:after="0"/>
        <w:jc w:val="both"/>
        <w:rPr>
          <w:rFonts w:ascii="Arial" w:hAnsi="Arial" w:cs="Arial"/>
          <w:color w:val="000000" w:themeColor="text1"/>
        </w:rPr>
      </w:pPr>
      <w:r w:rsidRPr="00097749">
        <w:rPr>
          <w:rFonts w:ascii="Arial" w:hAnsi="Arial" w:cs="Arial"/>
          <w:color w:val="000000" w:themeColor="text1"/>
        </w:rPr>
        <w:t>References</w:t>
      </w:r>
    </w:p>
    <w:p w14:paraId="537CC252" w14:textId="77777777" w:rsidR="00790ADA" w:rsidRPr="00097749" w:rsidRDefault="00790ADA" w:rsidP="00441B6F">
      <w:pPr>
        <w:pStyle w:val="ReferHead"/>
        <w:spacing w:after="0"/>
        <w:jc w:val="both"/>
        <w:rPr>
          <w:rFonts w:ascii="Arial" w:hAnsi="Arial" w:cs="Arial"/>
          <w:color w:val="000000" w:themeColor="text1"/>
        </w:rPr>
      </w:pPr>
    </w:p>
    <w:p w14:paraId="74379888" w14:textId="77777777" w:rsidR="00097749" w:rsidRPr="00097749" w:rsidRDefault="00097749" w:rsidP="00097749">
      <w:pPr>
        <w:ind w:left="720" w:hanging="720"/>
        <w:jc w:val="both"/>
        <w:rPr>
          <w:color w:val="000000" w:themeColor="text1"/>
        </w:rPr>
      </w:pPr>
      <w:r w:rsidRPr="00097749">
        <w:rPr>
          <w:color w:val="000000" w:themeColor="text1"/>
        </w:rPr>
        <w:t>Al Omari, O., &amp; Hamid, Y. (2022). Factors influencing patient satisfaction in healthcare: A systematic review. Journal of Patient Experience, 9, 1–12. https://doi.org/10.1177/23743735221103029</w:t>
      </w:r>
    </w:p>
    <w:p w14:paraId="13E383F5" w14:textId="77777777" w:rsidR="00097749" w:rsidRPr="00097749" w:rsidRDefault="00097749" w:rsidP="00097749">
      <w:pPr>
        <w:ind w:left="720" w:hanging="720"/>
        <w:jc w:val="both"/>
        <w:rPr>
          <w:color w:val="000000" w:themeColor="text1"/>
        </w:rPr>
      </w:pPr>
      <w:r w:rsidRPr="00097749">
        <w:rPr>
          <w:color w:val="000000" w:themeColor="text1"/>
        </w:rPr>
        <w:t>Andersen, R. M. (1995). Revisiting the behavioral model and access to medical care: Does it matter? Journal of Health and Social Behavior, 36(1), 1–10. https://doi.org/10.2307/2137284</w:t>
      </w:r>
    </w:p>
    <w:p w14:paraId="1A4A0CDF" w14:textId="77777777" w:rsidR="00097749" w:rsidRPr="00097749" w:rsidRDefault="00097749" w:rsidP="00097749">
      <w:pPr>
        <w:ind w:left="720" w:hanging="720"/>
        <w:jc w:val="both"/>
        <w:rPr>
          <w:color w:val="000000" w:themeColor="text1"/>
        </w:rPr>
      </w:pPr>
      <w:r w:rsidRPr="00097749">
        <w:rPr>
          <w:color w:val="000000" w:themeColor="text1"/>
        </w:rPr>
        <w:t xml:space="preserve">Babitsch, B., Gohl, D., &amp; von </w:t>
      </w:r>
      <w:proofErr w:type="spellStart"/>
      <w:r w:rsidRPr="00097749">
        <w:rPr>
          <w:color w:val="000000" w:themeColor="text1"/>
        </w:rPr>
        <w:t>Lengerke</w:t>
      </w:r>
      <w:proofErr w:type="spellEnd"/>
      <w:r w:rsidRPr="00097749">
        <w:rPr>
          <w:color w:val="000000" w:themeColor="text1"/>
        </w:rPr>
        <w:t>, T. (2019). Re-revisiting Andersen behavioral model of health service use. Health Service Research, 54(4), 855–877. https://doi.org/10.1111/1475-6773.13149</w:t>
      </w:r>
    </w:p>
    <w:p w14:paraId="25DC89B3" w14:textId="77777777" w:rsidR="00097749" w:rsidRPr="00097749" w:rsidRDefault="00097749" w:rsidP="00097749">
      <w:pPr>
        <w:ind w:left="720" w:hanging="720"/>
        <w:jc w:val="both"/>
        <w:rPr>
          <w:color w:val="000000" w:themeColor="text1"/>
        </w:rPr>
      </w:pPr>
      <w:proofErr w:type="spellStart"/>
      <w:r w:rsidRPr="00097749">
        <w:rPr>
          <w:color w:val="000000" w:themeColor="text1"/>
        </w:rPr>
        <w:t>Dumalanede</w:t>
      </w:r>
      <w:proofErr w:type="spellEnd"/>
      <w:r w:rsidRPr="00097749">
        <w:rPr>
          <w:color w:val="000000" w:themeColor="text1"/>
        </w:rPr>
        <w:t xml:space="preserve">, C., Silva, A. P., &amp; </w:t>
      </w:r>
      <w:proofErr w:type="spellStart"/>
      <w:r w:rsidRPr="00097749">
        <w:rPr>
          <w:color w:val="000000" w:themeColor="text1"/>
        </w:rPr>
        <w:t>Pessôa</w:t>
      </w:r>
      <w:proofErr w:type="spellEnd"/>
      <w:r w:rsidRPr="00097749">
        <w:rPr>
          <w:color w:val="000000" w:themeColor="text1"/>
        </w:rPr>
        <w:t>, C. (2020). Expanding access to healthcare at the base of the pyramid: Service innovation in Brazil. Service Industries Journal, 40(11–12), 799–819. https://doi.org/10.1080/02642069.2019.1680647</w:t>
      </w:r>
    </w:p>
    <w:p w14:paraId="189B64D5" w14:textId="77777777" w:rsidR="00097749" w:rsidRPr="00097749" w:rsidRDefault="00097749" w:rsidP="00097749">
      <w:pPr>
        <w:ind w:left="720" w:hanging="720"/>
        <w:jc w:val="both"/>
        <w:rPr>
          <w:color w:val="000000" w:themeColor="text1"/>
        </w:rPr>
      </w:pPr>
      <w:proofErr w:type="spellStart"/>
      <w:r w:rsidRPr="00097749">
        <w:rPr>
          <w:color w:val="000000" w:themeColor="text1"/>
        </w:rPr>
        <w:t>Erwinsyah</w:t>
      </w:r>
      <w:proofErr w:type="spellEnd"/>
      <w:r w:rsidRPr="00097749">
        <w:rPr>
          <w:color w:val="000000" w:themeColor="text1"/>
        </w:rPr>
        <w:t>, H., Hasyim, H., &amp; Wulandari, A. (2023). Health education and treatment supervision in tuberculosis patient: Evidence from Jambi, Indonesia. BMC Health Service Research, 23(1), 1125. https://doi.org/10.1186/s12913-023-09841-0</w:t>
      </w:r>
    </w:p>
    <w:p w14:paraId="1C77F9D3" w14:textId="77777777" w:rsidR="00097749" w:rsidRPr="00097749" w:rsidRDefault="00097749" w:rsidP="00097749">
      <w:pPr>
        <w:ind w:left="720" w:hanging="720"/>
        <w:jc w:val="both"/>
        <w:rPr>
          <w:color w:val="000000" w:themeColor="text1"/>
        </w:rPr>
      </w:pPr>
      <w:r w:rsidRPr="00097749">
        <w:rPr>
          <w:color w:val="000000" w:themeColor="text1"/>
        </w:rPr>
        <w:t>Islam, Q. M. (2021). Innovation in primary healthcare in the twenty-first century. Journal of Health Management, 23(1), 129–142. https://doi.org/10.1177/0972063421994943</w:t>
      </w:r>
    </w:p>
    <w:p w14:paraId="41B7E134" w14:textId="77777777" w:rsidR="00097749" w:rsidRPr="00097749" w:rsidRDefault="00097749" w:rsidP="00097749">
      <w:pPr>
        <w:ind w:left="720" w:hanging="720"/>
        <w:jc w:val="both"/>
        <w:rPr>
          <w:color w:val="000000" w:themeColor="text1"/>
        </w:rPr>
      </w:pPr>
      <w:r w:rsidRPr="00097749">
        <w:rPr>
          <w:color w:val="000000" w:themeColor="text1"/>
        </w:rPr>
        <w:lastRenderedPageBreak/>
        <w:t>Janssen, M., Konopnicki, D., &amp; Viale Pereira, G. (2021). Service innovation in healthcare: A systematic review. Public Management Review, 23(8), 1205–1227. https://doi.org/10.1080/14719037.2020.1820274</w:t>
      </w:r>
    </w:p>
    <w:p w14:paraId="464761A8" w14:textId="77777777" w:rsidR="00097749" w:rsidRPr="00097749" w:rsidRDefault="00097749" w:rsidP="00097749">
      <w:pPr>
        <w:ind w:left="720" w:hanging="720"/>
        <w:jc w:val="both"/>
        <w:rPr>
          <w:color w:val="000000" w:themeColor="text1"/>
        </w:rPr>
      </w:pPr>
      <w:r w:rsidRPr="00097749">
        <w:rPr>
          <w:color w:val="000000" w:themeColor="text1"/>
        </w:rPr>
        <w:t xml:space="preserve">Lestari, T., Graham, S. M., van den Boogard, C., </w:t>
      </w:r>
      <w:proofErr w:type="spellStart"/>
      <w:r w:rsidRPr="00097749">
        <w:rPr>
          <w:color w:val="000000" w:themeColor="text1"/>
        </w:rPr>
        <w:t>Triasih</w:t>
      </w:r>
      <w:proofErr w:type="spellEnd"/>
      <w:r w:rsidRPr="00097749">
        <w:rPr>
          <w:color w:val="000000" w:themeColor="text1"/>
        </w:rPr>
        <w:t xml:space="preserve">, R., </w:t>
      </w:r>
      <w:proofErr w:type="spellStart"/>
      <w:r w:rsidRPr="00097749">
        <w:rPr>
          <w:color w:val="000000" w:themeColor="text1"/>
        </w:rPr>
        <w:t>Poespoprodjo</w:t>
      </w:r>
      <w:proofErr w:type="spellEnd"/>
      <w:r w:rsidRPr="00097749">
        <w:rPr>
          <w:color w:val="000000" w:themeColor="text1"/>
        </w:rPr>
        <w:t xml:space="preserve">, J. R., </w:t>
      </w:r>
      <w:proofErr w:type="spellStart"/>
      <w:r w:rsidRPr="00097749">
        <w:rPr>
          <w:color w:val="000000" w:themeColor="text1"/>
        </w:rPr>
        <w:t>Ubra</w:t>
      </w:r>
      <w:proofErr w:type="spellEnd"/>
      <w:r w:rsidRPr="00097749">
        <w:rPr>
          <w:color w:val="000000" w:themeColor="text1"/>
        </w:rPr>
        <w:t xml:space="preserve">, R. R., </w:t>
      </w:r>
      <w:proofErr w:type="spellStart"/>
      <w:r w:rsidRPr="00097749">
        <w:rPr>
          <w:color w:val="000000" w:themeColor="text1"/>
        </w:rPr>
        <w:t>Kenangalem</w:t>
      </w:r>
      <w:proofErr w:type="spellEnd"/>
      <w:r w:rsidRPr="00097749">
        <w:rPr>
          <w:color w:val="000000" w:themeColor="text1"/>
        </w:rPr>
        <w:t xml:space="preserve">, E., </w:t>
      </w:r>
      <w:proofErr w:type="spellStart"/>
      <w:r w:rsidRPr="00097749">
        <w:rPr>
          <w:color w:val="000000" w:themeColor="text1"/>
        </w:rPr>
        <w:t>Mahendradhata</w:t>
      </w:r>
      <w:proofErr w:type="spellEnd"/>
      <w:r w:rsidRPr="00097749">
        <w:rPr>
          <w:color w:val="000000" w:themeColor="text1"/>
        </w:rPr>
        <w:t xml:space="preserve">, Y., Anstey, N. M., </w:t>
      </w:r>
      <w:proofErr w:type="spellStart"/>
      <w:r w:rsidRPr="00097749">
        <w:rPr>
          <w:color w:val="000000" w:themeColor="text1"/>
        </w:rPr>
        <w:t>Bailie</w:t>
      </w:r>
      <w:proofErr w:type="spellEnd"/>
      <w:r w:rsidRPr="00097749">
        <w:rPr>
          <w:color w:val="000000" w:themeColor="text1"/>
        </w:rPr>
        <w:t>, R. S., … Ralph, A. P. (2019). Bridging the knowledge–practice gap in tuberculosis contact management in a high-burden setting: A mixed-methods protocol for a multicenter health system strengthening study. Implementation Science, 14, 31. https://doi.org/10.1186/s13012-019-0870-x</w:t>
      </w:r>
    </w:p>
    <w:p w14:paraId="3B7A34BC" w14:textId="77777777" w:rsidR="00097749" w:rsidRPr="00097749" w:rsidRDefault="00097749" w:rsidP="00097749">
      <w:pPr>
        <w:ind w:left="720" w:hanging="720"/>
        <w:jc w:val="both"/>
        <w:rPr>
          <w:color w:val="000000" w:themeColor="text1"/>
        </w:rPr>
      </w:pPr>
      <w:r w:rsidRPr="00097749">
        <w:rPr>
          <w:color w:val="000000" w:themeColor="text1"/>
        </w:rPr>
        <w:t xml:space="preserve"> Li, J., Li, X., &amp; Liu, Y. (2023). Healthcare service innovation and patient satisfaction: Evidence from digital health platforms. International Journal of Environmental Research and Public Health, 20(4), 2456. https://doi.org/10.3390/ijerph20042456</w:t>
      </w:r>
    </w:p>
    <w:p w14:paraId="5A45EDCE" w14:textId="77777777" w:rsidR="00097749" w:rsidRPr="00097749" w:rsidRDefault="00097749" w:rsidP="00097749">
      <w:pPr>
        <w:ind w:left="720" w:hanging="720"/>
        <w:jc w:val="both"/>
        <w:rPr>
          <w:color w:val="000000" w:themeColor="text1"/>
        </w:rPr>
      </w:pPr>
      <w:proofErr w:type="spellStart"/>
      <w:r w:rsidRPr="00097749">
        <w:rPr>
          <w:color w:val="000000" w:themeColor="text1"/>
        </w:rPr>
        <w:t>Liony</w:t>
      </w:r>
      <w:proofErr w:type="spellEnd"/>
      <w:r w:rsidRPr="00097749">
        <w:rPr>
          <w:color w:val="000000" w:themeColor="text1"/>
        </w:rPr>
        <w:t>, M. (2023). Service innovation in malaria programs: Evidence from Malaria Corner in Timika, Papua. International Journal of Health Policy and Management, 12(3), 255–266. https://doi.org/10.34172/ijhpm.2023.145</w:t>
      </w:r>
    </w:p>
    <w:p w14:paraId="47C0EC0D" w14:textId="77777777" w:rsidR="00097749" w:rsidRPr="00097749" w:rsidRDefault="00097749" w:rsidP="00097749">
      <w:pPr>
        <w:ind w:left="720" w:hanging="720"/>
        <w:jc w:val="both"/>
        <w:rPr>
          <w:color w:val="000000" w:themeColor="text1"/>
        </w:rPr>
      </w:pPr>
      <w:r w:rsidRPr="00097749">
        <w:rPr>
          <w:color w:val="000000" w:themeColor="text1"/>
        </w:rPr>
        <w:t xml:space="preserve">Poespoprodjo, J. R., </w:t>
      </w:r>
      <w:proofErr w:type="spellStart"/>
      <w:r w:rsidRPr="00097749">
        <w:rPr>
          <w:color w:val="000000" w:themeColor="text1"/>
        </w:rPr>
        <w:t>Kenangalem</w:t>
      </w:r>
      <w:proofErr w:type="spellEnd"/>
      <w:r w:rsidRPr="00097749">
        <w:rPr>
          <w:color w:val="000000" w:themeColor="text1"/>
        </w:rPr>
        <w:t xml:space="preserve">, E., </w:t>
      </w:r>
      <w:proofErr w:type="spellStart"/>
      <w:r w:rsidRPr="00097749">
        <w:rPr>
          <w:color w:val="000000" w:themeColor="text1"/>
        </w:rPr>
        <w:t>Gde</w:t>
      </w:r>
      <w:proofErr w:type="spellEnd"/>
      <w:r w:rsidRPr="00097749">
        <w:rPr>
          <w:color w:val="000000" w:themeColor="text1"/>
        </w:rPr>
        <w:t>, A. F., Ratcliff, A., Anstey, N. M., &amp; Price, R. N. (2022). Supervised versus unsupervised primaquine radical cure for malaria in Papua, Indonesia. The Lancet Infectious Diseases, 22(3), 367–376. https://doi.org/10.1016/S1473-3099(21)00485-7</w:t>
      </w:r>
    </w:p>
    <w:p w14:paraId="4F2C7DFF" w14:textId="77777777" w:rsidR="00097749" w:rsidRPr="00097749" w:rsidRDefault="00097749" w:rsidP="00097749">
      <w:pPr>
        <w:ind w:left="720" w:hanging="720"/>
        <w:jc w:val="both"/>
        <w:rPr>
          <w:color w:val="000000" w:themeColor="text1"/>
        </w:rPr>
      </w:pPr>
      <w:r w:rsidRPr="00097749">
        <w:rPr>
          <w:color w:val="000000" w:themeColor="text1"/>
        </w:rPr>
        <w:t>Psihogios, A. M., Schwartz, L. A., Deatrick, J. A., &amp; Alderfer, M. A. (2019). Family functioning and medical adherence across children and adolescents with chronic health conditions: A meta-analysis. Journal of Pediatric Psychology, 44(2), 189–203. https://doi.org/10.1093/jpepsy/jsy079</w:t>
      </w:r>
    </w:p>
    <w:p w14:paraId="78EA8037" w14:textId="77777777" w:rsidR="00097749" w:rsidRPr="00097749" w:rsidRDefault="00097749" w:rsidP="00097749">
      <w:pPr>
        <w:ind w:left="720" w:hanging="720"/>
        <w:jc w:val="both"/>
        <w:rPr>
          <w:color w:val="000000" w:themeColor="text1"/>
        </w:rPr>
      </w:pPr>
      <w:r w:rsidRPr="00097749">
        <w:rPr>
          <w:color w:val="000000" w:themeColor="text1"/>
        </w:rPr>
        <w:t xml:space="preserve">Rumimpunu, A. P., Kandou, G. D., &amp; </w:t>
      </w:r>
      <w:proofErr w:type="spellStart"/>
      <w:r w:rsidRPr="00097749">
        <w:rPr>
          <w:color w:val="000000" w:themeColor="text1"/>
        </w:rPr>
        <w:t>Tilaar</w:t>
      </w:r>
      <w:proofErr w:type="spellEnd"/>
      <w:r w:rsidRPr="00097749">
        <w:rPr>
          <w:color w:val="000000" w:themeColor="text1"/>
        </w:rPr>
        <w:t xml:space="preserve">, C. R. (2020). The role of family support and health worker encouragement in tuberculosis treatment adherence in North Sulawesi. Journal of Public Health Research, 9(2), 179–185. </w:t>
      </w:r>
      <w:hyperlink r:id="rId17" w:history="1">
        <w:r w:rsidRPr="00097749">
          <w:rPr>
            <w:rStyle w:val="Hyperlink"/>
            <w:color w:val="000000" w:themeColor="text1"/>
          </w:rPr>
          <w:t>https://doi.org/10.4081/jphr.2020.1841</w:t>
        </w:r>
      </w:hyperlink>
      <w:r w:rsidRPr="00097749">
        <w:rPr>
          <w:color w:val="000000" w:themeColor="text1"/>
        </w:rPr>
        <w:t>.</w:t>
      </w:r>
    </w:p>
    <w:p w14:paraId="5745C35A" w14:textId="77777777" w:rsidR="00097749" w:rsidRPr="00097749" w:rsidRDefault="00097749" w:rsidP="00097749">
      <w:pPr>
        <w:ind w:left="720" w:hanging="720"/>
        <w:jc w:val="both"/>
        <w:rPr>
          <w:color w:val="000000" w:themeColor="text1"/>
        </w:rPr>
      </w:pPr>
      <w:r w:rsidRPr="00097749">
        <w:rPr>
          <w:color w:val="000000" w:themeColor="text1"/>
        </w:rPr>
        <w:t xml:space="preserve">Soen, R. C. J., &amp; </w:t>
      </w:r>
      <w:proofErr w:type="spellStart"/>
      <w:r w:rsidRPr="00097749">
        <w:rPr>
          <w:color w:val="000000" w:themeColor="text1"/>
        </w:rPr>
        <w:t>Kristaung</w:t>
      </w:r>
      <w:proofErr w:type="spellEnd"/>
      <w:r w:rsidRPr="00097749">
        <w:rPr>
          <w:color w:val="000000" w:themeColor="text1"/>
        </w:rPr>
        <w:t>, R. (2023). The influence of service quality and hospital image for patient satisfaction and loyalty: Dental and Oral Hospital in Jakarta. Journal of Social Research, 2(8), 2679–2687. https://doi.org/10.55324/josr.v2i8.1323</w:t>
      </w:r>
    </w:p>
    <w:p w14:paraId="2A6439D3" w14:textId="77777777" w:rsidR="00097749" w:rsidRPr="00097749" w:rsidRDefault="00097749" w:rsidP="00097749">
      <w:pPr>
        <w:ind w:left="720" w:hanging="720"/>
        <w:jc w:val="both"/>
        <w:rPr>
          <w:color w:val="000000" w:themeColor="text1"/>
        </w:rPr>
      </w:pPr>
      <w:r w:rsidRPr="00097749">
        <w:rPr>
          <w:color w:val="000000" w:themeColor="text1"/>
        </w:rPr>
        <w:t>World Health Organization. (2023). World malaria report 2023. World Health Organization. https://www.who.int/publications/i/item/97892400783</w:t>
      </w:r>
    </w:p>
    <w:p w14:paraId="620B1D3B" w14:textId="77777777" w:rsidR="00097749" w:rsidRPr="00097749" w:rsidRDefault="00097749" w:rsidP="00097749">
      <w:pPr>
        <w:rPr>
          <w:color w:val="000000" w:themeColor="text1"/>
        </w:rPr>
      </w:pPr>
    </w:p>
    <w:p w14:paraId="5F6D4882" w14:textId="77777777" w:rsidR="00097749" w:rsidRPr="00097749" w:rsidRDefault="00097749" w:rsidP="00097749">
      <w:pPr>
        <w:ind w:left="720" w:hanging="720"/>
        <w:jc w:val="both"/>
        <w:rPr>
          <w:color w:val="000000" w:themeColor="text1"/>
        </w:rPr>
      </w:pPr>
    </w:p>
    <w:p w14:paraId="7E838887" w14:textId="77777777" w:rsidR="00097749" w:rsidRPr="00097749" w:rsidRDefault="00097749" w:rsidP="00441B6F">
      <w:pPr>
        <w:pStyle w:val="Body"/>
        <w:spacing w:after="0"/>
        <w:rPr>
          <w:color w:val="000000" w:themeColor="text1"/>
        </w:rPr>
      </w:pPr>
    </w:p>
    <w:p w14:paraId="4B2B9591" w14:textId="3BA0BF76" w:rsidR="004D4277" w:rsidRPr="00097749" w:rsidRDefault="004D4277" w:rsidP="00441B6F">
      <w:pPr>
        <w:pStyle w:val="Appendix"/>
        <w:spacing w:after="0"/>
        <w:jc w:val="both"/>
        <w:rPr>
          <w:rFonts w:ascii="Arial" w:hAnsi="Arial" w:cs="Arial"/>
          <w:b w:val="0"/>
          <w:color w:val="000000" w:themeColor="text1"/>
        </w:rPr>
        <w:sectPr w:rsidR="004D4277" w:rsidRPr="00097749" w:rsidSect="002F3E8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215C3D3" w14:textId="77777777" w:rsidR="00B01FCD" w:rsidRPr="00097749" w:rsidRDefault="00B01FCD" w:rsidP="00441B6F">
      <w:pPr>
        <w:pStyle w:val="Appendix"/>
        <w:spacing w:after="0"/>
        <w:jc w:val="both"/>
        <w:rPr>
          <w:rFonts w:ascii="Arial" w:hAnsi="Arial" w:cs="Arial"/>
          <w:b w:val="0"/>
          <w:color w:val="000000" w:themeColor="text1"/>
        </w:rPr>
      </w:pPr>
    </w:p>
    <w:sectPr w:rsidR="00B01FCD" w:rsidRPr="00097749" w:rsidSect="002F3E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0F833" w14:textId="77777777" w:rsidR="003668D0" w:rsidRDefault="003668D0" w:rsidP="00C37E61">
      <w:r>
        <w:separator/>
      </w:r>
    </w:p>
  </w:endnote>
  <w:endnote w:type="continuationSeparator" w:id="0">
    <w:p w14:paraId="6AD12FF6" w14:textId="77777777" w:rsidR="003668D0" w:rsidRDefault="003668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CDD4" w14:textId="77777777" w:rsidR="002F3E8B" w:rsidRDefault="002F3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EA86" w14:textId="77777777" w:rsidR="002F3E8B" w:rsidRDefault="002F3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1142" w14:textId="77777777" w:rsidR="009E048A" w:rsidRDefault="009E048A">
    <w:pPr>
      <w:pStyle w:val="Footer"/>
      <w:rPr>
        <w:rFonts w:ascii="Arial" w:hAnsi="Arial" w:cs="Arial"/>
        <w:sz w:val="16"/>
      </w:rPr>
    </w:pPr>
  </w:p>
  <w:p w14:paraId="2475EE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5C3E7C"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5F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F8E4A" w14:textId="77777777" w:rsidR="003668D0" w:rsidRDefault="003668D0" w:rsidP="00C37E61">
      <w:r>
        <w:separator/>
      </w:r>
    </w:p>
  </w:footnote>
  <w:footnote w:type="continuationSeparator" w:id="0">
    <w:p w14:paraId="6C0256F0" w14:textId="77777777" w:rsidR="003668D0" w:rsidRDefault="003668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BA34" w14:textId="36722D63" w:rsidR="002F3E8B" w:rsidRDefault="002F3E8B">
    <w:pPr>
      <w:pStyle w:val="Header"/>
    </w:pPr>
    <w:r>
      <w:rPr>
        <w:noProof/>
      </w:rPr>
      <w:pict w14:anchorId="5D44E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7185" w14:textId="1347045A" w:rsidR="002F3E8B" w:rsidRDefault="002F3E8B">
    <w:pPr>
      <w:pStyle w:val="Header"/>
    </w:pPr>
    <w:r>
      <w:rPr>
        <w:noProof/>
      </w:rPr>
      <w:pict w14:anchorId="14762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7D4F" w14:textId="2CC64252" w:rsidR="00296529" w:rsidRPr="00296529" w:rsidRDefault="002F3E8B" w:rsidP="00296529">
    <w:pPr>
      <w:ind w:left="2160"/>
      <w:jc w:val="center"/>
      <w:rPr>
        <w:rFonts w:ascii="Times New Roman" w:eastAsia="Calibri" w:hAnsi="Times New Roman"/>
        <w:i/>
        <w:sz w:val="18"/>
        <w:szCs w:val="22"/>
      </w:rPr>
    </w:pPr>
    <w:r>
      <w:rPr>
        <w:noProof/>
      </w:rPr>
      <w:pict w14:anchorId="10B5E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A907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90D3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20CC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550A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7DEE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30F55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FC98" w14:textId="639F2568" w:rsidR="002F3E8B" w:rsidRDefault="002F3E8B">
    <w:pPr>
      <w:pStyle w:val="Header"/>
    </w:pPr>
    <w:r>
      <w:rPr>
        <w:noProof/>
      </w:rPr>
      <w:pict w14:anchorId="414A8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F3E8" w14:textId="6FD83C89" w:rsidR="002F3E8B" w:rsidRDefault="002F3E8B">
    <w:pPr>
      <w:pStyle w:val="Header"/>
    </w:pPr>
    <w:r>
      <w:rPr>
        <w:noProof/>
      </w:rPr>
      <w:pict w14:anchorId="57E10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3CE1" w14:textId="717679EB" w:rsidR="002F3E8B" w:rsidRDefault="002F3E8B">
    <w:pPr>
      <w:pStyle w:val="Header"/>
    </w:pPr>
    <w:r>
      <w:rPr>
        <w:noProof/>
      </w:rPr>
      <w:pict w14:anchorId="08424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774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314B"/>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E8B"/>
    <w:rsid w:val="00315186"/>
    <w:rsid w:val="00326310"/>
    <w:rsid w:val="0033343E"/>
    <w:rsid w:val="003361EC"/>
    <w:rsid w:val="003512C2"/>
    <w:rsid w:val="003668D0"/>
    <w:rsid w:val="00366A4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088"/>
    <w:rsid w:val="00471A80"/>
    <w:rsid w:val="004D305E"/>
    <w:rsid w:val="004D4277"/>
    <w:rsid w:val="00502516"/>
    <w:rsid w:val="00505F06"/>
    <w:rsid w:val="00506828"/>
    <w:rsid w:val="0053056E"/>
    <w:rsid w:val="00554FDA"/>
    <w:rsid w:val="005C784C"/>
    <w:rsid w:val="005D17F6"/>
    <w:rsid w:val="005E5539"/>
    <w:rsid w:val="00602BF5"/>
    <w:rsid w:val="00616D6F"/>
    <w:rsid w:val="00617FDD"/>
    <w:rsid w:val="00633614"/>
    <w:rsid w:val="00633F68"/>
    <w:rsid w:val="00636EB2"/>
    <w:rsid w:val="006375B8"/>
    <w:rsid w:val="0064111B"/>
    <w:rsid w:val="006465D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59CC"/>
    <w:rsid w:val="0083216F"/>
    <w:rsid w:val="00860000"/>
    <w:rsid w:val="00861855"/>
    <w:rsid w:val="00863BD3"/>
    <w:rsid w:val="00863FAC"/>
    <w:rsid w:val="008641ED"/>
    <w:rsid w:val="00866D66"/>
    <w:rsid w:val="008671C6"/>
    <w:rsid w:val="00875803"/>
    <w:rsid w:val="008A78D9"/>
    <w:rsid w:val="008B459E"/>
    <w:rsid w:val="008D1D22"/>
    <w:rsid w:val="008E13AE"/>
    <w:rsid w:val="008E1506"/>
    <w:rsid w:val="008E710C"/>
    <w:rsid w:val="008F69D6"/>
    <w:rsid w:val="00902823"/>
    <w:rsid w:val="00915CA6"/>
    <w:rsid w:val="00927834"/>
    <w:rsid w:val="009500A6"/>
    <w:rsid w:val="00957C18"/>
    <w:rsid w:val="009659BA"/>
    <w:rsid w:val="00983040"/>
    <w:rsid w:val="009B3FB9"/>
    <w:rsid w:val="009B7DB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4753"/>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E95E0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65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097749"/>
    <w:pPr>
      <w:spacing w:after="120"/>
    </w:pPr>
  </w:style>
  <w:style w:type="character" w:customStyle="1" w:styleId="BodyTextChar">
    <w:name w:val="Body Text Char"/>
    <w:basedOn w:val="DefaultParagraphFont"/>
    <w:link w:val="BodyText"/>
    <w:rsid w:val="00097749"/>
    <w:rPr>
      <w:rFonts w:ascii="Helvetica" w:hAnsi="Helvetica"/>
    </w:rPr>
  </w:style>
  <w:style w:type="character" w:customStyle="1" w:styleId="Heading3Char">
    <w:name w:val="Heading 3 Char"/>
    <w:basedOn w:val="DefaultParagraphFont"/>
    <w:link w:val="Heading3"/>
    <w:semiHidden/>
    <w:rsid w:val="006465D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36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081/jphr.2020.184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E721-A1C6-44C4-B84E-54AB46DC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19</Pages>
  <Words>8912</Words>
  <Characters>50800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59593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2025-10-09T10:31:00Z</dcterms:modified>
</cp:coreProperties>
</file>