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3A3CD" w14:textId="7FE538D0" w:rsidR="00655666" w:rsidRDefault="00655666" w:rsidP="0027680D">
      <w:pPr>
        <w:spacing w:after="0"/>
        <w:ind w:left="-426" w:right="-472"/>
        <w:jc w:val="center"/>
        <w:rPr>
          <w:rFonts w:ascii="Times New Roman" w:hAnsi="Times New Roman" w:cs="Times New Roman"/>
          <w:b/>
          <w:bCs/>
          <w:sz w:val="24"/>
          <w:szCs w:val="24"/>
        </w:rPr>
      </w:pPr>
      <w:r w:rsidRPr="00655666">
        <w:rPr>
          <w:rFonts w:ascii="Times New Roman" w:hAnsi="Times New Roman" w:cs="Times New Roman"/>
          <w:b/>
          <w:bCs/>
          <w:sz w:val="24"/>
          <w:szCs w:val="24"/>
        </w:rPr>
        <w:t>Original Research Article</w:t>
      </w:r>
    </w:p>
    <w:p w14:paraId="74451AD4" w14:textId="77777777" w:rsidR="00655666" w:rsidRDefault="00655666" w:rsidP="0027680D">
      <w:pPr>
        <w:spacing w:after="0"/>
        <w:ind w:left="-426" w:right="-472"/>
        <w:jc w:val="center"/>
        <w:rPr>
          <w:rFonts w:ascii="Times New Roman" w:hAnsi="Times New Roman" w:cs="Times New Roman"/>
          <w:b/>
          <w:bCs/>
          <w:sz w:val="24"/>
          <w:szCs w:val="24"/>
        </w:rPr>
      </w:pPr>
    </w:p>
    <w:p w14:paraId="53329AB7" w14:textId="77777777" w:rsidR="00655666" w:rsidRDefault="00655666" w:rsidP="0027680D">
      <w:pPr>
        <w:spacing w:after="0"/>
        <w:ind w:left="-426" w:right="-472"/>
        <w:jc w:val="center"/>
        <w:rPr>
          <w:rFonts w:ascii="Times New Roman" w:hAnsi="Times New Roman" w:cs="Times New Roman"/>
          <w:b/>
          <w:bCs/>
          <w:sz w:val="24"/>
          <w:szCs w:val="24"/>
        </w:rPr>
      </w:pPr>
    </w:p>
    <w:p w14:paraId="1806029D" w14:textId="3DC74D77" w:rsidR="0027680D" w:rsidRDefault="0027680D" w:rsidP="0027680D">
      <w:pPr>
        <w:spacing w:after="0"/>
        <w:ind w:left="-426" w:right="-472"/>
        <w:jc w:val="center"/>
        <w:rPr>
          <w:rFonts w:ascii="Times New Roman" w:hAnsi="Times New Roman" w:cs="Times New Roman"/>
          <w:b/>
          <w:bCs/>
          <w:sz w:val="24"/>
          <w:szCs w:val="24"/>
        </w:rPr>
      </w:pPr>
      <w:r w:rsidRPr="0027680D">
        <w:rPr>
          <w:rFonts w:ascii="Times New Roman" w:hAnsi="Times New Roman" w:cs="Times New Roman"/>
          <w:b/>
          <w:bCs/>
          <w:sz w:val="24"/>
          <w:szCs w:val="24"/>
        </w:rPr>
        <w:t>THE IMPACT OF SHOULDER ROTATIONAL ENDURANCE AND GLENOHUMERAL INTERNAL ROTATION ON WRITING SPEED AMONG COLLEGE STUDENTS: AN OBSERVATIONAL STUDY</w:t>
      </w:r>
    </w:p>
    <w:p w14:paraId="30D0B80B" w14:textId="77777777" w:rsidR="00FE0D8A" w:rsidRDefault="00FE0D8A" w:rsidP="0027680D">
      <w:pPr>
        <w:spacing w:after="0"/>
        <w:ind w:left="-426" w:right="-472"/>
        <w:jc w:val="center"/>
        <w:rPr>
          <w:rFonts w:ascii="Times New Roman" w:hAnsi="Times New Roman" w:cs="Times New Roman"/>
          <w:b/>
          <w:bCs/>
          <w:sz w:val="24"/>
          <w:szCs w:val="24"/>
        </w:rPr>
      </w:pPr>
    </w:p>
    <w:p w14:paraId="47433E19" w14:textId="77777777" w:rsidR="00FE0D8A" w:rsidRDefault="00FE0D8A" w:rsidP="0027680D">
      <w:pPr>
        <w:spacing w:after="0"/>
        <w:ind w:left="-426" w:right="-472"/>
        <w:jc w:val="center"/>
        <w:rPr>
          <w:rFonts w:ascii="Times New Roman" w:hAnsi="Times New Roman" w:cs="Times New Roman"/>
          <w:b/>
          <w:bCs/>
          <w:sz w:val="24"/>
          <w:szCs w:val="24"/>
        </w:rPr>
      </w:pPr>
    </w:p>
    <w:p w14:paraId="399F04A9" w14:textId="77777777" w:rsidR="00E27EBF" w:rsidRDefault="00E27EBF" w:rsidP="0027680D">
      <w:pPr>
        <w:spacing w:after="0"/>
        <w:ind w:left="-426" w:right="-472"/>
        <w:jc w:val="center"/>
        <w:rPr>
          <w:rFonts w:ascii="Times New Roman" w:hAnsi="Times New Roman" w:cs="Times New Roman"/>
          <w:b/>
          <w:bCs/>
          <w:sz w:val="24"/>
          <w:szCs w:val="24"/>
        </w:rPr>
      </w:pPr>
    </w:p>
    <w:p w14:paraId="24828B65" w14:textId="77777777" w:rsidR="00E27EBF" w:rsidRDefault="00E27EBF" w:rsidP="00124189">
      <w:pPr>
        <w:spacing w:line="360" w:lineRule="auto"/>
        <w:ind w:left="-426" w:right="-472"/>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F2A6221" w14:textId="77777777" w:rsidR="00E27EBF" w:rsidRDefault="00E27EBF" w:rsidP="00124189">
      <w:pPr>
        <w:spacing w:line="360" w:lineRule="auto"/>
        <w:ind w:left="-426" w:right="-472"/>
        <w:jc w:val="both"/>
        <w:rPr>
          <w:rFonts w:ascii="Times New Roman" w:hAnsi="Times New Roman" w:cs="Times New Roman"/>
          <w:sz w:val="24"/>
        </w:rPr>
      </w:pPr>
      <w:r w:rsidRPr="00E27EBF">
        <w:rPr>
          <w:rStyle w:val="Strong"/>
          <w:rFonts w:ascii="Times New Roman" w:hAnsi="Times New Roman" w:cs="Times New Roman"/>
          <w:sz w:val="24"/>
        </w:rPr>
        <w:t>BACKGROUND AND OBJECTIVE:</w:t>
      </w:r>
      <w:r w:rsidRPr="00E27EBF">
        <w:rPr>
          <w:rFonts w:ascii="Times New Roman" w:hAnsi="Times New Roman" w:cs="Times New Roman"/>
          <w:sz w:val="24"/>
        </w:rPr>
        <w:t xml:space="preserve"> Handwriting proficiency remains essential for academic success, requiring coordinated fine motor control, upper limb endurance, and optimal shoulder joint function. The shoulder complex provides critical proximal stability for efficient handwriting performance, yet the specific relationships between shoulder rotational end</w:t>
      </w:r>
      <w:bookmarkStart w:id="0" w:name="_GoBack"/>
      <w:bookmarkEnd w:id="0"/>
      <w:r w:rsidRPr="00E27EBF">
        <w:rPr>
          <w:rFonts w:ascii="Times New Roman" w:hAnsi="Times New Roman" w:cs="Times New Roman"/>
          <w:sz w:val="24"/>
        </w:rPr>
        <w:t>urance, glenohumeral internal rotation, and writing speed remain inadequately investigated in college populations. This study aimed to examine the correlations between shoulder rotational endurance, glenohumeral internal rotation range of motion, and handwriting speed among college students.</w:t>
      </w:r>
    </w:p>
    <w:p w14:paraId="58036DEB" w14:textId="77777777" w:rsidR="00E27EBF" w:rsidRDefault="00E27EBF" w:rsidP="00124189">
      <w:pPr>
        <w:spacing w:line="360" w:lineRule="auto"/>
        <w:ind w:left="-426" w:right="-472"/>
        <w:jc w:val="both"/>
        <w:rPr>
          <w:rFonts w:ascii="Times New Roman" w:hAnsi="Times New Roman" w:cs="Times New Roman"/>
          <w:sz w:val="24"/>
        </w:rPr>
      </w:pPr>
      <w:r w:rsidRPr="00E27EBF">
        <w:rPr>
          <w:rStyle w:val="Strong"/>
          <w:rFonts w:ascii="Times New Roman" w:hAnsi="Times New Roman" w:cs="Times New Roman"/>
          <w:sz w:val="24"/>
        </w:rPr>
        <w:t>METHODOLOGY:</w:t>
      </w:r>
      <w:r w:rsidRPr="00E27EBF">
        <w:rPr>
          <w:rFonts w:ascii="Times New Roman" w:hAnsi="Times New Roman" w:cs="Times New Roman"/>
          <w:sz w:val="24"/>
        </w:rPr>
        <w:t xml:space="preserve"> An observational cross-sectional study recruited 100 college students aged 18-25 years following predetermined inclusion and exclusion criteria. Comprehensive demographic data were collected including age, anthropometric measurements, gender, and hand dominance. Handwriting speed was quantified using the standardized Word Per Minute (WPM) test, shoulder rotational endurance was assessed via the Shoulder Endurance Test (SET), and glenohumeral internal rotation was measured using universal goniometry techniques. Statistical analyses were performed using SPSS version 21.0, with data normality verified through Kolmogorov-Smirnov testing and Pearson correlation coefficients calculated to determine variable associations.</w:t>
      </w:r>
    </w:p>
    <w:p w14:paraId="169CB9B9" w14:textId="77777777" w:rsidR="00E27EBF" w:rsidRDefault="00E27EBF" w:rsidP="00124189">
      <w:pPr>
        <w:spacing w:line="360" w:lineRule="auto"/>
        <w:ind w:left="-426" w:right="-472"/>
        <w:jc w:val="both"/>
        <w:rPr>
          <w:rFonts w:ascii="Times New Roman" w:hAnsi="Times New Roman" w:cs="Times New Roman"/>
          <w:sz w:val="24"/>
          <w:szCs w:val="24"/>
        </w:rPr>
      </w:pPr>
      <w:r w:rsidRPr="00E27EBF">
        <w:rPr>
          <w:rStyle w:val="Strong"/>
          <w:rFonts w:ascii="Times New Roman" w:hAnsi="Times New Roman" w:cs="Times New Roman"/>
          <w:sz w:val="24"/>
          <w:szCs w:val="24"/>
        </w:rPr>
        <w:t>RESULTS:</w:t>
      </w:r>
      <w:r w:rsidRPr="00E27EBF">
        <w:rPr>
          <w:rFonts w:ascii="Times New Roman" w:hAnsi="Times New Roman" w:cs="Times New Roman"/>
          <w:sz w:val="24"/>
          <w:szCs w:val="24"/>
        </w:rPr>
        <w:t xml:space="preserve"> The study included 100 participants (30 males, 70 females) wi</w:t>
      </w:r>
      <w:r w:rsidR="004B1DDD">
        <w:rPr>
          <w:rFonts w:ascii="Times New Roman" w:hAnsi="Times New Roman" w:cs="Times New Roman"/>
          <w:sz w:val="24"/>
          <w:szCs w:val="24"/>
        </w:rPr>
        <w:t>th mean age 19.61 ± 1.79 years,</w:t>
      </w:r>
      <w:r w:rsidRPr="00E27EBF">
        <w:rPr>
          <w:rFonts w:ascii="Times New Roman" w:hAnsi="Times New Roman" w:cs="Times New Roman"/>
          <w:sz w:val="24"/>
          <w:szCs w:val="24"/>
        </w:rPr>
        <w:t xml:space="preserve"> and handwriting speed 25.96 ± 4.84 words per minute. Mean shoulder endurance was 60.65 ± 22.32 seconds, while dominant hand internal rotation averaged 62.77 ± 6.10 degrees. Statistically significant positive correlations were identified between handwriting speed and shoulder endurance (r = 0.248, p = 0.013) and between handwriting speed and dominant hand glenohumeral internal rotation (r = 0.366, p = 0.010). </w:t>
      </w:r>
    </w:p>
    <w:p w14:paraId="158DB086" w14:textId="77777777" w:rsidR="00E27EBF" w:rsidRDefault="00E27EBF" w:rsidP="00124189">
      <w:pPr>
        <w:spacing w:line="360" w:lineRule="auto"/>
        <w:ind w:left="-426" w:right="-472"/>
        <w:jc w:val="both"/>
        <w:rPr>
          <w:rFonts w:ascii="Times New Roman" w:hAnsi="Times New Roman" w:cs="Times New Roman"/>
          <w:sz w:val="24"/>
          <w:szCs w:val="24"/>
        </w:rPr>
      </w:pPr>
      <w:r w:rsidRPr="00E27EBF">
        <w:rPr>
          <w:rStyle w:val="Strong"/>
          <w:rFonts w:ascii="Times New Roman" w:hAnsi="Times New Roman" w:cs="Times New Roman"/>
          <w:sz w:val="24"/>
          <w:szCs w:val="24"/>
        </w:rPr>
        <w:t>CONCLUSION:</w:t>
      </w:r>
      <w:r w:rsidRPr="00E27EBF">
        <w:rPr>
          <w:rFonts w:ascii="Times New Roman" w:hAnsi="Times New Roman" w:cs="Times New Roman"/>
          <w:sz w:val="24"/>
          <w:szCs w:val="24"/>
        </w:rPr>
        <w:t xml:space="preserve"> Enhanced shoulder muscle endurance and improved internal rotation mobility are associated with increased writing speeds, establishing the importance of proximal upper limb function in fine motor task performance. </w:t>
      </w:r>
    </w:p>
    <w:p w14:paraId="77B9AEA3" w14:textId="77777777" w:rsidR="00E27EBF" w:rsidRPr="00E27EBF" w:rsidRDefault="00E27EBF" w:rsidP="00124189">
      <w:pPr>
        <w:spacing w:line="360" w:lineRule="auto"/>
        <w:ind w:left="-426" w:right="-472"/>
        <w:jc w:val="both"/>
        <w:rPr>
          <w:rFonts w:ascii="Times New Roman" w:hAnsi="Times New Roman" w:cs="Times New Roman"/>
          <w:b/>
          <w:bCs/>
          <w:sz w:val="28"/>
          <w:szCs w:val="24"/>
        </w:rPr>
      </w:pPr>
      <w:r w:rsidRPr="00E27EBF">
        <w:rPr>
          <w:rStyle w:val="Strong"/>
          <w:rFonts w:ascii="Times New Roman" w:hAnsi="Times New Roman" w:cs="Times New Roman"/>
          <w:sz w:val="24"/>
        </w:rPr>
        <w:lastRenderedPageBreak/>
        <w:t>KEYWORDS:</w:t>
      </w:r>
      <w:r w:rsidRPr="00E27EBF">
        <w:rPr>
          <w:rFonts w:ascii="Times New Roman" w:hAnsi="Times New Roman" w:cs="Times New Roman"/>
          <w:sz w:val="24"/>
        </w:rPr>
        <w:t xml:space="preserve"> Shoulder endurance, Glenohumeral internal rotation, Writing speed, College students, Upper limb function, Academic performance.</w:t>
      </w:r>
    </w:p>
    <w:p w14:paraId="6C85243D" w14:textId="77777777" w:rsidR="0027680D" w:rsidRDefault="0027680D" w:rsidP="0027680D">
      <w:pPr>
        <w:spacing w:after="0"/>
        <w:ind w:left="-426" w:right="-472"/>
        <w:rPr>
          <w:rFonts w:ascii="Times New Roman" w:hAnsi="Times New Roman" w:cs="Times New Roman"/>
          <w:b/>
          <w:bCs/>
          <w:sz w:val="24"/>
          <w:szCs w:val="24"/>
        </w:rPr>
      </w:pPr>
    </w:p>
    <w:p w14:paraId="4ACC2A80" w14:textId="77777777" w:rsidR="0027680D" w:rsidRDefault="0027680D" w:rsidP="00124189">
      <w:pPr>
        <w:spacing w:line="360" w:lineRule="auto"/>
        <w:ind w:left="-426" w:right="-472"/>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5875189"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 xml:space="preserve">Handwriting remains one of the most fundamental and distinctive aspects of human cultural development, serving as a cornerstone for academic achievement, professional communication, and daily functional activities. Despite the increasing digitization of modern society, the ability to produce legible, efficient handwriting continues to be crucial for </w:t>
      </w:r>
      <w:proofErr w:type="gramStart"/>
      <w:r w:rsidRPr="0027680D">
        <w:rPr>
          <w:rFonts w:ascii="Times New Roman" w:eastAsia="Times New Roman" w:hAnsi="Times New Roman" w:cs="Times New Roman"/>
          <w:sz w:val="24"/>
          <w:szCs w:val="24"/>
          <w:lang w:eastAsia="en-IN"/>
        </w:rPr>
        <w:t>students’</w:t>
      </w:r>
      <w:proofErr w:type="gramEnd"/>
      <w:r w:rsidRPr="0027680D">
        <w:rPr>
          <w:rFonts w:ascii="Times New Roman" w:eastAsia="Times New Roman" w:hAnsi="Times New Roman" w:cs="Times New Roman"/>
          <w:sz w:val="24"/>
          <w:szCs w:val="24"/>
          <w:lang w:eastAsia="en-IN"/>
        </w:rPr>
        <w:t xml:space="preserve"> at all educational levels, directly correlating with academic success and the capacity to effectively communicate knowledge across various subjects. Research consistently demonstrates that handwriting speed significantly influences student achievement regardless of individual ability levels, making it an essential skill that warrants comprehensive investigation and understanding.</w:t>
      </w:r>
      <w:r w:rsidR="008E5E36" w:rsidRPr="008E5E36">
        <w:rPr>
          <w:rFonts w:ascii="Times New Roman" w:eastAsia="Times New Roman" w:hAnsi="Times New Roman" w:cs="Times New Roman"/>
          <w:sz w:val="24"/>
          <w:szCs w:val="24"/>
          <w:vertAlign w:val="superscript"/>
          <w:lang w:eastAsia="en-IN"/>
        </w:rPr>
        <w:t>1</w:t>
      </w:r>
    </w:p>
    <w:p w14:paraId="034FB0DE"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The complex neuromotor process of handwriting involves intricate coordination between multiple physiological systems, requiring seamless integration of cognitive processing, visual-motor coordination, and precise musculoskeletal control. This multifaceted skill depends on numerous interconnected factors, including neuromuscular coordination, fine motor control, postural stability, anatomical considerations of the upper extremity, overall health status, cognitive capacity, and environmental factors such as writing instruments and surface characteristics. Effective handwriting performance fundamentally relies on the coordinated function of the entire kinetic chain, with particular emphasis on the proximal stabilization provided by the shoulder complex to enable optimal distal motor control.</w:t>
      </w:r>
      <w:r w:rsidR="008E5E36" w:rsidRPr="008E5E36">
        <w:rPr>
          <w:rFonts w:ascii="Times New Roman" w:eastAsia="Times New Roman" w:hAnsi="Times New Roman" w:cs="Times New Roman"/>
          <w:sz w:val="24"/>
          <w:szCs w:val="24"/>
          <w:vertAlign w:val="superscript"/>
          <w:lang w:eastAsia="en-IN"/>
        </w:rPr>
        <w:t>1,2</w:t>
      </w:r>
    </w:p>
    <w:p w14:paraId="2340DBB0"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From a biomechanical perspective, successful handwriting execution depends primarily on coordinated movements of the forearm and shoulder girdle, while minimizing excessive compensatory movements at the fingers and wrist joints. The shoulder complex serves as the foundational platform for upper limb stability, creating the necessary proximal control that allows for precise distal movements required in handwriting tasks. This proximal-to-distal control principle underscores the critical importance of shoulder girdle stability in facilitating optimal motor control during precision-demanding activities such as writing.</w:t>
      </w:r>
      <w:r w:rsidR="008E5E36" w:rsidRPr="008E5E36">
        <w:rPr>
          <w:rFonts w:ascii="Times New Roman" w:eastAsia="Times New Roman" w:hAnsi="Times New Roman" w:cs="Times New Roman"/>
          <w:sz w:val="24"/>
          <w:szCs w:val="24"/>
          <w:vertAlign w:val="superscript"/>
          <w:lang w:eastAsia="en-IN"/>
        </w:rPr>
        <w:t>1,3</w:t>
      </w:r>
    </w:p>
    <w:p w14:paraId="0A38BAC5" w14:textId="77777777" w:rsidR="0027680D" w:rsidRDefault="0027680D" w:rsidP="00124189">
      <w:pPr>
        <w:spacing w:line="360" w:lineRule="auto"/>
        <w:ind w:left="-426" w:right="-472"/>
        <w:jc w:val="both"/>
        <w:rPr>
          <w:rFonts w:ascii="Times New Roman" w:eastAsia="Times New Roman" w:hAnsi="Times New Roman" w:cs="Times New Roman"/>
          <w:sz w:val="24"/>
          <w:szCs w:val="24"/>
          <w:lang w:eastAsia="en-IN"/>
        </w:rPr>
      </w:pPr>
      <w:r w:rsidRPr="0027680D">
        <w:rPr>
          <w:rFonts w:ascii="Times New Roman" w:eastAsia="Times New Roman" w:hAnsi="Times New Roman" w:cs="Times New Roman"/>
          <w:sz w:val="24"/>
          <w:szCs w:val="24"/>
          <w:lang w:eastAsia="en-IN"/>
        </w:rPr>
        <w:t>The kinetic chain concept provides valuable insight into understanding handwriting biomechanics, emphasizing the kinematic interconnection between proximal and distal segments of the upper extremity. Even during tasks where direct shoulder involvement appears minimal, research indicates increased activation of primary shoulder stabilizers during intensive hand activities, attributed to the co-</w:t>
      </w:r>
      <w:r w:rsidRPr="0027680D">
        <w:rPr>
          <w:rFonts w:ascii="Times New Roman" w:eastAsia="Times New Roman" w:hAnsi="Times New Roman" w:cs="Times New Roman"/>
          <w:sz w:val="24"/>
          <w:szCs w:val="24"/>
          <w:lang w:eastAsia="en-IN"/>
        </w:rPr>
        <w:lastRenderedPageBreak/>
        <w:t>activation patterns between proximal and distal muscle groups. This relationship highlights how shoulder dysfunction can create cascading effects throughout the entire upper limb kinetic chain, potentially compromising handwriting performa</w:t>
      </w:r>
      <w:r>
        <w:rPr>
          <w:rFonts w:ascii="Times New Roman" w:eastAsia="Times New Roman" w:hAnsi="Times New Roman" w:cs="Times New Roman"/>
          <w:sz w:val="24"/>
          <w:szCs w:val="24"/>
          <w:lang w:eastAsia="en-IN"/>
        </w:rPr>
        <w:t>nce and efficiency.</w:t>
      </w:r>
      <w:r w:rsidR="008E5E36">
        <w:rPr>
          <w:rFonts w:ascii="Times New Roman" w:eastAsia="Times New Roman" w:hAnsi="Times New Roman" w:cs="Times New Roman"/>
          <w:sz w:val="24"/>
          <w:szCs w:val="24"/>
          <w:vertAlign w:val="superscript"/>
          <w:lang w:eastAsia="en-IN"/>
        </w:rPr>
        <w:t>3</w:t>
      </w:r>
    </w:p>
    <w:p w14:paraId="3D61DB27"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Among the various factors influencing shoulder function during handwriting tasks, shoulder endurance and glenohumeral internal rotation emerge as particularly critical components for achieving consistent, smooth handwriting movements. Shoulder endurance represents the ability of shoulder musculature, including the deltoid, rotator cuff complex, and scapular stabilizers, to maintain prolonged activity without experiencing premature fatigue. This endurance capacity is essential for sustaining proper upper limb posture and function during extended writing sessions commonly encountered in academic settings.</w:t>
      </w:r>
      <w:r w:rsidR="008E5E36" w:rsidRPr="008E5E36">
        <w:rPr>
          <w:rFonts w:ascii="Times New Roman" w:eastAsia="Times New Roman" w:hAnsi="Times New Roman" w:cs="Times New Roman"/>
          <w:sz w:val="24"/>
          <w:szCs w:val="24"/>
          <w:vertAlign w:val="superscript"/>
          <w:lang w:eastAsia="en-IN"/>
        </w:rPr>
        <w:t>4</w:t>
      </w:r>
    </w:p>
    <w:p w14:paraId="6E213ADC"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Inadequate shoulder endurance can lead to several detrimental consequences affecting handwriting performance, including the development of compensatory movement patterns, increased energy expenditure, early onset of muscle fatigue, and subsequent deterioration in writing speed and quality. When shoulder muscles fatigue prematurely, the resulting breakdown in postural control and altered arm positioning forces the neuromuscular system to adopt less efficient compensatory strategies, ultimately compromising handwriting legibility and speed while potentially increasing the risk of overuse injuries.</w:t>
      </w:r>
      <w:r w:rsidR="008E5E36" w:rsidRPr="008E5E36">
        <w:rPr>
          <w:rFonts w:ascii="Times New Roman" w:eastAsia="Times New Roman" w:hAnsi="Times New Roman" w:cs="Times New Roman"/>
          <w:sz w:val="24"/>
          <w:szCs w:val="24"/>
          <w:vertAlign w:val="superscript"/>
          <w:lang w:eastAsia="en-IN"/>
        </w:rPr>
        <w:t>5,6</w:t>
      </w:r>
    </w:p>
    <w:p w14:paraId="0BDC0602"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Glenohumeral internal rotation represents another crucial component of shoulder function that significantly influences handwriting biomechanics. This movement, characterized by inward rotation of the upper arm toward the body's midline, is essential for achieving optimal arm and hand positioning during writing tasks. Glenohumeral Internal Rotation Deficit (GIRD), typically defined as a loss of internal rotation exceeding 20 degrees in the dominant shoulder compared to the non-dominant side, has been extensively studied in athletic populations, particularly overhead athletes where it correlates strongly with injury risk and performance decrements.</w:t>
      </w:r>
      <w:r w:rsidR="008E5E36" w:rsidRPr="008E5E36">
        <w:rPr>
          <w:rFonts w:ascii="Times New Roman" w:eastAsia="Times New Roman" w:hAnsi="Times New Roman" w:cs="Times New Roman"/>
          <w:sz w:val="24"/>
          <w:szCs w:val="24"/>
          <w:vertAlign w:val="superscript"/>
          <w:lang w:eastAsia="en-IN"/>
        </w:rPr>
        <w:t>7</w:t>
      </w:r>
    </w:p>
    <w:p w14:paraId="12DF266A"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While GIRD has been well-documented in athletic contexts, its implications for everyday functional tasks such as handwriting remain poorly understood despite the potential for significant impact on upper limb mechanics during writing activities. Limitations in glenohumeral internal rotation could potentially alter normal upper extremity kinematics during handwriting, leading to suboptimal wrist positioning, compensatory trunk movements, and increased fatigue in distal joints including the wrist and fingers. These biomechanical alterations may progressively compromise handwriting efficiency and contribute to musculoskeletal discomfort during prolonged writing tasks.</w:t>
      </w:r>
      <w:r w:rsidR="008E5E36" w:rsidRPr="008E5E36">
        <w:rPr>
          <w:rFonts w:ascii="Times New Roman" w:eastAsia="Times New Roman" w:hAnsi="Times New Roman" w:cs="Times New Roman"/>
          <w:sz w:val="24"/>
          <w:szCs w:val="24"/>
          <w:vertAlign w:val="superscript"/>
          <w:lang w:eastAsia="en-IN"/>
        </w:rPr>
        <w:t>1,7</w:t>
      </w:r>
    </w:p>
    <w:p w14:paraId="15D16004"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lastRenderedPageBreak/>
        <w:t>The relevance of understanding these relationships becomes particularly evident when considering the academic demands placed on college students, who routinely engage in prolonged writing activities that impose repetitive stress on the shoulder complex. The sustained nature of academic writing tasks, combined with often suboptimal ergonomic conditions, creates an environment where shoulder function deficits may significantly impact both academic performance and musculoskeletal health.</w:t>
      </w:r>
      <w:r w:rsidR="008E5E36" w:rsidRPr="008E5E36">
        <w:rPr>
          <w:rFonts w:ascii="Times New Roman" w:eastAsia="Times New Roman" w:hAnsi="Times New Roman" w:cs="Times New Roman"/>
          <w:sz w:val="24"/>
          <w:szCs w:val="24"/>
          <w:vertAlign w:val="superscript"/>
          <w:lang w:eastAsia="en-IN"/>
        </w:rPr>
        <w:t>7</w:t>
      </w:r>
    </w:p>
    <w:p w14:paraId="1C5D3313"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Furthermore, effective note-taking, which relies heavily on adequate handwriting speed and endurance, has been shown to improve comprehension, listening skills, and overall study effectiveness. Students with superior handwriting speed demonstrate faster adaptation to academic demands and achieve higher academic grades, suggesting that optimizing the underlying biomechanical factors supporting handwriting performance could yield significant educational benefits.</w:t>
      </w:r>
      <w:r w:rsidR="008E5E36" w:rsidRPr="008E5E36">
        <w:rPr>
          <w:rFonts w:ascii="Times New Roman" w:eastAsia="Times New Roman" w:hAnsi="Times New Roman" w:cs="Times New Roman"/>
          <w:sz w:val="24"/>
          <w:szCs w:val="24"/>
          <w:vertAlign w:val="superscript"/>
          <w:lang w:eastAsia="en-IN"/>
        </w:rPr>
        <w:t>8</w:t>
      </w:r>
    </w:p>
    <w:p w14:paraId="3E7D2D87" w14:textId="77777777" w:rsidR="0027680D" w:rsidRDefault="0027680D" w:rsidP="00124189">
      <w:pPr>
        <w:spacing w:line="360" w:lineRule="auto"/>
        <w:ind w:left="-426" w:right="-472"/>
        <w:jc w:val="both"/>
        <w:rPr>
          <w:rFonts w:ascii="Times New Roman" w:eastAsia="Times New Roman" w:hAnsi="Times New Roman" w:cs="Times New Roman"/>
          <w:sz w:val="24"/>
          <w:szCs w:val="24"/>
          <w:lang w:eastAsia="en-IN"/>
        </w:rPr>
      </w:pPr>
      <w:r w:rsidRPr="0027680D">
        <w:rPr>
          <w:rFonts w:ascii="Times New Roman" w:eastAsia="Times New Roman" w:hAnsi="Times New Roman" w:cs="Times New Roman"/>
          <w:sz w:val="24"/>
          <w:szCs w:val="24"/>
          <w:lang w:eastAsia="en-IN"/>
        </w:rPr>
        <w:t>The investigation of relationships between shoulder rotational endurance, glenohumeral internal rotation, and handwriting speed represents a crucial step toward understanding the musculoskeletal foundations of academic performance. This knowledge holds important implications for developing evidence-based preventive strategies, ergonomic interventions, and rehabilitative approaches aimed at enhancing writing efficiency while reducing the risk of upper limb dysfunction among student populations. By elucidating how specific aspects of shoulder mechanics influence handwriting performance, this research contributes to the broader understanding of functional anatomy and its applications in educational and clinical settings.</w:t>
      </w:r>
    </w:p>
    <w:p w14:paraId="634874C6" w14:textId="77777777" w:rsidR="0027680D" w:rsidRPr="00962F71" w:rsidRDefault="0027680D" w:rsidP="00124189">
      <w:pPr>
        <w:spacing w:line="360" w:lineRule="auto"/>
        <w:ind w:left="-426" w:right="-472"/>
        <w:jc w:val="both"/>
        <w:rPr>
          <w:rFonts w:ascii="Times New Roman" w:eastAsia="Times New Roman" w:hAnsi="Times New Roman" w:cs="Times New Roman"/>
          <w:b/>
          <w:sz w:val="24"/>
          <w:szCs w:val="24"/>
          <w:lang w:eastAsia="en-IN"/>
        </w:rPr>
      </w:pPr>
      <w:r w:rsidRPr="00962F71">
        <w:rPr>
          <w:rFonts w:ascii="Times New Roman" w:eastAsia="Times New Roman" w:hAnsi="Times New Roman" w:cs="Times New Roman"/>
          <w:b/>
          <w:sz w:val="24"/>
          <w:szCs w:val="24"/>
          <w:lang w:eastAsia="en-IN"/>
        </w:rPr>
        <w:t>METHODOLOGY</w:t>
      </w:r>
    </w:p>
    <w:p w14:paraId="6DB4BCDF"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Study Design and Sample Size Calculation</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This research employed an observational study design to investigate the potential correlation between shoulder endurance, glenohumeral internal rotation, and writing speed among college students. The sample size was calculated using the standard statistical formula: n = [(Z</w:t>
      </w:r>
      <w:r w:rsidRPr="00962F71">
        <w:rPr>
          <w:rFonts w:ascii="Times New Roman" w:hAnsi="Times New Roman" w:cs="Times New Roman"/>
          <w:sz w:val="24"/>
          <w:szCs w:val="24"/>
          <w:vertAlign w:val="superscript"/>
        </w:rPr>
        <w:t>α/</w:t>
      </w:r>
      <w:proofErr w:type="gramStart"/>
      <w:r w:rsidRPr="00962F71">
        <w:rPr>
          <w:rFonts w:ascii="Times New Roman" w:hAnsi="Times New Roman" w:cs="Times New Roman"/>
          <w:sz w:val="24"/>
          <w:szCs w:val="24"/>
          <w:vertAlign w:val="superscript"/>
        </w:rPr>
        <w:t>2</w:t>
      </w:r>
      <w:r w:rsidRPr="00962F71">
        <w:rPr>
          <w:rFonts w:ascii="Times New Roman" w:hAnsi="Times New Roman" w:cs="Times New Roman"/>
          <w:sz w:val="24"/>
          <w:szCs w:val="24"/>
        </w:rPr>
        <w:t>)²</w:t>
      </w:r>
      <w:proofErr w:type="gramEnd"/>
      <w:r w:rsidRPr="00962F71">
        <w:rPr>
          <w:rFonts w:ascii="Times New Roman" w:hAnsi="Times New Roman" w:cs="Times New Roman"/>
          <w:sz w:val="24"/>
          <w:szCs w:val="24"/>
        </w:rPr>
        <w:t xml:space="preserve"> ×σ²]/E², where Z</w:t>
      </w:r>
      <w:r w:rsidRPr="00962F71">
        <w:rPr>
          <w:rFonts w:ascii="Times New Roman" w:hAnsi="Times New Roman" w:cs="Times New Roman"/>
          <w:sz w:val="24"/>
          <w:szCs w:val="24"/>
          <w:vertAlign w:val="subscript"/>
        </w:rPr>
        <w:t>α/2</w:t>
      </w:r>
      <w:r w:rsidRPr="00962F71">
        <w:rPr>
          <w:rFonts w:ascii="Times New Roman" w:hAnsi="Times New Roman" w:cs="Times New Roman"/>
          <w:sz w:val="24"/>
          <w:szCs w:val="24"/>
        </w:rPr>
        <w:t xml:space="preserve">=1.96, σ=28.59, and E=6, based on reference values from </w:t>
      </w:r>
      <w:proofErr w:type="spellStart"/>
      <w:r w:rsidRPr="00962F71">
        <w:rPr>
          <w:rFonts w:ascii="Times New Roman" w:hAnsi="Times New Roman" w:cs="Times New Roman"/>
          <w:sz w:val="24"/>
          <w:szCs w:val="24"/>
        </w:rPr>
        <w:t>Khushbakhat</w:t>
      </w:r>
      <w:proofErr w:type="spellEnd"/>
      <w:r w:rsidRPr="00962F71">
        <w:rPr>
          <w:rFonts w:ascii="Times New Roman" w:hAnsi="Times New Roman" w:cs="Times New Roman"/>
          <w:sz w:val="24"/>
          <w:szCs w:val="24"/>
        </w:rPr>
        <w:t xml:space="preserve"> Butt et al. (2022).</w:t>
      </w:r>
      <w:r w:rsidR="00B4515B" w:rsidRPr="00B4515B">
        <w:rPr>
          <w:rFonts w:ascii="Times New Roman" w:hAnsi="Times New Roman" w:cs="Times New Roman"/>
          <w:sz w:val="24"/>
          <w:szCs w:val="24"/>
          <w:vertAlign w:val="superscript"/>
        </w:rPr>
        <w:t>6</w:t>
      </w:r>
      <w:r w:rsidRPr="00962F71">
        <w:rPr>
          <w:rFonts w:ascii="Times New Roman" w:hAnsi="Times New Roman" w:cs="Times New Roman"/>
          <w:sz w:val="24"/>
          <w:szCs w:val="24"/>
        </w:rPr>
        <w:t xml:space="preserve"> This calculation yielded an estimated sample size of 96 participants, though the study ultimately recruited 100 individuals to account for potential dropouts and ensure adequate statistical power. The study was conducted at Tejasvini Hospital Group of Institution, Mangalore, with the primary purpose of determining correlations between shoulder functional parameters and handwriting performance in young adults.</w:t>
      </w:r>
    </w:p>
    <w:p w14:paraId="49BEBB43"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Participants and Recruitment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A total of 100 young individuals between the ages of 18 and 25 years were voluntarily recruited for the study, adhering to strict inclusion and exclusion criteria to ensure a well-defined and representative sample. The inclusion criteria specified that all participants must be healthy young adults within the </w:t>
      </w:r>
      <w:proofErr w:type="gramStart"/>
      <w:r w:rsidRPr="00962F71">
        <w:rPr>
          <w:rFonts w:ascii="Times New Roman" w:hAnsi="Times New Roman" w:cs="Times New Roman"/>
          <w:sz w:val="24"/>
          <w:szCs w:val="24"/>
        </w:rPr>
        <w:t>18-25 year</w:t>
      </w:r>
      <w:proofErr w:type="gramEnd"/>
      <w:r w:rsidRPr="00962F71">
        <w:rPr>
          <w:rFonts w:ascii="Times New Roman" w:hAnsi="Times New Roman" w:cs="Times New Roman"/>
          <w:sz w:val="24"/>
          <w:szCs w:val="24"/>
        </w:rPr>
        <w:t xml:space="preserve"> age range, encompassing both males and females to provide </w:t>
      </w:r>
      <w:r w:rsidRPr="00962F71">
        <w:rPr>
          <w:rFonts w:ascii="Times New Roman" w:hAnsi="Times New Roman" w:cs="Times New Roman"/>
          <w:sz w:val="24"/>
          <w:szCs w:val="24"/>
        </w:rPr>
        <w:lastRenderedPageBreak/>
        <w:t>gender representation in the study population. Exclusion criteria were carefully established to eliminate potential confounding variables, ruling out individuals with fractures or any deformity of the upper extremity, history of visual or hearing impairments, and presence of skin lesions or pathology in the dominant hand.</w:t>
      </w:r>
      <w:r w:rsidR="00B4515B" w:rsidRPr="00B4515B">
        <w:rPr>
          <w:rFonts w:ascii="Times New Roman" w:hAnsi="Times New Roman" w:cs="Times New Roman"/>
          <w:sz w:val="24"/>
          <w:szCs w:val="24"/>
          <w:vertAlign w:val="superscript"/>
        </w:rPr>
        <w:t>3</w:t>
      </w:r>
      <w:r w:rsidR="00D808CE">
        <w:rPr>
          <w:rFonts w:ascii="Times New Roman" w:hAnsi="Times New Roman" w:cs="Times New Roman"/>
          <w:sz w:val="24"/>
          <w:szCs w:val="24"/>
          <w:vertAlign w:val="superscript"/>
        </w:rPr>
        <w:t>,9</w:t>
      </w:r>
      <w:r w:rsidRPr="00962F71">
        <w:rPr>
          <w:rFonts w:ascii="Times New Roman" w:hAnsi="Times New Roman" w:cs="Times New Roman"/>
          <w:sz w:val="24"/>
          <w:szCs w:val="24"/>
        </w:rPr>
        <w:t xml:space="preserve"> These criteria ensured that all participants possessed the necessary physical and sensory capabilities to perform the required assessments accurately and safely.</w:t>
      </w:r>
    </w:p>
    <w:p w14:paraId="3522C3BF"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Ethical Considerations and Data Collection Protocol</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Prior to commencing any data collection procedures, informed consent was obtained from all participants to ensure they fully comprehended the nature of the study, the procedures involved, potential risks, and their right to withdraw at any point without facing any penalties. Once informed consent was secured, comprehensive descriptive data were collected from each participant, including age (years), weight (kilograms), height (meters), gender, and hand dominance. The data collection protocol was designed to systematically assess multiple variables including the Shoulder Endurance Test (SET), word per minute test results, and glenohumeral internal rotation measurements. After providing participants with a brief explanation of the study procedures, each individual completed the Hit the Dot test to establish hand dominance, followed by sequential assessment of handwriting speed, shoulder internal rotation range of motion, and shoulder rotational endurance capacity.</w:t>
      </w:r>
    </w:p>
    <w:p w14:paraId="11BC3807"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Hand Dominance Assessment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The Hit the Dot Test served as a well-established and reliable method for assessing hand dominance in this study population. An offline version of the test was utilized to evaluate participants' hand preferences under controlled conditions. The test procedure involved providing each participant with a printed worksheet featuring a series of blank circles arranged in systematic rows and columns. Participants were instructed to place a dot as accurately as possible in the </w:t>
      </w:r>
      <w:proofErr w:type="spellStart"/>
      <w:r w:rsidRPr="00962F71">
        <w:rPr>
          <w:rFonts w:ascii="Times New Roman" w:hAnsi="Times New Roman" w:cs="Times New Roman"/>
          <w:sz w:val="24"/>
          <w:szCs w:val="24"/>
        </w:rPr>
        <w:t>center</w:t>
      </w:r>
      <w:proofErr w:type="spellEnd"/>
      <w:r w:rsidRPr="00962F71">
        <w:rPr>
          <w:rFonts w:ascii="Times New Roman" w:hAnsi="Times New Roman" w:cs="Times New Roman"/>
          <w:sz w:val="24"/>
          <w:szCs w:val="24"/>
        </w:rPr>
        <w:t xml:space="preserve"> of each circle within a strict 30-second time limit, performing this task as quickly and accurately as possible using both dominant and non-dominant hands separately. The challenge required participants to demonstrate both speed and precision while maintaining consistent performance standards across both hands. Following completion of the test with each hand, the number of dots placed accurately in the </w:t>
      </w:r>
      <w:proofErr w:type="spellStart"/>
      <w:r w:rsidRPr="00962F71">
        <w:rPr>
          <w:rFonts w:ascii="Times New Roman" w:hAnsi="Times New Roman" w:cs="Times New Roman"/>
          <w:sz w:val="24"/>
          <w:szCs w:val="24"/>
        </w:rPr>
        <w:t>center</w:t>
      </w:r>
      <w:proofErr w:type="spellEnd"/>
      <w:r w:rsidRPr="00962F71">
        <w:rPr>
          <w:rFonts w:ascii="Times New Roman" w:hAnsi="Times New Roman" w:cs="Times New Roman"/>
          <w:sz w:val="24"/>
          <w:szCs w:val="24"/>
        </w:rPr>
        <w:t xml:space="preserve"> of the circles was counted, and total scores were calculated for comparative analysis. The hand achieving the higher score was designated as the dominant hand based on its superior performance in placing dots accurately and rapidly within the allocated time frame.</w:t>
      </w:r>
      <w:r w:rsidR="00D808CE" w:rsidRPr="00D808CE">
        <w:rPr>
          <w:rFonts w:ascii="Times New Roman" w:hAnsi="Times New Roman" w:cs="Times New Roman"/>
          <w:sz w:val="24"/>
          <w:szCs w:val="24"/>
          <w:vertAlign w:val="superscript"/>
        </w:rPr>
        <w:t>10</w:t>
      </w:r>
    </w:p>
    <w:p w14:paraId="7CBE1C83"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Writing Speed Assessment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Writing speed was evaluated using a standardized word per minute test designed to assess handwriting efficiency under controlled conditions. All participants were provided with identical writing surfaces and standardized seating arrangements to minimize environmental variables that could influence performance. Each participant received a standardized ballpoint pen, an </w:t>
      </w:r>
      <w:r w:rsidRPr="00962F71">
        <w:rPr>
          <w:rFonts w:ascii="Times New Roman" w:hAnsi="Times New Roman" w:cs="Times New Roman"/>
          <w:sz w:val="24"/>
          <w:szCs w:val="24"/>
        </w:rPr>
        <w:lastRenderedPageBreak/>
        <w:t>A4 sheet, and a printed paragraph serving as the source material for the writing task. The assessment protocol required participants to transcribe as many words as possible from the provided paragraph within a one-minute time period, emphasizing both speed and legibility in their handwriting performance. Following completion of the timed writing task, the total number of words successfully transcribed was carefully counted and recorded for subsequent statistical analysis, providing a quantitative measure of individual handwriting speed capabilities.</w:t>
      </w:r>
      <w:r w:rsidR="00D808CE" w:rsidRPr="00D808CE">
        <w:rPr>
          <w:rFonts w:ascii="Times New Roman" w:hAnsi="Times New Roman" w:cs="Times New Roman"/>
          <w:sz w:val="24"/>
          <w:szCs w:val="24"/>
          <w:vertAlign w:val="superscript"/>
        </w:rPr>
        <w:t>3</w:t>
      </w:r>
    </w:p>
    <w:p w14:paraId="2458C1BB"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Shoulder Endurance Assessment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The Shoulder Endurance Test (SET) was implemented to evaluate the rotational endurance capacity of the shoulder complex using a standardized protocol with specific positioning and resistance parameters. Participants were instructed to stand upright with their back positioned against a wall, barefoot, with the non-tested hand placed at the lumbar spine level (L4-L5) and the contralateral foot positioned forward for stability. The tested arm was positioned in 90° forward flexion while holding a one-meter long Thera-band that was securely fixed at shoulder height on a graduated measurement stick. The test protocol required participants to perform rhythmic pulling movements, transitioning the Thera-band from the starting position of 90° forward flexion to an ending position of 90° external rotation and 90° abduction (90°-90° position) at a cadence controlled by a metronome. Repetitions continued until participant fatigue was evident, indicated by either inability to maintain the prescribed pace or reach the ending position after two verbal cues, or verbal report of inability to continue. Thera-band resistance was standardized according to participant gender, with males using green Thera-bands (2.1 kg resistance) and females using red Thera-bands (1.7 kg resistance). The metronome cadence progressively increased every 20 seconds, beginning at 60 beats per minute and advancing through 90 bpm and 120 bpm stages before reaching a maximum of 150 bpm, which was maintained until test completion.</w:t>
      </w:r>
      <w:r w:rsidR="00D808CE" w:rsidRPr="00D808CE">
        <w:rPr>
          <w:rFonts w:ascii="Times New Roman" w:hAnsi="Times New Roman" w:cs="Times New Roman"/>
          <w:sz w:val="24"/>
          <w:szCs w:val="24"/>
          <w:vertAlign w:val="superscript"/>
        </w:rPr>
        <w:t>5</w:t>
      </w:r>
    </w:p>
    <w:p w14:paraId="7C0CEB63"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Glenohumeral Internal Rotation Measurement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Shoulder internal rotation range of motion was assessed using standardized goniometric techniques to ensure accurate and reproducible measurements. The assessment focused on medial (internal) rotation of the shoulder, which occurs in the transverse plane around a vertical axis in anatomical position and transitions to the sagittal plane around a medial-lateral axis during the testing position. Normal range of motion expectations were established as 70-90° for the shoulder complex and 50-60° specifically for the glenohumeral joint. The measurement protocol positioned participants in supine lying with the shoulder abducted to 90° and the forearm maintained in a vertical position with the palm facing toward the feet. A supportive pad was placed under the humerus to ensure proper alignment with the acromion process, while manual stabilization was provided at the distal humerus and scapular region to prevent compensatory movements that could compromise measurement accuracy. The testing motion involved rotating the shoulder medially by moving the </w:t>
      </w:r>
      <w:r w:rsidRPr="00962F71">
        <w:rPr>
          <w:rFonts w:ascii="Times New Roman" w:hAnsi="Times New Roman" w:cs="Times New Roman"/>
          <w:sz w:val="24"/>
          <w:szCs w:val="24"/>
        </w:rPr>
        <w:lastRenderedPageBreak/>
        <w:t xml:space="preserve">forearm forward while maintaining both shoulder and elbow positions at 90° throughout the entire range of motion. Goniometer alignment followed established protocols with the </w:t>
      </w:r>
      <w:proofErr w:type="spellStart"/>
      <w:r w:rsidRPr="00962F71">
        <w:rPr>
          <w:rFonts w:ascii="Times New Roman" w:hAnsi="Times New Roman" w:cs="Times New Roman"/>
          <w:sz w:val="24"/>
          <w:szCs w:val="24"/>
        </w:rPr>
        <w:t>center</w:t>
      </w:r>
      <w:proofErr w:type="spellEnd"/>
      <w:r w:rsidRPr="00962F71">
        <w:rPr>
          <w:rFonts w:ascii="Times New Roman" w:hAnsi="Times New Roman" w:cs="Times New Roman"/>
          <w:sz w:val="24"/>
          <w:szCs w:val="24"/>
        </w:rPr>
        <w:t xml:space="preserve"> fulcrum positioned over the olecranon process, the proximal arm aligned either perpendicular to or parallel with the floor, and the distal arm aligned with the ulna using the olecranon process and ulnar styloid as anatomical reference points.</w:t>
      </w:r>
      <w:r w:rsidR="00D808CE" w:rsidRPr="00F44AE9">
        <w:rPr>
          <w:rFonts w:ascii="Times New Roman" w:hAnsi="Times New Roman" w:cs="Times New Roman"/>
          <w:sz w:val="24"/>
          <w:szCs w:val="24"/>
          <w:vertAlign w:val="superscript"/>
        </w:rPr>
        <w:t>11</w:t>
      </w:r>
    </w:p>
    <w:p w14:paraId="16AF279C" w14:textId="77777777" w:rsidR="0027680D" w:rsidRDefault="0027680D" w:rsidP="00124189">
      <w:pPr>
        <w:spacing w:line="360" w:lineRule="auto"/>
        <w:ind w:left="-426" w:right="-472"/>
        <w:jc w:val="both"/>
        <w:rPr>
          <w:rFonts w:ascii="Times New Roman" w:hAnsi="Times New Roman" w:cs="Times New Roman"/>
          <w:sz w:val="24"/>
        </w:rPr>
      </w:pPr>
      <w:r w:rsidRPr="00962F71">
        <w:rPr>
          <w:rFonts w:ascii="Times New Roman" w:hAnsi="Times New Roman" w:cs="Times New Roman"/>
          <w:b/>
          <w:sz w:val="24"/>
        </w:rPr>
        <w:t>Statistical Analysis</w:t>
      </w:r>
      <w:r w:rsidR="00962F71" w:rsidRPr="00962F71">
        <w:rPr>
          <w:rFonts w:ascii="Times New Roman" w:hAnsi="Times New Roman" w:cs="Times New Roman"/>
          <w:b/>
          <w:sz w:val="24"/>
        </w:rPr>
        <w:t>:</w:t>
      </w:r>
      <w:r w:rsidR="00962F71" w:rsidRPr="00962F71">
        <w:rPr>
          <w:rFonts w:ascii="Times New Roman" w:hAnsi="Times New Roman" w:cs="Times New Roman"/>
          <w:sz w:val="24"/>
        </w:rPr>
        <w:t xml:space="preserve"> </w:t>
      </w:r>
      <w:r w:rsidRPr="00962F71">
        <w:rPr>
          <w:rFonts w:ascii="Times New Roman" w:hAnsi="Times New Roman" w:cs="Times New Roman"/>
          <w:sz w:val="24"/>
        </w:rPr>
        <w:t>All collected data underwent comprehensive statistical analysis using SPSS version 21.0 software to ensure accurate interpretation of results and appropriate statistical conclusions. Prior to conducting correlation analyses, data normality was assessed using the Kolmogorov-Smirnov test to determine the appropriate statistical approaches for the dataset. Since the data demonstrated normal distribution patterns, all demographic and outcome variables were expressed as means, standard deviations, and percentages to provide comprehensive descriptive statistics. To investigate the primary research objective of determining correlations between shoulder endurance, glenohumeral internal rotation, and writing speed, Pearson correlation coefficient analysis was employed due to the parametric nature of the data. The significance level for all statistical analyses was established at 95% confidence interval with p &lt; 0.05 considered statistically significant, ensuring appropriate statistical rigor in interpreting relationships between the measured variables.</w:t>
      </w:r>
    </w:p>
    <w:p w14:paraId="588F3BD9" w14:textId="77777777" w:rsidR="00657205" w:rsidRDefault="00962F71" w:rsidP="00657205">
      <w:pPr>
        <w:spacing w:line="360" w:lineRule="auto"/>
        <w:ind w:left="-426" w:right="-472"/>
        <w:jc w:val="both"/>
        <w:rPr>
          <w:rFonts w:ascii="Times New Roman" w:hAnsi="Times New Roman" w:cs="Times New Roman"/>
          <w:b/>
          <w:sz w:val="24"/>
        </w:rPr>
      </w:pPr>
      <w:r>
        <w:rPr>
          <w:rFonts w:ascii="Times New Roman" w:hAnsi="Times New Roman" w:cs="Times New Roman"/>
          <w:b/>
          <w:sz w:val="24"/>
        </w:rPr>
        <w:t>RESULTS</w:t>
      </w:r>
    </w:p>
    <w:p w14:paraId="09F7EC2C" w14:textId="77777777" w:rsidR="00657205" w:rsidRPr="00657205" w:rsidRDefault="00657205" w:rsidP="00657205">
      <w:pPr>
        <w:spacing w:line="360" w:lineRule="auto"/>
        <w:ind w:left="-426" w:right="-472"/>
        <w:jc w:val="both"/>
        <w:rPr>
          <w:rFonts w:ascii="Times New Roman" w:hAnsi="Times New Roman" w:cs="Times New Roman"/>
          <w:sz w:val="24"/>
        </w:rPr>
      </w:pPr>
      <w:r w:rsidRPr="00657205">
        <w:rPr>
          <w:rFonts w:ascii="Times New Roman" w:hAnsi="Times New Roman" w:cs="Times New Roman"/>
          <w:sz w:val="24"/>
        </w:rPr>
        <w:t>A total of 100 college students participated (30 males, 70 females) with mean age 19.61 ± 1.79 years. Hand dominance analysis revealed 98% right-handed and 2% left-handed participants</w:t>
      </w:r>
      <w:r w:rsidR="00E43EC0">
        <w:rPr>
          <w:rFonts w:ascii="Times New Roman" w:hAnsi="Times New Roman" w:cs="Times New Roman"/>
          <w:sz w:val="24"/>
        </w:rPr>
        <w:t xml:space="preserve"> (Table 2)</w:t>
      </w:r>
      <w:r w:rsidRPr="00657205">
        <w:rPr>
          <w:rFonts w:ascii="Times New Roman" w:hAnsi="Times New Roman" w:cs="Times New Roman"/>
          <w:sz w:val="24"/>
        </w:rPr>
        <w:t>. Mean writing speed was 25.96 ± 4.84 words per minute, while shoulder endurance averaged 60.65 ± 22.32 seconds. Shoulder internal rotation measurements showed 63.23 ± 5.93 degrees for left shoulders and 62.74 ± 6.08 degrees for right shoulders, with dominant hand internal rotation averaging 62.77 ± 6.10 degrees</w:t>
      </w:r>
      <w:r w:rsidR="00DD3532">
        <w:rPr>
          <w:rFonts w:ascii="Times New Roman" w:hAnsi="Times New Roman" w:cs="Times New Roman"/>
          <w:sz w:val="24"/>
        </w:rPr>
        <w:t xml:space="preserve"> (Table 1)</w:t>
      </w:r>
      <w:r w:rsidRPr="00657205">
        <w:rPr>
          <w:rFonts w:ascii="Times New Roman" w:hAnsi="Times New Roman" w:cs="Times New Roman"/>
          <w:sz w:val="24"/>
        </w:rPr>
        <w:t>.</w:t>
      </w:r>
    </w:p>
    <w:p w14:paraId="072BFC86" w14:textId="77777777" w:rsidR="00657205" w:rsidRPr="00657205" w:rsidRDefault="00657205" w:rsidP="00657205">
      <w:pPr>
        <w:spacing w:line="360" w:lineRule="auto"/>
        <w:ind w:left="-426" w:right="-472"/>
        <w:jc w:val="both"/>
        <w:rPr>
          <w:rFonts w:ascii="Times New Roman" w:hAnsi="Times New Roman" w:cs="Times New Roman"/>
          <w:b/>
          <w:sz w:val="24"/>
        </w:rPr>
      </w:pPr>
      <w:r w:rsidRPr="00657205">
        <w:rPr>
          <w:rFonts w:ascii="Times New Roman" w:hAnsi="Times New Roman" w:cs="Times New Roman"/>
          <w:sz w:val="24"/>
        </w:rPr>
        <w:t>Pearson correlation analysis revealed statistically significant positive relationships between writing speed and both shoulder parameters</w:t>
      </w:r>
      <w:r w:rsidR="00E43EC0">
        <w:rPr>
          <w:rFonts w:ascii="Times New Roman" w:hAnsi="Times New Roman" w:cs="Times New Roman"/>
          <w:sz w:val="24"/>
        </w:rPr>
        <w:t xml:space="preserve"> (Table 3)</w:t>
      </w:r>
      <w:r w:rsidRPr="00657205">
        <w:rPr>
          <w:rFonts w:ascii="Times New Roman" w:hAnsi="Times New Roman" w:cs="Times New Roman"/>
          <w:sz w:val="24"/>
        </w:rPr>
        <w:t>. Writing speed demonstrated a weak positive correlation with shoulder endurance (r = 0.248, p = 0.013) and a moderate positive correlation with dominant hand internal rotation (r = 0.366, p = 0.010). These findings indicate that participants with greater shoulder endurance and superior internal rotation range of motion consistently achieved higher handwriting speeds, establishing significant relationships between proximal shoulder function and fine motor writing performance</w:t>
      </w:r>
      <w:r w:rsidR="00E43EC0">
        <w:rPr>
          <w:rFonts w:ascii="Times New Roman" w:hAnsi="Times New Roman" w:cs="Times New Roman"/>
          <w:sz w:val="24"/>
        </w:rPr>
        <w:t xml:space="preserve"> (Figure 1)</w:t>
      </w:r>
      <w:r>
        <w:t>.</w:t>
      </w:r>
    </w:p>
    <w:tbl>
      <w:tblPr>
        <w:tblStyle w:val="TableGrid"/>
        <w:tblW w:w="0" w:type="auto"/>
        <w:jc w:val="center"/>
        <w:tblLook w:val="04A0" w:firstRow="1" w:lastRow="0" w:firstColumn="1" w:lastColumn="0" w:noHBand="0" w:noVBand="1"/>
      </w:tblPr>
      <w:tblGrid>
        <w:gridCol w:w="2548"/>
        <w:gridCol w:w="1960"/>
        <w:gridCol w:w="4508"/>
      </w:tblGrid>
      <w:tr w:rsidR="00657205" w14:paraId="2C99D34D" w14:textId="77777777" w:rsidTr="00A77C34">
        <w:trPr>
          <w:jc w:val="center"/>
        </w:trPr>
        <w:tc>
          <w:tcPr>
            <w:tcW w:w="4508" w:type="dxa"/>
            <w:gridSpan w:val="2"/>
            <w:vAlign w:val="center"/>
          </w:tcPr>
          <w:p w14:paraId="3D835E6C" w14:textId="77777777" w:rsidR="00657205" w:rsidRDefault="00657205" w:rsidP="00A77C34">
            <w:pPr>
              <w:ind w:right="-472"/>
              <w:jc w:val="center"/>
              <w:rPr>
                <w:rFonts w:ascii="Times New Roman" w:hAnsi="Times New Roman" w:cs="Times New Roman"/>
                <w:b/>
                <w:sz w:val="24"/>
              </w:rPr>
            </w:pPr>
            <w:r>
              <w:rPr>
                <w:rFonts w:ascii="Times New Roman" w:hAnsi="Times New Roman" w:cs="Times New Roman"/>
                <w:b/>
                <w:sz w:val="24"/>
              </w:rPr>
              <w:t>Variables</w:t>
            </w:r>
          </w:p>
        </w:tc>
        <w:tc>
          <w:tcPr>
            <w:tcW w:w="4508" w:type="dxa"/>
            <w:vAlign w:val="center"/>
          </w:tcPr>
          <w:p w14:paraId="73CA227C" w14:textId="77777777" w:rsidR="00657205" w:rsidRDefault="00657205" w:rsidP="00A77C34">
            <w:pPr>
              <w:ind w:right="-472"/>
              <w:jc w:val="center"/>
              <w:rPr>
                <w:rFonts w:ascii="Times New Roman" w:hAnsi="Times New Roman" w:cs="Times New Roman"/>
                <w:b/>
                <w:sz w:val="24"/>
              </w:rPr>
            </w:pPr>
            <w:r>
              <w:rPr>
                <w:rFonts w:ascii="Times New Roman" w:hAnsi="Times New Roman" w:cs="Times New Roman"/>
                <w:b/>
                <w:sz w:val="24"/>
              </w:rPr>
              <w:t>Mean ± SD</w:t>
            </w:r>
          </w:p>
        </w:tc>
      </w:tr>
      <w:tr w:rsidR="00657205" w14:paraId="3834E000" w14:textId="77777777" w:rsidTr="00A77C34">
        <w:trPr>
          <w:jc w:val="center"/>
        </w:trPr>
        <w:tc>
          <w:tcPr>
            <w:tcW w:w="4508" w:type="dxa"/>
            <w:gridSpan w:val="2"/>
            <w:vAlign w:val="center"/>
          </w:tcPr>
          <w:p w14:paraId="244C0C50"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Age (Years)</w:t>
            </w:r>
          </w:p>
        </w:tc>
        <w:tc>
          <w:tcPr>
            <w:tcW w:w="4508" w:type="dxa"/>
            <w:vAlign w:val="center"/>
          </w:tcPr>
          <w:p w14:paraId="14811CA7"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19.61 ± 1.79</w:t>
            </w:r>
          </w:p>
        </w:tc>
      </w:tr>
      <w:tr w:rsidR="00657205" w14:paraId="210FF1B3" w14:textId="77777777" w:rsidTr="00A77C34">
        <w:trPr>
          <w:jc w:val="center"/>
        </w:trPr>
        <w:tc>
          <w:tcPr>
            <w:tcW w:w="4508" w:type="dxa"/>
            <w:gridSpan w:val="2"/>
            <w:vAlign w:val="center"/>
          </w:tcPr>
          <w:p w14:paraId="5F8235B7"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lastRenderedPageBreak/>
              <w:t>Height (cm)</w:t>
            </w:r>
          </w:p>
        </w:tc>
        <w:tc>
          <w:tcPr>
            <w:tcW w:w="4508" w:type="dxa"/>
            <w:vAlign w:val="center"/>
          </w:tcPr>
          <w:p w14:paraId="2153A5E4"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162.24 ± 9.18</w:t>
            </w:r>
          </w:p>
        </w:tc>
      </w:tr>
      <w:tr w:rsidR="00657205" w14:paraId="448F0532" w14:textId="77777777" w:rsidTr="00A77C34">
        <w:trPr>
          <w:jc w:val="center"/>
        </w:trPr>
        <w:tc>
          <w:tcPr>
            <w:tcW w:w="4508" w:type="dxa"/>
            <w:gridSpan w:val="2"/>
            <w:vAlign w:val="center"/>
          </w:tcPr>
          <w:p w14:paraId="7BB819A5"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Weight (Kg)</w:t>
            </w:r>
          </w:p>
        </w:tc>
        <w:tc>
          <w:tcPr>
            <w:tcW w:w="4508" w:type="dxa"/>
            <w:vAlign w:val="center"/>
          </w:tcPr>
          <w:p w14:paraId="60BCC2EE"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54.52 ± 12.67</w:t>
            </w:r>
          </w:p>
        </w:tc>
      </w:tr>
      <w:tr w:rsidR="00657205" w14:paraId="48882DC2" w14:textId="77777777" w:rsidTr="00A77C34">
        <w:trPr>
          <w:jc w:val="center"/>
        </w:trPr>
        <w:tc>
          <w:tcPr>
            <w:tcW w:w="4508" w:type="dxa"/>
            <w:gridSpan w:val="2"/>
            <w:vAlign w:val="center"/>
          </w:tcPr>
          <w:p w14:paraId="3DC715BF"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Writing Speed (words/min)</w:t>
            </w:r>
          </w:p>
        </w:tc>
        <w:tc>
          <w:tcPr>
            <w:tcW w:w="4508" w:type="dxa"/>
            <w:vAlign w:val="center"/>
          </w:tcPr>
          <w:p w14:paraId="199A1E46"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25.96 ± 4.84</w:t>
            </w:r>
          </w:p>
        </w:tc>
      </w:tr>
      <w:tr w:rsidR="00657205" w14:paraId="41DE7BFA" w14:textId="77777777" w:rsidTr="00A77C34">
        <w:trPr>
          <w:jc w:val="center"/>
        </w:trPr>
        <w:tc>
          <w:tcPr>
            <w:tcW w:w="4508" w:type="dxa"/>
            <w:gridSpan w:val="2"/>
            <w:vAlign w:val="center"/>
          </w:tcPr>
          <w:p w14:paraId="2B504C83" w14:textId="77777777" w:rsidR="00657205"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Shoulder Endurance Test (sec)</w:t>
            </w:r>
          </w:p>
        </w:tc>
        <w:tc>
          <w:tcPr>
            <w:tcW w:w="4508" w:type="dxa"/>
            <w:vAlign w:val="center"/>
          </w:tcPr>
          <w:p w14:paraId="4293F9AF"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60.65 ± 22.32</w:t>
            </w:r>
          </w:p>
        </w:tc>
      </w:tr>
      <w:tr w:rsidR="00A77C34" w14:paraId="744AB4AA" w14:textId="77777777" w:rsidTr="00A77C34">
        <w:trPr>
          <w:jc w:val="center"/>
        </w:trPr>
        <w:tc>
          <w:tcPr>
            <w:tcW w:w="2548" w:type="dxa"/>
            <w:vMerge w:val="restart"/>
            <w:vAlign w:val="center"/>
          </w:tcPr>
          <w:p w14:paraId="0F46F1A7"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Shoulder Internal</w:t>
            </w:r>
          </w:p>
          <w:p w14:paraId="2FB14040"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Rotation (Degree)</w:t>
            </w:r>
          </w:p>
        </w:tc>
        <w:tc>
          <w:tcPr>
            <w:tcW w:w="1960" w:type="dxa"/>
            <w:vAlign w:val="center"/>
          </w:tcPr>
          <w:p w14:paraId="3DFAB403"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Left</w:t>
            </w:r>
          </w:p>
        </w:tc>
        <w:tc>
          <w:tcPr>
            <w:tcW w:w="4508" w:type="dxa"/>
            <w:vAlign w:val="center"/>
          </w:tcPr>
          <w:p w14:paraId="55D8ABFC"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63.23 ± 5.93</w:t>
            </w:r>
          </w:p>
        </w:tc>
      </w:tr>
      <w:tr w:rsidR="00A77C34" w14:paraId="6C969359" w14:textId="77777777" w:rsidTr="00A77C34">
        <w:trPr>
          <w:jc w:val="center"/>
        </w:trPr>
        <w:tc>
          <w:tcPr>
            <w:tcW w:w="2548" w:type="dxa"/>
            <w:vMerge/>
            <w:vAlign w:val="center"/>
          </w:tcPr>
          <w:p w14:paraId="7101E0F4" w14:textId="77777777" w:rsidR="00A77C34" w:rsidRPr="00A77C34" w:rsidRDefault="00A77C34" w:rsidP="00A77C34">
            <w:pPr>
              <w:ind w:right="-472"/>
              <w:jc w:val="center"/>
              <w:rPr>
                <w:rFonts w:ascii="Times New Roman" w:hAnsi="Times New Roman" w:cs="Times New Roman"/>
                <w:sz w:val="24"/>
              </w:rPr>
            </w:pPr>
          </w:p>
        </w:tc>
        <w:tc>
          <w:tcPr>
            <w:tcW w:w="1960" w:type="dxa"/>
            <w:vAlign w:val="center"/>
          </w:tcPr>
          <w:p w14:paraId="701FF2F0"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Right</w:t>
            </w:r>
          </w:p>
        </w:tc>
        <w:tc>
          <w:tcPr>
            <w:tcW w:w="4508" w:type="dxa"/>
            <w:vAlign w:val="center"/>
          </w:tcPr>
          <w:p w14:paraId="14B7DC99"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62.74 ± 6.08</w:t>
            </w:r>
          </w:p>
        </w:tc>
      </w:tr>
      <w:tr w:rsidR="00657205" w14:paraId="74B1FFDE" w14:textId="77777777" w:rsidTr="00A77C34">
        <w:trPr>
          <w:jc w:val="center"/>
        </w:trPr>
        <w:tc>
          <w:tcPr>
            <w:tcW w:w="4508" w:type="dxa"/>
            <w:gridSpan w:val="2"/>
            <w:vAlign w:val="center"/>
          </w:tcPr>
          <w:p w14:paraId="679FBF41"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Dominant Shoulder Internal Rotation</w:t>
            </w:r>
          </w:p>
          <w:p w14:paraId="76791F9D" w14:textId="77777777" w:rsidR="00657205"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(Degree)</w:t>
            </w:r>
          </w:p>
        </w:tc>
        <w:tc>
          <w:tcPr>
            <w:tcW w:w="4508" w:type="dxa"/>
            <w:vAlign w:val="center"/>
          </w:tcPr>
          <w:p w14:paraId="1FBEC5AB" w14:textId="77777777" w:rsidR="00657205" w:rsidRPr="00A77C34" w:rsidRDefault="00657205" w:rsidP="00A77C34">
            <w:pPr>
              <w:keepNext/>
              <w:ind w:right="-472"/>
              <w:jc w:val="center"/>
              <w:rPr>
                <w:rFonts w:ascii="Times New Roman" w:hAnsi="Times New Roman" w:cs="Times New Roman"/>
                <w:sz w:val="24"/>
              </w:rPr>
            </w:pPr>
            <w:r w:rsidRPr="00A77C34">
              <w:rPr>
                <w:rFonts w:ascii="Times New Roman" w:hAnsi="Times New Roman" w:cs="Times New Roman"/>
                <w:sz w:val="24"/>
              </w:rPr>
              <w:t>62.77 ± 6.10</w:t>
            </w:r>
          </w:p>
        </w:tc>
      </w:tr>
    </w:tbl>
    <w:p w14:paraId="6BB1E42D" w14:textId="77777777" w:rsidR="00DC1783" w:rsidRDefault="00A77C34" w:rsidP="00A77C34">
      <w:pPr>
        <w:pStyle w:val="Caption"/>
        <w:jc w:val="center"/>
      </w:pPr>
      <w:r>
        <w:t xml:space="preserve">Table </w:t>
      </w:r>
      <w:r w:rsidR="0032786E">
        <w:fldChar w:fldCharType="begin"/>
      </w:r>
      <w:r w:rsidR="0032786E">
        <w:instrText xml:space="preserve"> SEQ Table \* ARABIC </w:instrText>
      </w:r>
      <w:r w:rsidR="0032786E">
        <w:fldChar w:fldCharType="separate"/>
      </w:r>
      <w:r w:rsidR="00DD3532">
        <w:rPr>
          <w:noProof/>
        </w:rPr>
        <w:t>1</w:t>
      </w:r>
      <w:r w:rsidR="0032786E">
        <w:rPr>
          <w:noProof/>
        </w:rPr>
        <w:fldChar w:fldCharType="end"/>
      </w:r>
      <w:r>
        <w:t>: Demographic data of the study sample</w:t>
      </w:r>
    </w:p>
    <w:tbl>
      <w:tblPr>
        <w:tblStyle w:val="TableGrid"/>
        <w:tblW w:w="0" w:type="auto"/>
        <w:jc w:val="center"/>
        <w:tblLook w:val="04A0" w:firstRow="1" w:lastRow="0" w:firstColumn="1" w:lastColumn="0" w:noHBand="0" w:noVBand="1"/>
      </w:tblPr>
      <w:tblGrid>
        <w:gridCol w:w="2159"/>
        <w:gridCol w:w="1522"/>
        <w:gridCol w:w="3118"/>
      </w:tblGrid>
      <w:tr w:rsidR="00A77C34" w14:paraId="796B6C92" w14:textId="77777777" w:rsidTr="00DD3532">
        <w:trPr>
          <w:jc w:val="center"/>
        </w:trPr>
        <w:tc>
          <w:tcPr>
            <w:tcW w:w="3681" w:type="dxa"/>
            <w:gridSpan w:val="2"/>
            <w:vAlign w:val="center"/>
          </w:tcPr>
          <w:p w14:paraId="228B8E5B" w14:textId="77777777" w:rsidR="00A77C34" w:rsidRPr="00DD3532" w:rsidRDefault="00A77C34" w:rsidP="00DD3532">
            <w:pPr>
              <w:jc w:val="center"/>
              <w:rPr>
                <w:rFonts w:ascii="Times New Roman" w:hAnsi="Times New Roman" w:cs="Times New Roman"/>
                <w:b/>
                <w:sz w:val="24"/>
                <w:szCs w:val="24"/>
              </w:rPr>
            </w:pPr>
            <w:r w:rsidRPr="00DD3532">
              <w:rPr>
                <w:rFonts w:ascii="Times New Roman" w:hAnsi="Times New Roman" w:cs="Times New Roman"/>
                <w:b/>
                <w:sz w:val="24"/>
                <w:szCs w:val="24"/>
              </w:rPr>
              <w:t>Variables</w:t>
            </w:r>
          </w:p>
        </w:tc>
        <w:tc>
          <w:tcPr>
            <w:tcW w:w="3118" w:type="dxa"/>
            <w:vAlign w:val="center"/>
          </w:tcPr>
          <w:p w14:paraId="5EE10436" w14:textId="77777777" w:rsidR="00A77C34" w:rsidRPr="00DD3532" w:rsidRDefault="00A77C34" w:rsidP="00DD3532">
            <w:pPr>
              <w:jc w:val="center"/>
              <w:rPr>
                <w:rFonts w:ascii="Times New Roman" w:hAnsi="Times New Roman" w:cs="Times New Roman"/>
                <w:b/>
                <w:sz w:val="24"/>
                <w:szCs w:val="24"/>
              </w:rPr>
            </w:pPr>
            <w:r w:rsidRPr="00DD3532">
              <w:rPr>
                <w:rFonts w:ascii="Times New Roman" w:hAnsi="Times New Roman" w:cs="Times New Roman"/>
                <w:b/>
                <w:sz w:val="24"/>
                <w:szCs w:val="24"/>
              </w:rPr>
              <w:t>Frequency (%)</w:t>
            </w:r>
          </w:p>
        </w:tc>
      </w:tr>
      <w:tr w:rsidR="00A77C34" w14:paraId="3BEA8C2A" w14:textId="77777777" w:rsidTr="00DD3532">
        <w:trPr>
          <w:jc w:val="center"/>
        </w:trPr>
        <w:tc>
          <w:tcPr>
            <w:tcW w:w="2159" w:type="dxa"/>
            <w:vMerge w:val="restart"/>
            <w:vAlign w:val="center"/>
          </w:tcPr>
          <w:p w14:paraId="29311EE4"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Gender</w:t>
            </w:r>
          </w:p>
        </w:tc>
        <w:tc>
          <w:tcPr>
            <w:tcW w:w="1522" w:type="dxa"/>
            <w:vAlign w:val="center"/>
          </w:tcPr>
          <w:p w14:paraId="5C7AE26C"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Male</w:t>
            </w:r>
          </w:p>
        </w:tc>
        <w:tc>
          <w:tcPr>
            <w:tcW w:w="3118" w:type="dxa"/>
            <w:vAlign w:val="center"/>
          </w:tcPr>
          <w:p w14:paraId="714D4204" w14:textId="77777777" w:rsidR="00A77C34" w:rsidRDefault="00DD3532" w:rsidP="00DD3532">
            <w:pPr>
              <w:jc w:val="center"/>
              <w:rPr>
                <w:rFonts w:ascii="Times New Roman" w:hAnsi="Times New Roman" w:cs="Times New Roman"/>
                <w:sz w:val="24"/>
                <w:szCs w:val="24"/>
              </w:rPr>
            </w:pPr>
            <w:r>
              <w:rPr>
                <w:rFonts w:ascii="Times New Roman" w:hAnsi="Times New Roman" w:cs="Times New Roman"/>
                <w:sz w:val="24"/>
                <w:szCs w:val="24"/>
              </w:rPr>
              <w:t>30 (30%)</w:t>
            </w:r>
          </w:p>
        </w:tc>
      </w:tr>
      <w:tr w:rsidR="00A77C34" w14:paraId="61B7A23B" w14:textId="77777777" w:rsidTr="00DD3532">
        <w:trPr>
          <w:jc w:val="center"/>
        </w:trPr>
        <w:tc>
          <w:tcPr>
            <w:tcW w:w="2159" w:type="dxa"/>
            <w:vMerge/>
            <w:vAlign w:val="center"/>
          </w:tcPr>
          <w:p w14:paraId="300FF2B6" w14:textId="77777777" w:rsidR="00A77C34" w:rsidRDefault="00A77C34" w:rsidP="00DD3532">
            <w:pPr>
              <w:jc w:val="center"/>
              <w:rPr>
                <w:rFonts w:ascii="Times New Roman" w:hAnsi="Times New Roman" w:cs="Times New Roman"/>
                <w:sz w:val="24"/>
                <w:szCs w:val="24"/>
              </w:rPr>
            </w:pPr>
          </w:p>
        </w:tc>
        <w:tc>
          <w:tcPr>
            <w:tcW w:w="1522" w:type="dxa"/>
            <w:vAlign w:val="center"/>
          </w:tcPr>
          <w:p w14:paraId="6EDF0695"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Female</w:t>
            </w:r>
          </w:p>
        </w:tc>
        <w:tc>
          <w:tcPr>
            <w:tcW w:w="3118" w:type="dxa"/>
            <w:vAlign w:val="center"/>
          </w:tcPr>
          <w:p w14:paraId="7D0C737E" w14:textId="77777777" w:rsidR="00A77C34" w:rsidRDefault="00DD3532" w:rsidP="00DD3532">
            <w:pPr>
              <w:jc w:val="center"/>
              <w:rPr>
                <w:rFonts w:ascii="Times New Roman" w:hAnsi="Times New Roman" w:cs="Times New Roman"/>
                <w:sz w:val="24"/>
                <w:szCs w:val="24"/>
              </w:rPr>
            </w:pPr>
            <w:r>
              <w:rPr>
                <w:rFonts w:ascii="Times New Roman" w:hAnsi="Times New Roman" w:cs="Times New Roman"/>
                <w:sz w:val="24"/>
                <w:szCs w:val="24"/>
              </w:rPr>
              <w:t>70 (70%)</w:t>
            </w:r>
          </w:p>
        </w:tc>
      </w:tr>
      <w:tr w:rsidR="00A77C34" w14:paraId="074271CC" w14:textId="77777777" w:rsidTr="00DD3532">
        <w:trPr>
          <w:jc w:val="center"/>
        </w:trPr>
        <w:tc>
          <w:tcPr>
            <w:tcW w:w="2159" w:type="dxa"/>
            <w:vMerge w:val="restart"/>
            <w:vAlign w:val="center"/>
          </w:tcPr>
          <w:p w14:paraId="5CD79C34"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Hand Dominance</w:t>
            </w:r>
          </w:p>
        </w:tc>
        <w:tc>
          <w:tcPr>
            <w:tcW w:w="1522" w:type="dxa"/>
            <w:vAlign w:val="center"/>
          </w:tcPr>
          <w:p w14:paraId="569070DF"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Right</w:t>
            </w:r>
          </w:p>
        </w:tc>
        <w:tc>
          <w:tcPr>
            <w:tcW w:w="3118" w:type="dxa"/>
            <w:vAlign w:val="center"/>
          </w:tcPr>
          <w:p w14:paraId="7E47101F" w14:textId="77777777" w:rsidR="00A77C34" w:rsidRDefault="00DD3532" w:rsidP="00DD3532">
            <w:pPr>
              <w:jc w:val="center"/>
              <w:rPr>
                <w:rFonts w:ascii="Times New Roman" w:hAnsi="Times New Roman" w:cs="Times New Roman"/>
                <w:sz w:val="24"/>
                <w:szCs w:val="24"/>
              </w:rPr>
            </w:pPr>
            <w:r>
              <w:rPr>
                <w:rFonts w:ascii="Times New Roman" w:hAnsi="Times New Roman" w:cs="Times New Roman"/>
                <w:sz w:val="24"/>
                <w:szCs w:val="24"/>
              </w:rPr>
              <w:t>98 (98%)</w:t>
            </w:r>
          </w:p>
        </w:tc>
      </w:tr>
      <w:tr w:rsidR="00A77C34" w14:paraId="1F087D41" w14:textId="77777777" w:rsidTr="00DD3532">
        <w:trPr>
          <w:jc w:val="center"/>
        </w:trPr>
        <w:tc>
          <w:tcPr>
            <w:tcW w:w="2159" w:type="dxa"/>
            <w:vMerge/>
            <w:vAlign w:val="center"/>
          </w:tcPr>
          <w:p w14:paraId="1B144E64" w14:textId="77777777" w:rsidR="00A77C34" w:rsidRDefault="00A77C34" w:rsidP="00DD3532">
            <w:pPr>
              <w:jc w:val="center"/>
              <w:rPr>
                <w:rFonts w:ascii="Times New Roman" w:hAnsi="Times New Roman" w:cs="Times New Roman"/>
                <w:sz w:val="24"/>
                <w:szCs w:val="24"/>
              </w:rPr>
            </w:pPr>
          </w:p>
        </w:tc>
        <w:tc>
          <w:tcPr>
            <w:tcW w:w="1522" w:type="dxa"/>
            <w:vAlign w:val="center"/>
          </w:tcPr>
          <w:p w14:paraId="75101D67"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Left</w:t>
            </w:r>
          </w:p>
        </w:tc>
        <w:tc>
          <w:tcPr>
            <w:tcW w:w="3118" w:type="dxa"/>
            <w:vAlign w:val="center"/>
          </w:tcPr>
          <w:p w14:paraId="0644F8C6" w14:textId="77777777" w:rsidR="00A77C34" w:rsidRDefault="00DD3532" w:rsidP="00DD3532">
            <w:pPr>
              <w:keepNext/>
              <w:jc w:val="center"/>
              <w:rPr>
                <w:rFonts w:ascii="Times New Roman" w:hAnsi="Times New Roman" w:cs="Times New Roman"/>
                <w:sz w:val="24"/>
                <w:szCs w:val="24"/>
              </w:rPr>
            </w:pPr>
            <w:r>
              <w:rPr>
                <w:rFonts w:ascii="Times New Roman" w:hAnsi="Times New Roman" w:cs="Times New Roman"/>
                <w:sz w:val="24"/>
                <w:szCs w:val="24"/>
              </w:rPr>
              <w:t>2 (2%)</w:t>
            </w:r>
          </w:p>
        </w:tc>
      </w:tr>
    </w:tbl>
    <w:p w14:paraId="23B9D85E" w14:textId="77777777" w:rsidR="00A77C34" w:rsidRDefault="00DD3532" w:rsidP="00DD3532">
      <w:pPr>
        <w:pStyle w:val="Caption"/>
        <w:jc w:val="center"/>
      </w:pPr>
      <w:r>
        <w:t xml:space="preserve">Table </w:t>
      </w:r>
      <w:r w:rsidR="0032786E">
        <w:fldChar w:fldCharType="begin"/>
      </w:r>
      <w:r w:rsidR="0032786E">
        <w:instrText xml:space="preserve"> SEQ Table \* ARABIC </w:instrText>
      </w:r>
      <w:r w:rsidR="0032786E">
        <w:fldChar w:fldCharType="separate"/>
      </w:r>
      <w:r>
        <w:rPr>
          <w:noProof/>
        </w:rPr>
        <w:t>2</w:t>
      </w:r>
      <w:r w:rsidR="0032786E">
        <w:rPr>
          <w:noProof/>
        </w:rPr>
        <w:fldChar w:fldCharType="end"/>
      </w:r>
      <w:r>
        <w:t>: F</w:t>
      </w:r>
      <w:r w:rsidRPr="00460087">
        <w:t>requency distribution table of participants’ gender and hand dominance</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DD3532" w:rsidRPr="00DD3532" w14:paraId="6FBB42FC" w14:textId="77777777" w:rsidTr="00DD3532">
        <w:trPr>
          <w:jc w:val="center"/>
        </w:trPr>
        <w:tc>
          <w:tcPr>
            <w:tcW w:w="1803" w:type="dxa"/>
            <w:vAlign w:val="center"/>
          </w:tcPr>
          <w:p w14:paraId="2BAE5901" w14:textId="77777777" w:rsidR="00DD3532" w:rsidRPr="00DD3532" w:rsidRDefault="00DD3532" w:rsidP="00DD3532">
            <w:pPr>
              <w:jc w:val="center"/>
              <w:rPr>
                <w:rFonts w:ascii="Times New Roman" w:hAnsi="Times New Roman" w:cs="Times New Roman"/>
                <w:b/>
                <w:sz w:val="24"/>
                <w:szCs w:val="24"/>
              </w:rPr>
            </w:pPr>
            <w:r w:rsidRPr="00DD3532">
              <w:rPr>
                <w:rFonts w:ascii="Times New Roman" w:hAnsi="Times New Roman" w:cs="Times New Roman"/>
                <w:b/>
                <w:sz w:val="24"/>
                <w:szCs w:val="24"/>
              </w:rPr>
              <w:t>Pearson Correlation</w:t>
            </w:r>
          </w:p>
        </w:tc>
        <w:tc>
          <w:tcPr>
            <w:tcW w:w="3606" w:type="dxa"/>
            <w:gridSpan w:val="2"/>
            <w:vAlign w:val="center"/>
          </w:tcPr>
          <w:p w14:paraId="5A994072" w14:textId="77777777" w:rsidR="00DD3532" w:rsidRPr="00DD3532" w:rsidRDefault="00DD3532" w:rsidP="00DD3532">
            <w:pPr>
              <w:jc w:val="center"/>
              <w:rPr>
                <w:rFonts w:ascii="Times New Roman" w:hAnsi="Times New Roman" w:cs="Times New Roman"/>
                <w:b/>
              </w:rPr>
            </w:pPr>
            <w:r w:rsidRPr="00DD3532">
              <w:rPr>
                <w:rFonts w:ascii="Times New Roman" w:hAnsi="Times New Roman" w:cs="Times New Roman"/>
                <w:b/>
              </w:rPr>
              <w:t>Shoulder Endurance</w:t>
            </w:r>
          </w:p>
        </w:tc>
        <w:tc>
          <w:tcPr>
            <w:tcW w:w="3607" w:type="dxa"/>
            <w:gridSpan w:val="2"/>
            <w:vAlign w:val="center"/>
          </w:tcPr>
          <w:p w14:paraId="444A4163" w14:textId="77777777" w:rsidR="00DD3532" w:rsidRPr="00DD3532" w:rsidRDefault="00DD3532" w:rsidP="00DD3532">
            <w:pPr>
              <w:jc w:val="center"/>
              <w:rPr>
                <w:rFonts w:ascii="Times New Roman" w:hAnsi="Times New Roman" w:cs="Times New Roman"/>
                <w:b/>
              </w:rPr>
            </w:pPr>
            <w:r w:rsidRPr="00DD3532">
              <w:rPr>
                <w:rFonts w:ascii="Times New Roman" w:hAnsi="Times New Roman" w:cs="Times New Roman"/>
                <w:b/>
              </w:rPr>
              <w:t>Dominant Side Shoulder Internal Rotation</w:t>
            </w:r>
          </w:p>
        </w:tc>
      </w:tr>
      <w:tr w:rsidR="00DD3532" w:rsidRPr="00DD3532" w14:paraId="60D9BBB3" w14:textId="77777777" w:rsidTr="00DD3532">
        <w:trPr>
          <w:jc w:val="center"/>
        </w:trPr>
        <w:tc>
          <w:tcPr>
            <w:tcW w:w="1803" w:type="dxa"/>
            <w:vMerge w:val="restart"/>
            <w:vAlign w:val="center"/>
          </w:tcPr>
          <w:p w14:paraId="7E05BD72"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Writing Speed</w:t>
            </w:r>
          </w:p>
        </w:tc>
        <w:tc>
          <w:tcPr>
            <w:tcW w:w="1803" w:type="dxa"/>
            <w:vAlign w:val="center"/>
          </w:tcPr>
          <w:p w14:paraId="3D41C104"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r Value</w:t>
            </w:r>
          </w:p>
        </w:tc>
        <w:tc>
          <w:tcPr>
            <w:tcW w:w="1803" w:type="dxa"/>
            <w:vAlign w:val="center"/>
          </w:tcPr>
          <w:p w14:paraId="1E968102"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Sig. (2-tailed)</w:t>
            </w:r>
          </w:p>
        </w:tc>
        <w:tc>
          <w:tcPr>
            <w:tcW w:w="1803" w:type="dxa"/>
            <w:vAlign w:val="center"/>
          </w:tcPr>
          <w:p w14:paraId="0EDFF94E"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r Value</w:t>
            </w:r>
          </w:p>
        </w:tc>
        <w:tc>
          <w:tcPr>
            <w:tcW w:w="1804" w:type="dxa"/>
            <w:vAlign w:val="center"/>
          </w:tcPr>
          <w:p w14:paraId="416BD511"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Sig. (2-tailed)</w:t>
            </w:r>
          </w:p>
        </w:tc>
      </w:tr>
      <w:tr w:rsidR="00DD3532" w:rsidRPr="00DD3532" w14:paraId="0EA16051" w14:textId="77777777" w:rsidTr="00DD3532">
        <w:trPr>
          <w:jc w:val="center"/>
        </w:trPr>
        <w:tc>
          <w:tcPr>
            <w:tcW w:w="1803" w:type="dxa"/>
            <w:vMerge/>
            <w:vAlign w:val="center"/>
          </w:tcPr>
          <w:p w14:paraId="1C02A9A8" w14:textId="77777777" w:rsidR="00DD3532" w:rsidRPr="00DD3532" w:rsidRDefault="00DD3532" w:rsidP="00DD3532">
            <w:pPr>
              <w:jc w:val="center"/>
              <w:rPr>
                <w:rFonts w:ascii="Times New Roman" w:hAnsi="Times New Roman" w:cs="Times New Roman"/>
              </w:rPr>
            </w:pPr>
          </w:p>
        </w:tc>
        <w:tc>
          <w:tcPr>
            <w:tcW w:w="1803" w:type="dxa"/>
            <w:vAlign w:val="center"/>
          </w:tcPr>
          <w:p w14:paraId="2D334D87"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0.248</w:t>
            </w:r>
          </w:p>
        </w:tc>
        <w:tc>
          <w:tcPr>
            <w:tcW w:w="1803" w:type="dxa"/>
            <w:vAlign w:val="center"/>
          </w:tcPr>
          <w:p w14:paraId="2431F010"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0.013*</w:t>
            </w:r>
          </w:p>
        </w:tc>
        <w:tc>
          <w:tcPr>
            <w:tcW w:w="1803" w:type="dxa"/>
            <w:vAlign w:val="center"/>
          </w:tcPr>
          <w:p w14:paraId="2AD35C3F"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0.366</w:t>
            </w:r>
          </w:p>
        </w:tc>
        <w:tc>
          <w:tcPr>
            <w:tcW w:w="1804" w:type="dxa"/>
            <w:vAlign w:val="center"/>
          </w:tcPr>
          <w:p w14:paraId="0986ACD7"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0.010*</w:t>
            </w:r>
          </w:p>
        </w:tc>
      </w:tr>
      <w:tr w:rsidR="00DD3532" w:rsidRPr="00DD3532" w14:paraId="6484C277" w14:textId="77777777" w:rsidTr="00DD3532">
        <w:trPr>
          <w:jc w:val="center"/>
        </w:trPr>
        <w:tc>
          <w:tcPr>
            <w:tcW w:w="9016" w:type="dxa"/>
            <w:gridSpan w:val="5"/>
            <w:vAlign w:val="center"/>
          </w:tcPr>
          <w:p w14:paraId="5FF8BD58" w14:textId="77777777" w:rsidR="00DD3532" w:rsidRPr="00DD3532" w:rsidRDefault="00DD3532" w:rsidP="00DD3532">
            <w:pPr>
              <w:keepNext/>
              <w:jc w:val="center"/>
              <w:rPr>
                <w:rFonts w:ascii="Times New Roman" w:hAnsi="Times New Roman" w:cs="Times New Roman"/>
              </w:rPr>
            </w:pPr>
            <w:r>
              <w:rPr>
                <w:rFonts w:ascii="Times New Roman" w:hAnsi="Times New Roman" w:cs="Times New Roman"/>
              </w:rPr>
              <w:t>*Statistically significant positive correlation</w:t>
            </w:r>
          </w:p>
        </w:tc>
      </w:tr>
    </w:tbl>
    <w:p w14:paraId="542545D7" w14:textId="77777777" w:rsidR="00DD3532" w:rsidRDefault="00DD3532" w:rsidP="00DD3532">
      <w:pPr>
        <w:pStyle w:val="Caption"/>
        <w:jc w:val="center"/>
      </w:pPr>
      <w:r>
        <w:t xml:space="preserve">Table </w:t>
      </w:r>
      <w:r w:rsidR="0032786E">
        <w:fldChar w:fldCharType="begin"/>
      </w:r>
      <w:r w:rsidR="0032786E">
        <w:instrText xml:space="preserve"> SEQ Table \* ARABIC </w:instrText>
      </w:r>
      <w:r w:rsidR="0032786E">
        <w:fldChar w:fldCharType="separate"/>
      </w:r>
      <w:r>
        <w:rPr>
          <w:noProof/>
        </w:rPr>
        <w:t>3</w:t>
      </w:r>
      <w:r w:rsidR="0032786E">
        <w:rPr>
          <w:noProof/>
        </w:rPr>
        <w:fldChar w:fldCharType="end"/>
      </w:r>
      <w:r>
        <w:t>: C</w:t>
      </w:r>
      <w:r w:rsidRPr="006F7505">
        <w:t>orrelation of sho</w:t>
      </w:r>
      <w:r>
        <w:t>ulder endurance and dominant side</w:t>
      </w:r>
      <w:r w:rsidRPr="006F7505">
        <w:t xml:space="preserve"> internal rotation on writing speed</w:t>
      </w:r>
    </w:p>
    <w:p w14:paraId="34F5378D" w14:textId="77777777" w:rsidR="004B1DDD" w:rsidRDefault="00E43EC0" w:rsidP="004B1DDD">
      <w:pPr>
        <w:keepNext/>
      </w:pPr>
      <w:r>
        <w:rPr>
          <w:rFonts w:ascii="Times New Roman" w:hAnsi="Times New Roman" w:cs="Times New Roman"/>
          <w:noProof/>
          <w:sz w:val="24"/>
          <w:szCs w:val="24"/>
          <w:lang w:eastAsia="en-IN"/>
        </w:rPr>
        <w:drawing>
          <wp:inline distT="0" distB="0" distL="0" distR="0" wp14:anchorId="477B2176" wp14:editId="59BF890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60EC06" w14:textId="77777777" w:rsidR="00E43EC0" w:rsidRPr="00E43EC0" w:rsidRDefault="004B1DDD" w:rsidP="004B1DDD">
      <w:pPr>
        <w:pStyle w:val="Caption"/>
        <w:jc w:val="center"/>
        <w:rPr>
          <w:rFonts w:ascii="Times New Roman" w:hAnsi="Times New Roman" w:cs="Times New Roman"/>
          <w:sz w:val="24"/>
          <w:szCs w:val="24"/>
        </w:rPr>
      </w:pPr>
      <w:r>
        <w:t xml:space="preserve">Figure </w:t>
      </w:r>
      <w:r w:rsidR="0032786E">
        <w:fldChar w:fldCharType="begin"/>
      </w:r>
      <w:r w:rsidR="0032786E">
        <w:instrText xml:space="preserve"> SEQ Figure \* ARABIC </w:instrText>
      </w:r>
      <w:r w:rsidR="0032786E">
        <w:fldChar w:fldCharType="separate"/>
      </w:r>
      <w:r>
        <w:rPr>
          <w:noProof/>
        </w:rPr>
        <w:t>1</w:t>
      </w:r>
      <w:r w:rsidR="0032786E">
        <w:rPr>
          <w:noProof/>
        </w:rPr>
        <w:fldChar w:fldCharType="end"/>
      </w:r>
      <w:r>
        <w:t>: S</w:t>
      </w:r>
      <w:r w:rsidRPr="009F2052">
        <w:t>houlder I</w:t>
      </w:r>
      <w:r>
        <w:t xml:space="preserve">nternal </w:t>
      </w:r>
      <w:r w:rsidRPr="009F2052">
        <w:t>R</w:t>
      </w:r>
      <w:r>
        <w:t xml:space="preserve">otation (IR) </w:t>
      </w:r>
      <w:r w:rsidRPr="009F2052">
        <w:t>differences by hand dominance.</w:t>
      </w:r>
    </w:p>
    <w:p w14:paraId="274B66D1" w14:textId="77777777" w:rsidR="00962F71" w:rsidRPr="00962F71" w:rsidRDefault="00962F71" w:rsidP="00124189">
      <w:pPr>
        <w:spacing w:line="360" w:lineRule="auto"/>
        <w:ind w:left="-426" w:right="-472"/>
        <w:jc w:val="both"/>
        <w:rPr>
          <w:rFonts w:ascii="Times New Roman" w:eastAsia="Times New Roman" w:hAnsi="Times New Roman" w:cs="Times New Roman"/>
          <w:b/>
          <w:sz w:val="28"/>
          <w:szCs w:val="24"/>
          <w:lang w:eastAsia="en-IN"/>
        </w:rPr>
      </w:pPr>
      <w:r w:rsidRPr="00962F71">
        <w:rPr>
          <w:rFonts w:ascii="Times New Roman" w:eastAsia="Times New Roman" w:hAnsi="Times New Roman" w:cs="Times New Roman"/>
          <w:b/>
          <w:sz w:val="28"/>
          <w:szCs w:val="24"/>
          <w:lang w:eastAsia="en-IN"/>
        </w:rPr>
        <w:t>DISCUSSION</w:t>
      </w:r>
    </w:p>
    <w:p w14:paraId="12B42217"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 xml:space="preserve">The primary objective of this study was to investigate the relationship between shoulder endurance, glenohumeral internal rotation, and writing speed among college students. The findings revealed statistically significant positive correlations between writing speed and both shoulder abduction </w:t>
      </w:r>
      <w:r w:rsidRPr="00DC1783">
        <w:rPr>
          <w:rFonts w:ascii="Times New Roman" w:hAnsi="Times New Roman" w:cs="Times New Roman"/>
          <w:sz w:val="24"/>
          <w:szCs w:val="24"/>
        </w:rPr>
        <w:lastRenderedPageBreak/>
        <w:t xml:space="preserve">endurance (r = 0.248, p = 0.013) and dominant </w:t>
      </w:r>
      <w:r w:rsidR="00E43EC0">
        <w:rPr>
          <w:rFonts w:ascii="Times New Roman" w:hAnsi="Times New Roman" w:cs="Times New Roman"/>
          <w:sz w:val="24"/>
          <w:szCs w:val="24"/>
        </w:rPr>
        <w:t>side</w:t>
      </w:r>
      <w:r w:rsidRPr="00DC1783">
        <w:rPr>
          <w:rFonts w:ascii="Times New Roman" w:hAnsi="Times New Roman" w:cs="Times New Roman"/>
          <w:sz w:val="24"/>
          <w:szCs w:val="24"/>
        </w:rPr>
        <w:t xml:space="preserve"> shoulder internal rotation (r = 0.366, p = 0.010). These results provide compelling evidence that shoulder joint function, encompassing both muscular endurance and internal range of motion, plays a meaningful contributory role in the execution of fine motor tasks such as handwriting.</w:t>
      </w:r>
    </w:p>
    <w:p w14:paraId="238C8EBE"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Shoulder Endurance and Writing Performance:</w:t>
      </w:r>
      <w:r w:rsidRPr="00DC1783">
        <w:rPr>
          <w:rFonts w:ascii="Times New Roman" w:hAnsi="Times New Roman" w:cs="Times New Roman"/>
          <w:sz w:val="24"/>
          <w:szCs w:val="24"/>
        </w:rPr>
        <w:t xml:space="preserve"> The statistically significant, albeit weak, correlation between shoulder endurance and writing speed observed in this study aligns with and extends previous research findings in this domain. Raut et al. (2021) conducted a comprehensive investigation examining the relationship between scapular muscle endurance and handwriting legibility in school children, revealing a moderate positive correlation (r = 0.5, p &lt; 0.0001) between these variables. This finding suggested that enhanced shoulder endurance was significantly associated with improved handwriting performance outcomes. While the population</w:t>
      </w:r>
      <w:r w:rsidR="00860874">
        <w:rPr>
          <w:rFonts w:ascii="Times New Roman" w:hAnsi="Times New Roman" w:cs="Times New Roman"/>
          <w:sz w:val="24"/>
          <w:szCs w:val="24"/>
        </w:rPr>
        <w:t xml:space="preserve">s examined differ substantially </w:t>
      </w:r>
      <w:r w:rsidRPr="00DC1783">
        <w:rPr>
          <w:rFonts w:ascii="Times New Roman" w:hAnsi="Times New Roman" w:cs="Times New Roman"/>
          <w:sz w:val="24"/>
          <w:szCs w:val="24"/>
        </w:rPr>
        <w:t>college students in the current investigation versus school chi</w:t>
      </w:r>
      <w:r w:rsidR="00860874">
        <w:rPr>
          <w:rFonts w:ascii="Times New Roman" w:hAnsi="Times New Roman" w:cs="Times New Roman"/>
          <w:sz w:val="24"/>
          <w:szCs w:val="24"/>
        </w:rPr>
        <w:t xml:space="preserve">ldren in Raut et al.'s research, </w:t>
      </w:r>
      <w:r w:rsidRPr="00DC1783">
        <w:rPr>
          <w:rFonts w:ascii="Times New Roman" w:hAnsi="Times New Roman" w:cs="Times New Roman"/>
          <w:sz w:val="24"/>
          <w:szCs w:val="24"/>
        </w:rPr>
        <w:t>the underlying biomechanical principle remains remarkably consistent across age groups. The evidence consistently demonstrates that enhanced shoulder endurance contributes positively to handwriting task performance, supporting the fundamental concept that proximal muscle endurance, particularly within the shoulder girdle complex, plays a crucial and measurable role in facilitating fine motor skills such as handwriting.</w:t>
      </w:r>
      <w:r w:rsidR="002A6C07" w:rsidRPr="002A6C07">
        <w:rPr>
          <w:rFonts w:ascii="Times New Roman" w:hAnsi="Times New Roman" w:cs="Times New Roman"/>
          <w:sz w:val="24"/>
          <w:szCs w:val="24"/>
          <w:vertAlign w:val="superscript"/>
        </w:rPr>
        <w:t>1</w:t>
      </w:r>
      <w:r w:rsidR="00F44AE9" w:rsidRPr="00F44AE9">
        <w:rPr>
          <w:rFonts w:ascii="Times New Roman" w:hAnsi="Times New Roman" w:cs="Times New Roman"/>
          <w:sz w:val="24"/>
          <w:szCs w:val="24"/>
          <w:vertAlign w:val="superscript"/>
        </w:rPr>
        <w:t>2</w:t>
      </w:r>
    </w:p>
    <w:p w14:paraId="624CE650"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observed weak yet statistically significant correlation in the current study reinforces existing literature while contributing valuable insights specific to the college student population. This finding is particularly relevant considering the prolonged writing demands placed on students in higher education settings, where sustained shoulder endurance becomes increasingly important for maintaining consistent writing performance throughout extended academic tasks. The correlation, while modest in magnitude, suggests that even relatively small improvements in shoulder muscle endurance may translate to observable enhancements in writing speed and efficiency.</w:t>
      </w:r>
      <w:r w:rsidR="002A6C07">
        <w:rPr>
          <w:rFonts w:ascii="Times New Roman" w:hAnsi="Times New Roman" w:cs="Times New Roman"/>
          <w:sz w:val="24"/>
          <w:szCs w:val="24"/>
          <w:vertAlign w:val="superscript"/>
        </w:rPr>
        <w:t>13,14</w:t>
      </w:r>
    </w:p>
    <w:p w14:paraId="3B2C7C5B"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Glenohumeral Internal Rotation and Writing Mechanics:</w:t>
      </w:r>
      <w:r w:rsidRPr="00DC1783">
        <w:rPr>
          <w:rFonts w:ascii="Times New Roman" w:hAnsi="Times New Roman" w:cs="Times New Roman"/>
          <w:sz w:val="24"/>
          <w:szCs w:val="24"/>
        </w:rPr>
        <w:t xml:space="preserve"> The current study demonstrates a moderate positive correlation between dominant shoulder internal rotation and writing speed, providing important insights into the biomechanical requirements of efficient handwriting. This relationship can be attributed to the essential biomechanical role of the glenohumeral joint in facilitating efficient upper limb movement patterns during writing activities. Greater internal rotation range of motion allows for more natural and biomechanically efficient posturing of the upper extremity, potentially reducing musculoskeletal strain and optimizing movement patterns throughout the kinetic chain. This enhanced positioning capability enables writers to maintain optimal arm and hand alignment while minimizing compensatory movements that could impede writing efficiency.</w:t>
      </w:r>
    </w:p>
    <w:p w14:paraId="34AB7B1D"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lastRenderedPageBreak/>
        <w:t>These findings resonate strongly with research conducted by Cross et al. (2023), who investigated the relationships between shoulder rotational strength, range of motion, pitching kinetics, and pitch velocity in collegiate baseball pitchers.</w:t>
      </w:r>
      <w:r w:rsidR="00F44AE9" w:rsidRPr="00F44AE9">
        <w:rPr>
          <w:rFonts w:ascii="Times New Roman" w:hAnsi="Times New Roman" w:cs="Times New Roman"/>
          <w:sz w:val="24"/>
          <w:szCs w:val="24"/>
          <w:vertAlign w:val="superscript"/>
        </w:rPr>
        <w:t>4</w:t>
      </w:r>
      <w:r w:rsidRPr="00DC1783">
        <w:rPr>
          <w:rFonts w:ascii="Times New Roman" w:hAnsi="Times New Roman" w:cs="Times New Roman"/>
          <w:sz w:val="24"/>
          <w:szCs w:val="24"/>
        </w:rPr>
        <w:t xml:space="preserve"> Their study identified significant correlations between shoulder rotational strength and pitching performance, highlighting the critical importance of shoulder internal rotation in activities requiring precise and efficient upper limb movements. While their research focused specifically on athletic performance in baseball pitchers, the underlying biomechanical principles translate directly to fine motor tasks such as handwriting. Both activities require coordinated shoulder function to optimize distal segment performance, whether for athletic precision or academic productivity.</w:t>
      </w:r>
      <w:r w:rsidR="002A6C07" w:rsidRPr="002A6C07">
        <w:rPr>
          <w:rFonts w:ascii="Times New Roman" w:hAnsi="Times New Roman" w:cs="Times New Roman"/>
          <w:sz w:val="24"/>
          <w:szCs w:val="24"/>
          <w:vertAlign w:val="superscript"/>
        </w:rPr>
        <w:t>13</w:t>
      </w:r>
    </w:p>
    <w:p w14:paraId="319EC906"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moderate correlation observed between internal rotation and writing speed suggests that adequate glenohumeral mobility is a prerequisite for optimal handwriting performance. Limited internal rotation may force writers to adopt compensatory postures or movement patterns that compromise efficiency and potentially contribute to fatigue during prolonged writing tasks. This has important implications for identifying students who may benefit from targeted interventions to improve shoulder mobility and subsequently enhance their academic performance through improved writing capabilities.</w:t>
      </w:r>
    </w:p>
    <w:p w14:paraId="3392BB94"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Demographic Considerations and Functional Variations</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Gender and hand dominance distribution in this study followed expected demographic patterns, with 70% of participants being female and 98% demonstrating right-hand dominance. Interestingly, the data revealed a marginal increase in internal rotation range of motion among left-handed participants compared to their right-handed counterparts. While this difference was not the central focus of the investigation, it highlights important anatomical and functional variance between dominant and non-dominant limbs that is consistent with established literature. This observation aligns with findings from Mahnoor Jamil et al., who reported improvements in handwriting speed following intervention regardless of gender, though grip strength improvements were more prominent in males. These findings collectively suggest both anatomical and training-response variability across genders and dominance patterns, emphasizing the need for individualized approaches to handwriting performance enhancement.</w:t>
      </w:r>
      <w:r w:rsidR="00F44AE9" w:rsidRPr="00F44AE9">
        <w:rPr>
          <w:rFonts w:ascii="Times New Roman" w:hAnsi="Times New Roman" w:cs="Times New Roman"/>
          <w:sz w:val="24"/>
          <w:szCs w:val="24"/>
          <w:vertAlign w:val="superscript"/>
        </w:rPr>
        <w:t>9</w:t>
      </w:r>
    </w:p>
    <w:p w14:paraId="1F32F2C9"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predominance of right-hand dominance in the study population reflects typical population distributions and provides a solid foundation for understanding the relationship between shoulder function and writing performance in the majority demographic. However, the subtle differences observed in left-handed participants suggest that handedness may influence shoulder mechanics during writing tasks, warranting further investigation in future studies with larger left-handed cohorts.</w:t>
      </w:r>
    </w:p>
    <w:p w14:paraId="0098D095"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lastRenderedPageBreak/>
        <w:t>Implications for Upper Limb Conditioning and Intervention</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 xml:space="preserve">The findings of this study strongly support the value of upper limb strengthening and conditioning programs for improving writing performance, with several previous investigations corroborating this relationship. </w:t>
      </w:r>
      <w:proofErr w:type="spellStart"/>
      <w:r w:rsidRPr="00DC1783">
        <w:rPr>
          <w:rFonts w:ascii="Times New Roman" w:hAnsi="Times New Roman" w:cs="Times New Roman"/>
          <w:sz w:val="24"/>
          <w:szCs w:val="24"/>
        </w:rPr>
        <w:t>Khushbakhatt</w:t>
      </w:r>
      <w:proofErr w:type="spellEnd"/>
      <w:r w:rsidRPr="00DC1783">
        <w:rPr>
          <w:rFonts w:ascii="Times New Roman" w:hAnsi="Times New Roman" w:cs="Times New Roman"/>
          <w:sz w:val="24"/>
          <w:szCs w:val="24"/>
        </w:rPr>
        <w:t xml:space="preserve"> Butt et al. reported a moderate correlation between handgrip strength, endurance, and handwriting speed in young adults, emphasizing that improved physical attributes of the hand and forearm can positively influence writing performance outcomes.</w:t>
      </w:r>
      <w:r w:rsidR="00F44AE9" w:rsidRPr="00F44AE9">
        <w:rPr>
          <w:rFonts w:ascii="Times New Roman" w:hAnsi="Times New Roman" w:cs="Times New Roman"/>
          <w:sz w:val="24"/>
          <w:szCs w:val="24"/>
          <w:vertAlign w:val="superscript"/>
        </w:rPr>
        <w:t>3</w:t>
      </w:r>
      <w:r w:rsidRPr="00DC1783">
        <w:rPr>
          <w:rFonts w:ascii="Times New Roman" w:hAnsi="Times New Roman" w:cs="Times New Roman"/>
          <w:sz w:val="24"/>
          <w:szCs w:val="24"/>
        </w:rPr>
        <w:t xml:space="preserve"> Similarly, </w:t>
      </w:r>
      <w:proofErr w:type="spellStart"/>
      <w:r w:rsidRPr="00DC1783">
        <w:rPr>
          <w:rFonts w:ascii="Times New Roman" w:hAnsi="Times New Roman" w:cs="Times New Roman"/>
          <w:sz w:val="24"/>
          <w:szCs w:val="24"/>
        </w:rPr>
        <w:t>Nilukshika</w:t>
      </w:r>
      <w:proofErr w:type="spellEnd"/>
      <w:r w:rsidRPr="00DC1783">
        <w:rPr>
          <w:rFonts w:ascii="Times New Roman" w:hAnsi="Times New Roman" w:cs="Times New Roman"/>
          <w:sz w:val="24"/>
          <w:szCs w:val="24"/>
        </w:rPr>
        <w:t xml:space="preserve"> et al. demonstrated a remarkable 21% improvement in handwriting speed following a structured 4-week upper limb exercise program. These findings collectively suggest that upper limb strength and coordination are directly and measurably associated with writing proficiency, providing a strong rationale for incorporating physical conditioning into academic performance enhancement strategies.</w:t>
      </w:r>
      <w:r w:rsidR="005121A7">
        <w:rPr>
          <w:rFonts w:ascii="Times New Roman" w:hAnsi="Times New Roman" w:cs="Times New Roman"/>
          <w:sz w:val="24"/>
          <w:szCs w:val="24"/>
          <w:vertAlign w:val="superscript"/>
        </w:rPr>
        <w:t>15</w:t>
      </w:r>
    </w:p>
    <w:p w14:paraId="01868327"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research conducted by Kamalanathan and Banu provides particularly compelling evidence for the effectiveness of targeted interventions. Their study investigated the impact of upper limb strengthening exercises on handwriting performance and revealed that participants who engaged in a structured regimen of upper limb strengthening exercises exhibited significantly greater improvements in handwriting speed compared to those who solely practiced writing activities. This finding underscores the critical role that physical strength, particularly in the shoulder muscles, plays in optimizing motor tasks such as handwriting.</w:t>
      </w:r>
      <w:r w:rsidR="00F44AE9" w:rsidRPr="00F44AE9">
        <w:rPr>
          <w:rFonts w:ascii="Times New Roman" w:hAnsi="Times New Roman" w:cs="Times New Roman"/>
          <w:sz w:val="24"/>
          <w:szCs w:val="24"/>
          <w:vertAlign w:val="superscript"/>
        </w:rPr>
        <w:t>1</w:t>
      </w:r>
    </w:p>
    <w:p w14:paraId="20622A4A"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Clinical and Educational Implications</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The shoulder muscles, as integral components of the upper limb kinetic chain, contribute substantially to motor control, coordination, and endurance during writing activities. This relationship supports the study's primary hypothesis that shoulder muscle endurance serves as a key component of upper limb function and exerts a direct and beneficial influence on writing efficiency. The findings highlight the importance of incorporating strength and endurance training into interventions aimed at improving fine motor skills, particularly for individuals who experience difficulty maintaining consistent writing speed and legibility over extended periods.</w:t>
      </w:r>
    </w:p>
    <w:p w14:paraId="70FD23EB"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Scapular stability, while not directly measured in this study, has been demonstrated to play an important complementary role in writing mechanics. The research by Shivani Raut et al. investigating scapular muscle endurance found a moderate correlation (r = 0.5) with handwriting legibility, reinforcing the concept that proximal stability provided by both the scapula and shoulder facilitates optimal distal motor task performance.</w:t>
      </w:r>
      <w:r w:rsidR="00F44AE9" w:rsidRPr="00F44AE9">
        <w:rPr>
          <w:rFonts w:ascii="Times New Roman" w:hAnsi="Times New Roman" w:cs="Times New Roman"/>
          <w:sz w:val="24"/>
          <w:szCs w:val="24"/>
          <w:vertAlign w:val="superscript"/>
        </w:rPr>
        <w:t>1</w:t>
      </w:r>
      <w:r w:rsidRPr="00DC1783">
        <w:rPr>
          <w:rFonts w:ascii="Times New Roman" w:hAnsi="Times New Roman" w:cs="Times New Roman"/>
          <w:sz w:val="24"/>
          <w:szCs w:val="24"/>
        </w:rPr>
        <w:t xml:space="preserve"> While the current study focused primarily on shoulder rotation and endurance rather than scapular function directly, it is reasonable to interpret that these systems are functionally interconnected and contribute synergistically to overall upper limb performance during writing tasks.</w:t>
      </w:r>
    </w:p>
    <w:p w14:paraId="3A57E76B"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lastRenderedPageBreak/>
        <w:t>Practical Applications and Future Directions</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The findings suggest that even modest improvements in shoulder muscle function and joint mobility may produce clinically meaningful gains in fine motor tasks such as handwriting. This observation has significant practical implications for physiotherapists and occupational therapists working with students or individuals whose academic or occupational performance is compromised by inadequate handwriting speed or endurance. Based on the evidence presented in this study and supporting literature, implementing targeted shoulder and upper limb strengthening programs can serve as an effective intervention strategy to enhance writing speed while potentially reducing writing-related fatigue and musculoskeletal strain.</w:t>
      </w:r>
    </w:p>
    <w:p w14:paraId="5955CB76" w14:textId="77777777" w:rsid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results also suggest valuable applications in educational settings, where writing demands are substantial and sustained. Incorporating upper limb conditioning exercises into educational curricula or providing targeted interventions for students demonstrating writing difficulties could yield significant improvements in academic performance and reduce the physical strain associated with prolonged writing activities. Future research should explore the optimal parameters for such interventions, including exercise specificity, duration, intensity, and frequency to maximize benefits for writing performance enhancement.</w:t>
      </w:r>
    </w:p>
    <w:p w14:paraId="4B6B54AB" w14:textId="77777777" w:rsidR="00DC1783" w:rsidRPr="00DC1783" w:rsidRDefault="00DC1783"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Limitations:</w:t>
      </w:r>
      <w:r w:rsidRPr="00DC1783">
        <w:rPr>
          <w:rFonts w:ascii="Times New Roman" w:hAnsi="Times New Roman" w:cs="Times New Roman"/>
          <w:sz w:val="24"/>
          <w:szCs w:val="24"/>
        </w:rPr>
        <w:t xml:space="preserve"> Several limitations should be acknowledged when interpreting the findings of this study. The study population consisted exclusively of college students aged 18-25 years, which limits generalizability to other age groups or non-student populations. Notable demographic imbalances existed, including unequal gender distribution (70% female, 30% male) and minimal left-handed representation (2%), potentially affecting shoulder strength outcomes and preventing meaningful conclusions regarding hand dominance effects.</w:t>
      </w:r>
    </w:p>
    <w:p w14:paraId="6F9C060D" w14:textId="77777777" w:rsidR="00DC1783" w:rsidRPr="00DC1783" w:rsidRDefault="00DC1783"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cross-sectional design obtained measurements at a single point in time, failing to account for temporal variations such as fatigue, motivation, or daily performance fluctuations. The study did not evaluate other potentially influential factors including cognitive function, psychological stress, ergonomic setup considerations, or specific hand fine motor control capabilities. Finally, shoulder internal rotation measurements using a universal goniometer may have introduced minor inter-observer and intra-observer errors, potentially affecting measurement accuracy and correlation strength interpretation.</w:t>
      </w:r>
    </w:p>
    <w:p w14:paraId="4FA10A12" w14:textId="77777777" w:rsidR="00DC1783" w:rsidRPr="00DC1783" w:rsidRDefault="00DC1783" w:rsidP="00124189">
      <w:pPr>
        <w:spacing w:line="360" w:lineRule="auto"/>
        <w:ind w:left="-426" w:right="-472"/>
        <w:jc w:val="both"/>
        <w:rPr>
          <w:rFonts w:ascii="Times New Roman" w:eastAsia="Times New Roman" w:hAnsi="Times New Roman" w:cs="Times New Roman"/>
          <w:b/>
          <w:sz w:val="24"/>
          <w:szCs w:val="24"/>
          <w:lang w:eastAsia="en-IN"/>
        </w:rPr>
      </w:pPr>
      <w:r w:rsidRPr="00DC1783">
        <w:rPr>
          <w:rFonts w:ascii="Times New Roman" w:eastAsia="Times New Roman" w:hAnsi="Times New Roman" w:cs="Times New Roman"/>
          <w:b/>
          <w:sz w:val="24"/>
          <w:szCs w:val="24"/>
          <w:lang w:eastAsia="en-IN"/>
        </w:rPr>
        <w:t>CONCLUSION</w:t>
      </w:r>
    </w:p>
    <w:p w14:paraId="700C3D5C" w14:textId="77777777" w:rsidR="005F6E63" w:rsidRDefault="00DC1783" w:rsidP="005F6E63">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 xml:space="preserve">This study of 100 college students demonstrated statistically significant positive correlations between writing speed and shoulder endurance (r = 0.248, p = 0.013) and dominant hand internal rotation (r = 0.366, p = 0.010). The findings establish that shoulder functional parameters significantly influence </w:t>
      </w:r>
      <w:r w:rsidRPr="00DC1783">
        <w:rPr>
          <w:rFonts w:ascii="Times New Roman" w:hAnsi="Times New Roman" w:cs="Times New Roman"/>
          <w:sz w:val="24"/>
          <w:szCs w:val="24"/>
        </w:rPr>
        <w:lastRenderedPageBreak/>
        <w:t>handwriting performance, with enhanced shoulder endurance and greater glenohumeral internal rotation range of motion contributing to improved writing efficiency. These results provide evidence for developing targeted shoulder conditioning interventions to enhance academic performance and reduce writing-related musculoskeletal strain in college students.</w:t>
      </w:r>
    </w:p>
    <w:p w14:paraId="1FC4489F" w14:textId="77777777" w:rsidR="005F6E63" w:rsidRDefault="005F6E63" w:rsidP="005F6E63">
      <w:pPr>
        <w:spacing w:line="360" w:lineRule="auto"/>
        <w:ind w:left="-426" w:right="-472"/>
        <w:jc w:val="both"/>
        <w:rPr>
          <w:rFonts w:ascii="Times New Roman" w:hAnsi="Times New Roman" w:cs="Times New Roman"/>
          <w:sz w:val="24"/>
          <w:szCs w:val="24"/>
        </w:rPr>
      </w:pPr>
      <w:r w:rsidRPr="00B43740">
        <w:rPr>
          <w:rFonts w:ascii="Times New Roman" w:hAnsi="Times New Roman" w:cs="Times New Roman"/>
          <w:b/>
          <w:sz w:val="24"/>
          <w:szCs w:val="24"/>
          <w:lang w:val="en-US"/>
        </w:rPr>
        <w:t>Ethical Approval:</w:t>
      </w:r>
      <w:r>
        <w:rPr>
          <w:rFonts w:ascii="Times New Roman" w:hAnsi="Times New Roman" w:cs="Times New Roman"/>
          <w:b/>
          <w:sz w:val="24"/>
          <w:szCs w:val="24"/>
          <w:lang w:val="en-US"/>
        </w:rPr>
        <w:t xml:space="preserve"> </w:t>
      </w:r>
      <w:r>
        <w:rPr>
          <w:rFonts w:ascii="Times New Roman" w:hAnsi="Times New Roman" w:cs="Times New Roman"/>
          <w:sz w:val="24"/>
          <w:szCs w:val="24"/>
        </w:rPr>
        <w:t>TPC/IRB/BPT/2024/04</w:t>
      </w:r>
    </w:p>
    <w:p w14:paraId="4822C63E" w14:textId="77777777" w:rsidR="00DC1783" w:rsidRPr="00F44AE9" w:rsidRDefault="00F44AE9" w:rsidP="00962F71">
      <w:pPr>
        <w:ind w:left="-426" w:right="-472"/>
        <w:jc w:val="both"/>
        <w:rPr>
          <w:rFonts w:ascii="Times New Roman" w:eastAsia="Times New Roman" w:hAnsi="Times New Roman" w:cs="Times New Roman"/>
          <w:b/>
          <w:sz w:val="28"/>
          <w:szCs w:val="24"/>
          <w:u w:val="single"/>
          <w:lang w:eastAsia="en-IN"/>
        </w:rPr>
      </w:pPr>
      <w:r w:rsidRPr="00F44AE9">
        <w:rPr>
          <w:rFonts w:ascii="Times New Roman" w:eastAsia="Times New Roman" w:hAnsi="Times New Roman" w:cs="Times New Roman"/>
          <w:b/>
          <w:sz w:val="28"/>
          <w:szCs w:val="24"/>
          <w:u w:val="single"/>
          <w:lang w:eastAsia="en-IN"/>
        </w:rPr>
        <w:t>REFERENCES</w:t>
      </w:r>
    </w:p>
    <w:p w14:paraId="791C0120"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Kamalanathan P, Banu H S. Effects of upper limb strengthening exercises on handwriting speed in undergraduate students. International Journal of Pharmaceutical and Clinical Research. 2017; 9(6):475-</w:t>
      </w:r>
      <w:r w:rsidR="005121A7">
        <w:rPr>
          <w:rFonts w:ascii="Times New Roman" w:hAnsi="Times New Roman" w:cs="Times New Roman"/>
          <w:color w:val="222222"/>
          <w:sz w:val="24"/>
          <w:szCs w:val="24"/>
          <w:shd w:val="clear" w:color="auto" w:fill="FFFFFF"/>
        </w:rPr>
        <w:t>7</w:t>
      </w:r>
      <w:r w:rsidRPr="005121A7">
        <w:rPr>
          <w:rFonts w:ascii="Times New Roman" w:hAnsi="Times New Roman" w:cs="Times New Roman"/>
          <w:color w:val="222222"/>
          <w:sz w:val="24"/>
          <w:szCs w:val="24"/>
          <w:shd w:val="clear" w:color="auto" w:fill="FFFFFF"/>
        </w:rPr>
        <w:t>9.</w:t>
      </w:r>
    </w:p>
    <w:p w14:paraId="42642934"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Raut S, </w:t>
      </w:r>
      <w:proofErr w:type="spellStart"/>
      <w:r w:rsidRPr="005121A7">
        <w:rPr>
          <w:rFonts w:ascii="Times New Roman" w:hAnsi="Times New Roman" w:cs="Times New Roman"/>
          <w:color w:val="222222"/>
          <w:sz w:val="24"/>
          <w:szCs w:val="24"/>
          <w:shd w:val="clear" w:color="auto" w:fill="FFFFFF"/>
        </w:rPr>
        <w:t>Golhar</w:t>
      </w:r>
      <w:proofErr w:type="spellEnd"/>
      <w:r w:rsidRPr="005121A7">
        <w:rPr>
          <w:rFonts w:ascii="Times New Roman" w:hAnsi="Times New Roman" w:cs="Times New Roman"/>
          <w:color w:val="222222"/>
          <w:sz w:val="24"/>
          <w:szCs w:val="24"/>
          <w:shd w:val="clear" w:color="auto" w:fill="FFFFFF"/>
        </w:rPr>
        <w:t xml:space="preserve"> S P. Correlation between scapular muscle endurance and handwriting legibility in school children: Correlational study. IJAR. 2021; 7(7):354-</w:t>
      </w:r>
      <w:r w:rsidR="005121A7">
        <w:rPr>
          <w:rFonts w:ascii="Times New Roman" w:hAnsi="Times New Roman" w:cs="Times New Roman"/>
          <w:color w:val="222222"/>
          <w:sz w:val="24"/>
          <w:szCs w:val="24"/>
          <w:shd w:val="clear" w:color="auto" w:fill="FFFFFF"/>
        </w:rPr>
        <w:t>5</w:t>
      </w:r>
      <w:r w:rsidRPr="005121A7">
        <w:rPr>
          <w:rFonts w:ascii="Times New Roman" w:hAnsi="Times New Roman" w:cs="Times New Roman"/>
          <w:color w:val="222222"/>
          <w:sz w:val="24"/>
          <w:szCs w:val="24"/>
          <w:shd w:val="clear" w:color="auto" w:fill="FFFFFF"/>
        </w:rPr>
        <w:t>8.</w:t>
      </w:r>
    </w:p>
    <w:p w14:paraId="178D7E0B"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Butt K, Maqbool S, Fatima U, Arif M, Arooj A, et al. Effect of Hand Grip Strength and Endurance on Writing Speed Among Students of DPT </w:t>
      </w:r>
      <w:proofErr w:type="gramStart"/>
      <w:r w:rsidRPr="005121A7">
        <w:rPr>
          <w:rFonts w:ascii="Times New Roman" w:hAnsi="Times New Roman" w:cs="Times New Roman"/>
          <w:color w:val="222222"/>
          <w:sz w:val="24"/>
          <w:szCs w:val="24"/>
          <w:shd w:val="clear" w:color="auto" w:fill="FFFFFF"/>
        </w:rPr>
        <w:t>In</w:t>
      </w:r>
      <w:proofErr w:type="gramEnd"/>
      <w:r w:rsidRPr="005121A7">
        <w:rPr>
          <w:rFonts w:ascii="Times New Roman" w:hAnsi="Times New Roman" w:cs="Times New Roman"/>
          <w:color w:val="222222"/>
          <w:sz w:val="24"/>
          <w:szCs w:val="24"/>
          <w:shd w:val="clear" w:color="auto" w:fill="FFFFFF"/>
        </w:rPr>
        <w:t xml:space="preserve"> AMNC: Hand Grip Strength on Writing Speed Among Students. Pakistan Bio Medical Journal. 2022; 5(8):22-</w:t>
      </w:r>
      <w:r w:rsidR="005121A7">
        <w:rPr>
          <w:rFonts w:ascii="Times New Roman" w:hAnsi="Times New Roman" w:cs="Times New Roman"/>
          <w:color w:val="222222"/>
          <w:sz w:val="24"/>
          <w:szCs w:val="24"/>
          <w:shd w:val="clear" w:color="auto" w:fill="FFFFFF"/>
        </w:rPr>
        <w:t>2</w:t>
      </w:r>
      <w:r w:rsidRPr="005121A7">
        <w:rPr>
          <w:rFonts w:ascii="Times New Roman" w:hAnsi="Times New Roman" w:cs="Times New Roman"/>
          <w:color w:val="222222"/>
          <w:sz w:val="24"/>
          <w:szCs w:val="24"/>
          <w:shd w:val="clear" w:color="auto" w:fill="FFFFFF"/>
        </w:rPr>
        <w:t>6.</w:t>
      </w:r>
    </w:p>
    <w:p w14:paraId="2A2930C8"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Cross J A, Higgins A W, </w:t>
      </w:r>
      <w:proofErr w:type="spellStart"/>
      <w:r w:rsidRPr="005121A7">
        <w:rPr>
          <w:rFonts w:ascii="Times New Roman" w:hAnsi="Times New Roman" w:cs="Times New Roman"/>
          <w:color w:val="222222"/>
          <w:sz w:val="24"/>
          <w:szCs w:val="24"/>
          <w:shd w:val="clear" w:color="auto" w:fill="FFFFFF"/>
        </w:rPr>
        <w:t>Dziuk</w:t>
      </w:r>
      <w:proofErr w:type="spellEnd"/>
      <w:r w:rsidRPr="005121A7">
        <w:rPr>
          <w:rFonts w:ascii="Times New Roman" w:hAnsi="Times New Roman" w:cs="Times New Roman"/>
          <w:color w:val="222222"/>
          <w:sz w:val="24"/>
          <w:szCs w:val="24"/>
          <w:shd w:val="clear" w:color="auto" w:fill="FFFFFF"/>
        </w:rPr>
        <w:t xml:space="preserve"> C </w:t>
      </w:r>
      <w:proofErr w:type="spellStart"/>
      <w:r w:rsidRPr="005121A7">
        <w:rPr>
          <w:rFonts w:ascii="Times New Roman" w:hAnsi="Times New Roman" w:cs="Times New Roman"/>
          <w:color w:val="222222"/>
          <w:sz w:val="24"/>
          <w:szCs w:val="24"/>
          <w:shd w:val="clear" w:color="auto" w:fill="FFFFFF"/>
        </w:rPr>
        <w:t>C</w:t>
      </w:r>
      <w:proofErr w:type="spellEnd"/>
      <w:r w:rsidRPr="005121A7">
        <w:rPr>
          <w:rFonts w:ascii="Times New Roman" w:hAnsi="Times New Roman" w:cs="Times New Roman"/>
          <w:color w:val="222222"/>
          <w:sz w:val="24"/>
          <w:szCs w:val="24"/>
          <w:shd w:val="clear" w:color="auto" w:fill="FFFFFF"/>
        </w:rPr>
        <w:t>, Harris G F, Raasch W G. Relationships among shoulder rotational strength, range of motion, pitching kinetics, and pitch velocity in collegiate baseball pitchers. The Journal of Strength &amp; Conditioning Research. 2023; 37(1):129-35.</w:t>
      </w:r>
    </w:p>
    <w:p w14:paraId="094138C2"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r w:rsidRPr="005121A7">
        <w:rPr>
          <w:rFonts w:ascii="Times New Roman" w:hAnsi="Times New Roman" w:cs="Times New Roman"/>
          <w:color w:val="222222"/>
          <w:sz w:val="24"/>
          <w:szCs w:val="24"/>
          <w:shd w:val="clear" w:color="auto" w:fill="FFFFFF"/>
        </w:rPr>
        <w:t>Decleve</w:t>
      </w:r>
      <w:proofErr w:type="spellEnd"/>
      <w:r w:rsidRPr="005121A7">
        <w:rPr>
          <w:rFonts w:ascii="Times New Roman" w:hAnsi="Times New Roman" w:cs="Times New Roman"/>
          <w:color w:val="222222"/>
          <w:sz w:val="24"/>
          <w:szCs w:val="24"/>
          <w:shd w:val="clear" w:color="auto" w:fill="FFFFFF"/>
        </w:rPr>
        <w:t xml:space="preserve"> P, Van </w:t>
      </w:r>
      <w:proofErr w:type="gramStart"/>
      <w:r w:rsidRPr="005121A7">
        <w:rPr>
          <w:rFonts w:ascii="Times New Roman" w:hAnsi="Times New Roman" w:cs="Times New Roman"/>
          <w:color w:val="222222"/>
          <w:sz w:val="24"/>
          <w:szCs w:val="24"/>
          <w:shd w:val="clear" w:color="auto" w:fill="FFFFFF"/>
        </w:rPr>
        <w:t>Cant</w:t>
      </w:r>
      <w:proofErr w:type="gramEnd"/>
      <w:r w:rsidRPr="005121A7">
        <w:rPr>
          <w:rFonts w:ascii="Times New Roman" w:hAnsi="Times New Roman" w:cs="Times New Roman"/>
          <w:color w:val="222222"/>
          <w:sz w:val="24"/>
          <w:szCs w:val="24"/>
          <w:shd w:val="clear" w:color="auto" w:fill="FFFFFF"/>
        </w:rPr>
        <w:t xml:space="preserve"> J, Attar T, Urbain E, Marcel M, et al. The shoulder endurance test (SET): A reliability and validity and comparison study on healthy overhead athletes and sedentary adults. Physical Therapy in Sport. 2021; 47:201-</w:t>
      </w:r>
      <w:r w:rsidR="005121A7">
        <w:rPr>
          <w:rFonts w:ascii="Times New Roman" w:hAnsi="Times New Roman" w:cs="Times New Roman"/>
          <w:color w:val="222222"/>
          <w:sz w:val="24"/>
          <w:szCs w:val="24"/>
          <w:shd w:val="clear" w:color="auto" w:fill="FFFFFF"/>
        </w:rPr>
        <w:t>0</w:t>
      </w:r>
      <w:r w:rsidRPr="005121A7">
        <w:rPr>
          <w:rFonts w:ascii="Times New Roman" w:hAnsi="Times New Roman" w:cs="Times New Roman"/>
          <w:color w:val="222222"/>
          <w:sz w:val="24"/>
          <w:szCs w:val="24"/>
          <w:shd w:val="clear" w:color="auto" w:fill="FFFFFF"/>
        </w:rPr>
        <w:t>7.</w:t>
      </w:r>
    </w:p>
    <w:p w14:paraId="262B249F"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Dwelly P M, Tripp B L, Tripp P A, Eberman L E, Gorin S. Glenohumeral rotational range of motion in collegiate overhead-throwing athletes during an athletic season. Journal of Athletic Training. 2009; 44(6):611-</w:t>
      </w:r>
      <w:r w:rsidR="005121A7">
        <w:rPr>
          <w:rFonts w:ascii="Times New Roman" w:hAnsi="Times New Roman" w:cs="Times New Roman"/>
          <w:color w:val="222222"/>
          <w:sz w:val="24"/>
          <w:szCs w:val="24"/>
          <w:shd w:val="clear" w:color="auto" w:fill="FFFFFF"/>
        </w:rPr>
        <w:t>1</w:t>
      </w:r>
      <w:r w:rsidRPr="005121A7">
        <w:rPr>
          <w:rFonts w:ascii="Times New Roman" w:hAnsi="Times New Roman" w:cs="Times New Roman"/>
          <w:color w:val="222222"/>
          <w:sz w:val="24"/>
          <w:szCs w:val="24"/>
          <w:shd w:val="clear" w:color="auto" w:fill="FFFFFF"/>
        </w:rPr>
        <w:t>6.</w:t>
      </w:r>
    </w:p>
    <w:p w14:paraId="6028BFCD"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Roy J S, Ma B, MacDermid J C, Woodhouse L J. Shoulder muscle endurance: the development of a standardized and reliable protocol. Sports Medicine, Arthroscopy, Rehabilitation, Therapy &amp; Technology. 2011; 3:1-4.</w:t>
      </w:r>
    </w:p>
    <w:p w14:paraId="165305B9"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r w:rsidRPr="005121A7">
        <w:rPr>
          <w:rFonts w:ascii="Times New Roman" w:hAnsi="Times New Roman" w:cs="Times New Roman"/>
          <w:color w:val="222222"/>
          <w:sz w:val="24"/>
          <w:szCs w:val="24"/>
          <w:shd w:val="clear" w:color="auto" w:fill="FFFFFF"/>
        </w:rPr>
        <w:t>Lubis</w:t>
      </w:r>
      <w:proofErr w:type="spellEnd"/>
      <w:r w:rsidRPr="005121A7">
        <w:rPr>
          <w:rFonts w:ascii="Times New Roman" w:hAnsi="Times New Roman" w:cs="Times New Roman"/>
          <w:color w:val="222222"/>
          <w:sz w:val="24"/>
          <w:szCs w:val="24"/>
          <w:shd w:val="clear" w:color="auto" w:fill="FFFFFF"/>
        </w:rPr>
        <w:t xml:space="preserve"> A M, </w:t>
      </w:r>
      <w:proofErr w:type="spellStart"/>
      <w:r w:rsidRPr="005121A7">
        <w:rPr>
          <w:rFonts w:ascii="Times New Roman" w:hAnsi="Times New Roman" w:cs="Times New Roman"/>
          <w:color w:val="222222"/>
          <w:sz w:val="24"/>
          <w:szCs w:val="24"/>
          <w:shd w:val="clear" w:color="auto" w:fill="FFFFFF"/>
        </w:rPr>
        <w:t>Wisnubaroto</w:t>
      </w:r>
      <w:proofErr w:type="spellEnd"/>
      <w:r w:rsidRPr="005121A7">
        <w:rPr>
          <w:rFonts w:ascii="Times New Roman" w:hAnsi="Times New Roman" w:cs="Times New Roman"/>
          <w:color w:val="222222"/>
          <w:sz w:val="24"/>
          <w:szCs w:val="24"/>
          <w:shd w:val="clear" w:color="auto" w:fill="FFFFFF"/>
        </w:rPr>
        <w:t xml:space="preserve"> R P, Ilyas E I, </w:t>
      </w:r>
      <w:proofErr w:type="spellStart"/>
      <w:r w:rsidRPr="005121A7">
        <w:rPr>
          <w:rFonts w:ascii="Times New Roman" w:hAnsi="Times New Roman" w:cs="Times New Roman"/>
          <w:color w:val="222222"/>
          <w:sz w:val="24"/>
          <w:szCs w:val="24"/>
          <w:shd w:val="clear" w:color="auto" w:fill="FFFFFF"/>
        </w:rPr>
        <w:t>Ifran</w:t>
      </w:r>
      <w:proofErr w:type="spellEnd"/>
      <w:r w:rsidRPr="005121A7">
        <w:rPr>
          <w:rFonts w:ascii="Times New Roman" w:hAnsi="Times New Roman" w:cs="Times New Roman"/>
          <w:color w:val="222222"/>
          <w:sz w:val="24"/>
          <w:szCs w:val="24"/>
          <w:shd w:val="clear" w:color="auto" w:fill="FFFFFF"/>
        </w:rPr>
        <w:t xml:space="preserve"> N </w:t>
      </w:r>
      <w:proofErr w:type="spellStart"/>
      <w:r w:rsidRPr="005121A7">
        <w:rPr>
          <w:rFonts w:ascii="Times New Roman" w:hAnsi="Times New Roman" w:cs="Times New Roman"/>
          <w:color w:val="222222"/>
          <w:sz w:val="24"/>
          <w:szCs w:val="24"/>
          <w:shd w:val="clear" w:color="auto" w:fill="FFFFFF"/>
        </w:rPr>
        <w:t>N</w:t>
      </w:r>
      <w:proofErr w:type="spellEnd"/>
      <w:r w:rsidRPr="005121A7">
        <w:rPr>
          <w:rFonts w:ascii="Times New Roman" w:hAnsi="Times New Roman" w:cs="Times New Roman"/>
          <w:color w:val="222222"/>
          <w:sz w:val="24"/>
          <w:szCs w:val="24"/>
          <w:shd w:val="clear" w:color="auto" w:fill="FFFFFF"/>
        </w:rPr>
        <w:t>. Glenohumeral internal rotation deficit in non-pitcher overhead athletic athletes: case series analysis of ten athletes. Annals of Medicine and Surgery. 2020; 58:138-42.</w:t>
      </w:r>
    </w:p>
    <w:p w14:paraId="0A0F536A"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hAnsi="Times New Roman" w:cs="Times New Roman"/>
          <w:color w:val="000000" w:themeColor="text1"/>
          <w:sz w:val="24"/>
          <w:szCs w:val="24"/>
          <w:shd w:val="clear" w:color="auto" w:fill="FFFFFF"/>
        </w:rPr>
        <w:t>Jamil M, Ahmer M, Sabir S, Azhar A, Kabir A. Effect of upper limb strengthening exercises on hand writing speed and hand grip strength among physiotherapy students. Journal of Nursing and Allied Health. 2023; 1(04):110-</w:t>
      </w:r>
      <w:r w:rsidR="005121A7">
        <w:rPr>
          <w:rFonts w:ascii="Times New Roman" w:hAnsi="Times New Roman" w:cs="Times New Roman"/>
          <w:color w:val="000000" w:themeColor="text1"/>
          <w:sz w:val="24"/>
          <w:szCs w:val="24"/>
          <w:shd w:val="clear" w:color="auto" w:fill="FFFFFF"/>
        </w:rPr>
        <w:t>1</w:t>
      </w:r>
      <w:r w:rsidRPr="005121A7">
        <w:rPr>
          <w:rFonts w:ascii="Times New Roman" w:hAnsi="Times New Roman" w:cs="Times New Roman"/>
          <w:color w:val="000000" w:themeColor="text1"/>
          <w:sz w:val="24"/>
          <w:szCs w:val="24"/>
          <w:shd w:val="clear" w:color="auto" w:fill="FFFFFF"/>
        </w:rPr>
        <w:t>4.</w:t>
      </w:r>
    </w:p>
    <w:p w14:paraId="08FFCEBF"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eastAsia="Times New Roman" w:hAnsi="Times New Roman" w:cs="Times New Roman"/>
          <w:sz w:val="24"/>
          <w:szCs w:val="24"/>
          <w:lang w:eastAsia="en-IN"/>
        </w:rPr>
        <w:lastRenderedPageBreak/>
        <w:t xml:space="preserve"> </w:t>
      </w:r>
      <w:r w:rsidRPr="005121A7">
        <w:rPr>
          <w:rFonts w:ascii="Times New Roman" w:hAnsi="Times New Roman" w:cs="Times New Roman"/>
          <w:color w:val="222222"/>
          <w:sz w:val="24"/>
          <w:szCs w:val="24"/>
          <w:shd w:val="clear" w:color="auto" w:fill="FFFFFF"/>
        </w:rPr>
        <w:t xml:space="preserve">Samuel S </w:t>
      </w:r>
      <w:proofErr w:type="spellStart"/>
      <w:r w:rsidRPr="005121A7">
        <w:rPr>
          <w:rFonts w:ascii="Times New Roman" w:hAnsi="Times New Roman" w:cs="Times New Roman"/>
          <w:color w:val="222222"/>
          <w:sz w:val="24"/>
          <w:szCs w:val="24"/>
          <w:shd w:val="clear" w:color="auto" w:fill="FFFFFF"/>
        </w:rPr>
        <w:t>S</w:t>
      </w:r>
      <w:proofErr w:type="spellEnd"/>
      <w:r w:rsidRPr="005121A7">
        <w:rPr>
          <w:rFonts w:ascii="Times New Roman" w:hAnsi="Times New Roman" w:cs="Times New Roman"/>
          <w:color w:val="222222"/>
          <w:sz w:val="24"/>
          <w:szCs w:val="24"/>
          <w:shd w:val="clear" w:color="auto" w:fill="FFFFFF"/>
        </w:rPr>
        <w:t xml:space="preserve">, </w:t>
      </w:r>
      <w:proofErr w:type="spellStart"/>
      <w:r w:rsidRPr="005121A7">
        <w:rPr>
          <w:rFonts w:ascii="Times New Roman" w:hAnsi="Times New Roman" w:cs="Times New Roman"/>
          <w:color w:val="222222"/>
          <w:sz w:val="24"/>
          <w:szCs w:val="24"/>
          <w:shd w:val="clear" w:color="auto" w:fill="FFFFFF"/>
        </w:rPr>
        <w:t>Pachiyappan</w:t>
      </w:r>
      <w:proofErr w:type="spellEnd"/>
      <w:r w:rsidRPr="005121A7">
        <w:rPr>
          <w:rFonts w:ascii="Times New Roman" w:hAnsi="Times New Roman" w:cs="Times New Roman"/>
          <w:color w:val="222222"/>
          <w:sz w:val="24"/>
          <w:szCs w:val="24"/>
          <w:shd w:val="clear" w:color="auto" w:fill="FFFFFF"/>
        </w:rPr>
        <w:t xml:space="preserve"> T, Kumaran S L. Impact of tinted lenses on contrast sensitivity, </w:t>
      </w:r>
      <w:proofErr w:type="spellStart"/>
      <w:r w:rsidRPr="005121A7">
        <w:rPr>
          <w:rFonts w:ascii="Times New Roman" w:hAnsi="Times New Roman" w:cs="Times New Roman"/>
          <w:color w:val="222222"/>
          <w:sz w:val="24"/>
          <w:szCs w:val="24"/>
          <w:shd w:val="clear" w:color="auto" w:fill="FFFFFF"/>
        </w:rPr>
        <w:t>color</w:t>
      </w:r>
      <w:proofErr w:type="spellEnd"/>
      <w:r w:rsidRPr="005121A7">
        <w:rPr>
          <w:rFonts w:ascii="Times New Roman" w:hAnsi="Times New Roman" w:cs="Times New Roman"/>
          <w:color w:val="222222"/>
          <w:sz w:val="24"/>
          <w:szCs w:val="24"/>
          <w:shd w:val="clear" w:color="auto" w:fill="FFFFFF"/>
        </w:rPr>
        <w:t xml:space="preserve"> vision, and visual reaction time in young adults. Cureus</w:t>
      </w:r>
      <w:r w:rsidRPr="005121A7">
        <w:rPr>
          <w:rFonts w:ascii="Times New Roman" w:hAnsi="Times New Roman" w:cs="Times New Roman"/>
          <w:color w:val="000000" w:themeColor="text1"/>
          <w:sz w:val="24"/>
          <w:szCs w:val="24"/>
          <w:shd w:val="clear" w:color="auto" w:fill="FFFFFF"/>
        </w:rPr>
        <w:t>. 2023; 15(11):1-7.</w:t>
      </w:r>
    </w:p>
    <w:p w14:paraId="58AB2291"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5121A7">
        <w:rPr>
          <w:rStyle w:val="Strong"/>
          <w:rFonts w:ascii="Times New Roman" w:hAnsi="Times New Roman" w:cs="Times New Roman"/>
          <w:b w:val="0"/>
          <w:sz w:val="24"/>
          <w:szCs w:val="24"/>
        </w:rPr>
        <w:t>Norkin</w:t>
      </w:r>
      <w:proofErr w:type="spellEnd"/>
      <w:r w:rsidRPr="005121A7">
        <w:rPr>
          <w:rStyle w:val="Strong"/>
          <w:rFonts w:ascii="Times New Roman" w:hAnsi="Times New Roman" w:cs="Times New Roman"/>
          <w:b w:val="0"/>
          <w:sz w:val="24"/>
          <w:szCs w:val="24"/>
        </w:rPr>
        <w:t xml:space="preserve"> C </w:t>
      </w:r>
      <w:proofErr w:type="spellStart"/>
      <w:r w:rsidRPr="005121A7">
        <w:rPr>
          <w:rStyle w:val="Strong"/>
          <w:rFonts w:ascii="Times New Roman" w:hAnsi="Times New Roman" w:cs="Times New Roman"/>
          <w:b w:val="0"/>
          <w:sz w:val="24"/>
          <w:szCs w:val="24"/>
        </w:rPr>
        <w:t>C</w:t>
      </w:r>
      <w:proofErr w:type="spellEnd"/>
      <w:r w:rsidRPr="005121A7">
        <w:rPr>
          <w:rStyle w:val="Strong"/>
          <w:rFonts w:ascii="Times New Roman" w:hAnsi="Times New Roman" w:cs="Times New Roman"/>
          <w:b w:val="0"/>
          <w:sz w:val="24"/>
          <w:szCs w:val="24"/>
        </w:rPr>
        <w:t>, White D J.</w:t>
      </w:r>
      <w:r w:rsidRPr="005121A7">
        <w:rPr>
          <w:rFonts w:ascii="Times New Roman" w:hAnsi="Times New Roman" w:cs="Times New Roman"/>
          <w:iCs/>
          <w:sz w:val="24"/>
          <w:szCs w:val="24"/>
        </w:rPr>
        <w:t xml:space="preserve"> </w:t>
      </w:r>
      <w:r w:rsidRPr="005121A7">
        <w:rPr>
          <w:rStyle w:val="Emphasis"/>
          <w:rFonts w:ascii="Times New Roman" w:hAnsi="Times New Roman" w:cs="Times New Roman"/>
          <w:i w:val="0"/>
          <w:sz w:val="24"/>
          <w:szCs w:val="24"/>
        </w:rPr>
        <w:t>Measurement of joint motion: a guide to goniometry</w:t>
      </w:r>
      <w:r w:rsidRPr="005121A7">
        <w:rPr>
          <w:rFonts w:ascii="Times New Roman" w:hAnsi="Times New Roman" w:cs="Times New Roman"/>
          <w:i/>
          <w:iCs/>
          <w:sz w:val="24"/>
          <w:szCs w:val="24"/>
        </w:rPr>
        <w:t>.</w:t>
      </w:r>
      <w:r w:rsidRPr="005121A7">
        <w:rPr>
          <w:rFonts w:ascii="Times New Roman" w:hAnsi="Times New Roman" w:cs="Times New Roman"/>
          <w:sz w:val="24"/>
          <w:szCs w:val="24"/>
        </w:rPr>
        <w:t xml:space="preserve"> 5</w:t>
      </w:r>
      <w:r w:rsidRPr="005121A7">
        <w:rPr>
          <w:rFonts w:ascii="Times New Roman" w:hAnsi="Times New Roman" w:cs="Times New Roman"/>
          <w:sz w:val="24"/>
          <w:szCs w:val="24"/>
          <w:vertAlign w:val="superscript"/>
        </w:rPr>
        <w:t xml:space="preserve">th </w:t>
      </w:r>
      <w:r w:rsidRPr="005121A7">
        <w:rPr>
          <w:rFonts w:ascii="Times New Roman" w:hAnsi="Times New Roman" w:cs="Times New Roman"/>
          <w:sz w:val="24"/>
          <w:szCs w:val="24"/>
        </w:rPr>
        <w:t>ed. Philadelphia, F A Davis Company. 2016; 84-</w:t>
      </w:r>
      <w:r w:rsidR="005121A7">
        <w:rPr>
          <w:rFonts w:ascii="Times New Roman" w:hAnsi="Times New Roman" w:cs="Times New Roman"/>
          <w:sz w:val="24"/>
          <w:szCs w:val="24"/>
        </w:rPr>
        <w:t>8</w:t>
      </w:r>
      <w:r w:rsidRPr="005121A7">
        <w:rPr>
          <w:rFonts w:ascii="Times New Roman" w:hAnsi="Times New Roman" w:cs="Times New Roman"/>
          <w:sz w:val="24"/>
          <w:szCs w:val="24"/>
        </w:rPr>
        <w:t>7.</w:t>
      </w:r>
    </w:p>
    <w:p w14:paraId="385A02D2" w14:textId="77777777" w:rsidR="002A6C07" w:rsidRPr="005121A7" w:rsidRDefault="002A6C07" w:rsidP="002A6C07">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hAnsi="Times New Roman" w:cs="Times New Roman"/>
          <w:color w:val="000000" w:themeColor="text1"/>
          <w:sz w:val="24"/>
          <w:szCs w:val="24"/>
          <w:lang w:val="en-US"/>
        </w:rPr>
        <w:t xml:space="preserve">Raut S, </w:t>
      </w:r>
      <w:proofErr w:type="spellStart"/>
      <w:r w:rsidRPr="005121A7">
        <w:rPr>
          <w:rFonts w:ascii="Times New Roman" w:hAnsi="Times New Roman" w:cs="Times New Roman"/>
          <w:color w:val="000000" w:themeColor="text1"/>
          <w:sz w:val="24"/>
          <w:szCs w:val="24"/>
          <w:lang w:val="en-US"/>
        </w:rPr>
        <w:t>Golhar</w:t>
      </w:r>
      <w:proofErr w:type="spellEnd"/>
      <w:r w:rsidRPr="005121A7">
        <w:rPr>
          <w:rFonts w:ascii="Times New Roman" w:hAnsi="Times New Roman" w:cs="Times New Roman"/>
          <w:color w:val="000000" w:themeColor="text1"/>
          <w:sz w:val="24"/>
          <w:szCs w:val="24"/>
          <w:lang w:val="en-US"/>
        </w:rPr>
        <w:t xml:space="preserve"> S P. Correlation between scapular muscle endurance and handwriting legibility in school children: correlational study. IJAR. 2021; 7(7):354-</w:t>
      </w:r>
      <w:r w:rsidR="005121A7">
        <w:rPr>
          <w:rFonts w:ascii="Times New Roman" w:hAnsi="Times New Roman" w:cs="Times New Roman"/>
          <w:color w:val="000000" w:themeColor="text1"/>
          <w:sz w:val="24"/>
          <w:szCs w:val="24"/>
          <w:lang w:val="en-US"/>
        </w:rPr>
        <w:t>5</w:t>
      </w:r>
      <w:r w:rsidRPr="005121A7">
        <w:rPr>
          <w:rFonts w:ascii="Times New Roman" w:hAnsi="Times New Roman" w:cs="Times New Roman"/>
          <w:color w:val="000000" w:themeColor="text1"/>
          <w:sz w:val="24"/>
          <w:szCs w:val="24"/>
          <w:lang w:val="en-US"/>
        </w:rPr>
        <w:t>8.</w:t>
      </w:r>
    </w:p>
    <w:p w14:paraId="702B0C93" w14:textId="77777777" w:rsidR="002A6C07" w:rsidRPr="005121A7" w:rsidRDefault="002A6C07" w:rsidP="00594B98">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hAnsi="Times New Roman" w:cs="Times New Roman"/>
          <w:color w:val="000000" w:themeColor="text1"/>
          <w:sz w:val="24"/>
          <w:szCs w:val="24"/>
          <w:lang w:val="en-US"/>
        </w:rPr>
        <w:t>Gokulakrishnan J, Franklin J. A study on upper limb strengthening exercises on hand writing speed for undergraduates. Journal of Physiotherapy Research. 2020; 4(3):1-3.</w:t>
      </w:r>
    </w:p>
    <w:p w14:paraId="3E8E5EE2" w14:textId="77777777" w:rsidR="002A6C07" w:rsidRPr="005121A7" w:rsidRDefault="002A6C07" w:rsidP="002A6C07">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hAnsi="Times New Roman" w:cs="Times New Roman"/>
          <w:color w:val="000000" w:themeColor="text1"/>
          <w:sz w:val="24"/>
          <w:szCs w:val="24"/>
          <w:lang w:val="en-US"/>
        </w:rPr>
        <w:t>Hughes R E, Johnson M E, Skow A, An K N, O'Driscoll S W. Reliability of a simple shoulder endurance test. Journal of Musculoskeletal Research. 1999; 3(03):195-200</w:t>
      </w:r>
      <w:r w:rsidR="005121A7">
        <w:rPr>
          <w:rFonts w:ascii="Times New Roman" w:hAnsi="Times New Roman" w:cs="Times New Roman"/>
          <w:color w:val="000000" w:themeColor="text1"/>
          <w:sz w:val="24"/>
          <w:szCs w:val="24"/>
          <w:lang w:val="en-US"/>
        </w:rPr>
        <w:t>.</w:t>
      </w:r>
    </w:p>
    <w:p w14:paraId="76DAEB20" w14:textId="77777777" w:rsidR="0027680D" w:rsidRPr="005F6E63" w:rsidRDefault="00F44AE9" w:rsidP="005F6E63">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5121A7">
        <w:rPr>
          <w:rFonts w:ascii="Times New Roman" w:hAnsi="Times New Roman" w:cs="Times New Roman"/>
          <w:color w:val="000000" w:themeColor="text1"/>
          <w:sz w:val="24"/>
          <w:szCs w:val="24"/>
          <w:shd w:val="clear" w:color="auto" w:fill="FFFFFF"/>
        </w:rPr>
        <w:t>Nilukshika</w:t>
      </w:r>
      <w:proofErr w:type="spellEnd"/>
      <w:r w:rsidRPr="005121A7">
        <w:rPr>
          <w:rFonts w:ascii="Times New Roman" w:hAnsi="Times New Roman" w:cs="Times New Roman"/>
          <w:color w:val="000000" w:themeColor="text1"/>
          <w:sz w:val="24"/>
          <w:szCs w:val="24"/>
          <w:shd w:val="clear" w:color="auto" w:fill="FFFFFF"/>
        </w:rPr>
        <w:t xml:space="preserve"> K V, </w:t>
      </w:r>
      <w:proofErr w:type="spellStart"/>
      <w:r w:rsidRPr="005121A7">
        <w:rPr>
          <w:rFonts w:ascii="Times New Roman" w:hAnsi="Times New Roman" w:cs="Times New Roman"/>
          <w:color w:val="000000" w:themeColor="text1"/>
          <w:sz w:val="24"/>
          <w:szCs w:val="24"/>
          <w:shd w:val="clear" w:color="auto" w:fill="FFFFFF"/>
        </w:rPr>
        <w:t>Nanayakkarawasam</w:t>
      </w:r>
      <w:proofErr w:type="spellEnd"/>
      <w:r w:rsidRPr="005121A7">
        <w:rPr>
          <w:rFonts w:ascii="Times New Roman" w:hAnsi="Times New Roman" w:cs="Times New Roman"/>
          <w:color w:val="000000" w:themeColor="text1"/>
          <w:sz w:val="24"/>
          <w:szCs w:val="24"/>
          <w:shd w:val="clear" w:color="auto" w:fill="FFFFFF"/>
        </w:rPr>
        <w:t xml:space="preserve"> P, Wickramasinghe V P. The effects of upper limb exercises on hand writing speed. Indian Journal of Physiotherapy &amp; Occupational Therapy. 2012; 6(3):208-13.</w:t>
      </w:r>
    </w:p>
    <w:sectPr w:rsidR="0027680D" w:rsidRPr="005F6E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20A5" w14:textId="77777777" w:rsidR="0032786E" w:rsidRDefault="0032786E" w:rsidP="00561721">
      <w:pPr>
        <w:spacing w:after="0" w:line="240" w:lineRule="auto"/>
      </w:pPr>
      <w:r>
        <w:separator/>
      </w:r>
    </w:p>
  </w:endnote>
  <w:endnote w:type="continuationSeparator" w:id="0">
    <w:p w14:paraId="5C7C3FD0" w14:textId="77777777" w:rsidR="0032786E" w:rsidRDefault="0032786E" w:rsidP="00561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23D5" w14:textId="77777777" w:rsidR="00561721" w:rsidRDefault="00561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9917" w14:textId="77777777" w:rsidR="00561721" w:rsidRDefault="00561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1D65" w14:textId="77777777" w:rsidR="00561721" w:rsidRDefault="0056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A55B9" w14:textId="77777777" w:rsidR="0032786E" w:rsidRDefault="0032786E" w:rsidP="00561721">
      <w:pPr>
        <w:spacing w:after="0" w:line="240" w:lineRule="auto"/>
      </w:pPr>
      <w:r>
        <w:separator/>
      </w:r>
    </w:p>
  </w:footnote>
  <w:footnote w:type="continuationSeparator" w:id="0">
    <w:p w14:paraId="26474184" w14:textId="77777777" w:rsidR="0032786E" w:rsidRDefault="0032786E" w:rsidP="00561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50EA" w14:textId="682E4924" w:rsidR="00561721" w:rsidRDefault="00561721">
    <w:pPr>
      <w:pStyle w:val="Header"/>
    </w:pPr>
    <w:r>
      <w:rPr>
        <w:noProof/>
      </w:rPr>
      <w:pict w14:anchorId="74C5E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4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FD43" w14:textId="03F8FFC4" w:rsidR="00561721" w:rsidRDefault="00561721">
    <w:pPr>
      <w:pStyle w:val="Header"/>
    </w:pPr>
    <w:r>
      <w:rPr>
        <w:noProof/>
      </w:rPr>
      <w:pict w14:anchorId="31542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4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06B0" w14:textId="38536A2C" w:rsidR="00561721" w:rsidRDefault="00561721">
    <w:pPr>
      <w:pStyle w:val="Header"/>
    </w:pPr>
    <w:r>
      <w:rPr>
        <w:noProof/>
      </w:rPr>
      <w:pict w14:anchorId="70B3A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4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B6BF2"/>
    <w:multiLevelType w:val="hybridMultilevel"/>
    <w:tmpl w:val="BA68C91E"/>
    <w:lvl w:ilvl="0" w:tplc="5F942B18">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 w15:restartNumberingAfterBreak="0">
    <w:nsid w:val="2C947384"/>
    <w:multiLevelType w:val="hybridMultilevel"/>
    <w:tmpl w:val="29F85E28"/>
    <w:lvl w:ilvl="0" w:tplc="3FAAEAC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26"/>
    <w:rsid w:val="00095517"/>
    <w:rsid w:val="00124189"/>
    <w:rsid w:val="0027680D"/>
    <w:rsid w:val="002A6C07"/>
    <w:rsid w:val="002D672F"/>
    <w:rsid w:val="002E4CF4"/>
    <w:rsid w:val="00316EB6"/>
    <w:rsid w:val="0032786E"/>
    <w:rsid w:val="003D3F8C"/>
    <w:rsid w:val="004603FA"/>
    <w:rsid w:val="004B1DDD"/>
    <w:rsid w:val="004E6689"/>
    <w:rsid w:val="004F213D"/>
    <w:rsid w:val="005121A7"/>
    <w:rsid w:val="005176BF"/>
    <w:rsid w:val="00561721"/>
    <w:rsid w:val="005F6E63"/>
    <w:rsid w:val="00655666"/>
    <w:rsid w:val="00657205"/>
    <w:rsid w:val="0066543B"/>
    <w:rsid w:val="007743E5"/>
    <w:rsid w:val="00860874"/>
    <w:rsid w:val="008E5E36"/>
    <w:rsid w:val="00962F71"/>
    <w:rsid w:val="00A6042A"/>
    <w:rsid w:val="00A77C34"/>
    <w:rsid w:val="00B4515B"/>
    <w:rsid w:val="00D22F3A"/>
    <w:rsid w:val="00D808CE"/>
    <w:rsid w:val="00DC1783"/>
    <w:rsid w:val="00DD3532"/>
    <w:rsid w:val="00DF5B26"/>
    <w:rsid w:val="00E25925"/>
    <w:rsid w:val="00E27EBF"/>
    <w:rsid w:val="00E43EC0"/>
    <w:rsid w:val="00F44AE9"/>
    <w:rsid w:val="00FE0D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414EB5"/>
  <w15:chartTrackingRefBased/>
  <w15:docId w15:val="{EC4DD744-403D-4726-84EB-D3708559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80D"/>
  </w:style>
  <w:style w:type="paragraph" w:styleId="Heading1">
    <w:name w:val="heading 1"/>
    <w:basedOn w:val="Normal"/>
    <w:link w:val="Heading1Char"/>
    <w:uiPriority w:val="9"/>
    <w:qFormat/>
    <w:rsid w:val="00276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76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0D"/>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2768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27680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27EBF"/>
    <w:rPr>
      <w:b/>
      <w:bCs/>
    </w:rPr>
  </w:style>
  <w:style w:type="paragraph" w:styleId="ListParagraph">
    <w:name w:val="List Paragraph"/>
    <w:basedOn w:val="Normal"/>
    <w:uiPriority w:val="34"/>
    <w:qFormat/>
    <w:rsid w:val="00F44AE9"/>
    <w:pPr>
      <w:ind w:left="720"/>
      <w:contextualSpacing/>
    </w:pPr>
  </w:style>
  <w:style w:type="character" w:styleId="Emphasis">
    <w:name w:val="Emphasis"/>
    <w:basedOn w:val="DefaultParagraphFont"/>
    <w:uiPriority w:val="20"/>
    <w:qFormat/>
    <w:rsid w:val="00F44AE9"/>
    <w:rPr>
      <w:i/>
      <w:iCs/>
    </w:rPr>
  </w:style>
  <w:style w:type="table" w:styleId="TableGrid">
    <w:name w:val="Table Grid"/>
    <w:basedOn w:val="TableNormal"/>
    <w:uiPriority w:val="39"/>
    <w:rsid w:val="0065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C34"/>
    <w:pPr>
      <w:spacing w:after="200" w:line="240" w:lineRule="auto"/>
    </w:pPr>
    <w:rPr>
      <w:i/>
      <w:iCs/>
      <w:color w:val="44546A" w:themeColor="text2"/>
      <w:sz w:val="18"/>
      <w:szCs w:val="18"/>
    </w:rPr>
  </w:style>
  <w:style w:type="character" w:styleId="Hyperlink">
    <w:name w:val="Hyperlink"/>
    <w:basedOn w:val="DefaultParagraphFont"/>
    <w:uiPriority w:val="99"/>
    <w:unhideWhenUsed/>
    <w:rsid w:val="004603FA"/>
    <w:rPr>
      <w:color w:val="0563C1" w:themeColor="hyperlink"/>
      <w:u w:val="single"/>
    </w:rPr>
  </w:style>
  <w:style w:type="character" w:styleId="UnresolvedMention">
    <w:name w:val="Unresolved Mention"/>
    <w:basedOn w:val="DefaultParagraphFont"/>
    <w:uiPriority w:val="99"/>
    <w:semiHidden/>
    <w:unhideWhenUsed/>
    <w:rsid w:val="004603FA"/>
    <w:rPr>
      <w:color w:val="605E5C"/>
      <w:shd w:val="clear" w:color="auto" w:fill="E1DFDD"/>
    </w:rPr>
  </w:style>
  <w:style w:type="paragraph" w:styleId="Header">
    <w:name w:val="header"/>
    <w:basedOn w:val="Normal"/>
    <w:link w:val="HeaderChar"/>
    <w:uiPriority w:val="99"/>
    <w:unhideWhenUsed/>
    <w:rsid w:val="0056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21"/>
  </w:style>
  <w:style w:type="paragraph" w:styleId="Footer">
    <w:name w:val="footer"/>
    <w:basedOn w:val="Normal"/>
    <w:link w:val="FooterChar"/>
    <w:uiPriority w:val="99"/>
    <w:unhideWhenUsed/>
    <w:rsid w:val="0056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06565">
      <w:bodyDiv w:val="1"/>
      <w:marLeft w:val="0"/>
      <w:marRight w:val="0"/>
      <w:marTop w:val="0"/>
      <w:marBottom w:val="0"/>
      <w:divBdr>
        <w:top w:val="none" w:sz="0" w:space="0" w:color="auto"/>
        <w:left w:val="none" w:sz="0" w:space="0" w:color="auto"/>
        <w:bottom w:val="none" w:sz="0" w:space="0" w:color="auto"/>
        <w:right w:val="none" w:sz="0" w:space="0" w:color="auto"/>
      </w:divBdr>
    </w:div>
    <w:div w:id="838930704">
      <w:bodyDiv w:val="1"/>
      <w:marLeft w:val="0"/>
      <w:marRight w:val="0"/>
      <w:marTop w:val="0"/>
      <w:marBottom w:val="0"/>
      <w:divBdr>
        <w:top w:val="none" w:sz="0" w:space="0" w:color="auto"/>
        <w:left w:val="none" w:sz="0" w:space="0" w:color="auto"/>
        <w:bottom w:val="none" w:sz="0" w:space="0" w:color="auto"/>
        <w:right w:val="none" w:sz="0" w:space="0" w:color="auto"/>
      </w:divBdr>
    </w:div>
    <w:div w:id="895312355">
      <w:bodyDiv w:val="1"/>
      <w:marLeft w:val="0"/>
      <w:marRight w:val="0"/>
      <w:marTop w:val="0"/>
      <w:marBottom w:val="0"/>
      <w:divBdr>
        <w:top w:val="none" w:sz="0" w:space="0" w:color="auto"/>
        <w:left w:val="none" w:sz="0" w:space="0" w:color="auto"/>
        <w:bottom w:val="none" w:sz="0" w:space="0" w:color="auto"/>
        <w:right w:val="none" w:sz="0" w:space="0" w:color="auto"/>
      </w:divBdr>
    </w:div>
    <w:div w:id="1069376663">
      <w:bodyDiv w:val="1"/>
      <w:marLeft w:val="0"/>
      <w:marRight w:val="0"/>
      <w:marTop w:val="0"/>
      <w:marBottom w:val="0"/>
      <w:divBdr>
        <w:top w:val="none" w:sz="0" w:space="0" w:color="auto"/>
        <w:left w:val="none" w:sz="0" w:space="0" w:color="auto"/>
        <w:bottom w:val="none" w:sz="0" w:space="0" w:color="auto"/>
        <w:right w:val="none" w:sz="0" w:space="0" w:color="auto"/>
      </w:divBdr>
    </w:div>
    <w:div w:id="12870766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9777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IR Left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Right Dominance</c:v>
                </c:pt>
                <c:pt idx="1">
                  <c:v>Left Dominance</c:v>
                </c:pt>
              </c:strCache>
            </c:strRef>
          </c:cat>
          <c:val>
            <c:numRef>
              <c:f>Sheet1!$B$2:$B$3</c:f>
              <c:numCache>
                <c:formatCode>General</c:formatCode>
                <c:ptCount val="2"/>
                <c:pt idx="0">
                  <c:v>63.11</c:v>
                </c:pt>
                <c:pt idx="1">
                  <c:v>75</c:v>
                </c:pt>
              </c:numCache>
            </c:numRef>
          </c:val>
          <c:extLst>
            <c:ext xmlns:c16="http://schemas.microsoft.com/office/drawing/2014/chart" uri="{C3380CC4-5D6E-409C-BE32-E72D297353CC}">
              <c16:uniqueId val="{00000000-9768-44D3-A546-0E78E481329D}"/>
            </c:ext>
          </c:extLst>
        </c:ser>
        <c:ser>
          <c:idx val="1"/>
          <c:order val="1"/>
          <c:tx>
            <c:strRef>
              <c:f>Sheet1!$C$1</c:f>
              <c:strCache>
                <c:ptCount val="1"/>
                <c:pt idx="0">
                  <c:v>IR Right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Right Dominance</c:v>
                </c:pt>
                <c:pt idx="1">
                  <c:v>Left Dominance</c:v>
                </c:pt>
              </c:strCache>
            </c:strRef>
          </c:cat>
          <c:val>
            <c:numRef>
              <c:f>Sheet1!$C$2:$C$3</c:f>
              <c:numCache>
                <c:formatCode>General</c:formatCode>
                <c:ptCount val="2"/>
                <c:pt idx="0">
                  <c:v>62.65</c:v>
                </c:pt>
                <c:pt idx="1">
                  <c:v>73.599999999999994</c:v>
                </c:pt>
              </c:numCache>
            </c:numRef>
          </c:val>
          <c:extLst>
            <c:ext xmlns:c16="http://schemas.microsoft.com/office/drawing/2014/chart" uri="{C3380CC4-5D6E-409C-BE32-E72D297353CC}">
              <c16:uniqueId val="{00000001-9768-44D3-A546-0E78E481329D}"/>
            </c:ext>
          </c:extLst>
        </c:ser>
        <c:dLbls>
          <c:showLegendKey val="0"/>
          <c:showVal val="0"/>
          <c:showCatName val="0"/>
          <c:showSerName val="0"/>
          <c:showPercent val="0"/>
          <c:showBubbleSize val="0"/>
        </c:dLbls>
        <c:gapWidth val="219"/>
        <c:overlap val="-27"/>
        <c:axId val="427512744"/>
        <c:axId val="427508480"/>
      </c:barChart>
      <c:catAx>
        <c:axId val="42751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08480"/>
        <c:crosses val="autoZero"/>
        <c:auto val="1"/>
        <c:lblAlgn val="ctr"/>
        <c:lblOffset val="100"/>
        <c:noMultiLvlLbl val="0"/>
      </c:catAx>
      <c:valAx>
        <c:axId val="427508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12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14</Pages>
  <Words>5424</Words>
  <Characters>30920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1180</cp:lastModifiedBy>
  <cp:revision>25</cp:revision>
  <dcterms:created xsi:type="dcterms:W3CDTF">2025-08-14T06:51:00Z</dcterms:created>
  <dcterms:modified xsi:type="dcterms:W3CDTF">2025-09-18T07:32:00Z</dcterms:modified>
</cp:coreProperties>
</file>