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53868" w14:textId="77777777" w:rsidR="005C224F" w:rsidRPr="005C224F" w:rsidRDefault="005C224F" w:rsidP="005C224F">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5C224F">
        <w:rPr>
          <w:rFonts w:ascii="Times New Roman" w:eastAsia="Times New Roman" w:hAnsi="Times New Roman" w:cs="Times New Roman"/>
          <w:b/>
          <w:bCs/>
          <w:kern w:val="36"/>
          <w:sz w:val="24"/>
          <w:szCs w:val="24"/>
        </w:rPr>
        <w:t xml:space="preserve">Assessing the Impact of Currency Volatility on the Implementation and Sustainability of Language Education </w:t>
      </w:r>
      <w:proofErr w:type="spellStart"/>
      <w:r w:rsidRPr="005C224F">
        <w:rPr>
          <w:rFonts w:ascii="Times New Roman" w:eastAsia="Times New Roman" w:hAnsi="Times New Roman" w:cs="Times New Roman"/>
          <w:b/>
          <w:bCs/>
          <w:kern w:val="36"/>
          <w:sz w:val="24"/>
          <w:szCs w:val="24"/>
        </w:rPr>
        <w:t>Programmes</w:t>
      </w:r>
      <w:proofErr w:type="spellEnd"/>
      <w:r w:rsidRPr="005C224F">
        <w:rPr>
          <w:rFonts w:ascii="Times New Roman" w:eastAsia="Times New Roman" w:hAnsi="Times New Roman" w:cs="Times New Roman"/>
          <w:b/>
          <w:bCs/>
          <w:kern w:val="36"/>
          <w:sz w:val="24"/>
          <w:szCs w:val="24"/>
        </w:rPr>
        <w:t xml:space="preserve"> in Nigeria</w:t>
      </w:r>
    </w:p>
    <w:p w14:paraId="3381C107" w14:textId="77777777" w:rsidR="00C31D8B" w:rsidRDefault="00C31D8B" w:rsidP="00747B0D">
      <w:pPr>
        <w:spacing w:after="0" w:line="240" w:lineRule="auto"/>
        <w:jc w:val="center"/>
        <w:rPr>
          <w:rFonts w:ascii="Times New Roman" w:eastAsia="Times New Roman" w:hAnsi="Times New Roman" w:cs="Times New Roman"/>
          <w:b/>
          <w:sz w:val="24"/>
          <w:szCs w:val="24"/>
        </w:rPr>
      </w:pPr>
    </w:p>
    <w:p w14:paraId="3D96D7A8" w14:textId="77777777" w:rsidR="00747B0D" w:rsidRPr="00747B0D" w:rsidRDefault="00747B0D" w:rsidP="00747B0D">
      <w:pPr>
        <w:spacing w:after="0" w:line="240" w:lineRule="auto"/>
        <w:jc w:val="center"/>
        <w:rPr>
          <w:rFonts w:ascii="Times New Roman" w:eastAsia="Times New Roman" w:hAnsi="Times New Roman" w:cs="Times New Roman"/>
          <w:sz w:val="24"/>
          <w:szCs w:val="24"/>
        </w:rPr>
      </w:pPr>
    </w:p>
    <w:p w14:paraId="5EDC2B3C" w14:textId="77777777" w:rsidR="005C224F" w:rsidRPr="005C224F" w:rsidRDefault="005C224F" w:rsidP="001332EA">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Abstract</w:t>
      </w:r>
    </w:p>
    <w:p w14:paraId="3F738985" w14:textId="77777777" w:rsidR="005C224F" w:rsidRPr="005C224F" w:rsidRDefault="005C224F" w:rsidP="005C224F">
      <w:pPr>
        <w:spacing w:before="100" w:beforeAutospacing="1" w:after="100" w:afterAutospacing="1" w:line="24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Language education remains a cornerstone of Nigeria’s cultural identity and socio-economic development. However,</w:t>
      </w:r>
      <w:r w:rsidR="00934792">
        <w:rPr>
          <w:rFonts w:ascii="Times New Roman" w:eastAsia="Times New Roman" w:hAnsi="Times New Roman" w:cs="Times New Roman"/>
          <w:sz w:val="24"/>
          <w:szCs w:val="24"/>
        </w:rPr>
        <w:t xml:space="preserve"> persistent currency volatility </w:t>
      </w:r>
      <w:r w:rsidRPr="005C224F">
        <w:rPr>
          <w:rFonts w:ascii="Times New Roman" w:eastAsia="Times New Roman" w:hAnsi="Times New Roman" w:cs="Times New Roman"/>
          <w:sz w:val="24"/>
          <w:szCs w:val="24"/>
        </w:rPr>
        <w:t>manifested through naira depreciation, high inflation, and foreign exchange instability poses significant challenges to the implementation and sustainability of such</w:t>
      </w:r>
      <w:r w:rsidR="001332EA">
        <w:rPr>
          <w:rFonts w:ascii="Times New Roman" w:eastAsia="Times New Roman" w:hAnsi="Times New Roman" w:cs="Times New Roman"/>
          <w:sz w:val="24"/>
          <w:szCs w:val="24"/>
        </w:rPr>
        <w:t xml:space="preserve"> </w:t>
      </w:r>
      <w:proofErr w:type="spellStart"/>
      <w:r w:rsidR="001332EA">
        <w:rPr>
          <w:rFonts w:ascii="Times New Roman" w:eastAsia="Times New Roman" w:hAnsi="Times New Roman" w:cs="Times New Roman"/>
          <w:sz w:val="24"/>
          <w:szCs w:val="24"/>
        </w:rPr>
        <w:t>programmes</w:t>
      </w:r>
      <w:proofErr w:type="spellEnd"/>
      <w:r w:rsidR="001332EA">
        <w:rPr>
          <w:rFonts w:ascii="Times New Roman" w:eastAsia="Times New Roman" w:hAnsi="Times New Roman" w:cs="Times New Roman"/>
          <w:sz w:val="24"/>
          <w:szCs w:val="24"/>
        </w:rPr>
        <w:t>. This study explored</w:t>
      </w:r>
      <w:r w:rsidRPr="005C224F">
        <w:rPr>
          <w:rFonts w:ascii="Times New Roman" w:eastAsia="Times New Roman" w:hAnsi="Times New Roman" w:cs="Times New Roman"/>
          <w:sz w:val="24"/>
          <w:szCs w:val="24"/>
        </w:rPr>
        <w:t xml:space="preserve"> the relationship between currency volatility and language education outcomes in Nigeria, focusing on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funding, teacher retention, and resource availability. Employing a mixed-methods design, the study collected survey data from 350 respondents (teachers, administrators, and policymakers) and conducted 25 semi-structured interviews across five states. Descriptive statistics, regression modelling, and thematic analysis were used to analyze the data. Findings reveal</w:t>
      </w:r>
      <w:r w:rsidR="00B06E7F">
        <w:rPr>
          <w:rFonts w:ascii="Times New Roman" w:eastAsia="Times New Roman" w:hAnsi="Times New Roman" w:cs="Times New Roman"/>
          <w:sz w:val="24"/>
          <w:szCs w:val="24"/>
        </w:rPr>
        <w:t>ed</w:t>
      </w:r>
      <w:r w:rsidRPr="005C224F">
        <w:rPr>
          <w:rFonts w:ascii="Times New Roman" w:eastAsia="Times New Roman" w:hAnsi="Times New Roman" w:cs="Times New Roman"/>
          <w:sz w:val="24"/>
          <w:szCs w:val="24"/>
        </w:rPr>
        <w:t xml:space="preserve"> that currency volatility significantly undermines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sustainability, with teacher salary instability and import-dependent instructional resources being key stress points. However, stable government funding was found to mitigate some adve</w:t>
      </w:r>
      <w:r w:rsidR="00B06E7F">
        <w:rPr>
          <w:rFonts w:ascii="Times New Roman" w:eastAsia="Times New Roman" w:hAnsi="Times New Roman" w:cs="Times New Roman"/>
          <w:sz w:val="24"/>
          <w:szCs w:val="24"/>
        </w:rPr>
        <w:t>rse effects. The study concluded</w:t>
      </w:r>
      <w:r w:rsidRPr="005C224F">
        <w:rPr>
          <w:rFonts w:ascii="Times New Roman" w:eastAsia="Times New Roman" w:hAnsi="Times New Roman" w:cs="Times New Roman"/>
          <w:sz w:val="24"/>
          <w:szCs w:val="24"/>
        </w:rPr>
        <w:t xml:space="preserve"> that without structural reforms to insulate education financing from macroeconomic instability, Nigeria risks further deterioration of language </w:t>
      </w:r>
      <w:r w:rsidR="00B06E7F">
        <w:rPr>
          <w:rFonts w:ascii="Times New Roman" w:eastAsia="Times New Roman" w:hAnsi="Times New Roman" w:cs="Times New Roman"/>
          <w:sz w:val="24"/>
          <w:szCs w:val="24"/>
        </w:rPr>
        <w:t>education quality. It recommended</w:t>
      </w:r>
      <w:r w:rsidRPr="005C224F">
        <w:rPr>
          <w:rFonts w:ascii="Times New Roman" w:eastAsia="Times New Roman" w:hAnsi="Times New Roman" w:cs="Times New Roman"/>
          <w:sz w:val="24"/>
          <w:szCs w:val="24"/>
        </w:rPr>
        <w:t xml:space="preserve"> budget stabilization mechanisms, local resource production, inflation-indexed teacher salaries, and strategic use of digital platforms to reduce foreign exchange exposure.</w:t>
      </w:r>
    </w:p>
    <w:p w14:paraId="4E6F7C4C" w14:textId="77777777" w:rsidR="005C224F" w:rsidRDefault="005C224F" w:rsidP="005C224F">
      <w:pPr>
        <w:spacing w:before="100" w:beforeAutospacing="1" w:after="100" w:afterAutospacing="1" w:line="240" w:lineRule="auto"/>
        <w:rPr>
          <w:rFonts w:ascii="Times New Roman" w:eastAsia="Times New Roman" w:hAnsi="Times New Roman" w:cs="Times New Roman"/>
          <w:sz w:val="24"/>
          <w:szCs w:val="24"/>
        </w:rPr>
      </w:pPr>
      <w:r w:rsidRPr="005C224F">
        <w:rPr>
          <w:rFonts w:ascii="Times New Roman" w:eastAsia="Times New Roman" w:hAnsi="Times New Roman" w:cs="Times New Roman"/>
          <w:b/>
          <w:bCs/>
          <w:sz w:val="24"/>
          <w:szCs w:val="24"/>
        </w:rPr>
        <w:t>Keywords:</w:t>
      </w:r>
      <w:r w:rsidRPr="005C224F">
        <w:rPr>
          <w:rFonts w:ascii="Times New Roman" w:eastAsia="Times New Roman" w:hAnsi="Times New Roman" w:cs="Times New Roman"/>
          <w:sz w:val="24"/>
          <w:szCs w:val="24"/>
        </w:rPr>
        <w:t xml:space="preserve"> Currency volatility, language education,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sustainability, Nigeria, education financing</w:t>
      </w:r>
    </w:p>
    <w:p w14:paraId="30D45A68" w14:textId="77777777" w:rsidR="005C224F" w:rsidRPr="005C224F" w:rsidRDefault="005C224F" w:rsidP="005C224F">
      <w:pPr>
        <w:spacing w:after="0" w:line="240" w:lineRule="auto"/>
        <w:rPr>
          <w:rFonts w:ascii="Times New Roman" w:eastAsia="Times New Roman" w:hAnsi="Times New Roman" w:cs="Times New Roman"/>
          <w:sz w:val="24"/>
          <w:szCs w:val="24"/>
        </w:rPr>
      </w:pPr>
      <w:bookmarkStart w:id="0" w:name="_GoBack"/>
      <w:bookmarkEnd w:id="0"/>
    </w:p>
    <w:p w14:paraId="5D9D14F5" w14:textId="77777777" w:rsidR="005C224F" w:rsidRPr="005C224F" w:rsidRDefault="005C224F" w:rsidP="005C224F">
      <w:pPr>
        <w:spacing w:before="100" w:beforeAutospacing="1" w:after="100" w:afterAutospacing="1" w:line="240" w:lineRule="auto"/>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1. Introduction</w:t>
      </w:r>
    </w:p>
    <w:p w14:paraId="6E39D84A"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Education is universally recognized as the bedrock of national development, and language education, in particular, plays a pivotal role in preserving cultural heritage, enhancing communication, and fostering social cohesion. Nigeria, a nation with over 500 indigenous languages, alongside English as its official language, occupies a unique position where language education directly impacts both national identity and global competitiveness (Adegbite, 2010). The teaching of languages is not only an academic </w:t>
      </w:r>
      <w:proofErr w:type="spellStart"/>
      <w:r w:rsidRPr="005C224F">
        <w:rPr>
          <w:rFonts w:ascii="Times New Roman" w:eastAsia="Times New Roman" w:hAnsi="Times New Roman" w:cs="Times New Roman"/>
          <w:sz w:val="24"/>
          <w:szCs w:val="24"/>
        </w:rPr>
        <w:t>endeavour</w:t>
      </w:r>
      <w:proofErr w:type="spellEnd"/>
      <w:r w:rsidRPr="005C224F">
        <w:rPr>
          <w:rFonts w:ascii="Times New Roman" w:eastAsia="Times New Roman" w:hAnsi="Times New Roman" w:cs="Times New Roman"/>
          <w:sz w:val="24"/>
          <w:szCs w:val="24"/>
        </w:rPr>
        <w:t xml:space="preserve"> but also a cultural preservation strategy and an economic necessity in a globalized world.</w:t>
      </w:r>
    </w:p>
    <w:p w14:paraId="3C2B6E31"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lastRenderedPageBreak/>
        <w:t xml:space="preserve">Despite policy commitments such as the </w:t>
      </w:r>
      <w:r w:rsidRPr="005C224F">
        <w:rPr>
          <w:rFonts w:ascii="Times New Roman" w:eastAsia="Times New Roman" w:hAnsi="Times New Roman" w:cs="Times New Roman"/>
          <w:bCs/>
          <w:sz w:val="24"/>
          <w:szCs w:val="24"/>
        </w:rPr>
        <w:t>National Policy on Education (2013)</w:t>
      </w:r>
      <w:r w:rsidRPr="005C224F">
        <w:rPr>
          <w:rFonts w:ascii="Times New Roman" w:eastAsia="Times New Roman" w:hAnsi="Times New Roman" w:cs="Times New Roman"/>
          <w:sz w:val="24"/>
          <w:szCs w:val="24"/>
        </w:rPr>
        <w:t xml:space="preserve">, the sustainability of language education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in Nigeria has remained fragile. One of the most pressing, yet understudied, threats is the problem of currency volatility. The naira has faced recurring depreciation against major currencies such as the US dollar and the British pound due to fluctuations in global oil prices, structural economic weaknesses, and domestic policy inconsistencies (IMF, 2024). Such volatility has spillover effects on every sector of the economy, including education.</w:t>
      </w:r>
    </w:p>
    <w:p w14:paraId="692F2970"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Language education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are particularly vulnerable because they rely heavily on imported instructional materials, ICT resources, and professional development training often denominated in foreign currencies (Adebayo &amp; Oni, 2019). When the naira depreciates, the cost of these </w:t>
      </w:r>
      <w:proofErr w:type="gramStart"/>
      <w:r w:rsidRPr="005C224F">
        <w:rPr>
          <w:rFonts w:ascii="Times New Roman" w:eastAsia="Times New Roman" w:hAnsi="Times New Roman" w:cs="Times New Roman"/>
          <w:sz w:val="24"/>
          <w:szCs w:val="24"/>
        </w:rPr>
        <w:t>essentials</w:t>
      </w:r>
      <w:proofErr w:type="gramEnd"/>
      <w:r w:rsidRPr="005C224F">
        <w:rPr>
          <w:rFonts w:ascii="Times New Roman" w:eastAsia="Times New Roman" w:hAnsi="Times New Roman" w:cs="Times New Roman"/>
          <w:sz w:val="24"/>
          <w:szCs w:val="24"/>
        </w:rPr>
        <w:t xml:space="preserve"> skyrockets, straining institutional budgets. Teachers, whose salaries fail to keep pace with inflation, often experience diminished motivation, leading to attrition and strikes (</w:t>
      </w:r>
      <w:proofErr w:type="spellStart"/>
      <w:r w:rsidRPr="005C224F">
        <w:rPr>
          <w:rFonts w:ascii="Times New Roman" w:eastAsia="Times New Roman" w:hAnsi="Times New Roman" w:cs="Times New Roman"/>
          <w:sz w:val="24"/>
          <w:szCs w:val="24"/>
        </w:rPr>
        <w:t>Okebukola</w:t>
      </w:r>
      <w:proofErr w:type="spellEnd"/>
      <w:r w:rsidRPr="005C224F">
        <w:rPr>
          <w:rFonts w:ascii="Times New Roman" w:eastAsia="Times New Roman" w:hAnsi="Times New Roman" w:cs="Times New Roman"/>
          <w:sz w:val="24"/>
          <w:szCs w:val="24"/>
        </w:rPr>
        <w:t>, 2015).</w:t>
      </w:r>
    </w:p>
    <w:p w14:paraId="51558D25"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This study argues that currency volatility is more than an economic phenomenon—it is an educational crisis. The implementation and sustainability of language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in Nigeria cannot be divorced from macroeconomic realities. While scholars have examined the general challenges of education financing in Nigeria (</w:t>
      </w:r>
      <w:proofErr w:type="spellStart"/>
      <w:r w:rsidRPr="005C224F">
        <w:rPr>
          <w:rFonts w:ascii="Times New Roman" w:eastAsia="Times New Roman" w:hAnsi="Times New Roman" w:cs="Times New Roman"/>
          <w:sz w:val="24"/>
          <w:szCs w:val="24"/>
        </w:rPr>
        <w:t>Odukoya</w:t>
      </w:r>
      <w:proofErr w:type="spellEnd"/>
      <w:r w:rsidRPr="005C224F">
        <w:rPr>
          <w:rFonts w:ascii="Times New Roman" w:eastAsia="Times New Roman" w:hAnsi="Times New Roman" w:cs="Times New Roman"/>
          <w:sz w:val="24"/>
          <w:szCs w:val="24"/>
        </w:rPr>
        <w:t xml:space="preserve"> &amp; Adeyemi, 2021), limited empirical evidence links currency volatility to the specific challenges of sustaining language education. This gap motivates the present study.</w:t>
      </w:r>
    </w:p>
    <w:p w14:paraId="5A14AE04" w14:textId="77777777" w:rsidR="005C224F" w:rsidRPr="005C224F" w:rsidRDefault="005C224F" w:rsidP="005C224F">
      <w:pPr>
        <w:spacing w:before="100" w:beforeAutospacing="1" w:after="100" w:afterAutospacing="1" w:line="240" w:lineRule="auto"/>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2. Statement of the Problem</w:t>
      </w:r>
    </w:p>
    <w:p w14:paraId="6664A6AB"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The Nigerian government has consistently emphasized the importance of language education for national integration and cultural preservation. However, implementation gaps persist. Many </w:t>
      </w:r>
      <w:r w:rsidRPr="005C224F">
        <w:rPr>
          <w:rFonts w:ascii="Times New Roman" w:eastAsia="Times New Roman" w:hAnsi="Times New Roman" w:cs="Times New Roman"/>
          <w:sz w:val="24"/>
          <w:szCs w:val="24"/>
        </w:rPr>
        <w:lastRenderedPageBreak/>
        <w:t xml:space="preserve">schools lack adequate teaching resources, and universities struggle to sustain linguistics and language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A critical but often overlooked factor is the instability of Nigeria’s currency.</w:t>
      </w:r>
    </w:p>
    <w:p w14:paraId="3E5AD872"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Between 2020 and 2024, the naira depreciated from approximately ₦365/$1 to over ₦1,500/$1 (Central Bank of Nigeria, 2024). This rapid decline eroded the purchasing power of educational budgets denominated in naira but dependent on foreign exchange. For instance, imported textbooks and digital resources that cost ₦10,000 in 2020</w:t>
      </w:r>
      <w:r w:rsidR="001332EA">
        <w:rPr>
          <w:rFonts w:ascii="Times New Roman" w:eastAsia="Times New Roman" w:hAnsi="Times New Roman" w:cs="Times New Roman"/>
          <w:sz w:val="24"/>
          <w:szCs w:val="24"/>
        </w:rPr>
        <w:t>;</w:t>
      </w:r>
      <w:r w:rsidRPr="005C224F">
        <w:rPr>
          <w:rFonts w:ascii="Times New Roman" w:eastAsia="Times New Roman" w:hAnsi="Times New Roman" w:cs="Times New Roman"/>
          <w:sz w:val="24"/>
          <w:szCs w:val="24"/>
        </w:rPr>
        <w:t xml:space="preserve"> cost over ₦40,000 by 2024. Teacher salaries also failed to keep up with inflation, causing widespread dissatisfaction.</w:t>
      </w:r>
    </w:p>
    <w:p w14:paraId="3E2E5D96"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As a result,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implementation is frequently disrupted: projects stall midway, planned curriculum reviews are delayed, and essential tools such as language labs remain underfunded. More impo</w:t>
      </w:r>
      <w:r w:rsidR="00934792">
        <w:rPr>
          <w:rFonts w:ascii="Times New Roman" w:eastAsia="Times New Roman" w:hAnsi="Times New Roman" w:cs="Times New Roman"/>
          <w:sz w:val="24"/>
          <w:szCs w:val="24"/>
        </w:rPr>
        <w:t xml:space="preserve">rtantly, sustainability suffers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started with enthusiasm are often abandoned due to financial constraints.</w:t>
      </w:r>
    </w:p>
    <w:p w14:paraId="13C92AF9"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If left unaddressed, currency volatility threatens not only Nigeria’s education goals but also its cultural heritage and human capital development. Yet, systematic research on this nexus remains scarce.</w:t>
      </w:r>
    </w:p>
    <w:p w14:paraId="27824004" w14:textId="77777777" w:rsidR="005C224F" w:rsidRPr="005C224F" w:rsidRDefault="005C224F" w:rsidP="005C224F">
      <w:pPr>
        <w:spacing w:before="100" w:beforeAutospacing="1" w:after="100" w:afterAutospacing="1" w:line="240" w:lineRule="auto"/>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3. Objectives of the Study</w:t>
      </w:r>
    </w:p>
    <w:p w14:paraId="4ADE9DB6" w14:textId="77777777" w:rsidR="005C224F" w:rsidRPr="005C224F" w:rsidRDefault="005C224F" w:rsidP="005C224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To examine the extent to which currency volatility affects the implementation of language education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in Nigeria.</w:t>
      </w:r>
    </w:p>
    <w:p w14:paraId="59553B2A" w14:textId="77777777" w:rsidR="005C224F" w:rsidRPr="005C224F" w:rsidRDefault="005C224F" w:rsidP="005C224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To assess the relationship between exchange rate fluctuations and the sustainability of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funding, teacher retention, and resource availability.</w:t>
      </w:r>
    </w:p>
    <w:p w14:paraId="35CB9140" w14:textId="77777777" w:rsidR="005C224F" w:rsidRPr="005C224F" w:rsidRDefault="005C224F" w:rsidP="005C224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lastRenderedPageBreak/>
        <w:t>To explore stakeholders’ perceptions of the challenges posed by currency volatility to language education.</w:t>
      </w:r>
    </w:p>
    <w:p w14:paraId="5D9019AB" w14:textId="77777777" w:rsidR="005C224F" w:rsidRPr="005C224F" w:rsidRDefault="005C224F" w:rsidP="005C224F">
      <w:pPr>
        <w:spacing w:before="100" w:beforeAutospacing="1" w:after="100" w:afterAutospacing="1" w:line="240" w:lineRule="auto"/>
        <w:outlineLvl w:val="1"/>
        <w:rPr>
          <w:rFonts w:ascii="Times New Roman" w:eastAsia="Times New Roman" w:hAnsi="Times New Roman" w:cs="Times New Roman"/>
          <w:b/>
          <w:bCs/>
          <w:sz w:val="24"/>
          <w:szCs w:val="24"/>
        </w:rPr>
      </w:pPr>
      <w:r w:rsidRPr="005C224F">
        <w:rPr>
          <w:rFonts w:ascii="Times New Roman" w:eastAsia="Times New Roman" w:hAnsi="Times New Roman" w:cs="Times New Roman"/>
          <w:b/>
          <w:bCs/>
          <w:sz w:val="24"/>
          <w:szCs w:val="24"/>
        </w:rPr>
        <w:t>4. Research Questions</w:t>
      </w:r>
    </w:p>
    <w:p w14:paraId="7C3591A7" w14:textId="77777777" w:rsidR="005C224F" w:rsidRPr="005C224F" w:rsidRDefault="005C224F" w:rsidP="005C224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How does currency volatility affect the implementation of language education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xml:space="preserve"> in Nigeria?</w:t>
      </w:r>
    </w:p>
    <w:p w14:paraId="2E21C062" w14:textId="77777777" w:rsidR="005C224F" w:rsidRPr="005C224F" w:rsidRDefault="005C224F" w:rsidP="005C224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What is the relationship between exchange rate fluctuations and key sustainability indicators such as funding, teacher retention, and instructional resources?</w:t>
      </w:r>
    </w:p>
    <w:p w14:paraId="5FDE4E3C" w14:textId="77777777" w:rsidR="005C224F" w:rsidRDefault="005C224F" w:rsidP="005C224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How do stakeholders perceive and respond to the challenges posed by currency volatility?</w:t>
      </w:r>
    </w:p>
    <w:p w14:paraId="6E6C3D71" w14:textId="77777777" w:rsidR="00B310DA" w:rsidRPr="00B310DA" w:rsidRDefault="00B310DA" w:rsidP="00B310DA">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sidRPr="00B310DA">
        <w:rPr>
          <w:rFonts w:ascii="Times New Roman" w:hAnsi="Times New Roman" w:cs="Times New Roman"/>
          <w:color w:val="auto"/>
          <w:sz w:val="24"/>
          <w:szCs w:val="24"/>
        </w:rPr>
        <w:t>Scope of the Study</w:t>
      </w:r>
    </w:p>
    <w:p w14:paraId="497E1C99" w14:textId="77777777" w:rsidR="00B310DA" w:rsidRDefault="00B310DA" w:rsidP="00B310DA">
      <w:pPr>
        <w:pStyle w:val="NormalWeb"/>
        <w:spacing w:line="480" w:lineRule="auto"/>
        <w:jc w:val="both"/>
      </w:pPr>
      <w:r>
        <w:t xml:space="preserve">This study is delimited to examining how currency volatility manifested through exchange rate fluctuations, inflationary pressures, and fiscal instability affects the implementation and long-term sustainability of language education </w:t>
      </w:r>
      <w:proofErr w:type="spellStart"/>
      <w:r>
        <w:t>programmes</w:t>
      </w:r>
      <w:proofErr w:type="spellEnd"/>
      <w:r>
        <w:t xml:space="preserve"> in Nigeria. The geographical scope covers selected urban and semi-urban centers across Lagos, Abuja, Kano, Enugu, and Rivers States, representing Nigeria’s major geopolitical zones where language education initiatives are concentrated. The institutional scope includes secondary schools, universities, and language training </w:t>
      </w:r>
      <w:proofErr w:type="spellStart"/>
      <w:r>
        <w:t>centres</w:t>
      </w:r>
      <w:proofErr w:type="spellEnd"/>
      <w:r>
        <w:t xml:space="preserve">, with particular attention to English, French, and indigenous language </w:t>
      </w:r>
      <w:proofErr w:type="spellStart"/>
      <w:r>
        <w:t>programmes</w:t>
      </w:r>
      <w:proofErr w:type="spellEnd"/>
      <w:r>
        <w:t xml:space="preserve">. The temporal scope focuses on developments between 2015 and 2025, a period characterized by recurrent currency depreciation and education funding crises. Conceptually, the study restricts itself to the intersection of macroeconomic instability and language education, without extending to other sectors of the Nigerian educational system unless for contextual </w:t>
      </w:r>
      <w:r>
        <w:lastRenderedPageBreak/>
        <w:t xml:space="preserve">analysis. It does not evaluate general economic impacts or the sustainability of non-educational </w:t>
      </w:r>
      <w:proofErr w:type="spellStart"/>
      <w:r>
        <w:t>programmes</w:t>
      </w:r>
      <w:proofErr w:type="spellEnd"/>
      <w:r>
        <w:t>, thereby ensuring a targeted focus on language education sustainability.</w:t>
      </w:r>
    </w:p>
    <w:p w14:paraId="061BFFDD" w14:textId="77777777" w:rsidR="00B310DA" w:rsidRPr="00B310DA" w:rsidRDefault="00B310DA" w:rsidP="00B310DA">
      <w:pPr>
        <w:pStyle w:val="Heading3"/>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Pr="00B310DA">
        <w:rPr>
          <w:rFonts w:ascii="Times New Roman" w:hAnsi="Times New Roman" w:cs="Times New Roman"/>
          <w:color w:val="auto"/>
          <w:sz w:val="24"/>
          <w:szCs w:val="24"/>
        </w:rPr>
        <w:t>Significance of the Study</w:t>
      </w:r>
    </w:p>
    <w:p w14:paraId="7B33726F" w14:textId="77777777" w:rsidR="00B310DA" w:rsidRDefault="00B310DA" w:rsidP="00B310DA">
      <w:pPr>
        <w:pStyle w:val="NormalWeb"/>
        <w:spacing w:line="480" w:lineRule="auto"/>
        <w:jc w:val="both"/>
      </w:pPr>
      <w:r>
        <w:t xml:space="preserve">This study holds both academic and practical significance. From an academic standpoint, it contributes to the relatively underexplored field of educational economics by highlighting the link between currency volatility and the sustainability of language education </w:t>
      </w:r>
      <w:proofErr w:type="spellStart"/>
      <w:r>
        <w:t>programmes</w:t>
      </w:r>
      <w:proofErr w:type="spellEnd"/>
      <w:r>
        <w:t xml:space="preserve"> in Nigeria. While prior research has examined broader education financing challenges, this study uniquely situates the discourse within the context of language education, a field vital for cultural preservation, international diplomacy, and global competitiveness.</w:t>
      </w:r>
    </w:p>
    <w:p w14:paraId="7FBA1284" w14:textId="77777777" w:rsidR="00B310DA" w:rsidRDefault="00B310DA" w:rsidP="00B310DA">
      <w:pPr>
        <w:pStyle w:val="NormalWeb"/>
        <w:spacing w:line="480" w:lineRule="auto"/>
        <w:jc w:val="both"/>
      </w:pPr>
      <w:r>
        <w:t xml:space="preserve">Practically, the findings are valuable for policymakers in the Ministries of Education and Finance, curriculum developers, donor agencies, and language educators who grapple with the financial unpredictability caused by naira depreciation. By identifying how exchange rate instability drives up costs of imported teaching materials, discourages teacher retention, and undermines </w:t>
      </w:r>
      <w:proofErr w:type="spellStart"/>
      <w:r>
        <w:t>programme</w:t>
      </w:r>
      <w:proofErr w:type="spellEnd"/>
      <w:r>
        <w:t xml:space="preserve"> continuity, the study provides evidence-based insights for designing more resilient funding and salary structures.</w:t>
      </w:r>
    </w:p>
    <w:p w14:paraId="20655E72" w14:textId="77777777" w:rsidR="00B310DA" w:rsidRPr="005C224F" w:rsidRDefault="00B310DA" w:rsidP="00B310DA">
      <w:pPr>
        <w:pStyle w:val="NormalWeb"/>
        <w:spacing w:line="480" w:lineRule="auto"/>
        <w:jc w:val="both"/>
      </w:pPr>
      <w:r>
        <w:t>For society at large, the significance lies in safeguarding Nigeria’s multilingual heritage and ensuring that future generations retain access to functional and competitive language education. The study also aligns with Sustainable Development Goal 4 (Quality Education), offering pathways to strengthen educational resilience in the face of economic instability.</w:t>
      </w:r>
    </w:p>
    <w:p w14:paraId="6BE50511" w14:textId="77777777" w:rsidR="005C224F" w:rsidRPr="005C224F" w:rsidRDefault="00B310DA" w:rsidP="005C224F">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6D1C5C">
        <w:rPr>
          <w:rFonts w:ascii="Times New Roman" w:eastAsia="Times New Roman" w:hAnsi="Times New Roman" w:cs="Times New Roman"/>
          <w:b/>
          <w:bCs/>
          <w:sz w:val="24"/>
          <w:szCs w:val="24"/>
        </w:rPr>
        <w:t xml:space="preserve">. Theoretical Foundation </w:t>
      </w:r>
    </w:p>
    <w:p w14:paraId="4C004C38" w14:textId="77777777" w:rsidR="005C224F" w:rsidRPr="005C224F" w:rsidRDefault="006D1C5C" w:rsidP="005C224F">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study wa</w:t>
      </w:r>
      <w:r w:rsidR="005C224F" w:rsidRPr="005C224F">
        <w:rPr>
          <w:rFonts w:ascii="Times New Roman" w:eastAsia="Times New Roman" w:hAnsi="Times New Roman" w:cs="Times New Roman"/>
          <w:sz w:val="24"/>
          <w:szCs w:val="24"/>
        </w:rPr>
        <w:t xml:space="preserve">s guided by </w:t>
      </w:r>
      <w:r w:rsidR="005C224F" w:rsidRPr="005C224F">
        <w:rPr>
          <w:rFonts w:ascii="Times New Roman" w:eastAsia="Times New Roman" w:hAnsi="Times New Roman" w:cs="Times New Roman"/>
          <w:bCs/>
          <w:sz w:val="24"/>
          <w:szCs w:val="24"/>
        </w:rPr>
        <w:t>Human Capital Theory</w:t>
      </w:r>
      <w:r w:rsidR="005C224F" w:rsidRPr="005C224F">
        <w:rPr>
          <w:rFonts w:ascii="Times New Roman" w:eastAsia="Times New Roman" w:hAnsi="Times New Roman" w:cs="Times New Roman"/>
          <w:sz w:val="24"/>
          <w:szCs w:val="24"/>
        </w:rPr>
        <w:t xml:space="preserve"> and </w:t>
      </w:r>
      <w:r w:rsidR="005C224F" w:rsidRPr="005C224F">
        <w:rPr>
          <w:rFonts w:ascii="Times New Roman" w:eastAsia="Times New Roman" w:hAnsi="Times New Roman" w:cs="Times New Roman"/>
          <w:bCs/>
          <w:sz w:val="24"/>
          <w:szCs w:val="24"/>
        </w:rPr>
        <w:t>Resource Dependence Theory</w:t>
      </w:r>
      <w:r w:rsidR="005C224F" w:rsidRPr="005C224F">
        <w:rPr>
          <w:rFonts w:ascii="Times New Roman" w:eastAsia="Times New Roman" w:hAnsi="Times New Roman" w:cs="Times New Roman"/>
          <w:sz w:val="24"/>
          <w:szCs w:val="24"/>
        </w:rPr>
        <w:t>, both of which provide useful lenses for understanding the impact of economic instability on education.</w:t>
      </w:r>
    </w:p>
    <w:p w14:paraId="4278E1AD"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Human Capital Theory, popularized by Becker (1993), posits that education is an investment in people, yielding returns in the form of enhanced skills, productivity, and socio-economic development. Currency volatility disrupts this investment by reducing the value of funding allocated to education, thereby undermining the capacity to sustain quality language </w:t>
      </w:r>
      <w:proofErr w:type="spellStart"/>
      <w:r w:rsidRPr="005C224F">
        <w:rPr>
          <w:rFonts w:ascii="Times New Roman" w:eastAsia="Times New Roman" w:hAnsi="Times New Roman" w:cs="Times New Roman"/>
          <w:sz w:val="24"/>
          <w:szCs w:val="24"/>
        </w:rPr>
        <w:t>programmes</w:t>
      </w:r>
      <w:proofErr w:type="spellEnd"/>
      <w:r w:rsidRPr="005C224F">
        <w:rPr>
          <w:rFonts w:ascii="Times New Roman" w:eastAsia="Times New Roman" w:hAnsi="Times New Roman" w:cs="Times New Roman"/>
          <w:sz w:val="24"/>
          <w:szCs w:val="24"/>
        </w:rPr>
        <w:t>. When teacher salaries depreciate in real terms or instructional resources become unaffordable, the returns on human capital investment diminish.</w:t>
      </w:r>
    </w:p>
    <w:p w14:paraId="327681D1"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Resource Dependence Theory (Pfeffer &amp; </w:t>
      </w:r>
      <w:proofErr w:type="spellStart"/>
      <w:r w:rsidRPr="005C224F">
        <w:rPr>
          <w:rFonts w:ascii="Times New Roman" w:eastAsia="Times New Roman" w:hAnsi="Times New Roman" w:cs="Times New Roman"/>
          <w:sz w:val="24"/>
          <w:szCs w:val="24"/>
        </w:rPr>
        <w:t>Salancik</w:t>
      </w:r>
      <w:proofErr w:type="spellEnd"/>
      <w:r w:rsidRPr="005C224F">
        <w:rPr>
          <w:rFonts w:ascii="Times New Roman" w:eastAsia="Times New Roman" w:hAnsi="Times New Roman" w:cs="Times New Roman"/>
          <w:sz w:val="24"/>
          <w:szCs w:val="24"/>
        </w:rPr>
        <w:t>, 1978) further illuminates how institutions depend on external resources to survive. In the context of Nigerian language education, schools and universities rely on foreign exchange for textbooks, digital tools, and training. Currency volatility intensifies this dependency, as the naira’s weakness makes external resources more costly. This creates vulnerability, as institutions cannot fully control their resource environment, leading to budgetary strain and disrupted implementation.</w:t>
      </w:r>
    </w:p>
    <w:p w14:paraId="075EEBD9"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Together, these theories explain why economic volatility has disproportionate consequences for education. They also justify the need for adaptive strategies, such as local resource production and funding stabilization, to reduce dependency and safeguard investments in human capital.</w:t>
      </w:r>
    </w:p>
    <w:p w14:paraId="5F8A8ACB" w14:textId="77777777" w:rsidR="005C224F" w:rsidRPr="005C224F" w:rsidRDefault="00B310DA" w:rsidP="005C224F">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5C224F" w:rsidRPr="005C224F">
        <w:rPr>
          <w:rFonts w:ascii="Times New Roman" w:eastAsia="Times New Roman" w:hAnsi="Times New Roman" w:cs="Times New Roman"/>
          <w:b/>
          <w:bCs/>
          <w:sz w:val="24"/>
          <w:szCs w:val="24"/>
        </w:rPr>
        <w:t>. Literature Review</w:t>
      </w:r>
    </w:p>
    <w:p w14:paraId="60FB78F7"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Research on education in Nigeria consistently highlights funding challenges as a major impediment to </w:t>
      </w:r>
      <w:proofErr w:type="spellStart"/>
      <w:r w:rsidRPr="005C224F">
        <w:rPr>
          <w:rFonts w:ascii="Times New Roman" w:eastAsia="Times New Roman" w:hAnsi="Times New Roman" w:cs="Times New Roman"/>
          <w:sz w:val="24"/>
          <w:szCs w:val="24"/>
        </w:rPr>
        <w:t>programme</w:t>
      </w:r>
      <w:proofErr w:type="spellEnd"/>
      <w:r w:rsidRPr="005C224F">
        <w:rPr>
          <w:rFonts w:ascii="Times New Roman" w:eastAsia="Times New Roman" w:hAnsi="Times New Roman" w:cs="Times New Roman"/>
          <w:sz w:val="24"/>
          <w:szCs w:val="24"/>
        </w:rPr>
        <w:t xml:space="preserve"> success. </w:t>
      </w:r>
      <w:proofErr w:type="spellStart"/>
      <w:r w:rsidRPr="005C224F">
        <w:rPr>
          <w:rFonts w:ascii="Times New Roman" w:eastAsia="Times New Roman" w:hAnsi="Times New Roman" w:cs="Times New Roman"/>
          <w:sz w:val="24"/>
          <w:szCs w:val="24"/>
        </w:rPr>
        <w:t>Odukoya</w:t>
      </w:r>
      <w:proofErr w:type="spellEnd"/>
      <w:r w:rsidRPr="005C224F">
        <w:rPr>
          <w:rFonts w:ascii="Times New Roman" w:eastAsia="Times New Roman" w:hAnsi="Times New Roman" w:cs="Times New Roman"/>
          <w:sz w:val="24"/>
          <w:szCs w:val="24"/>
        </w:rPr>
        <w:t xml:space="preserve"> and Adeyemi (2021) argue that inadequate and unstable financing directly undermines implementation across the education sector. Adegbite </w:t>
      </w:r>
      <w:r w:rsidRPr="005C224F">
        <w:rPr>
          <w:rFonts w:ascii="Times New Roman" w:eastAsia="Times New Roman" w:hAnsi="Times New Roman" w:cs="Times New Roman"/>
          <w:sz w:val="24"/>
          <w:szCs w:val="24"/>
        </w:rPr>
        <w:lastRenderedPageBreak/>
        <w:t>(2010) specifically notes that language education suffers from neglect, underfunding, and inconsistent policy application.</w:t>
      </w:r>
    </w:p>
    <w:p w14:paraId="2A5C9929"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Globally, the effects of currency volatility on social sectors are well documented. World Bank (2023) shows that exchange rate shocks reduce governments’ real spending capacity, often leading to cuts in education budgets. UNESCO (2023) similarly emphasizes that financial instability widens the gap between education policy aspirations and actual outcomes in sub-Saharan Africa.</w:t>
      </w:r>
    </w:p>
    <w:p w14:paraId="3D6C9648"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 xml:space="preserve">Within Nigeria, scholars have examined related issues such as teacher motivation, strikes, and the cost of instructional materials. </w:t>
      </w:r>
      <w:proofErr w:type="spellStart"/>
      <w:r w:rsidRPr="005C224F">
        <w:rPr>
          <w:rFonts w:ascii="Times New Roman" w:eastAsia="Times New Roman" w:hAnsi="Times New Roman" w:cs="Times New Roman"/>
          <w:sz w:val="24"/>
          <w:szCs w:val="24"/>
        </w:rPr>
        <w:t>Okebukola</w:t>
      </w:r>
      <w:proofErr w:type="spellEnd"/>
      <w:r w:rsidRPr="005C224F">
        <w:rPr>
          <w:rFonts w:ascii="Times New Roman" w:eastAsia="Times New Roman" w:hAnsi="Times New Roman" w:cs="Times New Roman"/>
          <w:sz w:val="24"/>
          <w:szCs w:val="24"/>
        </w:rPr>
        <w:t xml:space="preserve"> (2015) observed that poor remuneration in volatile economies leads to teacher attrition and frequent industrial action. Adebayo and Oni (2019) found that dependence on imported instructional resources makes Nigeria’s education sector particularly vulnerable to exchange rate fluctuations.</w:t>
      </w:r>
    </w:p>
    <w:p w14:paraId="09CE2093" w14:textId="77777777" w:rsidR="005C224F" w:rsidRPr="005C224F" w:rsidRDefault="005C224F" w:rsidP="005C224F">
      <w:pPr>
        <w:spacing w:before="100" w:beforeAutospacing="1" w:after="100" w:afterAutospacing="1" w:line="480" w:lineRule="auto"/>
        <w:jc w:val="both"/>
        <w:rPr>
          <w:rFonts w:ascii="Times New Roman" w:eastAsia="Times New Roman" w:hAnsi="Times New Roman" w:cs="Times New Roman"/>
          <w:sz w:val="24"/>
          <w:szCs w:val="24"/>
        </w:rPr>
      </w:pPr>
      <w:r w:rsidRPr="005C224F">
        <w:rPr>
          <w:rFonts w:ascii="Times New Roman" w:eastAsia="Times New Roman" w:hAnsi="Times New Roman" w:cs="Times New Roman"/>
          <w:sz w:val="24"/>
          <w:szCs w:val="24"/>
        </w:rPr>
        <w:t>Despite these insights, there remains a lack of comprehensive empirical studies that directly investigate how currency volatility affects language education specifically. This study seeks to fill that gap by combining quantitative modelling with qualitative perspectives.</w:t>
      </w:r>
    </w:p>
    <w:p w14:paraId="43C467C4" w14:textId="77777777" w:rsidR="002636F7" w:rsidRPr="006D1C5C" w:rsidRDefault="00B310DA" w:rsidP="002636F7">
      <w:pPr>
        <w:pStyle w:val="Heading3"/>
        <w:rPr>
          <w:rFonts w:ascii="Times New Roman" w:hAnsi="Times New Roman" w:cs="Times New Roman"/>
          <w:color w:val="auto"/>
          <w:sz w:val="24"/>
          <w:szCs w:val="24"/>
        </w:rPr>
      </w:pPr>
      <w:r>
        <w:rPr>
          <w:rFonts w:ascii="Times New Roman" w:hAnsi="Times New Roman" w:cs="Times New Roman"/>
          <w:color w:val="auto"/>
          <w:sz w:val="24"/>
          <w:szCs w:val="24"/>
        </w:rPr>
        <w:t>9</w:t>
      </w:r>
      <w:r w:rsidR="002636F7" w:rsidRPr="006D1C5C">
        <w:rPr>
          <w:rFonts w:ascii="Times New Roman" w:hAnsi="Times New Roman" w:cs="Times New Roman"/>
          <w:color w:val="auto"/>
          <w:sz w:val="24"/>
          <w:szCs w:val="24"/>
        </w:rPr>
        <w:t>. Empirical Review</w:t>
      </w:r>
    </w:p>
    <w:p w14:paraId="60CDA52A" w14:textId="77777777" w:rsidR="002636F7" w:rsidRDefault="002636F7" w:rsidP="006D1C5C">
      <w:pPr>
        <w:pStyle w:val="NormalWeb"/>
        <w:spacing w:line="480" w:lineRule="auto"/>
        <w:jc w:val="both"/>
      </w:pPr>
      <w:r>
        <w:t xml:space="preserve">Several empirical studies provide useful insights into the relationship between macroeconomic instability and education outcomes, particularly in Nigeria and comparable developing contexts. </w:t>
      </w:r>
      <w:proofErr w:type="spellStart"/>
      <w:r>
        <w:t>Odukoya</w:t>
      </w:r>
      <w:proofErr w:type="spellEnd"/>
      <w:r>
        <w:t xml:space="preserve"> and Adeyemi (2021) conducted an extensive analysis of education financing in Nigeria and found that inflation and persistent scarcity of foreign exchange directly hindered </w:t>
      </w:r>
      <w:proofErr w:type="spellStart"/>
      <w:r>
        <w:t>programme</w:t>
      </w:r>
      <w:proofErr w:type="spellEnd"/>
      <w:r>
        <w:t xml:space="preserve"> implementation, with ripple effects on teacher welfare and student learning outcomes. Similarly, </w:t>
      </w:r>
      <w:r>
        <w:lastRenderedPageBreak/>
        <w:t>UNESCO (2023) reported that exchange rate instability across West Africa led to reduced investment in teacher training and curriculum development, as governments struggled to balance resource allocations between education and other pressing sectors such as health and infrastructure.</w:t>
      </w:r>
    </w:p>
    <w:p w14:paraId="4C4629BA" w14:textId="77777777" w:rsidR="002636F7" w:rsidRDefault="002636F7" w:rsidP="006D1C5C">
      <w:pPr>
        <w:pStyle w:val="NormalWeb"/>
        <w:spacing w:line="480" w:lineRule="auto"/>
        <w:jc w:val="both"/>
      </w:pPr>
      <w:r>
        <w:t xml:space="preserve">At the national level, </w:t>
      </w:r>
      <w:proofErr w:type="spellStart"/>
      <w:r>
        <w:t>Okebukola</w:t>
      </w:r>
      <w:proofErr w:type="spellEnd"/>
      <w:r>
        <w:t xml:space="preserve"> (2015) provided empirical evidence that teacher attrition in Nigeria spiked during periods of intense naira depreciation, a finding that underscores the vulnerability of the teaching workforce to macroeconomic shocks. Adebayo and Oni (2019) further revealed that imported textbooks and ICT tools became prohibitively expensive as the naira weakened, severely constraining the quality of teaching and learning in language education </w:t>
      </w:r>
      <w:proofErr w:type="spellStart"/>
      <w:r>
        <w:t>programmes</w:t>
      </w:r>
      <w:proofErr w:type="spellEnd"/>
      <w:r>
        <w:t>.</w:t>
      </w:r>
    </w:p>
    <w:p w14:paraId="3ABBACDF" w14:textId="77777777" w:rsidR="002636F7" w:rsidRDefault="002636F7" w:rsidP="006D1C5C">
      <w:pPr>
        <w:pStyle w:val="NormalWeb"/>
        <w:spacing w:line="480" w:lineRule="auto"/>
        <w:jc w:val="both"/>
      </w:pPr>
      <w:r>
        <w:t>While these studies reveal important dynamics, none has holistically examined the multi-layered effects of currency volatility on the sustainability of language education specifically. This underscores the novelty and contribution of the present research, which combines quantitative and qualitative evidence to bridge the gap between macroeconomic analysis and educational policy outcomes.</w:t>
      </w:r>
    </w:p>
    <w:p w14:paraId="4CE3BADB" w14:textId="77777777" w:rsidR="002636F7" w:rsidRPr="006D1C5C" w:rsidRDefault="00B310DA" w:rsidP="002636F7">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10</w:t>
      </w:r>
      <w:r w:rsidR="002636F7" w:rsidRPr="006D1C5C">
        <w:rPr>
          <w:rFonts w:ascii="Times New Roman" w:hAnsi="Times New Roman" w:cs="Times New Roman"/>
          <w:color w:val="auto"/>
          <w:sz w:val="24"/>
          <w:szCs w:val="24"/>
        </w:rPr>
        <w:t>. Methodology</w:t>
      </w:r>
    </w:p>
    <w:p w14:paraId="57844736" w14:textId="77777777" w:rsidR="002636F7" w:rsidRDefault="002636F7" w:rsidP="006D1C5C">
      <w:pPr>
        <w:pStyle w:val="NormalWeb"/>
        <w:spacing w:line="480" w:lineRule="auto"/>
        <w:jc w:val="both"/>
      </w:pPr>
      <w:r>
        <w:t xml:space="preserve">This study employed a </w:t>
      </w:r>
      <w:r w:rsidRPr="006D1C5C">
        <w:rPr>
          <w:rStyle w:val="Strong"/>
          <w:b w:val="0"/>
        </w:rPr>
        <w:t>mixed-methods design</w:t>
      </w:r>
      <w:r>
        <w:t xml:space="preserve"> that integrated quantitative and qualitative strands to generate a more comprehensive picture of the impact of currency volatility on language education in Nigeria.</w:t>
      </w:r>
    </w:p>
    <w:p w14:paraId="08ACD2CA" w14:textId="77777777" w:rsidR="002636F7" w:rsidRPr="006D1C5C" w:rsidRDefault="002636F7" w:rsidP="002636F7">
      <w:pPr>
        <w:pStyle w:val="Heading4"/>
        <w:rPr>
          <w:rFonts w:ascii="Times New Roman" w:hAnsi="Times New Roman" w:cs="Times New Roman"/>
          <w:i w:val="0"/>
          <w:color w:val="auto"/>
          <w:sz w:val="24"/>
          <w:szCs w:val="24"/>
        </w:rPr>
      </w:pPr>
      <w:r w:rsidRPr="006D1C5C">
        <w:rPr>
          <w:rFonts w:ascii="Times New Roman" w:hAnsi="Times New Roman" w:cs="Times New Roman"/>
          <w:i w:val="0"/>
          <w:color w:val="auto"/>
          <w:sz w:val="24"/>
          <w:szCs w:val="24"/>
        </w:rPr>
        <w:lastRenderedPageBreak/>
        <w:t>Quantitative Component</w:t>
      </w:r>
    </w:p>
    <w:p w14:paraId="691F3FA2" w14:textId="77777777" w:rsidR="002636F7" w:rsidRDefault="002636F7" w:rsidP="006D1C5C">
      <w:pPr>
        <w:pStyle w:val="NormalWeb"/>
        <w:spacing w:line="480" w:lineRule="auto"/>
        <w:jc w:val="both"/>
      </w:pPr>
      <w:r>
        <w:t>A survey was administered to 350 respondents, comprising 200 teachers, 100 administrators, and 50 policymakers across Lagos, Abuja, Kano, Enugu, and Rivers. These states were purposively selected to represent Nigeria’s geopolitical, linguistic, and socioeconomic diversity. Stratified random sampling ensured proportional representation of stakeholders within each group.</w:t>
      </w:r>
    </w:p>
    <w:p w14:paraId="6ED92927" w14:textId="77777777" w:rsidR="002636F7" w:rsidRDefault="002636F7" w:rsidP="006D1C5C">
      <w:pPr>
        <w:pStyle w:val="NormalWeb"/>
        <w:spacing w:line="480" w:lineRule="auto"/>
        <w:jc w:val="both"/>
      </w:pPr>
      <w:r>
        <w:t xml:space="preserve">The survey collected data on demographic profiles, perceptions of </w:t>
      </w:r>
      <w:proofErr w:type="spellStart"/>
      <w:r>
        <w:t>programme</w:t>
      </w:r>
      <w:proofErr w:type="spellEnd"/>
      <w:r>
        <w:t xml:space="preserve"> sustainability, cost fluctuations, and institutional adaptation strategies. Responses were analyzed using descriptive statistics and multiple regression analysis via SPSS (version 28). The dependent variable, </w:t>
      </w:r>
      <w:proofErr w:type="spellStart"/>
      <w:r w:rsidRPr="006D1C5C">
        <w:rPr>
          <w:rStyle w:val="Strong"/>
          <w:b w:val="0"/>
        </w:rPr>
        <w:t>Programme</w:t>
      </w:r>
      <w:proofErr w:type="spellEnd"/>
      <w:r w:rsidRPr="006D1C5C">
        <w:rPr>
          <w:rStyle w:val="Strong"/>
          <w:b w:val="0"/>
        </w:rPr>
        <w:t xml:space="preserve"> Sustainability</w:t>
      </w:r>
      <w:r>
        <w:t xml:space="preserve">, was measured on a 5-point Likert scale (1 = very unsustainable, 5 = very sustainable). Independent variables included </w:t>
      </w:r>
      <w:r w:rsidRPr="006D1C5C">
        <w:rPr>
          <w:rStyle w:val="Strong"/>
          <w:b w:val="0"/>
        </w:rPr>
        <w:t>Currency Volatility Index</w:t>
      </w:r>
      <w:r>
        <w:rPr>
          <w:rStyle w:val="Strong"/>
        </w:rPr>
        <w:t xml:space="preserve"> </w:t>
      </w:r>
      <w:r w:rsidRPr="006D1C5C">
        <w:rPr>
          <w:rStyle w:val="Strong"/>
          <w:b w:val="0"/>
        </w:rPr>
        <w:t>(CVI)</w:t>
      </w:r>
      <w:r w:rsidRPr="006D1C5C">
        <w:rPr>
          <w:b/>
        </w:rPr>
        <w:t xml:space="preserve">, </w:t>
      </w:r>
      <w:r w:rsidRPr="006D1C5C">
        <w:rPr>
          <w:rStyle w:val="Strong"/>
          <w:b w:val="0"/>
        </w:rPr>
        <w:t>teacher salary fluctuation</w:t>
      </w:r>
      <w:r w:rsidRPr="006D1C5C">
        <w:rPr>
          <w:b/>
        </w:rPr>
        <w:t xml:space="preserve">, </w:t>
      </w:r>
      <w:r w:rsidRPr="006D1C5C">
        <w:t>and</w:t>
      </w:r>
      <w:r w:rsidRPr="006D1C5C">
        <w:rPr>
          <w:b/>
        </w:rPr>
        <w:t xml:space="preserve"> </w:t>
      </w:r>
      <w:r w:rsidRPr="006D1C5C">
        <w:rPr>
          <w:rStyle w:val="Strong"/>
          <w:b w:val="0"/>
        </w:rPr>
        <w:t>government funding reliability</w:t>
      </w:r>
      <w:r>
        <w:t>.</w:t>
      </w:r>
    </w:p>
    <w:p w14:paraId="1C0CAE50" w14:textId="77777777" w:rsidR="002636F7" w:rsidRDefault="006D1C5C" w:rsidP="002636F7">
      <w:pPr>
        <w:pStyle w:val="NormalWeb"/>
      </w:pPr>
      <w:r>
        <w:t>Model Specification</w:t>
      </w:r>
      <w:r w:rsidR="002636F7">
        <w:t>:</w:t>
      </w:r>
    </w:p>
    <w:p w14:paraId="2D87F154" w14:textId="77777777" w:rsidR="002636F7" w:rsidRPr="006D1C5C" w:rsidRDefault="002636F7" w:rsidP="006D1C5C">
      <w:pPr>
        <w:spacing w:line="480" w:lineRule="auto"/>
        <w:jc w:val="both"/>
        <w:rPr>
          <w:rFonts w:ascii="Times New Roman" w:hAnsi="Times New Roman" w:cs="Times New Roman"/>
          <w:sz w:val="24"/>
          <w:szCs w:val="24"/>
        </w:rPr>
      </w:pPr>
      <w:r w:rsidRPr="006D1C5C">
        <w:rPr>
          <w:rStyle w:val="katex-mathml"/>
          <w:rFonts w:ascii="Times New Roman" w:hAnsi="Times New Roman" w:cs="Times New Roman"/>
          <w:sz w:val="24"/>
          <w:szCs w:val="24"/>
        </w:rPr>
        <w:t>Y=β0+β1(CVI)+β2(Salary </w:t>
      </w:r>
      <w:proofErr w:type="gramStart"/>
      <w:r w:rsidRPr="006D1C5C">
        <w:rPr>
          <w:rStyle w:val="katex-mathml"/>
          <w:rFonts w:ascii="Times New Roman" w:hAnsi="Times New Roman" w:cs="Times New Roman"/>
          <w:sz w:val="24"/>
          <w:szCs w:val="24"/>
        </w:rPr>
        <w:t>Fluctuation)+</w:t>
      </w:r>
      <w:proofErr w:type="gramEnd"/>
      <w:r w:rsidRPr="006D1C5C">
        <w:rPr>
          <w:rStyle w:val="katex-mathml"/>
          <w:rFonts w:ascii="Times New Roman" w:hAnsi="Times New Roman" w:cs="Times New Roman"/>
          <w:sz w:val="24"/>
          <w:szCs w:val="24"/>
        </w:rPr>
        <w:t>β3(</w:t>
      </w:r>
      <w:proofErr w:type="spellStart"/>
      <w:r w:rsidRPr="006D1C5C">
        <w:rPr>
          <w:rStyle w:val="katex-mathml"/>
          <w:rFonts w:ascii="Times New Roman" w:hAnsi="Times New Roman" w:cs="Times New Roman"/>
          <w:sz w:val="24"/>
          <w:szCs w:val="24"/>
        </w:rPr>
        <w:t>GovFunding</w:t>
      </w:r>
      <w:proofErr w:type="spellEnd"/>
      <w:r w:rsidRPr="006D1C5C">
        <w:rPr>
          <w:rStyle w:val="katex-mathml"/>
          <w:rFonts w:ascii="Times New Roman" w:hAnsi="Times New Roman" w:cs="Times New Roman"/>
          <w:sz w:val="24"/>
          <w:szCs w:val="24"/>
        </w:rPr>
        <w:t>)+ϵY = \beta_0 + \beta_1(\text{CVI}) + \beta_2(\text{Salary Fluctuation}) + \beta_3(\text{</w:t>
      </w:r>
      <w:proofErr w:type="spellStart"/>
      <w:r w:rsidRPr="006D1C5C">
        <w:rPr>
          <w:rStyle w:val="katex-mathml"/>
          <w:rFonts w:ascii="Times New Roman" w:hAnsi="Times New Roman" w:cs="Times New Roman"/>
          <w:sz w:val="24"/>
          <w:szCs w:val="24"/>
        </w:rPr>
        <w:t>GovFunding</w:t>
      </w:r>
      <w:proofErr w:type="spellEnd"/>
      <w:r w:rsidRPr="006D1C5C">
        <w:rPr>
          <w:rStyle w:val="katex-mathml"/>
          <w:rFonts w:ascii="Times New Roman" w:hAnsi="Times New Roman" w:cs="Times New Roman"/>
          <w:sz w:val="24"/>
          <w:szCs w:val="24"/>
        </w:rPr>
        <w:t>}) + \</w:t>
      </w:r>
      <w:proofErr w:type="spellStart"/>
      <w:r w:rsidRPr="006D1C5C">
        <w:rPr>
          <w:rStyle w:val="katex-mathml"/>
          <w:rFonts w:ascii="Times New Roman" w:hAnsi="Times New Roman" w:cs="Times New Roman"/>
          <w:sz w:val="24"/>
          <w:szCs w:val="24"/>
        </w:rPr>
        <w:t>epsilon</w:t>
      </w:r>
      <w:r w:rsidRPr="006D1C5C">
        <w:rPr>
          <w:rStyle w:val="mord"/>
          <w:rFonts w:ascii="Times New Roman" w:hAnsi="Times New Roman" w:cs="Times New Roman"/>
          <w:sz w:val="24"/>
          <w:szCs w:val="24"/>
        </w:rPr>
        <w:t>Y</w:t>
      </w:r>
      <w:proofErr w:type="spellEnd"/>
      <w:r w:rsidRPr="006D1C5C">
        <w:rPr>
          <w:rStyle w:val="mrel"/>
          <w:rFonts w:ascii="Times New Roman" w:hAnsi="Times New Roman" w:cs="Times New Roman"/>
          <w:sz w:val="24"/>
          <w:szCs w:val="24"/>
        </w:rPr>
        <w:t>=</w:t>
      </w:r>
      <w:r w:rsidRPr="006D1C5C">
        <w:rPr>
          <w:rStyle w:val="mord"/>
          <w:rFonts w:ascii="Times New Roman" w:hAnsi="Times New Roman" w:cs="Times New Roman"/>
          <w:sz w:val="24"/>
          <w:szCs w:val="24"/>
        </w:rPr>
        <w:t>β0</w:t>
      </w:r>
      <w:r w:rsidRPr="006D1C5C">
        <w:rPr>
          <w:rStyle w:val="vlist-s"/>
          <w:rFonts w:ascii="Times New Roman" w:hAnsi="Times New Roman" w:cs="Times New Roman"/>
          <w:sz w:val="24"/>
          <w:szCs w:val="24"/>
        </w:rPr>
        <w:t>​</w:t>
      </w:r>
      <w:r w:rsidRPr="006D1C5C">
        <w:rPr>
          <w:rStyle w:val="mbin"/>
          <w:rFonts w:ascii="Times New Roman" w:hAnsi="Times New Roman" w:cs="Times New Roman"/>
          <w:sz w:val="24"/>
          <w:szCs w:val="24"/>
        </w:rPr>
        <w:t>+</w:t>
      </w:r>
      <w:r w:rsidRPr="006D1C5C">
        <w:rPr>
          <w:rStyle w:val="mord"/>
          <w:rFonts w:ascii="Times New Roman" w:hAnsi="Times New Roman" w:cs="Times New Roman"/>
          <w:sz w:val="24"/>
          <w:szCs w:val="24"/>
        </w:rPr>
        <w:t>β1</w:t>
      </w:r>
      <w:r w:rsidRPr="006D1C5C">
        <w:rPr>
          <w:rStyle w:val="vlist-s"/>
          <w:rFonts w:ascii="Times New Roman" w:hAnsi="Times New Roman" w:cs="Times New Roman"/>
          <w:sz w:val="24"/>
          <w:szCs w:val="24"/>
        </w:rPr>
        <w:t>​</w:t>
      </w:r>
      <w:r w:rsidRPr="006D1C5C">
        <w:rPr>
          <w:rStyle w:val="mopen"/>
          <w:rFonts w:ascii="Times New Roman" w:hAnsi="Times New Roman" w:cs="Times New Roman"/>
          <w:sz w:val="24"/>
          <w:szCs w:val="24"/>
        </w:rPr>
        <w:t>(</w:t>
      </w:r>
      <w:r w:rsidRPr="006D1C5C">
        <w:rPr>
          <w:rStyle w:val="mord"/>
          <w:rFonts w:ascii="Times New Roman" w:hAnsi="Times New Roman" w:cs="Times New Roman"/>
          <w:sz w:val="24"/>
          <w:szCs w:val="24"/>
        </w:rPr>
        <w:t>CVI</w:t>
      </w:r>
      <w:r w:rsidRPr="006D1C5C">
        <w:rPr>
          <w:rStyle w:val="mclose"/>
          <w:rFonts w:ascii="Times New Roman" w:hAnsi="Times New Roman" w:cs="Times New Roman"/>
          <w:sz w:val="24"/>
          <w:szCs w:val="24"/>
        </w:rPr>
        <w:t>)</w:t>
      </w:r>
      <w:r w:rsidRPr="006D1C5C">
        <w:rPr>
          <w:rStyle w:val="mbin"/>
          <w:rFonts w:ascii="Times New Roman" w:hAnsi="Times New Roman" w:cs="Times New Roman"/>
          <w:sz w:val="24"/>
          <w:szCs w:val="24"/>
        </w:rPr>
        <w:t>+</w:t>
      </w:r>
      <w:r w:rsidRPr="006D1C5C">
        <w:rPr>
          <w:rStyle w:val="mord"/>
          <w:rFonts w:ascii="Times New Roman" w:hAnsi="Times New Roman" w:cs="Times New Roman"/>
          <w:sz w:val="24"/>
          <w:szCs w:val="24"/>
        </w:rPr>
        <w:t>β2</w:t>
      </w:r>
      <w:r w:rsidRPr="006D1C5C">
        <w:rPr>
          <w:rStyle w:val="vlist-s"/>
          <w:rFonts w:ascii="Times New Roman" w:hAnsi="Times New Roman" w:cs="Times New Roman"/>
          <w:sz w:val="24"/>
          <w:szCs w:val="24"/>
        </w:rPr>
        <w:t>​</w:t>
      </w:r>
      <w:r w:rsidRPr="006D1C5C">
        <w:rPr>
          <w:rStyle w:val="mopen"/>
          <w:rFonts w:ascii="Times New Roman" w:hAnsi="Times New Roman" w:cs="Times New Roman"/>
          <w:sz w:val="24"/>
          <w:szCs w:val="24"/>
        </w:rPr>
        <w:t>(</w:t>
      </w:r>
      <w:r w:rsidRPr="006D1C5C">
        <w:rPr>
          <w:rStyle w:val="mord"/>
          <w:rFonts w:ascii="Times New Roman" w:hAnsi="Times New Roman" w:cs="Times New Roman"/>
          <w:sz w:val="24"/>
          <w:szCs w:val="24"/>
        </w:rPr>
        <w:t>Salary Fluctuation</w:t>
      </w:r>
      <w:r w:rsidRPr="006D1C5C">
        <w:rPr>
          <w:rStyle w:val="mclose"/>
          <w:rFonts w:ascii="Times New Roman" w:hAnsi="Times New Roman" w:cs="Times New Roman"/>
          <w:sz w:val="24"/>
          <w:szCs w:val="24"/>
        </w:rPr>
        <w:t>)</w:t>
      </w:r>
      <w:r w:rsidRPr="006D1C5C">
        <w:rPr>
          <w:rStyle w:val="mbin"/>
          <w:rFonts w:ascii="Times New Roman" w:hAnsi="Times New Roman" w:cs="Times New Roman"/>
          <w:sz w:val="24"/>
          <w:szCs w:val="24"/>
        </w:rPr>
        <w:t>+</w:t>
      </w:r>
      <w:r w:rsidRPr="006D1C5C">
        <w:rPr>
          <w:rStyle w:val="mord"/>
          <w:rFonts w:ascii="Times New Roman" w:hAnsi="Times New Roman" w:cs="Times New Roman"/>
          <w:sz w:val="24"/>
          <w:szCs w:val="24"/>
        </w:rPr>
        <w:t>β3</w:t>
      </w:r>
      <w:r w:rsidRPr="006D1C5C">
        <w:rPr>
          <w:rStyle w:val="vlist-s"/>
          <w:rFonts w:ascii="Times New Roman" w:hAnsi="Times New Roman" w:cs="Times New Roman"/>
          <w:sz w:val="24"/>
          <w:szCs w:val="24"/>
        </w:rPr>
        <w:t>​</w:t>
      </w:r>
      <w:r w:rsidRPr="006D1C5C">
        <w:rPr>
          <w:rStyle w:val="mopen"/>
          <w:rFonts w:ascii="Times New Roman" w:hAnsi="Times New Roman" w:cs="Times New Roman"/>
          <w:sz w:val="24"/>
          <w:szCs w:val="24"/>
        </w:rPr>
        <w:t>(</w:t>
      </w:r>
      <w:proofErr w:type="spellStart"/>
      <w:r w:rsidRPr="006D1C5C">
        <w:rPr>
          <w:rStyle w:val="mord"/>
          <w:rFonts w:ascii="Times New Roman" w:hAnsi="Times New Roman" w:cs="Times New Roman"/>
          <w:sz w:val="24"/>
          <w:szCs w:val="24"/>
        </w:rPr>
        <w:t>GovFunding</w:t>
      </w:r>
      <w:proofErr w:type="spellEnd"/>
      <w:r w:rsidRPr="006D1C5C">
        <w:rPr>
          <w:rStyle w:val="mclose"/>
          <w:rFonts w:ascii="Times New Roman" w:hAnsi="Times New Roman" w:cs="Times New Roman"/>
          <w:sz w:val="24"/>
          <w:szCs w:val="24"/>
        </w:rPr>
        <w:t>)</w:t>
      </w:r>
      <w:r w:rsidRPr="006D1C5C">
        <w:rPr>
          <w:rStyle w:val="mbin"/>
          <w:rFonts w:ascii="Times New Roman" w:hAnsi="Times New Roman" w:cs="Times New Roman"/>
          <w:sz w:val="24"/>
          <w:szCs w:val="24"/>
        </w:rPr>
        <w:t>+</w:t>
      </w:r>
      <w:r w:rsidRPr="006D1C5C">
        <w:rPr>
          <w:rStyle w:val="mord"/>
          <w:rFonts w:ascii="Times New Roman" w:hAnsi="Times New Roman" w:cs="Times New Roman"/>
          <w:sz w:val="24"/>
          <w:szCs w:val="24"/>
        </w:rPr>
        <w:t>ϵ</w:t>
      </w:r>
      <w:r w:rsidRPr="006D1C5C">
        <w:rPr>
          <w:rFonts w:ascii="Times New Roman" w:hAnsi="Times New Roman" w:cs="Times New Roman"/>
          <w:sz w:val="24"/>
          <w:szCs w:val="24"/>
        </w:rPr>
        <w:t xml:space="preserve"> </w:t>
      </w:r>
    </w:p>
    <w:p w14:paraId="5341FB2E" w14:textId="77777777" w:rsidR="002636F7" w:rsidRPr="006D1C5C" w:rsidRDefault="002636F7" w:rsidP="002636F7">
      <w:pPr>
        <w:pStyle w:val="Heading4"/>
        <w:rPr>
          <w:rFonts w:ascii="Times New Roman" w:hAnsi="Times New Roman" w:cs="Times New Roman"/>
          <w:i w:val="0"/>
          <w:color w:val="auto"/>
          <w:sz w:val="24"/>
          <w:szCs w:val="24"/>
        </w:rPr>
      </w:pPr>
      <w:r w:rsidRPr="006D1C5C">
        <w:rPr>
          <w:rFonts w:ascii="Times New Roman" w:hAnsi="Times New Roman" w:cs="Times New Roman"/>
          <w:i w:val="0"/>
          <w:color w:val="auto"/>
          <w:sz w:val="24"/>
          <w:szCs w:val="24"/>
        </w:rPr>
        <w:t>Qualitative Component</w:t>
      </w:r>
    </w:p>
    <w:p w14:paraId="254E017C" w14:textId="77777777" w:rsidR="002636F7" w:rsidRDefault="002636F7" w:rsidP="006D1C5C">
      <w:pPr>
        <w:pStyle w:val="NormalWeb"/>
        <w:spacing w:line="480" w:lineRule="auto"/>
        <w:jc w:val="both"/>
      </w:pPr>
      <w:r>
        <w:t>To complement the survey, 25 semi-structured interviews were conducted with stakeholders, including ministry officials, school administrators, and teachers. Questions probed the lived experiences of currency volatility, challenges in resource procurement, and coping strategies. Data were transcribed and analyzed using thematic coding in NVivo, which enabled the identification of recurrent patterns across respondents’ narratives.</w:t>
      </w:r>
    </w:p>
    <w:p w14:paraId="3C9BA97F" w14:textId="77777777" w:rsidR="002636F7" w:rsidRDefault="002636F7" w:rsidP="006D1C5C">
      <w:pPr>
        <w:pStyle w:val="NormalWeb"/>
        <w:spacing w:line="480" w:lineRule="auto"/>
        <w:jc w:val="both"/>
      </w:pPr>
      <w:r>
        <w:lastRenderedPageBreak/>
        <w:t>This methodological triangulation was intended to balance statistical rigor with the depth of lived experiences, ensuring validity and reliability of findings.</w:t>
      </w:r>
    </w:p>
    <w:p w14:paraId="3AC2307F" w14:textId="77777777" w:rsidR="002636F7" w:rsidRPr="006D1C5C" w:rsidRDefault="00B310DA" w:rsidP="002636F7">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11</w:t>
      </w:r>
      <w:r w:rsidR="002636F7" w:rsidRPr="006D1C5C">
        <w:rPr>
          <w:rFonts w:ascii="Times New Roman" w:hAnsi="Times New Roman" w:cs="Times New Roman"/>
          <w:color w:val="auto"/>
          <w:sz w:val="24"/>
          <w:szCs w:val="24"/>
        </w:rPr>
        <w:t>. Results</w:t>
      </w:r>
    </w:p>
    <w:p w14:paraId="46CB5D4A" w14:textId="77777777" w:rsidR="002636F7" w:rsidRPr="006D1C5C" w:rsidRDefault="002636F7" w:rsidP="002636F7">
      <w:pPr>
        <w:pStyle w:val="Heading4"/>
        <w:rPr>
          <w:rFonts w:ascii="Times New Roman" w:hAnsi="Times New Roman" w:cs="Times New Roman"/>
          <w:i w:val="0"/>
          <w:color w:val="auto"/>
          <w:sz w:val="24"/>
          <w:szCs w:val="24"/>
        </w:rPr>
      </w:pPr>
      <w:r w:rsidRPr="006D1C5C">
        <w:rPr>
          <w:rFonts w:ascii="Times New Roman" w:hAnsi="Times New Roman" w:cs="Times New Roman"/>
          <w:i w:val="0"/>
          <w:color w:val="auto"/>
          <w:sz w:val="24"/>
          <w:szCs w:val="24"/>
        </w:rPr>
        <w:t>Descriptive Statistics</w:t>
      </w:r>
    </w:p>
    <w:p w14:paraId="02C6C1F8" w14:textId="77777777" w:rsidR="002636F7" w:rsidRDefault="002636F7" w:rsidP="002636F7">
      <w:pPr>
        <w:pStyle w:val="NormalWeb"/>
      </w:pPr>
      <w:r>
        <w:t>Table 1 presents the demographic and profile characteristics of respondents.</w:t>
      </w:r>
    </w:p>
    <w:p w14:paraId="1E0BF1A8" w14:textId="77777777" w:rsidR="002636F7" w:rsidRDefault="002636F7" w:rsidP="002636F7">
      <w:pPr>
        <w:pStyle w:val="NormalWeb"/>
      </w:pPr>
      <w:r>
        <w:rPr>
          <w:rStyle w:val="Strong"/>
        </w:rPr>
        <w:t>Table 1: Respondent Profile (N = 350)</w:t>
      </w:r>
    </w:p>
    <w:tbl>
      <w:tblPr>
        <w:tblW w:w="87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5"/>
        <w:gridCol w:w="1530"/>
        <w:gridCol w:w="1278"/>
        <w:gridCol w:w="653"/>
        <w:gridCol w:w="737"/>
      </w:tblGrid>
      <w:tr w:rsidR="002636F7" w14:paraId="18AC148F" w14:textId="77777777" w:rsidTr="00851260">
        <w:trPr>
          <w:trHeight w:val="762"/>
          <w:tblHeader/>
          <w:tblCellSpacing w:w="15" w:type="dxa"/>
        </w:trPr>
        <w:tc>
          <w:tcPr>
            <w:tcW w:w="4510" w:type="dxa"/>
            <w:vAlign w:val="center"/>
            <w:hideMark/>
          </w:tcPr>
          <w:p w14:paraId="4B42741A" w14:textId="77777777"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Variable</w:t>
            </w:r>
          </w:p>
        </w:tc>
        <w:tc>
          <w:tcPr>
            <w:tcW w:w="1500" w:type="dxa"/>
            <w:vAlign w:val="center"/>
            <w:hideMark/>
          </w:tcPr>
          <w:p w14:paraId="4F6CF185" w14:textId="77777777"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Mean</w:t>
            </w:r>
          </w:p>
        </w:tc>
        <w:tc>
          <w:tcPr>
            <w:tcW w:w="1248" w:type="dxa"/>
            <w:vAlign w:val="center"/>
            <w:hideMark/>
          </w:tcPr>
          <w:p w14:paraId="217A609F" w14:textId="77777777"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SD</w:t>
            </w:r>
          </w:p>
        </w:tc>
        <w:tc>
          <w:tcPr>
            <w:tcW w:w="0" w:type="auto"/>
            <w:vAlign w:val="center"/>
            <w:hideMark/>
          </w:tcPr>
          <w:p w14:paraId="6ED97D6A" w14:textId="77777777"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Min</w:t>
            </w:r>
          </w:p>
        </w:tc>
        <w:tc>
          <w:tcPr>
            <w:tcW w:w="0" w:type="auto"/>
            <w:vAlign w:val="center"/>
            <w:hideMark/>
          </w:tcPr>
          <w:p w14:paraId="28AD3A8E" w14:textId="77777777" w:rsidR="002636F7" w:rsidRPr="00851260" w:rsidRDefault="002636F7">
            <w:pPr>
              <w:jc w:val="center"/>
              <w:rPr>
                <w:rFonts w:ascii="Times New Roman" w:hAnsi="Times New Roman" w:cs="Times New Roman"/>
                <w:b/>
                <w:bCs/>
                <w:sz w:val="24"/>
                <w:szCs w:val="24"/>
              </w:rPr>
            </w:pPr>
            <w:r w:rsidRPr="00851260">
              <w:rPr>
                <w:rFonts w:ascii="Times New Roman" w:hAnsi="Times New Roman" w:cs="Times New Roman"/>
                <w:b/>
                <w:bCs/>
                <w:sz w:val="24"/>
                <w:szCs w:val="24"/>
              </w:rPr>
              <w:t>Max</w:t>
            </w:r>
          </w:p>
        </w:tc>
      </w:tr>
      <w:tr w:rsidR="002636F7" w14:paraId="7CA85E40" w14:textId="77777777" w:rsidTr="00851260">
        <w:trPr>
          <w:trHeight w:val="787"/>
          <w:tblCellSpacing w:w="15" w:type="dxa"/>
        </w:trPr>
        <w:tc>
          <w:tcPr>
            <w:tcW w:w="4510" w:type="dxa"/>
            <w:vAlign w:val="center"/>
            <w:hideMark/>
          </w:tcPr>
          <w:p w14:paraId="1C9D638E"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Age (years)</w:t>
            </w:r>
          </w:p>
        </w:tc>
        <w:tc>
          <w:tcPr>
            <w:tcW w:w="1500" w:type="dxa"/>
            <w:vAlign w:val="center"/>
            <w:hideMark/>
          </w:tcPr>
          <w:p w14:paraId="5D00FB80"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36.4</w:t>
            </w:r>
          </w:p>
        </w:tc>
        <w:tc>
          <w:tcPr>
            <w:tcW w:w="1248" w:type="dxa"/>
            <w:vAlign w:val="center"/>
            <w:hideMark/>
          </w:tcPr>
          <w:p w14:paraId="09BD5131"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8.7</w:t>
            </w:r>
          </w:p>
        </w:tc>
        <w:tc>
          <w:tcPr>
            <w:tcW w:w="0" w:type="auto"/>
            <w:vAlign w:val="center"/>
            <w:hideMark/>
          </w:tcPr>
          <w:p w14:paraId="3EE089A9"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22</w:t>
            </w:r>
          </w:p>
        </w:tc>
        <w:tc>
          <w:tcPr>
            <w:tcW w:w="0" w:type="auto"/>
            <w:vAlign w:val="center"/>
            <w:hideMark/>
          </w:tcPr>
          <w:p w14:paraId="470DEF76"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60</w:t>
            </w:r>
          </w:p>
        </w:tc>
      </w:tr>
      <w:tr w:rsidR="002636F7" w14:paraId="5C91922C" w14:textId="77777777" w:rsidTr="00851260">
        <w:trPr>
          <w:trHeight w:val="762"/>
          <w:tblCellSpacing w:w="15" w:type="dxa"/>
        </w:trPr>
        <w:tc>
          <w:tcPr>
            <w:tcW w:w="4510" w:type="dxa"/>
            <w:vAlign w:val="center"/>
            <w:hideMark/>
          </w:tcPr>
          <w:p w14:paraId="6234BC07"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Teaching Experience (years)</w:t>
            </w:r>
          </w:p>
        </w:tc>
        <w:tc>
          <w:tcPr>
            <w:tcW w:w="1500" w:type="dxa"/>
            <w:vAlign w:val="center"/>
            <w:hideMark/>
          </w:tcPr>
          <w:p w14:paraId="1C1E3F46"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9.8</w:t>
            </w:r>
          </w:p>
        </w:tc>
        <w:tc>
          <w:tcPr>
            <w:tcW w:w="1248" w:type="dxa"/>
            <w:vAlign w:val="center"/>
            <w:hideMark/>
          </w:tcPr>
          <w:p w14:paraId="4F6E1507"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6.4</w:t>
            </w:r>
          </w:p>
        </w:tc>
        <w:tc>
          <w:tcPr>
            <w:tcW w:w="0" w:type="auto"/>
            <w:vAlign w:val="center"/>
            <w:hideMark/>
          </w:tcPr>
          <w:p w14:paraId="4D299B03"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1</w:t>
            </w:r>
          </w:p>
        </w:tc>
        <w:tc>
          <w:tcPr>
            <w:tcW w:w="0" w:type="auto"/>
            <w:vAlign w:val="center"/>
            <w:hideMark/>
          </w:tcPr>
          <w:p w14:paraId="502CAA64"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30</w:t>
            </w:r>
          </w:p>
        </w:tc>
      </w:tr>
      <w:tr w:rsidR="002636F7" w14:paraId="5D88C816" w14:textId="77777777" w:rsidTr="00851260">
        <w:trPr>
          <w:trHeight w:val="787"/>
          <w:tblCellSpacing w:w="15" w:type="dxa"/>
        </w:trPr>
        <w:tc>
          <w:tcPr>
            <w:tcW w:w="4510" w:type="dxa"/>
            <w:vAlign w:val="center"/>
            <w:hideMark/>
          </w:tcPr>
          <w:p w14:paraId="57A185A3"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Monthly Salary (₦)</w:t>
            </w:r>
          </w:p>
        </w:tc>
        <w:tc>
          <w:tcPr>
            <w:tcW w:w="1500" w:type="dxa"/>
            <w:vAlign w:val="center"/>
            <w:hideMark/>
          </w:tcPr>
          <w:p w14:paraId="6A90AE61"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74,500</w:t>
            </w:r>
          </w:p>
        </w:tc>
        <w:tc>
          <w:tcPr>
            <w:tcW w:w="1248" w:type="dxa"/>
            <w:vAlign w:val="center"/>
            <w:hideMark/>
          </w:tcPr>
          <w:p w14:paraId="4B7EBC38"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21,000</w:t>
            </w:r>
          </w:p>
        </w:tc>
        <w:tc>
          <w:tcPr>
            <w:tcW w:w="0" w:type="auto"/>
            <w:vAlign w:val="center"/>
            <w:hideMark/>
          </w:tcPr>
          <w:p w14:paraId="58078948"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40k</w:t>
            </w:r>
          </w:p>
        </w:tc>
        <w:tc>
          <w:tcPr>
            <w:tcW w:w="0" w:type="auto"/>
            <w:vAlign w:val="center"/>
            <w:hideMark/>
          </w:tcPr>
          <w:p w14:paraId="342A804D"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120k</w:t>
            </w:r>
          </w:p>
        </w:tc>
      </w:tr>
      <w:tr w:rsidR="002636F7" w14:paraId="1AE96231" w14:textId="77777777" w:rsidTr="00851260">
        <w:trPr>
          <w:trHeight w:val="787"/>
          <w:tblCellSpacing w:w="15" w:type="dxa"/>
        </w:trPr>
        <w:tc>
          <w:tcPr>
            <w:tcW w:w="4510" w:type="dxa"/>
            <w:vAlign w:val="center"/>
            <w:hideMark/>
          </w:tcPr>
          <w:p w14:paraId="6370E415"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 xml:space="preserve">Perceived </w:t>
            </w:r>
            <w:proofErr w:type="spellStart"/>
            <w:r w:rsidRPr="00851260">
              <w:rPr>
                <w:rFonts w:ascii="Times New Roman" w:hAnsi="Times New Roman" w:cs="Times New Roman"/>
                <w:sz w:val="24"/>
                <w:szCs w:val="24"/>
              </w:rPr>
              <w:t>Programme</w:t>
            </w:r>
            <w:proofErr w:type="spellEnd"/>
            <w:r w:rsidRPr="00851260">
              <w:rPr>
                <w:rFonts w:ascii="Times New Roman" w:hAnsi="Times New Roman" w:cs="Times New Roman"/>
                <w:sz w:val="24"/>
                <w:szCs w:val="24"/>
              </w:rPr>
              <w:t xml:space="preserve"> Sustainability (1–5)</w:t>
            </w:r>
          </w:p>
        </w:tc>
        <w:tc>
          <w:tcPr>
            <w:tcW w:w="1500" w:type="dxa"/>
            <w:vAlign w:val="center"/>
            <w:hideMark/>
          </w:tcPr>
          <w:p w14:paraId="7CEAEFA3"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2.6</w:t>
            </w:r>
          </w:p>
        </w:tc>
        <w:tc>
          <w:tcPr>
            <w:tcW w:w="1248" w:type="dxa"/>
            <w:vAlign w:val="center"/>
            <w:hideMark/>
          </w:tcPr>
          <w:p w14:paraId="5BF843A3"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0.9</w:t>
            </w:r>
          </w:p>
        </w:tc>
        <w:tc>
          <w:tcPr>
            <w:tcW w:w="0" w:type="auto"/>
            <w:vAlign w:val="center"/>
            <w:hideMark/>
          </w:tcPr>
          <w:p w14:paraId="5E47B521"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1</w:t>
            </w:r>
          </w:p>
        </w:tc>
        <w:tc>
          <w:tcPr>
            <w:tcW w:w="0" w:type="auto"/>
            <w:vAlign w:val="center"/>
            <w:hideMark/>
          </w:tcPr>
          <w:p w14:paraId="7FFCA8EC" w14:textId="77777777" w:rsidR="002636F7" w:rsidRPr="00851260" w:rsidRDefault="002636F7" w:rsidP="00851260">
            <w:pPr>
              <w:jc w:val="center"/>
              <w:rPr>
                <w:rFonts w:ascii="Times New Roman" w:hAnsi="Times New Roman" w:cs="Times New Roman"/>
                <w:sz w:val="24"/>
                <w:szCs w:val="24"/>
              </w:rPr>
            </w:pPr>
            <w:r w:rsidRPr="00851260">
              <w:rPr>
                <w:rFonts w:ascii="Times New Roman" w:hAnsi="Times New Roman" w:cs="Times New Roman"/>
                <w:sz w:val="24"/>
                <w:szCs w:val="24"/>
              </w:rPr>
              <w:t>5</w:t>
            </w:r>
          </w:p>
        </w:tc>
      </w:tr>
    </w:tbl>
    <w:p w14:paraId="0668C068" w14:textId="77777777" w:rsidR="00934792" w:rsidRDefault="00934792" w:rsidP="006D1C5C">
      <w:pPr>
        <w:pStyle w:val="NormalWeb"/>
        <w:spacing w:line="480" w:lineRule="auto"/>
        <w:jc w:val="both"/>
      </w:pPr>
      <w:r>
        <w:t>(Source: Author’s Computation, 2025)</w:t>
      </w:r>
    </w:p>
    <w:p w14:paraId="7BA9F7A5" w14:textId="77777777" w:rsidR="001165B1" w:rsidRDefault="002636F7" w:rsidP="006D1C5C">
      <w:pPr>
        <w:pStyle w:val="NormalWeb"/>
        <w:spacing w:line="480" w:lineRule="auto"/>
        <w:jc w:val="both"/>
      </w:pPr>
      <w:r>
        <w:t xml:space="preserve">The average respondent was 36 years old with approximately 10 years of teaching experience. Monthly salaries clustered around ₦74,500, reflecting modest income levels relative to living costs. Importantly, the mean rating of </w:t>
      </w:r>
      <w:proofErr w:type="spellStart"/>
      <w:r w:rsidRPr="00851260">
        <w:rPr>
          <w:rStyle w:val="Strong"/>
          <w:b w:val="0"/>
        </w:rPr>
        <w:t>programme</w:t>
      </w:r>
      <w:proofErr w:type="spellEnd"/>
      <w:r w:rsidRPr="00851260">
        <w:rPr>
          <w:rStyle w:val="Strong"/>
          <w:b w:val="0"/>
        </w:rPr>
        <w:t xml:space="preserve"> sustainability was 2.6/5</w:t>
      </w:r>
      <w:r>
        <w:t xml:space="preserve">, indicating that respondents generally perceived language education </w:t>
      </w:r>
      <w:proofErr w:type="spellStart"/>
      <w:r>
        <w:t>programmes</w:t>
      </w:r>
      <w:proofErr w:type="spellEnd"/>
      <w:r>
        <w:t xml:space="preserve"> as below average in terms of viability and resilience.</w:t>
      </w:r>
    </w:p>
    <w:p w14:paraId="428E790A" w14:textId="77777777" w:rsidR="002636F7" w:rsidRPr="001165B1" w:rsidRDefault="002636F7" w:rsidP="002636F7">
      <w:pPr>
        <w:pStyle w:val="Heading4"/>
        <w:rPr>
          <w:rFonts w:ascii="Times New Roman" w:hAnsi="Times New Roman" w:cs="Times New Roman"/>
          <w:i w:val="0"/>
          <w:color w:val="auto"/>
          <w:sz w:val="24"/>
          <w:szCs w:val="24"/>
        </w:rPr>
      </w:pPr>
      <w:r w:rsidRPr="001165B1">
        <w:rPr>
          <w:rFonts w:ascii="Times New Roman" w:hAnsi="Times New Roman" w:cs="Times New Roman"/>
          <w:i w:val="0"/>
          <w:color w:val="auto"/>
          <w:sz w:val="24"/>
          <w:szCs w:val="24"/>
        </w:rPr>
        <w:lastRenderedPageBreak/>
        <w:t>Regression Analysis</w:t>
      </w:r>
    </w:p>
    <w:p w14:paraId="6EC65776" w14:textId="77777777" w:rsidR="00B310DA" w:rsidRDefault="002636F7" w:rsidP="001165B1">
      <w:pPr>
        <w:pStyle w:val="NormalWeb"/>
        <w:spacing w:line="480" w:lineRule="auto"/>
        <w:jc w:val="both"/>
      </w:pPr>
      <w:r>
        <w:t xml:space="preserve">Table 2 shows the regression results testing the impact of currency volatility and related predictors on </w:t>
      </w:r>
      <w:proofErr w:type="spellStart"/>
      <w:r>
        <w:t>programme</w:t>
      </w:r>
      <w:proofErr w:type="spellEnd"/>
      <w:r>
        <w:t xml:space="preserve"> sustainability.</w:t>
      </w:r>
    </w:p>
    <w:p w14:paraId="4A163A1C" w14:textId="77777777" w:rsidR="001165B1" w:rsidRDefault="001165B1" w:rsidP="001165B1">
      <w:pPr>
        <w:pStyle w:val="NormalWeb"/>
        <w:spacing w:line="480" w:lineRule="auto"/>
        <w:jc w:val="both"/>
      </w:pPr>
      <w:r>
        <w:t xml:space="preserve">Table 2: Regression of Currency Volatility on </w:t>
      </w:r>
      <w:proofErr w:type="spellStart"/>
      <w:r>
        <w:t>Programme</w:t>
      </w:r>
      <w:proofErr w:type="spellEnd"/>
      <w:r>
        <w:t xml:space="preserve"> Sustainability</w:t>
      </w:r>
    </w:p>
    <w:tbl>
      <w:tblPr>
        <w:tblW w:w="79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9"/>
        <w:gridCol w:w="779"/>
        <w:gridCol w:w="938"/>
        <w:gridCol w:w="957"/>
        <w:gridCol w:w="999"/>
        <w:gridCol w:w="1225"/>
      </w:tblGrid>
      <w:tr w:rsidR="001165B1" w:rsidRPr="002636F7" w14:paraId="3BBE6E92" w14:textId="77777777" w:rsidTr="00851260">
        <w:trPr>
          <w:trHeight w:val="784"/>
          <w:tblHeader/>
          <w:tblCellSpacing w:w="15" w:type="dxa"/>
        </w:trPr>
        <w:tc>
          <w:tcPr>
            <w:tcW w:w="0" w:type="auto"/>
            <w:vAlign w:val="center"/>
            <w:hideMark/>
          </w:tcPr>
          <w:p w14:paraId="51C021E8" w14:textId="77777777"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Predictor</w:t>
            </w:r>
          </w:p>
        </w:tc>
        <w:tc>
          <w:tcPr>
            <w:tcW w:w="749" w:type="dxa"/>
            <w:vAlign w:val="center"/>
            <w:hideMark/>
          </w:tcPr>
          <w:p w14:paraId="52E1A409" w14:textId="77777777"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B</w:t>
            </w:r>
          </w:p>
        </w:tc>
        <w:tc>
          <w:tcPr>
            <w:tcW w:w="908" w:type="dxa"/>
            <w:vAlign w:val="center"/>
            <w:hideMark/>
          </w:tcPr>
          <w:p w14:paraId="355ED68B" w14:textId="77777777"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SE</w:t>
            </w:r>
          </w:p>
        </w:tc>
        <w:tc>
          <w:tcPr>
            <w:tcW w:w="927" w:type="dxa"/>
            <w:vAlign w:val="center"/>
            <w:hideMark/>
          </w:tcPr>
          <w:p w14:paraId="12597435" w14:textId="77777777"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Beta</w:t>
            </w:r>
          </w:p>
        </w:tc>
        <w:tc>
          <w:tcPr>
            <w:tcW w:w="969" w:type="dxa"/>
            <w:vAlign w:val="center"/>
            <w:hideMark/>
          </w:tcPr>
          <w:p w14:paraId="0CCBC357" w14:textId="77777777"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t</w:t>
            </w:r>
          </w:p>
        </w:tc>
        <w:tc>
          <w:tcPr>
            <w:tcW w:w="1180" w:type="dxa"/>
            <w:vAlign w:val="center"/>
            <w:hideMark/>
          </w:tcPr>
          <w:p w14:paraId="001188EC" w14:textId="77777777" w:rsidR="002636F7" w:rsidRPr="002636F7" w:rsidRDefault="002636F7" w:rsidP="002636F7">
            <w:pPr>
              <w:spacing w:after="0" w:line="240" w:lineRule="auto"/>
              <w:jc w:val="center"/>
              <w:rPr>
                <w:rFonts w:ascii="Times New Roman" w:eastAsia="Times New Roman" w:hAnsi="Times New Roman" w:cs="Times New Roman"/>
                <w:b/>
                <w:bCs/>
                <w:sz w:val="24"/>
                <w:szCs w:val="24"/>
              </w:rPr>
            </w:pPr>
            <w:r w:rsidRPr="002636F7">
              <w:rPr>
                <w:rFonts w:ascii="Times New Roman" w:eastAsia="Times New Roman" w:hAnsi="Times New Roman" w:cs="Times New Roman"/>
                <w:b/>
                <w:bCs/>
                <w:sz w:val="24"/>
                <w:szCs w:val="24"/>
              </w:rPr>
              <w:t>p</w:t>
            </w:r>
          </w:p>
        </w:tc>
      </w:tr>
    </w:tbl>
    <w:p w14:paraId="13A4B0A8" w14:textId="77777777" w:rsidR="002636F7" w:rsidRPr="002636F7" w:rsidRDefault="002636F7" w:rsidP="002636F7">
      <w:pPr>
        <w:spacing w:after="0" w:line="240" w:lineRule="auto"/>
        <w:rPr>
          <w:rFonts w:ascii="Times New Roman" w:eastAsia="Times New Roman" w:hAnsi="Times New Roman" w:cs="Times New Roman"/>
          <w:vanish/>
          <w:sz w:val="24"/>
          <w:szCs w:val="24"/>
        </w:rPr>
      </w:pPr>
    </w:p>
    <w:tbl>
      <w:tblPr>
        <w:tblW w:w="79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5"/>
        <w:gridCol w:w="741"/>
        <w:gridCol w:w="936"/>
        <w:gridCol w:w="943"/>
        <w:gridCol w:w="947"/>
        <w:gridCol w:w="1297"/>
      </w:tblGrid>
      <w:tr w:rsidR="001165B1" w:rsidRPr="002636F7" w14:paraId="65660468" w14:textId="77777777" w:rsidTr="006D1C5C">
        <w:trPr>
          <w:trHeight w:val="693"/>
          <w:tblCellSpacing w:w="15" w:type="dxa"/>
        </w:trPr>
        <w:tc>
          <w:tcPr>
            <w:tcW w:w="3070" w:type="dxa"/>
            <w:vAlign w:val="center"/>
            <w:hideMark/>
          </w:tcPr>
          <w:p w14:paraId="3019E770"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Currency Volatility Index</w:t>
            </w:r>
          </w:p>
        </w:tc>
        <w:tc>
          <w:tcPr>
            <w:tcW w:w="711" w:type="dxa"/>
            <w:vAlign w:val="center"/>
            <w:hideMark/>
          </w:tcPr>
          <w:p w14:paraId="6CD07553"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-0.43</w:t>
            </w:r>
          </w:p>
        </w:tc>
        <w:tc>
          <w:tcPr>
            <w:tcW w:w="906" w:type="dxa"/>
            <w:vAlign w:val="center"/>
            <w:hideMark/>
          </w:tcPr>
          <w:p w14:paraId="1431CF7D"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0.11</w:t>
            </w:r>
          </w:p>
        </w:tc>
        <w:tc>
          <w:tcPr>
            <w:tcW w:w="913" w:type="dxa"/>
            <w:vAlign w:val="center"/>
            <w:hideMark/>
          </w:tcPr>
          <w:p w14:paraId="55F1BC42"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-0.34</w:t>
            </w:r>
          </w:p>
        </w:tc>
        <w:tc>
          <w:tcPr>
            <w:tcW w:w="917" w:type="dxa"/>
            <w:vAlign w:val="center"/>
            <w:hideMark/>
          </w:tcPr>
          <w:p w14:paraId="35D0259D"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-3.91</w:t>
            </w:r>
          </w:p>
        </w:tc>
        <w:tc>
          <w:tcPr>
            <w:tcW w:w="1252" w:type="dxa"/>
            <w:vAlign w:val="center"/>
            <w:hideMark/>
          </w:tcPr>
          <w:p w14:paraId="0D3FD89F"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.001</w:t>
            </w:r>
          </w:p>
        </w:tc>
      </w:tr>
    </w:tbl>
    <w:p w14:paraId="15C3EFE9" w14:textId="77777777" w:rsidR="002636F7" w:rsidRPr="002636F7" w:rsidRDefault="002636F7" w:rsidP="002636F7">
      <w:pPr>
        <w:spacing w:after="0" w:line="240" w:lineRule="auto"/>
        <w:rPr>
          <w:rFonts w:ascii="Times New Roman" w:eastAsia="Times New Roman" w:hAnsi="Times New Roman" w:cs="Times New Roman"/>
          <w:vanish/>
          <w:sz w:val="24"/>
          <w:szCs w:val="24"/>
        </w:rPr>
      </w:pPr>
    </w:p>
    <w:tbl>
      <w:tblPr>
        <w:tblW w:w="79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3"/>
        <w:gridCol w:w="752"/>
        <w:gridCol w:w="967"/>
        <w:gridCol w:w="1003"/>
        <w:gridCol w:w="924"/>
        <w:gridCol w:w="1257"/>
      </w:tblGrid>
      <w:tr w:rsidR="00851260" w:rsidRPr="002636F7" w14:paraId="61111BBA" w14:textId="77777777" w:rsidTr="00851260">
        <w:trPr>
          <w:trHeight w:val="959"/>
          <w:tblCellSpacing w:w="15" w:type="dxa"/>
        </w:trPr>
        <w:tc>
          <w:tcPr>
            <w:tcW w:w="3038" w:type="dxa"/>
            <w:vAlign w:val="center"/>
            <w:hideMark/>
          </w:tcPr>
          <w:p w14:paraId="18D7873A"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Teacher Salary Fluctuation</w:t>
            </w:r>
          </w:p>
        </w:tc>
        <w:tc>
          <w:tcPr>
            <w:tcW w:w="722" w:type="dxa"/>
            <w:vAlign w:val="center"/>
            <w:hideMark/>
          </w:tcPr>
          <w:p w14:paraId="1F6B7DC9"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-0.29</w:t>
            </w:r>
          </w:p>
        </w:tc>
        <w:tc>
          <w:tcPr>
            <w:tcW w:w="937" w:type="dxa"/>
            <w:vAlign w:val="center"/>
            <w:hideMark/>
          </w:tcPr>
          <w:p w14:paraId="79C546F5"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0.08</w:t>
            </w:r>
          </w:p>
        </w:tc>
        <w:tc>
          <w:tcPr>
            <w:tcW w:w="973" w:type="dxa"/>
            <w:vAlign w:val="center"/>
            <w:hideMark/>
          </w:tcPr>
          <w:p w14:paraId="20401506"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-0.27</w:t>
            </w:r>
          </w:p>
        </w:tc>
        <w:tc>
          <w:tcPr>
            <w:tcW w:w="894" w:type="dxa"/>
            <w:vAlign w:val="center"/>
            <w:hideMark/>
          </w:tcPr>
          <w:p w14:paraId="55734FEF"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-3.63</w:t>
            </w:r>
          </w:p>
        </w:tc>
        <w:tc>
          <w:tcPr>
            <w:tcW w:w="1212" w:type="dxa"/>
            <w:vAlign w:val="center"/>
            <w:hideMark/>
          </w:tcPr>
          <w:p w14:paraId="43CE6BFA"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.002</w:t>
            </w:r>
          </w:p>
        </w:tc>
      </w:tr>
    </w:tbl>
    <w:p w14:paraId="68619A77" w14:textId="77777777" w:rsidR="002636F7" w:rsidRPr="002636F7" w:rsidRDefault="002636F7" w:rsidP="002636F7">
      <w:pPr>
        <w:spacing w:after="0" w:line="240" w:lineRule="auto"/>
        <w:rPr>
          <w:rFonts w:ascii="Times New Roman" w:eastAsia="Times New Roman" w:hAnsi="Times New Roman" w:cs="Times New Roman"/>
          <w:vanish/>
          <w:sz w:val="24"/>
          <w:szCs w:val="24"/>
        </w:rPr>
      </w:pPr>
    </w:p>
    <w:tbl>
      <w:tblPr>
        <w:tblW w:w="79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712"/>
        <w:gridCol w:w="1018"/>
        <w:gridCol w:w="901"/>
        <w:gridCol w:w="965"/>
        <w:gridCol w:w="1254"/>
      </w:tblGrid>
      <w:tr w:rsidR="00851260" w:rsidRPr="002636F7" w14:paraId="3596DFB1" w14:textId="77777777" w:rsidTr="006D1C5C">
        <w:trPr>
          <w:trHeight w:val="1105"/>
          <w:tblCellSpacing w:w="15" w:type="dxa"/>
        </w:trPr>
        <w:tc>
          <w:tcPr>
            <w:tcW w:w="3073" w:type="dxa"/>
            <w:vAlign w:val="center"/>
            <w:hideMark/>
          </w:tcPr>
          <w:p w14:paraId="036FB6A7"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Govt. Funding Reliability</w:t>
            </w:r>
          </w:p>
        </w:tc>
        <w:tc>
          <w:tcPr>
            <w:tcW w:w="682" w:type="dxa"/>
            <w:vAlign w:val="center"/>
            <w:hideMark/>
          </w:tcPr>
          <w:p w14:paraId="6FBEDBF6"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0.41</w:t>
            </w:r>
          </w:p>
        </w:tc>
        <w:tc>
          <w:tcPr>
            <w:tcW w:w="988" w:type="dxa"/>
            <w:vAlign w:val="center"/>
            <w:hideMark/>
          </w:tcPr>
          <w:p w14:paraId="08096E85"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0.12</w:t>
            </w:r>
          </w:p>
        </w:tc>
        <w:tc>
          <w:tcPr>
            <w:tcW w:w="871" w:type="dxa"/>
            <w:vAlign w:val="center"/>
            <w:hideMark/>
          </w:tcPr>
          <w:p w14:paraId="6CE1AB6C"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0.33</w:t>
            </w:r>
          </w:p>
        </w:tc>
        <w:tc>
          <w:tcPr>
            <w:tcW w:w="935" w:type="dxa"/>
            <w:vAlign w:val="center"/>
            <w:hideMark/>
          </w:tcPr>
          <w:p w14:paraId="287A3689"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3.48</w:t>
            </w:r>
          </w:p>
        </w:tc>
        <w:tc>
          <w:tcPr>
            <w:tcW w:w="1209" w:type="dxa"/>
            <w:vAlign w:val="center"/>
            <w:hideMark/>
          </w:tcPr>
          <w:p w14:paraId="738AF99D" w14:textId="77777777" w:rsidR="002636F7" w:rsidRPr="002636F7" w:rsidRDefault="002636F7" w:rsidP="002636F7">
            <w:pPr>
              <w:spacing w:after="0" w:line="240" w:lineRule="auto"/>
              <w:rPr>
                <w:rFonts w:ascii="Times New Roman" w:eastAsia="Times New Roman" w:hAnsi="Times New Roman" w:cs="Times New Roman"/>
                <w:sz w:val="24"/>
                <w:szCs w:val="24"/>
              </w:rPr>
            </w:pPr>
            <w:r w:rsidRPr="002636F7">
              <w:rPr>
                <w:rFonts w:ascii="Times New Roman" w:eastAsia="Times New Roman" w:hAnsi="Times New Roman" w:cs="Times New Roman"/>
                <w:sz w:val="24"/>
                <w:szCs w:val="24"/>
              </w:rPr>
              <w:t>.004</w:t>
            </w:r>
          </w:p>
        </w:tc>
      </w:tr>
    </w:tbl>
    <w:p w14:paraId="78105340" w14:textId="77777777" w:rsidR="006D1C5C" w:rsidRDefault="006D1C5C" w:rsidP="006D1C5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Spss</w:t>
      </w:r>
      <w:proofErr w:type="spellEnd"/>
      <w:r>
        <w:rPr>
          <w:rFonts w:ascii="Times New Roman" w:hAnsi="Times New Roman" w:cs="Times New Roman"/>
          <w:sz w:val="24"/>
          <w:szCs w:val="24"/>
        </w:rPr>
        <w:t xml:space="preserve"> Vs 28)</w:t>
      </w:r>
    </w:p>
    <w:p w14:paraId="2556C92B" w14:textId="77777777" w:rsidR="00447A3B" w:rsidRDefault="001165B1" w:rsidP="006D1C5C">
      <w:pPr>
        <w:spacing w:before="100" w:beforeAutospacing="1" w:after="100" w:afterAutospacing="1" w:line="360" w:lineRule="auto"/>
        <w:jc w:val="both"/>
        <w:rPr>
          <w:rFonts w:ascii="Times New Roman" w:hAnsi="Times New Roman" w:cs="Times New Roman"/>
          <w:sz w:val="24"/>
          <w:szCs w:val="24"/>
        </w:rPr>
      </w:pPr>
      <w:r w:rsidRPr="001165B1">
        <w:rPr>
          <w:rFonts w:ascii="Times New Roman" w:hAnsi="Times New Roman" w:cs="Times New Roman"/>
          <w:sz w:val="24"/>
          <w:szCs w:val="24"/>
        </w:rPr>
        <w:t>Adjusted R² = 0.46</w:t>
      </w:r>
    </w:p>
    <w:p w14:paraId="0D704779" w14:textId="77777777" w:rsidR="001165B1" w:rsidRDefault="001165B1" w:rsidP="00851260">
      <w:pPr>
        <w:pStyle w:val="NormalWeb"/>
        <w:spacing w:line="480" w:lineRule="auto"/>
        <w:jc w:val="both"/>
      </w:pPr>
      <w:r>
        <w:t xml:space="preserve">The results indicate that currency volatility exerts a statistically significant and negative effect on </w:t>
      </w:r>
      <w:proofErr w:type="spellStart"/>
      <w:r>
        <w:t>programme</w:t>
      </w:r>
      <w:proofErr w:type="spellEnd"/>
      <w:r>
        <w:t xml:space="preserve"> sustainability (B = -0.43, p &lt; .01). Teacher salary fluctuation was also negatively associated (B = -0.29, p &lt; .01), suggesting that unstable remuneration further undermines sustainability. Conversely, government funding reliability showed a positive and significant effect (B = 0.41, p &lt; .01), serving as a mitigating factor. Overall, the model explained 46% of the variance in </w:t>
      </w:r>
      <w:proofErr w:type="spellStart"/>
      <w:r>
        <w:t>programme</w:t>
      </w:r>
      <w:proofErr w:type="spellEnd"/>
      <w:r>
        <w:t xml:space="preserve"> sustainability.</w:t>
      </w:r>
    </w:p>
    <w:p w14:paraId="2772A00F" w14:textId="77777777" w:rsidR="001165B1" w:rsidRPr="00851260" w:rsidRDefault="001165B1" w:rsidP="001165B1">
      <w:pPr>
        <w:pStyle w:val="Heading4"/>
        <w:rPr>
          <w:rFonts w:ascii="Times New Roman" w:hAnsi="Times New Roman" w:cs="Times New Roman"/>
          <w:i w:val="0"/>
          <w:color w:val="auto"/>
          <w:sz w:val="24"/>
          <w:szCs w:val="24"/>
        </w:rPr>
      </w:pPr>
      <w:r w:rsidRPr="00851260">
        <w:rPr>
          <w:rFonts w:ascii="Times New Roman" w:hAnsi="Times New Roman" w:cs="Times New Roman"/>
          <w:i w:val="0"/>
          <w:color w:val="auto"/>
          <w:sz w:val="24"/>
          <w:szCs w:val="24"/>
        </w:rPr>
        <w:lastRenderedPageBreak/>
        <w:t>Thematic Coding (Qualitative)</w:t>
      </w:r>
    </w:p>
    <w:p w14:paraId="737334A4" w14:textId="77777777" w:rsidR="001165B1" w:rsidRDefault="001165B1" w:rsidP="00851260">
      <w:pPr>
        <w:pStyle w:val="NormalWeb"/>
        <w:spacing w:line="480" w:lineRule="auto"/>
        <w:jc w:val="both"/>
      </w:pPr>
      <w:r>
        <w:t>Analysis of interview data generated three core themes:</w:t>
      </w:r>
    </w:p>
    <w:p w14:paraId="25B76593" w14:textId="77777777" w:rsidR="001165B1" w:rsidRDefault="001165B1" w:rsidP="00851260">
      <w:pPr>
        <w:pStyle w:val="NormalWeb"/>
        <w:numPr>
          <w:ilvl w:val="0"/>
          <w:numId w:val="9"/>
        </w:numPr>
        <w:spacing w:line="480" w:lineRule="auto"/>
        <w:jc w:val="both"/>
      </w:pPr>
      <w:r w:rsidRPr="00851260">
        <w:rPr>
          <w:rStyle w:val="Strong"/>
          <w:b w:val="0"/>
        </w:rPr>
        <w:t>Financial Uncertainty</w:t>
      </w:r>
      <w:r>
        <w:t>: Respondents consistently emphasized that “fluctuating exchange rates make budgeting impossible” (University bursar, Lagos). This resulted in cancelled projects and delayed procurement of teaching resources.</w:t>
      </w:r>
    </w:p>
    <w:p w14:paraId="07C084C2" w14:textId="77777777" w:rsidR="001165B1" w:rsidRDefault="001165B1" w:rsidP="00851260">
      <w:pPr>
        <w:pStyle w:val="NormalWeb"/>
        <w:numPr>
          <w:ilvl w:val="0"/>
          <w:numId w:val="9"/>
        </w:numPr>
        <w:spacing w:line="480" w:lineRule="auto"/>
        <w:jc w:val="both"/>
      </w:pPr>
      <w:r w:rsidRPr="00851260">
        <w:rPr>
          <w:rStyle w:val="Strong"/>
          <w:b w:val="0"/>
        </w:rPr>
        <w:t>Teacher Attrition</w:t>
      </w:r>
      <w:r>
        <w:t>: Participants noted that “many colleagues leave when salaries lose value” (Secondary school teacher, Kano). Attrition was particularly high in urban centers where cost-of-living adjustments were most acute.</w:t>
      </w:r>
    </w:p>
    <w:p w14:paraId="7FB1BD78" w14:textId="77777777" w:rsidR="001165B1" w:rsidRDefault="001165B1" w:rsidP="00851260">
      <w:pPr>
        <w:pStyle w:val="NormalWeb"/>
        <w:numPr>
          <w:ilvl w:val="0"/>
          <w:numId w:val="9"/>
        </w:numPr>
        <w:spacing w:line="480" w:lineRule="auto"/>
        <w:jc w:val="both"/>
      </w:pPr>
      <w:r w:rsidRPr="00851260">
        <w:rPr>
          <w:rStyle w:val="Strong"/>
          <w:b w:val="0"/>
        </w:rPr>
        <w:t>Curriculum Disruptions</w:t>
      </w:r>
      <w:r>
        <w:t xml:space="preserve">: According to one curriculum planner in Abuja, “books and ICT materials become unaffordable after currency depreciation,” forcing schools to cut </w:t>
      </w:r>
      <w:proofErr w:type="spellStart"/>
      <w:r>
        <w:t>programmes</w:t>
      </w:r>
      <w:proofErr w:type="spellEnd"/>
      <w:r>
        <w:t xml:space="preserve"> or rely on outdated resources.</w:t>
      </w:r>
    </w:p>
    <w:p w14:paraId="60BEB13C" w14:textId="77777777" w:rsidR="001165B1" w:rsidRDefault="001165B1" w:rsidP="00851260">
      <w:pPr>
        <w:pStyle w:val="NormalWeb"/>
        <w:spacing w:line="480" w:lineRule="auto"/>
        <w:jc w:val="both"/>
      </w:pPr>
      <w:r>
        <w:t>These themes reinforce the quantitative findings, highlighting how volatility translates into day-to-day disruptions at institutional and individual levels.</w:t>
      </w:r>
    </w:p>
    <w:p w14:paraId="0EA22264" w14:textId="77777777" w:rsidR="001165B1" w:rsidRPr="00851260" w:rsidRDefault="00B310DA" w:rsidP="001165B1">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12</w:t>
      </w:r>
      <w:r w:rsidR="001165B1" w:rsidRPr="00851260">
        <w:rPr>
          <w:rFonts w:ascii="Times New Roman" w:hAnsi="Times New Roman" w:cs="Times New Roman"/>
          <w:color w:val="auto"/>
          <w:sz w:val="24"/>
          <w:szCs w:val="24"/>
        </w:rPr>
        <w:t>. Discussion</w:t>
      </w:r>
    </w:p>
    <w:p w14:paraId="7D0E16C3" w14:textId="77777777" w:rsidR="001165B1" w:rsidRDefault="001165B1" w:rsidP="00851260">
      <w:pPr>
        <w:pStyle w:val="NormalWeb"/>
        <w:spacing w:line="480" w:lineRule="auto"/>
        <w:jc w:val="both"/>
      </w:pPr>
      <w:r>
        <w:t xml:space="preserve">The findings of this study confirm that currency volatility undermines the sustainability of language education </w:t>
      </w:r>
      <w:proofErr w:type="spellStart"/>
      <w:r>
        <w:t>programmes</w:t>
      </w:r>
      <w:proofErr w:type="spellEnd"/>
      <w:r>
        <w:t xml:space="preserve"> in Nigeria. Both the regression and thematic analyses indicate that exchange rate instability, compounded by salary fluctuations, destabilizes funding mechanisms and diminishes </w:t>
      </w:r>
      <w:proofErr w:type="spellStart"/>
      <w:r>
        <w:t>programme</w:t>
      </w:r>
      <w:proofErr w:type="spellEnd"/>
      <w:r>
        <w:t xml:space="preserve"> viability. The adjusted R² of 0.46 demonstrates that nearly half of the variation in </w:t>
      </w:r>
      <w:proofErr w:type="spellStart"/>
      <w:r>
        <w:t>programme</w:t>
      </w:r>
      <w:proofErr w:type="spellEnd"/>
      <w:r>
        <w:t xml:space="preserve"> sustainability can be attributed to currency-linked variables, underscoring the centrality of macroeconomic conditions in shaping educational outcomes.</w:t>
      </w:r>
    </w:p>
    <w:p w14:paraId="208C3F23" w14:textId="77777777" w:rsidR="001165B1" w:rsidRDefault="001165B1" w:rsidP="00851260">
      <w:pPr>
        <w:pStyle w:val="NormalWeb"/>
        <w:spacing w:line="480" w:lineRule="auto"/>
        <w:jc w:val="both"/>
      </w:pPr>
      <w:r>
        <w:lastRenderedPageBreak/>
        <w:t xml:space="preserve">This aligns with </w:t>
      </w:r>
      <w:r w:rsidRPr="00851260">
        <w:rPr>
          <w:rStyle w:val="Strong"/>
          <w:b w:val="0"/>
        </w:rPr>
        <w:t>Human Capital Theory</w:t>
      </w:r>
      <w:r>
        <w:t xml:space="preserve">, as currency shocks reduce the incentives for investment in teacher training and development, thereby eroding the quality of human capital. It also supports </w:t>
      </w:r>
      <w:r w:rsidRPr="00851260">
        <w:rPr>
          <w:rStyle w:val="Strong"/>
          <w:b w:val="0"/>
        </w:rPr>
        <w:t>Resource Dependence Theory</w:t>
      </w:r>
      <w:r>
        <w:t xml:space="preserve">, since </w:t>
      </w:r>
      <w:proofErr w:type="spellStart"/>
      <w:r>
        <w:t>programmes</w:t>
      </w:r>
      <w:proofErr w:type="spellEnd"/>
      <w:r>
        <w:t xml:space="preserve"> reliant on imported textbooks and ICT tools are particularly vulnerable to naira depreciation. The qualitative findings about budgeting crises, attrition, and resource scarcity vividly illustrate how macroeconomic volatility filters down to the micro-level of classrooms and institutions.</w:t>
      </w:r>
    </w:p>
    <w:p w14:paraId="3F5EE4C7" w14:textId="77777777" w:rsidR="001165B1" w:rsidRDefault="001165B1" w:rsidP="00B310DA">
      <w:pPr>
        <w:pStyle w:val="NormalWeb"/>
        <w:spacing w:line="480" w:lineRule="auto"/>
        <w:jc w:val="both"/>
      </w:pPr>
      <w:r>
        <w:t>At the same time, the positive role of government funding reliability suggests that policy interventions can buffer against volatility. If budgetary allocations are structured to insulate education f</w:t>
      </w:r>
      <w:r w:rsidR="00851260">
        <w:t xml:space="preserve">rom exchange rate fluctuations  </w:t>
      </w:r>
      <w:r>
        <w:t xml:space="preserve"> for example, through hedging strategies or</w:t>
      </w:r>
      <w:r w:rsidR="00851260">
        <w:t xml:space="preserve"> inflation-indexed allocations  </w:t>
      </w:r>
      <w:r>
        <w:t xml:space="preserve"> the adverse effects of volatility may be partially neutralized.</w:t>
      </w:r>
    </w:p>
    <w:p w14:paraId="367B6F93" w14:textId="77777777" w:rsidR="001165B1" w:rsidRPr="00851260" w:rsidRDefault="00B310DA" w:rsidP="001165B1">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13</w:t>
      </w:r>
      <w:r w:rsidR="001165B1" w:rsidRPr="00851260">
        <w:rPr>
          <w:rFonts w:ascii="Times New Roman" w:hAnsi="Times New Roman" w:cs="Times New Roman"/>
          <w:color w:val="auto"/>
          <w:sz w:val="24"/>
          <w:szCs w:val="24"/>
        </w:rPr>
        <w:t>. Conclusion</w:t>
      </w:r>
    </w:p>
    <w:p w14:paraId="3874269B" w14:textId="77777777" w:rsidR="001165B1" w:rsidRDefault="001165B1" w:rsidP="00851260">
      <w:pPr>
        <w:pStyle w:val="NormalWeb"/>
        <w:spacing w:line="480" w:lineRule="auto"/>
        <w:jc w:val="both"/>
      </w:pPr>
      <w:r>
        <w:t xml:space="preserve">Currency volatility poses a clear and present danger to the sustainability of Nigeria’s language education </w:t>
      </w:r>
      <w:proofErr w:type="spellStart"/>
      <w:r>
        <w:t>programmes</w:t>
      </w:r>
      <w:proofErr w:type="spellEnd"/>
      <w:r>
        <w:t>. The evidence presented demonstrates that exchange rate instability inflates costs, drives teacher attrition, and disrupts curriculum delivery. Without deliberate policy action, Nigeria risks undermining its multilingual heritage, weakening its human capital base, and limiting its competitiveness in the global knowledge economy.</w:t>
      </w:r>
    </w:p>
    <w:p w14:paraId="5AF9D7BB" w14:textId="77777777" w:rsidR="001165B1" w:rsidRDefault="001165B1" w:rsidP="00851260">
      <w:pPr>
        <w:pStyle w:val="NormalWeb"/>
        <w:spacing w:line="480" w:lineRule="auto"/>
        <w:jc w:val="both"/>
      </w:pPr>
      <w:r>
        <w:t xml:space="preserve">The study contributes to the literature by empirically linking macroeconomic volatility to </w:t>
      </w:r>
      <w:proofErr w:type="spellStart"/>
      <w:r>
        <w:t>programme</w:t>
      </w:r>
      <w:proofErr w:type="spellEnd"/>
      <w:r>
        <w:t>-level out</w:t>
      </w:r>
      <w:r w:rsidR="00851260">
        <w:t>comes in the education sector -</w:t>
      </w:r>
      <w:r>
        <w:t>a connection often theorized but rarely quantified in the Nigerian context.</w:t>
      </w:r>
    </w:p>
    <w:p w14:paraId="3DD60F74" w14:textId="77777777" w:rsidR="001165B1" w:rsidRPr="00851260" w:rsidRDefault="00B310DA" w:rsidP="001165B1">
      <w:pPr>
        <w:pStyle w:val="Heading3"/>
        <w:rPr>
          <w:rFonts w:ascii="Times New Roman" w:hAnsi="Times New Roman" w:cs="Times New Roman"/>
          <w:color w:val="auto"/>
          <w:sz w:val="24"/>
          <w:szCs w:val="24"/>
        </w:rPr>
      </w:pPr>
      <w:r>
        <w:rPr>
          <w:rFonts w:ascii="Times New Roman" w:hAnsi="Times New Roman" w:cs="Times New Roman"/>
          <w:color w:val="auto"/>
          <w:sz w:val="24"/>
          <w:szCs w:val="24"/>
        </w:rPr>
        <w:t>14</w:t>
      </w:r>
      <w:r w:rsidR="001165B1" w:rsidRPr="00851260">
        <w:rPr>
          <w:rFonts w:ascii="Times New Roman" w:hAnsi="Times New Roman" w:cs="Times New Roman"/>
          <w:color w:val="auto"/>
          <w:sz w:val="24"/>
          <w:szCs w:val="24"/>
        </w:rPr>
        <w:t>. Recommendations</w:t>
      </w:r>
    </w:p>
    <w:p w14:paraId="581BABE8" w14:textId="77777777" w:rsidR="001165B1" w:rsidRDefault="001165B1" w:rsidP="00851260">
      <w:pPr>
        <w:pStyle w:val="NormalWeb"/>
        <w:spacing w:line="480" w:lineRule="auto"/>
        <w:jc w:val="both"/>
      </w:pPr>
      <w:r>
        <w:t>Based on the findings, the study makes the following recommendations:</w:t>
      </w:r>
    </w:p>
    <w:p w14:paraId="389ECA29" w14:textId="77777777" w:rsidR="001165B1" w:rsidRDefault="001165B1" w:rsidP="00851260">
      <w:pPr>
        <w:pStyle w:val="NormalWeb"/>
        <w:numPr>
          <w:ilvl w:val="0"/>
          <w:numId w:val="10"/>
        </w:numPr>
        <w:spacing w:line="480" w:lineRule="auto"/>
        <w:jc w:val="both"/>
      </w:pPr>
      <w:r w:rsidRPr="00851260">
        <w:rPr>
          <w:rStyle w:val="Strong"/>
          <w:b w:val="0"/>
        </w:rPr>
        <w:lastRenderedPageBreak/>
        <w:t>Stabilize Education Budgets</w:t>
      </w:r>
      <w:r w:rsidRPr="00851260">
        <w:rPr>
          <w:b/>
        </w:rPr>
        <w:t>:</w:t>
      </w:r>
      <w:r>
        <w:t xml:space="preserve"> Government should allocate a fixed percentage of GDP to education that is insulated from exchange rate fluctuations. A dedicated stabilization fund could ensure continuity of critical </w:t>
      </w:r>
      <w:proofErr w:type="spellStart"/>
      <w:r>
        <w:t>programmes</w:t>
      </w:r>
      <w:proofErr w:type="spellEnd"/>
      <w:r>
        <w:t>.</w:t>
      </w:r>
    </w:p>
    <w:p w14:paraId="3EBE496E" w14:textId="77777777" w:rsidR="001165B1" w:rsidRDefault="001165B1" w:rsidP="00851260">
      <w:pPr>
        <w:pStyle w:val="NormalWeb"/>
        <w:numPr>
          <w:ilvl w:val="0"/>
          <w:numId w:val="10"/>
        </w:numPr>
        <w:spacing w:line="480" w:lineRule="auto"/>
        <w:jc w:val="both"/>
      </w:pPr>
      <w:r w:rsidRPr="00851260">
        <w:rPr>
          <w:rStyle w:val="Strong"/>
          <w:b w:val="0"/>
        </w:rPr>
        <w:t>Promote Local Resource Production</w:t>
      </w:r>
      <w:r>
        <w:t>: To reduce dependence on imports, the state should incentivize local publishing houses, software developers, and ICT manufacturers to produce language learning materials domestically.</w:t>
      </w:r>
    </w:p>
    <w:p w14:paraId="2513E631" w14:textId="77777777" w:rsidR="001165B1" w:rsidRDefault="001165B1" w:rsidP="00851260">
      <w:pPr>
        <w:pStyle w:val="NormalWeb"/>
        <w:numPr>
          <w:ilvl w:val="0"/>
          <w:numId w:val="10"/>
        </w:numPr>
        <w:spacing w:line="480" w:lineRule="auto"/>
        <w:jc w:val="both"/>
      </w:pPr>
      <w:r w:rsidRPr="00851260">
        <w:rPr>
          <w:rStyle w:val="Strong"/>
          <w:b w:val="0"/>
        </w:rPr>
        <w:t>Improve Teacher Remuneration Systems</w:t>
      </w:r>
      <w:r>
        <w:t>: Teacher salaries should be indexed to inflation or exchange rates to protect their real value, thereby reducing attrition.</w:t>
      </w:r>
    </w:p>
    <w:p w14:paraId="0772A87E" w14:textId="77777777" w:rsidR="001165B1" w:rsidRDefault="001165B1" w:rsidP="00851260">
      <w:pPr>
        <w:pStyle w:val="NormalWeb"/>
        <w:numPr>
          <w:ilvl w:val="0"/>
          <w:numId w:val="10"/>
        </w:numPr>
        <w:spacing w:line="480" w:lineRule="auto"/>
        <w:jc w:val="both"/>
      </w:pPr>
      <w:r w:rsidRPr="00851260">
        <w:rPr>
          <w:rStyle w:val="Strong"/>
          <w:b w:val="0"/>
        </w:rPr>
        <w:t>Strengthen Monitoring Mechanisms</w:t>
      </w:r>
      <w:r>
        <w:t>: Independent audits should be introduced to track how currency shifts impact project costs, ensuring accountability and evidence-based policymaking.</w:t>
      </w:r>
    </w:p>
    <w:p w14:paraId="54B69036" w14:textId="77777777" w:rsidR="001165B1" w:rsidRDefault="001165B1" w:rsidP="00851260">
      <w:pPr>
        <w:pStyle w:val="NormalWeb"/>
        <w:numPr>
          <w:ilvl w:val="0"/>
          <w:numId w:val="10"/>
        </w:numPr>
        <w:spacing w:line="480" w:lineRule="auto"/>
        <w:jc w:val="both"/>
      </w:pPr>
      <w:r w:rsidRPr="00851260">
        <w:rPr>
          <w:rStyle w:val="Strong"/>
          <w:b w:val="0"/>
        </w:rPr>
        <w:t>Leverage Digital Platforms</w:t>
      </w:r>
      <w:r>
        <w:t>: Increased investment in digital learning resources — which can be develo</w:t>
      </w:r>
      <w:r w:rsidR="00934792">
        <w:t xml:space="preserve">ped locally and scaled widely </w:t>
      </w:r>
      <w:r>
        <w:t>would reduce dependency on imported physical textbooks and materials.</w:t>
      </w:r>
    </w:p>
    <w:p w14:paraId="7AC7486C" w14:textId="77777777" w:rsidR="00934792" w:rsidRDefault="001165B1" w:rsidP="00B310DA">
      <w:pPr>
        <w:pStyle w:val="NormalWeb"/>
        <w:spacing w:line="480" w:lineRule="auto"/>
        <w:jc w:val="both"/>
      </w:pPr>
      <w:r>
        <w:t xml:space="preserve">Collectively, these strategies would mitigate the adverse effects of currency volatility and help secure the long-term sustainability of Nigeria’s language education </w:t>
      </w:r>
      <w:proofErr w:type="spellStart"/>
      <w:r>
        <w:t>programmes</w:t>
      </w:r>
      <w:proofErr w:type="spellEnd"/>
      <w:r>
        <w:t>.</w:t>
      </w:r>
    </w:p>
    <w:p w14:paraId="4A324B26" w14:textId="77777777" w:rsidR="00934792" w:rsidRPr="00934792" w:rsidRDefault="00934792" w:rsidP="00934792">
      <w:pPr>
        <w:pStyle w:val="Heading2"/>
        <w:rPr>
          <w:sz w:val="24"/>
          <w:szCs w:val="24"/>
        </w:rPr>
      </w:pPr>
      <w:r w:rsidRPr="00934792">
        <w:rPr>
          <w:rStyle w:val="Strong"/>
          <w:b/>
          <w:bCs/>
          <w:sz w:val="24"/>
          <w:szCs w:val="24"/>
        </w:rPr>
        <w:t xml:space="preserve"> References</w:t>
      </w:r>
    </w:p>
    <w:p w14:paraId="0679CAA6" w14:textId="77777777" w:rsidR="00934792" w:rsidRDefault="00934792" w:rsidP="009477DC">
      <w:pPr>
        <w:pStyle w:val="NormalWeb"/>
        <w:ind w:left="720" w:hanging="720"/>
        <w:jc w:val="both"/>
      </w:pPr>
      <w:r>
        <w:t xml:space="preserve">Adegbite, W. (2010). English language teaching in Nigeria: Trends and challenges. </w:t>
      </w:r>
      <w:r>
        <w:rPr>
          <w:rStyle w:val="Emphasis"/>
        </w:rPr>
        <w:t>Nigeria Journal of Applied Linguistics, 13</w:t>
      </w:r>
      <w:r>
        <w:t xml:space="preserve">(1), 11–26. </w:t>
      </w:r>
      <w:hyperlink r:id="rId7" w:tgtFrame="_new" w:history="1">
        <w:r>
          <w:rPr>
            <w:rStyle w:val="Hyperlink"/>
          </w:rPr>
          <w:t>ResearchGate Link</w:t>
        </w:r>
      </w:hyperlink>
    </w:p>
    <w:p w14:paraId="095FED9E" w14:textId="77777777" w:rsidR="00934792"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r w:rsidRPr="009477DC">
        <w:rPr>
          <w:rFonts w:ascii="Times New Roman" w:hAnsi="Times New Roman" w:cs="Times New Roman"/>
          <w:sz w:val="24"/>
          <w:szCs w:val="24"/>
        </w:rPr>
        <w:t xml:space="preserve">Adebayo, T., &amp; Oni, A. (2019). Exchange rate volatility and education sector financing in Nigeria. </w:t>
      </w:r>
      <w:r w:rsidRPr="009477DC">
        <w:rPr>
          <w:rStyle w:val="Emphasis"/>
          <w:rFonts w:ascii="Times New Roman" w:hAnsi="Times New Roman" w:cs="Times New Roman"/>
          <w:sz w:val="24"/>
          <w:szCs w:val="24"/>
        </w:rPr>
        <w:t>Journal of African Development Studies, 11</w:t>
      </w:r>
      <w:r w:rsidRPr="009477DC">
        <w:rPr>
          <w:rFonts w:ascii="Times New Roman" w:hAnsi="Times New Roman" w:cs="Times New Roman"/>
          <w:sz w:val="24"/>
          <w:szCs w:val="24"/>
        </w:rPr>
        <w:t>(2), 55–73</w:t>
      </w:r>
    </w:p>
    <w:p w14:paraId="402B796D" w14:textId="77777777" w:rsid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r w:rsidRPr="009477DC">
        <w:rPr>
          <w:rFonts w:ascii="Times New Roman" w:hAnsi="Times New Roman" w:cs="Times New Roman"/>
          <w:sz w:val="24"/>
          <w:szCs w:val="24"/>
        </w:rPr>
        <w:t xml:space="preserve">Becker, G. (1993). </w:t>
      </w:r>
      <w:r w:rsidRPr="009477DC">
        <w:rPr>
          <w:rStyle w:val="Emphasis"/>
          <w:rFonts w:ascii="Times New Roman" w:hAnsi="Times New Roman" w:cs="Times New Roman"/>
          <w:sz w:val="24"/>
          <w:szCs w:val="24"/>
        </w:rPr>
        <w:t>Human Capital: A theoretical and empirical analysis</w:t>
      </w:r>
      <w:r w:rsidRPr="009477DC">
        <w:rPr>
          <w:rFonts w:ascii="Times New Roman" w:hAnsi="Times New Roman" w:cs="Times New Roman"/>
          <w:sz w:val="24"/>
          <w:szCs w:val="24"/>
        </w:rPr>
        <w:t>. University of Chicago Press.</w:t>
      </w:r>
    </w:p>
    <w:p w14:paraId="5EDE18D2" w14:textId="77777777" w:rsidR="001332EA" w:rsidRDefault="001332EA" w:rsidP="009477DC">
      <w:pPr>
        <w:spacing w:before="100" w:beforeAutospacing="1" w:after="100" w:afterAutospacing="1" w:line="240" w:lineRule="auto"/>
        <w:ind w:left="720" w:hanging="720"/>
        <w:jc w:val="both"/>
        <w:rPr>
          <w:rFonts w:ascii="Times New Roman" w:hAnsi="Times New Roman" w:cs="Times New Roman"/>
          <w:sz w:val="24"/>
          <w:szCs w:val="24"/>
        </w:rPr>
      </w:pPr>
      <w:r w:rsidRPr="001332EA">
        <w:rPr>
          <w:rFonts w:ascii="Times New Roman" w:hAnsi="Times New Roman" w:cs="Times New Roman"/>
          <w:sz w:val="24"/>
          <w:szCs w:val="24"/>
        </w:rPr>
        <w:lastRenderedPageBreak/>
        <w:t xml:space="preserve">Central Bank of Nigeria. (2023). </w:t>
      </w:r>
      <w:r w:rsidRPr="001332EA">
        <w:rPr>
          <w:rStyle w:val="Emphasis"/>
          <w:rFonts w:ascii="Times New Roman" w:hAnsi="Times New Roman" w:cs="Times New Roman"/>
          <w:sz w:val="24"/>
          <w:szCs w:val="24"/>
        </w:rPr>
        <w:t>Annual statistical bulletin</w:t>
      </w:r>
      <w:r w:rsidRPr="001332EA">
        <w:rPr>
          <w:rFonts w:ascii="Times New Roman" w:hAnsi="Times New Roman" w:cs="Times New Roman"/>
          <w:sz w:val="24"/>
          <w:szCs w:val="24"/>
        </w:rPr>
        <w:t xml:space="preserve">. </w:t>
      </w:r>
      <w:hyperlink r:id="rId8" w:history="1">
        <w:r w:rsidRPr="009E6C3E">
          <w:rPr>
            <w:rStyle w:val="Hyperlink"/>
            <w:rFonts w:ascii="Times New Roman" w:hAnsi="Times New Roman" w:cs="Times New Roman"/>
            <w:sz w:val="24"/>
            <w:szCs w:val="24"/>
          </w:rPr>
          <w:t>https://www.cbn.gov.ng/documents/Statbulletin.asp</w:t>
        </w:r>
      </w:hyperlink>
    </w:p>
    <w:p w14:paraId="096B2269" w14:textId="77777777" w:rsid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IMF. (2024). Nigeria: Macroeconomic outlook. IMF </w:t>
      </w:r>
      <w:r w:rsidRPr="009477DC">
        <w:rPr>
          <w:rFonts w:ascii="Times New Roman" w:hAnsi="Times New Roman" w:cs="Times New Roman"/>
          <w:sz w:val="24"/>
          <w:szCs w:val="24"/>
        </w:rPr>
        <w:t xml:space="preserve">Country Report. </w:t>
      </w:r>
      <w:hyperlink r:id="rId9" w:history="1">
        <w:r w:rsidRPr="009E6C3E">
          <w:rPr>
            <w:rStyle w:val="Hyperlink"/>
            <w:rFonts w:ascii="Times New Roman" w:hAnsi="Times New Roman" w:cs="Times New Roman"/>
            <w:sz w:val="24"/>
            <w:szCs w:val="24"/>
          </w:rPr>
          <w:t>https://www.imf.org/en/Countries/NGA</w:t>
        </w:r>
      </w:hyperlink>
    </w:p>
    <w:p w14:paraId="6E13BBC2" w14:textId="77777777" w:rsid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9477DC">
        <w:rPr>
          <w:rFonts w:ascii="Times New Roman" w:hAnsi="Times New Roman" w:cs="Times New Roman"/>
          <w:sz w:val="24"/>
          <w:szCs w:val="24"/>
        </w:rPr>
        <w:t>Odukoya</w:t>
      </w:r>
      <w:proofErr w:type="spellEnd"/>
      <w:r w:rsidRPr="009477DC">
        <w:rPr>
          <w:rFonts w:ascii="Times New Roman" w:hAnsi="Times New Roman" w:cs="Times New Roman"/>
          <w:sz w:val="24"/>
          <w:szCs w:val="24"/>
        </w:rPr>
        <w:t xml:space="preserve">, J. A., &amp; Adeyemi, A. M. (2021). Funding challenges in Nigerian education: Implications for policy and practice. </w:t>
      </w:r>
      <w:r w:rsidRPr="009477DC">
        <w:rPr>
          <w:rStyle w:val="Emphasis"/>
          <w:rFonts w:ascii="Times New Roman" w:hAnsi="Times New Roman" w:cs="Times New Roman"/>
          <w:sz w:val="24"/>
          <w:szCs w:val="24"/>
        </w:rPr>
        <w:t>Cogent Education, 8</w:t>
      </w:r>
      <w:r w:rsidRPr="009477DC">
        <w:rPr>
          <w:rFonts w:ascii="Times New Roman" w:hAnsi="Times New Roman" w:cs="Times New Roman"/>
          <w:sz w:val="24"/>
          <w:szCs w:val="24"/>
        </w:rPr>
        <w:t xml:space="preserve">(1), 1929378. </w:t>
      </w:r>
      <w:hyperlink r:id="rId10" w:history="1">
        <w:r w:rsidRPr="009E6C3E">
          <w:rPr>
            <w:rStyle w:val="Hyperlink"/>
            <w:rFonts w:ascii="Times New Roman" w:hAnsi="Times New Roman" w:cs="Times New Roman"/>
            <w:sz w:val="24"/>
            <w:szCs w:val="24"/>
          </w:rPr>
          <w:t>https://doi.org/10.1080/2331186X.2021.1929378</w:t>
        </w:r>
      </w:hyperlink>
    </w:p>
    <w:p w14:paraId="0616E25D" w14:textId="77777777" w:rsidR="009477DC" w:rsidRP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9477DC">
        <w:rPr>
          <w:rFonts w:ascii="Times New Roman" w:hAnsi="Times New Roman" w:cs="Times New Roman"/>
          <w:sz w:val="24"/>
          <w:szCs w:val="24"/>
        </w:rPr>
        <w:t>Okebukola</w:t>
      </w:r>
      <w:proofErr w:type="spellEnd"/>
      <w:r w:rsidRPr="009477DC">
        <w:rPr>
          <w:rFonts w:ascii="Times New Roman" w:hAnsi="Times New Roman" w:cs="Times New Roman"/>
          <w:sz w:val="24"/>
          <w:szCs w:val="24"/>
        </w:rPr>
        <w:t xml:space="preserve">, P. (2015). Teacher attrition in sub-Saharan Africa: Causes and consequences. </w:t>
      </w:r>
      <w:r w:rsidRPr="009477DC">
        <w:rPr>
          <w:rStyle w:val="Emphasis"/>
          <w:rFonts w:ascii="Times New Roman" w:hAnsi="Times New Roman" w:cs="Times New Roman"/>
          <w:sz w:val="24"/>
          <w:szCs w:val="24"/>
        </w:rPr>
        <w:t>African Educational Research Journal, 3</w:t>
      </w:r>
      <w:r w:rsidRPr="009477DC">
        <w:rPr>
          <w:rFonts w:ascii="Times New Roman" w:hAnsi="Times New Roman" w:cs="Times New Roman"/>
          <w:sz w:val="24"/>
          <w:szCs w:val="24"/>
        </w:rPr>
        <w:t>(2), 89–101.</w:t>
      </w:r>
    </w:p>
    <w:p w14:paraId="36F6B804" w14:textId="77777777" w:rsid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r w:rsidRPr="009477DC">
        <w:rPr>
          <w:rFonts w:ascii="Times New Roman" w:hAnsi="Times New Roman" w:cs="Times New Roman"/>
          <w:sz w:val="24"/>
          <w:szCs w:val="24"/>
        </w:rPr>
        <w:t xml:space="preserve">Pfeffer, J., &amp; </w:t>
      </w:r>
      <w:proofErr w:type="spellStart"/>
      <w:r w:rsidRPr="009477DC">
        <w:rPr>
          <w:rFonts w:ascii="Times New Roman" w:hAnsi="Times New Roman" w:cs="Times New Roman"/>
          <w:sz w:val="24"/>
          <w:szCs w:val="24"/>
        </w:rPr>
        <w:t>Salancik</w:t>
      </w:r>
      <w:proofErr w:type="spellEnd"/>
      <w:r w:rsidRPr="009477DC">
        <w:rPr>
          <w:rFonts w:ascii="Times New Roman" w:hAnsi="Times New Roman" w:cs="Times New Roman"/>
          <w:sz w:val="24"/>
          <w:szCs w:val="24"/>
        </w:rPr>
        <w:t xml:space="preserve">, G. R. (1978). </w:t>
      </w:r>
      <w:r w:rsidRPr="009477DC">
        <w:rPr>
          <w:rStyle w:val="Emphasis"/>
          <w:rFonts w:ascii="Times New Roman" w:hAnsi="Times New Roman" w:cs="Times New Roman"/>
          <w:sz w:val="24"/>
          <w:szCs w:val="24"/>
        </w:rPr>
        <w:t>The external control of organizations: A resource dependence perspective</w:t>
      </w:r>
      <w:r w:rsidRPr="009477DC">
        <w:rPr>
          <w:rFonts w:ascii="Times New Roman" w:hAnsi="Times New Roman" w:cs="Times New Roman"/>
          <w:sz w:val="24"/>
          <w:szCs w:val="24"/>
        </w:rPr>
        <w:t>. Harper &amp; Row.</w:t>
      </w:r>
    </w:p>
    <w:p w14:paraId="31FE4E11" w14:textId="77777777" w:rsidR="009477DC" w:rsidRDefault="009477DC" w:rsidP="009477DC">
      <w:pPr>
        <w:spacing w:before="100" w:beforeAutospacing="1" w:after="100" w:afterAutospacing="1" w:line="240" w:lineRule="auto"/>
        <w:ind w:left="720" w:hanging="720"/>
        <w:jc w:val="both"/>
        <w:rPr>
          <w:rFonts w:ascii="Times New Roman" w:hAnsi="Times New Roman" w:cs="Times New Roman"/>
          <w:sz w:val="24"/>
          <w:szCs w:val="24"/>
        </w:rPr>
      </w:pPr>
      <w:r w:rsidRPr="001332EA">
        <w:rPr>
          <w:rFonts w:ascii="Times New Roman" w:hAnsi="Times New Roman" w:cs="Times New Roman"/>
          <w:sz w:val="24"/>
          <w:szCs w:val="24"/>
        </w:rPr>
        <w:t>UNESCO. (2023).</w:t>
      </w:r>
      <w:r w:rsidRPr="009477DC">
        <w:rPr>
          <w:rFonts w:ascii="Times New Roman" w:hAnsi="Times New Roman" w:cs="Times New Roman"/>
          <w:sz w:val="24"/>
          <w:szCs w:val="24"/>
        </w:rPr>
        <w:t xml:space="preserve"> Global education monitoring report: Nigeria country profile. </w:t>
      </w:r>
      <w:hyperlink r:id="rId11" w:tgtFrame="_new" w:history="1">
        <w:r w:rsidRPr="009477DC">
          <w:rPr>
            <w:rStyle w:val="Hyperlink"/>
            <w:rFonts w:ascii="Times New Roman" w:hAnsi="Times New Roman" w:cs="Times New Roman"/>
            <w:sz w:val="24"/>
            <w:szCs w:val="24"/>
          </w:rPr>
          <w:t>https://www.unesco.org/reports/gemreport/2023/nigeria</w:t>
        </w:r>
      </w:hyperlink>
    </w:p>
    <w:p w14:paraId="0405A923" w14:textId="77777777" w:rsidR="009477DC" w:rsidRPr="001332EA" w:rsidRDefault="001332EA" w:rsidP="009477DC">
      <w:pPr>
        <w:spacing w:before="100" w:beforeAutospacing="1" w:after="100" w:afterAutospacing="1" w:line="240" w:lineRule="auto"/>
        <w:ind w:left="720" w:hanging="720"/>
        <w:jc w:val="both"/>
        <w:rPr>
          <w:rFonts w:ascii="Times New Roman" w:hAnsi="Times New Roman" w:cs="Times New Roman"/>
          <w:sz w:val="24"/>
          <w:szCs w:val="24"/>
        </w:rPr>
      </w:pPr>
      <w:r w:rsidRPr="001332EA">
        <w:rPr>
          <w:rFonts w:ascii="Times New Roman" w:hAnsi="Times New Roman" w:cs="Times New Roman"/>
          <w:sz w:val="24"/>
          <w:szCs w:val="24"/>
        </w:rPr>
        <w:t xml:space="preserve">World Bank. (2023). Exchange rate shocks and education financing in developing countries. </w:t>
      </w:r>
      <w:hyperlink r:id="rId12" w:tgtFrame="_new" w:history="1">
        <w:r w:rsidRPr="001332EA">
          <w:rPr>
            <w:rStyle w:val="Hyperlink"/>
            <w:rFonts w:ascii="Times New Roman" w:hAnsi="Times New Roman" w:cs="Times New Roman"/>
            <w:sz w:val="24"/>
            <w:szCs w:val="24"/>
          </w:rPr>
          <w:t>https://www.worldbank.org/en/topic/education</w:t>
        </w:r>
      </w:hyperlink>
    </w:p>
    <w:sectPr w:rsidR="009477DC" w:rsidRPr="001332EA" w:rsidSect="00155FE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4AAA" w14:textId="77777777" w:rsidR="00F2139A" w:rsidRDefault="00F2139A" w:rsidP="00934792">
      <w:pPr>
        <w:spacing w:after="0" w:line="240" w:lineRule="auto"/>
      </w:pPr>
      <w:r>
        <w:separator/>
      </w:r>
    </w:p>
  </w:endnote>
  <w:endnote w:type="continuationSeparator" w:id="0">
    <w:p w14:paraId="2474F5CC" w14:textId="77777777" w:rsidR="00F2139A" w:rsidRDefault="00F2139A" w:rsidP="0093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6A62C" w14:textId="77777777" w:rsidR="00F81E28" w:rsidRDefault="00F8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9326"/>
      <w:docPartObj>
        <w:docPartGallery w:val="Page Numbers (Bottom of Page)"/>
        <w:docPartUnique/>
      </w:docPartObj>
    </w:sdtPr>
    <w:sdtEndPr/>
    <w:sdtContent>
      <w:p w14:paraId="5C4996EE" w14:textId="77777777" w:rsidR="00934792" w:rsidRDefault="0039676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E2FFFFB" w14:textId="77777777" w:rsidR="00934792" w:rsidRDefault="00934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9E72" w14:textId="77777777" w:rsidR="00F81E28" w:rsidRDefault="00F8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A6577" w14:textId="77777777" w:rsidR="00F2139A" w:rsidRDefault="00F2139A" w:rsidP="00934792">
      <w:pPr>
        <w:spacing w:after="0" w:line="240" w:lineRule="auto"/>
      </w:pPr>
      <w:r>
        <w:separator/>
      </w:r>
    </w:p>
  </w:footnote>
  <w:footnote w:type="continuationSeparator" w:id="0">
    <w:p w14:paraId="1BBBCDDB" w14:textId="77777777" w:rsidR="00F2139A" w:rsidRDefault="00F2139A" w:rsidP="0093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2954" w14:textId="37952749" w:rsidR="00F81E28" w:rsidRDefault="00F81E28">
    <w:pPr>
      <w:pStyle w:val="Header"/>
    </w:pPr>
    <w:r>
      <w:rPr>
        <w:noProof/>
      </w:rPr>
      <w:pict w14:anchorId="72AB7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02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FDBC" w14:textId="64C7DA4B" w:rsidR="00F81E28" w:rsidRDefault="00F81E28">
    <w:pPr>
      <w:pStyle w:val="Header"/>
    </w:pPr>
    <w:r>
      <w:rPr>
        <w:noProof/>
      </w:rPr>
      <w:pict w14:anchorId="57013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02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F8BE" w14:textId="270EF70D" w:rsidR="00F81E28" w:rsidRDefault="00F81E28">
    <w:pPr>
      <w:pStyle w:val="Header"/>
    </w:pPr>
    <w:r>
      <w:rPr>
        <w:noProof/>
      </w:rPr>
      <w:pict w14:anchorId="7521A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02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D5B"/>
    <w:multiLevelType w:val="multilevel"/>
    <w:tmpl w:val="E70C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939DC"/>
    <w:multiLevelType w:val="multilevel"/>
    <w:tmpl w:val="CFB6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52564"/>
    <w:multiLevelType w:val="multilevel"/>
    <w:tmpl w:val="2D7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B0B0F"/>
    <w:multiLevelType w:val="multilevel"/>
    <w:tmpl w:val="FAC0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57DC2"/>
    <w:multiLevelType w:val="multilevel"/>
    <w:tmpl w:val="BDE6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5429E"/>
    <w:multiLevelType w:val="multilevel"/>
    <w:tmpl w:val="33B0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C28B2"/>
    <w:multiLevelType w:val="multilevel"/>
    <w:tmpl w:val="FD92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25748"/>
    <w:multiLevelType w:val="multilevel"/>
    <w:tmpl w:val="4B0C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65701"/>
    <w:multiLevelType w:val="multilevel"/>
    <w:tmpl w:val="0C5C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E0D31"/>
    <w:multiLevelType w:val="multilevel"/>
    <w:tmpl w:val="99B8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195A45"/>
    <w:multiLevelType w:val="multilevel"/>
    <w:tmpl w:val="A1F8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2"/>
  </w:num>
  <w:num w:numId="4">
    <w:abstractNumId w:val="4"/>
  </w:num>
  <w:num w:numId="5">
    <w:abstractNumId w:val="3"/>
  </w:num>
  <w:num w:numId="6">
    <w:abstractNumId w:val="8"/>
  </w:num>
  <w:num w:numId="7">
    <w:abstractNumId w:val="6"/>
  </w:num>
  <w:num w:numId="8">
    <w:abstractNumId w:val="7"/>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224F"/>
    <w:rsid w:val="00014E3B"/>
    <w:rsid w:val="001165B1"/>
    <w:rsid w:val="001332EA"/>
    <w:rsid w:val="00155FEE"/>
    <w:rsid w:val="002636F7"/>
    <w:rsid w:val="002B5E39"/>
    <w:rsid w:val="00396769"/>
    <w:rsid w:val="00447A3B"/>
    <w:rsid w:val="004B454E"/>
    <w:rsid w:val="0051040E"/>
    <w:rsid w:val="005C224F"/>
    <w:rsid w:val="006372F9"/>
    <w:rsid w:val="006C679D"/>
    <w:rsid w:val="006D1C5C"/>
    <w:rsid w:val="006E50D8"/>
    <w:rsid w:val="006F34E7"/>
    <w:rsid w:val="00747B0D"/>
    <w:rsid w:val="00784B58"/>
    <w:rsid w:val="007B089D"/>
    <w:rsid w:val="00851260"/>
    <w:rsid w:val="008A141C"/>
    <w:rsid w:val="00934792"/>
    <w:rsid w:val="0094584B"/>
    <w:rsid w:val="009477DC"/>
    <w:rsid w:val="00B06E7F"/>
    <w:rsid w:val="00B310DA"/>
    <w:rsid w:val="00BB43DB"/>
    <w:rsid w:val="00C31D8B"/>
    <w:rsid w:val="00CB553A"/>
    <w:rsid w:val="00F2139A"/>
    <w:rsid w:val="00F81E28"/>
    <w:rsid w:val="00F96346"/>
    <w:rsid w:val="00FB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9161F"/>
  <w15:docId w15:val="{FF386175-D2DE-4C0D-AC5F-920E072A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FEE"/>
  </w:style>
  <w:style w:type="paragraph" w:styleId="Heading1">
    <w:name w:val="heading 1"/>
    <w:basedOn w:val="Normal"/>
    <w:link w:val="Heading1Char"/>
    <w:uiPriority w:val="9"/>
    <w:qFormat/>
    <w:rsid w:val="005C22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22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5E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6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2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224F"/>
    <w:rPr>
      <w:rFonts w:ascii="Times New Roman" w:eastAsia="Times New Roman" w:hAnsi="Times New Roman" w:cs="Times New Roman"/>
      <w:b/>
      <w:bCs/>
      <w:sz w:val="36"/>
      <w:szCs w:val="36"/>
    </w:rPr>
  </w:style>
  <w:style w:type="character" w:styleId="Strong">
    <w:name w:val="Strong"/>
    <w:basedOn w:val="DefaultParagraphFont"/>
    <w:uiPriority w:val="22"/>
    <w:qFormat/>
    <w:rsid w:val="005C224F"/>
    <w:rPr>
      <w:b/>
      <w:bCs/>
    </w:rPr>
  </w:style>
  <w:style w:type="paragraph" w:styleId="NormalWeb">
    <w:name w:val="Normal (Web)"/>
    <w:basedOn w:val="Normal"/>
    <w:uiPriority w:val="99"/>
    <w:unhideWhenUsed/>
    <w:rsid w:val="005C22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5C224F"/>
  </w:style>
  <w:style w:type="character" w:customStyle="1" w:styleId="mord">
    <w:name w:val="mord"/>
    <w:basedOn w:val="DefaultParagraphFont"/>
    <w:rsid w:val="005C224F"/>
  </w:style>
  <w:style w:type="character" w:customStyle="1" w:styleId="mrel">
    <w:name w:val="mrel"/>
    <w:basedOn w:val="DefaultParagraphFont"/>
    <w:rsid w:val="005C224F"/>
  </w:style>
  <w:style w:type="character" w:customStyle="1" w:styleId="vlist-s">
    <w:name w:val="vlist-s"/>
    <w:basedOn w:val="DefaultParagraphFont"/>
    <w:rsid w:val="005C224F"/>
  </w:style>
  <w:style w:type="character" w:customStyle="1" w:styleId="mbin">
    <w:name w:val="mbin"/>
    <w:basedOn w:val="DefaultParagraphFont"/>
    <w:rsid w:val="005C224F"/>
  </w:style>
  <w:style w:type="character" w:customStyle="1" w:styleId="mopen">
    <w:name w:val="mopen"/>
    <w:basedOn w:val="DefaultParagraphFont"/>
    <w:rsid w:val="005C224F"/>
  </w:style>
  <w:style w:type="character" w:customStyle="1" w:styleId="mclose">
    <w:name w:val="mclose"/>
    <w:basedOn w:val="DefaultParagraphFont"/>
    <w:rsid w:val="005C224F"/>
  </w:style>
  <w:style w:type="paragraph" w:styleId="ListParagraph">
    <w:name w:val="List Paragraph"/>
    <w:basedOn w:val="Normal"/>
    <w:uiPriority w:val="34"/>
    <w:qFormat/>
    <w:rsid w:val="005C224F"/>
    <w:pPr>
      <w:ind w:left="720"/>
      <w:contextualSpacing/>
    </w:pPr>
  </w:style>
  <w:style w:type="character" w:customStyle="1" w:styleId="Heading3Char">
    <w:name w:val="Heading 3 Char"/>
    <w:basedOn w:val="DefaultParagraphFont"/>
    <w:link w:val="Heading3"/>
    <w:uiPriority w:val="9"/>
    <w:semiHidden/>
    <w:rsid w:val="002B5E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6F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93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792"/>
  </w:style>
  <w:style w:type="paragraph" w:styleId="Footer">
    <w:name w:val="footer"/>
    <w:basedOn w:val="Normal"/>
    <w:link w:val="FooterChar"/>
    <w:uiPriority w:val="99"/>
    <w:unhideWhenUsed/>
    <w:rsid w:val="0093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792"/>
  </w:style>
  <w:style w:type="character" w:styleId="Emphasis">
    <w:name w:val="Emphasis"/>
    <w:basedOn w:val="DefaultParagraphFont"/>
    <w:uiPriority w:val="20"/>
    <w:qFormat/>
    <w:rsid w:val="00934792"/>
    <w:rPr>
      <w:i/>
      <w:iCs/>
    </w:rPr>
  </w:style>
  <w:style w:type="character" w:styleId="Hyperlink">
    <w:name w:val="Hyperlink"/>
    <w:basedOn w:val="DefaultParagraphFont"/>
    <w:uiPriority w:val="99"/>
    <w:unhideWhenUsed/>
    <w:rsid w:val="00934792"/>
    <w:rPr>
      <w:color w:val="0000FF"/>
      <w:u w:val="single"/>
    </w:rPr>
  </w:style>
  <w:style w:type="character" w:styleId="UnresolvedMention">
    <w:name w:val="Unresolved Mention"/>
    <w:basedOn w:val="DefaultParagraphFont"/>
    <w:uiPriority w:val="99"/>
    <w:semiHidden/>
    <w:unhideWhenUsed/>
    <w:rsid w:val="006F3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4653">
      <w:bodyDiv w:val="1"/>
      <w:marLeft w:val="0"/>
      <w:marRight w:val="0"/>
      <w:marTop w:val="0"/>
      <w:marBottom w:val="0"/>
      <w:divBdr>
        <w:top w:val="none" w:sz="0" w:space="0" w:color="auto"/>
        <w:left w:val="none" w:sz="0" w:space="0" w:color="auto"/>
        <w:bottom w:val="none" w:sz="0" w:space="0" w:color="auto"/>
        <w:right w:val="none" w:sz="0" w:space="0" w:color="auto"/>
      </w:divBdr>
    </w:div>
    <w:div w:id="419104879">
      <w:bodyDiv w:val="1"/>
      <w:marLeft w:val="0"/>
      <w:marRight w:val="0"/>
      <w:marTop w:val="0"/>
      <w:marBottom w:val="0"/>
      <w:divBdr>
        <w:top w:val="none" w:sz="0" w:space="0" w:color="auto"/>
        <w:left w:val="none" w:sz="0" w:space="0" w:color="auto"/>
        <w:bottom w:val="none" w:sz="0" w:space="0" w:color="auto"/>
        <w:right w:val="none" w:sz="0" w:space="0" w:color="auto"/>
      </w:divBdr>
    </w:div>
    <w:div w:id="451480246">
      <w:bodyDiv w:val="1"/>
      <w:marLeft w:val="0"/>
      <w:marRight w:val="0"/>
      <w:marTop w:val="0"/>
      <w:marBottom w:val="0"/>
      <w:divBdr>
        <w:top w:val="none" w:sz="0" w:space="0" w:color="auto"/>
        <w:left w:val="none" w:sz="0" w:space="0" w:color="auto"/>
        <w:bottom w:val="none" w:sz="0" w:space="0" w:color="auto"/>
        <w:right w:val="none" w:sz="0" w:space="0" w:color="auto"/>
      </w:divBdr>
    </w:div>
    <w:div w:id="548221822">
      <w:bodyDiv w:val="1"/>
      <w:marLeft w:val="0"/>
      <w:marRight w:val="0"/>
      <w:marTop w:val="0"/>
      <w:marBottom w:val="0"/>
      <w:divBdr>
        <w:top w:val="none" w:sz="0" w:space="0" w:color="auto"/>
        <w:left w:val="none" w:sz="0" w:space="0" w:color="auto"/>
        <w:bottom w:val="none" w:sz="0" w:space="0" w:color="auto"/>
        <w:right w:val="none" w:sz="0" w:space="0" w:color="auto"/>
      </w:divBdr>
      <w:divsChild>
        <w:div w:id="414086890">
          <w:marLeft w:val="0"/>
          <w:marRight w:val="0"/>
          <w:marTop w:val="0"/>
          <w:marBottom w:val="0"/>
          <w:divBdr>
            <w:top w:val="none" w:sz="0" w:space="0" w:color="auto"/>
            <w:left w:val="none" w:sz="0" w:space="0" w:color="auto"/>
            <w:bottom w:val="none" w:sz="0" w:space="0" w:color="auto"/>
            <w:right w:val="none" w:sz="0" w:space="0" w:color="auto"/>
          </w:divBdr>
          <w:divsChild>
            <w:div w:id="19261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8189">
      <w:bodyDiv w:val="1"/>
      <w:marLeft w:val="0"/>
      <w:marRight w:val="0"/>
      <w:marTop w:val="0"/>
      <w:marBottom w:val="0"/>
      <w:divBdr>
        <w:top w:val="none" w:sz="0" w:space="0" w:color="auto"/>
        <w:left w:val="none" w:sz="0" w:space="0" w:color="auto"/>
        <w:bottom w:val="none" w:sz="0" w:space="0" w:color="auto"/>
        <w:right w:val="none" w:sz="0" w:space="0" w:color="auto"/>
      </w:divBdr>
    </w:div>
    <w:div w:id="821237233">
      <w:bodyDiv w:val="1"/>
      <w:marLeft w:val="0"/>
      <w:marRight w:val="0"/>
      <w:marTop w:val="0"/>
      <w:marBottom w:val="0"/>
      <w:divBdr>
        <w:top w:val="none" w:sz="0" w:space="0" w:color="auto"/>
        <w:left w:val="none" w:sz="0" w:space="0" w:color="auto"/>
        <w:bottom w:val="none" w:sz="0" w:space="0" w:color="auto"/>
        <w:right w:val="none" w:sz="0" w:space="0" w:color="auto"/>
      </w:divBdr>
    </w:div>
    <w:div w:id="1296839447">
      <w:bodyDiv w:val="1"/>
      <w:marLeft w:val="0"/>
      <w:marRight w:val="0"/>
      <w:marTop w:val="0"/>
      <w:marBottom w:val="0"/>
      <w:divBdr>
        <w:top w:val="none" w:sz="0" w:space="0" w:color="auto"/>
        <w:left w:val="none" w:sz="0" w:space="0" w:color="auto"/>
        <w:bottom w:val="none" w:sz="0" w:space="0" w:color="auto"/>
        <w:right w:val="none" w:sz="0" w:space="0" w:color="auto"/>
      </w:divBdr>
    </w:div>
    <w:div w:id="1310943112">
      <w:bodyDiv w:val="1"/>
      <w:marLeft w:val="0"/>
      <w:marRight w:val="0"/>
      <w:marTop w:val="0"/>
      <w:marBottom w:val="0"/>
      <w:divBdr>
        <w:top w:val="none" w:sz="0" w:space="0" w:color="auto"/>
        <w:left w:val="none" w:sz="0" w:space="0" w:color="auto"/>
        <w:bottom w:val="none" w:sz="0" w:space="0" w:color="auto"/>
        <w:right w:val="none" w:sz="0" w:space="0" w:color="auto"/>
      </w:divBdr>
      <w:divsChild>
        <w:div w:id="1136068087">
          <w:marLeft w:val="0"/>
          <w:marRight w:val="0"/>
          <w:marTop w:val="0"/>
          <w:marBottom w:val="0"/>
          <w:divBdr>
            <w:top w:val="none" w:sz="0" w:space="0" w:color="auto"/>
            <w:left w:val="none" w:sz="0" w:space="0" w:color="auto"/>
            <w:bottom w:val="none" w:sz="0" w:space="0" w:color="auto"/>
            <w:right w:val="none" w:sz="0" w:space="0" w:color="auto"/>
          </w:divBdr>
          <w:divsChild>
            <w:div w:id="2031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025">
      <w:bodyDiv w:val="1"/>
      <w:marLeft w:val="0"/>
      <w:marRight w:val="0"/>
      <w:marTop w:val="0"/>
      <w:marBottom w:val="0"/>
      <w:divBdr>
        <w:top w:val="none" w:sz="0" w:space="0" w:color="auto"/>
        <w:left w:val="none" w:sz="0" w:space="0" w:color="auto"/>
        <w:bottom w:val="none" w:sz="0" w:space="0" w:color="auto"/>
        <w:right w:val="none" w:sz="0" w:space="0" w:color="auto"/>
      </w:divBdr>
    </w:div>
    <w:div w:id="1757048273">
      <w:bodyDiv w:val="1"/>
      <w:marLeft w:val="0"/>
      <w:marRight w:val="0"/>
      <w:marTop w:val="0"/>
      <w:marBottom w:val="0"/>
      <w:divBdr>
        <w:top w:val="none" w:sz="0" w:space="0" w:color="auto"/>
        <w:left w:val="none" w:sz="0" w:space="0" w:color="auto"/>
        <w:bottom w:val="none" w:sz="0" w:space="0" w:color="auto"/>
        <w:right w:val="none" w:sz="0" w:space="0" w:color="auto"/>
      </w:divBdr>
    </w:div>
    <w:div w:id="1788043851">
      <w:bodyDiv w:val="1"/>
      <w:marLeft w:val="0"/>
      <w:marRight w:val="0"/>
      <w:marTop w:val="0"/>
      <w:marBottom w:val="0"/>
      <w:divBdr>
        <w:top w:val="none" w:sz="0" w:space="0" w:color="auto"/>
        <w:left w:val="none" w:sz="0" w:space="0" w:color="auto"/>
        <w:bottom w:val="none" w:sz="0" w:space="0" w:color="auto"/>
        <w:right w:val="none" w:sz="0" w:space="0" w:color="auto"/>
      </w:divBdr>
    </w:div>
    <w:div w:id="1829398120">
      <w:bodyDiv w:val="1"/>
      <w:marLeft w:val="0"/>
      <w:marRight w:val="0"/>
      <w:marTop w:val="0"/>
      <w:marBottom w:val="0"/>
      <w:divBdr>
        <w:top w:val="none" w:sz="0" w:space="0" w:color="auto"/>
        <w:left w:val="none" w:sz="0" w:space="0" w:color="auto"/>
        <w:bottom w:val="none" w:sz="0" w:space="0" w:color="auto"/>
        <w:right w:val="none" w:sz="0" w:space="0" w:color="auto"/>
      </w:divBdr>
    </w:div>
    <w:div w:id="1865941681">
      <w:bodyDiv w:val="1"/>
      <w:marLeft w:val="0"/>
      <w:marRight w:val="0"/>
      <w:marTop w:val="0"/>
      <w:marBottom w:val="0"/>
      <w:divBdr>
        <w:top w:val="none" w:sz="0" w:space="0" w:color="auto"/>
        <w:left w:val="none" w:sz="0" w:space="0" w:color="auto"/>
        <w:bottom w:val="none" w:sz="0" w:space="0" w:color="auto"/>
        <w:right w:val="none" w:sz="0" w:space="0" w:color="auto"/>
      </w:divBdr>
      <w:divsChild>
        <w:div w:id="741416454">
          <w:marLeft w:val="0"/>
          <w:marRight w:val="0"/>
          <w:marTop w:val="0"/>
          <w:marBottom w:val="0"/>
          <w:divBdr>
            <w:top w:val="none" w:sz="0" w:space="0" w:color="auto"/>
            <w:left w:val="none" w:sz="0" w:space="0" w:color="auto"/>
            <w:bottom w:val="none" w:sz="0" w:space="0" w:color="auto"/>
            <w:right w:val="none" w:sz="0" w:space="0" w:color="auto"/>
          </w:divBdr>
          <w:divsChild>
            <w:div w:id="20418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documents/Statbulletin.as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267827807" TargetMode="External"/><Relationship Id="rId12" Type="http://schemas.openxmlformats.org/officeDocument/2006/relationships/hyperlink" Target="https://www.worldbank.org/en/topic/educati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sco.org/reports/gemreport/2023/niger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2331186X.2021.192937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mf.org/en/Countries/NG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4</cp:revision>
  <dcterms:created xsi:type="dcterms:W3CDTF">2025-09-24T11:58:00Z</dcterms:created>
  <dcterms:modified xsi:type="dcterms:W3CDTF">2025-09-25T10:00:00Z</dcterms:modified>
</cp:coreProperties>
</file>