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49908" w14:textId="2E551DAD" w:rsidR="00D4529F" w:rsidRPr="00083EB6" w:rsidRDefault="00D4529F" w:rsidP="006C0CB9">
      <w:pPr>
        <w:jc w:val="both"/>
        <w:rPr>
          <w:rFonts w:asciiTheme="majorBidi" w:hAnsiTheme="majorBidi" w:cstheme="majorBidi"/>
          <w:b/>
          <w:bCs/>
          <w:sz w:val="28"/>
          <w:szCs w:val="28"/>
        </w:rPr>
      </w:pPr>
      <w:r w:rsidRPr="00083EB6">
        <w:rPr>
          <w:rFonts w:asciiTheme="majorBidi" w:hAnsiTheme="majorBidi" w:cstheme="majorBidi"/>
          <w:b/>
          <w:bCs/>
          <w:sz w:val="28"/>
          <w:szCs w:val="28"/>
        </w:rPr>
        <w:t xml:space="preserve">An Immunological and Molecular Study of Oral </w:t>
      </w:r>
      <w:r w:rsidR="006C0CB9">
        <w:rPr>
          <w:rFonts w:asciiTheme="majorBidi" w:hAnsiTheme="majorBidi" w:cstheme="majorBidi"/>
          <w:b/>
          <w:bCs/>
          <w:sz w:val="28"/>
          <w:szCs w:val="28"/>
        </w:rPr>
        <w:t>Candidiasis</w:t>
      </w:r>
      <w:r w:rsidRPr="00083EB6">
        <w:rPr>
          <w:rFonts w:asciiTheme="majorBidi" w:hAnsiTheme="majorBidi" w:cstheme="majorBidi"/>
          <w:b/>
          <w:bCs/>
          <w:sz w:val="28"/>
          <w:szCs w:val="28"/>
        </w:rPr>
        <w:t xml:space="preserve"> in Children: Evaluating Modern Diagnostic Methods and Clinical Implications</w:t>
      </w:r>
    </w:p>
    <w:p w14:paraId="0F8629F5" w14:textId="77777777" w:rsidR="00BF7B6E" w:rsidRDefault="00BF7B6E" w:rsidP="006C0CB9">
      <w:pPr>
        <w:jc w:val="both"/>
        <w:rPr>
          <w:rFonts w:asciiTheme="majorBidi" w:hAnsiTheme="majorBidi" w:cstheme="majorBidi"/>
          <w:b/>
          <w:bCs/>
          <w:sz w:val="24"/>
          <w:szCs w:val="24"/>
        </w:rPr>
      </w:pPr>
    </w:p>
    <w:p w14:paraId="25A090E6" w14:textId="77777777" w:rsidR="00BF7B6E" w:rsidRDefault="00BF7B6E" w:rsidP="006C0CB9">
      <w:pPr>
        <w:jc w:val="both"/>
        <w:rPr>
          <w:rFonts w:asciiTheme="majorBidi" w:hAnsiTheme="majorBidi" w:cstheme="majorBidi"/>
          <w:b/>
          <w:bCs/>
          <w:sz w:val="24"/>
          <w:szCs w:val="24"/>
        </w:rPr>
      </w:pPr>
    </w:p>
    <w:p w14:paraId="0665D4DC" w14:textId="77777777" w:rsidR="00BF7B6E" w:rsidRDefault="00BF7B6E" w:rsidP="006C0CB9">
      <w:pPr>
        <w:jc w:val="both"/>
        <w:rPr>
          <w:rFonts w:asciiTheme="majorBidi" w:hAnsiTheme="majorBidi" w:cstheme="majorBidi"/>
          <w:b/>
          <w:bCs/>
          <w:sz w:val="24"/>
          <w:szCs w:val="24"/>
        </w:rPr>
      </w:pPr>
    </w:p>
    <w:p w14:paraId="20E8D51A" w14:textId="77777777" w:rsidR="00BF7B6E" w:rsidRDefault="00BF7B6E" w:rsidP="006C0CB9">
      <w:pPr>
        <w:jc w:val="both"/>
        <w:rPr>
          <w:rFonts w:asciiTheme="majorBidi" w:hAnsiTheme="majorBidi" w:cstheme="majorBidi"/>
          <w:b/>
          <w:bCs/>
          <w:sz w:val="24"/>
          <w:szCs w:val="24"/>
        </w:rPr>
      </w:pPr>
    </w:p>
    <w:p w14:paraId="7C46D30B" w14:textId="0BA3AB21" w:rsidR="00D4529F" w:rsidRPr="00083EB6" w:rsidRDefault="00D4529F" w:rsidP="006C0CB9">
      <w:pPr>
        <w:jc w:val="both"/>
        <w:rPr>
          <w:rFonts w:asciiTheme="majorBidi" w:hAnsiTheme="majorBidi" w:cstheme="majorBidi"/>
          <w:b/>
          <w:bCs/>
          <w:sz w:val="24"/>
          <w:szCs w:val="24"/>
        </w:rPr>
      </w:pPr>
      <w:r w:rsidRPr="00083EB6">
        <w:rPr>
          <w:rFonts w:asciiTheme="majorBidi" w:hAnsiTheme="majorBidi" w:cstheme="majorBidi"/>
          <w:b/>
          <w:bCs/>
          <w:sz w:val="24"/>
          <w:szCs w:val="24"/>
        </w:rPr>
        <w:t>Abstract</w:t>
      </w:r>
    </w:p>
    <w:p w14:paraId="64C4026A" w14:textId="457549D5" w:rsidR="00D4529F" w:rsidRDefault="00083EB6" w:rsidP="006C0CB9">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This study investigates the immunological responses and molecular characterization of </w:t>
      </w:r>
      <w:r w:rsidR="006C0CB9">
        <w:rPr>
          <w:rFonts w:asciiTheme="majorBidi" w:hAnsiTheme="majorBidi" w:cstheme="majorBidi"/>
          <w:sz w:val="24"/>
          <w:szCs w:val="24"/>
        </w:rPr>
        <w:t>Candidiasis</w:t>
      </w:r>
      <w:r w:rsidR="00D4529F" w:rsidRPr="007B4F2C">
        <w:rPr>
          <w:rFonts w:asciiTheme="majorBidi" w:hAnsiTheme="majorBidi" w:cstheme="majorBidi"/>
          <w:sz w:val="24"/>
          <w:szCs w:val="24"/>
        </w:rPr>
        <w:t xml:space="preserve"> colonization in the oral cavities of children in Al-Diwaniyah Governorate, Iraq. Employing a cross-sectional design, 180 children aged 2–6 years were sampled across urban, rural, and agricultural zones. Oral swabs underwent culture on </w:t>
      </w:r>
      <w:proofErr w:type="spellStart"/>
      <w:r w:rsidR="00D4529F" w:rsidRPr="007B4F2C">
        <w:rPr>
          <w:rFonts w:asciiTheme="majorBidi" w:hAnsiTheme="majorBidi" w:cstheme="majorBidi"/>
          <w:sz w:val="24"/>
          <w:szCs w:val="24"/>
        </w:rPr>
        <w:t>CHROMagar</w:t>
      </w:r>
      <w:proofErr w:type="spellEnd"/>
      <w:r w:rsidR="00D4529F" w:rsidRPr="007B4F2C">
        <w:rPr>
          <w:rFonts w:asciiTheme="majorBidi" w:hAnsiTheme="majorBidi" w:cstheme="majorBidi"/>
          <w:sz w:val="24"/>
          <w:szCs w:val="24"/>
        </w:rPr>
        <w:t xml:space="preserve"> and </w:t>
      </w:r>
      <w:proofErr w:type="spellStart"/>
      <w:r w:rsidR="00D4529F" w:rsidRPr="007B4F2C">
        <w:rPr>
          <w:rFonts w:asciiTheme="majorBidi" w:hAnsiTheme="majorBidi" w:cstheme="majorBidi"/>
          <w:sz w:val="24"/>
          <w:szCs w:val="24"/>
        </w:rPr>
        <w:t>Sabouraud</w:t>
      </w:r>
      <w:proofErr w:type="spellEnd"/>
      <w:r w:rsidR="00D4529F" w:rsidRPr="007B4F2C">
        <w:rPr>
          <w:rFonts w:asciiTheme="majorBidi" w:hAnsiTheme="majorBidi" w:cstheme="majorBidi"/>
          <w:sz w:val="24"/>
          <w:szCs w:val="24"/>
        </w:rPr>
        <w:t xml:space="preserve"> dextrose agar, PCR confirmation targeting the ITS region, and virulence assessment via detection of the </w:t>
      </w:r>
      <w:proofErr w:type="spellStart"/>
      <w:r w:rsidR="00D4529F" w:rsidRPr="007B4F2C">
        <w:rPr>
          <w:rFonts w:asciiTheme="majorBidi" w:hAnsiTheme="majorBidi" w:cstheme="majorBidi"/>
          <w:sz w:val="24"/>
          <w:szCs w:val="24"/>
        </w:rPr>
        <w:t>candidalysin</w:t>
      </w:r>
      <w:proofErr w:type="spellEnd"/>
      <w:r w:rsidR="00D4529F" w:rsidRPr="007B4F2C">
        <w:rPr>
          <w:rFonts w:asciiTheme="majorBidi" w:hAnsiTheme="majorBidi" w:cstheme="majorBidi"/>
          <w:sz w:val="24"/>
          <w:szCs w:val="24"/>
        </w:rPr>
        <w:t>-encoding ECE1 gene. Salivary cytokine levels (</w:t>
      </w:r>
      <w:r w:rsidR="006C0CB9">
        <w:rPr>
          <w:rFonts w:asciiTheme="majorBidi" w:hAnsiTheme="majorBidi" w:cstheme="majorBidi"/>
          <w:sz w:val="24"/>
          <w:szCs w:val="24"/>
        </w:rPr>
        <w:t>IL-36</w:t>
      </w:r>
      <w:r w:rsidR="00D4529F" w:rsidRPr="007B4F2C">
        <w:rPr>
          <w:rFonts w:asciiTheme="majorBidi" w:hAnsiTheme="majorBidi" w:cstheme="majorBidi"/>
          <w:sz w:val="24"/>
          <w:szCs w:val="24"/>
        </w:rPr>
        <w:t xml:space="preserve">, IL-22) were quantified using ELISA. Data were analyzed using Chi-square tests to assess associations between </w:t>
      </w:r>
      <w:r w:rsidR="00EF6D10">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C. albicans prevalence, environmental zone, and early childhood caries (ECC) status. </w:t>
      </w:r>
      <w:r w:rsidR="00EF6D10">
        <w:rPr>
          <w:rFonts w:asciiTheme="majorBidi" w:hAnsiTheme="majorBidi" w:cstheme="majorBidi"/>
          <w:sz w:val="24"/>
          <w:szCs w:val="24"/>
        </w:rPr>
        <w:t xml:space="preserve">              </w:t>
      </w:r>
      <w:r w:rsidR="00D4529F" w:rsidRPr="007B4F2C">
        <w:rPr>
          <w:rFonts w:asciiTheme="majorBidi" w:hAnsiTheme="majorBidi" w:cstheme="majorBidi"/>
          <w:sz w:val="24"/>
          <w:szCs w:val="24"/>
        </w:rPr>
        <w:t xml:space="preserve">We found a significantly higher carriage rate in urban (36.7%) compared to rural (30.0%) and agricultural (18.3%) zones (χ² = 7.89, p = 0.019). ECC-positive children exhibited elevated </w:t>
      </w:r>
      <w:r w:rsidR="006C0CB9">
        <w:rPr>
          <w:rFonts w:asciiTheme="majorBidi" w:hAnsiTheme="majorBidi" w:cstheme="majorBidi"/>
          <w:sz w:val="24"/>
          <w:szCs w:val="24"/>
        </w:rPr>
        <w:t>IL-36</w:t>
      </w:r>
      <w:r w:rsidR="00D4529F" w:rsidRPr="007B4F2C">
        <w:rPr>
          <w:rFonts w:asciiTheme="majorBidi" w:hAnsiTheme="majorBidi" w:cstheme="majorBidi"/>
          <w:sz w:val="24"/>
          <w:szCs w:val="24"/>
        </w:rPr>
        <w:t xml:space="preserve"> and IL-22 levels (p &lt; 0.01) and a higher frequency of ECE1 detection. These findings underscore the interplay between environment, host immunity, and fungal virulence, offering insights for improved diagnostics and targeted interventions. </w:t>
      </w:r>
      <w:r w:rsidR="006C0CB9">
        <w:rPr>
          <w:rFonts w:asciiTheme="majorBidi" w:hAnsiTheme="majorBidi" w:cstheme="majorBidi"/>
          <w:sz w:val="24"/>
          <w:szCs w:val="24"/>
        </w:rPr>
        <w:t>In</w:t>
      </w:r>
      <w:r w:rsidR="00D4529F" w:rsidRPr="007B4F2C">
        <w:rPr>
          <w:rFonts w:asciiTheme="majorBidi" w:hAnsiTheme="majorBidi" w:cstheme="majorBidi"/>
          <w:sz w:val="24"/>
          <w:szCs w:val="24"/>
        </w:rPr>
        <w:t xml:space="preserve"> inclusion of both immunological and molecular assays enhances current diagnostic paradigms for pediatric oral candidiasis.</w:t>
      </w:r>
    </w:p>
    <w:p w14:paraId="7C8810EB" w14:textId="4F559A10" w:rsidR="00083EB6" w:rsidRPr="007B4F2C" w:rsidRDefault="00083EB6" w:rsidP="006C0CB9">
      <w:pPr>
        <w:spacing w:line="276" w:lineRule="auto"/>
        <w:jc w:val="both"/>
        <w:rPr>
          <w:rFonts w:asciiTheme="majorBidi" w:hAnsiTheme="majorBidi" w:cstheme="majorBidi"/>
          <w:sz w:val="24"/>
          <w:szCs w:val="24"/>
        </w:rPr>
      </w:pPr>
      <w:r w:rsidRPr="00083EB6">
        <w:rPr>
          <w:rFonts w:asciiTheme="majorBidi" w:hAnsiTheme="majorBidi" w:cstheme="majorBidi"/>
          <w:b/>
          <w:bCs/>
          <w:sz w:val="24"/>
          <w:szCs w:val="24"/>
        </w:rPr>
        <w:t>Keywords:</w:t>
      </w:r>
      <w:r w:rsidRPr="007B4F2C">
        <w:rPr>
          <w:rFonts w:asciiTheme="majorBidi" w:hAnsiTheme="majorBidi" w:cstheme="majorBidi"/>
          <w:sz w:val="24"/>
          <w:szCs w:val="24"/>
        </w:rPr>
        <w:t xml:space="preserve"> Candida albicans, oral colonization, children, immunological markers, molecular diagnostics</w:t>
      </w:r>
    </w:p>
    <w:p w14:paraId="02328CB2" w14:textId="77777777" w:rsidR="00D4529F" w:rsidRPr="00083EB6" w:rsidRDefault="00D4529F" w:rsidP="006C0CB9">
      <w:pPr>
        <w:spacing w:before="100" w:beforeAutospacing="1" w:after="100" w:afterAutospacing="1" w:line="240" w:lineRule="auto"/>
        <w:jc w:val="both"/>
        <w:rPr>
          <w:rFonts w:asciiTheme="majorBidi" w:eastAsia="Times New Roman" w:hAnsiTheme="majorBidi" w:cstheme="majorBidi"/>
          <w:b/>
          <w:bCs/>
          <w:sz w:val="24"/>
          <w:szCs w:val="24"/>
        </w:rPr>
      </w:pPr>
      <w:r w:rsidRPr="00083EB6">
        <w:rPr>
          <w:rFonts w:asciiTheme="majorBidi" w:eastAsia="Times New Roman" w:hAnsiTheme="majorBidi" w:cstheme="majorBidi"/>
          <w:b/>
          <w:bCs/>
          <w:sz w:val="24"/>
          <w:szCs w:val="24"/>
        </w:rPr>
        <w:t xml:space="preserve">Introduction </w:t>
      </w:r>
    </w:p>
    <w:p w14:paraId="684C2DAD" w14:textId="5B6990AE" w:rsidR="00D4529F" w:rsidRPr="000427A8" w:rsidRDefault="00EF6D10" w:rsidP="006C0CB9">
      <w:pPr>
        <w:spacing w:before="100" w:beforeAutospacing="1" w:after="100" w:afterAutospacing="1"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D4529F" w:rsidRPr="000427A8">
        <w:rPr>
          <w:rFonts w:asciiTheme="majorBidi" w:eastAsia="Times New Roman" w:hAnsiTheme="majorBidi" w:cstheme="majorBidi"/>
          <w:sz w:val="24"/>
          <w:szCs w:val="24"/>
        </w:rPr>
        <w:t>Oral candidiasis, caused predominantly by Candida albicans, represents one of the most common opportunistic fungal infections in pediatric populations [1]. Colonization of the oral cavity by C. albicans is considered a normal commensal phenomenon; however, under predisposing conditions such as reduced immunity, nutritional deficiencies, or oral dysbiosis, the fungus can shift into a pathogenic state [2,3]. In particular, children with early childhood caries (ECC) show increased colonization levels of Candida, indicating a strong interplay between fungal virulence factors, host immunity, and the oral microbiome [4].</w:t>
      </w:r>
    </w:p>
    <w:p w14:paraId="4D813BB6" w14:textId="3416D499"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Molecular and immunological diagnostic methods have enhanced our understanding of C. albicans pathogenicity in recent years. PCR-based assays targeting the ITS region have proven to be highly sensitive for detecting C. albicans compared with traditional culture [5,6]. Furthermore, the identification of virulence genes such as ECE1, which encodes </w:t>
      </w:r>
      <w:proofErr w:type="spellStart"/>
      <w:r w:rsidRPr="000427A8">
        <w:rPr>
          <w:rFonts w:asciiTheme="majorBidi" w:eastAsia="Times New Roman" w:hAnsiTheme="majorBidi" w:cstheme="majorBidi"/>
          <w:sz w:val="24"/>
          <w:szCs w:val="24"/>
        </w:rPr>
        <w:t>candidalysin</w:t>
      </w:r>
      <w:proofErr w:type="spellEnd"/>
      <w:r w:rsidRPr="000427A8">
        <w:rPr>
          <w:rFonts w:asciiTheme="majorBidi" w:eastAsia="Times New Roman" w:hAnsiTheme="majorBidi" w:cstheme="majorBidi"/>
          <w:sz w:val="24"/>
          <w:szCs w:val="24"/>
        </w:rPr>
        <w:t xml:space="preserve">—a </w:t>
      </w:r>
      <w:r w:rsidRPr="000427A8">
        <w:rPr>
          <w:rFonts w:asciiTheme="majorBidi" w:eastAsia="Times New Roman" w:hAnsiTheme="majorBidi" w:cstheme="majorBidi"/>
          <w:sz w:val="24"/>
          <w:szCs w:val="24"/>
        </w:rPr>
        <w:lastRenderedPageBreak/>
        <w:t>pore-forming toxin—has provided insights into the fungus’s role in epithelial damage and inflammatory activation [7]. On the immunological side, cytokines such as interleukin-</w:t>
      </w:r>
      <w:r w:rsidR="006C0CB9">
        <w:rPr>
          <w:rFonts w:asciiTheme="majorBidi" w:eastAsia="Times New Roman" w:hAnsiTheme="majorBidi" w:cstheme="majorBidi"/>
          <w:sz w:val="24"/>
          <w:szCs w:val="24"/>
        </w:rPr>
        <w:t>36</w:t>
      </w:r>
      <w:r w:rsidRPr="000427A8">
        <w:rPr>
          <w:rFonts w:asciiTheme="majorBidi" w:eastAsia="Times New Roman" w:hAnsiTheme="majorBidi" w:cstheme="majorBidi"/>
          <w:sz w:val="24"/>
          <w:szCs w:val="24"/>
        </w:rPr>
        <w:t xml:space="preserve"> (</w:t>
      </w:r>
      <w:r w:rsidR="006C0CB9">
        <w:rPr>
          <w:rFonts w:asciiTheme="majorBidi" w:eastAsia="Times New Roman" w:hAnsiTheme="majorBidi" w:cstheme="majorBidi"/>
          <w:sz w:val="24"/>
          <w:szCs w:val="24"/>
        </w:rPr>
        <w:t>IL-36</w:t>
      </w:r>
      <w:r w:rsidRPr="000427A8">
        <w:rPr>
          <w:rFonts w:asciiTheme="majorBidi" w:eastAsia="Times New Roman" w:hAnsiTheme="majorBidi" w:cstheme="majorBidi"/>
          <w:sz w:val="24"/>
          <w:szCs w:val="24"/>
        </w:rPr>
        <w:t>) and interleukin-22 (IL-22) are key mediators in mucosal immunity against fungal pathogens [8,9].</w:t>
      </w:r>
    </w:p>
    <w:p w14:paraId="71DC9B3E" w14:textId="77777777"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Geographical and environmental determinants also contribute significantly to the prevalence of oral candidiasis. Studies in Middle Eastern populations, including Iraq, have shown that children living in urban zones display higher colonization rates compared to rural and agricultural counterparts, likely due to differences in lifestyle, diet, and healthcare accessibility [10–12]. However, very few studies have investigated C. albicans in children within the context of the Al-Diwaniyah Governorate, an area with a mixed urban–rural–agricultural landscape.</w:t>
      </w:r>
    </w:p>
    <w:p w14:paraId="373C8978" w14:textId="36EF4184"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This research aim</w:t>
      </w:r>
      <w:r w:rsidR="006C0CB9">
        <w:rPr>
          <w:rFonts w:asciiTheme="majorBidi" w:eastAsia="Times New Roman" w:hAnsiTheme="majorBidi" w:cstheme="majorBidi"/>
          <w:sz w:val="24"/>
          <w:szCs w:val="24"/>
        </w:rPr>
        <w:t>ed</w:t>
      </w:r>
      <w:r w:rsidRPr="000427A8">
        <w:rPr>
          <w:rFonts w:asciiTheme="majorBidi" w:eastAsia="Times New Roman" w:hAnsiTheme="majorBidi" w:cstheme="majorBidi"/>
          <w:sz w:val="24"/>
          <w:szCs w:val="24"/>
        </w:rPr>
        <w:t xml:space="preserve"> to </w:t>
      </w:r>
      <w:r w:rsidR="006C0CB9">
        <w:rPr>
          <w:rFonts w:asciiTheme="majorBidi" w:eastAsia="Times New Roman" w:hAnsiTheme="majorBidi" w:cstheme="majorBidi"/>
          <w:sz w:val="24"/>
          <w:szCs w:val="24"/>
        </w:rPr>
        <w:t>determinate the</w:t>
      </w:r>
      <w:r w:rsidRPr="000427A8">
        <w:rPr>
          <w:rFonts w:asciiTheme="majorBidi" w:eastAsia="Times New Roman" w:hAnsiTheme="majorBidi" w:cstheme="majorBidi"/>
          <w:sz w:val="24"/>
          <w:szCs w:val="24"/>
        </w:rPr>
        <w:t xml:space="preserve"> immunological (ELISA-based cytokine analysis) and molecular (PCR confirmation and virulence gene detection) approaches. Additionally, clarify associations between environmental setting, </w:t>
      </w:r>
      <w:proofErr w:type="spellStart"/>
      <w:r w:rsidR="006C0CB9">
        <w:rPr>
          <w:rFonts w:asciiTheme="majorBidi" w:eastAsia="Times New Roman" w:hAnsiTheme="majorBidi" w:cstheme="majorBidi"/>
          <w:sz w:val="24"/>
          <w:szCs w:val="24"/>
        </w:rPr>
        <w:t>Candidia</w:t>
      </w:r>
      <w:proofErr w:type="spellEnd"/>
      <w:r w:rsidR="006C0CB9">
        <w:rPr>
          <w:rFonts w:asciiTheme="majorBidi" w:eastAsia="Times New Roman" w:hAnsiTheme="majorBidi" w:cstheme="majorBidi"/>
          <w:sz w:val="24"/>
          <w:szCs w:val="24"/>
        </w:rPr>
        <w:t xml:space="preserve"> spp.</w:t>
      </w:r>
      <w:r w:rsidRPr="000427A8">
        <w:rPr>
          <w:rFonts w:asciiTheme="majorBidi" w:eastAsia="Times New Roman" w:hAnsiTheme="majorBidi" w:cstheme="majorBidi"/>
          <w:sz w:val="24"/>
          <w:szCs w:val="24"/>
        </w:rPr>
        <w:t xml:space="preserve"> prevalence, and clinical parameters</w:t>
      </w:r>
      <w:r w:rsidR="006C0CB9">
        <w:rPr>
          <w:rFonts w:asciiTheme="majorBidi" w:eastAsia="Times New Roman" w:hAnsiTheme="majorBidi" w:cstheme="majorBidi"/>
          <w:sz w:val="24"/>
          <w:szCs w:val="24"/>
        </w:rPr>
        <w:t>.</w:t>
      </w:r>
      <w:r w:rsidRPr="000427A8">
        <w:rPr>
          <w:rFonts w:asciiTheme="majorBidi" w:eastAsia="Times New Roman" w:hAnsiTheme="majorBidi" w:cstheme="majorBidi"/>
          <w:sz w:val="24"/>
          <w:szCs w:val="24"/>
        </w:rPr>
        <w:t xml:space="preserve"> </w:t>
      </w:r>
    </w:p>
    <w:p w14:paraId="28728275" w14:textId="77777777" w:rsidR="00D4529F" w:rsidRPr="00DF05F5" w:rsidRDefault="00D4529F" w:rsidP="006C0CB9">
      <w:pPr>
        <w:spacing w:before="100" w:beforeAutospacing="1" w:after="100" w:afterAutospacing="1" w:line="240" w:lineRule="auto"/>
        <w:jc w:val="both"/>
        <w:rPr>
          <w:rFonts w:asciiTheme="majorBidi" w:eastAsia="Times New Roman" w:hAnsiTheme="majorBidi" w:cstheme="majorBidi"/>
          <w:b/>
          <w:bCs/>
          <w:sz w:val="24"/>
          <w:szCs w:val="24"/>
        </w:rPr>
      </w:pPr>
      <w:r w:rsidRPr="00DF05F5">
        <w:rPr>
          <w:rFonts w:asciiTheme="majorBidi" w:eastAsia="Times New Roman" w:hAnsiTheme="majorBidi" w:cstheme="majorBidi"/>
          <w:b/>
          <w:bCs/>
          <w:sz w:val="24"/>
          <w:szCs w:val="24"/>
        </w:rPr>
        <w:t xml:space="preserve">Materials and Methods </w:t>
      </w:r>
    </w:p>
    <w:p w14:paraId="2E43BBAD" w14:textId="49CCE4E2" w:rsidR="00DF05F5" w:rsidRPr="00113FFA" w:rsidRDefault="00D4529F" w:rsidP="006C0CB9">
      <w:pPr>
        <w:spacing w:before="100" w:beforeAutospacing="1" w:after="100" w:afterAutospacing="1" w:line="240"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Study Design and Population </w:t>
      </w:r>
    </w:p>
    <w:p w14:paraId="4C038F61" w14:textId="100AF735"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A cross-sectional study was conducted between January and June 2025 in Al-Diwaniyah Governorate, Iraq. A total of 180 children (aged 2–6 years) were enrolled. Participants were recruited from dental clinics, and primary healthcare centers. Ethical approval was obtained from the College of Dentistry, University of Al-</w:t>
      </w:r>
      <w:proofErr w:type="spellStart"/>
      <w:r w:rsidRPr="000427A8">
        <w:rPr>
          <w:rFonts w:asciiTheme="majorBidi" w:eastAsia="Times New Roman" w:hAnsiTheme="majorBidi" w:cstheme="majorBidi"/>
          <w:sz w:val="24"/>
          <w:szCs w:val="24"/>
        </w:rPr>
        <w:t>Qadisiyah</w:t>
      </w:r>
      <w:proofErr w:type="spellEnd"/>
      <w:r w:rsidRPr="000427A8">
        <w:rPr>
          <w:rFonts w:asciiTheme="majorBidi" w:eastAsia="Times New Roman" w:hAnsiTheme="majorBidi" w:cstheme="majorBidi"/>
          <w:sz w:val="24"/>
          <w:szCs w:val="24"/>
        </w:rPr>
        <w:t xml:space="preserve"> and parental consent was secured for all participants.</w:t>
      </w:r>
    </w:p>
    <w:p w14:paraId="3FA06404" w14:textId="00B20DED" w:rsidR="00D4529F"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Geographical and Environmental Classification Children were categorized based on residential environment:</w:t>
      </w:r>
    </w:p>
    <w:p w14:paraId="6A5207BF" w14:textId="0D4457DA" w:rsidR="006C0CB9" w:rsidRDefault="006C0CB9" w:rsidP="006C0CB9">
      <w:pPr>
        <w:spacing w:before="100" w:beforeAutospacing="1" w:after="100" w:afterAutospacing="1" w:line="276" w:lineRule="auto"/>
        <w:jc w:val="both"/>
        <w:rPr>
          <w:rFonts w:asciiTheme="majorBidi" w:eastAsia="Times New Roman" w:hAnsiTheme="majorBidi" w:cstheme="majorBidi"/>
          <w:sz w:val="24"/>
          <w:szCs w:val="24"/>
        </w:rPr>
      </w:pPr>
      <w:r w:rsidRPr="006C0CB9">
        <w:rPr>
          <w:rFonts w:asciiTheme="majorBidi" w:eastAsia="Times New Roman" w:hAnsiTheme="majorBidi" w:cstheme="majorBidi"/>
          <w:sz w:val="24"/>
          <w:szCs w:val="24"/>
        </w:rPr>
        <w:t>Children were categorized according to geographical and environmental criteria into urban (n = 60; city center of Al-Diwaniyah), rural (n = 60; villages surrounding the governorate), and agricultural (n = 60; farming communities) zones, based on the regional demarcation of the Iraqi Ministry of Planning (2024).</w:t>
      </w:r>
    </w:p>
    <w:p w14:paraId="7CA4ECB0" w14:textId="77777777" w:rsidR="00E90899" w:rsidRDefault="00E90899" w:rsidP="006C0CB9">
      <w:pPr>
        <w:spacing w:before="100" w:beforeAutospacing="1" w:after="100" w:afterAutospacing="1" w:line="276" w:lineRule="auto"/>
        <w:jc w:val="both"/>
        <w:rPr>
          <w:rFonts w:asciiTheme="majorBidi" w:eastAsia="Times New Roman" w:hAnsiTheme="majorBidi" w:cstheme="majorBidi"/>
          <w:sz w:val="24"/>
          <w:szCs w:val="24"/>
        </w:rPr>
      </w:pPr>
    </w:p>
    <w:p w14:paraId="5E1919E4" w14:textId="77777777" w:rsidR="00E90899" w:rsidRPr="006C0CB9" w:rsidRDefault="00E90899" w:rsidP="006C0CB9">
      <w:pPr>
        <w:spacing w:before="100" w:beforeAutospacing="1" w:after="100" w:afterAutospacing="1" w:line="276" w:lineRule="auto"/>
        <w:jc w:val="both"/>
        <w:rPr>
          <w:rFonts w:asciiTheme="majorBidi" w:eastAsia="Times New Roman" w:hAnsiTheme="majorBidi" w:cstheme="majorBidi"/>
          <w:sz w:val="24"/>
          <w:szCs w:val="24"/>
        </w:rPr>
      </w:pPr>
    </w:p>
    <w:p w14:paraId="3C11AFDF" w14:textId="05D2BD3A"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Sample Collection</w:t>
      </w:r>
    </w:p>
    <w:p w14:paraId="33E6F21F" w14:textId="1D2553EF"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lastRenderedPageBreak/>
        <w:t xml:space="preserve"> Oral swabs were collected from the dorsum of the tongue and buccal mucosa using sterile cotton swabs moistened with saline. Each sample was immediately transported to the microbiology laboratory at Al-</w:t>
      </w:r>
      <w:proofErr w:type="spellStart"/>
      <w:r w:rsidRPr="000427A8">
        <w:rPr>
          <w:rFonts w:asciiTheme="majorBidi" w:eastAsia="Times New Roman" w:hAnsiTheme="majorBidi" w:cstheme="majorBidi"/>
          <w:sz w:val="24"/>
          <w:szCs w:val="24"/>
        </w:rPr>
        <w:t>Qadisiyah</w:t>
      </w:r>
      <w:proofErr w:type="spellEnd"/>
      <w:r w:rsidRPr="000427A8">
        <w:rPr>
          <w:rFonts w:asciiTheme="majorBidi" w:eastAsia="Times New Roman" w:hAnsiTheme="majorBidi" w:cstheme="majorBidi"/>
          <w:sz w:val="24"/>
          <w:szCs w:val="24"/>
        </w:rPr>
        <w:t xml:space="preserve"> University within 1 hour in Amies transport medium.</w:t>
      </w:r>
    </w:p>
    <w:p w14:paraId="216620AA" w14:textId="4C7D8135"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Microbiological </w:t>
      </w:r>
      <w:r w:rsidR="006C0CB9">
        <w:rPr>
          <w:rFonts w:asciiTheme="majorBidi" w:eastAsia="Times New Roman" w:hAnsiTheme="majorBidi" w:cstheme="majorBidi"/>
          <w:b/>
          <w:bCs/>
          <w:sz w:val="24"/>
          <w:szCs w:val="24"/>
        </w:rPr>
        <w:t xml:space="preserve">Investigation </w:t>
      </w:r>
    </w:p>
    <w:p w14:paraId="3DE34CEE" w14:textId="0D94D2C2"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Culture Swabs were inoculated onto </w:t>
      </w:r>
      <w:proofErr w:type="spellStart"/>
      <w:r w:rsidRPr="000427A8">
        <w:rPr>
          <w:rFonts w:asciiTheme="majorBidi" w:eastAsia="Times New Roman" w:hAnsiTheme="majorBidi" w:cstheme="majorBidi"/>
          <w:sz w:val="24"/>
          <w:szCs w:val="24"/>
        </w:rPr>
        <w:t>CHROMagar</w:t>
      </w:r>
      <w:proofErr w:type="spellEnd"/>
      <w:r w:rsidRPr="000427A8">
        <w:rPr>
          <w:rFonts w:asciiTheme="majorBidi" w:eastAsia="Times New Roman" w:hAnsiTheme="majorBidi" w:cstheme="majorBidi"/>
          <w:sz w:val="24"/>
          <w:szCs w:val="24"/>
        </w:rPr>
        <w:t xml:space="preserve"> Candida and </w:t>
      </w:r>
      <w:proofErr w:type="spellStart"/>
      <w:r w:rsidRPr="000427A8">
        <w:rPr>
          <w:rFonts w:asciiTheme="majorBidi" w:eastAsia="Times New Roman" w:hAnsiTheme="majorBidi" w:cstheme="majorBidi"/>
          <w:sz w:val="24"/>
          <w:szCs w:val="24"/>
        </w:rPr>
        <w:t>Sabouraud</w:t>
      </w:r>
      <w:proofErr w:type="spellEnd"/>
      <w:r w:rsidRPr="000427A8">
        <w:rPr>
          <w:rFonts w:asciiTheme="majorBidi" w:eastAsia="Times New Roman" w:hAnsiTheme="majorBidi" w:cstheme="majorBidi"/>
          <w:sz w:val="24"/>
          <w:szCs w:val="24"/>
        </w:rPr>
        <w:t xml:space="preserve"> Dextrose Agar (SDA) supplemented with chloramphenicol and incubated at 37 °C for 48 hours. Colonies with green morphology on </w:t>
      </w:r>
      <w:proofErr w:type="spellStart"/>
      <w:r w:rsidRPr="000427A8">
        <w:rPr>
          <w:rFonts w:asciiTheme="majorBidi" w:eastAsia="Times New Roman" w:hAnsiTheme="majorBidi" w:cstheme="majorBidi"/>
          <w:sz w:val="24"/>
          <w:szCs w:val="24"/>
        </w:rPr>
        <w:t>CHROMagar</w:t>
      </w:r>
      <w:proofErr w:type="spellEnd"/>
      <w:r w:rsidRPr="000427A8">
        <w:rPr>
          <w:rFonts w:asciiTheme="majorBidi" w:eastAsia="Times New Roman" w:hAnsiTheme="majorBidi" w:cstheme="majorBidi"/>
          <w:sz w:val="24"/>
          <w:szCs w:val="24"/>
        </w:rPr>
        <w:t xml:space="preserve"> were presumptively identified as C. albicans.</w:t>
      </w:r>
    </w:p>
    <w:p w14:paraId="23207512" w14:textId="59F94FF6"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Molecular Identification </w:t>
      </w:r>
    </w:p>
    <w:p w14:paraId="540B0CBE" w14:textId="00B5D296"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DNA was extracted using the Qiagen </w:t>
      </w:r>
      <w:proofErr w:type="spellStart"/>
      <w:r w:rsidRPr="000427A8">
        <w:rPr>
          <w:rFonts w:asciiTheme="majorBidi" w:eastAsia="Times New Roman" w:hAnsiTheme="majorBidi" w:cstheme="majorBidi"/>
          <w:sz w:val="24"/>
          <w:szCs w:val="24"/>
        </w:rPr>
        <w:t>DNeasy</w:t>
      </w:r>
      <w:proofErr w:type="spellEnd"/>
      <w:r w:rsidRPr="000427A8">
        <w:rPr>
          <w:rFonts w:asciiTheme="majorBidi" w:eastAsia="Times New Roman" w:hAnsiTheme="majorBidi" w:cstheme="majorBidi"/>
          <w:sz w:val="24"/>
          <w:szCs w:val="24"/>
        </w:rPr>
        <w:t xml:space="preserve"> Blood and Tissue Kit. PCR amplification of the ITS region was performed with species-specific primers (ITS1: 5′-TCCGTAGGTGAACCTGCGG-3′, ITS4: 5′-TCCTCCGCTTATTGATATGC-3′). PCR products were visualized on 1.5% agarose gel stained with ethidium </w:t>
      </w:r>
      <w:proofErr w:type="gramStart"/>
      <w:r w:rsidRPr="000427A8">
        <w:rPr>
          <w:rFonts w:asciiTheme="majorBidi" w:eastAsia="Times New Roman" w:hAnsiTheme="majorBidi" w:cstheme="majorBidi"/>
          <w:sz w:val="24"/>
          <w:szCs w:val="24"/>
        </w:rPr>
        <w:t>bromide</w:t>
      </w:r>
      <w:r w:rsidR="006C0CB9" w:rsidRPr="000427A8">
        <w:rPr>
          <w:rFonts w:asciiTheme="majorBidi" w:eastAsia="Times New Roman" w:hAnsiTheme="majorBidi" w:cstheme="majorBidi"/>
          <w:sz w:val="24"/>
          <w:szCs w:val="24"/>
        </w:rPr>
        <w:t>[</w:t>
      </w:r>
      <w:proofErr w:type="gramEnd"/>
      <w:r w:rsidR="006C0CB9" w:rsidRPr="000427A8">
        <w:rPr>
          <w:rFonts w:asciiTheme="majorBidi" w:eastAsia="Times New Roman" w:hAnsiTheme="majorBidi" w:cstheme="majorBidi"/>
          <w:sz w:val="24"/>
          <w:szCs w:val="24"/>
        </w:rPr>
        <w:t>13,14].</w:t>
      </w:r>
      <w:r w:rsidRPr="000427A8">
        <w:rPr>
          <w:rFonts w:asciiTheme="majorBidi" w:eastAsia="Times New Roman" w:hAnsiTheme="majorBidi" w:cstheme="majorBidi"/>
          <w:sz w:val="24"/>
          <w:szCs w:val="24"/>
        </w:rPr>
        <w:t>.</w:t>
      </w:r>
    </w:p>
    <w:p w14:paraId="13AE1C31" w14:textId="5CAC5302" w:rsidR="00DF05F5"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Immunological Assays </w:t>
      </w:r>
    </w:p>
    <w:p w14:paraId="3612CCDE" w14:textId="7FB43C67" w:rsidR="00D4529F" w:rsidRPr="000427A8"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 xml:space="preserve">Unstimulated whole saliva (2 mL) was collected from each child. ELISA kits (R&amp;D Systems, USA) were used to quantify </w:t>
      </w:r>
      <w:r w:rsidR="006C0CB9">
        <w:rPr>
          <w:rFonts w:asciiTheme="majorBidi" w:eastAsia="Times New Roman" w:hAnsiTheme="majorBidi" w:cstheme="majorBidi"/>
          <w:sz w:val="24"/>
          <w:szCs w:val="24"/>
        </w:rPr>
        <w:t>IL-36</w:t>
      </w:r>
      <w:r w:rsidRPr="000427A8">
        <w:rPr>
          <w:rFonts w:asciiTheme="majorBidi" w:eastAsia="Times New Roman" w:hAnsiTheme="majorBidi" w:cstheme="majorBidi"/>
          <w:sz w:val="24"/>
          <w:szCs w:val="24"/>
        </w:rPr>
        <w:t xml:space="preserve"> and IL-22 concentrations.</w:t>
      </w:r>
    </w:p>
    <w:p w14:paraId="734A3FDF" w14:textId="471DC8C7" w:rsidR="00113FFA"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Clinical Examination </w:t>
      </w:r>
    </w:p>
    <w:p w14:paraId="0A4A4030" w14:textId="05A2BF23" w:rsidR="00D4529F"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0427A8">
        <w:rPr>
          <w:rFonts w:asciiTheme="majorBidi" w:eastAsia="Times New Roman" w:hAnsiTheme="majorBidi" w:cstheme="majorBidi"/>
          <w:sz w:val="24"/>
          <w:szCs w:val="24"/>
        </w:rPr>
        <w:t>Dental examinations were performed by calibrated pediatric dentists. ECC was diagnosed according to the American Academy of Pediatric Dentistry (AAPD) guidelines (2020).</w:t>
      </w:r>
    </w:p>
    <w:p w14:paraId="6D8AAFF2" w14:textId="04D05371" w:rsidR="00113FFA" w:rsidRPr="00113FFA" w:rsidRDefault="00D4529F" w:rsidP="006C0CB9">
      <w:pPr>
        <w:spacing w:before="100" w:beforeAutospacing="1" w:after="100" w:afterAutospacing="1" w:line="276" w:lineRule="auto"/>
        <w:jc w:val="both"/>
        <w:rPr>
          <w:rFonts w:asciiTheme="majorBidi" w:eastAsia="Times New Roman" w:hAnsiTheme="majorBidi" w:cstheme="majorBidi"/>
          <w:b/>
          <w:bCs/>
          <w:sz w:val="24"/>
          <w:szCs w:val="24"/>
        </w:rPr>
      </w:pPr>
      <w:r w:rsidRPr="00113FFA">
        <w:rPr>
          <w:rFonts w:asciiTheme="majorBidi" w:eastAsia="Times New Roman" w:hAnsiTheme="majorBidi" w:cstheme="majorBidi"/>
          <w:b/>
          <w:bCs/>
          <w:sz w:val="24"/>
          <w:szCs w:val="24"/>
        </w:rPr>
        <w:t xml:space="preserve">Statistical Analysis Data </w:t>
      </w:r>
    </w:p>
    <w:p w14:paraId="5D8D1540" w14:textId="143A7BE1" w:rsidR="00D4529F" w:rsidRPr="000427A8" w:rsidRDefault="006C0CB9" w:rsidP="006C0CB9">
      <w:pPr>
        <w:spacing w:before="100" w:beforeAutospacing="1" w:after="100" w:afterAutospacing="1"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All data </w:t>
      </w:r>
      <w:r w:rsidR="00D4529F" w:rsidRPr="000427A8">
        <w:rPr>
          <w:rFonts w:asciiTheme="majorBidi" w:eastAsia="Times New Roman" w:hAnsiTheme="majorBidi" w:cstheme="majorBidi"/>
          <w:sz w:val="24"/>
          <w:szCs w:val="24"/>
        </w:rPr>
        <w:t>were analyzed using SPSS v</w:t>
      </w:r>
      <w:proofErr w:type="gramStart"/>
      <w:r w:rsidR="00D4529F" w:rsidRPr="000427A8">
        <w:rPr>
          <w:rFonts w:asciiTheme="majorBidi" w:eastAsia="Times New Roman" w:hAnsiTheme="majorBidi" w:cstheme="majorBidi"/>
          <w:sz w:val="24"/>
          <w:szCs w:val="24"/>
        </w:rPr>
        <w:t>26</w:t>
      </w:r>
      <w:r w:rsidR="00113FFA">
        <w:rPr>
          <w:rFonts w:asciiTheme="majorBidi" w:eastAsia="Times New Roman" w:hAnsiTheme="majorBidi" w:cstheme="majorBidi"/>
          <w:sz w:val="24"/>
          <w:szCs w:val="24"/>
        </w:rPr>
        <w:t xml:space="preserve"> </w:t>
      </w:r>
      <w:r w:rsidR="00D4529F" w:rsidRPr="000427A8">
        <w:rPr>
          <w:rFonts w:asciiTheme="majorBidi" w:eastAsia="Times New Roman" w:hAnsiTheme="majorBidi" w:cstheme="majorBidi"/>
          <w:sz w:val="24"/>
          <w:szCs w:val="24"/>
        </w:rPr>
        <w:t>.</w:t>
      </w:r>
      <w:proofErr w:type="gramEnd"/>
      <w:r w:rsidR="00D4529F" w:rsidRPr="000427A8">
        <w:rPr>
          <w:rFonts w:asciiTheme="majorBidi" w:eastAsia="Times New Roman" w:hAnsiTheme="majorBidi" w:cstheme="majorBidi"/>
          <w:sz w:val="24"/>
          <w:szCs w:val="24"/>
        </w:rPr>
        <w:t xml:space="preserve"> Chi-square (χ²) test was applied to determine the association between C. albicans colonization, environmental zone, and ECC status. A p-value &lt; 0.05 was considered statistically significant</w:t>
      </w:r>
      <w:r w:rsidR="00DA62C5">
        <w:rPr>
          <w:rFonts w:asciiTheme="majorBidi" w:eastAsia="Times New Roman" w:hAnsiTheme="majorBidi" w:cstheme="majorBidi"/>
          <w:sz w:val="24"/>
          <w:szCs w:val="24"/>
        </w:rPr>
        <w:t xml:space="preserve"> [15]</w:t>
      </w:r>
      <w:r w:rsidR="00D4529F" w:rsidRPr="000427A8">
        <w:rPr>
          <w:rFonts w:asciiTheme="majorBidi" w:eastAsia="Times New Roman" w:hAnsiTheme="majorBidi" w:cstheme="majorBidi"/>
          <w:sz w:val="24"/>
          <w:szCs w:val="24"/>
        </w:rPr>
        <w:t>.</w:t>
      </w:r>
    </w:p>
    <w:p w14:paraId="2276CFD8" w14:textId="0BBDA0D9" w:rsidR="00D4529F" w:rsidRPr="00A83DC8" w:rsidRDefault="00D4529F" w:rsidP="006C0CB9">
      <w:pPr>
        <w:spacing w:before="100" w:beforeAutospacing="1" w:after="100" w:afterAutospacing="1" w:line="276" w:lineRule="auto"/>
        <w:jc w:val="both"/>
        <w:outlineLvl w:val="0"/>
        <w:rPr>
          <w:rFonts w:asciiTheme="majorBidi" w:eastAsia="Times New Roman" w:hAnsiTheme="majorBidi" w:cstheme="majorBidi"/>
          <w:b/>
          <w:bCs/>
          <w:kern w:val="36"/>
          <w:sz w:val="24"/>
          <w:szCs w:val="24"/>
        </w:rPr>
      </w:pPr>
      <w:r w:rsidRPr="00A83DC8">
        <w:rPr>
          <w:rFonts w:asciiTheme="majorBidi" w:eastAsia="Times New Roman" w:hAnsiTheme="majorBidi" w:cstheme="majorBidi"/>
          <w:b/>
          <w:bCs/>
          <w:kern w:val="36"/>
          <w:sz w:val="24"/>
          <w:szCs w:val="24"/>
        </w:rPr>
        <w:t>Results and Discussion</w:t>
      </w:r>
    </w:p>
    <w:p w14:paraId="43105B93" w14:textId="3B10BA08" w:rsidR="00D4529F" w:rsidRPr="00A83DC8" w:rsidRDefault="00D4529F" w:rsidP="006C0CB9">
      <w:pPr>
        <w:spacing w:before="100" w:beforeAutospacing="1" w:after="100" w:afterAutospacing="1" w:line="276"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Prevalence of </w:t>
      </w:r>
      <w:r w:rsidRPr="00A83DC8">
        <w:rPr>
          <w:rFonts w:asciiTheme="majorBidi" w:eastAsia="Times New Roman" w:hAnsiTheme="majorBidi" w:cstheme="majorBidi"/>
          <w:b/>
          <w:bCs/>
          <w:i/>
          <w:iCs/>
          <w:sz w:val="24"/>
          <w:szCs w:val="24"/>
        </w:rPr>
        <w:t>Candida albicans</w:t>
      </w:r>
      <w:r w:rsidRPr="00A83DC8">
        <w:rPr>
          <w:rFonts w:asciiTheme="majorBidi" w:eastAsia="Times New Roman" w:hAnsiTheme="majorBidi" w:cstheme="majorBidi"/>
          <w:b/>
          <w:bCs/>
          <w:sz w:val="24"/>
          <w:szCs w:val="24"/>
        </w:rPr>
        <w:t xml:space="preserve"> in Children</w:t>
      </w:r>
    </w:p>
    <w:p w14:paraId="6595E287" w14:textId="71D6B061" w:rsidR="00D4529F" w:rsidRDefault="00D4529F" w:rsidP="006C0CB9">
      <w:pPr>
        <w:spacing w:before="100" w:beforeAutospacing="1" w:after="100" w:afterAutospacing="1" w:line="276"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Out of </w:t>
      </w:r>
      <w:r w:rsidRPr="00A83DC8">
        <w:rPr>
          <w:rFonts w:asciiTheme="majorBidi" w:eastAsia="Times New Roman" w:hAnsiTheme="majorBidi" w:cstheme="majorBidi"/>
          <w:b/>
          <w:bCs/>
          <w:sz w:val="24"/>
          <w:szCs w:val="24"/>
        </w:rPr>
        <w:t>180 samples</w:t>
      </w:r>
      <w:r w:rsidRPr="00A83DC8">
        <w:rPr>
          <w:rFonts w:asciiTheme="majorBidi" w:eastAsia="Times New Roman" w:hAnsiTheme="majorBidi" w:cstheme="majorBidi"/>
          <w:sz w:val="24"/>
          <w:szCs w:val="24"/>
        </w:rPr>
        <w:t xml:space="preserve">,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was detected in </w:t>
      </w:r>
      <w:r w:rsidRPr="00A83DC8">
        <w:rPr>
          <w:rFonts w:asciiTheme="majorBidi" w:eastAsia="Times New Roman" w:hAnsiTheme="majorBidi" w:cstheme="majorBidi"/>
          <w:b/>
          <w:bCs/>
          <w:sz w:val="24"/>
          <w:szCs w:val="24"/>
        </w:rPr>
        <w:t>96 children (53.3%)</w:t>
      </w:r>
      <w:r w:rsidRPr="00A83DC8">
        <w:rPr>
          <w:rFonts w:asciiTheme="majorBidi" w:eastAsia="Times New Roman" w:hAnsiTheme="majorBidi" w:cstheme="majorBidi"/>
          <w:sz w:val="24"/>
          <w:szCs w:val="24"/>
        </w:rPr>
        <w:t xml:space="preserve"> using </w:t>
      </w:r>
      <w:proofErr w:type="spellStart"/>
      <w:r w:rsidRPr="00A83DC8">
        <w:rPr>
          <w:rFonts w:asciiTheme="majorBidi" w:eastAsia="Times New Roman" w:hAnsiTheme="majorBidi" w:cstheme="majorBidi"/>
          <w:sz w:val="24"/>
          <w:szCs w:val="24"/>
        </w:rPr>
        <w:t>CHROMagar</w:t>
      </w:r>
      <w:proofErr w:type="spellEnd"/>
      <w:r w:rsidRPr="00A83DC8">
        <w:rPr>
          <w:rFonts w:asciiTheme="majorBidi" w:eastAsia="Times New Roman" w:hAnsiTheme="majorBidi" w:cstheme="majorBidi"/>
          <w:sz w:val="24"/>
          <w:szCs w:val="24"/>
        </w:rPr>
        <w:t xml:space="preserve"> and confirmed by PCR amplification of the ITS region. The prevalence was significantly higher among urban children (63.3%) compared with rural (48.3%) and agricultural (48.3%) groups (χ² = 6.71, p = 0.034).</w:t>
      </w:r>
    </w:p>
    <w:p w14:paraId="422043DD"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lastRenderedPageBreak/>
        <w:t xml:space="preserve">Table 1 – Distribution of </w:t>
      </w:r>
      <w:r w:rsidRPr="00A83DC8">
        <w:rPr>
          <w:rFonts w:asciiTheme="majorBidi" w:eastAsia="Times New Roman" w:hAnsiTheme="majorBidi" w:cstheme="majorBidi"/>
          <w:b/>
          <w:bCs/>
          <w:i/>
          <w:iCs/>
          <w:sz w:val="24"/>
          <w:szCs w:val="24"/>
        </w:rPr>
        <w:t>Candida albicans</w:t>
      </w:r>
      <w:r w:rsidRPr="00A83DC8">
        <w:rPr>
          <w:rFonts w:asciiTheme="majorBidi" w:eastAsia="Times New Roman" w:hAnsiTheme="majorBidi" w:cstheme="majorBidi"/>
          <w:b/>
          <w:bCs/>
          <w:sz w:val="24"/>
          <w:szCs w:val="24"/>
        </w:rPr>
        <w:t xml:space="preserve"> by Geographical Zone</w:t>
      </w:r>
    </w:p>
    <w:tbl>
      <w:tblPr>
        <w:tblStyle w:val="4-41"/>
        <w:tblW w:w="9354" w:type="dxa"/>
        <w:tblLook w:val="04A0" w:firstRow="1" w:lastRow="0" w:firstColumn="1" w:lastColumn="0" w:noHBand="0" w:noVBand="1"/>
      </w:tblPr>
      <w:tblGrid>
        <w:gridCol w:w="2468"/>
        <w:gridCol w:w="1971"/>
        <w:gridCol w:w="2884"/>
        <w:gridCol w:w="2031"/>
      </w:tblGrid>
      <w:tr w:rsidR="00D4529F" w:rsidRPr="00A83DC8" w14:paraId="1550EBEE" w14:textId="77777777" w:rsidTr="00E9089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6AD8418F" w14:textId="77777777" w:rsidR="00D4529F" w:rsidRPr="00A83DC8" w:rsidRDefault="00D4529F" w:rsidP="006C0CB9">
            <w:pPr>
              <w:jc w:val="both"/>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Geographical Zone</w:t>
            </w:r>
          </w:p>
        </w:tc>
        <w:tc>
          <w:tcPr>
            <w:tcW w:w="0" w:type="auto"/>
            <w:hideMark/>
          </w:tcPr>
          <w:p w14:paraId="055807B5"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No. of Samples</w:t>
            </w:r>
          </w:p>
        </w:tc>
        <w:tc>
          <w:tcPr>
            <w:tcW w:w="0" w:type="auto"/>
            <w:hideMark/>
          </w:tcPr>
          <w:p w14:paraId="1D2C6EDE"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 xml:space="preserve">Positive for </w:t>
            </w:r>
            <w:r w:rsidRPr="00A83DC8">
              <w:rPr>
                <w:rFonts w:asciiTheme="majorBidi" w:eastAsia="Times New Roman" w:hAnsiTheme="majorBidi" w:cstheme="majorBidi"/>
                <w:i/>
                <w:iCs/>
                <w:sz w:val="24"/>
                <w:szCs w:val="24"/>
              </w:rPr>
              <w:t>C. albicans</w:t>
            </w:r>
          </w:p>
        </w:tc>
        <w:tc>
          <w:tcPr>
            <w:tcW w:w="0" w:type="auto"/>
            <w:hideMark/>
          </w:tcPr>
          <w:p w14:paraId="4CA5F265"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Prevalence (%)</w:t>
            </w:r>
          </w:p>
        </w:tc>
      </w:tr>
      <w:tr w:rsidR="00D4529F" w:rsidRPr="00A83DC8" w14:paraId="17C0122D" w14:textId="77777777" w:rsidTr="00E90899">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5C77B7C4"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Urban</w:t>
            </w:r>
          </w:p>
        </w:tc>
        <w:tc>
          <w:tcPr>
            <w:tcW w:w="0" w:type="auto"/>
            <w:hideMark/>
          </w:tcPr>
          <w:p w14:paraId="77D1BDC8"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446A8ADB"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38</w:t>
            </w:r>
          </w:p>
        </w:tc>
        <w:tc>
          <w:tcPr>
            <w:tcW w:w="0" w:type="auto"/>
            <w:hideMark/>
          </w:tcPr>
          <w:p w14:paraId="465DCE4C"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63.3</w:t>
            </w:r>
          </w:p>
        </w:tc>
      </w:tr>
      <w:tr w:rsidR="00D4529F" w:rsidRPr="00A83DC8" w14:paraId="04D5F910" w14:textId="77777777" w:rsidTr="00E90899">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3E8616A6"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Rural</w:t>
            </w:r>
          </w:p>
        </w:tc>
        <w:tc>
          <w:tcPr>
            <w:tcW w:w="0" w:type="auto"/>
            <w:hideMark/>
          </w:tcPr>
          <w:p w14:paraId="391FB107"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0FD72167"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29</w:t>
            </w:r>
          </w:p>
        </w:tc>
        <w:tc>
          <w:tcPr>
            <w:tcW w:w="0" w:type="auto"/>
            <w:hideMark/>
          </w:tcPr>
          <w:p w14:paraId="4B292750"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48.3</w:t>
            </w:r>
          </w:p>
        </w:tc>
      </w:tr>
      <w:tr w:rsidR="00D4529F" w:rsidRPr="00A83DC8" w14:paraId="13C084E8" w14:textId="77777777" w:rsidTr="00E90899">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FC09BDA"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Agricultural</w:t>
            </w:r>
          </w:p>
        </w:tc>
        <w:tc>
          <w:tcPr>
            <w:tcW w:w="0" w:type="auto"/>
            <w:hideMark/>
          </w:tcPr>
          <w:p w14:paraId="3B27C726"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000FC531"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29</w:t>
            </w:r>
          </w:p>
        </w:tc>
        <w:tc>
          <w:tcPr>
            <w:tcW w:w="0" w:type="auto"/>
            <w:hideMark/>
          </w:tcPr>
          <w:p w14:paraId="780C87BE"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48.3</w:t>
            </w:r>
          </w:p>
        </w:tc>
      </w:tr>
      <w:tr w:rsidR="00D4529F" w:rsidRPr="00A83DC8" w14:paraId="70501CC0" w14:textId="77777777" w:rsidTr="00E90899">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5BB7635D"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Total</w:t>
            </w:r>
          </w:p>
        </w:tc>
        <w:tc>
          <w:tcPr>
            <w:tcW w:w="0" w:type="auto"/>
            <w:hideMark/>
          </w:tcPr>
          <w:p w14:paraId="256BD1A3"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180</w:t>
            </w:r>
          </w:p>
        </w:tc>
        <w:tc>
          <w:tcPr>
            <w:tcW w:w="0" w:type="auto"/>
            <w:hideMark/>
          </w:tcPr>
          <w:p w14:paraId="34560E71"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96</w:t>
            </w:r>
          </w:p>
        </w:tc>
        <w:tc>
          <w:tcPr>
            <w:tcW w:w="0" w:type="auto"/>
            <w:hideMark/>
          </w:tcPr>
          <w:p w14:paraId="6474CFAD"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53.3</w:t>
            </w:r>
          </w:p>
        </w:tc>
      </w:tr>
    </w:tbl>
    <w:p w14:paraId="4C6BEA16" w14:textId="77777777" w:rsidR="00D4529F" w:rsidRPr="00A83DC8"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(Chi-square test: χ² = 6.71,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 0.034).</w:t>
      </w:r>
    </w:p>
    <w:p w14:paraId="1666FAAD" w14:textId="756EE9EA"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Age Group and Prevalence</w:t>
      </w:r>
    </w:p>
    <w:p w14:paraId="07AB83DC" w14:textId="77777777" w:rsidR="00D4529F" w:rsidRPr="00A83DC8"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The prevalence of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was highest in the </w:t>
      </w:r>
      <w:r w:rsidRPr="00A83DC8">
        <w:rPr>
          <w:rFonts w:asciiTheme="majorBidi" w:eastAsia="Times New Roman" w:hAnsiTheme="majorBidi" w:cstheme="majorBidi"/>
          <w:b/>
          <w:bCs/>
          <w:sz w:val="24"/>
          <w:szCs w:val="24"/>
        </w:rPr>
        <w:t>2–3 years age group (60%)</w:t>
      </w:r>
      <w:r w:rsidRPr="00A83DC8">
        <w:rPr>
          <w:rFonts w:asciiTheme="majorBidi" w:eastAsia="Times New Roman" w:hAnsiTheme="majorBidi" w:cstheme="majorBidi"/>
          <w:sz w:val="24"/>
          <w:szCs w:val="24"/>
        </w:rPr>
        <w:t>, slightly decreasing with age. Younger children are more susceptible due to immature immune defenses and increased use of pacifiers or bottle-feeding, which facilitate colonization.</w:t>
      </w:r>
    </w:p>
    <w:p w14:paraId="59EE4D90"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2 – Age Distribution of </w:t>
      </w:r>
      <w:r w:rsidRPr="00A83DC8">
        <w:rPr>
          <w:rFonts w:asciiTheme="majorBidi" w:eastAsia="Times New Roman" w:hAnsiTheme="majorBidi" w:cstheme="majorBidi"/>
          <w:b/>
          <w:bCs/>
          <w:i/>
          <w:iCs/>
          <w:sz w:val="24"/>
          <w:szCs w:val="24"/>
        </w:rPr>
        <w:t>Candida albicans</w:t>
      </w:r>
      <w:r w:rsidRPr="00A83DC8">
        <w:rPr>
          <w:rFonts w:asciiTheme="majorBidi" w:eastAsia="Times New Roman" w:hAnsiTheme="majorBidi" w:cstheme="majorBidi"/>
          <w:b/>
          <w:bCs/>
          <w:sz w:val="24"/>
          <w:szCs w:val="24"/>
        </w:rPr>
        <w:t xml:space="preserve"> Positivity</w:t>
      </w:r>
    </w:p>
    <w:tbl>
      <w:tblPr>
        <w:tblStyle w:val="4-21"/>
        <w:tblW w:w="9489" w:type="dxa"/>
        <w:tblLook w:val="04A0" w:firstRow="1" w:lastRow="0" w:firstColumn="1" w:lastColumn="0" w:noHBand="0" w:noVBand="1"/>
      </w:tblPr>
      <w:tblGrid>
        <w:gridCol w:w="2750"/>
        <w:gridCol w:w="2258"/>
        <w:gridCol w:w="2154"/>
        <w:gridCol w:w="2327"/>
      </w:tblGrid>
      <w:tr w:rsidR="00D4529F" w:rsidRPr="00A83DC8" w14:paraId="428B467F" w14:textId="77777777" w:rsidTr="00E90899">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26226175" w14:textId="77777777" w:rsidR="00D4529F" w:rsidRPr="00A83DC8" w:rsidRDefault="00D4529F" w:rsidP="006C0CB9">
            <w:pPr>
              <w:jc w:val="both"/>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Age Group (years)</w:t>
            </w:r>
          </w:p>
        </w:tc>
        <w:tc>
          <w:tcPr>
            <w:tcW w:w="0" w:type="auto"/>
            <w:hideMark/>
          </w:tcPr>
          <w:p w14:paraId="10019EAC"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No. of Samples</w:t>
            </w:r>
          </w:p>
        </w:tc>
        <w:tc>
          <w:tcPr>
            <w:tcW w:w="0" w:type="auto"/>
            <w:hideMark/>
          </w:tcPr>
          <w:p w14:paraId="2930E5CE"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Positive Cases</w:t>
            </w:r>
          </w:p>
        </w:tc>
        <w:tc>
          <w:tcPr>
            <w:tcW w:w="0" w:type="auto"/>
            <w:hideMark/>
          </w:tcPr>
          <w:p w14:paraId="53ECE7F3"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Prevalence (%)</w:t>
            </w:r>
          </w:p>
        </w:tc>
      </w:tr>
      <w:tr w:rsidR="00D4529F" w:rsidRPr="00A83DC8" w14:paraId="7E1F7058" w14:textId="77777777" w:rsidTr="00E908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741C3B38"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2–3</w:t>
            </w:r>
          </w:p>
        </w:tc>
        <w:tc>
          <w:tcPr>
            <w:tcW w:w="0" w:type="auto"/>
            <w:hideMark/>
          </w:tcPr>
          <w:p w14:paraId="7A18BF50"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22705687"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36</w:t>
            </w:r>
          </w:p>
        </w:tc>
        <w:tc>
          <w:tcPr>
            <w:tcW w:w="0" w:type="auto"/>
            <w:hideMark/>
          </w:tcPr>
          <w:p w14:paraId="4AB43343"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60.0</w:t>
            </w:r>
          </w:p>
        </w:tc>
      </w:tr>
      <w:tr w:rsidR="00D4529F" w:rsidRPr="00A83DC8" w14:paraId="41484F57" w14:textId="77777777" w:rsidTr="00E90899">
        <w:trPr>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1725EC76"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4–5</w:t>
            </w:r>
          </w:p>
        </w:tc>
        <w:tc>
          <w:tcPr>
            <w:tcW w:w="0" w:type="auto"/>
            <w:hideMark/>
          </w:tcPr>
          <w:p w14:paraId="24ED3486"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3B04C15C"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31</w:t>
            </w:r>
          </w:p>
        </w:tc>
        <w:tc>
          <w:tcPr>
            <w:tcW w:w="0" w:type="auto"/>
            <w:hideMark/>
          </w:tcPr>
          <w:p w14:paraId="407AC79B"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51.7</w:t>
            </w:r>
          </w:p>
        </w:tc>
      </w:tr>
      <w:tr w:rsidR="00D4529F" w:rsidRPr="00A83DC8" w14:paraId="18C6CDEE" w14:textId="77777777" w:rsidTr="00E908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0E1881C5"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w:t>
            </w:r>
          </w:p>
        </w:tc>
        <w:tc>
          <w:tcPr>
            <w:tcW w:w="0" w:type="auto"/>
            <w:hideMark/>
          </w:tcPr>
          <w:p w14:paraId="5D3708C7"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w:t>
            </w:r>
          </w:p>
        </w:tc>
        <w:tc>
          <w:tcPr>
            <w:tcW w:w="0" w:type="auto"/>
            <w:hideMark/>
          </w:tcPr>
          <w:p w14:paraId="2358AC90"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29</w:t>
            </w:r>
          </w:p>
        </w:tc>
        <w:tc>
          <w:tcPr>
            <w:tcW w:w="0" w:type="auto"/>
            <w:hideMark/>
          </w:tcPr>
          <w:p w14:paraId="1BE0C3DE"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48.3</w:t>
            </w:r>
          </w:p>
        </w:tc>
      </w:tr>
      <w:tr w:rsidR="00D4529F" w:rsidRPr="00A83DC8" w14:paraId="2EE10721" w14:textId="77777777" w:rsidTr="00E90899">
        <w:trPr>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1DD6D25E"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Total</w:t>
            </w:r>
          </w:p>
        </w:tc>
        <w:tc>
          <w:tcPr>
            <w:tcW w:w="0" w:type="auto"/>
            <w:hideMark/>
          </w:tcPr>
          <w:p w14:paraId="55512EBF"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180</w:t>
            </w:r>
          </w:p>
        </w:tc>
        <w:tc>
          <w:tcPr>
            <w:tcW w:w="0" w:type="auto"/>
            <w:hideMark/>
          </w:tcPr>
          <w:p w14:paraId="267B43FC"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96</w:t>
            </w:r>
          </w:p>
        </w:tc>
        <w:tc>
          <w:tcPr>
            <w:tcW w:w="0" w:type="auto"/>
            <w:hideMark/>
          </w:tcPr>
          <w:p w14:paraId="61EBD1EB"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53.3</w:t>
            </w:r>
          </w:p>
        </w:tc>
      </w:tr>
    </w:tbl>
    <w:p w14:paraId="09DB3FE7" w14:textId="77777777" w:rsidR="00D4529F" w:rsidRPr="007B4F2C"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(χ² = 2.51,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 0.28 → Not statistically significant).</w:t>
      </w:r>
    </w:p>
    <w:p w14:paraId="72CFAFB1" w14:textId="3F853C81"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Association with Early Childhood Caries (ECC)</w:t>
      </w:r>
    </w:p>
    <w:p w14:paraId="24940EDE" w14:textId="77777777" w:rsidR="00D4529F"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Among the 180 children, </w:t>
      </w:r>
      <w:r w:rsidRPr="00A83DC8">
        <w:rPr>
          <w:rFonts w:asciiTheme="majorBidi" w:eastAsia="Times New Roman" w:hAnsiTheme="majorBidi" w:cstheme="majorBidi"/>
          <w:b/>
          <w:bCs/>
          <w:sz w:val="24"/>
          <w:szCs w:val="24"/>
        </w:rPr>
        <w:t>95 (52.8%)</w:t>
      </w:r>
      <w:r w:rsidRPr="00A83DC8">
        <w:rPr>
          <w:rFonts w:asciiTheme="majorBidi" w:eastAsia="Times New Roman" w:hAnsiTheme="majorBidi" w:cstheme="majorBidi"/>
          <w:sz w:val="24"/>
          <w:szCs w:val="24"/>
        </w:rPr>
        <w:t xml:space="preserve"> had ECC.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was detected in </w:t>
      </w:r>
      <w:r w:rsidRPr="00A83DC8">
        <w:rPr>
          <w:rFonts w:asciiTheme="majorBidi" w:eastAsia="Times New Roman" w:hAnsiTheme="majorBidi" w:cstheme="majorBidi"/>
          <w:b/>
          <w:bCs/>
          <w:sz w:val="24"/>
          <w:szCs w:val="24"/>
        </w:rPr>
        <w:t>65 (68.4%)</w:t>
      </w:r>
      <w:r w:rsidRPr="00A83DC8">
        <w:rPr>
          <w:rFonts w:asciiTheme="majorBidi" w:eastAsia="Times New Roman" w:hAnsiTheme="majorBidi" w:cstheme="majorBidi"/>
          <w:sz w:val="24"/>
          <w:szCs w:val="24"/>
        </w:rPr>
        <w:t xml:space="preserve"> of these ECC cases, compared with </w:t>
      </w:r>
      <w:r w:rsidRPr="00A83DC8">
        <w:rPr>
          <w:rFonts w:asciiTheme="majorBidi" w:eastAsia="Times New Roman" w:hAnsiTheme="majorBidi" w:cstheme="majorBidi"/>
          <w:b/>
          <w:bCs/>
          <w:sz w:val="24"/>
          <w:szCs w:val="24"/>
        </w:rPr>
        <w:t>31 (36.5%)</w:t>
      </w:r>
      <w:r w:rsidRPr="00A83DC8">
        <w:rPr>
          <w:rFonts w:asciiTheme="majorBidi" w:eastAsia="Times New Roman" w:hAnsiTheme="majorBidi" w:cstheme="majorBidi"/>
          <w:sz w:val="24"/>
          <w:szCs w:val="24"/>
        </w:rPr>
        <w:t xml:space="preserve"> of children without ECC. This association was highly significant (χ² = 17.12, p &lt; 0.001).</w:t>
      </w:r>
    </w:p>
    <w:p w14:paraId="040326B5" w14:textId="77777777" w:rsidR="00E90899" w:rsidRDefault="00E90899" w:rsidP="006C0CB9">
      <w:pPr>
        <w:spacing w:before="100" w:beforeAutospacing="1" w:after="100" w:afterAutospacing="1" w:line="240" w:lineRule="auto"/>
        <w:jc w:val="both"/>
        <w:rPr>
          <w:rFonts w:asciiTheme="majorBidi" w:eastAsia="Times New Roman" w:hAnsiTheme="majorBidi" w:cstheme="majorBidi"/>
          <w:sz w:val="24"/>
          <w:szCs w:val="24"/>
        </w:rPr>
      </w:pPr>
    </w:p>
    <w:p w14:paraId="07F0B04B" w14:textId="77777777" w:rsidR="00E90899" w:rsidRDefault="00E90899" w:rsidP="006C0CB9">
      <w:pPr>
        <w:spacing w:before="100" w:beforeAutospacing="1" w:after="100" w:afterAutospacing="1" w:line="240" w:lineRule="auto"/>
        <w:jc w:val="both"/>
        <w:rPr>
          <w:rFonts w:asciiTheme="majorBidi" w:eastAsia="Times New Roman" w:hAnsiTheme="majorBidi" w:cstheme="majorBidi"/>
          <w:sz w:val="24"/>
          <w:szCs w:val="24"/>
        </w:rPr>
      </w:pPr>
    </w:p>
    <w:p w14:paraId="37A7EC1D" w14:textId="77777777" w:rsidR="00E90899" w:rsidRPr="00A83DC8" w:rsidRDefault="00E90899" w:rsidP="006C0CB9">
      <w:pPr>
        <w:spacing w:before="100" w:beforeAutospacing="1" w:after="100" w:afterAutospacing="1" w:line="240" w:lineRule="auto"/>
        <w:jc w:val="both"/>
        <w:rPr>
          <w:rFonts w:asciiTheme="majorBidi" w:eastAsia="Times New Roman" w:hAnsiTheme="majorBidi" w:cstheme="majorBidi"/>
          <w:sz w:val="24"/>
          <w:szCs w:val="24"/>
        </w:rPr>
      </w:pPr>
    </w:p>
    <w:p w14:paraId="5F0B0DF9"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3 – Relationship Between </w:t>
      </w:r>
      <w:r w:rsidRPr="00A83DC8">
        <w:rPr>
          <w:rFonts w:asciiTheme="majorBidi" w:eastAsia="Times New Roman" w:hAnsiTheme="majorBidi" w:cstheme="majorBidi"/>
          <w:b/>
          <w:bCs/>
          <w:i/>
          <w:iCs/>
          <w:sz w:val="24"/>
          <w:szCs w:val="24"/>
        </w:rPr>
        <w:t>C. albicans</w:t>
      </w:r>
      <w:r w:rsidRPr="00A83DC8">
        <w:rPr>
          <w:rFonts w:asciiTheme="majorBidi" w:eastAsia="Times New Roman" w:hAnsiTheme="majorBidi" w:cstheme="majorBidi"/>
          <w:b/>
          <w:bCs/>
          <w:sz w:val="24"/>
          <w:szCs w:val="24"/>
        </w:rPr>
        <w:t xml:space="preserve"> and ECC</w:t>
      </w:r>
    </w:p>
    <w:tbl>
      <w:tblPr>
        <w:tblStyle w:val="4-61"/>
        <w:tblW w:w="9288" w:type="dxa"/>
        <w:tblLook w:val="04A0" w:firstRow="1" w:lastRow="0" w:firstColumn="1" w:lastColumn="0" w:noHBand="0" w:noVBand="1"/>
      </w:tblPr>
      <w:tblGrid>
        <w:gridCol w:w="1744"/>
        <w:gridCol w:w="2218"/>
        <w:gridCol w:w="3125"/>
        <w:gridCol w:w="2201"/>
      </w:tblGrid>
      <w:tr w:rsidR="00D4529F" w:rsidRPr="00A83DC8" w14:paraId="21F0C2A3" w14:textId="77777777" w:rsidTr="00B970EF">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0" w:type="auto"/>
            <w:hideMark/>
          </w:tcPr>
          <w:p w14:paraId="4623F38E"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lastRenderedPageBreak/>
              <w:t>ECC Status</w:t>
            </w:r>
          </w:p>
        </w:tc>
        <w:tc>
          <w:tcPr>
            <w:tcW w:w="0" w:type="auto"/>
            <w:hideMark/>
          </w:tcPr>
          <w:p w14:paraId="6C437037"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No. of Children</w:t>
            </w:r>
          </w:p>
        </w:tc>
        <w:tc>
          <w:tcPr>
            <w:tcW w:w="0" w:type="auto"/>
            <w:hideMark/>
          </w:tcPr>
          <w:p w14:paraId="7234E1D1"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Positive for </w:t>
            </w:r>
            <w:r w:rsidRPr="00A83DC8">
              <w:rPr>
                <w:rFonts w:asciiTheme="majorBidi" w:eastAsia="Times New Roman" w:hAnsiTheme="majorBidi" w:cstheme="majorBidi"/>
                <w:i/>
                <w:iCs/>
                <w:sz w:val="24"/>
                <w:szCs w:val="24"/>
              </w:rPr>
              <w:t>C. albicans</w:t>
            </w:r>
          </w:p>
        </w:tc>
        <w:tc>
          <w:tcPr>
            <w:tcW w:w="0" w:type="auto"/>
            <w:hideMark/>
          </w:tcPr>
          <w:p w14:paraId="71C8083B"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Prevalence (%)</w:t>
            </w:r>
          </w:p>
        </w:tc>
      </w:tr>
      <w:tr w:rsidR="00D4529F" w:rsidRPr="00A83DC8" w14:paraId="105E5E89" w14:textId="77777777" w:rsidTr="00B970E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auto"/>
            <w:hideMark/>
          </w:tcPr>
          <w:p w14:paraId="2C679CCA"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ECC (+)</w:t>
            </w:r>
          </w:p>
        </w:tc>
        <w:tc>
          <w:tcPr>
            <w:tcW w:w="0" w:type="auto"/>
            <w:hideMark/>
          </w:tcPr>
          <w:p w14:paraId="1DF6C65B"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95</w:t>
            </w:r>
          </w:p>
        </w:tc>
        <w:tc>
          <w:tcPr>
            <w:tcW w:w="0" w:type="auto"/>
            <w:hideMark/>
          </w:tcPr>
          <w:p w14:paraId="1F2443CA"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65</w:t>
            </w:r>
          </w:p>
        </w:tc>
        <w:tc>
          <w:tcPr>
            <w:tcW w:w="0" w:type="auto"/>
            <w:hideMark/>
          </w:tcPr>
          <w:p w14:paraId="4D494EBC"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68.4</w:t>
            </w:r>
          </w:p>
        </w:tc>
      </w:tr>
      <w:tr w:rsidR="00D4529F" w:rsidRPr="00A83DC8" w14:paraId="5FF35269" w14:textId="77777777" w:rsidTr="00B970EF">
        <w:trPr>
          <w:trHeight w:val="596"/>
        </w:trPr>
        <w:tc>
          <w:tcPr>
            <w:cnfStyle w:val="001000000000" w:firstRow="0" w:lastRow="0" w:firstColumn="1" w:lastColumn="0" w:oddVBand="0" w:evenVBand="0" w:oddHBand="0" w:evenHBand="0" w:firstRowFirstColumn="0" w:firstRowLastColumn="0" w:lastRowFirstColumn="0" w:lastRowLastColumn="0"/>
            <w:tcW w:w="0" w:type="auto"/>
            <w:hideMark/>
          </w:tcPr>
          <w:p w14:paraId="0F5D7840"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ECC (–)</w:t>
            </w:r>
          </w:p>
        </w:tc>
        <w:tc>
          <w:tcPr>
            <w:tcW w:w="0" w:type="auto"/>
            <w:hideMark/>
          </w:tcPr>
          <w:p w14:paraId="0FDAF7DC"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85</w:t>
            </w:r>
          </w:p>
        </w:tc>
        <w:tc>
          <w:tcPr>
            <w:tcW w:w="0" w:type="auto"/>
            <w:hideMark/>
          </w:tcPr>
          <w:p w14:paraId="5E6366C5"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31</w:t>
            </w:r>
          </w:p>
        </w:tc>
        <w:tc>
          <w:tcPr>
            <w:tcW w:w="0" w:type="auto"/>
            <w:hideMark/>
          </w:tcPr>
          <w:p w14:paraId="266A8815" w14:textId="77777777" w:rsidR="00D4529F" w:rsidRPr="00A83DC8" w:rsidRDefault="00D4529F" w:rsidP="006C0CB9">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36.5</w:t>
            </w:r>
          </w:p>
        </w:tc>
      </w:tr>
      <w:tr w:rsidR="00D4529F" w:rsidRPr="00A83DC8" w14:paraId="44FF6E63" w14:textId="77777777" w:rsidTr="00B970E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auto"/>
            <w:hideMark/>
          </w:tcPr>
          <w:p w14:paraId="14AD7C9C"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Total</w:t>
            </w:r>
          </w:p>
        </w:tc>
        <w:tc>
          <w:tcPr>
            <w:tcW w:w="0" w:type="auto"/>
            <w:hideMark/>
          </w:tcPr>
          <w:p w14:paraId="5E9226D1"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180</w:t>
            </w:r>
          </w:p>
        </w:tc>
        <w:tc>
          <w:tcPr>
            <w:tcW w:w="0" w:type="auto"/>
            <w:hideMark/>
          </w:tcPr>
          <w:p w14:paraId="27E7F7F8"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96</w:t>
            </w:r>
          </w:p>
        </w:tc>
        <w:tc>
          <w:tcPr>
            <w:tcW w:w="0" w:type="auto"/>
            <w:hideMark/>
          </w:tcPr>
          <w:p w14:paraId="0920A8FC"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53.3</w:t>
            </w:r>
          </w:p>
        </w:tc>
      </w:tr>
    </w:tbl>
    <w:p w14:paraId="163AB791" w14:textId="77777777" w:rsidR="00D4529F"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(χ² = 17.12,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&lt; 0.001 → Highly significant).</w:t>
      </w:r>
    </w:p>
    <w:p w14:paraId="66A02DCD" w14:textId="77777777" w:rsidR="00C2141C" w:rsidRPr="00C2141C" w:rsidRDefault="00C2141C" w:rsidP="00C2141C">
      <w:pPr>
        <w:spacing w:before="100" w:beforeAutospacing="1" w:after="100" w:afterAutospacing="1" w:line="240" w:lineRule="auto"/>
        <w:jc w:val="both"/>
        <w:rPr>
          <w:rFonts w:asciiTheme="majorBidi" w:eastAsia="Times New Roman" w:hAnsiTheme="majorBidi" w:cstheme="majorBidi"/>
          <w:sz w:val="24"/>
          <w:szCs w:val="24"/>
        </w:rPr>
      </w:pPr>
      <w:r w:rsidRPr="00C2141C">
        <w:rPr>
          <w:rFonts w:asciiTheme="majorBidi" w:eastAsia="Times New Roman" w:hAnsiTheme="majorBidi" w:cstheme="majorBidi"/>
          <w:sz w:val="24"/>
          <w:szCs w:val="24"/>
        </w:rPr>
        <w:t>If you used primers targeting the ITS region (\~500 bp) to detect *Candida* from oral samples of children and you have a gel electrophoresis image, you can present the results like this (academic style, passive voice):</w:t>
      </w:r>
    </w:p>
    <w:p w14:paraId="28CB9438" w14:textId="432DEF6B" w:rsidR="00C2141C" w:rsidRDefault="00E90899" w:rsidP="00C2141C">
      <w:p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C2141C" w:rsidRPr="00C2141C">
        <w:rPr>
          <w:rFonts w:asciiTheme="majorBidi" w:eastAsia="Times New Roman" w:hAnsiTheme="majorBidi" w:cstheme="majorBidi"/>
          <w:sz w:val="24"/>
          <w:szCs w:val="24"/>
        </w:rPr>
        <w:t>PCR amplification using ITS-specific primers produced a clear band of approximately 500 bp in the electrophoresis gel, confirming the presence of Candida in oral samples of children. Positive samples were identified by the appearance of distinct DNA bands at the expected size, while negative controls showed no amplification</w:t>
      </w:r>
      <w:r w:rsidR="00C2141C">
        <w:rPr>
          <w:rFonts w:asciiTheme="majorBidi" w:eastAsia="Times New Roman" w:hAnsiTheme="majorBidi" w:cstheme="majorBidi"/>
          <w:sz w:val="24"/>
          <w:szCs w:val="24"/>
        </w:rPr>
        <w:t xml:space="preserve"> figure </w:t>
      </w:r>
      <w:r w:rsidR="00C70D4B">
        <w:rPr>
          <w:rFonts w:asciiTheme="majorBidi" w:eastAsia="Times New Roman" w:hAnsiTheme="majorBidi" w:cstheme="majorBidi"/>
          <w:sz w:val="24"/>
          <w:szCs w:val="24"/>
        </w:rPr>
        <w:t>1</w:t>
      </w:r>
      <w:r w:rsidR="00C2141C">
        <w:rPr>
          <w:rFonts w:asciiTheme="majorBidi" w:eastAsia="Times New Roman" w:hAnsiTheme="majorBidi" w:cstheme="majorBidi"/>
          <w:sz w:val="24"/>
          <w:szCs w:val="24"/>
        </w:rPr>
        <w:t>.</w:t>
      </w:r>
    </w:p>
    <w:p w14:paraId="15E8146E" w14:textId="2B92F7FC" w:rsidR="00C2141C" w:rsidRDefault="00284F2A" w:rsidP="00284F2A">
      <w:pPr>
        <w:spacing w:before="100" w:beforeAutospacing="1" w:after="100" w:afterAutospacing="1" w:line="240" w:lineRule="auto"/>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inline distT="0" distB="0" distL="0" distR="0" wp14:anchorId="47F7E2EE" wp14:editId="17A58179">
            <wp:extent cx="4782284" cy="2936838"/>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9923" cy="2947670"/>
                    </a:xfrm>
                    <a:prstGeom prst="rect">
                      <a:avLst/>
                    </a:prstGeom>
                    <a:noFill/>
                    <a:ln>
                      <a:noFill/>
                    </a:ln>
                  </pic:spPr>
                </pic:pic>
              </a:graphicData>
            </a:graphic>
          </wp:inline>
        </w:drawing>
      </w:r>
    </w:p>
    <w:p w14:paraId="318081DE" w14:textId="35DB8E21" w:rsidR="00C2141C" w:rsidRDefault="00284F2A" w:rsidP="00C2141C">
      <w:pPr>
        <w:spacing w:before="100" w:beforeAutospacing="1" w:after="100" w:afterAutospacing="1" w:line="240" w:lineRule="auto"/>
        <w:jc w:val="both"/>
        <w:rPr>
          <w:rFonts w:asciiTheme="majorBidi" w:eastAsia="Times New Roman" w:hAnsiTheme="majorBidi" w:cstheme="majorBidi"/>
          <w:sz w:val="24"/>
          <w:szCs w:val="24"/>
        </w:rPr>
      </w:pPr>
      <w:r w:rsidRPr="00231600">
        <w:rPr>
          <w:rFonts w:asciiTheme="majorBidi" w:eastAsia="Times New Roman" w:hAnsiTheme="majorBidi" w:cstheme="majorBidi"/>
          <w:b/>
          <w:bCs/>
          <w:sz w:val="24"/>
          <w:szCs w:val="24"/>
        </w:rPr>
        <w:t>Figure (</w:t>
      </w:r>
      <w:r w:rsidR="00C70D4B">
        <w:rPr>
          <w:rFonts w:asciiTheme="majorBidi" w:eastAsia="Times New Roman" w:hAnsiTheme="majorBidi" w:cstheme="majorBidi"/>
          <w:b/>
          <w:bCs/>
          <w:sz w:val="24"/>
          <w:szCs w:val="24"/>
        </w:rPr>
        <w:t>1</w:t>
      </w:r>
      <w:r w:rsidRPr="00231600">
        <w:rPr>
          <w:rFonts w:asciiTheme="majorBidi" w:eastAsia="Times New Roman" w:hAnsiTheme="majorBidi" w:cstheme="majorBidi"/>
          <w:b/>
          <w:bCs/>
          <w:sz w:val="24"/>
          <w:szCs w:val="24"/>
        </w:rPr>
        <w:t>)</w:t>
      </w:r>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gele</w:t>
      </w:r>
      <w:proofErr w:type="spellEnd"/>
      <w:r>
        <w:rPr>
          <w:rFonts w:asciiTheme="majorBidi" w:eastAsia="Times New Roman" w:hAnsiTheme="majorBidi" w:cstheme="majorBidi"/>
          <w:sz w:val="24"/>
          <w:szCs w:val="24"/>
        </w:rPr>
        <w:t xml:space="preserve"> electrophoresis for IST genes from candidiasis isolated from oral cavity, M: represented </w:t>
      </w:r>
      <w:r w:rsidR="002977DB">
        <w:rPr>
          <w:rFonts w:asciiTheme="majorBidi" w:eastAsia="Times New Roman" w:hAnsiTheme="majorBidi" w:cstheme="majorBidi"/>
          <w:sz w:val="24"/>
          <w:szCs w:val="24"/>
        </w:rPr>
        <w:t xml:space="preserve">DNA </w:t>
      </w:r>
      <w:proofErr w:type="spellStart"/>
      <w:r w:rsidR="002977DB">
        <w:rPr>
          <w:rFonts w:asciiTheme="majorBidi" w:eastAsia="Times New Roman" w:hAnsiTheme="majorBidi" w:cstheme="majorBidi"/>
          <w:sz w:val="24"/>
          <w:szCs w:val="24"/>
        </w:rPr>
        <w:t>laddr</w:t>
      </w:r>
      <w:proofErr w:type="spellEnd"/>
      <w:r w:rsidR="002977DB">
        <w:rPr>
          <w:rFonts w:asciiTheme="majorBidi" w:eastAsia="Times New Roman" w:hAnsiTheme="majorBidi" w:cstheme="majorBidi"/>
          <w:sz w:val="24"/>
          <w:szCs w:val="24"/>
        </w:rPr>
        <w:t xml:space="preserve"> markers, 1 well: represented control negative (ddH</w:t>
      </w:r>
      <w:r w:rsidR="002977DB" w:rsidRPr="002977DB">
        <w:rPr>
          <w:rFonts w:asciiTheme="majorBidi" w:eastAsia="Times New Roman" w:hAnsiTheme="majorBidi" w:cstheme="majorBidi"/>
          <w:sz w:val="24"/>
          <w:szCs w:val="24"/>
          <w:vertAlign w:val="subscript"/>
        </w:rPr>
        <w:t>2</w:t>
      </w:r>
      <w:r w:rsidR="002977DB">
        <w:rPr>
          <w:rFonts w:asciiTheme="majorBidi" w:eastAsia="Times New Roman" w:hAnsiTheme="majorBidi" w:cstheme="majorBidi"/>
          <w:sz w:val="24"/>
          <w:szCs w:val="24"/>
        </w:rPr>
        <w:t>O), 2 to 10 wells: represented IST genes (500 bp).</w:t>
      </w:r>
    </w:p>
    <w:p w14:paraId="4364AD1D" w14:textId="77777777" w:rsidR="00231600" w:rsidRPr="00C2141C" w:rsidRDefault="00231600" w:rsidP="00C2141C">
      <w:pPr>
        <w:spacing w:before="100" w:beforeAutospacing="1" w:after="100" w:afterAutospacing="1" w:line="240" w:lineRule="auto"/>
        <w:jc w:val="both"/>
        <w:rPr>
          <w:rFonts w:asciiTheme="majorBidi" w:eastAsia="Times New Roman" w:hAnsiTheme="majorBidi" w:cstheme="majorBidi"/>
          <w:sz w:val="24"/>
          <w:szCs w:val="24"/>
        </w:rPr>
      </w:pPr>
    </w:p>
    <w:p w14:paraId="682BD9B3" w14:textId="5DF5F357"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Molecular Detection of Virulence Gene (</w:t>
      </w:r>
      <w:r w:rsidRPr="00A83DC8">
        <w:rPr>
          <w:rFonts w:asciiTheme="majorBidi" w:eastAsia="Times New Roman" w:hAnsiTheme="majorBidi" w:cstheme="majorBidi"/>
          <w:b/>
          <w:bCs/>
          <w:i/>
          <w:iCs/>
          <w:sz w:val="24"/>
          <w:szCs w:val="24"/>
        </w:rPr>
        <w:t>ECE1</w:t>
      </w:r>
      <w:r w:rsidRPr="00A83DC8">
        <w:rPr>
          <w:rFonts w:asciiTheme="majorBidi" w:eastAsia="Times New Roman" w:hAnsiTheme="majorBidi" w:cstheme="majorBidi"/>
          <w:b/>
          <w:bCs/>
          <w:sz w:val="24"/>
          <w:szCs w:val="24"/>
        </w:rPr>
        <w:t>)</w:t>
      </w:r>
    </w:p>
    <w:p w14:paraId="754BA8AD" w14:textId="34EEE63C"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lastRenderedPageBreak/>
        <w:t xml:space="preserve">PCR detection of the </w:t>
      </w: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gene revealed its presence in </w:t>
      </w:r>
      <w:r w:rsidRPr="00A83DC8">
        <w:rPr>
          <w:rFonts w:asciiTheme="majorBidi" w:eastAsia="Times New Roman" w:hAnsiTheme="majorBidi" w:cstheme="majorBidi"/>
          <w:b/>
          <w:bCs/>
          <w:sz w:val="24"/>
          <w:szCs w:val="24"/>
        </w:rPr>
        <w:t>58 out of 96 positive isolates (60.4%)</w:t>
      </w:r>
      <w:r w:rsidRPr="00A83DC8">
        <w:rPr>
          <w:rFonts w:asciiTheme="majorBidi" w:eastAsia="Times New Roman" w:hAnsiTheme="majorBidi" w:cstheme="majorBidi"/>
          <w:sz w:val="24"/>
          <w:szCs w:val="24"/>
        </w:rPr>
        <w:t xml:space="preserve">. This suggests that more than half of colonizing strains possess enhanced virulence potential, aligning with recent findings linking </w:t>
      </w: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with mucosal epithelial damage [</w:t>
      </w:r>
      <w:r w:rsidR="00DA62C5">
        <w:rPr>
          <w:rFonts w:asciiTheme="majorBidi" w:eastAsia="Times New Roman" w:hAnsiTheme="majorBidi" w:cstheme="majorBidi"/>
          <w:sz w:val="24"/>
          <w:szCs w:val="24"/>
        </w:rPr>
        <w:t>16,17</w:t>
      </w:r>
      <w:r w:rsidRPr="00A83DC8">
        <w:rPr>
          <w:rFonts w:asciiTheme="majorBidi" w:eastAsia="Times New Roman" w:hAnsiTheme="majorBidi" w:cstheme="majorBidi"/>
          <w:sz w:val="24"/>
          <w:szCs w:val="24"/>
        </w:rPr>
        <w:t>].</w:t>
      </w:r>
    </w:p>
    <w:p w14:paraId="7292F054" w14:textId="77777777" w:rsidR="00D4529F" w:rsidRPr="00A83DC8" w:rsidRDefault="00D4529F" w:rsidP="006C0CB9">
      <w:pPr>
        <w:spacing w:before="100" w:beforeAutospacing="1" w:after="100" w:afterAutospacing="1" w:line="240" w:lineRule="auto"/>
        <w:jc w:val="both"/>
        <w:outlineLvl w:val="2"/>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 xml:space="preserve">Table 4 – Detection of </w:t>
      </w:r>
      <w:r w:rsidRPr="00A83DC8">
        <w:rPr>
          <w:rFonts w:asciiTheme="majorBidi" w:eastAsia="Times New Roman" w:hAnsiTheme="majorBidi" w:cstheme="majorBidi"/>
          <w:b/>
          <w:bCs/>
          <w:i/>
          <w:iCs/>
          <w:sz w:val="24"/>
          <w:szCs w:val="24"/>
        </w:rPr>
        <w:t>ECE1</w:t>
      </w:r>
      <w:r w:rsidRPr="00A83DC8">
        <w:rPr>
          <w:rFonts w:asciiTheme="majorBidi" w:eastAsia="Times New Roman" w:hAnsiTheme="majorBidi" w:cstheme="majorBidi"/>
          <w:b/>
          <w:bCs/>
          <w:sz w:val="24"/>
          <w:szCs w:val="24"/>
        </w:rPr>
        <w:t xml:space="preserve"> Gene in </w:t>
      </w:r>
      <w:r w:rsidRPr="00A83DC8">
        <w:rPr>
          <w:rFonts w:asciiTheme="majorBidi" w:eastAsia="Times New Roman" w:hAnsiTheme="majorBidi" w:cstheme="majorBidi"/>
          <w:b/>
          <w:bCs/>
          <w:i/>
          <w:iCs/>
          <w:sz w:val="24"/>
          <w:szCs w:val="24"/>
        </w:rPr>
        <w:t>C. albicans</w:t>
      </w:r>
      <w:r w:rsidRPr="00A83DC8">
        <w:rPr>
          <w:rFonts w:asciiTheme="majorBidi" w:eastAsia="Times New Roman" w:hAnsiTheme="majorBidi" w:cstheme="majorBidi"/>
          <w:b/>
          <w:bCs/>
          <w:sz w:val="24"/>
          <w:szCs w:val="24"/>
        </w:rPr>
        <w:t xml:space="preserve"> Isolates</w:t>
      </w:r>
    </w:p>
    <w:tbl>
      <w:tblPr>
        <w:tblStyle w:val="4-61"/>
        <w:tblW w:w="9094" w:type="dxa"/>
        <w:tblLook w:val="04A0" w:firstRow="1" w:lastRow="0" w:firstColumn="1" w:lastColumn="0" w:noHBand="0" w:noVBand="1"/>
      </w:tblPr>
      <w:tblGrid>
        <w:gridCol w:w="2647"/>
        <w:gridCol w:w="2057"/>
        <w:gridCol w:w="2171"/>
        <w:gridCol w:w="2219"/>
      </w:tblGrid>
      <w:tr w:rsidR="00D4529F" w:rsidRPr="00A83DC8" w14:paraId="69563722" w14:textId="77777777" w:rsidTr="00231600">
        <w:trPr>
          <w:cnfStyle w:val="100000000000" w:firstRow="1" w:lastRow="0" w:firstColumn="0" w:lastColumn="0" w:oddVBand="0" w:evenVBand="0" w:oddHBand="0"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0" w:type="auto"/>
            <w:hideMark/>
          </w:tcPr>
          <w:p w14:paraId="0A1AAD8C" w14:textId="77777777" w:rsidR="00D4529F" w:rsidRPr="00A83DC8" w:rsidRDefault="00D4529F" w:rsidP="006C0CB9">
            <w:pPr>
              <w:jc w:val="both"/>
              <w:rPr>
                <w:rFonts w:asciiTheme="majorBidi" w:eastAsia="Times New Roman" w:hAnsiTheme="majorBidi" w:cstheme="majorBidi"/>
                <w:b w:val="0"/>
                <w:bCs w:val="0"/>
                <w:sz w:val="24"/>
                <w:szCs w:val="24"/>
              </w:rPr>
            </w:pP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Isolates</w:t>
            </w:r>
          </w:p>
        </w:tc>
        <w:tc>
          <w:tcPr>
            <w:tcW w:w="0" w:type="auto"/>
            <w:hideMark/>
          </w:tcPr>
          <w:p w14:paraId="3C807E0B"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Positive</w:t>
            </w:r>
          </w:p>
        </w:tc>
        <w:tc>
          <w:tcPr>
            <w:tcW w:w="0" w:type="auto"/>
            <w:hideMark/>
          </w:tcPr>
          <w:p w14:paraId="28704FF4"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Negative</w:t>
            </w:r>
          </w:p>
        </w:tc>
        <w:tc>
          <w:tcPr>
            <w:tcW w:w="0" w:type="auto"/>
            <w:hideMark/>
          </w:tcPr>
          <w:p w14:paraId="77B802F4" w14:textId="77777777" w:rsidR="00D4529F" w:rsidRPr="00A83DC8" w:rsidRDefault="00D4529F" w:rsidP="006C0CB9">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A83DC8">
              <w:rPr>
                <w:rFonts w:asciiTheme="majorBidi" w:eastAsia="Times New Roman" w:hAnsiTheme="majorBidi" w:cstheme="majorBidi"/>
                <w:sz w:val="24"/>
                <w:szCs w:val="24"/>
              </w:rPr>
              <w:t>Percentage (%)</w:t>
            </w:r>
          </w:p>
        </w:tc>
      </w:tr>
      <w:tr w:rsidR="00D4529F" w:rsidRPr="00A83DC8" w14:paraId="16F72295" w14:textId="77777777" w:rsidTr="00231600">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0" w:type="auto"/>
            <w:hideMark/>
          </w:tcPr>
          <w:p w14:paraId="2B8E1428" w14:textId="77777777" w:rsidR="00D4529F" w:rsidRPr="00A83DC8" w:rsidRDefault="00D4529F" w:rsidP="006C0CB9">
            <w:pPr>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96</w:t>
            </w:r>
          </w:p>
        </w:tc>
        <w:tc>
          <w:tcPr>
            <w:tcW w:w="0" w:type="auto"/>
            <w:hideMark/>
          </w:tcPr>
          <w:p w14:paraId="04A7FF3A"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58</w:t>
            </w:r>
          </w:p>
        </w:tc>
        <w:tc>
          <w:tcPr>
            <w:tcW w:w="0" w:type="auto"/>
            <w:hideMark/>
          </w:tcPr>
          <w:p w14:paraId="3BF70C7E"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38</w:t>
            </w:r>
          </w:p>
        </w:tc>
        <w:tc>
          <w:tcPr>
            <w:tcW w:w="0" w:type="auto"/>
            <w:hideMark/>
          </w:tcPr>
          <w:p w14:paraId="0FA70F00" w14:textId="77777777" w:rsidR="00D4529F" w:rsidRPr="00A83DC8" w:rsidRDefault="00D4529F" w:rsidP="006C0CB9">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60.4</w:t>
            </w:r>
          </w:p>
        </w:tc>
      </w:tr>
    </w:tbl>
    <w:p w14:paraId="21F66EB8" w14:textId="7C5EE8E5" w:rsidR="00D4529F" w:rsidRPr="00A83DC8" w:rsidRDefault="00D4529F" w:rsidP="006C0CB9">
      <w:pPr>
        <w:spacing w:after="0" w:line="240" w:lineRule="auto"/>
        <w:jc w:val="both"/>
        <w:rPr>
          <w:rFonts w:asciiTheme="majorBidi" w:eastAsia="Times New Roman" w:hAnsiTheme="majorBidi" w:cstheme="majorBidi"/>
          <w:sz w:val="24"/>
          <w:szCs w:val="24"/>
        </w:rPr>
      </w:pPr>
    </w:p>
    <w:p w14:paraId="0602525A" w14:textId="40F04E3B"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Immunological Findings (Cytokine Levels)</w:t>
      </w:r>
    </w:p>
    <w:p w14:paraId="221E0171" w14:textId="4349B0F6" w:rsidR="00D4529F" w:rsidRPr="00A83DC8" w:rsidRDefault="00D4529F" w:rsidP="006C0CB9">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Salivary cytokine analysis showed elevated </w:t>
      </w:r>
      <w:r w:rsidR="006C0CB9">
        <w:rPr>
          <w:rFonts w:asciiTheme="majorBidi" w:eastAsia="Times New Roman" w:hAnsiTheme="majorBidi" w:cstheme="majorBidi"/>
          <w:sz w:val="24"/>
          <w:szCs w:val="24"/>
        </w:rPr>
        <w:t>IL-36</w:t>
      </w:r>
      <w:r w:rsidRPr="00A83DC8">
        <w:rPr>
          <w:rFonts w:asciiTheme="majorBidi" w:eastAsia="Times New Roman" w:hAnsiTheme="majorBidi" w:cstheme="majorBidi"/>
          <w:sz w:val="24"/>
          <w:szCs w:val="24"/>
        </w:rPr>
        <w:t xml:space="preserve"> and IL-22 levels in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-positive children compared to negative children.</w:t>
      </w:r>
    </w:p>
    <w:p w14:paraId="742A0F1C" w14:textId="67F71AFC" w:rsidR="00D4529F" w:rsidRPr="00A83DC8" w:rsidRDefault="006C0CB9" w:rsidP="006C0CB9">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IL-36</w:t>
      </w:r>
      <w:r w:rsidR="00D4529F" w:rsidRPr="00A83DC8">
        <w:rPr>
          <w:rFonts w:asciiTheme="majorBidi" w:eastAsia="Times New Roman" w:hAnsiTheme="majorBidi" w:cstheme="majorBidi"/>
          <w:b/>
          <w:bCs/>
          <w:sz w:val="24"/>
          <w:szCs w:val="24"/>
        </w:rPr>
        <w:t xml:space="preserve"> levels</w:t>
      </w:r>
      <w:r w:rsidR="00D4529F" w:rsidRPr="00A83DC8">
        <w:rPr>
          <w:rFonts w:asciiTheme="majorBidi" w:eastAsia="Times New Roman" w:hAnsiTheme="majorBidi" w:cstheme="majorBidi"/>
          <w:sz w:val="24"/>
          <w:szCs w:val="24"/>
        </w:rPr>
        <w:t xml:space="preserve">: 34.5 ± 8.1 </w:t>
      </w:r>
      <w:proofErr w:type="spellStart"/>
      <w:r w:rsidR="00D4529F" w:rsidRPr="00A83DC8">
        <w:rPr>
          <w:rFonts w:asciiTheme="majorBidi" w:eastAsia="Times New Roman" w:hAnsiTheme="majorBidi" w:cstheme="majorBidi"/>
          <w:sz w:val="24"/>
          <w:szCs w:val="24"/>
        </w:rPr>
        <w:t>pg</w:t>
      </w:r>
      <w:proofErr w:type="spellEnd"/>
      <w:r w:rsidR="00D4529F" w:rsidRPr="00A83DC8">
        <w:rPr>
          <w:rFonts w:asciiTheme="majorBidi" w:eastAsia="Times New Roman" w:hAnsiTheme="majorBidi" w:cstheme="majorBidi"/>
          <w:sz w:val="24"/>
          <w:szCs w:val="24"/>
        </w:rPr>
        <w:t xml:space="preserve">/mL (positive) vs. 21.2 ± 6.4 </w:t>
      </w:r>
      <w:proofErr w:type="spellStart"/>
      <w:r w:rsidR="00D4529F" w:rsidRPr="00A83DC8">
        <w:rPr>
          <w:rFonts w:asciiTheme="majorBidi" w:eastAsia="Times New Roman" w:hAnsiTheme="majorBidi" w:cstheme="majorBidi"/>
          <w:sz w:val="24"/>
          <w:szCs w:val="24"/>
        </w:rPr>
        <w:t>pg</w:t>
      </w:r>
      <w:proofErr w:type="spellEnd"/>
      <w:r w:rsidR="00D4529F" w:rsidRPr="00A83DC8">
        <w:rPr>
          <w:rFonts w:asciiTheme="majorBidi" w:eastAsia="Times New Roman" w:hAnsiTheme="majorBidi" w:cstheme="majorBidi"/>
          <w:sz w:val="24"/>
          <w:szCs w:val="24"/>
        </w:rPr>
        <w:t>/mL (negative) (</w:t>
      </w:r>
      <w:r w:rsidR="00D4529F" w:rsidRPr="00A83DC8">
        <w:rPr>
          <w:rFonts w:asciiTheme="majorBidi" w:eastAsia="Times New Roman" w:hAnsiTheme="majorBidi" w:cstheme="majorBidi"/>
          <w:i/>
          <w:iCs/>
          <w:sz w:val="24"/>
          <w:szCs w:val="24"/>
        </w:rPr>
        <w:t>p</w:t>
      </w:r>
      <w:r w:rsidR="00D4529F" w:rsidRPr="00A83DC8">
        <w:rPr>
          <w:rFonts w:asciiTheme="majorBidi" w:eastAsia="Times New Roman" w:hAnsiTheme="majorBidi" w:cstheme="majorBidi"/>
          <w:sz w:val="24"/>
          <w:szCs w:val="24"/>
        </w:rPr>
        <w:t xml:space="preserve"> &lt; 0.01).</w:t>
      </w:r>
    </w:p>
    <w:p w14:paraId="0C9294D2" w14:textId="77777777" w:rsidR="00D4529F" w:rsidRPr="00A83DC8" w:rsidRDefault="00D4529F" w:rsidP="006C0CB9">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b/>
          <w:bCs/>
          <w:sz w:val="24"/>
          <w:szCs w:val="24"/>
        </w:rPr>
        <w:t>IL-22 levels</w:t>
      </w:r>
      <w:r w:rsidRPr="00A83DC8">
        <w:rPr>
          <w:rFonts w:asciiTheme="majorBidi" w:eastAsia="Times New Roman" w:hAnsiTheme="majorBidi" w:cstheme="majorBidi"/>
          <w:sz w:val="24"/>
          <w:szCs w:val="24"/>
        </w:rPr>
        <w:t xml:space="preserve">: 29.7 ± 7.6 </w:t>
      </w:r>
      <w:proofErr w:type="spellStart"/>
      <w:r w:rsidRPr="00A83DC8">
        <w:rPr>
          <w:rFonts w:asciiTheme="majorBidi" w:eastAsia="Times New Roman" w:hAnsiTheme="majorBidi" w:cstheme="majorBidi"/>
          <w:sz w:val="24"/>
          <w:szCs w:val="24"/>
        </w:rPr>
        <w:t>pg</w:t>
      </w:r>
      <w:proofErr w:type="spellEnd"/>
      <w:r w:rsidRPr="00A83DC8">
        <w:rPr>
          <w:rFonts w:asciiTheme="majorBidi" w:eastAsia="Times New Roman" w:hAnsiTheme="majorBidi" w:cstheme="majorBidi"/>
          <w:sz w:val="24"/>
          <w:szCs w:val="24"/>
        </w:rPr>
        <w:t xml:space="preserve">/mL (positive) vs. 18.4 ± 5.2 </w:t>
      </w:r>
      <w:proofErr w:type="spellStart"/>
      <w:r w:rsidRPr="00A83DC8">
        <w:rPr>
          <w:rFonts w:asciiTheme="majorBidi" w:eastAsia="Times New Roman" w:hAnsiTheme="majorBidi" w:cstheme="majorBidi"/>
          <w:sz w:val="24"/>
          <w:szCs w:val="24"/>
        </w:rPr>
        <w:t>pg</w:t>
      </w:r>
      <w:proofErr w:type="spellEnd"/>
      <w:r w:rsidRPr="00A83DC8">
        <w:rPr>
          <w:rFonts w:asciiTheme="majorBidi" w:eastAsia="Times New Roman" w:hAnsiTheme="majorBidi" w:cstheme="majorBidi"/>
          <w:sz w:val="24"/>
          <w:szCs w:val="24"/>
        </w:rPr>
        <w:t>/mL (negative) (</w:t>
      </w:r>
      <w:r w:rsidRPr="00A83DC8">
        <w:rPr>
          <w:rFonts w:asciiTheme="majorBidi" w:eastAsia="Times New Roman" w:hAnsiTheme="majorBidi" w:cstheme="majorBidi"/>
          <w:i/>
          <w:iCs/>
          <w:sz w:val="24"/>
          <w:szCs w:val="24"/>
        </w:rPr>
        <w:t>p</w:t>
      </w:r>
      <w:r w:rsidRPr="00A83DC8">
        <w:rPr>
          <w:rFonts w:asciiTheme="majorBidi" w:eastAsia="Times New Roman" w:hAnsiTheme="majorBidi" w:cstheme="majorBidi"/>
          <w:sz w:val="24"/>
          <w:szCs w:val="24"/>
        </w:rPr>
        <w:t xml:space="preserve"> &lt; 0.01).</w:t>
      </w:r>
    </w:p>
    <w:p w14:paraId="6E63E246" w14:textId="33FB6883"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These findings support the role of Th</w:t>
      </w:r>
      <w:r w:rsidR="00DA62C5">
        <w:rPr>
          <w:rFonts w:asciiTheme="majorBidi" w:eastAsia="Times New Roman" w:hAnsiTheme="majorBidi" w:cstheme="majorBidi"/>
          <w:sz w:val="24"/>
          <w:szCs w:val="24"/>
        </w:rPr>
        <w:t xml:space="preserve">36 </w:t>
      </w:r>
      <w:r w:rsidRPr="00A83DC8">
        <w:rPr>
          <w:rFonts w:asciiTheme="majorBidi" w:eastAsia="Times New Roman" w:hAnsiTheme="majorBidi" w:cstheme="majorBidi"/>
          <w:sz w:val="24"/>
          <w:szCs w:val="24"/>
        </w:rPr>
        <w:t>-driven immunity in antifungal defense [</w:t>
      </w:r>
      <w:r w:rsidR="00DA62C5">
        <w:rPr>
          <w:rFonts w:asciiTheme="majorBidi" w:eastAsia="Times New Roman" w:hAnsiTheme="majorBidi" w:cstheme="majorBidi"/>
          <w:sz w:val="24"/>
          <w:szCs w:val="24"/>
        </w:rPr>
        <w:t>18</w:t>
      </w:r>
      <w:r w:rsidRPr="00A83DC8">
        <w:rPr>
          <w:rFonts w:asciiTheme="majorBidi" w:eastAsia="Times New Roman" w:hAnsiTheme="majorBidi" w:cstheme="majorBidi"/>
          <w:sz w:val="24"/>
          <w:szCs w:val="24"/>
        </w:rPr>
        <w:t>].</w:t>
      </w:r>
    </w:p>
    <w:p w14:paraId="2CC49D14" w14:textId="77777777" w:rsidR="00D4529F" w:rsidRDefault="00D4529F" w:rsidP="006C0CB9">
      <w:pPr>
        <w:spacing w:after="0" w:line="240" w:lineRule="auto"/>
        <w:jc w:val="both"/>
        <w:rPr>
          <w:rFonts w:asciiTheme="majorBidi" w:eastAsia="Times New Roman" w:hAnsiTheme="majorBidi" w:cstheme="majorBidi"/>
          <w:sz w:val="24"/>
          <w:szCs w:val="24"/>
        </w:rPr>
      </w:pPr>
    </w:p>
    <w:p w14:paraId="557FE48B" w14:textId="4553F524" w:rsidR="00D4529F" w:rsidRPr="00A83DC8" w:rsidRDefault="00D4529F" w:rsidP="006C0CB9">
      <w:pPr>
        <w:spacing w:before="100" w:beforeAutospacing="1" w:after="100" w:afterAutospacing="1" w:line="240" w:lineRule="auto"/>
        <w:jc w:val="both"/>
        <w:outlineLvl w:val="1"/>
        <w:rPr>
          <w:rFonts w:asciiTheme="majorBidi" w:eastAsia="Times New Roman" w:hAnsiTheme="majorBidi" w:cstheme="majorBidi"/>
          <w:b/>
          <w:bCs/>
          <w:sz w:val="24"/>
          <w:szCs w:val="24"/>
        </w:rPr>
      </w:pPr>
      <w:r w:rsidRPr="00A83DC8">
        <w:rPr>
          <w:rFonts w:asciiTheme="majorBidi" w:eastAsia="Times New Roman" w:hAnsiTheme="majorBidi" w:cstheme="majorBidi"/>
          <w:b/>
          <w:bCs/>
          <w:sz w:val="24"/>
          <w:szCs w:val="24"/>
        </w:rPr>
        <w:t>Discussion</w:t>
      </w:r>
    </w:p>
    <w:p w14:paraId="266F8A21" w14:textId="0852072F" w:rsidR="00D4529F" w:rsidRPr="00A83DC8" w:rsidRDefault="00231600" w:rsidP="00DA62C5">
      <w:p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D4529F" w:rsidRPr="00A83DC8">
        <w:rPr>
          <w:rFonts w:asciiTheme="majorBidi" w:eastAsia="Times New Roman" w:hAnsiTheme="majorBidi" w:cstheme="majorBidi"/>
          <w:sz w:val="24"/>
          <w:szCs w:val="24"/>
        </w:rPr>
        <w:t xml:space="preserve">The present study demonstrates that </w:t>
      </w:r>
      <w:r w:rsidR="00D4529F" w:rsidRPr="00A83DC8">
        <w:rPr>
          <w:rFonts w:asciiTheme="majorBidi" w:eastAsia="Times New Roman" w:hAnsiTheme="majorBidi" w:cstheme="majorBidi"/>
          <w:i/>
          <w:iCs/>
          <w:sz w:val="24"/>
          <w:szCs w:val="24"/>
        </w:rPr>
        <w:t>C. albicans</w:t>
      </w:r>
      <w:r w:rsidR="00D4529F" w:rsidRPr="00A83DC8">
        <w:rPr>
          <w:rFonts w:asciiTheme="majorBidi" w:eastAsia="Times New Roman" w:hAnsiTheme="majorBidi" w:cstheme="majorBidi"/>
          <w:sz w:val="24"/>
          <w:szCs w:val="24"/>
        </w:rPr>
        <w:t xml:space="preserve"> colonization in children is influenced by environmental setting, ECC status, and virulence gene carriage. The higher prevalence in urban children may reflect differences in diet (increased sugar consumption), healthcare practices, and lifestyle, consistent with reports from Middle Eastern pediatric cohorts [</w:t>
      </w:r>
      <w:r w:rsidR="00DA62C5">
        <w:rPr>
          <w:rFonts w:asciiTheme="majorBidi" w:eastAsia="Times New Roman" w:hAnsiTheme="majorBidi" w:cstheme="majorBidi"/>
          <w:sz w:val="24"/>
          <w:szCs w:val="24"/>
        </w:rPr>
        <w:t>19</w:t>
      </w:r>
      <w:r w:rsidR="00D4529F" w:rsidRPr="00A83DC8">
        <w:rPr>
          <w:rFonts w:asciiTheme="majorBidi" w:eastAsia="Times New Roman" w:hAnsiTheme="majorBidi" w:cstheme="majorBidi"/>
          <w:sz w:val="24"/>
          <w:szCs w:val="24"/>
        </w:rPr>
        <w:t>].</w:t>
      </w:r>
    </w:p>
    <w:p w14:paraId="2012E177" w14:textId="31C6A470"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The strong association between ECC and </w:t>
      </w:r>
      <w:r w:rsidRPr="00A83DC8">
        <w:rPr>
          <w:rFonts w:asciiTheme="majorBidi" w:eastAsia="Times New Roman" w:hAnsiTheme="majorBidi" w:cstheme="majorBidi"/>
          <w:i/>
          <w:iCs/>
          <w:sz w:val="24"/>
          <w:szCs w:val="24"/>
        </w:rPr>
        <w:t>C. albicans</w:t>
      </w:r>
      <w:r w:rsidRPr="00A83DC8">
        <w:rPr>
          <w:rFonts w:asciiTheme="majorBidi" w:eastAsia="Times New Roman" w:hAnsiTheme="majorBidi" w:cstheme="majorBidi"/>
          <w:sz w:val="24"/>
          <w:szCs w:val="24"/>
        </w:rPr>
        <w:t xml:space="preserve"> supports its role as both a commensal and a cariogenic co-pathogen, in line with findings by Klinke et al. [</w:t>
      </w:r>
      <w:r w:rsidR="00DA62C5">
        <w:rPr>
          <w:rFonts w:asciiTheme="majorBidi" w:eastAsia="Times New Roman" w:hAnsiTheme="majorBidi" w:cstheme="majorBidi"/>
          <w:sz w:val="24"/>
          <w:szCs w:val="24"/>
        </w:rPr>
        <w:t>20</w:t>
      </w:r>
      <w:r w:rsidRPr="00A83DC8">
        <w:rPr>
          <w:rFonts w:asciiTheme="majorBidi" w:eastAsia="Times New Roman" w:hAnsiTheme="majorBidi" w:cstheme="majorBidi"/>
          <w:sz w:val="24"/>
          <w:szCs w:val="24"/>
        </w:rPr>
        <w:t xml:space="preserve">] and recent molecular studies [16]. Detection of </w:t>
      </w:r>
      <w:r w:rsidRPr="00A83DC8">
        <w:rPr>
          <w:rFonts w:asciiTheme="majorBidi" w:eastAsia="Times New Roman" w:hAnsiTheme="majorBidi" w:cstheme="majorBidi"/>
          <w:i/>
          <w:iCs/>
          <w:sz w:val="24"/>
          <w:szCs w:val="24"/>
        </w:rPr>
        <w:t>ECE1</w:t>
      </w:r>
      <w:r w:rsidRPr="00A83DC8">
        <w:rPr>
          <w:rFonts w:asciiTheme="majorBidi" w:eastAsia="Times New Roman" w:hAnsiTheme="majorBidi" w:cstheme="majorBidi"/>
          <w:sz w:val="24"/>
          <w:szCs w:val="24"/>
        </w:rPr>
        <w:t xml:space="preserve"> in over 60% of isolates confirms that pathogenic strains are widespread in pediatric populations, emphasizing the need for routine molecular screening.</w:t>
      </w:r>
    </w:p>
    <w:p w14:paraId="0F606508" w14:textId="6F8372AD" w:rsidR="00D4529F" w:rsidRPr="00A83DC8" w:rsidRDefault="00D4529F" w:rsidP="00DA62C5">
      <w:pPr>
        <w:spacing w:before="100" w:beforeAutospacing="1" w:after="100" w:afterAutospacing="1" w:line="240" w:lineRule="auto"/>
        <w:jc w:val="both"/>
        <w:rPr>
          <w:rFonts w:asciiTheme="majorBidi" w:eastAsia="Times New Roman" w:hAnsiTheme="majorBidi" w:cstheme="majorBidi"/>
          <w:sz w:val="24"/>
          <w:szCs w:val="24"/>
        </w:rPr>
      </w:pPr>
      <w:r w:rsidRPr="00A83DC8">
        <w:rPr>
          <w:rFonts w:asciiTheme="majorBidi" w:eastAsia="Times New Roman" w:hAnsiTheme="majorBidi" w:cstheme="majorBidi"/>
          <w:sz w:val="24"/>
          <w:szCs w:val="24"/>
        </w:rPr>
        <w:t xml:space="preserve">Immunological analysis revealed significant elevations in </w:t>
      </w:r>
      <w:r w:rsidR="006C0CB9">
        <w:rPr>
          <w:rFonts w:asciiTheme="majorBidi" w:eastAsia="Times New Roman" w:hAnsiTheme="majorBidi" w:cstheme="majorBidi"/>
          <w:sz w:val="24"/>
          <w:szCs w:val="24"/>
        </w:rPr>
        <w:t>IL-36</w:t>
      </w:r>
      <w:r w:rsidRPr="00A83DC8">
        <w:rPr>
          <w:rFonts w:asciiTheme="majorBidi" w:eastAsia="Times New Roman" w:hAnsiTheme="majorBidi" w:cstheme="majorBidi"/>
          <w:sz w:val="24"/>
          <w:szCs w:val="24"/>
        </w:rPr>
        <w:t xml:space="preserve"> and IL-22, highlighting the importance of Th17 immunity in controlling oral candidiasis. These findings corroborate previous reports that </w:t>
      </w:r>
      <w:r w:rsidR="006C0CB9">
        <w:rPr>
          <w:rFonts w:asciiTheme="majorBidi" w:eastAsia="Times New Roman" w:hAnsiTheme="majorBidi" w:cstheme="majorBidi"/>
          <w:sz w:val="24"/>
          <w:szCs w:val="24"/>
        </w:rPr>
        <w:t>IL-36</w:t>
      </w:r>
      <w:r w:rsidRPr="00A83DC8">
        <w:rPr>
          <w:rFonts w:asciiTheme="majorBidi" w:eastAsia="Times New Roman" w:hAnsiTheme="majorBidi" w:cstheme="majorBidi"/>
          <w:sz w:val="24"/>
          <w:szCs w:val="24"/>
        </w:rPr>
        <w:t xml:space="preserve"> deficiencies predispose to chronic mucocutaneous candidiasis [</w:t>
      </w:r>
      <w:r w:rsidR="00DA62C5">
        <w:rPr>
          <w:rFonts w:asciiTheme="majorBidi" w:eastAsia="Times New Roman" w:hAnsiTheme="majorBidi" w:cstheme="majorBidi"/>
          <w:sz w:val="24"/>
          <w:szCs w:val="24"/>
        </w:rPr>
        <w:t>21</w:t>
      </w:r>
      <w:r w:rsidRPr="00A83DC8">
        <w:rPr>
          <w:rFonts w:asciiTheme="majorBidi" w:eastAsia="Times New Roman" w:hAnsiTheme="majorBidi" w:cstheme="majorBidi"/>
          <w:sz w:val="24"/>
          <w:szCs w:val="24"/>
        </w:rPr>
        <w:t>].</w:t>
      </w:r>
    </w:p>
    <w:p w14:paraId="00108C5F" w14:textId="1F43FE32" w:rsidR="00D4529F" w:rsidRDefault="00D4529F" w:rsidP="006C0CB9">
      <w:pPr>
        <w:jc w:val="both"/>
        <w:rPr>
          <w:rFonts w:asciiTheme="majorBidi" w:hAnsiTheme="majorBidi" w:cstheme="majorBidi"/>
          <w:sz w:val="24"/>
          <w:szCs w:val="24"/>
        </w:rPr>
      </w:pPr>
    </w:p>
    <w:p w14:paraId="0E7B7D0A" w14:textId="77777777" w:rsidR="00BF7B6E" w:rsidRPr="007B4F2C" w:rsidRDefault="00BF7B6E" w:rsidP="006C0CB9">
      <w:pPr>
        <w:jc w:val="both"/>
        <w:rPr>
          <w:rFonts w:asciiTheme="majorBidi" w:hAnsiTheme="majorBidi" w:cstheme="majorBidi"/>
          <w:sz w:val="24"/>
          <w:szCs w:val="24"/>
        </w:rPr>
      </w:pPr>
      <w:bookmarkStart w:id="0" w:name="_GoBack"/>
      <w:bookmarkEnd w:id="0"/>
    </w:p>
    <w:p w14:paraId="3F4BEF61" w14:textId="61F7CAB6" w:rsidR="00D4529F" w:rsidRPr="007168E7" w:rsidRDefault="00D4529F" w:rsidP="006C0CB9">
      <w:pPr>
        <w:spacing w:before="100" w:beforeAutospacing="1" w:after="100" w:afterAutospacing="1" w:line="240" w:lineRule="auto"/>
        <w:jc w:val="both"/>
        <w:outlineLvl w:val="0"/>
        <w:rPr>
          <w:rFonts w:asciiTheme="majorBidi" w:eastAsia="Times New Roman" w:hAnsiTheme="majorBidi" w:cstheme="majorBidi"/>
          <w:b/>
          <w:bCs/>
          <w:kern w:val="36"/>
          <w:sz w:val="24"/>
          <w:szCs w:val="24"/>
        </w:rPr>
      </w:pPr>
      <w:r w:rsidRPr="007168E7">
        <w:rPr>
          <w:rFonts w:asciiTheme="majorBidi" w:eastAsia="Times New Roman" w:hAnsiTheme="majorBidi" w:cstheme="majorBidi"/>
          <w:b/>
          <w:bCs/>
          <w:kern w:val="36"/>
          <w:sz w:val="24"/>
          <w:szCs w:val="24"/>
        </w:rPr>
        <w:lastRenderedPageBreak/>
        <w:t>References</w:t>
      </w:r>
    </w:p>
    <w:p w14:paraId="1816EB52" w14:textId="04C2DF4E"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Akpan, A., &amp; Morgan, R. (2002). Oral candidiasis. </w:t>
      </w:r>
      <w:r w:rsidRPr="007168E7">
        <w:rPr>
          <w:rFonts w:asciiTheme="majorBidi" w:eastAsia="Times New Roman" w:hAnsiTheme="majorBidi" w:cstheme="majorBidi"/>
          <w:i/>
          <w:iCs/>
          <w:sz w:val="24"/>
          <w:szCs w:val="24"/>
        </w:rPr>
        <w:t>Postgraduate Medical Journal, 78</w:t>
      </w:r>
      <w:r w:rsidRPr="007168E7">
        <w:rPr>
          <w:rFonts w:asciiTheme="majorBidi" w:eastAsia="Times New Roman" w:hAnsiTheme="majorBidi" w:cstheme="majorBidi"/>
          <w:sz w:val="24"/>
          <w:szCs w:val="24"/>
        </w:rPr>
        <w:t xml:space="preserve">(922), 455–459. </w:t>
      </w:r>
    </w:p>
    <w:p w14:paraId="424E5B84" w14:textId="025A8A20"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Al-Ahmad, A., Follo, M., Selzer, A. C., Hellwig, E., Hannig, M., &amp; Hannig, C. (2016). Bacterial colonization of enamel in situ investigated using fluorescence in situ hybridization. </w:t>
      </w:r>
      <w:r w:rsidRPr="007168E7">
        <w:rPr>
          <w:rFonts w:asciiTheme="majorBidi" w:eastAsia="Times New Roman" w:hAnsiTheme="majorBidi" w:cstheme="majorBidi"/>
          <w:i/>
          <w:iCs/>
          <w:sz w:val="24"/>
          <w:szCs w:val="24"/>
        </w:rPr>
        <w:t>Journal of Medical Microbiology, 65</w:t>
      </w:r>
      <w:r w:rsidRPr="007168E7">
        <w:rPr>
          <w:rFonts w:asciiTheme="majorBidi" w:eastAsia="Times New Roman" w:hAnsiTheme="majorBidi" w:cstheme="majorBidi"/>
          <w:sz w:val="24"/>
          <w:szCs w:val="24"/>
        </w:rPr>
        <w:t xml:space="preserve">(2), 161–168. </w:t>
      </w:r>
    </w:p>
    <w:p w14:paraId="5319AFAB" w14:textId="06115C7E"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Bamford, C. V., </w:t>
      </w:r>
      <w:proofErr w:type="spellStart"/>
      <w:r w:rsidRPr="007168E7">
        <w:rPr>
          <w:rFonts w:asciiTheme="majorBidi" w:eastAsia="Times New Roman" w:hAnsiTheme="majorBidi" w:cstheme="majorBidi"/>
          <w:sz w:val="24"/>
          <w:szCs w:val="24"/>
        </w:rPr>
        <w:t>d’Mello</w:t>
      </w:r>
      <w:proofErr w:type="spellEnd"/>
      <w:r w:rsidRPr="007168E7">
        <w:rPr>
          <w:rFonts w:asciiTheme="majorBidi" w:eastAsia="Times New Roman" w:hAnsiTheme="majorBidi" w:cstheme="majorBidi"/>
          <w:sz w:val="24"/>
          <w:szCs w:val="24"/>
        </w:rPr>
        <w:t xml:space="preserve">, A., Nobbs, A. H., Dutton, L. C., Vickerman, M. M., &amp; Jenkinson, H. F. (2009). Streptococcus </w:t>
      </w:r>
      <w:proofErr w:type="spellStart"/>
      <w:r w:rsidRPr="007168E7">
        <w:rPr>
          <w:rFonts w:asciiTheme="majorBidi" w:eastAsia="Times New Roman" w:hAnsiTheme="majorBidi" w:cstheme="majorBidi"/>
          <w:sz w:val="24"/>
          <w:szCs w:val="24"/>
        </w:rPr>
        <w:t>gordonii</w:t>
      </w:r>
      <w:proofErr w:type="spellEnd"/>
      <w:r w:rsidRPr="007168E7">
        <w:rPr>
          <w:rFonts w:asciiTheme="majorBidi" w:eastAsia="Times New Roman" w:hAnsiTheme="majorBidi" w:cstheme="majorBidi"/>
          <w:sz w:val="24"/>
          <w:szCs w:val="24"/>
        </w:rPr>
        <w:t xml:space="preserve"> modulates Candida albicans biofilm formation through intergeneric communication. </w:t>
      </w:r>
      <w:r w:rsidRPr="007168E7">
        <w:rPr>
          <w:rFonts w:asciiTheme="majorBidi" w:eastAsia="Times New Roman" w:hAnsiTheme="majorBidi" w:cstheme="majorBidi"/>
          <w:i/>
          <w:iCs/>
          <w:sz w:val="24"/>
          <w:szCs w:val="24"/>
        </w:rPr>
        <w:t>Infection and Immunity, 77</w:t>
      </w:r>
      <w:r w:rsidRPr="007168E7">
        <w:rPr>
          <w:rFonts w:asciiTheme="majorBidi" w:eastAsia="Times New Roman" w:hAnsiTheme="majorBidi" w:cstheme="majorBidi"/>
          <w:sz w:val="24"/>
          <w:szCs w:val="24"/>
        </w:rPr>
        <w:t xml:space="preserve">(9), 3696–3704. </w:t>
      </w:r>
    </w:p>
    <w:p w14:paraId="1B750F5C" w14:textId="3ED2CDE3"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Chandra, J., Mukherjee, P. K., &amp; Ghannoum, M. A. (2012). In vitro growth and analysis of Candida biofilms. </w:t>
      </w:r>
      <w:r w:rsidRPr="007168E7">
        <w:rPr>
          <w:rFonts w:asciiTheme="majorBidi" w:eastAsia="Times New Roman" w:hAnsiTheme="majorBidi" w:cstheme="majorBidi"/>
          <w:i/>
          <w:iCs/>
          <w:sz w:val="24"/>
          <w:szCs w:val="24"/>
        </w:rPr>
        <w:t>Nature Protocols, 3</w:t>
      </w:r>
      <w:r w:rsidRPr="007168E7">
        <w:rPr>
          <w:rFonts w:asciiTheme="majorBidi" w:eastAsia="Times New Roman" w:hAnsiTheme="majorBidi" w:cstheme="majorBidi"/>
          <w:sz w:val="24"/>
          <w:szCs w:val="24"/>
        </w:rPr>
        <w:t xml:space="preserve">(12), 1909–1924. </w:t>
      </w:r>
    </w:p>
    <w:p w14:paraId="74DB06E6" w14:textId="6246C83E"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de la Cruz-Villalón, M. C., Morales-García, M. J., &amp; Muñoz-González, J. I. (2021). Candida albicans in the oral cavity: Clinical relevance and therapeutic approaches. </w:t>
      </w:r>
      <w:r w:rsidRPr="007168E7">
        <w:rPr>
          <w:rFonts w:asciiTheme="majorBidi" w:eastAsia="Times New Roman" w:hAnsiTheme="majorBidi" w:cstheme="majorBidi"/>
          <w:i/>
          <w:iCs/>
          <w:sz w:val="24"/>
          <w:szCs w:val="24"/>
        </w:rPr>
        <w:t>Journal of Fungi, 7</w:t>
      </w:r>
      <w:r w:rsidRPr="007168E7">
        <w:rPr>
          <w:rFonts w:asciiTheme="majorBidi" w:eastAsia="Times New Roman" w:hAnsiTheme="majorBidi" w:cstheme="majorBidi"/>
          <w:sz w:val="24"/>
          <w:szCs w:val="24"/>
        </w:rPr>
        <w:t xml:space="preserve">(8), 612. </w:t>
      </w:r>
    </w:p>
    <w:p w14:paraId="11A49487" w14:textId="3542E48D"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Dongari-Bagtzoglou, A., &amp; </w:t>
      </w:r>
      <w:proofErr w:type="spellStart"/>
      <w:r w:rsidRPr="007168E7">
        <w:rPr>
          <w:rFonts w:asciiTheme="majorBidi" w:eastAsia="Times New Roman" w:hAnsiTheme="majorBidi" w:cstheme="majorBidi"/>
          <w:sz w:val="24"/>
          <w:szCs w:val="24"/>
        </w:rPr>
        <w:t>Kashleva</w:t>
      </w:r>
      <w:proofErr w:type="spellEnd"/>
      <w:r w:rsidRPr="007168E7">
        <w:rPr>
          <w:rFonts w:asciiTheme="majorBidi" w:eastAsia="Times New Roman" w:hAnsiTheme="majorBidi" w:cstheme="majorBidi"/>
          <w:sz w:val="24"/>
          <w:szCs w:val="24"/>
        </w:rPr>
        <w:t xml:space="preserve">, H. (2003). Candida albicans triggers interleukin-8 secretion by oral epithelial cells. </w:t>
      </w:r>
      <w:r w:rsidRPr="007168E7">
        <w:rPr>
          <w:rFonts w:asciiTheme="majorBidi" w:eastAsia="Times New Roman" w:hAnsiTheme="majorBidi" w:cstheme="majorBidi"/>
          <w:i/>
          <w:iCs/>
          <w:sz w:val="24"/>
          <w:szCs w:val="24"/>
        </w:rPr>
        <w:t>Microbial Pathogenesis, 34</w:t>
      </w:r>
      <w:r w:rsidRPr="007168E7">
        <w:rPr>
          <w:rFonts w:asciiTheme="majorBidi" w:eastAsia="Times New Roman" w:hAnsiTheme="majorBidi" w:cstheme="majorBidi"/>
          <w:sz w:val="24"/>
          <w:szCs w:val="24"/>
        </w:rPr>
        <w:t xml:space="preserve">(4), 169–177. </w:t>
      </w:r>
    </w:p>
    <w:p w14:paraId="71E2B2F7" w14:textId="21E04EFC"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7168E7">
        <w:rPr>
          <w:rFonts w:asciiTheme="majorBidi" w:eastAsia="Times New Roman" w:hAnsiTheme="majorBidi" w:cstheme="majorBidi"/>
          <w:sz w:val="24"/>
          <w:szCs w:val="24"/>
        </w:rPr>
        <w:t>Ellepola</w:t>
      </w:r>
      <w:proofErr w:type="spellEnd"/>
      <w:r w:rsidRPr="007168E7">
        <w:rPr>
          <w:rFonts w:asciiTheme="majorBidi" w:eastAsia="Times New Roman" w:hAnsiTheme="majorBidi" w:cstheme="majorBidi"/>
          <w:sz w:val="24"/>
          <w:szCs w:val="24"/>
        </w:rPr>
        <w:t xml:space="preserve">, A. N., &amp; Samaranayake, L. P. (2001). Adhesion of oral Candida to human buccal epithelial cells following limited exposure to antifungal agents. </w:t>
      </w:r>
      <w:r w:rsidRPr="007168E7">
        <w:rPr>
          <w:rFonts w:asciiTheme="majorBidi" w:eastAsia="Times New Roman" w:hAnsiTheme="majorBidi" w:cstheme="majorBidi"/>
          <w:i/>
          <w:iCs/>
          <w:sz w:val="24"/>
          <w:szCs w:val="24"/>
        </w:rPr>
        <w:t>Journal of Oral Pathology &amp; Medicine, 30</w:t>
      </w:r>
      <w:r w:rsidRPr="007168E7">
        <w:rPr>
          <w:rFonts w:asciiTheme="majorBidi" w:eastAsia="Times New Roman" w:hAnsiTheme="majorBidi" w:cstheme="majorBidi"/>
          <w:sz w:val="24"/>
          <w:szCs w:val="24"/>
        </w:rPr>
        <w:t xml:space="preserve">(7), 395–399. </w:t>
      </w:r>
    </w:p>
    <w:p w14:paraId="20F8A937" w14:textId="7018B3C3"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Gaffen, S. L., &amp; </w:t>
      </w:r>
      <w:proofErr w:type="spellStart"/>
      <w:r w:rsidRPr="007168E7">
        <w:rPr>
          <w:rFonts w:asciiTheme="majorBidi" w:eastAsia="Times New Roman" w:hAnsiTheme="majorBidi" w:cstheme="majorBidi"/>
          <w:sz w:val="24"/>
          <w:szCs w:val="24"/>
        </w:rPr>
        <w:t>Moutsopoulos</w:t>
      </w:r>
      <w:proofErr w:type="spellEnd"/>
      <w:r w:rsidRPr="007168E7">
        <w:rPr>
          <w:rFonts w:asciiTheme="majorBidi" w:eastAsia="Times New Roman" w:hAnsiTheme="majorBidi" w:cstheme="majorBidi"/>
          <w:sz w:val="24"/>
          <w:szCs w:val="24"/>
        </w:rPr>
        <w:t xml:space="preserve">, N. M. (2020). Regulation of host–microbe interactions at oral mucosal barriers by type 17 immunity. </w:t>
      </w:r>
      <w:r w:rsidRPr="007168E7">
        <w:rPr>
          <w:rFonts w:asciiTheme="majorBidi" w:eastAsia="Times New Roman" w:hAnsiTheme="majorBidi" w:cstheme="majorBidi"/>
          <w:i/>
          <w:iCs/>
          <w:sz w:val="24"/>
          <w:szCs w:val="24"/>
        </w:rPr>
        <w:t>Science Immunology, 5</w:t>
      </w:r>
      <w:r w:rsidRPr="007168E7">
        <w:rPr>
          <w:rFonts w:asciiTheme="majorBidi" w:eastAsia="Times New Roman" w:hAnsiTheme="majorBidi" w:cstheme="majorBidi"/>
          <w:sz w:val="24"/>
          <w:szCs w:val="24"/>
        </w:rPr>
        <w:t xml:space="preserve">(43), eaau4594. </w:t>
      </w:r>
    </w:p>
    <w:p w14:paraId="7E8063A4" w14:textId="747964B0"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Gladiator, A., </w:t>
      </w:r>
      <w:proofErr w:type="spellStart"/>
      <w:r w:rsidRPr="007168E7">
        <w:rPr>
          <w:rFonts w:asciiTheme="majorBidi" w:eastAsia="Times New Roman" w:hAnsiTheme="majorBidi" w:cstheme="majorBidi"/>
          <w:sz w:val="24"/>
          <w:szCs w:val="24"/>
        </w:rPr>
        <w:t>Wangler</w:t>
      </w:r>
      <w:proofErr w:type="spellEnd"/>
      <w:r w:rsidRPr="007168E7">
        <w:rPr>
          <w:rFonts w:asciiTheme="majorBidi" w:eastAsia="Times New Roman" w:hAnsiTheme="majorBidi" w:cstheme="majorBidi"/>
          <w:sz w:val="24"/>
          <w:szCs w:val="24"/>
        </w:rPr>
        <w:t xml:space="preserve">, N., Trautwein-Weidner, K., &amp; </w:t>
      </w:r>
      <w:proofErr w:type="spellStart"/>
      <w:r w:rsidRPr="007168E7">
        <w:rPr>
          <w:rFonts w:asciiTheme="majorBidi" w:eastAsia="Times New Roman" w:hAnsiTheme="majorBidi" w:cstheme="majorBidi"/>
          <w:sz w:val="24"/>
          <w:szCs w:val="24"/>
        </w:rPr>
        <w:t>LeibundGut-Landmann</w:t>
      </w:r>
      <w:proofErr w:type="spellEnd"/>
      <w:r w:rsidRPr="007168E7">
        <w:rPr>
          <w:rFonts w:asciiTheme="majorBidi" w:eastAsia="Times New Roman" w:hAnsiTheme="majorBidi" w:cstheme="majorBidi"/>
          <w:sz w:val="24"/>
          <w:szCs w:val="24"/>
        </w:rPr>
        <w:t xml:space="preserve">, S. (2013). Cutting edge: </w:t>
      </w:r>
      <w:r w:rsidR="006C0CB9">
        <w:rPr>
          <w:rFonts w:asciiTheme="majorBidi" w:eastAsia="Times New Roman" w:hAnsiTheme="majorBidi" w:cstheme="majorBidi"/>
          <w:sz w:val="24"/>
          <w:szCs w:val="24"/>
        </w:rPr>
        <w:t>IL-36</w:t>
      </w:r>
      <w:r w:rsidRPr="007168E7">
        <w:rPr>
          <w:rFonts w:asciiTheme="majorBidi" w:eastAsia="Times New Roman" w:hAnsiTheme="majorBidi" w:cstheme="majorBidi"/>
          <w:sz w:val="24"/>
          <w:szCs w:val="24"/>
        </w:rPr>
        <w:t xml:space="preserve">–secreting innate lymphoid cells are essential for host defense against fungal infection. </w:t>
      </w:r>
      <w:r w:rsidRPr="007168E7">
        <w:rPr>
          <w:rFonts w:asciiTheme="majorBidi" w:eastAsia="Times New Roman" w:hAnsiTheme="majorBidi" w:cstheme="majorBidi"/>
          <w:i/>
          <w:iCs/>
          <w:sz w:val="24"/>
          <w:szCs w:val="24"/>
        </w:rPr>
        <w:t>Journal of Immunology, 190</w:t>
      </w:r>
      <w:r w:rsidRPr="007168E7">
        <w:rPr>
          <w:rFonts w:asciiTheme="majorBidi" w:eastAsia="Times New Roman" w:hAnsiTheme="majorBidi" w:cstheme="majorBidi"/>
          <w:sz w:val="24"/>
          <w:szCs w:val="24"/>
        </w:rPr>
        <w:t xml:space="preserve">(2), 521–525. </w:t>
      </w:r>
    </w:p>
    <w:p w14:paraId="1E7B816B" w14:textId="4962F5B8"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Hammad, M. M., Dar-Odeh, N., &amp; Abu-Hammad, O. (2014). Prevalence and antifungal susceptibility of oral Candida species colonizing children with dental caries. </w:t>
      </w:r>
      <w:r w:rsidRPr="007168E7">
        <w:rPr>
          <w:rFonts w:asciiTheme="majorBidi" w:eastAsia="Times New Roman" w:hAnsiTheme="majorBidi" w:cstheme="majorBidi"/>
          <w:i/>
          <w:iCs/>
          <w:sz w:val="24"/>
          <w:szCs w:val="24"/>
        </w:rPr>
        <w:t>International Journal of Dentistry, 2014</w:t>
      </w:r>
      <w:r w:rsidRPr="007168E7">
        <w:rPr>
          <w:rFonts w:asciiTheme="majorBidi" w:eastAsia="Times New Roman" w:hAnsiTheme="majorBidi" w:cstheme="majorBidi"/>
          <w:sz w:val="24"/>
          <w:szCs w:val="24"/>
        </w:rPr>
        <w:t xml:space="preserve">, 1–7. </w:t>
      </w:r>
    </w:p>
    <w:p w14:paraId="03209CA6" w14:textId="147B1D6B"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Hawser, S. P., &amp; Douglas, L. J. (1994). Biofilm formation by Candida species on the surface of catheter materials in vitro. </w:t>
      </w:r>
      <w:r w:rsidRPr="007168E7">
        <w:rPr>
          <w:rFonts w:asciiTheme="majorBidi" w:eastAsia="Times New Roman" w:hAnsiTheme="majorBidi" w:cstheme="majorBidi"/>
          <w:i/>
          <w:iCs/>
          <w:sz w:val="24"/>
          <w:szCs w:val="24"/>
        </w:rPr>
        <w:t>Infection and Immunity, 62</w:t>
      </w:r>
      <w:r w:rsidRPr="007168E7">
        <w:rPr>
          <w:rFonts w:asciiTheme="majorBidi" w:eastAsia="Times New Roman" w:hAnsiTheme="majorBidi" w:cstheme="majorBidi"/>
          <w:sz w:val="24"/>
          <w:szCs w:val="24"/>
        </w:rPr>
        <w:t xml:space="preserve">(3), 915–921. </w:t>
      </w:r>
    </w:p>
    <w:p w14:paraId="15263751" w14:textId="311A5670"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Kim, J., &amp; Sudbery, P. (2011). Candida albicans, a major human fungal pathogen. </w:t>
      </w:r>
      <w:r w:rsidRPr="007168E7">
        <w:rPr>
          <w:rFonts w:asciiTheme="majorBidi" w:eastAsia="Times New Roman" w:hAnsiTheme="majorBidi" w:cstheme="majorBidi"/>
          <w:i/>
          <w:iCs/>
          <w:sz w:val="24"/>
          <w:szCs w:val="24"/>
        </w:rPr>
        <w:t>Journal of Microbiology, 49</w:t>
      </w:r>
      <w:r w:rsidRPr="007168E7">
        <w:rPr>
          <w:rFonts w:asciiTheme="majorBidi" w:eastAsia="Times New Roman" w:hAnsiTheme="majorBidi" w:cstheme="majorBidi"/>
          <w:sz w:val="24"/>
          <w:szCs w:val="24"/>
        </w:rPr>
        <w:t xml:space="preserve">(2), 171–177. </w:t>
      </w:r>
    </w:p>
    <w:p w14:paraId="7624DBF1" w14:textId="3B39BD27"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Moyes, D. L., Wilson, D., Richardson, J. P., Mogavero, S., Tang, S. X., Wernecke, J., ... &amp; </w:t>
      </w:r>
      <w:proofErr w:type="spellStart"/>
      <w:r w:rsidRPr="007168E7">
        <w:rPr>
          <w:rFonts w:asciiTheme="majorBidi" w:eastAsia="Times New Roman" w:hAnsiTheme="majorBidi" w:cstheme="majorBidi"/>
          <w:sz w:val="24"/>
          <w:szCs w:val="24"/>
        </w:rPr>
        <w:t>Naglik</w:t>
      </w:r>
      <w:proofErr w:type="spellEnd"/>
      <w:r w:rsidRPr="007168E7">
        <w:rPr>
          <w:rFonts w:asciiTheme="majorBidi" w:eastAsia="Times New Roman" w:hAnsiTheme="majorBidi" w:cstheme="majorBidi"/>
          <w:sz w:val="24"/>
          <w:szCs w:val="24"/>
        </w:rPr>
        <w:t xml:space="preserve">, J. R. (2016). </w:t>
      </w:r>
      <w:proofErr w:type="spellStart"/>
      <w:r w:rsidRPr="007168E7">
        <w:rPr>
          <w:rFonts w:asciiTheme="majorBidi" w:eastAsia="Times New Roman" w:hAnsiTheme="majorBidi" w:cstheme="majorBidi"/>
          <w:sz w:val="24"/>
          <w:szCs w:val="24"/>
        </w:rPr>
        <w:t>Candidalysin</w:t>
      </w:r>
      <w:proofErr w:type="spellEnd"/>
      <w:r w:rsidRPr="007168E7">
        <w:rPr>
          <w:rFonts w:asciiTheme="majorBidi" w:eastAsia="Times New Roman" w:hAnsiTheme="majorBidi" w:cstheme="majorBidi"/>
          <w:sz w:val="24"/>
          <w:szCs w:val="24"/>
        </w:rPr>
        <w:t xml:space="preserve"> is a fungal peptide toxin critical for mucosal infection. </w:t>
      </w:r>
      <w:r w:rsidRPr="007168E7">
        <w:rPr>
          <w:rFonts w:asciiTheme="majorBidi" w:eastAsia="Times New Roman" w:hAnsiTheme="majorBidi" w:cstheme="majorBidi"/>
          <w:i/>
          <w:iCs/>
          <w:sz w:val="24"/>
          <w:szCs w:val="24"/>
        </w:rPr>
        <w:t>Nature, 532</w:t>
      </w:r>
      <w:r w:rsidRPr="007168E7">
        <w:rPr>
          <w:rFonts w:asciiTheme="majorBidi" w:eastAsia="Times New Roman" w:hAnsiTheme="majorBidi" w:cstheme="majorBidi"/>
          <w:sz w:val="24"/>
          <w:szCs w:val="24"/>
        </w:rPr>
        <w:t xml:space="preserve">(7597), 64–68. </w:t>
      </w:r>
    </w:p>
    <w:p w14:paraId="7F16A242" w14:textId="7BC5551A"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7168E7">
        <w:rPr>
          <w:rFonts w:asciiTheme="majorBidi" w:eastAsia="Times New Roman" w:hAnsiTheme="majorBidi" w:cstheme="majorBidi"/>
          <w:sz w:val="24"/>
          <w:szCs w:val="24"/>
        </w:rPr>
        <w:t>Naglik</w:t>
      </w:r>
      <w:proofErr w:type="spellEnd"/>
      <w:r w:rsidRPr="007168E7">
        <w:rPr>
          <w:rFonts w:asciiTheme="majorBidi" w:eastAsia="Times New Roman" w:hAnsiTheme="majorBidi" w:cstheme="majorBidi"/>
          <w:sz w:val="24"/>
          <w:szCs w:val="24"/>
        </w:rPr>
        <w:t xml:space="preserve">, J. R., Richardson, J. P., &amp; Moyes, D. L. (2014). Candida albicans pathogenicity and epithelial immunity. </w:t>
      </w:r>
      <w:proofErr w:type="spellStart"/>
      <w:r w:rsidRPr="007168E7">
        <w:rPr>
          <w:rFonts w:asciiTheme="majorBidi" w:eastAsia="Times New Roman" w:hAnsiTheme="majorBidi" w:cstheme="majorBidi"/>
          <w:i/>
          <w:iCs/>
          <w:sz w:val="24"/>
          <w:szCs w:val="24"/>
        </w:rPr>
        <w:t>PLoS</w:t>
      </w:r>
      <w:proofErr w:type="spellEnd"/>
      <w:r w:rsidRPr="007168E7">
        <w:rPr>
          <w:rFonts w:asciiTheme="majorBidi" w:eastAsia="Times New Roman" w:hAnsiTheme="majorBidi" w:cstheme="majorBidi"/>
          <w:i/>
          <w:iCs/>
          <w:sz w:val="24"/>
          <w:szCs w:val="24"/>
        </w:rPr>
        <w:t xml:space="preserve"> Pathogens, 10</w:t>
      </w:r>
      <w:r w:rsidRPr="007168E7">
        <w:rPr>
          <w:rFonts w:asciiTheme="majorBidi" w:eastAsia="Times New Roman" w:hAnsiTheme="majorBidi" w:cstheme="majorBidi"/>
          <w:sz w:val="24"/>
          <w:szCs w:val="24"/>
        </w:rPr>
        <w:t xml:space="preserve">(8), e1004257. </w:t>
      </w:r>
    </w:p>
    <w:p w14:paraId="225BCBF8" w14:textId="5C5EC85F"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Klinke, T., Guggenheim, B., Klimm, W., &amp; </w:t>
      </w:r>
      <w:proofErr w:type="spellStart"/>
      <w:r w:rsidRPr="007168E7">
        <w:rPr>
          <w:rFonts w:asciiTheme="majorBidi" w:eastAsia="Times New Roman" w:hAnsiTheme="majorBidi" w:cstheme="majorBidi"/>
          <w:sz w:val="24"/>
          <w:szCs w:val="24"/>
        </w:rPr>
        <w:t>Thurnheer</w:t>
      </w:r>
      <w:proofErr w:type="spellEnd"/>
      <w:r w:rsidRPr="007168E7">
        <w:rPr>
          <w:rFonts w:asciiTheme="majorBidi" w:eastAsia="Times New Roman" w:hAnsiTheme="majorBidi" w:cstheme="majorBidi"/>
          <w:sz w:val="24"/>
          <w:szCs w:val="24"/>
        </w:rPr>
        <w:t xml:space="preserve">, T. (2011). Dental caries in rats associated with Candida albicans. </w:t>
      </w:r>
      <w:r w:rsidRPr="007168E7">
        <w:rPr>
          <w:rFonts w:asciiTheme="majorBidi" w:eastAsia="Times New Roman" w:hAnsiTheme="majorBidi" w:cstheme="majorBidi"/>
          <w:i/>
          <w:iCs/>
          <w:sz w:val="24"/>
          <w:szCs w:val="24"/>
        </w:rPr>
        <w:t>Caries Research, 45</w:t>
      </w:r>
      <w:r w:rsidRPr="007168E7">
        <w:rPr>
          <w:rFonts w:asciiTheme="majorBidi" w:eastAsia="Times New Roman" w:hAnsiTheme="majorBidi" w:cstheme="majorBidi"/>
          <w:sz w:val="24"/>
          <w:szCs w:val="24"/>
        </w:rPr>
        <w:t xml:space="preserve">(2), 100–106. </w:t>
      </w:r>
    </w:p>
    <w:p w14:paraId="36ACA4AA" w14:textId="575BE74D"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Pereira, D., Seneviratne, C. J., Koga-Ito, C. Y., &amp; Samaranayake, L. P. (2018). Is the oral cavity a reservoir for Candida albicans? </w:t>
      </w:r>
      <w:r w:rsidRPr="007168E7">
        <w:rPr>
          <w:rFonts w:asciiTheme="majorBidi" w:eastAsia="Times New Roman" w:hAnsiTheme="majorBidi" w:cstheme="majorBidi"/>
          <w:i/>
          <w:iCs/>
          <w:sz w:val="24"/>
          <w:szCs w:val="24"/>
        </w:rPr>
        <w:t>Critical Reviews in Microbiology, 44</w:t>
      </w:r>
      <w:r w:rsidRPr="007168E7">
        <w:rPr>
          <w:rFonts w:asciiTheme="majorBidi" w:eastAsia="Times New Roman" w:hAnsiTheme="majorBidi" w:cstheme="majorBidi"/>
          <w:sz w:val="24"/>
          <w:szCs w:val="24"/>
        </w:rPr>
        <w:t>(3), 360–377</w:t>
      </w:r>
    </w:p>
    <w:p w14:paraId="1835D0BF" w14:textId="0F9B641A"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Rajendran, R., et al. (2016). </w:t>
      </w:r>
      <w:proofErr w:type="spellStart"/>
      <w:r w:rsidRPr="007168E7">
        <w:rPr>
          <w:rFonts w:asciiTheme="majorBidi" w:eastAsia="Times New Roman" w:hAnsiTheme="majorBidi" w:cstheme="majorBidi"/>
          <w:sz w:val="24"/>
          <w:szCs w:val="24"/>
        </w:rPr>
        <w:t>Pathogenomics</w:t>
      </w:r>
      <w:proofErr w:type="spellEnd"/>
      <w:r w:rsidRPr="007168E7">
        <w:rPr>
          <w:rFonts w:asciiTheme="majorBidi" w:eastAsia="Times New Roman" w:hAnsiTheme="majorBidi" w:cstheme="majorBidi"/>
          <w:sz w:val="24"/>
          <w:szCs w:val="24"/>
        </w:rPr>
        <w:t xml:space="preserve"> of Candida albicans biofilm formation. </w:t>
      </w:r>
      <w:proofErr w:type="spellStart"/>
      <w:r w:rsidRPr="007168E7">
        <w:rPr>
          <w:rFonts w:asciiTheme="majorBidi" w:eastAsia="Times New Roman" w:hAnsiTheme="majorBidi" w:cstheme="majorBidi"/>
          <w:i/>
          <w:iCs/>
          <w:sz w:val="24"/>
          <w:szCs w:val="24"/>
        </w:rPr>
        <w:t>PLoS</w:t>
      </w:r>
      <w:proofErr w:type="spellEnd"/>
      <w:r w:rsidRPr="007168E7">
        <w:rPr>
          <w:rFonts w:asciiTheme="majorBidi" w:eastAsia="Times New Roman" w:hAnsiTheme="majorBidi" w:cstheme="majorBidi"/>
          <w:i/>
          <w:iCs/>
          <w:sz w:val="24"/>
          <w:szCs w:val="24"/>
        </w:rPr>
        <w:t xml:space="preserve"> Pathogens, 12</w:t>
      </w:r>
      <w:r w:rsidRPr="007168E7">
        <w:rPr>
          <w:rFonts w:asciiTheme="majorBidi" w:eastAsia="Times New Roman" w:hAnsiTheme="majorBidi" w:cstheme="majorBidi"/>
          <w:sz w:val="24"/>
          <w:szCs w:val="24"/>
        </w:rPr>
        <w:t xml:space="preserve">(9), e1006029. </w:t>
      </w:r>
    </w:p>
    <w:p w14:paraId="6395F1B2" w14:textId="4B6A0466"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lastRenderedPageBreak/>
        <w:t xml:space="preserve">Samaranayake, L. P., &amp; Matsubara, V. H. (2017). Normal oral flora and the oral ecosystem. </w:t>
      </w:r>
      <w:r w:rsidRPr="007168E7">
        <w:rPr>
          <w:rFonts w:asciiTheme="majorBidi" w:eastAsia="Times New Roman" w:hAnsiTheme="majorBidi" w:cstheme="majorBidi"/>
          <w:i/>
          <w:iCs/>
          <w:sz w:val="24"/>
          <w:szCs w:val="24"/>
        </w:rPr>
        <w:t>Dental Clinics of North America, 61</w:t>
      </w:r>
      <w:r w:rsidRPr="007168E7">
        <w:rPr>
          <w:rFonts w:asciiTheme="majorBidi" w:eastAsia="Times New Roman" w:hAnsiTheme="majorBidi" w:cstheme="majorBidi"/>
          <w:sz w:val="24"/>
          <w:szCs w:val="24"/>
        </w:rPr>
        <w:t xml:space="preserve">(2), 199–215. </w:t>
      </w:r>
    </w:p>
    <w:p w14:paraId="0A66305B" w14:textId="041597B7" w:rsidR="00D4529F" w:rsidRPr="007168E7"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Silva, S., Negri, M., Henriques, M., Oliveira, R., Williams, D. W., &amp; Azeredo, J. (2012). Candida glabrata, Candida </w:t>
      </w:r>
      <w:proofErr w:type="spellStart"/>
      <w:r w:rsidRPr="007168E7">
        <w:rPr>
          <w:rFonts w:asciiTheme="majorBidi" w:eastAsia="Times New Roman" w:hAnsiTheme="majorBidi" w:cstheme="majorBidi"/>
          <w:sz w:val="24"/>
          <w:szCs w:val="24"/>
        </w:rPr>
        <w:t>parapsilosis</w:t>
      </w:r>
      <w:proofErr w:type="spellEnd"/>
      <w:r w:rsidRPr="007168E7">
        <w:rPr>
          <w:rFonts w:asciiTheme="majorBidi" w:eastAsia="Times New Roman" w:hAnsiTheme="majorBidi" w:cstheme="majorBidi"/>
          <w:sz w:val="24"/>
          <w:szCs w:val="24"/>
        </w:rPr>
        <w:t xml:space="preserve"> and Candida tropicalis: Biology, epidemiology, pathogenicity and antifungal resistance. </w:t>
      </w:r>
      <w:r w:rsidRPr="007168E7">
        <w:rPr>
          <w:rFonts w:asciiTheme="majorBidi" w:eastAsia="Times New Roman" w:hAnsiTheme="majorBidi" w:cstheme="majorBidi"/>
          <w:i/>
          <w:iCs/>
          <w:sz w:val="24"/>
          <w:szCs w:val="24"/>
        </w:rPr>
        <w:t>FEMS Microbiology Reviews, 36</w:t>
      </w:r>
      <w:r w:rsidRPr="007168E7">
        <w:rPr>
          <w:rFonts w:asciiTheme="majorBidi" w:eastAsia="Times New Roman" w:hAnsiTheme="majorBidi" w:cstheme="majorBidi"/>
          <w:sz w:val="24"/>
          <w:szCs w:val="24"/>
        </w:rPr>
        <w:t xml:space="preserve">(2), 288–305. </w:t>
      </w:r>
    </w:p>
    <w:p w14:paraId="0D59BBC0" w14:textId="06C664CC" w:rsidR="00D4529F" w:rsidRPr="00DA62C5" w:rsidRDefault="00D4529F"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7168E7">
        <w:rPr>
          <w:rFonts w:asciiTheme="majorBidi" w:eastAsia="Times New Roman" w:hAnsiTheme="majorBidi" w:cstheme="majorBidi"/>
          <w:sz w:val="24"/>
          <w:szCs w:val="24"/>
        </w:rPr>
        <w:t xml:space="preserve">Williams, D., &amp; Lewis, M. (2011). Pathogenesis and treatment of oral </w:t>
      </w:r>
      <w:proofErr w:type="spellStart"/>
      <w:r w:rsidRPr="007168E7">
        <w:rPr>
          <w:rFonts w:asciiTheme="majorBidi" w:eastAsia="Times New Roman" w:hAnsiTheme="majorBidi" w:cstheme="majorBidi"/>
          <w:sz w:val="24"/>
          <w:szCs w:val="24"/>
        </w:rPr>
        <w:t>candidosis</w:t>
      </w:r>
      <w:proofErr w:type="spellEnd"/>
      <w:r w:rsidRPr="007168E7">
        <w:rPr>
          <w:rFonts w:asciiTheme="majorBidi" w:eastAsia="Times New Roman" w:hAnsiTheme="majorBidi" w:cstheme="majorBidi"/>
          <w:sz w:val="24"/>
          <w:szCs w:val="24"/>
        </w:rPr>
        <w:t xml:space="preserve">. </w:t>
      </w:r>
      <w:r w:rsidRPr="007168E7">
        <w:rPr>
          <w:rFonts w:asciiTheme="majorBidi" w:eastAsia="Times New Roman" w:hAnsiTheme="majorBidi" w:cstheme="majorBidi"/>
          <w:i/>
          <w:iCs/>
          <w:sz w:val="24"/>
          <w:szCs w:val="24"/>
        </w:rPr>
        <w:t>Journal of Oral Microbiology, 3</w:t>
      </w:r>
      <w:r w:rsidRPr="007168E7">
        <w:rPr>
          <w:rFonts w:asciiTheme="majorBidi" w:eastAsia="Times New Roman" w:hAnsiTheme="majorBidi" w:cstheme="majorBidi"/>
          <w:sz w:val="24"/>
          <w:szCs w:val="24"/>
        </w:rPr>
        <w:t xml:space="preserve">(1), 5771. </w:t>
      </w:r>
    </w:p>
    <w:p w14:paraId="6D67963D" w14:textId="7A63CB64" w:rsidR="00DA62C5" w:rsidRDefault="00DA62C5" w:rsidP="00DA62C5">
      <w:pPr>
        <w:numPr>
          <w:ilvl w:val="0"/>
          <w:numId w:val="6"/>
        </w:numPr>
        <w:spacing w:before="100" w:beforeAutospacing="1" w:after="100" w:afterAutospacing="1" w:line="240" w:lineRule="auto"/>
        <w:jc w:val="both"/>
        <w:rPr>
          <w:rFonts w:asciiTheme="majorBidi" w:eastAsia="Times New Roman" w:hAnsiTheme="majorBidi" w:cstheme="majorBidi"/>
          <w:sz w:val="24"/>
          <w:szCs w:val="24"/>
        </w:rPr>
      </w:pPr>
      <w:r w:rsidRPr="00DA62C5">
        <w:rPr>
          <w:rFonts w:asciiTheme="majorBidi" w:eastAsia="Times New Roman" w:hAnsiTheme="majorBidi" w:cstheme="majorBidi"/>
          <w:sz w:val="24"/>
          <w:szCs w:val="24"/>
        </w:rPr>
        <w:t>Pinto-Almazán, R., Frías-De-León, M. G., Fuentes-Venado, C. E., Arenas, R., González-Gutiérrez, L., Chávez-Gutiérrez, E., ... &amp; Martínez-Herrera, E. (2022). Frequency of Candida spp. in the oral cavity of asymptomatic preschool Mexican children and its association with nutritional status. </w:t>
      </w:r>
      <w:r w:rsidRPr="00DA62C5">
        <w:rPr>
          <w:rFonts w:asciiTheme="majorBidi" w:eastAsia="Times New Roman" w:hAnsiTheme="majorBidi" w:cstheme="majorBidi"/>
          <w:i/>
          <w:iCs/>
          <w:sz w:val="24"/>
          <w:szCs w:val="24"/>
        </w:rPr>
        <w:t>Children</w:t>
      </w:r>
      <w:r w:rsidRPr="00DA62C5">
        <w:rPr>
          <w:rFonts w:asciiTheme="majorBidi" w:eastAsia="Times New Roman" w:hAnsiTheme="majorBidi" w:cstheme="majorBidi"/>
          <w:sz w:val="24"/>
          <w:szCs w:val="24"/>
        </w:rPr>
        <w:t>, </w:t>
      </w:r>
      <w:r w:rsidRPr="00DA62C5">
        <w:rPr>
          <w:rFonts w:asciiTheme="majorBidi" w:eastAsia="Times New Roman" w:hAnsiTheme="majorBidi" w:cstheme="majorBidi"/>
          <w:i/>
          <w:iCs/>
          <w:sz w:val="24"/>
          <w:szCs w:val="24"/>
        </w:rPr>
        <w:t>9</w:t>
      </w:r>
      <w:r w:rsidRPr="00DA62C5">
        <w:rPr>
          <w:rFonts w:asciiTheme="majorBidi" w:eastAsia="Times New Roman" w:hAnsiTheme="majorBidi" w:cstheme="majorBidi"/>
          <w:sz w:val="24"/>
          <w:szCs w:val="24"/>
        </w:rPr>
        <w:t>(10), 1510.</w:t>
      </w:r>
    </w:p>
    <w:p w14:paraId="0BBDADEF" w14:textId="77777777" w:rsidR="00DA62C5" w:rsidRPr="007168E7" w:rsidRDefault="00DA62C5" w:rsidP="00DA62C5">
      <w:pPr>
        <w:spacing w:before="100" w:beforeAutospacing="1" w:after="100" w:afterAutospacing="1" w:line="240" w:lineRule="auto"/>
        <w:ind w:left="720"/>
        <w:jc w:val="both"/>
        <w:rPr>
          <w:rFonts w:asciiTheme="majorBidi" w:eastAsia="Times New Roman" w:hAnsiTheme="majorBidi" w:cstheme="majorBidi"/>
          <w:sz w:val="24"/>
          <w:szCs w:val="24"/>
        </w:rPr>
      </w:pPr>
    </w:p>
    <w:p w14:paraId="46845A10" w14:textId="1B1EF7AC" w:rsidR="00D4529F" w:rsidRPr="007168E7" w:rsidRDefault="00D4529F" w:rsidP="006C0CB9">
      <w:pPr>
        <w:spacing w:after="0" w:line="240" w:lineRule="auto"/>
        <w:jc w:val="both"/>
        <w:rPr>
          <w:rFonts w:asciiTheme="majorBidi" w:eastAsia="Times New Roman" w:hAnsiTheme="majorBidi" w:cstheme="majorBidi"/>
          <w:sz w:val="24"/>
          <w:szCs w:val="24"/>
        </w:rPr>
      </w:pPr>
    </w:p>
    <w:p w14:paraId="5E80032F" w14:textId="77777777" w:rsidR="00D4529F" w:rsidRPr="007B4F2C" w:rsidRDefault="00D4529F" w:rsidP="006C0CB9">
      <w:pPr>
        <w:jc w:val="both"/>
        <w:rPr>
          <w:rFonts w:asciiTheme="majorBidi" w:hAnsiTheme="majorBidi" w:cstheme="majorBidi"/>
          <w:sz w:val="24"/>
          <w:szCs w:val="24"/>
        </w:rPr>
      </w:pPr>
    </w:p>
    <w:p w14:paraId="70070713" w14:textId="77777777" w:rsidR="00D4529F" w:rsidRPr="007B4F2C" w:rsidRDefault="00D4529F" w:rsidP="006C0CB9">
      <w:pPr>
        <w:jc w:val="both"/>
        <w:rPr>
          <w:rFonts w:asciiTheme="majorBidi" w:hAnsiTheme="majorBidi" w:cstheme="majorBidi"/>
          <w:sz w:val="24"/>
          <w:szCs w:val="24"/>
        </w:rPr>
      </w:pPr>
    </w:p>
    <w:p w14:paraId="58A75E69" w14:textId="77777777" w:rsidR="00D4529F" w:rsidRPr="007B4F2C" w:rsidRDefault="00D4529F" w:rsidP="006C0CB9">
      <w:pPr>
        <w:jc w:val="both"/>
        <w:rPr>
          <w:rFonts w:asciiTheme="majorBidi" w:hAnsiTheme="majorBidi" w:cstheme="majorBidi"/>
          <w:sz w:val="24"/>
          <w:szCs w:val="24"/>
        </w:rPr>
      </w:pPr>
    </w:p>
    <w:p w14:paraId="18EEC054" w14:textId="1A5514DC" w:rsidR="00D4529F" w:rsidRDefault="00D4529F" w:rsidP="006C0CB9">
      <w:pPr>
        <w:jc w:val="both"/>
        <w:rPr>
          <w:rFonts w:asciiTheme="majorBidi" w:hAnsiTheme="majorBidi" w:cstheme="majorBidi"/>
          <w:sz w:val="24"/>
          <w:szCs w:val="24"/>
        </w:rPr>
      </w:pPr>
    </w:p>
    <w:p w14:paraId="4D0DF431" w14:textId="77777777" w:rsidR="00D4529F" w:rsidRPr="000B6A94" w:rsidRDefault="00D4529F" w:rsidP="006C0CB9">
      <w:pPr>
        <w:jc w:val="both"/>
        <w:rPr>
          <w:rFonts w:asciiTheme="majorBidi" w:hAnsiTheme="majorBidi" w:cstheme="majorBidi"/>
          <w:sz w:val="24"/>
          <w:szCs w:val="24"/>
        </w:rPr>
      </w:pPr>
    </w:p>
    <w:sectPr w:rsidR="00D4529F" w:rsidRPr="000B6A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8A878" w14:textId="77777777" w:rsidR="0075454E" w:rsidRDefault="0075454E" w:rsidP="00BF7B6E">
      <w:pPr>
        <w:spacing w:after="0" w:line="240" w:lineRule="auto"/>
      </w:pPr>
      <w:r>
        <w:separator/>
      </w:r>
    </w:p>
  </w:endnote>
  <w:endnote w:type="continuationSeparator" w:id="0">
    <w:p w14:paraId="0C305FA9" w14:textId="77777777" w:rsidR="0075454E" w:rsidRDefault="0075454E" w:rsidP="00BF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F545" w14:textId="77777777" w:rsidR="00BF7B6E" w:rsidRDefault="00BF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CEB8" w14:textId="77777777" w:rsidR="00BF7B6E" w:rsidRDefault="00BF7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A03F" w14:textId="77777777" w:rsidR="00BF7B6E" w:rsidRDefault="00BF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7A0C" w14:textId="77777777" w:rsidR="0075454E" w:rsidRDefault="0075454E" w:rsidP="00BF7B6E">
      <w:pPr>
        <w:spacing w:after="0" w:line="240" w:lineRule="auto"/>
      </w:pPr>
      <w:r>
        <w:separator/>
      </w:r>
    </w:p>
  </w:footnote>
  <w:footnote w:type="continuationSeparator" w:id="0">
    <w:p w14:paraId="05FFB9A8" w14:textId="77777777" w:rsidR="0075454E" w:rsidRDefault="0075454E" w:rsidP="00BF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BEEA" w14:textId="5086CBAD" w:rsidR="00BF7B6E" w:rsidRDefault="00BF7B6E">
    <w:pPr>
      <w:pStyle w:val="Header"/>
    </w:pPr>
    <w:r>
      <w:rPr>
        <w:noProof/>
      </w:rPr>
      <w:pict w14:anchorId="4D805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6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D14B" w14:textId="378BD612" w:rsidR="00BF7B6E" w:rsidRDefault="00BF7B6E">
    <w:pPr>
      <w:pStyle w:val="Header"/>
    </w:pPr>
    <w:r>
      <w:rPr>
        <w:noProof/>
      </w:rPr>
      <w:pict w14:anchorId="4F597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6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F2AD" w14:textId="0F9628F9" w:rsidR="00BF7B6E" w:rsidRDefault="00BF7B6E">
    <w:pPr>
      <w:pStyle w:val="Header"/>
    </w:pPr>
    <w:r>
      <w:rPr>
        <w:noProof/>
      </w:rPr>
      <w:pict w14:anchorId="050E4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6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B1429"/>
    <w:multiLevelType w:val="hybridMultilevel"/>
    <w:tmpl w:val="F2B6E0AE"/>
    <w:lvl w:ilvl="0" w:tplc="DEF050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D226FA"/>
    <w:multiLevelType w:val="multilevel"/>
    <w:tmpl w:val="002E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14692"/>
    <w:multiLevelType w:val="multilevel"/>
    <w:tmpl w:val="07407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E009A"/>
    <w:multiLevelType w:val="multilevel"/>
    <w:tmpl w:val="905CC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163FC"/>
    <w:multiLevelType w:val="multilevel"/>
    <w:tmpl w:val="F112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27866"/>
    <w:multiLevelType w:val="hybridMultilevel"/>
    <w:tmpl w:val="39721298"/>
    <w:lvl w:ilvl="0" w:tplc="56A4477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585A00"/>
    <w:multiLevelType w:val="multilevel"/>
    <w:tmpl w:val="08F4C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568CB"/>
    <w:multiLevelType w:val="hybridMultilevel"/>
    <w:tmpl w:val="CCE4CB04"/>
    <w:lvl w:ilvl="0" w:tplc="9698F3E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6B48D1"/>
    <w:multiLevelType w:val="multilevel"/>
    <w:tmpl w:val="570CD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6"/>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A55"/>
    <w:rsid w:val="00017EFB"/>
    <w:rsid w:val="000478A9"/>
    <w:rsid w:val="00083EB6"/>
    <w:rsid w:val="00094D41"/>
    <w:rsid w:val="000B6A94"/>
    <w:rsid w:val="000D3D7F"/>
    <w:rsid w:val="00113FFA"/>
    <w:rsid w:val="00121E99"/>
    <w:rsid w:val="001B6A55"/>
    <w:rsid w:val="00231600"/>
    <w:rsid w:val="0025019A"/>
    <w:rsid w:val="00284F2A"/>
    <w:rsid w:val="002977DB"/>
    <w:rsid w:val="002A5D5B"/>
    <w:rsid w:val="00327F45"/>
    <w:rsid w:val="003F6643"/>
    <w:rsid w:val="004D6A06"/>
    <w:rsid w:val="004E5517"/>
    <w:rsid w:val="00660679"/>
    <w:rsid w:val="00682E08"/>
    <w:rsid w:val="006B2ABD"/>
    <w:rsid w:val="006C0CB9"/>
    <w:rsid w:val="00711ED2"/>
    <w:rsid w:val="0075454E"/>
    <w:rsid w:val="007C3F0A"/>
    <w:rsid w:val="007E0A0B"/>
    <w:rsid w:val="008C2169"/>
    <w:rsid w:val="008D4B2B"/>
    <w:rsid w:val="009624DF"/>
    <w:rsid w:val="0099796F"/>
    <w:rsid w:val="00BA1D8D"/>
    <w:rsid w:val="00BE234A"/>
    <w:rsid w:val="00BF7B6E"/>
    <w:rsid w:val="00C2141C"/>
    <w:rsid w:val="00C70D4B"/>
    <w:rsid w:val="00C8279C"/>
    <w:rsid w:val="00CF6807"/>
    <w:rsid w:val="00D4529F"/>
    <w:rsid w:val="00D93295"/>
    <w:rsid w:val="00DA62C5"/>
    <w:rsid w:val="00DD126F"/>
    <w:rsid w:val="00DF05F5"/>
    <w:rsid w:val="00E32C42"/>
    <w:rsid w:val="00E90899"/>
    <w:rsid w:val="00EF6D10"/>
    <w:rsid w:val="00F4244F"/>
    <w:rsid w:val="00F6422C"/>
    <w:rsid w:val="00F73FBE"/>
    <w:rsid w:val="00F9040D"/>
    <w:rsid w:val="00FC5030"/>
    <w:rsid w:val="00FE4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36B0B"/>
  <w15:docId w15:val="{8BA82FFD-0AFE-46C9-AC61-29143CB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3FBE"/>
    <w:rPr>
      <w:b/>
      <w:bCs/>
    </w:rPr>
  </w:style>
  <w:style w:type="character" w:styleId="HTMLCode">
    <w:name w:val="HTML Code"/>
    <w:basedOn w:val="DefaultParagraphFont"/>
    <w:uiPriority w:val="99"/>
    <w:semiHidden/>
    <w:unhideWhenUsed/>
    <w:rsid w:val="00F73FBE"/>
    <w:rPr>
      <w:rFonts w:ascii="Courier New" w:eastAsia="Times New Roman" w:hAnsi="Courier New" w:cs="Courier New"/>
      <w:sz w:val="20"/>
      <w:szCs w:val="20"/>
    </w:rPr>
  </w:style>
  <w:style w:type="paragraph" w:styleId="NormalWeb">
    <w:name w:val="Normal (Web)"/>
    <w:basedOn w:val="Normal"/>
    <w:uiPriority w:val="99"/>
    <w:semiHidden/>
    <w:unhideWhenUsed/>
    <w:rsid w:val="003F66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61">
    <w:name w:val="جدول شبكة 4 - تمييز 61"/>
    <w:basedOn w:val="TableNormal"/>
    <w:uiPriority w:val="49"/>
    <w:rsid w:val="00D4529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41">
    <w:name w:val="جدول شبكة 4 - تمييز 41"/>
    <w:basedOn w:val="TableNormal"/>
    <w:uiPriority w:val="49"/>
    <w:rsid w:val="002A5D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21">
    <w:name w:val="جدول شبكة 4 - تمييز 21"/>
    <w:basedOn w:val="TableNormal"/>
    <w:uiPriority w:val="49"/>
    <w:rsid w:val="00113F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284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2A"/>
    <w:rPr>
      <w:rFonts w:ascii="Tahoma" w:hAnsi="Tahoma" w:cs="Tahoma"/>
      <w:sz w:val="16"/>
      <w:szCs w:val="16"/>
    </w:rPr>
  </w:style>
  <w:style w:type="character" w:styleId="Hyperlink">
    <w:name w:val="Hyperlink"/>
    <w:basedOn w:val="DefaultParagraphFont"/>
    <w:uiPriority w:val="99"/>
    <w:unhideWhenUsed/>
    <w:rsid w:val="006B2ABD"/>
    <w:rPr>
      <w:color w:val="0000FF"/>
      <w:u w:val="single"/>
    </w:rPr>
  </w:style>
  <w:style w:type="paragraph" w:customStyle="1" w:styleId="paragraph">
    <w:name w:val="paragraph"/>
    <w:basedOn w:val="Normal"/>
    <w:rsid w:val="006B2AB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D6A06"/>
    <w:rPr>
      <w:color w:val="605E5C"/>
      <w:shd w:val="clear" w:color="auto" w:fill="E1DFDD"/>
    </w:rPr>
  </w:style>
  <w:style w:type="paragraph" w:styleId="Header">
    <w:name w:val="header"/>
    <w:basedOn w:val="Normal"/>
    <w:link w:val="HeaderChar"/>
    <w:uiPriority w:val="99"/>
    <w:unhideWhenUsed/>
    <w:rsid w:val="00BF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6E"/>
  </w:style>
  <w:style w:type="paragraph" w:styleId="Footer">
    <w:name w:val="footer"/>
    <w:basedOn w:val="Normal"/>
    <w:link w:val="FooterChar"/>
    <w:uiPriority w:val="99"/>
    <w:unhideWhenUsed/>
    <w:rsid w:val="00BF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39994">
      <w:bodyDiv w:val="1"/>
      <w:marLeft w:val="0"/>
      <w:marRight w:val="0"/>
      <w:marTop w:val="0"/>
      <w:marBottom w:val="0"/>
      <w:divBdr>
        <w:top w:val="none" w:sz="0" w:space="0" w:color="auto"/>
        <w:left w:val="none" w:sz="0" w:space="0" w:color="auto"/>
        <w:bottom w:val="none" w:sz="0" w:space="0" w:color="auto"/>
        <w:right w:val="none" w:sz="0" w:space="0" w:color="auto"/>
      </w:divBdr>
    </w:div>
    <w:div w:id="428239705">
      <w:bodyDiv w:val="1"/>
      <w:marLeft w:val="0"/>
      <w:marRight w:val="0"/>
      <w:marTop w:val="0"/>
      <w:marBottom w:val="0"/>
      <w:divBdr>
        <w:top w:val="none" w:sz="0" w:space="0" w:color="auto"/>
        <w:left w:val="none" w:sz="0" w:space="0" w:color="auto"/>
        <w:bottom w:val="none" w:sz="0" w:space="0" w:color="auto"/>
        <w:right w:val="none" w:sz="0" w:space="0" w:color="auto"/>
      </w:divBdr>
    </w:div>
    <w:div w:id="537738587">
      <w:bodyDiv w:val="1"/>
      <w:marLeft w:val="0"/>
      <w:marRight w:val="0"/>
      <w:marTop w:val="0"/>
      <w:marBottom w:val="0"/>
      <w:divBdr>
        <w:top w:val="none" w:sz="0" w:space="0" w:color="auto"/>
        <w:left w:val="none" w:sz="0" w:space="0" w:color="auto"/>
        <w:bottom w:val="none" w:sz="0" w:space="0" w:color="auto"/>
        <w:right w:val="none" w:sz="0" w:space="0" w:color="auto"/>
      </w:divBdr>
    </w:div>
    <w:div w:id="754402406">
      <w:bodyDiv w:val="1"/>
      <w:marLeft w:val="0"/>
      <w:marRight w:val="0"/>
      <w:marTop w:val="0"/>
      <w:marBottom w:val="0"/>
      <w:divBdr>
        <w:top w:val="none" w:sz="0" w:space="0" w:color="auto"/>
        <w:left w:val="none" w:sz="0" w:space="0" w:color="auto"/>
        <w:bottom w:val="none" w:sz="0" w:space="0" w:color="auto"/>
        <w:right w:val="none" w:sz="0" w:space="0" w:color="auto"/>
      </w:divBdr>
    </w:div>
    <w:div w:id="1144666640">
      <w:bodyDiv w:val="1"/>
      <w:marLeft w:val="0"/>
      <w:marRight w:val="0"/>
      <w:marTop w:val="0"/>
      <w:marBottom w:val="0"/>
      <w:divBdr>
        <w:top w:val="none" w:sz="0" w:space="0" w:color="auto"/>
        <w:left w:val="none" w:sz="0" w:space="0" w:color="auto"/>
        <w:bottom w:val="none" w:sz="0" w:space="0" w:color="auto"/>
        <w:right w:val="none" w:sz="0" w:space="0" w:color="auto"/>
      </w:divBdr>
    </w:div>
    <w:div w:id="1164934303">
      <w:bodyDiv w:val="1"/>
      <w:marLeft w:val="0"/>
      <w:marRight w:val="0"/>
      <w:marTop w:val="0"/>
      <w:marBottom w:val="0"/>
      <w:divBdr>
        <w:top w:val="none" w:sz="0" w:space="0" w:color="auto"/>
        <w:left w:val="none" w:sz="0" w:space="0" w:color="auto"/>
        <w:bottom w:val="none" w:sz="0" w:space="0" w:color="auto"/>
        <w:right w:val="none" w:sz="0" w:space="0" w:color="auto"/>
      </w:divBdr>
    </w:div>
    <w:div w:id="1170489546">
      <w:bodyDiv w:val="1"/>
      <w:marLeft w:val="0"/>
      <w:marRight w:val="0"/>
      <w:marTop w:val="0"/>
      <w:marBottom w:val="0"/>
      <w:divBdr>
        <w:top w:val="none" w:sz="0" w:space="0" w:color="auto"/>
        <w:left w:val="none" w:sz="0" w:space="0" w:color="auto"/>
        <w:bottom w:val="none" w:sz="0" w:space="0" w:color="auto"/>
        <w:right w:val="none" w:sz="0" w:space="0" w:color="auto"/>
      </w:divBdr>
    </w:div>
    <w:div w:id="1233387760">
      <w:bodyDiv w:val="1"/>
      <w:marLeft w:val="0"/>
      <w:marRight w:val="0"/>
      <w:marTop w:val="0"/>
      <w:marBottom w:val="0"/>
      <w:divBdr>
        <w:top w:val="none" w:sz="0" w:space="0" w:color="auto"/>
        <w:left w:val="none" w:sz="0" w:space="0" w:color="auto"/>
        <w:bottom w:val="none" w:sz="0" w:space="0" w:color="auto"/>
        <w:right w:val="none" w:sz="0" w:space="0" w:color="auto"/>
      </w:divBdr>
    </w:div>
    <w:div w:id="2029788236">
      <w:bodyDiv w:val="1"/>
      <w:marLeft w:val="0"/>
      <w:marRight w:val="0"/>
      <w:marTop w:val="0"/>
      <w:marBottom w:val="0"/>
      <w:divBdr>
        <w:top w:val="none" w:sz="0" w:space="0" w:color="auto"/>
        <w:left w:val="none" w:sz="0" w:space="0" w:color="auto"/>
        <w:bottom w:val="none" w:sz="0" w:space="0" w:color="auto"/>
        <w:right w:val="none" w:sz="0" w:space="0" w:color="auto"/>
      </w:divBdr>
    </w:div>
    <w:div w:id="20832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2125</Words>
  <Characters>12113</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SDI 1180</cp:lastModifiedBy>
  <cp:revision>8</cp:revision>
  <dcterms:created xsi:type="dcterms:W3CDTF">2025-08-23T09:49:00Z</dcterms:created>
  <dcterms:modified xsi:type="dcterms:W3CDTF">2025-08-29T12:13:00Z</dcterms:modified>
</cp:coreProperties>
</file>