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5D2EF" w14:textId="11CA4DBE" w:rsidR="009947CE" w:rsidRDefault="009947CE" w:rsidP="006A25C9">
      <w:pPr>
        <w:jc w:val="center"/>
        <w:rPr>
          <w:rFonts w:ascii="Times New Roman" w:hAnsi="Times New Roman" w:cs="Times New Roman"/>
          <w:b/>
          <w:sz w:val="28"/>
          <w:szCs w:val="24"/>
        </w:rPr>
      </w:pPr>
      <w:bookmarkStart w:id="0" w:name="_GoBack"/>
      <w:r w:rsidRPr="009947CE">
        <w:rPr>
          <w:rFonts w:ascii="Times New Roman" w:hAnsi="Times New Roman" w:cs="Times New Roman"/>
          <w:b/>
          <w:bCs/>
          <w:i/>
          <w:iCs/>
          <w:sz w:val="28"/>
          <w:szCs w:val="24"/>
          <w:u w:val="single"/>
          <w:lang w:val="en-US"/>
        </w:rPr>
        <w:t>Original Research Article</w:t>
      </w:r>
    </w:p>
    <w:bookmarkEnd w:id="0"/>
    <w:p w14:paraId="77A4482F" w14:textId="2A17CCBA" w:rsidR="00F860DE" w:rsidRPr="0049220A" w:rsidRDefault="00EE39D9" w:rsidP="006A25C9">
      <w:pPr>
        <w:jc w:val="center"/>
        <w:rPr>
          <w:rFonts w:ascii="Times New Roman" w:hAnsi="Times New Roman" w:cs="Times New Roman"/>
          <w:b/>
          <w:i/>
          <w:sz w:val="28"/>
          <w:szCs w:val="24"/>
        </w:rPr>
      </w:pPr>
      <w:r w:rsidRPr="0049220A">
        <w:rPr>
          <w:rFonts w:ascii="Times New Roman" w:hAnsi="Times New Roman" w:cs="Times New Roman"/>
          <w:b/>
          <w:sz w:val="28"/>
          <w:szCs w:val="24"/>
        </w:rPr>
        <w:t>Scree</w:t>
      </w:r>
      <w:r w:rsidR="00345798" w:rsidRPr="0049220A">
        <w:rPr>
          <w:rFonts w:ascii="Times New Roman" w:hAnsi="Times New Roman" w:cs="Times New Roman"/>
          <w:b/>
          <w:sz w:val="28"/>
          <w:szCs w:val="24"/>
        </w:rPr>
        <w:t>n</w:t>
      </w:r>
      <w:r w:rsidRPr="0049220A">
        <w:rPr>
          <w:rFonts w:ascii="Times New Roman" w:hAnsi="Times New Roman" w:cs="Times New Roman"/>
          <w:b/>
          <w:sz w:val="28"/>
          <w:szCs w:val="24"/>
        </w:rPr>
        <w:t xml:space="preserve">ing potential </w:t>
      </w:r>
      <w:r w:rsidR="006A25C9" w:rsidRPr="0049220A">
        <w:rPr>
          <w:rFonts w:ascii="Times New Roman" w:hAnsi="Times New Roman" w:cs="Times New Roman"/>
          <w:b/>
          <w:sz w:val="28"/>
          <w:szCs w:val="24"/>
        </w:rPr>
        <w:t xml:space="preserve">Bioactive Compounds in the Ethanolic Extract of Marine Seaweed </w:t>
      </w:r>
      <w:proofErr w:type="spellStart"/>
      <w:r w:rsidR="00D54B3B" w:rsidRPr="0049220A">
        <w:rPr>
          <w:rFonts w:ascii="Times New Roman" w:hAnsi="Times New Roman" w:cs="Times New Roman"/>
          <w:b/>
          <w:i/>
          <w:sz w:val="28"/>
          <w:szCs w:val="24"/>
        </w:rPr>
        <w:t>Acanthophora</w:t>
      </w:r>
      <w:proofErr w:type="spellEnd"/>
      <w:r w:rsidR="00D54B3B" w:rsidRPr="0049220A">
        <w:rPr>
          <w:rFonts w:ascii="Times New Roman" w:hAnsi="Times New Roman" w:cs="Times New Roman"/>
          <w:b/>
          <w:i/>
          <w:sz w:val="28"/>
          <w:szCs w:val="24"/>
        </w:rPr>
        <w:t xml:space="preserve"> </w:t>
      </w:r>
      <w:proofErr w:type="spellStart"/>
      <w:r w:rsidR="00D54B3B" w:rsidRPr="0049220A">
        <w:rPr>
          <w:rFonts w:ascii="Times New Roman" w:hAnsi="Times New Roman" w:cs="Times New Roman"/>
          <w:b/>
          <w:i/>
          <w:sz w:val="28"/>
          <w:szCs w:val="24"/>
        </w:rPr>
        <w:t>nayadiformis</w:t>
      </w:r>
      <w:proofErr w:type="spellEnd"/>
    </w:p>
    <w:p w14:paraId="073D361B" w14:textId="77777777" w:rsidR="00F860DE" w:rsidRPr="0049220A" w:rsidRDefault="00F860DE" w:rsidP="006A25C9">
      <w:pPr>
        <w:rPr>
          <w:rFonts w:ascii="Times New Roman" w:hAnsi="Times New Roman" w:cs="Times New Roman"/>
          <w:sz w:val="24"/>
          <w:szCs w:val="24"/>
        </w:rPr>
      </w:pPr>
    </w:p>
    <w:p w14:paraId="52516DFE" w14:textId="77777777" w:rsidR="00BA04A3" w:rsidRPr="0049220A" w:rsidRDefault="00BA04A3" w:rsidP="006A25C9">
      <w:pPr>
        <w:rPr>
          <w:rFonts w:ascii="Times New Roman" w:hAnsi="Times New Roman" w:cs="Times New Roman"/>
          <w:sz w:val="24"/>
          <w:szCs w:val="24"/>
        </w:rPr>
      </w:pPr>
    </w:p>
    <w:p w14:paraId="18F58E5B" w14:textId="77777777" w:rsidR="003421EC" w:rsidRPr="0049220A" w:rsidRDefault="003421EC" w:rsidP="006A25C9">
      <w:pPr>
        <w:rPr>
          <w:rFonts w:ascii="Times New Roman" w:hAnsi="Times New Roman" w:cs="Times New Roman"/>
          <w:b/>
          <w:sz w:val="24"/>
          <w:szCs w:val="24"/>
        </w:rPr>
      </w:pPr>
      <w:r w:rsidRPr="0049220A">
        <w:rPr>
          <w:rFonts w:ascii="Times New Roman" w:hAnsi="Times New Roman" w:cs="Times New Roman"/>
          <w:b/>
          <w:sz w:val="24"/>
          <w:szCs w:val="24"/>
        </w:rPr>
        <w:t>Abstract</w:t>
      </w:r>
    </w:p>
    <w:p w14:paraId="1F62EDCF" w14:textId="77777777" w:rsidR="00960F65" w:rsidRPr="0049220A" w:rsidRDefault="00596613" w:rsidP="00596613">
      <w:pPr>
        <w:jc w:val="both"/>
        <w:rPr>
          <w:rFonts w:ascii="Times New Roman" w:hAnsi="Times New Roman" w:cs="Times New Roman"/>
          <w:sz w:val="24"/>
          <w:szCs w:val="24"/>
        </w:rPr>
      </w:pPr>
      <w:r w:rsidRPr="0049220A">
        <w:rPr>
          <w:rFonts w:ascii="Times New Roman" w:hAnsi="Times New Roman" w:cs="Times New Roman"/>
          <w:sz w:val="24"/>
          <w:szCs w:val="24"/>
        </w:rPr>
        <w:t>This study explored the biochemical profi</w:t>
      </w:r>
      <w:r w:rsidR="006A146C" w:rsidRPr="0049220A">
        <w:rPr>
          <w:rFonts w:ascii="Times New Roman" w:hAnsi="Times New Roman" w:cs="Times New Roman"/>
          <w:sz w:val="24"/>
          <w:szCs w:val="24"/>
        </w:rPr>
        <w:t>le and pharmacological properties</w:t>
      </w:r>
      <w:r w:rsidRPr="0049220A">
        <w:rPr>
          <w:rFonts w:ascii="Times New Roman" w:hAnsi="Times New Roman" w:cs="Times New Roman"/>
          <w:sz w:val="24"/>
          <w:szCs w:val="24"/>
        </w:rPr>
        <w:t xml:space="preserve"> of the ethanolic extract of the red marine macroalga </w:t>
      </w:r>
      <w:proofErr w:type="spellStart"/>
      <w:r w:rsidRPr="0049220A">
        <w:rPr>
          <w:rFonts w:ascii="Times New Roman" w:hAnsi="Times New Roman" w:cs="Times New Roman"/>
          <w:i/>
          <w:sz w:val="24"/>
          <w:szCs w:val="24"/>
        </w:rPr>
        <w:t>Acanthophora</w:t>
      </w:r>
      <w:proofErr w:type="spellEnd"/>
      <w:r w:rsidRPr="0049220A">
        <w:rPr>
          <w:rFonts w:ascii="Times New Roman" w:hAnsi="Times New Roman" w:cs="Times New Roman"/>
          <w:i/>
          <w:sz w:val="24"/>
          <w:szCs w:val="24"/>
        </w:rPr>
        <w:t xml:space="preserve">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 xml:space="preserve"> using gas chromatography-mass spectrometry (GC-MS). A div</w:t>
      </w:r>
      <w:r w:rsidR="006A146C" w:rsidRPr="0049220A">
        <w:rPr>
          <w:rFonts w:ascii="Times New Roman" w:hAnsi="Times New Roman" w:cs="Times New Roman"/>
          <w:sz w:val="24"/>
          <w:szCs w:val="24"/>
        </w:rPr>
        <w:t>erse array of bioactive chemicals were found</w:t>
      </w:r>
      <w:r w:rsidRPr="0049220A">
        <w:rPr>
          <w:rFonts w:ascii="Times New Roman" w:hAnsi="Times New Roman" w:cs="Times New Roman"/>
          <w:sz w:val="24"/>
          <w:szCs w:val="24"/>
        </w:rPr>
        <w:t xml:space="preserve">, including fatty acids, esters, alcohols, alkanes, terpenoids, and steroidal derivatives. </w:t>
      </w:r>
      <w:r w:rsidR="006A146C" w:rsidRPr="0049220A">
        <w:rPr>
          <w:rFonts w:ascii="Times New Roman" w:hAnsi="Times New Roman" w:cs="Times New Roman"/>
          <w:sz w:val="24"/>
          <w:szCs w:val="24"/>
        </w:rPr>
        <w:t xml:space="preserve">The primary ingredients </w:t>
      </w:r>
      <w:r w:rsidR="00273B94" w:rsidRPr="0049220A">
        <w:rPr>
          <w:rFonts w:ascii="Times New Roman" w:hAnsi="Times New Roman" w:cs="Times New Roman"/>
          <w:sz w:val="24"/>
          <w:szCs w:val="24"/>
        </w:rPr>
        <w:t>were 12-Methyl-</w:t>
      </w:r>
      <w:proofErr w:type="gramStart"/>
      <w:r w:rsidR="00273B94" w:rsidRPr="0049220A">
        <w:rPr>
          <w:rFonts w:ascii="Times New Roman" w:hAnsi="Times New Roman" w:cs="Times New Roman"/>
          <w:sz w:val="24"/>
          <w:szCs w:val="24"/>
        </w:rPr>
        <w:t>E,E</w:t>
      </w:r>
      <w:proofErr w:type="gramEnd"/>
      <w:r w:rsidR="00273B94" w:rsidRPr="0049220A">
        <w:rPr>
          <w:rFonts w:ascii="Times New Roman" w:hAnsi="Times New Roman" w:cs="Times New Roman"/>
          <w:sz w:val="24"/>
          <w:szCs w:val="24"/>
        </w:rPr>
        <w:t xml:space="preserve">-2,13-octadecadien-1-ol (16.74%), </w:t>
      </w:r>
      <w:proofErr w:type="spellStart"/>
      <w:r w:rsidR="00273B94" w:rsidRPr="0049220A">
        <w:rPr>
          <w:rFonts w:ascii="Times New Roman" w:hAnsi="Times New Roman" w:cs="Times New Roman"/>
          <w:sz w:val="24"/>
          <w:szCs w:val="24"/>
        </w:rPr>
        <w:t>Octadecanal</w:t>
      </w:r>
      <w:proofErr w:type="spellEnd"/>
      <w:r w:rsidR="00273B94" w:rsidRPr="0049220A">
        <w:rPr>
          <w:rFonts w:ascii="Times New Roman" w:hAnsi="Times New Roman" w:cs="Times New Roman"/>
          <w:sz w:val="24"/>
          <w:szCs w:val="24"/>
        </w:rPr>
        <w:t>, 2-bromo- (8.56%), 17-Octadecynoic acid (5.83%), and 1-Heptatriacotanol (5.48%). The identified</w:t>
      </w:r>
      <w:r w:rsidRPr="0049220A">
        <w:rPr>
          <w:rFonts w:ascii="Times New Roman" w:hAnsi="Times New Roman" w:cs="Times New Roman"/>
          <w:sz w:val="24"/>
          <w:szCs w:val="24"/>
        </w:rPr>
        <w:t xml:space="preserve"> compo</w:t>
      </w:r>
      <w:r w:rsidR="006A146C" w:rsidRPr="0049220A">
        <w:rPr>
          <w:rFonts w:ascii="Times New Roman" w:hAnsi="Times New Roman" w:cs="Times New Roman"/>
          <w:sz w:val="24"/>
          <w:szCs w:val="24"/>
        </w:rPr>
        <w:t>unds are reported to exhibit significant</w:t>
      </w:r>
      <w:r w:rsidRPr="0049220A">
        <w:rPr>
          <w:rFonts w:ascii="Times New Roman" w:hAnsi="Times New Roman" w:cs="Times New Roman"/>
          <w:sz w:val="24"/>
          <w:szCs w:val="24"/>
        </w:rPr>
        <w:t xml:space="preserve"> biological activities </w:t>
      </w:r>
      <w:r w:rsidR="006A146C" w:rsidRPr="0049220A">
        <w:rPr>
          <w:rFonts w:ascii="Times New Roman" w:hAnsi="Times New Roman" w:cs="Times New Roman"/>
          <w:sz w:val="24"/>
          <w:szCs w:val="24"/>
        </w:rPr>
        <w:t xml:space="preserve">including antioxidant, antimicrobial, anti-inflammatory, </w:t>
      </w:r>
      <w:r w:rsidRPr="0049220A">
        <w:rPr>
          <w:rFonts w:ascii="Times New Roman" w:hAnsi="Times New Roman" w:cs="Times New Roman"/>
          <w:sz w:val="24"/>
          <w:szCs w:val="24"/>
        </w:rPr>
        <w:t xml:space="preserve">cytotoxic </w:t>
      </w:r>
      <w:r w:rsidR="00273B94" w:rsidRPr="0049220A">
        <w:rPr>
          <w:rFonts w:ascii="Times New Roman" w:hAnsi="Times New Roman" w:cs="Times New Roman"/>
          <w:sz w:val="24"/>
          <w:szCs w:val="24"/>
        </w:rPr>
        <w:t xml:space="preserve">and anticancer </w:t>
      </w:r>
      <w:r w:rsidRPr="0049220A">
        <w:rPr>
          <w:rFonts w:ascii="Times New Roman" w:hAnsi="Times New Roman" w:cs="Times New Roman"/>
          <w:sz w:val="24"/>
          <w:szCs w:val="24"/>
        </w:rPr>
        <w:t xml:space="preserve">effects. The predominance of PUFA derivatives and the detection of antimicrobial and cytoprotective agents in </w:t>
      </w:r>
      <w:r w:rsidRPr="0049220A">
        <w:rPr>
          <w:rFonts w:ascii="Times New Roman" w:hAnsi="Times New Roman" w:cs="Times New Roman"/>
          <w:i/>
          <w:sz w:val="24"/>
          <w:szCs w:val="24"/>
        </w:rPr>
        <w:t xml:space="preserve">A.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 xml:space="preserve"> support its value as a natural source for pharmaceutical development. This research highlights the multifunctional bioactivity of marine seaweed extracts and their promise for future drug discovery and biotechnology applications.</w:t>
      </w:r>
    </w:p>
    <w:p w14:paraId="3149F33E" w14:textId="77777777" w:rsidR="009707E3" w:rsidRPr="0049220A" w:rsidRDefault="009707E3" w:rsidP="006A25C9">
      <w:pPr>
        <w:rPr>
          <w:rFonts w:ascii="Times New Roman" w:hAnsi="Times New Roman" w:cs="Times New Roman"/>
          <w:sz w:val="24"/>
          <w:szCs w:val="24"/>
        </w:rPr>
      </w:pPr>
    </w:p>
    <w:p w14:paraId="7D057194" w14:textId="77777777" w:rsidR="003421EC" w:rsidRPr="0049220A" w:rsidRDefault="003421EC" w:rsidP="006A25C9">
      <w:pPr>
        <w:rPr>
          <w:rFonts w:ascii="Times New Roman" w:hAnsi="Times New Roman" w:cs="Times New Roman"/>
          <w:sz w:val="24"/>
          <w:szCs w:val="24"/>
        </w:rPr>
      </w:pPr>
      <w:r w:rsidRPr="0049220A">
        <w:rPr>
          <w:rFonts w:ascii="Times New Roman" w:hAnsi="Times New Roman" w:cs="Times New Roman"/>
          <w:b/>
          <w:sz w:val="24"/>
          <w:szCs w:val="24"/>
        </w:rPr>
        <w:t>Key words:</w:t>
      </w:r>
      <w:r w:rsidR="009707E3" w:rsidRPr="0049220A">
        <w:rPr>
          <w:rFonts w:ascii="Times New Roman" w:hAnsi="Times New Roman" w:cs="Times New Roman"/>
          <w:sz w:val="24"/>
          <w:szCs w:val="24"/>
        </w:rPr>
        <w:t xml:space="preserve"> </w:t>
      </w:r>
      <w:r w:rsidR="00273B94" w:rsidRPr="0049220A">
        <w:rPr>
          <w:rFonts w:ascii="Times New Roman" w:hAnsi="Times New Roman" w:cs="Times New Roman"/>
          <w:sz w:val="24"/>
          <w:szCs w:val="24"/>
        </w:rPr>
        <w:t xml:space="preserve">Sea weed, </w:t>
      </w:r>
      <w:proofErr w:type="spellStart"/>
      <w:r w:rsidR="00FC19D7" w:rsidRPr="0049220A">
        <w:rPr>
          <w:rFonts w:ascii="Times New Roman" w:hAnsi="Times New Roman" w:cs="Times New Roman"/>
          <w:i/>
          <w:sz w:val="24"/>
          <w:szCs w:val="24"/>
        </w:rPr>
        <w:t>Acanthophora</w:t>
      </w:r>
      <w:proofErr w:type="spellEnd"/>
      <w:r w:rsidR="00FC19D7" w:rsidRPr="0049220A">
        <w:rPr>
          <w:rFonts w:ascii="Times New Roman" w:hAnsi="Times New Roman" w:cs="Times New Roman"/>
          <w:i/>
          <w:sz w:val="24"/>
          <w:szCs w:val="24"/>
        </w:rPr>
        <w:t xml:space="preserve"> </w:t>
      </w:r>
      <w:proofErr w:type="spellStart"/>
      <w:r w:rsidR="00FC19D7" w:rsidRPr="0049220A">
        <w:rPr>
          <w:rFonts w:ascii="Times New Roman" w:hAnsi="Times New Roman" w:cs="Times New Roman"/>
          <w:i/>
          <w:sz w:val="24"/>
          <w:szCs w:val="24"/>
        </w:rPr>
        <w:t>nayadiformis</w:t>
      </w:r>
      <w:proofErr w:type="spellEnd"/>
      <w:r w:rsidR="009707E3" w:rsidRPr="0049220A">
        <w:rPr>
          <w:rFonts w:ascii="Times New Roman" w:hAnsi="Times New Roman" w:cs="Times New Roman"/>
          <w:sz w:val="24"/>
          <w:szCs w:val="24"/>
        </w:rPr>
        <w:t xml:space="preserve">, GC-MS analysis, </w:t>
      </w:r>
      <w:r w:rsidR="00273B94" w:rsidRPr="0049220A">
        <w:rPr>
          <w:rFonts w:ascii="Times New Roman" w:hAnsi="Times New Roman" w:cs="Times New Roman"/>
          <w:sz w:val="24"/>
          <w:szCs w:val="24"/>
        </w:rPr>
        <w:t xml:space="preserve">phytochemicals. </w:t>
      </w:r>
    </w:p>
    <w:p w14:paraId="54E335B9" w14:textId="77777777" w:rsidR="003421EC" w:rsidRPr="0049220A" w:rsidRDefault="003421EC" w:rsidP="006A25C9">
      <w:pPr>
        <w:rPr>
          <w:rFonts w:ascii="Times New Roman" w:hAnsi="Times New Roman" w:cs="Times New Roman"/>
          <w:sz w:val="24"/>
          <w:szCs w:val="24"/>
        </w:rPr>
      </w:pPr>
    </w:p>
    <w:p w14:paraId="2B90D6E5" w14:textId="77777777" w:rsidR="003421EC" w:rsidRPr="0049220A" w:rsidRDefault="003421EC" w:rsidP="00856A4D">
      <w:pPr>
        <w:pStyle w:val="ListParagraph"/>
        <w:numPr>
          <w:ilvl w:val="0"/>
          <w:numId w:val="1"/>
        </w:numPr>
        <w:rPr>
          <w:rFonts w:ascii="Times New Roman" w:hAnsi="Times New Roman" w:cs="Times New Roman"/>
          <w:b/>
          <w:sz w:val="24"/>
          <w:szCs w:val="24"/>
        </w:rPr>
      </w:pPr>
      <w:r w:rsidRPr="0049220A">
        <w:rPr>
          <w:rFonts w:ascii="Times New Roman" w:hAnsi="Times New Roman" w:cs="Times New Roman"/>
          <w:b/>
          <w:sz w:val="24"/>
          <w:szCs w:val="24"/>
        </w:rPr>
        <w:t>Introduction</w:t>
      </w:r>
    </w:p>
    <w:p w14:paraId="6E90DD1D" w14:textId="77777777" w:rsidR="00EE4FA6" w:rsidRPr="0049220A" w:rsidRDefault="00132707"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S</w:t>
      </w:r>
      <w:r w:rsidR="00DD06D2" w:rsidRPr="0049220A">
        <w:rPr>
          <w:rFonts w:ascii="Times New Roman" w:hAnsi="Times New Roman" w:cs="Times New Roman"/>
          <w:sz w:val="24"/>
          <w:szCs w:val="24"/>
        </w:rPr>
        <w:t xml:space="preserve">eaweeds </w:t>
      </w:r>
      <w:r w:rsidR="00625BF3" w:rsidRPr="0049220A">
        <w:rPr>
          <w:rFonts w:ascii="Times New Roman" w:hAnsi="Times New Roman" w:cs="Times New Roman"/>
          <w:sz w:val="24"/>
          <w:szCs w:val="24"/>
        </w:rPr>
        <w:t xml:space="preserve">are at great interest to the researcher in the field of biotechnology, as </w:t>
      </w:r>
      <w:r w:rsidRPr="0049220A">
        <w:rPr>
          <w:rFonts w:ascii="Times New Roman" w:hAnsi="Times New Roman" w:cs="Times New Roman"/>
          <w:sz w:val="24"/>
          <w:szCs w:val="24"/>
        </w:rPr>
        <w:t>a significant number</w:t>
      </w:r>
      <w:r w:rsidR="00625BF3" w:rsidRPr="0049220A">
        <w:rPr>
          <w:rFonts w:ascii="Times New Roman" w:hAnsi="Times New Roman" w:cs="Times New Roman"/>
          <w:sz w:val="24"/>
          <w:szCs w:val="24"/>
        </w:rPr>
        <w:t xml:space="preserve"> of the drug industries depend </w:t>
      </w:r>
      <w:r w:rsidR="00DD06D2" w:rsidRPr="0049220A">
        <w:rPr>
          <w:rFonts w:ascii="Times New Roman" w:hAnsi="Times New Roman" w:cs="Times New Roman"/>
          <w:sz w:val="24"/>
          <w:szCs w:val="24"/>
        </w:rPr>
        <w:t xml:space="preserve">on it </w:t>
      </w:r>
      <w:r w:rsidR="00625BF3" w:rsidRPr="0049220A">
        <w:rPr>
          <w:rFonts w:ascii="Times New Roman" w:hAnsi="Times New Roman" w:cs="Times New Roman"/>
          <w:sz w:val="24"/>
          <w:szCs w:val="24"/>
        </w:rPr>
        <w:t>for the production of pharmaceutical compounds</w:t>
      </w:r>
      <w:r w:rsidR="006308D7" w:rsidRPr="0049220A">
        <w:rPr>
          <w:rFonts w:ascii="Times New Roman" w:hAnsi="Times New Roman" w:cs="Times New Roman"/>
          <w:sz w:val="24"/>
          <w:szCs w:val="24"/>
        </w:rPr>
        <w:t xml:space="preserve"> </w:t>
      </w:r>
      <w:r w:rsidR="006308D7"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10.37349/EDS.2024.00036","ISSN":"2836-7677","abstract":"admin@explorationpub.com","author":[{"dropping-particle":"","family":"Pereira","given":"Leonel","non-dropping-particle":"","parse-names":false,"suffix":""},{"dropping-particle":"","family":"Cotas","given":"João","non-dropping-particle":"","parse-names":false,"suffix":""}],"container-title":"Open Exploration","id":"ITEM-1","issue":"1","issued":{"date-parts":[["2024","2","27"]]},"page":"50-84","publisher":"Open Exploration","title":"Seaweed: a sustainable solution for greening drug manufacturing in the pursuit of sustainable healthcare","type":"article-journal","volume":"2"},"uris":["http://www.mendeley.com/documents/?uuid=3cc31d88-e8c0-3056-856c-19f05ffb3c56"]},{"id":"ITEM-2","itemData":{"DOI":"10.1007/S13197-013-1105-9","ISSN":"09758402","PMID":"25694742","abstract":"Medicinal plants are at great interest to the researcher in the field of biotechnology, as most of the drug industries depend in medicinal plants for the production of pharmaceutical compounds. Plants are the traditional sources for many chemicals used as pharmaceutical biochemicals, fragrances, food colours and flavours in different countries especially in India. Most herbal medicines and their derivative products were often prepared from crude plant extracts, which comprise a complex mixture of different phytochemical constituents (plant secondary metabolites). The chemical features of these constituents differ considerably among different species. GC-MS method used for the analysis of the obtained extracts can be an interesting tool for testing the amount of some active principles in herbs used in cosmetic, drugs, pharmaceutical or food industry. The aim of this study was to carry out for identification of bioactive compounds from the whole plant ethanolic extract of Evolvulus alsinoides by Gas chromatography and Mass spectroscopy (GC-MS). GCMS analysis of ethanolic extract was done by standard protocol using the equipment Thermo GC-Trace Ultra Version: 5.0, Thermo MS DSQ II. The GC-MS analysis revealed the presence of various compounds like piperine, octodeconoic acids, hexadecanoic acid and squalene in the ethanolic extract of Evolvulus alsinoides. Hence, the Evolvulus alsinoides may have chemopreventive, anticancer, anti-microbial activity, antioxidant and antidiabetic activity due to the presence of secondary metabolites in the ethanolic extract. Due to the presence of esters which can be used as a flavoring agent in food industries. These findings support the traditional use of Evolvulus alsinoides in various disorders. Further studies are needed to isolate active principle of the extract as well as to elucidate their exact mechanism of action in various disorders.","author":[{"dropping-particle":"","family":"Gomathi","given":"Duraisamy","non-dropping-particle":"","parse-names":false,"suffix":""},{"dropping-particle":"","family":"Kalaiselvi","given":"Manokaran","non-dropping-particle":"","parse-names":false,"suffix":""},{"dropping-particle":"","family":"Ravikumar","given":"Ganesan","non-dropping-particle":"","parse-names":false,"suffix":""},{"dropping-particle":"","family":"Devaki","given":"Kanakasabapathi","non-dropping-particle":"","parse-names":false,"suffix":""},{"dropping-particle":"","family":"Uma","given":"Chandrasekar","non-dropping-particle":"","parse-names":false,"suffix":""}],"container-title":"Journal of Food Science and Technology","id":"ITEM-2","issue":"2","issued":{"date-parts":[["2013","2","1"]]},"page":"1212","publisher":"Springer","title":"GC-MS analysis of bioactive compounds from the whole plant ethanolic extract of Evolvulus alsinoides (L.) L","type":"article-journal","volume":"52"},"uris":["http://www.mendeley.com/documents/?uuid=0e7752a7-29b7-3dae-b6ba-fd6160f51739"]}],"mendeley":{"formattedCitation":"(Gomathi et al., 2013; Pereira &amp; Cotas, 2024)","plainTextFormattedCitation":"(Gomathi et al., 2013; Pereira &amp; Cotas, 2024)","previouslyFormattedCitation":"(Gomathi et al., 2013; Pereira &amp; Cotas, 2024)"},"properties":{"noteIndex":0},"schema":"https://github.com/citation-style-language/schema/raw/master/csl-citation.json"}</w:instrText>
      </w:r>
      <w:r w:rsidR="006308D7"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(Gomathi et al., 2013; Pereira &amp; Cotas, 2024)</w:t>
      </w:r>
      <w:r w:rsidR="006308D7" w:rsidRPr="0049220A">
        <w:rPr>
          <w:rFonts w:ascii="Times New Roman" w:hAnsi="Times New Roman" w:cs="Times New Roman"/>
          <w:sz w:val="24"/>
          <w:szCs w:val="24"/>
        </w:rPr>
        <w:fldChar w:fldCharType="end"/>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They have long been utilized as natural sources of various substances used in pharmaceuticals, fragrances, food colorants, and </w:t>
      </w:r>
      <w:proofErr w:type="spellStart"/>
      <w:r w:rsidR="0065004C" w:rsidRPr="0049220A">
        <w:rPr>
          <w:rFonts w:ascii="Times New Roman" w:hAnsi="Times New Roman" w:cs="Times New Roman"/>
          <w:sz w:val="24"/>
          <w:szCs w:val="24"/>
        </w:rPr>
        <w:t>flavoring</w:t>
      </w:r>
      <w:proofErr w:type="spellEnd"/>
      <w:r w:rsidR="0065004C" w:rsidRPr="0049220A">
        <w:rPr>
          <w:rFonts w:ascii="Times New Roman" w:hAnsi="Times New Roman" w:cs="Times New Roman"/>
          <w:sz w:val="24"/>
          <w:szCs w:val="24"/>
        </w:rPr>
        <w:t xml:space="preserve"> agents in different regions of the world</w:t>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These marine algae are rich in phytochemicals, or secondary metabolites, which exhibit therapeutic potential through their individual, combined, or synergistic effects in promoting health </w:t>
      </w:r>
      <w:r w:rsidR="004F6EF1" w:rsidRPr="0049220A">
        <w:rPr>
          <w:rFonts w:ascii="Times New Roman" w:hAnsi="Times New Roman" w:cs="Times New Roman"/>
          <w:sz w:val="24"/>
          <w:szCs w:val="24"/>
        </w:rPr>
        <w:fldChar w:fldCharType="begin" w:fldLock="1"/>
      </w:r>
      <w:r w:rsidR="004F6EF1" w:rsidRPr="0049220A">
        <w:rPr>
          <w:rFonts w:ascii="Times New Roman" w:hAnsi="Times New Roman" w:cs="Times New Roman"/>
          <w:sz w:val="24"/>
          <w:szCs w:val="24"/>
        </w:rPr>
        <w:instrText>ADDIN CSL_CITATION {"citationItems":[{"id":"ITEM-1","itemData":{"DOI":"10.1186/S43094-021-00208-4","ISSN":"2314-7253","abstract":"Medicinal plants are of great importance to researchers in the field of pharmacology as most pharmaceutical industries depend on medicinal plant for their raw materials. Hibiscus asper belongs to the family Malvaceae and is well known for its medicinal properties. The present study was carried out to evaluate the antioxidant effect and possible bioactive components present in the aqueous methanol fraction of Hibiscus asper leaves. The phytochemical of aqueous methanol fraction of Hibiscus asper leaves (AMFHAL) revealed the presence of flavonoids, tannin, phenols, saponins, alkaloids, glycosides, terpenoids, and steroids. The GC-MS analysis revealed the presence of twenty-three bioactive compounds which include 9,12,15-octadecatrien-1-ol, n-Hexadecanoic acid, octadecatrienol acid, methyl palmitate, and phytol. The phytochemical and GC-MS profiling of aqueous methanol fraction of Hibiscus asper leaves revealed the presence of bioactive compounds with important medicinal properties. Hence, the presence of these phytochemicals could be responsible for the therapeutic effects of the plant.","author":[{"dropping-particle":"","family":"Olivia","given":"Njoku Ugochi","non-dropping-particle":"","parse-names":false,"suffix":""},{"dropping-particle":"","family":"Goodness","given":"Umeh Chinenyenwa","non-dropping-particle":"","parse-names":false,"suffix":""},{"dropping-particle":"","family":"Obinna","given":"Ogugofor Martins","non-dropping-particle":"","parse-names":false,"suffix":""}],"container-title":"Future Journal of Pharmaceutical Sciences","id":"ITEM-1","issue":"1","issued":{"date-parts":[["2021","3","4"]]},"page":"1-5","publisher":"SpringerOpen","title":"Phytochemical profiling and GC-MS analysis of aqueous methanol fraction of Hibiscus asper leaves","type":"article-journal","volume":"7"},"uris":["http://www.mendeley.com/documents/?uuid=8646de97-53b9-3847-9ce3-0e4cd4c7ce9f"]}],"mendeley":{"formattedCitation":"(Olivia et al., 2021)","plainTextFormattedCitation":"(Olivia et al., 2021)","previouslyFormattedCitation":"(Olivia et al., 2021)"},"properties":{"noteIndex":0},"schema":"https://github.com/citation-style-language/schema/raw/master/csl-citation.json"}</w:instrText>
      </w:r>
      <w:r w:rsidR="004F6EF1" w:rsidRPr="0049220A">
        <w:rPr>
          <w:rFonts w:ascii="Times New Roman" w:hAnsi="Times New Roman" w:cs="Times New Roman"/>
          <w:sz w:val="24"/>
          <w:szCs w:val="24"/>
        </w:rPr>
        <w:fldChar w:fldCharType="separate"/>
      </w:r>
      <w:r w:rsidR="004F6EF1" w:rsidRPr="0049220A">
        <w:rPr>
          <w:rFonts w:ascii="Times New Roman" w:hAnsi="Times New Roman" w:cs="Times New Roman"/>
          <w:noProof/>
          <w:sz w:val="24"/>
          <w:szCs w:val="24"/>
        </w:rPr>
        <w:t>(Olivia et al., 2021)</w:t>
      </w:r>
      <w:r w:rsidR="004F6EF1" w:rsidRPr="0049220A">
        <w:rPr>
          <w:rFonts w:ascii="Times New Roman" w:hAnsi="Times New Roman" w:cs="Times New Roman"/>
          <w:sz w:val="24"/>
          <w:szCs w:val="24"/>
        </w:rPr>
        <w:fldChar w:fldCharType="end"/>
      </w:r>
      <w:r w:rsidR="00625BF3"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The discovery of new drugs often begins with identifying biologically active components from natural sources. Therefore, to scientifically validate traditional medicinal uses and to identify potential lead molecules for pharmaceutical development, it is essential to characterize the active constituents present in medicinal plants and seaweeds </w:t>
      </w:r>
      <w:r w:rsidR="004F6EF1" w:rsidRPr="0049220A">
        <w:rPr>
          <w:rFonts w:ascii="Times New Roman" w:hAnsi="Times New Roman" w:cs="Times New Roman"/>
          <w:sz w:val="24"/>
          <w:szCs w:val="24"/>
        </w:rPr>
        <w:fldChar w:fldCharType="begin" w:fldLock="1"/>
      </w:r>
      <w:r w:rsidR="00F43804" w:rsidRPr="0049220A">
        <w:rPr>
          <w:rFonts w:ascii="Times New Roman" w:hAnsi="Times New Roman" w:cs="Times New Roman"/>
          <w:sz w:val="24"/>
          <w:szCs w:val="24"/>
        </w:rPr>
        <w:instrText>ADDIN CSL_CITATION {"citationItems":[{"id":"ITEM-1","itemData":{"DOI":"10.15806/J.ISSN.2311-8571.2015.0018","ISSN":"25892894","abstract":"Evidence based validation of the ethno-pharmacological claims on traditional medicine (TM) is the need of the day for its globalization and reinforcement. Combining the unique features of identifying biomarkers that are highly conserved across species, this can offer an innovative approach to biomarker-driven drug discovery and development. TMs are an integral component of alternative health care systems. India has a rich wealth of TMs and the potential to accept the challenge to meet the global demand for them. Ayurveda, Yoga, Unani, Siddha and Homeopathy (AYUSH) medicine are the major healthcare systems in Indian Traditional Medicine. The plant species mentioned in the ancient texts of these systems may be explored with the modern scientific approaches for better leads in the healthcare. TM is the best sources of chemical diversity for finding new drugs and leads. Authentication and scientific validation of medicinal plant is a fundamental requirement of industry and other organizations dealing with herbal drugs. Quality control (QC) of botanicals, validated processes of manufacturing, customer awareness and post marketing surveillance are the key points, which could ensure the quality, safety and efficacy of TM. For globalization of TM, there is a need for harmonization with respect to its chemical and metabolite profiling, standardization, QC, scientific validation, documentation and regulatory aspects of TM. Therefore, the utmost attention is necessary for the promotion and development of TM through global collaboration and co-ordination by national and international programme.","author":[{"dropping-particle":"","family":"Mukherjee","given":"Pulok","non-dropping-particle":"","parse-names":false,"suffix":""},{"dropping-particle":"","family":"Harwansh","given":"Ranjit","non-dropping-particle":"","parse-names":false,"suffix":""},{"dropping-particle":"","family":"Bahadur","given":"Shiv","non-dropping-particle":"","parse-names":false,"suffix":""},{"dropping-particle":"","family":"Banerjee","given":"Subhadip","non-dropping-particle":"","parse-names":false,"suffix":""},{"dropping-particle":"","family":"Kar","given":"Amit","non-dropping-particle":"","parse-names":false,"suffix":""}],"container-title":"World Journal of Traditional Chinese Medicine","id":"ITEM-1","issue":"1","issued":{"date-parts":[["2016","1","1"]]},"page":"48-61","publisher":"Wolters Kluwer Medknow Publications","title":"Evidence based validation of Indian traditional medicine - Way forward","type":"article-journal","volume":"2"},"uris":["http://www.mendeley.com/documents/?uuid=953cbacb-9988-310e-b27c-1b6b86df1139"]},{"id":"ITEM-2","itemData":{"DOI":"10.3390/DDC3010011","ISSN":"2813-2998","abstract":"For thousands of years, nature has been a source of medical substances, and an astounding numeral of contemporary remedies have been identified from natural origins. Plants have long been used as folk herbal medicines to treat various disorders, and their different natural products have inspired the design, discovery, and development of new drugs. With the invention of recent molecular targets based on proteins, there is a growing need for fresh chemical diversification in screening. Natural products will play a vital part in supplying this need via the continuous exploration of global biodiversity, the majority of which remains unexplored. Even though drug discovery from medicinal plants remains an important source of novel therapeutic leads, various hurdles exist, including identifying and executing suitable high-throughput screening bioassays, scaling up the supply of bioactive molecules, and acquiring plant materials. Investigating these natural resources takes multi-disciplinary, nationwide, and global partnerships in design, synthesis, discovery, and drug development techniques. This review article discusses current advancements and future approaches for discovering natural items such as health- and wellness-promoting remedies. It also summarizes strategies to unify the therapeutic use of plant-derived natural products worldwide to support future drug discoveries derived from plant sources.","author":[{"dropping-particle":"","family":"Sezer","given":"Fatma","non-dropping-particle":"","parse-names":false,"suffix":""},{"dropping-particle":"","family":"Deniz","given":"Senol","non-dropping-particle":"","parse-names":false,"suffix":""},{"dropping-particle":"","family":"Sevim","given":"Duygu","non-dropping-particle":"","parse-names":false,"suffix":""},{"dropping-particle":"","family":"Chaachouay","given":"Noureddine","non-dropping-particle":"","parse-names":false,"suffix":""},{"dropping-particle":"","family":"Zidane","given":"Lahcen","non-dropping-particle":"","parse-names":false,"suffix":""}],"container-title":"Drugs and Drug Candidates","id":"ITEM-2","issue":"1","issued":{"date-parts":[["2024","2","19"]]},"page":"184-207","publisher":"Multidisciplinary Digital Publishing Institute","title":"Plant-Derived Natural Products: A Source for Drug Discovery and Development","type":"article-journal","volume":"3"},"uris":["http://www.mendeley.com/documents/?uuid=5b1832b2-8dad-3128-a816-5d0ca92a9251"]}],"mendeley":{"formattedCitation":"(Mukherjee et al., 2016; Sezer et al., 2024)","plainTextFormattedCitation":"(Mukherjee et al., 2016; Sezer et al., 2024)","previouslyFormattedCitation":"(Mukherjee et al., 2016; Sezer et al., 2024)"},"properties":{"noteIndex":0},"schema":"https://github.com/citation-style-language/schema/raw/master/csl-citation.json"}</w:instrText>
      </w:r>
      <w:r w:rsidR="004F6EF1" w:rsidRPr="0049220A">
        <w:rPr>
          <w:rFonts w:ascii="Times New Roman" w:hAnsi="Times New Roman" w:cs="Times New Roman"/>
          <w:sz w:val="24"/>
          <w:szCs w:val="24"/>
        </w:rPr>
        <w:fldChar w:fldCharType="separate"/>
      </w:r>
      <w:r w:rsidR="004F6EF1" w:rsidRPr="0049220A">
        <w:rPr>
          <w:rFonts w:ascii="Times New Roman" w:hAnsi="Times New Roman" w:cs="Times New Roman"/>
          <w:noProof/>
          <w:sz w:val="24"/>
          <w:szCs w:val="24"/>
        </w:rPr>
        <w:t>(Mukherjee et al., 2016; Sezer et al., 2024)</w:t>
      </w:r>
      <w:r w:rsidR="004F6EF1" w:rsidRPr="0049220A">
        <w:rPr>
          <w:rFonts w:ascii="Times New Roman" w:hAnsi="Times New Roman" w:cs="Times New Roman"/>
          <w:sz w:val="24"/>
          <w:szCs w:val="24"/>
        </w:rPr>
        <w:fldChar w:fldCharType="end"/>
      </w:r>
      <w:r w:rsidR="00EE4FA6" w:rsidRPr="0049220A">
        <w:rPr>
          <w:rFonts w:ascii="Times New Roman" w:hAnsi="Times New Roman" w:cs="Times New Roman"/>
          <w:sz w:val="24"/>
          <w:szCs w:val="24"/>
        </w:rPr>
        <w:t xml:space="preserve">. </w:t>
      </w:r>
      <w:r w:rsidR="0065004C" w:rsidRPr="0049220A">
        <w:rPr>
          <w:rFonts w:ascii="Times New Roman" w:hAnsi="Times New Roman" w:cs="Times New Roman"/>
          <w:sz w:val="24"/>
          <w:szCs w:val="24"/>
        </w:rPr>
        <w:t xml:space="preserve"> </w:t>
      </w:r>
    </w:p>
    <w:p w14:paraId="467F9E24" w14:textId="77777777" w:rsidR="00FC19D7" w:rsidRPr="0049220A" w:rsidRDefault="00B34B56" w:rsidP="00F10DF8">
      <w:pPr>
        <w:ind w:firstLine="720"/>
        <w:jc w:val="both"/>
        <w:rPr>
          <w:rFonts w:ascii="Times New Roman" w:hAnsi="Times New Roman" w:cs="Times New Roman"/>
          <w:iCs/>
          <w:sz w:val="24"/>
          <w:szCs w:val="24"/>
        </w:rPr>
      </w:pPr>
      <w:r w:rsidRPr="0049220A">
        <w:rPr>
          <w:rFonts w:ascii="Times New Roman" w:hAnsi="Times New Roman" w:cs="Times New Roman"/>
          <w:i/>
          <w:iCs/>
          <w:sz w:val="24"/>
          <w:szCs w:val="24"/>
        </w:rPr>
        <w:t xml:space="preserve">A. </w:t>
      </w:r>
      <w:proofErr w:type="spellStart"/>
      <w:r w:rsidR="00FC19D7" w:rsidRPr="0049220A">
        <w:rPr>
          <w:rFonts w:ascii="Times New Roman" w:hAnsi="Times New Roman" w:cs="Times New Roman"/>
          <w:i/>
          <w:iCs/>
          <w:sz w:val="24"/>
          <w:szCs w:val="24"/>
        </w:rPr>
        <w:t>nayadiformis</w:t>
      </w:r>
      <w:proofErr w:type="spellEnd"/>
      <w:r w:rsidR="00852972" w:rsidRPr="0049220A">
        <w:rPr>
          <w:rFonts w:ascii="Times New Roman" w:hAnsi="Times New Roman" w:cs="Times New Roman"/>
          <w:iCs/>
          <w:sz w:val="24"/>
          <w:szCs w:val="24"/>
        </w:rPr>
        <w:t xml:space="preserve"> is a</w:t>
      </w:r>
      <w:r w:rsidR="00FC19D7" w:rsidRPr="0049220A">
        <w:rPr>
          <w:rFonts w:ascii="Times New Roman" w:hAnsi="Times New Roman" w:cs="Times New Roman"/>
          <w:iCs/>
          <w:sz w:val="24"/>
          <w:szCs w:val="24"/>
        </w:rPr>
        <w:t xml:space="preserve"> </w:t>
      </w:r>
      <w:r w:rsidR="00FC19D7" w:rsidRPr="0049220A">
        <w:rPr>
          <w:rFonts w:ascii="Times New Roman" w:hAnsi="Times New Roman" w:cs="Times New Roman"/>
          <w:bCs/>
          <w:iCs/>
          <w:sz w:val="24"/>
          <w:szCs w:val="24"/>
        </w:rPr>
        <w:t>red marine macroalgae</w:t>
      </w:r>
      <w:r w:rsidR="00FC19D7" w:rsidRPr="0049220A">
        <w:rPr>
          <w:rFonts w:ascii="Times New Roman" w:hAnsi="Times New Roman" w:cs="Times New Roman"/>
          <w:iCs/>
          <w:sz w:val="24"/>
          <w:szCs w:val="24"/>
        </w:rPr>
        <w:t xml:space="preserve"> belonging to the family </w:t>
      </w:r>
      <w:proofErr w:type="spellStart"/>
      <w:r w:rsidR="00FC19D7" w:rsidRPr="0049220A">
        <w:rPr>
          <w:rFonts w:ascii="Times New Roman" w:hAnsi="Times New Roman" w:cs="Times New Roman"/>
          <w:iCs/>
          <w:sz w:val="24"/>
          <w:szCs w:val="24"/>
        </w:rPr>
        <w:t>Rhodomelaceae</w:t>
      </w:r>
      <w:proofErr w:type="spellEnd"/>
      <w:r w:rsidR="00FC19D7" w:rsidRPr="0049220A">
        <w:rPr>
          <w:rFonts w:ascii="Times New Roman" w:hAnsi="Times New Roman" w:cs="Times New Roman"/>
          <w:iCs/>
          <w:sz w:val="24"/>
          <w:szCs w:val="24"/>
        </w:rPr>
        <w:t xml:space="preserve"> under the division Rhodophyta</w:t>
      </w:r>
      <w:r w:rsidR="00D8758A" w:rsidRPr="0049220A">
        <w:rPr>
          <w:rFonts w:ascii="Times New Roman" w:hAnsi="Times New Roman" w:cs="Times New Roman"/>
          <w:iCs/>
          <w:sz w:val="24"/>
          <w:szCs w:val="24"/>
        </w:rPr>
        <w:t xml:space="preserve"> </w:t>
      </w:r>
      <w:r w:rsidR="00D8758A" w:rsidRPr="0049220A">
        <w:rPr>
          <w:rFonts w:ascii="Times New Roman" w:hAnsi="Times New Roman" w:cs="Times New Roman"/>
          <w:iCs/>
          <w:sz w:val="24"/>
          <w:szCs w:val="24"/>
        </w:rPr>
        <w:fldChar w:fldCharType="begin" w:fldLock="1"/>
      </w:r>
      <w:r w:rsidR="00EA3896" w:rsidRPr="0049220A">
        <w:rPr>
          <w:rFonts w:ascii="Times New Roman" w:hAnsi="Times New Roman" w:cs="Times New Roman"/>
          <w:iCs/>
          <w:sz w:val="24"/>
          <w:szCs w:val="24"/>
        </w:rPr>
        <w:instrText>ADDIN CSL_CITATION {"citationItems":[{"id":"ITEM-1","itemData":{"DOI":"10.2216/I0031-8884-41-5-523.1","ISSN":"00318884","abstract":"Acanthophora nayadiformis is a perennial species of red alga that overwinters by means of a rhizomatous prostrate system; both reproductive and vegetative plants are also able to spread by means of specialized vegetative propagules that have never been reported in other Acanthophora species. A detailed study of thallus morphology has highlighted four kinds of primordia in this species, distinct in shape, size and origin, that develop into as many different types of branches. Thallus growth is at first monopodial, shifting to ramisympodial in most plants. Even the morphological variation observed among tetrasporiferous branches is caused by the type and development of their parent primordia, which confirms the extreme inadequacy of this feature for taxonomic or diagnostic use at species level.","author":[{"dropping-particle":"","family":"Cecere","given":"Ester","non-dropping-particle":"","parse-names":false,"suffix":""},{"dropping-particle":"","family":"Perrone","given":"Cesira","non-dropping-particle":"","parse-names":false,"suffix":""}],"container-title":"Phycologia","id":"ITEM-1","issue":"5","issued":{"date-parts":[["2002"]]},"page":"523-532","publisher":"International Phycological Society","title":"Morphology of Acanthophora nayadiformis (Ceramiales, Rhodophyta)","type":"article-journal","volume":"41"},"uris":["http://www.mendeley.com/documents/?uuid=eaeffb7e-bfdf-3502-b244-a7cb2d5fd932"]}],"mendeley":{"formattedCitation":"(Cecere &amp; Perrone, 2002)","plainTextFormattedCitation":"(Cecere &amp; Perrone, 2002)","previouslyFormattedCitation":"(Cecere &amp; Perrone, 2002)"},"properties":{"noteIndex":0},"schema":"https://github.com/citation-style-language/schema/raw/master/csl-citation.json"}</w:instrText>
      </w:r>
      <w:r w:rsidR="00D8758A" w:rsidRPr="0049220A">
        <w:rPr>
          <w:rFonts w:ascii="Times New Roman" w:hAnsi="Times New Roman" w:cs="Times New Roman"/>
          <w:iCs/>
          <w:sz w:val="24"/>
          <w:szCs w:val="24"/>
        </w:rPr>
        <w:fldChar w:fldCharType="separate"/>
      </w:r>
      <w:r w:rsidR="00EA3896" w:rsidRPr="0049220A">
        <w:rPr>
          <w:rFonts w:ascii="Times New Roman" w:hAnsi="Times New Roman" w:cs="Times New Roman"/>
          <w:iCs/>
          <w:noProof/>
          <w:sz w:val="24"/>
          <w:szCs w:val="24"/>
        </w:rPr>
        <w:t>(Cecere &amp; Perrone, 2002)</w:t>
      </w:r>
      <w:r w:rsidR="00D8758A" w:rsidRPr="0049220A">
        <w:rPr>
          <w:rFonts w:ascii="Times New Roman" w:hAnsi="Times New Roman" w:cs="Times New Roman"/>
          <w:iCs/>
          <w:sz w:val="24"/>
          <w:szCs w:val="24"/>
        </w:rPr>
        <w:fldChar w:fldCharType="end"/>
      </w:r>
      <w:r w:rsidR="00852972" w:rsidRPr="0049220A">
        <w:rPr>
          <w:rFonts w:ascii="Times New Roman" w:hAnsi="Times New Roman" w:cs="Times New Roman"/>
          <w:iCs/>
          <w:sz w:val="24"/>
          <w:szCs w:val="24"/>
        </w:rPr>
        <w:t>. It is usually</w:t>
      </w:r>
      <w:r w:rsidR="00FC19D7" w:rsidRPr="0049220A">
        <w:rPr>
          <w:rFonts w:ascii="Times New Roman" w:hAnsi="Times New Roman" w:cs="Times New Roman"/>
          <w:iCs/>
          <w:sz w:val="24"/>
          <w:szCs w:val="24"/>
        </w:rPr>
        <w:t xml:space="preserve"> found in </w:t>
      </w:r>
      <w:r w:rsidR="00FC19D7" w:rsidRPr="0049220A">
        <w:rPr>
          <w:rFonts w:ascii="Times New Roman" w:hAnsi="Times New Roman" w:cs="Times New Roman"/>
          <w:bCs/>
          <w:iCs/>
          <w:sz w:val="24"/>
          <w:szCs w:val="24"/>
        </w:rPr>
        <w:t>tropical and subtropical waters</w:t>
      </w:r>
      <w:r w:rsidR="00FC19D7" w:rsidRPr="0049220A">
        <w:rPr>
          <w:rFonts w:ascii="Times New Roman" w:hAnsi="Times New Roman" w:cs="Times New Roman"/>
          <w:iCs/>
          <w:sz w:val="24"/>
          <w:szCs w:val="24"/>
        </w:rPr>
        <w:t xml:space="preserve">, particularly in the </w:t>
      </w:r>
      <w:r w:rsidR="00FC19D7" w:rsidRPr="0049220A">
        <w:rPr>
          <w:rFonts w:ascii="Times New Roman" w:hAnsi="Times New Roman" w:cs="Times New Roman"/>
          <w:bCs/>
          <w:iCs/>
          <w:sz w:val="24"/>
          <w:szCs w:val="24"/>
        </w:rPr>
        <w:t>Red Sea, Indian Ocean, and parts of the Indo-Pacific region</w:t>
      </w:r>
      <w:r w:rsidR="00B4653B" w:rsidRPr="0049220A">
        <w:rPr>
          <w:rFonts w:ascii="Times New Roman" w:hAnsi="Times New Roman" w:cs="Times New Roman"/>
          <w:bCs/>
          <w:iCs/>
          <w:sz w:val="24"/>
          <w:szCs w:val="24"/>
        </w:rPr>
        <w:t xml:space="preserve"> </w:t>
      </w:r>
      <w:r w:rsidR="00B4653B" w:rsidRPr="0049220A">
        <w:rPr>
          <w:rFonts w:ascii="Times New Roman" w:hAnsi="Times New Roman" w:cs="Times New Roman"/>
          <w:bCs/>
          <w:iCs/>
          <w:sz w:val="24"/>
          <w:szCs w:val="24"/>
        </w:rPr>
        <w:fldChar w:fldCharType="begin" w:fldLock="1"/>
      </w:r>
      <w:r w:rsidR="00B4653B" w:rsidRPr="0049220A">
        <w:rPr>
          <w:rFonts w:ascii="Times New Roman" w:hAnsi="Times New Roman" w:cs="Times New Roman"/>
          <w:bCs/>
          <w:iCs/>
          <w:sz w:val="24"/>
          <w:szCs w:val="24"/>
        </w:rPr>
        <w:instrText>ADDIN CSL_CITATION {"citationItems":[{"id":"ITEM-1","itemData":{"DOI":"10.3389/FMARS.2022.957290/XML","ISSN":"22967745","abstract":"The role that seaweeds play as primary producers and ecosystems engineers in marine coastal ecosystems is widely acknowledged. Seaweeds, however, are also important drivers in the development of the blue bioeconomy due to their vast diversity of unique chemicals with a broad range of industrial and biotechnological applications. In tropical regions, seaweed production has been focused on a few species only, because of their hydrocolloids used in the food industry. There is a strong need to identify new applications of red seaweed species in other sectors such as aquaculture. Therefore, to diversify the culture of red seaweeds, more tropical species need to be investigated for their chemical composition and potential application in aquaculture, and then, to develop a method for a sustainable cultivation of new seaweed candidates and enhance their economic potential. Based on this context, we analyze the potential value of the red edible seaweed Acanthophora spp., an under-valued seaweed species which is naturally abundant in tropical countries, and Kappaphycus spp., a commercially valuable seaweed commonly used for polysaccharide extraction. The vast chemical diversity of seaweeds (polysaccharides, phytohormones, amino acids, and pigments) has led to research on a wide range of applications in aquaculture, including pathogen control, immunostimulant, antioxidant, bioremediation, feed, UV protectants, increase in seafood shelf life, animal colorant, and growth regulator for microalga culture. This review hopes to stimulate the interest among seaweed researchers to investigate other local seaweed species and seek greater added value of their biomass and chemical compounds and their applications in the aquaculture sector. Additionally, this information will help stakeholders to benefit from these two red seaweeds by contributing to the diversification of the blue bioeconomy in tropical countries.","author":[{"dropping-particle":"","family":"Guillén","given":"Paúl O.","non-dropping-particle":"","parse-names":false,"suffix":""},{"dropping-particle":"","family":"Motti","given":"Pierfrancesco","non-dropping-particle":"","parse-names":false,"suffix":""},{"dropping-particle":"","family":"Mangelinckx","given":"Sven","non-dropping-particle":"","parse-names":false,"suffix":""},{"dropping-particle":"","family":"Clerck","given":"Olivier","non-dropping-particle":"De","parse-names":false,"suffix":""},{"dropping-particle":"","family":"Bossier","given":"Peter","non-dropping-particle":"","parse-names":false,"suffix":""},{"dropping-particle":"","family":"Hende","given":"Sofie","non-dropping-particle":"Van Den","parse-names":false,"suffix":""}],"container-title":"Frontiers in Marine Science","id":"ITEM-1","issued":{"date-parts":[["2022","10","27"]]},"page":"957290","publisher":"Frontiers Media S.A.","title":"Valorization of the chemical diversity of the tropical red seaweeds Acanthophora and Kappaphycus and their applications in aquaculture: A review","type":"article-journal","volume":"9"},"uris":["http://www.mendeley.com/documents/?uuid=e07e6c60-8c47-38ce-b04f-79f3ff36797f"]}],"mendeley":{"formattedCitation":"(Guillén et al., 2022)","plainTextFormattedCitation":"(Guillén et al., 2022)","previouslyFormattedCitation":"(Guillén et al., 2022)"},"properties":{"noteIndex":0},"schema":"https://github.com/citation-style-language/schema/raw/master/csl-citation.json"}</w:instrText>
      </w:r>
      <w:r w:rsidR="00B4653B" w:rsidRPr="0049220A">
        <w:rPr>
          <w:rFonts w:ascii="Times New Roman" w:hAnsi="Times New Roman" w:cs="Times New Roman"/>
          <w:bCs/>
          <w:iCs/>
          <w:sz w:val="24"/>
          <w:szCs w:val="24"/>
        </w:rPr>
        <w:fldChar w:fldCharType="separate"/>
      </w:r>
      <w:r w:rsidR="00B4653B" w:rsidRPr="0049220A">
        <w:rPr>
          <w:rFonts w:ascii="Times New Roman" w:hAnsi="Times New Roman" w:cs="Times New Roman"/>
          <w:bCs/>
          <w:iCs/>
          <w:noProof/>
          <w:sz w:val="24"/>
          <w:szCs w:val="24"/>
        </w:rPr>
        <w:t>(Guillén et al., 2022)</w:t>
      </w:r>
      <w:r w:rsidR="00B4653B" w:rsidRPr="0049220A">
        <w:rPr>
          <w:rFonts w:ascii="Times New Roman" w:hAnsi="Times New Roman" w:cs="Times New Roman"/>
          <w:bCs/>
          <w:iCs/>
          <w:sz w:val="24"/>
          <w:szCs w:val="24"/>
        </w:rPr>
        <w:fldChar w:fldCharType="end"/>
      </w:r>
      <w:r w:rsidR="00FC19D7" w:rsidRPr="0049220A">
        <w:rPr>
          <w:rFonts w:ascii="Times New Roman" w:hAnsi="Times New Roman" w:cs="Times New Roman"/>
          <w:iCs/>
          <w:sz w:val="24"/>
          <w:szCs w:val="24"/>
        </w:rPr>
        <w:t>.</w:t>
      </w:r>
      <w:r w:rsidR="00B4653B" w:rsidRPr="0049220A">
        <w:rPr>
          <w:rFonts w:ascii="Times New Roman" w:hAnsi="Times New Roman" w:cs="Times New Roman"/>
          <w:iCs/>
          <w:sz w:val="24"/>
          <w:szCs w:val="24"/>
        </w:rPr>
        <w:t xml:space="preserve"> It </w:t>
      </w:r>
      <w:r w:rsidR="00FC19D7" w:rsidRPr="0049220A">
        <w:rPr>
          <w:rFonts w:ascii="Times New Roman" w:hAnsi="Times New Roman" w:cs="Times New Roman"/>
          <w:iCs/>
          <w:sz w:val="24"/>
          <w:szCs w:val="24"/>
        </w:rPr>
        <w:t xml:space="preserve">exhibits </w:t>
      </w:r>
      <w:r w:rsidR="00FC19D7" w:rsidRPr="0049220A">
        <w:rPr>
          <w:rFonts w:ascii="Times New Roman" w:hAnsi="Times New Roman" w:cs="Times New Roman"/>
          <w:bCs/>
          <w:iCs/>
          <w:sz w:val="24"/>
          <w:szCs w:val="24"/>
        </w:rPr>
        <w:t>erect, cylindrical, and cartilaginous thalli</w:t>
      </w:r>
      <w:r w:rsidR="00FC19D7" w:rsidRPr="0049220A">
        <w:rPr>
          <w:rFonts w:ascii="Times New Roman" w:hAnsi="Times New Roman" w:cs="Times New Roman"/>
          <w:iCs/>
          <w:sz w:val="24"/>
          <w:szCs w:val="24"/>
        </w:rPr>
        <w:t xml:space="preserve"> that are usually dark red to purplish in </w:t>
      </w:r>
      <w:proofErr w:type="spellStart"/>
      <w:r w:rsidR="00FC19D7" w:rsidRPr="0049220A">
        <w:rPr>
          <w:rFonts w:ascii="Times New Roman" w:hAnsi="Times New Roman" w:cs="Times New Roman"/>
          <w:iCs/>
          <w:sz w:val="24"/>
          <w:szCs w:val="24"/>
        </w:rPr>
        <w:t>color</w:t>
      </w:r>
      <w:proofErr w:type="spellEnd"/>
      <w:r w:rsidR="00FC19D7" w:rsidRPr="0049220A">
        <w:rPr>
          <w:rFonts w:ascii="Times New Roman" w:hAnsi="Times New Roman" w:cs="Times New Roman"/>
          <w:iCs/>
          <w:sz w:val="24"/>
          <w:szCs w:val="24"/>
        </w:rPr>
        <w:t>. The branches are irregularly arranged, often with spiny or thorn-like lateral proliferations, which give the genus Acanthophora (meaning “spiny bearer”) its name</w:t>
      </w:r>
      <w:r w:rsidR="00B4653B" w:rsidRPr="0049220A">
        <w:rPr>
          <w:rFonts w:ascii="Times New Roman" w:hAnsi="Times New Roman" w:cs="Times New Roman"/>
          <w:iCs/>
          <w:sz w:val="24"/>
          <w:szCs w:val="24"/>
        </w:rPr>
        <w:t xml:space="preserve"> </w:t>
      </w:r>
      <w:r w:rsidR="00B4653B" w:rsidRPr="0049220A">
        <w:rPr>
          <w:rFonts w:ascii="Times New Roman" w:hAnsi="Times New Roman" w:cs="Times New Roman"/>
          <w:iCs/>
          <w:sz w:val="24"/>
          <w:szCs w:val="24"/>
        </w:rPr>
        <w:fldChar w:fldCharType="begin" w:fldLock="1"/>
      </w:r>
      <w:r w:rsidR="006E13DA" w:rsidRPr="0049220A">
        <w:rPr>
          <w:rFonts w:ascii="Times New Roman" w:hAnsi="Times New Roman" w:cs="Times New Roman"/>
          <w:iCs/>
          <w:sz w:val="24"/>
          <w:szCs w:val="24"/>
        </w:rPr>
        <w:instrText>ADDIN CSL_CITATION {"citationItems":[{"id":"ITEM-1","itemData":{"DOI":"10.2216/04-45.1","author":[{"dropping-particle":"","family":"Perrone","given":"Cesira","non-dropping-particle":"","parse-names":false,"suffix":""},{"dropping-particle":"","family":"Cecere","given":"Ester","non-dropping-particle":"","parse-names":false,"suffix":""},{"dropping-particle":"","family":"Furnari","given":"Giovanni","non-dropping-particle":"","parse-names":false,"suffix":""}],"container-title":"Phycologia","id":"ITEM-1","issue":"1","issued":{"date-parts":[["2006"]]},"page":"37-43","title":"Growth pattern assessment in the genus Acanthophora (Rhodophyta, Ceramiales)","type":"article-journal","volume":"45"},"uris":["http://www.mendeley.com/documents/?uuid=671398bb-459c-3771-a881-852a51c4e5fb"]}],"mendeley":{"formattedCitation":"(Perrone et al., 2006)","plainTextFormattedCitation":"(Perrone et al., 2006)","previouslyFormattedCitation":"(Perrone et al., 2006)"},"properties":{"noteIndex":0},"schema":"https://github.com/citation-style-language/schema/raw/master/csl-citation.json"}</w:instrText>
      </w:r>
      <w:r w:rsidR="00B4653B" w:rsidRPr="0049220A">
        <w:rPr>
          <w:rFonts w:ascii="Times New Roman" w:hAnsi="Times New Roman" w:cs="Times New Roman"/>
          <w:iCs/>
          <w:sz w:val="24"/>
          <w:szCs w:val="24"/>
        </w:rPr>
        <w:fldChar w:fldCharType="separate"/>
      </w:r>
      <w:r w:rsidR="00B4653B" w:rsidRPr="0049220A">
        <w:rPr>
          <w:rFonts w:ascii="Times New Roman" w:hAnsi="Times New Roman" w:cs="Times New Roman"/>
          <w:iCs/>
          <w:noProof/>
          <w:sz w:val="24"/>
          <w:szCs w:val="24"/>
        </w:rPr>
        <w:t>(Perrone et al., 2006)</w:t>
      </w:r>
      <w:r w:rsidR="00B4653B" w:rsidRPr="0049220A">
        <w:rPr>
          <w:rFonts w:ascii="Times New Roman" w:hAnsi="Times New Roman" w:cs="Times New Roman"/>
          <w:iCs/>
          <w:sz w:val="24"/>
          <w:szCs w:val="24"/>
        </w:rPr>
        <w:fldChar w:fldCharType="end"/>
      </w:r>
      <w:r w:rsidR="00FC19D7" w:rsidRPr="0049220A">
        <w:rPr>
          <w:rFonts w:ascii="Times New Roman" w:hAnsi="Times New Roman" w:cs="Times New Roman"/>
          <w:iCs/>
          <w:sz w:val="24"/>
          <w:szCs w:val="24"/>
        </w:rPr>
        <w:t xml:space="preserve">. The thallus may reach up to </w:t>
      </w:r>
      <w:r w:rsidR="00FC19D7" w:rsidRPr="0049220A">
        <w:rPr>
          <w:rFonts w:ascii="Times New Roman" w:hAnsi="Times New Roman" w:cs="Times New Roman"/>
          <w:bCs/>
          <w:iCs/>
          <w:sz w:val="24"/>
          <w:szCs w:val="24"/>
        </w:rPr>
        <w:t>10–20 cm in height</w:t>
      </w:r>
      <w:r w:rsidR="00FC19D7" w:rsidRPr="0049220A">
        <w:rPr>
          <w:rFonts w:ascii="Times New Roman" w:hAnsi="Times New Roman" w:cs="Times New Roman"/>
          <w:iCs/>
          <w:sz w:val="24"/>
          <w:szCs w:val="24"/>
        </w:rPr>
        <w:t>, and its tough texture allows it to withstand wave action in shallow reef habitats.</w:t>
      </w:r>
      <w:r w:rsidR="00B4653B" w:rsidRPr="0049220A">
        <w:rPr>
          <w:rFonts w:ascii="Times New Roman" w:hAnsi="Times New Roman" w:cs="Times New Roman"/>
          <w:iCs/>
          <w:sz w:val="24"/>
          <w:szCs w:val="24"/>
        </w:rPr>
        <w:t xml:space="preserve"> </w:t>
      </w:r>
      <w:r w:rsidR="00FC19D7" w:rsidRPr="0049220A">
        <w:rPr>
          <w:rFonts w:ascii="Times New Roman" w:hAnsi="Times New Roman" w:cs="Times New Roman"/>
          <w:iCs/>
          <w:sz w:val="24"/>
          <w:szCs w:val="24"/>
        </w:rPr>
        <w:t xml:space="preserve">Biochemically, this species </w:t>
      </w:r>
      <w:r w:rsidR="00FC19D7" w:rsidRPr="0049220A">
        <w:rPr>
          <w:rFonts w:ascii="Times New Roman" w:hAnsi="Times New Roman" w:cs="Times New Roman"/>
          <w:iCs/>
          <w:sz w:val="24"/>
          <w:szCs w:val="24"/>
        </w:rPr>
        <w:lastRenderedPageBreak/>
        <w:t xml:space="preserve">is a known source of </w:t>
      </w:r>
      <w:r w:rsidR="00FC19D7" w:rsidRPr="0049220A">
        <w:rPr>
          <w:rFonts w:ascii="Times New Roman" w:hAnsi="Times New Roman" w:cs="Times New Roman"/>
          <w:bCs/>
          <w:iCs/>
          <w:sz w:val="24"/>
          <w:szCs w:val="24"/>
        </w:rPr>
        <w:t>secondary metabolites</w:t>
      </w:r>
      <w:r w:rsidR="00FC19D7" w:rsidRPr="0049220A">
        <w:rPr>
          <w:rFonts w:ascii="Times New Roman" w:hAnsi="Times New Roman" w:cs="Times New Roman"/>
          <w:iCs/>
          <w:sz w:val="24"/>
          <w:szCs w:val="24"/>
        </w:rPr>
        <w:t xml:space="preserve">, including halogenated compounds, terpenoids, fatty acids, and sterols, many of which possess </w:t>
      </w:r>
      <w:r w:rsidR="00FC19D7" w:rsidRPr="0049220A">
        <w:rPr>
          <w:rFonts w:ascii="Times New Roman" w:hAnsi="Times New Roman" w:cs="Times New Roman"/>
          <w:bCs/>
          <w:iCs/>
          <w:sz w:val="24"/>
          <w:szCs w:val="24"/>
        </w:rPr>
        <w:t>antibacterial, antifungal, antiviral, and antioxidant activities</w:t>
      </w:r>
      <w:r w:rsidR="00FC19D7" w:rsidRPr="0049220A">
        <w:rPr>
          <w:rFonts w:ascii="Times New Roman" w:hAnsi="Times New Roman" w:cs="Times New Roman"/>
          <w:iCs/>
          <w:sz w:val="24"/>
          <w:szCs w:val="24"/>
        </w:rPr>
        <w:t xml:space="preserve">. These properties make it a valuable candidate for </w:t>
      </w:r>
      <w:r w:rsidR="00FC19D7" w:rsidRPr="0049220A">
        <w:rPr>
          <w:rFonts w:ascii="Times New Roman" w:hAnsi="Times New Roman" w:cs="Times New Roman"/>
          <w:bCs/>
          <w:iCs/>
          <w:sz w:val="24"/>
          <w:szCs w:val="24"/>
        </w:rPr>
        <w:t>pharmaceutical, nutraceutical, and biotechnological applications</w:t>
      </w:r>
      <w:r w:rsidR="00FC19D7" w:rsidRPr="0049220A">
        <w:rPr>
          <w:rFonts w:ascii="Times New Roman" w:hAnsi="Times New Roman" w:cs="Times New Roman"/>
          <w:iCs/>
          <w:sz w:val="24"/>
          <w:szCs w:val="24"/>
        </w:rPr>
        <w:t>.</w:t>
      </w:r>
    </w:p>
    <w:p w14:paraId="28E2A79E" w14:textId="77777777" w:rsidR="001F05F7" w:rsidRPr="0049220A" w:rsidRDefault="0065004C"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Screening plant extracts has become an effective strategy for discovering therapeutically active comp</w:t>
      </w:r>
      <w:r w:rsidR="008B0BD7" w:rsidRPr="0049220A">
        <w:rPr>
          <w:rFonts w:ascii="Times New Roman" w:hAnsi="Times New Roman" w:cs="Times New Roman"/>
          <w:sz w:val="24"/>
          <w:szCs w:val="24"/>
        </w:rPr>
        <w:t>ounds across different species. GC–MS</w:t>
      </w:r>
      <w:r w:rsidRPr="0049220A">
        <w:rPr>
          <w:rFonts w:ascii="Times New Roman" w:hAnsi="Times New Roman" w:cs="Times New Roman"/>
          <w:sz w:val="24"/>
          <w:szCs w:val="24"/>
        </w:rPr>
        <w:t xml:space="preserve"> is a highly valuable analytical technique used to identify and characterize various phytochemicals present in plant extracts </w:t>
      </w:r>
      <w:r w:rsidR="00724B53"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{"citationItems":[{"id":"ITEM-1","itemData":{"DOI":"10.1016/J.HELIYON.2023.E16861","ISSN":"2405-8440","abstract":"Citrullus colocynthis (L.) (C. colocynthis), commonly known as Handal in Yemen and other Arabic countries, is a plant with a wide range of pharmacological properties. These properties are attributed to secondary metabolites, known as phytochemicals, present in the plant. In this study, the seed of C. colocynthis were extracted using dichloromethane, and the resulting oil extract was screened to identify active phytoconstituents using gas chromatography – Mass spectrometry (GC-MS). The gas chromatography – Mass spectrometry is used to identification of the phytoconstituents and the spectrum of unknown compounds were compared with the compounds stored in the National Institute of Standards and Technology Mass Spectral database (NIST) and WILEY library of GC-MS. A total of fifty five compounds appeared in GC-MS chromatogram, twenty-four major bioactive compounds were identified in the present study. The major components of the oil extract were found to be carotenes, phenols, esters, and steroids. From the GC-MS chromatogram of dichloromethane seeds oil extract, some of the identified components possess pharmacological actions as per information available in the literature. One of the major component identified in the C. colocynthis seed oil extract was isooctylphthalate (58%), which exhibit strong antimicrobials effect. Therefore, C. colocynthis is considered to be a natural source of isooctylphthalate. From the results, this study is the first to report the presence of various bioactive components of phytopharmaceutical importance in C. colocynthis.","author":[{"dropping-particle":"","family":"Thamer","given":"Faten Hameed","non-dropping-particle":"","parse-names":false,"suffix":""},{"dropping-particle":"","family":"Thamer","given":"Noah","non-dropping-particle":"","parse-names":false,"suffix":""}],"container-title":"Heliyon","id":"ITEM-1","issue":"6","issued":{"date-parts":[["2023","6","1"]]},"page":"e16861","publisher":"Elsevier","title":"Gas chromatography – Mass spectrometry (GC-MS) profiling reveals newly described bioactive compounds in Citrullus colocynthis (L.) seeds oil extracts","type":"article-journal","volume":"9"},"uris":["http://www.mendeley.com/documents/?uuid=f4648e0a-c96b-3a9a-bf38-d14ee158e9b1"]}],"mendeley":{"formattedCitation":"(Thamer &amp; Thamer, 2023)","plainTextFormattedCitation":"(Thamer &amp; Thamer, 2023)","previouslyFormattedCitation":"(Thamer &amp; Thamer, 2023)"},"properties":{"noteIndex":0},"schema":"https://github.com/citation-style-language/schema/raw/master/csl-citation.json"}</w:instrText>
      </w:r>
      <w:r w:rsidR="00724B53"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(Thamer &amp; Thamer, 2023)</w:t>
      </w:r>
      <w:r w:rsidR="00724B53" w:rsidRPr="0049220A">
        <w:rPr>
          <w:rFonts w:ascii="Times New Roman" w:hAnsi="Times New Roman" w:cs="Times New Roman"/>
          <w:sz w:val="24"/>
          <w:szCs w:val="24"/>
        </w:rPr>
        <w:fldChar w:fldCharType="end"/>
      </w:r>
      <w:r w:rsidR="00DD06D2" w:rsidRPr="0049220A">
        <w:rPr>
          <w:rFonts w:ascii="Times New Roman" w:hAnsi="Times New Roman" w:cs="Times New Roman"/>
          <w:sz w:val="24"/>
          <w:szCs w:val="24"/>
        </w:rPr>
        <w:t xml:space="preserve">. </w:t>
      </w:r>
      <w:r w:rsidRPr="0049220A">
        <w:rPr>
          <w:rFonts w:ascii="Times New Roman" w:hAnsi="Times New Roman" w:cs="Times New Roman"/>
          <w:sz w:val="24"/>
          <w:szCs w:val="24"/>
        </w:rPr>
        <w:t>This method offers excellent separation efficiency, providing precise and reliable chemical profiles. Additionally, GC–MS generates both qualitative and quantitative data, supported by comprehensive spectral databases, which enable the correlation between identified bioactive compounds and their pharmacological applications</w:t>
      </w:r>
      <w:r w:rsidR="00B34B56" w:rsidRPr="0049220A">
        <w:rPr>
          <w:rFonts w:ascii="Times New Roman" w:hAnsi="Times New Roman" w:cs="Times New Roman"/>
          <w:sz w:val="24"/>
          <w:szCs w:val="24"/>
        </w:rPr>
        <w:t xml:space="preserve"> </w:t>
      </w:r>
      <w:r w:rsidR="00B34B56" w:rsidRPr="0049220A">
        <w:rPr>
          <w:rFonts w:ascii="Times New Roman" w:hAnsi="Times New Roman" w:cs="Times New Roman"/>
          <w:sz w:val="24"/>
          <w:szCs w:val="24"/>
        </w:rPr>
        <w:fldChar w:fldCharType="begin" w:fldLock="1"/>
      </w:r>
      <w:r w:rsidR="00B34B56" w:rsidRPr="0049220A">
        <w:rPr>
          <w:rFonts w:ascii="Times New Roman" w:hAnsi="Times New Roman" w:cs="Times New Roman"/>
          <w:sz w:val="24"/>
          <w:szCs w:val="24"/>
        </w:rPr>
        <w:instrText>ADDIN CSL_CITATION {"citationItems":[{"id":"ITEM-1","itemData":{"DOI":"10.3390/MOLECULES26051447","ISSN":"1420-3049","PMID":"33800018","abstract":"Protium heptaphyllum (Aubl.) Marchand (PH) trees are endemic to the tropical region of South America, mostly Brazil. Antibacterial, antinociceptive, anti-inflammatory, anxiolytic, antidepressant and anti-hyperlipidemic/anti-hypercholesterolemic effects were reported for its resinous exudate Protiumheptaphyllum resin (PHR). This work aims to provide a qualitative and quantitative consistent chemical profiling of the major constituents of this resin and two extracts enriched in acid (acidic triterpene concentrated extract, ATCE) and neutral triterpenes (α and β-amyrin concentrated extract, AMCE). GC–MS/GC–FID was used for volatile terpene fraction, a validated GC–MS method was developed for quantification of neutral α and β-amyrin and HPLC–APCI HRMS2 was used for acidic triterpenes analysis. The chemical investigation reported 29 molecules, including 14 volatile terpenes, 6 neutral triterpenes and 11 acid triterpenes. The most abundant compounds were α-amyrin (251.28 g kg−1, 123.98 g kg−1 and 556.82 g kg−1 in PHR, ATCE and AMCE, respectively), β-amyrin (172.66 g kg−1, 95.39 g kg−1 and 385.58 g kg−1 in PHR, ATCE and AMCE, respectively), 3-oxo-tirucalla-7,24-dien-21-oic acid (80.64 g kg−1, 157.10 g kg−1 and 15.31 g kg−1 in PHR, ATCE and AMCE, respectively) and 3α-hydroxy-tirucalla-8,24-dien-21-oic acid (77.71 g kg−1, 130.40 g kg−1 and 11.64 g kg−1 in PHR, ATCE and AMCE, respectively). Results showed specific enrichment of acidic and neutral triterpenoids in the two respective extracts.","author":[{"dropping-particle":"","family":"Asteggiano","given":"Alberto","non-dropping-particle":"","parse-names":false,"suffix":""},{"dropping-particle":"","family":"Occhipinti","given":"Andrea","non-dropping-particle":"","parse-names":false,"suffix":""},{"dropping-particle":"","family":"Capuzzo","given":"Andrea","non-dropping-particle":"","parse-names":false,"suffix":""},{"dropping-particle":"","family":"Mecarelli","given":"Enrica","non-dropping-particle":"","parse-names":false,"suffix":""},{"dropping-particle":"","family":"Aigotti","given":"Riccardo","non-dropping-particle":"","parse-names":false,"suffix":""},{"dropping-particle":"","family":"Medana","given":"Claudio","non-dropping-particle":"","parse-names":false,"suffix":""}],"container-title":"Molecules","id":"ITEM-1","issue":"5","issued":{"date-parts":[["2021","3","7"]]},"page":"1447","publisher":"Multidisciplinary Digital Publishing Institute","title":"Quali–Quantitative Characterization of Volatile and Non-Volatile Compounds in Protium heptaphyllum (Aubl.) Marchand Resin by GC–MS Validated Method, GC–FID and HPLC–HRMS2","type":"article-journal","volume":"26"},"uris":["http://www.mendeley.com/documents/?uuid=93ff96d7-3063-3b7d-8f1a-a804eace8493"]}],"mendeley":{"formattedCitation":"(Asteggiano et al., 2021)","plainTextFormattedCitation":"(Asteggiano et al., 2021)","previouslyFormattedCitation":"(Asteggiano et al., 2021)"},"properties":{"noteIndex":0},"schema":"https://github.com/citation-style-language/schema/raw/master/csl-citation.json"}</w:instrText>
      </w:r>
      <w:r w:rsidR="00B34B56" w:rsidRPr="0049220A">
        <w:rPr>
          <w:rFonts w:ascii="Times New Roman" w:hAnsi="Times New Roman" w:cs="Times New Roman"/>
          <w:sz w:val="24"/>
          <w:szCs w:val="24"/>
        </w:rPr>
        <w:fldChar w:fldCharType="separate"/>
      </w:r>
      <w:r w:rsidR="00B34B56" w:rsidRPr="0049220A">
        <w:rPr>
          <w:rFonts w:ascii="Times New Roman" w:hAnsi="Times New Roman" w:cs="Times New Roman"/>
          <w:noProof/>
          <w:sz w:val="24"/>
          <w:szCs w:val="24"/>
        </w:rPr>
        <w:t>(Asteggiano et al., 2021)</w:t>
      </w:r>
      <w:r w:rsidR="00B34B56" w:rsidRPr="0049220A">
        <w:rPr>
          <w:rFonts w:ascii="Times New Roman" w:hAnsi="Times New Roman" w:cs="Times New Roman"/>
          <w:sz w:val="24"/>
          <w:szCs w:val="24"/>
        </w:rPr>
        <w:fldChar w:fldCharType="end"/>
      </w:r>
      <w:r w:rsidR="00DD06D2" w:rsidRPr="0049220A">
        <w:rPr>
          <w:rFonts w:ascii="Times New Roman" w:hAnsi="Times New Roman" w:cs="Times New Roman"/>
          <w:sz w:val="24"/>
          <w:szCs w:val="24"/>
        </w:rPr>
        <w:t>.</w:t>
      </w:r>
      <w:r w:rsidR="00EE4FA6" w:rsidRPr="0049220A">
        <w:rPr>
          <w:rFonts w:ascii="Times New Roman" w:hAnsi="Times New Roman" w:cs="Times New Roman"/>
          <w:sz w:val="24"/>
          <w:szCs w:val="24"/>
        </w:rPr>
        <w:t xml:space="preserve"> </w:t>
      </w:r>
      <w:r w:rsidR="00CF0F1F" w:rsidRPr="0049220A">
        <w:rPr>
          <w:rFonts w:ascii="Times New Roman" w:hAnsi="Times New Roman" w:cs="Times New Roman"/>
          <w:sz w:val="24"/>
          <w:szCs w:val="24"/>
        </w:rPr>
        <w:t>Therefore</w:t>
      </w:r>
      <w:r w:rsidR="00852972" w:rsidRPr="0049220A">
        <w:rPr>
          <w:rFonts w:ascii="Times New Roman" w:hAnsi="Times New Roman" w:cs="Times New Roman"/>
          <w:sz w:val="24"/>
          <w:szCs w:val="24"/>
        </w:rPr>
        <w:t>, this study</w:t>
      </w:r>
      <w:r w:rsidR="00EE4FA6" w:rsidRPr="0049220A">
        <w:rPr>
          <w:rFonts w:ascii="Times New Roman" w:hAnsi="Times New Roman" w:cs="Times New Roman"/>
          <w:sz w:val="24"/>
          <w:szCs w:val="24"/>
        </w:rPr>
        <w:t xml:space="preserve"> aimed to </w:t>
      </w:r>
      <w:r w:rsidR="00852972" w:rsidRPr="0049220A">
        <w:rPr>
          <w:rFonts w:ascii="Times New Roman" w:hAnsi="Times New Roman" w:cs="Times New Roman"/>
          <w:sz w:val="24"/>
          <w:szCs w:val="24"/>
        </w:rPr>
        <w:t xml:space="preserve">analyse </w:t>
      </w:r>
      <w:r w:rsidR="00EE4FA6" w:rsidRPr="0049220A">
        <w:rPr>
          <w:rFonts w:ascii="Times New Roman" w:hAnsi="Times New Roman" w:cs="Times New Roman"/>
          <w:sz w:val="24"/>
          <w:szCs w:val="24"/>
        </w:rPr>
        <w:t>the</w:t>
      </w:r>
      <w:r w:rsidR="006308D7" w:rsidRPr="0049220A">
        <w:rPr>
          <w:rFonts w:ascii="Times New Roman" w:hAnsi="Times New Roman" w:cs="Times New Roman"/>
          <w:sz w:val="24"/>
          <w:szCs w:val="24"/>
        </w:rPr>
        <w:t xml:space="preserve"> chemical compositions of</w:t>
      </w:r>
      <w:r w:rsidR="00CF0F1F" w:rsidRPr="0049220A">
        <w:rPr>
          <w:rFonts w:ascii="Times New Roman" w:hAnsi="Times New Roman" w:cs="Times New Roman"/>
          <w:sz w:val="24"/>
          <w:szCs w:val="24"/>
        </w:rPr>
        <w:t xml:space="preserve"> </w:t>
      </w:r>
      <w:r w:rsidR="00B34B56" w:rsidRPr="0049220A">
        <w:rPr>
          <w:rFonts w:ascii="Times New Roman" w:hAnsi="Times New Roman" w:cs="Times New Roman"/>
          <w:i/>
          <w:iCs/>
          <w:sz w:val="24"/>
          <w:szCs w:val="24"/>
        </w:rPr>
        <w:t xml:space="preserve">A. </w:t>
      </w:r>
      <w:proofErr w:type="spellStart"/>
      <w:r w:rsidR="00B34B56" w:rsidRPr="0049220A">
        <w:rPr>
          <w:rFonts w:ascii="Times New Roman" w:hAnsi="Times New Roman" w:cs="Times New Roman"/>
          <w:i/>
          <w:iCs/>
          <w:sz w:val="24"/>
          <w:szCs w:val="24"/>
        </w:rPr>
        <w:t>nayadiformis</w:t>
      </w:r>
      <w:proofErr w:type="spellEnd"/>
      <w:r w:rsidR="00B34B56" w:rsidRPr="0049220A">
        <w:rPr>
          <w:rFonts w:ascii="Times New Roman" w:hAnsi="Times New Roman" w:cs="Times New Roman"/>
          <w:i/>
          <w:iCs/>
          <w:sz w:val="24"/>
          <w:szCs w:val="24"/>
        </w:rPr>
        <w:t xml:space="preserve"> </w:t>
      </w:r>
      <w:r w:rsidR="006308D7" w:rsidRPr="0049220A">
        <w:rPr>
          <w:rFonts w:ascii="Times New Roman" w:hAnsi="Times New Roman" w:cs="Times New Roman"/>
          <w:sz w:val="24"/>
          <w:szCs w:val="24"/>
        </w:rPr>
        <w:t xml:space="preserve">and finds potentials medicinal uses. </w:t>
      </w:r>
    </w:p>
    <w:p w14:paraId="1A451864" w14:textId="77777777" w:rsidR="006809CC" w:rsidRPr="0049220A" w:rsidRDefault="006809CC" w:rsidP="006809CC">
      <w:pPr>
        <w:jc w:val="both"/>
        <w:rPr>
          <w:rFonts w:ascii="Times New Roman" w:hAnsi="Times New Roman" w:cs="Times New Roman"/>
          <w:b/>
          <w:sz w:val="24"/>
          <w:szCs w:val="24"/>
        </w:rPr>
      </w:pPr>
      <w:r w:rsidRPr="0049220A">
        <w:rPr>
          <w:rFonts w:ascii="Times New Roman" w:hAnsi="Times New Roman" w:cs="Times New Roman"/>
          <w:b/>
          <w:sz w:val="24"/>
          <w:szCs w:val="24"/>
        </w:rPr>
        <w:t>2. Methods and Materials</w:t>
      </w:r>
    </w:p>
    <w:p w14:paraId="67C56C73" w14:textId="77777777" w:rsidR="006809CC" w:rsidRPr="0049220A" w:rsidRDefault="006809CC" w:rsidP="006809C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2.1. Algae collection and sample preparation </w:t>
      </w:r>
    </w:p>
    <w:p w14:paraId="1BDE537E" w14:textId="77777777" w:rsidR="006809CC" w:rsidRPr="0049220A" w:rsidRDefault="00724B53"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lang w:val="en-US"/>
        </w:rPr>
        <w:t xml:space="preserve">The algae </w:t>
      </w:r>
      <w:r w:rsidR="00B34B56" w:rsidRPr="0049220A">
        <w:rPr>
          <w:rFonts w:ascii="Times New Roman" w:hAnsi="Times New Roman" w:cs="Times New Roman"/>
          <w:i/>
          <w:sz w:val="24"/>
          <w:szCs w:val="24"/>
          <w:lang w:val="en-US"/>
        </w:rPr>
        <w:t xml:space="preserve">A. nayadiformis </w:t>
      </w:r>
      <w:r w:rsidR="00113986" w:rsidRPr="0049220A">
        <w:rPr>
          <w:rFonts w:ascii="Times New Roman" w:hAnsi="Times New Roman" w:cs="Times New Roman"/>
          <w:sz w:val="24"/>
          <w:szCs w:val="24"/>
        </w:rPr>
        <w:t>samples were</w:t>
      </w:r>
      <w:r w:rsidR="006809CC" w:rsidRPr="0049220A">
        <w:rPr>
          <w:rFonts w:ascii="Times New Roman" w:hAnsi="Times New Roman" w:cs="Times New Roman"/>
          <w:sz w:val="24"/>
          <w:szCs w:val="24"/>
        </w:rPr>
        <w:t xml:space="preserve"> collected from the coastal waters around Red sea, KSA and were taken directly to the Marine science lab at King Abdulaziz University.</w:t>
      </w:r>
      <w:r w:rsidR="00113986" w:rsidRPr="0049220A">
        <w:rPr>
          <w:rFonts w:ascii="Times New Roman" w:hAnsi="Times New Roman" w:cs="Times New Roman"/>
          <w:sz w:val="24"/>
          <w:szCs w:val="24"/>
        </w:rPr>
        <w:t xml:space="preserve"> </w:t>
      </w:r>
      <w:r w:rsidR="00B34B56" w:rsidRPr="0049220A">
        <w:rPr>
          <w:rFonts w:ascii="Times New Roman" w:hAnsi="Times New Roman" w:cs="Times New Roman"/>
          <w:i/>
          <w:sz w:val="24"/>
          <w:szCs w:val="24"/>
        </w:rPr>
        <w:t xml:space="preserve">A. </w:t>
      </w:r>
      <w:proofErr w:type="spellStart"/>
      <w:r w:rsidR="00B34B56" w:rsidRPr="0049220A">
        <w:rPr>
          <w:rFonts w:ascii="Times New Roman" w:hAnsi="Times New Roman" w:cs="Times New Roman"/>
          <w:i/>
          <w:sz w:val="24"/>
          <w:szCs w:val="24"/>
        </w:rPr>
        <w:t>nayadiformis</w:t>
      </w:r>
      <w:proofErr w:type="spellEnd"/>
      <w:r w:rsidR="00B25667" w:rsidRPr="0049220A">
        <w:rPr>
          <w:rFonts w:ascii="Times New Roman" w:hAnsi="Times New Roman" w:cs="Times New Roman"/>
          <w:sz w:val="24"/>
          <w:szCs w:val="24"/>
        </w:rPr>
        <w:t xml:space="preserve"> algae samples were identified by Dr. Abu </w:t>
      </w:r>
      <w:proofErr w:type="spellStart"/>
      <w:r w:rsidR="00B25667" w:rsidRPr="0049220A">
        <w:rPr>
          <w:rFonts w:ascii="Times New Roman" w:hAnsi="Times New Roman" w:cs="Times New Roman"/>
          <w:sz w:val="24"/>
          <w:szCs w:val="24"/>
        </w:rPr>
        <w:t>Affan</w:t>
      </w:r>
      <w:proofErr w:type="spellEnd"/>
      <w:r w:rsidR="00B25667" w:rsidRPr="0049220A">
        <w:rPr>
          <w:rFonts w:ascii="Times New Roman" w:hAnsi="Times New Roman" w:cs="Times New Roman"/>
          <w:sz w:val="24"/>
          <w:szCs w:val="24"/>
        </w:rPr>
        <w:t xml:space="preserve">, </w:t>
      </w:r>
      <w:proofErr w:type="spellStart"/>
      <w:r w:rsidR="00B25667" w:rsidRPr="0049220A">
        <w:rPr>
          <w:rFonts w:ascii="Times New Roman" w:hAnsi="Times New Roman" w:cs="Times New Roman"/>
          <w:sz w:val="24"/>
          <w:szCs w:val="24"/>
        </w:rPr>
        <w:t>plantologist</w:t>
      </w:r>
      <w:proofErr w:type="spellEnd"/>
      <w:r w:rsidR="00B25667" w:rsidRPr="0049220A">
        <w:rPr>
          <w:rFonts w:ascii="Times New Roman" w:hAnsi="Times New Roman" w:cs="Times New Roman"/>
          <w:sz w:val="24"/>
          <w:szCs w:val="24"/>
        </w:rPr>
        <w:t xml:space="preserve"> and assistant professor, department of Marine Biology. Then, </w:t>
      </w:r>
      <w:r w:rsidR="005F5E1A" w:rsidRPr="0049220A">
        <w:rPr>
          <w:rFonts w:ascii="Times New Roman" w:hAnsi="Times New Roman" w:cs="Times New Roman"/>
          <w:sz w:val="24"/>
          <w:szCs w:val="24"/>
        </w:rPr>
        <w:t>the</w:t>
      </w:r>
      <w:r w:rsidR="00113986" w:rsidRPr="0049220A">
        <w:rPr>
          <w:rFonts w:ascii="Times New Roman" w:hAnsi="Times New Roman" w:cs="Times New Roman"/>
          <w:sz w:val="24"/>
          <w:szCs w:val="24"/>
        </w:rPr>
        <w:t xml:space="preserve"> samples were</w:t>
      </w:r>
      <w:r w:rsidR="006809CC" w:rsidRPr="0049220A">
        <w:rPr>
          <w:rFonts w:ascii="Times New Roman" w:hAnsi="Times New Roman" w:cs="Times New Roman"/>
          <w:sz w:val="24"/>
          <w:szCs w:val="24"/>
        </w:rPr>
        <w:t xml:space="preserve"> cleaned with normal water, and air dried. </w:t>
      </w:r>
    </w:p>
    <w:p w14:paraId="3B35C8D6" w14:textId="77777777" w:rsidR="00113986" w:rsidRPr="0049220A" w:rsidRDefault="00325A67" w:rsidP="006809CC">
      <w:pPr>
        <w:jc w:val="both"/>
        <w:rPr>
          <w:rFonts w:ascii="Times New Roman" w:hAnsi="Times New Roman" w:cs="Times New Roman"/>
          <w:sz w:val="24"/>
          <w:szCs w:val="24"/>
        </w:rPr>
      </w:pPr>
      <w:r>
        <w:rPr>
          <w:rFonts w:ascii="Times New Roman" w:hAnsi="Times New Roman" w:cs="Times New Roman"/>
          <w:sz w:val="24"/>
          <w:szCs w:val="24"/>
        </w:rPr>
        <w:pict w14:anchorId="5889D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11.5pt" o:bordertopcolor="this" o:borderleftcolor="this" o:borderbottomcolor="this" o:borderrightcolor="this">
            <v:imagedata r:id="rId8" o:title="Obhur for Probiotic"/>
            <w10:bordertop type="single" width="8"/>
            <w10:borderleft type="single" width="8"/>
            <w10:borderbottom type="single" width="8"/>
            <w10:borderright type="single" width="8"/>
          </v:shape>
        </w:pict>
      </w:r>
    </w:p>
    <w:p w14:paraId="19669F33" w14:textId="77777777" w:rsidR="00113986" w:rsidRPr="0049220A" w:rsidRDefault="00113986" w:rsidP="00113986">
      <w:pPr>
        <w:jc w:val="center"/>
        <w:rPr>
          <w:rFonts w:ascii="Times New Roman" w:hAnsi="Times New Roman" w:cs="Times New Roman"/>
          <w:sz w:val="24"/>
          <w:szCs w:val="24"/>
        </w:rPr>
      </w:pPr>
      <w:r w:rsidRPr="0049220A">
        <w:rPr>
          <w:rFonts w:ascii="Times New Roman" w:hAnsi="Times New Roman" w:cs="Times New Roman"/>
          <w:b/>
          <w:sz w:val="24"/>
          <w:szCs w:val="24"/>
        </w:rPr>
        <w:t>Fig 1:</w:t>
      </w:r>
      <w:r w:rsidRPr="0049220A">
        <w:rPr>
          <w:rFonts w:ascii="Times New Roman" w:hAnsi="Times New Roman" w:cs="Times New Roman"/>
          <w:sz w:val="24"/>
          <w:szCs w:val="24"/>
        </w:rPr>
        <w:t xml:space="preserve"> Samples collection from different areas in Red Sea.</w:t>
      </w:r>
    </w:p>
    <w:p w14:paraId="10F618C2" w14:textId="77777777" w:rsidR="00113986" w:rsidRPr="0049220A" w:rsidRDefault="00B25667" w:rsidP="006809CC">
      <w:pPr>
        <w:jc w:val="both"/>
        <w:rPr>
          <w:rFonts w:ascii="Times New Roman" w:hAnsi="Times New Roman" w:cs="Times New Roman"/>
          <w:b/>
          <w:sz w:val="24"/>
          <w:szCs w:val="24"/>
        </w:rPr>
      </w:pPr>
      <w:r w:rsidRPr="0049220A">
        <w:rPr>
          <w:rFonts w:ascii="Times New Roman" w:hAnsi="Times New Roman" w:cs="Times New Roman"/>
          <w:b/>
          <w:sz w:val="24"/>
          <w:szCs w:val="24"/>
        </w:rPr>
        <w:t>2.2</w:t>
      </w:r>
      <w:r w:rsidR="00113986" w:rsidRPr="0049220A">
        <w:rPr>
          <w:rFonts w:ascii="Times New Roman" w:hAnsi="Times New Roman" w:cs="Times New Roman"/>
          <w:b/>
          <w:sz w:val="24"/>
          <w:szCs w:val="24"/>
        </w:rPr>
        <w:t>. Sample preparation</w:t>
      </w:r>
    </w:p>
    <w:p w14:paraId="4C208AEA" w14:textId="77777777" w:rsidR="00113986" w:rsidRPr="0049220A" w:rsidRDefault="00B25667"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t>The samples were crushed into fine powder form by using electronic blender. 20g of algal powder sample was added to 100 mL of absolute alcohol (80% ethanol) and kept in rotary shaker for 72 hours at room temperature. The filtrate was filtered th</w:t>
      </w:r>
      <w:r w:rsidR="0077714B" w:rsidRPr="0049220A">
        <w:rPr>
          <w:rFonts w:ascii="Times New Roman" w:hAnsi="Times New Roman" w:cs="Times New Roman"/>
          <w:sz w:val="24"/>
          <w:szCs w:val="24"/>
        </w:rPr>
        <w:t>rough filter paper Whatman No. 1 filter paper a</w:t>
      </w:r>
      <w:r w:rsidRPr="0049220A">
        <w:rPr>
          <w:rFonts w:ascii="Times New Roman" w:hAnsi="Times New Roman" w:cs="Times New Roman"/>
          <w:sz w:val="24"/>
          <w:szCs w:val="24"/>
        </w:rPr>
        <w:t>nd placed in a glass container. Th</w:t>
      </w:r>
      <w:r w:rsidR="00297DEF" w:rsidRPr="0049220A">
        <w:rPr>
          <w:rFonts w:ascii="Times New Roman" w:hAnsi="Times New Roman" w:cs="Times New Roman"/>
          <w:sz w:val="24"/>
          <w:szCs w:val="24"/>
        </w:rPr>
        <w:t>en, the filtrate was evaporated</w:t>
      </w:r>
      <w:r w:rsidR="007359E2" w:rsidRPr="0049220A">
        <w:rPr>
          <w:rFonts w:ascii="Times New Roman" w:hAnsi="Times New Roman" w:cs="Times New Roman"/>
          <w:sz w:val="24"/>
          <w:szCs w:val="24"/>
        </w:rPr>
        <w:t xml:space="preserve"> to get a semi-solid extract</w:t>
      </w:r>
      <w:r w:rsidR="00297DEF" w:rsidRPr="0049220A">
        <w:rPr>
          <w:rFonts w:ascii="Times New Roman" w:hAnsi="Times New Roman" w:cs="Times New Roman"/>
          <w:sz w:val="24"/>
          <w:szCs w:val="24"/>
        </w:rPr>
        <w:t xml:space="preserve"> and stored at 4 °C in an airtight container for further use.</w:t>
      </w:r>
    </w:p>
    <w:p w14:paraId="177E14F1" w14:textId="77777777" w:rsidR="006809CC" w:rsidRPr="0049220A" w:rsidRDefault="009707E3" w:rsidP="006809CC">
      <w:pPr>
        <w:jc w:val="both"/>
        <w:rPr>
          <w:rFonts w:ascii="Times New Roman" w:hAnsi="Times New Roman" w:cs="Times New Roman"/>
          <w:b/>
          <w:sz w:val="24"/>
          <w:szCs w:val="24"/>
        </w:rPr>
      </w:pPr>
      <w:r w:rsidRPr="0049220A">
        <w:rPr>
          <w:rFonts w:ascii="Times New Roman" w:hAnsi="Times New Roman" w:cs="Times New Roman"/>
          <w:b/>
          <w:sz w:val="24"/>
          <w:szCs w:val="24"/>
        </w:rPr>
        <w:t>2.3</w:t>
      </w:r>
      <w:r w:rsidR="006809CC" w:rsidRPr="0049220A">
        <w:rPr>
          <w:rFonts w:ascii="Times New Roman" w:hAnsi="Times New Roman" w:cs="Times New Roman"/>
          <w:b/>
          <w:sz w:val="24"/>
          <w:szCs w:val="24"/>
        </w:rPr>
        <w:t xml:space="preserve">. </w:t>
      </w:r>
      <w:r w:rsidR="000809C4" w:rsidRPr="0049220A">
        <w:rPr>
          <w:rFonts w:ascii="Times New Roman" w:hAnsi="Times New Roman" w:cs="Times New Roman"/>
          <w:b/>
          <w:sz w:val="24"/>
          <w:szCs w:val="24"/>
        </w:rPr>
        <w:t xml:space="preserve">GCMS analysis of </w:t>
      </w:r>
      <w:r w:rsidR="00D54B3B" w:rsidRPr="0049220A">
        <w:rPr>
          <w:rFonts w:ascii="Times New Roman" w:hAnsi="Times New Roman" w:cs="Times New Roman"/>
          <w:b/>
          <w:i/>
          <w:sz w:val="24"/>
          <w:szCs w:val="24"/>
          <w:lang w:val="en-US"/>
        </w:rPr>
        <w:t xml:space="preserve">A. nayadiformis </w:t>
      </w:r>
    </w:p>
    <w:p w14:paraId="5AF62489" w14:textId="77777777" w:rsidR="001F05F7" w:rsidRPr="0049220A" w:rsidRDefault="00764614" w:rsidP="00C47C68">
      <w:pPr>
        <w:ind w:firstLine="720"/>
        <w:jc w:val="both"/>
        <w:rPr>
          <w:rFonts w:ascii="Times New Roman" w:hAnsi="Times New Roman" w:cs="Times New Roman"/>
          <w:sz w:val="24"/>
          <w:szCs w:val="24"/>
        </w:rPr>
      </w:pPr>
      <w:r w:rsidRPr="0049220A">
        <w:rPr>
          <w:rFonts w:ascii="Times New Roman" w:hAnsi="Times New Roman" w:cs="Times New Roman"/>
          <w:sz w:val="24"/>
          <w:szCs w:val="24"/>
        </w:rPr>
        <w:lastRenderedPageBreak/>
        <w:t xml:space="preserve">The prepared extract was subjected to analysis using GC–MS equipped with a capillary column. The analysis was carried out on a Thermo Scientific Trace GC Ultra/ISQ Single Quadrupole MS system fitted with a TG-5MS fused silica capillary column (30 m × 0.25 mm × 0.1 µm film thickness). Helium served as the carrier gas at a steady flow rate of 1 mL/min. The injector and MS transfer line temperatures were maintained at 280 °C. The oven temperature program began at 40 °C (held for 3 min) and increased to 280 °C at a rate of 5 °C per minute, with a final hold of 5 min. The relative percentage of each identified component was determined based on its peak area. Tentative identification of compounds was achieved by comparing their retention times and mass spectra with those available in the NIST and Wiley reference libraries of the GC–MS system </w:t>
      </w:r>
      <w:r w:rsidR="000809C4"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{"citationItems":[{"id":"ITEM-1","itemData":{"ISSN":"0975-5071","abstract":"Objective: Investigation and identification of antioxidative compounds of methanolic flower extract of S. venulosa and ethyl acetate stem bark extract of S. wallichiana (Araliaceae) from Western Ghats. Methods: Powdered stem bark and flower materials were subjected to Soxhlet extraction using various solvents according to their polarity. The methanolic flower extract of S. venulosa and the ethyl acetate stem bark extract of S. wallichiana were reconstituted in the respective solvents. One μl of the extracts was injected for GC-MS analysis. The fragmentation patterns of mass spectra were compared with those stored in the spectrometer database using the National Institute of Standards and Technology Mass Spectral (NIST-MS) database. Results: The methanolic flower extract of S. venulosa revealed the presence of 120 compounds whereas ethyl acetate stem bark extract of S. wallichiana showed the presence of 115 compounds. Among those, 23 compounds from methanol flower extract of S. venulosa and 25 compounds from the ethyl acetate stem bark extract of S. wallichiana have been identified as the probable antioxidant compounds based on the functional groups they possess. Conclusion: Many bioactive compounds were identified from two Schefflera species. Thus, the identification of different biologically active compounds in these extracts warrants further biological and pharmacological studies. M. S. Nalini, et al. Der Pharmacia Lettre, 2020, 12 (7): 51-60 ______________________________________________________________________________ 52","author":[{"dropping-particle":"","family":"Raghavendra Hebbar","given":"Deepa","non-dropping-particle":"","parse-names":false,"suffix":""},{"dropping-particle":"","family":"Somaiah Nalini","given":"Monnanda","non-dropping-particle":"","parse-names":false,"suffix":""}],"container-title":"Der Pharmacia Lettre","id":"ITEM-1","issue":"7","issued":{"date-parts":[["2020"]]},"page":"51-60","title":"GC-MS Characterization of Antioxidative Compounds from the Stem Bark and Flower Extracts of Schefflera Species, from Western Ghats","type":"article-journal","volume":"12"},"uris":["http://www.mendeley.com/documents/?uuid=ebb8cacc-b2b6-393b-a9c6-1e69c8621e6f"]}],"mendeley":{"formattedCitation":"(Raghavendra Hebbar &amp; Somaiah Nalini, 2020)","plainTextFormattedCitation":"(Raghavendra Hebbar &amp; Somaiah Nalini, 2020)","previouslyFormattedCitation":"(Raghavendra Hebbar &amp; Somaiah Nalini, 2020)"},"properties":{"noteIndex":0},"schema":"https://github.com/citation-style-language/schema/raw/master/csl-citation.json"}</w:instrText>
      </w:r>
      <w:r w:rsidR="000809C4"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(Raghavendra Hebbar &amp; Somaiah Nalini, 2020)</w:t>
      </w:r>
      <w:r w:rsidR="000809C4" w:rsidRPr="0049220A">
        <w:rPr>
          <w:rFonts w:ascii="Times New Roman" w:hAnsi="Times New Roman" w:cs="Times New Roman"/>
          <w:sz w:val="24"/>
          <w:szCs w:val="24"/>
        </w:rPr>
        <w:fldChar w:fldCharType="end"/>
      </w:r>
      <w:r w:rsidR="000809C4" w:rsidRPr="0049220A">
        <w:rPr>
          <w:rFonts w:ascii="Times New Roman" w:hAnsi="Times New Roman" w:cs="Times New Roman"/>
          <w:sz w:val="24"/>
          <w:szCs w:val="24"/>
        </w:rPr>
        <w:t>.</w:t>
      </w:r>
    </w:p>
    <w:p w14:paraId="2FE48472" w14:textId="77777777" w:rsidR="001F05F7" w:rsidRPr="0049220A" w:rsidRDefault="00F10DF8"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3. </w:t>
      </w:r>
      <w:r w:rsidR="005F5E1A" w:rsidRPr="0049220A">
        <w:rPr>
          <w:rFonts w:ascii="Times New Roman" w:hAnsi="Times New Roman" w:cs="Times New Roman"/>
          <w:b/>
          <w:sz w:val="24"/>
          <w:szCs w:val="24"/>
        </w:rPr>
        <w:t>Results</w:t>
      </w:r>
      <w:r w:rsidRPr="0049220A">
        <w:rPr>
          <w:rFonts w:ascii="Times New Roman" w:hAnsi="Times New Roman" w:cs="Times New Roman"/>
          <w:b/>
          <w:sz w:val="24"/>
          <w:szCs w:val="24"/>
        </w:rPr>
        <w:t xml:space="preserve"> </w:t>
      </w:r>
    </w:p>
    <w:p w14:paraId="6CB9D9BC" w14:textId="77777777" w:rsidR="00764614" w:rsidRPr="0049220A" w:rsidRDefault="00764614"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Modern pharmaceutical industries rely heavily on seaweeds due to their rich content of bioactive and medicinal compounds. These natural compounds are known for their ability to combat various diseases and health disorders. The extraction and analysis of such compounds are essential for the development, improvement, and quality assurance of herbal formulations. Research on seaweeds also aids in understanding their potential toxicity and contributes to protecting humans and animals from natural toxins. Therefore, the present study aimed to identify the bioactive constituents in the ethanolic extract of </w:t>
      </w:r>
      <w:r w:rsidR="00B91AE1" w:rsidRPr="0049220A">
        <w:rPr>
          <w:rFonts w:ascii="Times New Roman" w:hAnsi="Times New Roman" w:cs="Times New Roman"/>
          <w:i/>
          <w:iCs/>
          <w:sz w:val="24"/>
          <w:szCs w:val="24"/>
        </w:rPr>
        <w:t>A.</w:t>
      </w:r>
      <w:r w:rsidRPr="0049220A">
        <w:rPr>
          <w:rFonts w:ascii="Times New Roman" w:hAnsi="Times New Roman" w:cs="Times New Roman"/>
          <w:i/>
          <w:iCs/>
          <w:sz w:val="24"/>
          <w:szCs w:val="24"/>
        </w:rPr>
        <w:t xml:space="preserve">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using GC–MS analysis. The detected compounds, along with their retention times (RT), molecular formulas (MF), molecular weights (MW), relative concentrations (peak area %), and sources of identification, are summarized in </w:t>
      </w:r>
      <w:r w:rsidRPr="0049220A">
        <w:rPr>
          <w:rFonts w:ascii="Times New Roman" w:hAnsi="Times New Roman" w:cs="Times New Roman"/>
          <w:b/>
          <w:sz w:val="24"/>
          <w:szCs w:val="24"/>
        </w:rPr>
        <w:t>Table 1</w:t>
      </w:r>
      <w:r w:rsidRPr="0049220A">
        <w:rPr>
          <w:rFonts w:ascii="Times New Roman" w:hAnsi="Times New Roman" w:cs="Times New Roman"/>
          <w:sz w:val="24"/>
          <w:szCs w:val="24"/>
        </w:rPr>
        <w:t xml:space="preserve"> and illustrated in </w:t>
      </w:r>
      <w:r w:rsidRPr="0049220A">
        <w:rPr>
          <w:rFonts w:ascii="Times New Roman" w:hAnsi="Times New Roman" w:cs="Times New Roman"/>
          <w:b/>
          <w:sz w:val="24"/>
          <w:szCs w:val="24"/>
        </w:rPr>
        <w:t>Figure 2.</w:t>
      </w:r>
    </w:p>
    <w:p w14:paraId="30E2F6B6" w14:textId="77777777" w:rsidR="001F05F7"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b/>
          <w:sz w:val="24"/>
          <w:szCs w:val="24"/>
        </w:rPr>
        <w:t>Table 1.</w:t>
      </w:r>
      <w:r w:rsidRPr="0049220A">
        <w:rPr>
          <w:rFonts w:ascii="Times New Roman" w:hAnsi="Times New Roman" w:cs="Times New Roman"/>
          <w:sz w:val="24"/>
          <w:szCs w:val="24"/>
        </w:rPr>
        <w:t xml:space="preserve"> Major bioactive compounds were identified in </w:t>
      </w:r>
      <w:r w:rsidRPr="0049220A">
        <w:rPr>
          <w:rFonts w:ascii="Times New Roman" w:hAnsi="Times New Roman" w:cs="Times New Roman"/>
          <w:i/>
          <w:sz w:val="24"/>
          <w:szCs w:val="24"/>
        </w:rPr>
        <w:t xml:space="preserve">A.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 xml:space="preserve"> extracts.</w:t>
      </w:r>
    </w:p>
    <w:tbl>
      <w:tblPr>
        <w:tblStyle w:val="TableGrid"/>
        <w:tblW w:w="9153" w:type="dxa"/>
        <w:tblBorders>
          <w:left w:val="none" w:sz="0" w:space="0" w:color="auto"/>
          <w:right w:val="none" w:sz="0" w:space="0" w:color="auto"/>
          <w:insideH w:val="none" w:sz="0" w:space="0" w:color="auto"/>
        </w:tblBorders>
        <w:tblLook w:val="04A0" w:firstRow="1" w:lastRow="0" w:firstColumn="1" w:lastColumn="0" w:noHBand="0" w:noVBand="1"/>
      </w:tblPr>
      <w:tblGrid>
        <w:gridCol w:w="756"/>
        <w:gridCol w:w="4083"/>
        <w:gridCol w:w="1523"/>
        <w:gridCol w:w="743"/>
        <w:gridCol w:w="990"/>
        <w:gridCol w:w="1058"/>
      </w:tblGrid>
      <w:tr w:rsidR="0049220A" w:rsidRPr="0049220A" w14:paraId="6C494822" w14:textId="77777777" w:rsidTr="006D4DD7">
        <w:trPr>
          <w:trHeight w:val="516"/>
        </w:trPr>
        <w:tc>
          <w:tcPr>
            <w:tcW w:w="756" w:type="dxa"/>
            <w:tcBorders>
              <w:top w:val="single" w:sz="4" w:space="0" w:color="auto"/>
              <w:right w:val="nil"/>
            </w:tcBorders>
          </w:tcPr>
          <w:p w14:paraId="0E1F6FE0" w14:textId="77777777" w:rsidR="009B36B8" w:rsidRPr="0049220A" w:rsidRDefault="009B36B8" w:rsidP="003421EC">
            <w:pPr>
              <w:jc w:val="both"/>
              <w:rPr>
                <w:rFonts w:ascii="Times New Roman" w:hAnsi="Times New Roman" w:cs="Times New Roman"/>
                <w:b/>
                <w:sz w:val="24"/>
                <w:szCs w:val="24"/>
              </w:rPr>
            </w:pPr>
            <w:r w:rsidRPr="0049220A">
              <w:rPr>
                <w:rFonts w:ascii="Times New Roman" w:hAnsi="Times New Roman" w:cs="Times New Roman"/>
                <w:b/>
                <w:sz w:val="24"/>
                <w:szCs w:val="24"/>
              </w:rPr>
              <w:t>RT</w:t>
            </w:r>
          </w:p>
        </w:tc>
        <w:tc>
          <w:tcPr>
            <w:tcW w:w="4083" w:type="dxa"/>
            <w:tcBorders>
              <w:top w:val="single" w:sz="4" w:space="0" w:color="auto"/>
              <w:left w:val="nil"/>
              <w:right w:val="nil"/>
            </w:tcBorders>
          </w:tcPr>
          <w:p w14:paraId="671389FD" w14:textId="77777777" w:rsidR="009B36B8" w:rsidRPr="0049220A" w:rsidRDefault="009B36B8" w:rsidP="003421EC">
            <w:pPr>
              <w:jc w:val="both"/>
              <w:rPr>
                <w:rFonts w:ascii="Times New Roman" w:hAnsi="Times New Roman" w:cs="Times New Roman"/>
                <w:b/>
                <w:sz w:val="24"/>
                <w:szCs w:val="24"/>
              </w:rPr>
            </w:pPr>
            <w:r w:rsidRPr="0049220A">
              <w:rPr>
                <w:rFonts w:ascii="Times New Roman" w:hAnsi="Times New Roman" w:cs="Times New Roman"/>
                <w:b/>
                <w:sz w:val="24"/>
                <w:szCs w:val="24"/>
              </w:rPr>
              <w:t>Compound Name</w:t>
            </w:r>
          </w:p>
        </w:tc>
        <w:tc>
          <w:tcPr>
            <w:tcW w:w="1523" w:type="dxa"/>
            <w:tcBorders>
              <w:top w:val="single" w:sz="4" w:space="0" w:color="auto"/>
              <w:left w:val="nil"/>
              <w:right w:val="nil"/>
            </w:tcBorders>
          </w:tcPr>
          <w:p w14:paraId="73A18FCA" w14:textId="77777777" w:rsidR="009B36B8" w:rsidRPr="0049220A" w:rsidRDefault="005813B9" w:rsidP="006D4DD7">
            <w:pPr>
              <w:rPr>
                <w:rFonts w:ascii="Times New Roman" w:hAnsi="Times New Roman" w:cs="Times New Roman"/>
                <w:b/>
                <w:sz w:val="24"/>
                <w:szCs w:val="24"/>
              </w:rPr>
            </w:pPr>
            <w:r w:rsidRPr="0049220A">
              <w:rPr>
                <w:rFonts w:ascii="Times New Roman" w:hAnsi="Times New Roman" w:cs="Times New Roman"/>
                <w:b/>
                <w:sz w:val="24"/>
                <w:szCs w:val="24"/>
              </w:rPr>
              <w:t>M</w:t>
            </w:r>
            <w:r w:rsidR="009B36B8" w:rsidRPr="0049220A">
              <w:rPr>
                <w:rFonts w:ascii="Times New Roman" w:hAnsi="Times New Roman" w:cs="Times New Roman"/>
                <w:b/>
                <w:sz w:val="24"/>
                <w:szCs w:val="24"/>
              </w:rPr>
              <w:t>F</w:t>
            </w:r>
          </w:p>
        </w:tc>
        <w:tc>
          <w:tcPr>
            <w:tcW w:w="743" w:type="dxa"/>
            <w:tcBorders>
              <w:top w:val="single" w:sz="4" w:space="0" w:color="auto"/>
              <w:left w:val="nil"/>
              <w:right w:val="nil"/>
            </w:tcBorders>
          </w:tcPr>
          <w:p w14:paraId="18163345" w14:textId="77777777" w:rsidR="009B36B8" w:rsidRPr="0049220A" w:rsidRDefault="005813B9" w:rsidP="006D4DD7">
            <w:pPr>
              <w:rPr>
                <w:rFonts w:ascii="Times New Roman" w:hAnsi="Times New Roman" w:cs="Times New Roman"/>
                <w:b/>
                <w:sz w:val="24"/>
                <w:szCs w:val="24"/>
              </w:rPr>
            </w:pPr>
            <w:r w:rsidRPr="0049220A">
              <w:rPr>
                <w:rFonts w:ascii="Times New Roman" w:hAnsi="Times New Roman" w:cs="Times New Roman"/>
                <w:b/>
                <w:sz w:val="24"/>
                <w:szCs w:val="24"/>
              </w:rPr>
              <w:t>M</w:t>
            </w:r>
            <w:r w:rsidR="009B36B8" w:rsidRPr="0049220A">
              <w:rPr>
                <w:rFonts w:ascii="Times New Roman" w:hAnsi="Times New Roman" w:cs="Times New Roman"/>
                <w:b/>
                <w:sz w:val="24"/>
                <w:szCs w:val="24"/>
              </w:rPr>
              <w:t>W</w:t>
            </w:r>
          </w:p>
        </w:tc>
        <w:tc>
          <w:tcPr>
            <w:tcW w:w="990" w:type="dxa"/>
            <w:tcBorders>
              <w:top w:val="single" w:sz="4" w:space="0" w:color="auto"/>
              <w:left w:val="nil"/>
              <w:right w:val="nil"/>
            </w:tcBorders>
          </w:tcPr>
          <w:p w14:paraId="26B98D59" w14:textId="77777777" w:rsidR="009B36B8" w:rsidRPr="0049220A" w:rsidRDefault="009B36B8" w:rsidP="006D4DD7">
            <w:pPr>
              <w:rPr>
                <w:rFonts w:ascii="Times New Roman" w:hAnsi="Times New Roman" w:cs="Times New Roman"/>
                <w:b/>
                <w:sz w:val="24"/>
                <w:szCs w:val="24"/>
              </w:rPr>
            </w:pPr>
            <w:r w:rsidRPr="0049220A">
              <w:rPr>
                <w:rFonts w:ascii="Times New Roman" w:hAnsi="Times New Roman" w:cs="Times New Roman"/>
                <w:b/>
                <w:sz w:val="24"/>
                <w:szCs w:val="24"/>
              </w:rPr>
              <w:t>Peak Area%</w:t>
            </w:r>
          </w:p>
        </w:tc>
        <w:tc>
          <w:tcPr>
            <w:tcW w:w="1058" w:type="dxa"/>
            <w:tcBorders>
              <w:top w:val="single" w:sz="4" w:space="0" w:color="auto"/>
              <w:left w:val="nil"/>
            </w:tcBorders>
          </w:tcPr>
          <w:p w14:paraId="37705A69" w14:textId="77777777" w:rsidR="009B36B8" w:rsidRPr="0049220A" w:rsidRDefault="009B36B8" w:rsidP="000B6857">
            <w:pPr>
              <w:rPr>
                <w:rFonts w:ascii="Times New Roman" w:hAnsi="Times New Roman" w:cs="Times New Roman"/>
                <w:b/>
                <w:sz w:val="24"/>
                <w:szCs w:val="24"/>
              </w:rPr>
            </w:pPr>
            <w:r w:rsidRPr="0049220A">
              <w:rPr>
                <w:rFonts w:ascii="Times New Roman" w:hAnsi="Times New Roman" w:cs="Times New Roman"/>
                <w:b/>
                <w:sz w:val="24"/>
                <w:szCs w:val="24"/>
              </w:rPr>
              <w:t>Library</w:t>
            </w:r>
          </w:p>
        </w:tc>
      </w:tr>
      <w:tr w:rsidR="0049220A" w:rsidRPr="0049220A" w14:paraId="4FE1D354" w14:textId="77777777" w:rsidTr="006D4DD7">
        <w:trPr>
          <w:trHeight w:val="557"/>
        </w:trPr>
        <w:tc>
          <w:tcPr>
            <w:tcW w:w="756" w:type="dxa"/>
            <w:tcBorders>
              <w:top w:val="single" w:sz="4" w:space="0" w:color="auto"/>
              <w:right w:val="nil"/>
            </w:tcBorders>
          </w:tcPr>
          <w:p w14:paraId="52611FF6"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5.70</w:t>
            </w:r>
          </w:p>
        </w:tc>
        <w:tc>
          <w:tcPr>
            <w:tcW w:w="4083" w:type="dxa"/>
            <w:tcBorders>
              <w:top w:val="single" w:sz="4" w:space="0" w:color="auto"/>
              <w:left w:val="nil"/>
              <w:right w:val="nil"/>
            </w:tcBorders>
          </w:tcPr>
          <w:p w14:paraId="7313F183" w14:textId="77777777" w:rsidR="009B36B8" w:rsidRPr="0049220A" w:rsidRDefault="009B36B8" w:rsidP="005C2030">
            <w:pPr>
              <w:jc w:val="both"/>
              <w:rPr>
                <w:rFonts w:ascii="Times New Roman" w:hAnsi="Times New Roman" w:cs="Times New Roman"/>
                <w:sz w:val="24"/>
                <w:szCs w:val="24"/>
              </w:rPr>
            </w:pPr>
            <w:r w:rsidRPr="0049220A">
              <w:rPr>
                <w:rFonts w:ascii="Times New Roman" w:hAnsi="Times New Roman" w:cs="Times New Roman"/>
                <w:sz w:val="24"/>
                <w:szCs w:val="24"/>
              </w:rPr>
              <w:t>5,8,11,14-Eicosatetraenoic acid, phenylmethyl ester, (all-Z)</w:t>
            </w:r>
          </w:p>
        </w:tc>
        <w:tc>
          <w:tcPr>
            <w:tcW w:w="1523" w:type="dxa"/>
            <w:tcBorders>
              <w:top w:val="single" w:sz="4" w:space="0" w:color="auto"/>
              <w:left w:val="nil"/>
              <w:right w:val="nil"/>
            </w:tcBorders>
          </w:tcPr>
          <w:p w14:paraId="5F2523E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C27H38O2</w:t>
            </w:r>
          </w:p>
        </w:tc>
        <w:tc>
          <w:tcPr>
            <w:tcW w:w="743" w:type="dxa"/>
            <w:tcBorders>
              <w:top w:val="single" w:sz="4" w:space="0" w:color="auto"/>
              <w:left w:val="nil"/>
              <w:right w:val="nil"/>
            </w:tcBorders>
          </w:tcPr>
          <w:p w14:paraId="2EE0265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394</w:t>
            </w:r>
          </w:p>
        </w:tc>
        <w:tc>
          <w:tcPr>
            <w:tcW w:w="990" w:type="dxa"/>
            <w:tcBorders>
              <w:top w:val="single" w:sz="4" w:space="0" w:color="auto"/>
              <w:left w:val="nil"/>
              <w:right w:val="nil"/>
            </w:tcBorders>
          </w:tcPr>
          <w:p w14:paraId="682AEED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0.27</w:t>
            </w:r>
          </w:p>
        </w:tc>
        <w:tc>
          <w:tcPr>
            <w:tcW w:w="1058" w:type="dxa"/>
            <w:tcBorders>
              <w:top w:val="single" w:sz="4" w:space="0" w:color="auto"/>
              <w:left w:val="nil"/>
            </w:tcBorders>
          </w:tcPr>
          <w:p w14:paraId="521A23F2"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4F745AB3" w14:textId="77777777" w:rsidTr="006D4DD7">
        <w:trPr>
          <w:trHeight w:val="530"/>
        </w:trPr>
        <w:tc>
          <w:tcPr>
            <w:tcW w:w="756" w:type="dxa"/>
            <w:tcBorders>
              <w:right w:val="nil"/>
            </w:tcBorders>
          </w:tcPr>
          <w:p w14:paraId="2575243F"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5.75</w:t>
            </w:r>
          </w:p>
        </w:tc>
        <w:tc>
          <w:tcPr>
            <w:tcW w:w="4083" w:type="dxa"/>
            <w:tcBorders>
              <w:left w:val="nil"/>
              <w:right w:val="nil"/>
            </w:tcBorders>
          </w:tcPr>
          <w:p w14:paraId="19FC397D" w14:textId="77777777" w:rsidR="009B36B8" w:rsidRPr="0049220A" w:rsidRDefault="009B36B8" w:rsidP="005C2030">
            <w:pPr>
              <w:jc w:val="both"/>
              <w:rPr>
                <w:rFonts w:ascii="Times New Roman" w:hAnsi="Times New Roman" w:cs="Times New Roman"/>
                <w:sz w:val="24"/>
                <w:szCs w:val="24"/>
              </w:rPr>
            </w:pPr>
            <w:r w:rsidRPr="0049220A">
              <w:rPr>
                <w:rFonts w:ascii="Times New Roman" w:hAnsi="Times New Roman" w:cs="Times New Roman"/>
                <w:sz w:val="24"/>
                <w:szCs w:val="24"/>
              </w:rPr>
              <w:t>9,12,15-</w:t>
            </w:r>
            <w:r w:rsidR="006C0A91" w:rsidRPr="0049220A">
              <w:rPr>
                <w:rFonts w:ascii="Times New Roman" w:hAnsi="Times New Roman" w:cs="Times New Roman"/>
                <w:sz w:val="24"/>
                <w:szCs w:val="24"/>
              </w:rPr>
              <w:t>Octadecatrienoic acid, methyl ester</w:t>
            </w:r>
          </w:p>
        </w:tc>
        <w:tc>
          <w:tcPr>
            <w:tcW w:w="1523" w:type="dxa"/>
            <w:tcBorders>
              <w:left w:val="nil"/>
              <w:right w:val="nil"/>
            </w:tcBorders>
          </w:tcPr>
          <w:p w14:paraId="7C36378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C19H32O2</w:t>
            </w:r>
          </w:p>
        </w:tc>
        <w:tc>
          <w:tcPr>
            <w:tcW w:w="743" w:type="dxa"/>
            <w:tcBorders>
              <w:left w:val="nil"/>
              <w:right w:val="nil"/>
            </w:tcBorders>
          </w:tcPr>
          <w:p w14:paraId="46FCAB4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292</w:t>
            </w:r>
          </w:p>
        </w:tc>
        <w:tc>
          <w:tcPr>
            <w:tcW w:w="990" w:type="dxa"/>
            <w:tcBorders>
              <w:left w:val="nil"/>
              <w:right w:val="nil"/>
            </w:tcBorders>
          </w:tcPr>
          <w:p w14:paraId="6642B075"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0.34</w:t>
            </w:r>
          </w:p>
        </w:tc>
        <w:tc>
          <w:tcPr>
            <w:tcW w:w="1058" w:type="dxa"/>
            <w:tcBorders>
              <w:left w:val="nil"/>
            </w:tcBorders>
          </w:tcPr>
          <w:p w14:paraId="27785C29"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652654A" w14:textId="77777777" w:rsidTr="006D4DD7">
        <w:trPr>
          <w:trHeight w:val="332"/>
        </w:trPr>
        <w:tc>
          <w:tcPr>
            <w:tcW w:w="756" w:type="dxa"/>
            <w:tcBorders>
              <w:right w:val="nil"/>
            </w:tcBorders>
          </w:tcPr>
          <w:p w14:paraId="3DC85BA5"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22.10</w:t>
            </w:r>
          </w:p>
        </w:tc>
        <w:tc>
          <w:tcPr>
            <w:tcW w:w="4083" w:type="dxa"/>
            <w:tcBorders>
              <w:left w:val="nil"/>
              <w:right w:val="nil"/>
            </w:tcBorders>
          </w:tcPr>
          <w:p w14:paraId="4A70A1E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1-</w:t>
            </w:r>
            <w:r w:rsidR="006C0A91" w:rsidRPr="0049220A">
              <w:rPr>
                <w:rFonts w:ascii="Times New Roman" w:hAnsi="Times New Roman" w:cs="Times New Roman"/>
                <w:sz w:val="24"/>
                <w:szCs w:val="24"/>
              </w:rPr>
              <w:t xml:space="preserve">Chlorooctadecane </w:t>
            </w:r>
          </w:p>
        </w:tc>
        <w:tc>
          <w:tcPr>
            <w:tcW w:w="1523" w:type="dxa"/>
            <w:tcBorders>
              <w:left w:val="nil"/>
              <w:right w:val="nil"/>
            </w:tcBorders>
          </w:tcPr>
          <w:p w14:paraId="5DFF25E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C18H37Cl</w:t>
            </w:r>
          </w:p>
        </w:tc>
        <w:tc>
          <w:tcPr>
            <w:tcW w:w="743" w:type="dxa"/>
            <w:tcBorders>
              <w:left w:val="nil"/>
              <w:right w:val="nil"/>
            </w:tcBorders>
          </w:tcPr>
          <w:p w14:paraId="205D0D3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288</w:t>
            </w:r>
          </w:p>
        </w:tc>
        <w:tc>
          <w:tcPr>
            <w:tcW w:w="990" w:type="dxa"/>
            <w:tcBorders>
              <w:left w:val="nil"/>
              <w:right w:val="nil"/>
            </w:tcBorders>
          </w:tcPr>
          <w:p w14:paraId="2CD0E713"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0.36</w:t>
            </w:r>
          </w:p>
        </w:tc>
        <w:tc>
          <w:tcPr>
            <w:tcW w:w="1058" w:type="dxa"/>
            <w:tcBorders>
              <w:left w:val="nil"/>
            </w:tcBorders>
          </w:tcPr>
          <w:p w14:paraId="653D938D"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B240831" w14:textId="77777777" w:rsidTr="006D4DD7">
        <w:trPr>
          <w:trHeight w:val="557"/>
        </w:trPr>
        <w:tc>
          <w:tcPr>
            <w:tcW w:w="756" w:type="dxa"/>
            <w:tcBorders>
              <w:right w:val="nil"/>
            </w:tcBorders>
          </w:tcPr>
          <w:p w14:paraId="22046BE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24.80</w:t>
            </w:r>
          </w:p>
        </w:tc>
        <w:tc>
          <w:tcPr>
            <w:tcW w:w="4083" w:type="dxa"/>
            <w:tcBorders>
              <w:left w:val="nil"/>
              <w:right w:val="nil"/>
            </w:tcBorders>
          </w:tcPr>
          <w:p w14:paraId="1EAD24BD" w14:textId="77777777" w:rsidR="009B36B8" w:rsidRPr="0049220A" w:rsidRDefault="009B36B8" w:rsidP="00603275">
            <w:pPr>
              <w:jc w:val="both"/>
              <w:rPr>
                <w:rFonts w:ascii="Times New Roman" w:hAnsi="Times New Roman" w:cs="Times New Roman"/>
                <w:sz w:val="24"/>
                <w:szCs w:val="24"/>
              </w:rPr>
            </w:pPr>
            <w:r w:rsidRPr="0049220A">
              <w:rPr>
                <w:rFonts w:ascii="Times New Roman" w:hAnsi="Times New Roman" w:cs="Times New Roman"/>
                <w:sz w:val="24"/>
                <w:szCs w:val="24"/>
              </w:rPr>
              <w:t>1,3,5-</w:t>
            </w:r>
            <w:r w:rsidR="006C0A91" w:rsidRPr="0049220A">
              <w:rPr>
                <w:rFonts w:ascii="Times New Roman" w:hAnsi="Times New Roman" w:cs="Times New Roman"/>
                <w:sz w:val="24"/>
                <w:szCs w:val="24"/>
              </w:rPr>
              <w:t>Triazine-2,4-diamine,6-chloro-n-ethyl</w:t>
            </w:r>
          </w:p>
        </w:tc>
        <w:tc>
          <w:tcPr>
            <w:tcW w:w="1523" w:type="dxa"/>
            <w:tcBorders>
              <w:left w:val="nil"/>
              <w:right w:val="nil"/>
            </w:tcBorders>
          </w:tcPr>
          <w:p w14:paraId="73671EA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C5H8ClN5</w:t>
            </w:r>
          </w:p>
        </w:tc>
        <w:tc>
          <w:tcPr>
            <w:tcW w:w="743" w:type="dxa"/>
            <w:tcBorders>
              <w:left w:val="nil"/>
              <w:right w:val="nil"/>
            </w:tcBorders>
          </w:tcPr>
          <w:p w14:paraId="560EFAA0"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173</w:t>
            </w:r>
          </w:p>
        </w:tc>
        <w:tc>
          <w:tcPr>
            <w:tcW w:w="990" w:type="dxa"/>
            <w:tcBorders>
              <w:left w:val="nil"/>
              <w:right w:val="nil"/>
            </w:tcBorders>
          </w:tcPr>
          <w:p w14:paraId="17B1BAF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0.37</w:t>
            </w:r>
          </w:p>
        </w:tc>
        <w:tc>
          <w:tcPr>
            <w:tcW w:w="1058" w:type="dxa"/>
            <w:tcBorders>
              <w:left w:val="nil"/>
            </w:tcBorders>
          </w:tcPr>
          <w:p w14:paraId="185DA232"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AF4F527" w14:textId="77777777" w:rsidTr="006D4DD7">
        <w:trPr>
          <w:trHeight w:val="258"/>
        </w:trPr>
        <w:tc>
          <w:tcPr>
            <w:tcW w:w="756" w:type="dxa"/>
            <w:tcBorders>
              <w:right w:val="nil"/>
            </w:tcBorders>
          </w:tcPr>
          <w:p w14:paraId="105B2A3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24.92</w:t>
            </w:r>
          </w:p>
        </w:tc>
        <w:tc>
          <w:tcPr>
            <w:tcW w:w="4083" w:type="dxa"/>
            <w:tcBorders>
              <w:left w:val="nil"/>
              <w:right w:val="nil"/>
            </w:tcBorders>
          </w:tcPr>
          <w:p w14:paraId="146EBDA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E-7-Tetradecenol</w:t>
            </w:r>
          </w:p>
        </w:tc>
        <w:tc>
          <w:tcPr>
            <w:tcW w:w="1523" w:type="dxa"/>
            <w:tcBorders>
              <w:left w:val="nil"/>
              <w:right w:val="nil"/>
            </w:tcBorders>
          </w:tcPr>
          <w:p w14:paraId="776F2C7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C14H28O</w:t>
            </w:r>
          </w:p>
        </w:tc>
        <w:tc>
          <w:tcPr>
            <w:tcW w:w="743" w:type="dxa"/>
            <w:tcBorders>
              <w:left w:val="nil"/>
              <w:right w:val="nil"/>
            </w:tcBorders>
          </w:tcPr>
          <w:p w14:paraId="7F0A18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212</w:t>
            </w:r>
          </w:p>
        </w:tc>
        <w:tc>
          <w:tcPr>
            <w:tcW w:w="990" w:type="dxa"/>
            <w:tcBorders>
              <w:left w:val="nil"/>
              <w:right w:val="nil"/>
            </w:tcBorders>
          </w:tcPr>
          <w:p w14:paraId="415F26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1.24</w:t>
            </w:r>
          </w:p>
        </w:tc>
        <w:tc>
          <w:tcPr>
            <w:tcW w:w="1058" w:type="dxa"/>
            <w:tcBorders>
              <w:left w:val="nil"/>
            </w:tcBorders>
          </w:tcPr>
          <w:p w14:paraId="7A49C419"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00226FCA" w14:textId="77777777" w:rsidTr="006D4DD7">
        <w:trPr>
          <w:trHeight w:val="215"/>
        </w:trPr>
        <w:tc>
          <w:tcPr>
            <w:tcW w:w="756" w:type="dxa"/>
            <w:tcBorders>
              <w:right w:val="nil"/>
            </w:tcBorders>
          </w:tcPr>
          <w:p w14:paraId="226DE5F6"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25.12</w:t>
            </w:r>
          </w:p>
        </w:tc>
        <w:tc>
          <w:tcPr>
            <w:tcW w:w="4083" w:type="dxa"/>
            <w:tcBorders>
              <w:left w:val="nil"/>
              <w:right w:val="nil"/>
            </w:tcBorders>
          </w:tcPr>
          <w:p w14:paraId="6D1BCD8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1-Dodecanol, 3,7,11-trimethyl-</w:t>
            </w:r>
          </w:p>
        </w:tc>
        <w:tc>
          <w:tcPr>
            <w:tcW w:w="1523" w:type="dxa"/>
            <w:tcBorders>
              <w:left w:val="nil"/>
              <w:right w:val="nil"/>
            </w:tcBorders>
          </w:tcPr>
          <w:p w14:paraId="5EA8B8F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C15H32O</w:t>
            </w:r>
          </w:p>
        </w:tc>
        <w:tc>
          <w:tcPr>
            <w:tcW w:w="743" w:type="dxa"/>
            <w:tcBorders>
              <w:left w:val="nil"/>
              <w:right w:val="nil"/>
            </w:tcBorders>
          </w:tcPr>
          <w:p w14:paraId="09CCBE9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228</w:t>
            </w:r>
          </w:p>
        </w:tc>
        <w:tc>
          <w:tcPr>
            <w:tcW w:w="990" w:type="dxa"/>
            <w:tcBorders>
              <w:left w:val="nil"/>
              <w:right w:val="nil"/>
            </w:tcBorders>
          </w:tcPr>
          <w:p w14:paraId="0EB7643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0.80</w:t>
            </w:r>
          </w:p>
        </w:tc>
        <w:tc>
          <w:tcPr>
            <w:tcW w:w="1058" w:type="dxa"/>
            <w:tcBorders>
              <w:left w:val="nil"/>
            </w:tcBorders>
          </w:tcPr>
          <w:p w14:paraId="2C8B8963"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3756994E" w14:textId="77777777" w:rsidTr="006D4DD7">
        <w:trPr>
          <w:trHeight w:val="258"/>
        </w:trPr>
        <w:tc>
          <w:tcPr>
            <w:tcW w:w="756" w:type="dxa"/>
            <w:tcBorders>
              <w:right w:val="nil"/>
            </w:tcBorders>
          </w:tcPr>
          <w:p w14:paraId="44273D2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25.54</w:t>
            </w:r>
          </w:p>
        </w:tc>
        <w:tc>
          <w:tcPr>
            <w:tcW w:w="4083" w:type="dxa"/>
            <w:tcBorders>
              <w:left w:val="nil"/>
              <w:right w:val="nil"/>
            </w:tcBorders>
          </w:tcPr>
          <w:p w14:paraId="3062A1F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Lidocaine</w:t>
            </w:r>
          </w:p>
        </w:tc>
        <w:tc>
          <w:tcPr>
            <w:tcW w:w="1523" w:type="dxa"/>
            <w:tcBorders>
              <w:left w:val="nil"/>
              <w:right w:val="nil"/>
            </w:tcBorders>
          </w:tcPr>
          <w:p w14:paraId="52EB846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C14H22N2O</w:t>
            </w:r>
          </w:p>
        </w:tc>
        <w:tc>
          <w:tcPr>
            <w:tcW w:w="743" w:type="dxa"/>
            <w:tcBorders>
              <w:left w:val="nil"/>
              <w:right w:val="nil"/>
            </w:tcBorders>
          </w:tcPr>
          <w:p w14:paraId="30441653"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234</w:t>
            </w:r>
          </w:p>
        </w:tc>
        <w:tc>
          <w:tcPr>
            <w:tcW w:w="990" w:type="dxa"/>
            <w:tcBorders>
              <w:left w:val="nil"/>
              <w:right w:val="nil"/>
            </w:tcBorders>
          </w:tcPr>
          <w:p w14:paraId="3F1947F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1.56</w:t>
            </w:r>
          </w:p>
        </w:tc>
        <w:tc>
          <w:tcPr>
            <w:tcW w:w="1058" w:type="dxa"/>
            <w:tcBorders>
              <w:left w:val="nil"/>
            </w:tcBorders>
          </w:tcPr>
          <w:p w14:paraId="47EBACF2"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replib</w:t>
            </w:r>
            <w:proofErr w:type="spellEnd"/>
          </w:p>
        </w:tc>
      </w:tr>
      <w:tr w:rsidR="0049220A" w:rsidRPr="0049220A" w14:paraId="249F4BB4" w14:textId="77777777" w:rsidTr="006D4DD7">
        <w:trPr>
          <w:trHeight w:val="530"/>
        </w:trPr>
        <w:tc>
          <w:tcPr>
            <w:tcW w:w="756" w:type="dxa"/>
            <w:tcBorders>
              <w:right w:val="nil"/>
            </w:tcBorders>
          </w:tcPr>
          <w:p w14:paraId="1044139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26.42</w:t>
            </w:r>
          </w:p>
        </w:tc>
        <w:tc>
          <w:tcPr>
            <w:tcW w:w="4083" w:type="dxa"/>
            <w:tcBorders>
              <w:left w:val="nil"/>
              <w:right w:val="nil"/>
            </w:tcBorders>
          </w:tcPr>
          <w:p w14:paraId="1EAF4711" w14:textId="77777777" w:rsidR="009B36B8" w:rsidRPr="0049220A" w:rsidRDefault="00682148" w:rsidP="00603275">
            <w:pPr>
              <w:jc w:val="both"/>
              <w:rPr>
                <w:rFonts w:ascii="Times New Roman" w:hAnsi="Times New Roman" w:cs="Times New Roman"/>
                <w:sz w:val="24"/>
                <w:szCs w:val="24"/>
              </w:rPr>
            </w:pPr>
            <w:r w:rsidRPr="0049220A">
              <w:rPr>
                <w:rFonts w:ascii="Times New Roman" w:hAnsi="Times New Roman" w:cs="Times New Roman"/>
                <w:sz w:val="24"/>
                <w:szCs w:val="24"/>
              </w:rPr>
              <w:t>Pentadecanoic acid,14-methyl-, methyl ester</w:t>
            </w:r>
          </w:p>
        </w:tc>
        <w:tc>
          <w:tcPr>
            <w:tcW w:w="1523" w:type="dxa"/>
            <w:tcBorders>
              <w:left w:val="nil"/>
              <w:right w:val="nil"/>
            </w:tcBorders>
          </w:tcPr>
          <w:p w14:paraId="4546232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C17H34O2</w:t>
            </w:r>
          </w:p>
        </w:tc>
        <w:tc>
          <w:tcPr>
            <w:tcW w:w="743" w:type="dxa"/>
            <w:tcBorders>
              <w:left w:val="nil"/>
              <w:right w:val="nil"/>
            </w:tcBorders>
          </w:tcPr>
          <w:p w14:paraId="2EBF700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270</w:t>
            </w:r>
          </w:p>
        </w:tc>
        <w:tc>
          <w:tcPr>
            <w:tcW w:w="990" w:type="dxa"/>
            <w:tcBorders>
              <w:left w:val="nil"/>
              <w:right w:val="nil"/>
            </w:tcBorders>
          </w:tcPr>
          <w:p w14:paraId="013A773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3.68</w:t>
            </w:r>
          </w:p>
        </w:tc>
        <w:tc>
          <w:tcPr>
            <w:tcW w:w="1058" w:type="dxa"/>
            <w:tcBorders>
              <w:left w:val="nil"/>
            </w:tcBorders>
          </w:tcPr>
          <w:p w14:paraId="3AFD5B2B"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6FD0520" w14:textId="77777777" w:rsidTr="006D4DD7">
        <w:trPr>
          <w:trHeight w:val="332"/>
        </w:trPr>
        <w:tc>
          <w:tcPr>
            <w:tcW w:w="756" w:type="dxa"/>
            <w:tcBorders>
              <w:right w:val="nil"/>
            </w:tcBorders>
          </w:tcPr>
          <w:p w14:paraId="0E27F77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27.28</w:t>
            </w:r>
          </w:p>
        </w:tc>
        <w:tc>
          <w:tcPr>
            <w:tcW w:w="4083" w:type="dxa"/>
            <w:tcBorders>
              <w:left w:val="nil"/>
              <w:right w:val="nil"/>
            </w:tcBorders>
          </w:tcPr>
          <w:p w14:paraId="2E4E0147" w14:textId="77777777" w:rsidR="009B36B8" w:rsidRPr="0049220A" w:rsidRDefault="00682148" w:rsidP="003421EC">
            <w:pPr>
              <w:jc w:val="both"/>
              <w:rPr>
                <w:rFonts w:ascii="Times New Roman" w:hAnsi="Times New Roman" w:cs="Times New Roman"/>
                <w:sz w:val="24"/>
                <w:szCs w:val="24"/>
              </w:rPr>
            </w:pPr>
            <w:r w:rsidRPr="0049220A">
              <w:rPr>
                <w:rFonts w:ascii="Times New Roman" w:hAnsi="Times New Roman" w:cs="Times New Roman"/>
                <w:sz w:val="24"/>
                <w:szCs w:val="24"/>
              </w:rPr>
              <w:t>Oleic Acid</w:t>
            </w:r>
          </w:p>
        </w:tc>
        <w:tc>
          <w:tcPr>
            <w:tcW w:w="1523" w:type="dxa"/>
            <w:tcBorders>
              <w:left w:val="nil"/>
              <w:right w:val="nil"/>
            </w:tcBorders>
          </w:tcPr>
          <w:p w14:paraId="0193C13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C18H34O2</w:t>
            </w:r>
          </w:p>
        </w:tc>
        <w:tc>
          <w:tcPr>
            <w:tcW w:w="743" w:type="dxa"/>
            <w:tcBorders>
              <w:left w:val="nil"/>
              <w:right w:val="nil"/>
            </w:tcBorders>
          </w:tcPr>
          <w:p w14:paraId="1C68D65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282</w:t>
            </w:r>
          </w:p>
        </w:tc>
        <w:tc>
          <w:tcPr>
            <w:tcW w:w="990" w:type="dxa"/>
            <w:tcBorders>
              <w:left w:val="nil"/>
              <w:right w:val="nil"/>
            </w:tcBorders>
          </w:tcPr>
          <w:p w14:paraId="7CF4972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2.76</w:t>
            </w:r>
          </w:p>
        </w:tc>
        <w:tc>
          <w:tcPr>
            <w:tcW w:w="1058" w:type="dxa"/>
            <w:tcBorders>
              <w:left w:val="nil"/>
            </w:tcBorders>
          </w:tcPr>
          <w:p w14:paraId="4E56E787"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8F131A3" w14:textId="77777777" w:rsidTr="006D4DD7">
        <w:trPr>
          <w:trHeight w:val="350"/>
        </w:trPr>
        <w:tc>
          <w:tcPr>
            <w:tcW w:w="756" w:type="dxa"/>
            <w:tcBorders>
              <w:right w:val="nil"/>
            </w:tcBorders>
          </w:tcPr>
          <w:p w14:paraId="63BA89B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27.75</w:t>
            </w:r>
          </w:p>
        </w:tc>
        <w:tc>
          <w:tcPr>
            <w:tcW w:w="4083" w:type="dxa"/>
            <w:tcBorders>
              <w:left w:val="nil"/>
              <w:right w:val="nil"/>
            </w:tcBorders>
          </w:tcPr>
          <w:p w14:paraId="064243AB" w14:textId="77777777" w:rsidR="009B36B8" w:rsidRPr="0049220A" w:rsidRDefault="0068214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Ethyl pentadecanoate </w:t>
            </w:r>
            <w:r w:rsidR="009B36B8" w:rsidRPr="0049220A">
              <w:rPr>
                <w:rFonts w:ascii="Times New Roman" w:hAnsi="Times New Roman" w:cs="Times New Roman"/>
                <w:sz w:val="24"/>
                <w:szCs w:val="24"/>
              </w:rPr>
              <w:t xml:space="preserve"> </w:t>
            </w:r>
          </w:p>
        </w:tc>
        <w:tc>
          <w:tcPr>
            <w:tcW w:w="1523" w:type="dxa"/>
            <w:tcBorders>
              <w:left w:val="nil"/>
              <w:right w:val="nil"/>
            </w:tcBorders>
          </w:tcPr>
          <w:p w14:paraId="372AB935"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C17H34O2</w:t>
            </w:r>
          </w:p>
        </w:tc>
        <w:tc>
          <w:tcPr>
            <w:tcW w:w="743" w:type="dxa"/>
            <w:tcBorders>
              <w:left w:val="nil"/>
              <w:right w:val="nil"/>
            </w:tcBorders>
          </w:tcPr>
          <w:p w14:paraId="7D10080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270</w:t>
            </w:r>
          </w:p>
        </w:tc>
        <w:tc>
          <w:tcPr>
            <w:tcW w:w="990" w:type="dxa"/>
            <w:tcBorders>
              <w:left w:val="nil"/>
              <w:right w:val="nil"/>
            </w:tcBorders>
          </w:tcPr>
          <w:p w14:paraId="6B111CA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2.12</w:t>
            </w:r>
          </w:p>
        </w:tc>
        <w:tc>
          <w:tcPr>
            <w:tcW w:w="1058" w:type="dxa"/>
            <w:tcBorders>
              <w:left w:val="nil"/>
            </w:tcBorders>
          </w:tcPr>
          <w:p w14:paraId="0A863022" w14:textId="77777777" w:rsidR="009B36B8" w:rsidRPr="0049220A" w:rsidRDefault="009B36B8" w:rsidP="000B6857">
            <w:pPr>
              <w:rPr>
                <w:rFonts w:ascii="Times New Roman" w:hAnsi="Times New Roman" w:cs="Times New Roman"/>
                <w:sz w:val="24"/>
                <w:szCs w:val="24"/>
              </w:rPr>
            </w:pPr>
            <w:r w:rsidRPr="0049220A">
              <w:rPr>
                <w:rFonts w:ascii="Times New Roman" w:hAnsi="Times New Roman" w:cs="Times New Roman"/>
                <w:sz w:val="24"/>
                <w:szCs w:val="24"/>
              </w:rPr>
              <w:t>W</w:t>
            </w:r>
            <w:r w:rsidR="00172DA7" w:rsidRPr="0049220A">
              <w:rPr>
                <w:rFonts w:ascii="Times New Roman" w:hAnsi="Times New Roman" w:cs="Times New Roman"/>
                <w:sz w:val="24"/>
                <w:szCs w:val="24"/>
              </w:rPr>
              <w:t>iley</w:t>
            </w:r>
          </w:p>
        </w:tc>
      </w:tr>
      <w:tr w:rsidR="0049220A" w:rsidRPr="0049220A" w14:paraId="14DCA442" w14:textId="77777777" w:rsidTr="006D4DD7">
        <w:trPr>
          <w:trHeight w:val="359"/>
        </w:trPr>
        <w:tc>
          <w:tcPr>
            <w:tcW w:w="756" w:type="dxa"/>
            <w:tcBorders>
              <w:right w:val="nil"/>
            </w:tcBorders>
          </w:tcPr>
          <w:p w14:paraId="380A174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29.45</w:t>
            </w:r>
          </w:p>
        </w:tc>
        <w:tc>
          <w:tcPr>
            <w:tcW w:w="4083" w:type="dxa"/>
            <w:tcBorders>
              <w:left w:val="nil"/>
              <w:right w:val="nil"/>
            </w:tcBorders>
          </w:tcPr>
          <w:p w14:paraId="762BC932" w14:textId="77777777" w:rsidR="009B36B8" w:rsidRPr="0049220A" w:rsidRDefault="00682148" w:rsidP="00682148">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Hexadecadienoic</w:t>
            </w:r>
            <w:proofErr w:type="spellEnd"/>
            <w:r w:rsidRPr="0049220A">
              <w:rPr>
                <w:rFonts w:ascii="Times New Roman" w:hAnsi="Times New Roman" w:cs="Times New Roman"/>
                <w:sz w:val="24"/>
                <w:szCs w:val="24"/>
              </w:rPr>
              <w:t xml:space="preserve"> acid, methyl ester</w:t>
            </w:r>
          </w:p>
        </w:tc>
        <w:tc>
          <w:tcPr>
            <w:tcW w:w="1523" w:type="dxa"/>
            <w:tcBorders>
              <w:left w:val="nil"/>
              <w:right w:val="nil"/>
            </w:tcBorders>
          </w:tcPr>
          <w:p w14:paraId="08D26B2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C19H34O2</w:t>
            </w:r>
          </w:p>
        </w:tc>
        <w:tc>
          <w:tcPr>
            <w:tcW w:w="743" w:type="dxa"/>
            <w:tcBorders>
              <w:left w:val="nil"/>
              <w:right w:val="nil"/>
            </w:tcBorders>
          </w:tcPr>
          <w:p w14:paraId="0B66089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294</w:t>
            </w:r>
          </w:p>
        </w:tc>
        <w:tc>
          <w:tcPr>
            <w:tcW w:w="990" w:type="dxa"/>
            <w:tcBorders>
              <w:left w:val="nil"/>
              <w:right w:val="nil"/>
            </w:tcBorders>
          </w:tcPr>
          <w:p w14:paraId="64647CF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0.95</w:t>
            </w:r>
          </w:p>
        </w:tc>
        <w:tc>
          <w:tcPr>
            <w:tcW w:w="1058" w:type="dxa"/>
            <w:tcBorders>
              <w:left w:val="nil"/>
            </w:tcBorders>
          </w:tcPr>
          <w:p w14:paraId="7E1C0AF0"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6DCD8F66" w14:textId="77777777" w:rsidTr="006D4DD7">
        <w:trPr>
          <w:trHeight w:val="341"/>
        </w:trPr>
        <w:tc>
          <w:tcPr>
            <w:tcW w:w="756" w:type="dxa"/>
            <w:tcBorders>
              <w:right w:val="nil"/>
            </w:tcBorders>
          </w:tcPr>
          <w:p w14:paraId="6F96303F"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29.62</w:t>
            </w:r>
          </w:p>
        </w:tc>
        <w:tc>
          <w:tcPr>
            <w:tcW w:w="4083" w:type="dxa"/>
            <w:tcBorders>
              <w:left w:val="nil"/>
              <w:right w:val="nil"/>
            </w:tcBorders>
          </w:tcPr>
          <w:p w14:paraId="6FC5CA88"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9-Octadecenoic acid (Z)-, methyl ester</w:t>
            </w:r>
          </w:p>
        </w:tc>
        <w:tc>
          <w:tcPr>
            <w:tcW w:w="1523" w:type="dxa"/>
            <w:tcBorders>
              <w:left w:val="nil"/>
              <w:right w:val="nil"/>
            </w:tcBorders>
          </w:tcPr>
          <w:p w14:paraId="11F7C81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C19H36O2</w:t>
            </w:r>
          </w:p>
        </w:tc>
        <w:tc>
          <w:tcPr>
            <w:tcW w:w="743" w:type="dxa"/>
            <w:tcBorders>
              <w:left w:val="nil"/>
              <w:right w:val="nil"/>
            </w:tcBorders>
          </w:tcPr>
          <w:p w14:paraId="69C481A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296</w:t>
            </w:r>
          </w:p>
        </w:tc>
        <w:tc>
          <w:tcPr>
            <w:tcW w:w="990" w:type="dxa"/>
            <w:tcBorders>
              <w:left w:val="nil"/>
              <w:right w:val="nil"/>
            </w:tcBorders>
          </w:tcPr>
          <w:p w14:paraId="32AEFF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3.35</w:t>
            </w:r>
          </w:p>
        </w:tc>
        <w:tc>
          <w:tcPr>
            <w:tcW w:w="1058" w:type="dxa"/>
            <w:tcBorders>
              <w:left w:val="nil"/>
            </w:tcBorders>
          </w:tcPr>
          <w:p w14:paraId="7E9323B3"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218C63F" w14:textId="77777777" w:rsidTr="006D4DD7">
        <w:trPr>
          <w:trHeight w:val="260"/>
        </w:trPr>
        <w:tc>
          <w:tcPr>
            <w:tcW w:w="756" w:type="dxa"/>
            <w:tcBorders>
              <w:right w:val="nil"/>
            </w:tcBorders>
          </w:tcPr>
          <w:p w14:paraId="0203223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29.74</w:t>
            </w:r>
          </w:p>
        </w:tc>
        <w:tc>
          <w:tcPr>
            <w:tcW w:w="4083" w:type="dxa"/>
            <w:tcBorders>
              <w:left w:val="nil"/>
              <w:right w:val="nil"/>
            </w:tcBorders>
          </w:tcPr>
          <w:p w14:paraId="4D432EBA"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 xml:space="preserve"> 9,12-Octadecadienoyl chloride, (Z,Z)</w:t>
            </w:r>
          </w:p>
        </w:tc>
        <w:tc>
          <w:tcPr>
            <w:tcW w:w="1523" w:type="dxa"/>
            <w:tcBorders>
              <w:left w:val="nil"/>
              <w:right w:val="nil"/>
            </w:tcBorders>
          </w:tcPr>
          <w:p w14:paraId="2564849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C18H31ClO</w:t>
            </w:r>
          </w:p>
        </w:tc>
        <w:tc>
          <w:tcPr>
            <w:tcW w:w="743" w:type="dxa"/>
            <w:tcBorders>
              <w:left w:val="nil"/>
              <w:right w:val="nil"/>
            </w:tcBorders>
          </w:tcPr>
          <w:p w14:paraId="1C40733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298</w:t>
            </w:r>
          </w:p>
        </w:tc>
        <w:tc>
          <w:tcPr>
            <w:tcW w:w="990" w:type="dxa"/>
            <w:tcBorders>
              <w:left w:val="nil"/>
              <w:right w:val="nil"/>
            </w:tcBorders>
          </w:tcPr>
          <w:p w14:paraId="6F9112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1.06</w:t>
            </w:r>
          </w:p>
        </w:tc>
        <w:tc>
          <w:tcPr>
            <w:tcW w:w="1058" w:type="dxa"/>
            <w:tcBorders>
              <w:left w:val="nil"/>
            </w:tcBorders>
          </w:tcPr>
          <w:p w14:paraId="2B861678"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replib</w:t>
            </w:r>
            <w:proofErr w:type="spellEnd"/>
          </w:p>
        </w:tc>
      </w:tr>
      <w:tr w:rsidR="0049220A" w:rsidRPr="0049220A" w14:paraId="22F1E40C" w14:textId="77777777" w:rsidTr="006D4DD7">
        <w:trPr>
          <w:trHeight w:val="332"/>
        </w:trPr>
        <w:tc>
          <w:tcPr>
            <w:tcW w:w="756" w:type="dxa"/>
            <w:tcBorders>
              <w:right w:val="nil"/>
            </w:tcBorders>
          </w:tcPr>
          <w:p w14:paraId="1B7A31C3"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29.96</w:t>
            </w:r>
          </w:p>
        </w:tc>
        <w:tc>
          <w:tcPr>
            <w:tcW w:w="4083" w:type="dxa"/>
            <w:tcBorders>
              <w:left w:val="nil"/>
              <w:right w:val="nil"/>
            </w:tcBorders>
          </w:tcPr>
          <w:p w14:paraId="39D3B545"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Undec-10-ynoic acid, dodecyl ester</w:t>
            </w:r>
          </w:p>
        </w:tc>
        <w:tc>
          <w:tcPr>
            <w:tcW w:w="1523" w:type="dxa"/>
            <w:tcBorders>
              <w:left w:val="nil"/>
              <w:right w:val="nil"/>
            </w:tcBorders>
          </w:tcPr>
          <w:p w14:paraId="09DDF11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C23H42O2</w:t>
            </w:r>
          </w:p>
        </w:tc>
        <w:tc>
          <w:tcPr>
            <w:tcW w:w="743" w:type="dxa"/>
            <w:tcBorders>
              <w:left w:val="nil"/>
              <w:right w:val="nil"/>
            </w:tcBorders>
          </w:tcPr>
          <w:p w14:paraId="2276846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350</w:t>
            </w:r>
          </w:p>
        </w:tc>
        <w:tc>
          <w:tcPr>
            <w:tcW w:w="990" w:type="dxa"/>
            <w:tcBorders>
              <w:left w:val="nil"/>
              <w:right w:val="nil"/>
            </w:tcBorders>
          </w:tcPr>
          <w:p w14:paraId="37C1373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1.95</w:t>
            </w:r>
          </w:p>
        </w:tc>
        <w:tc>
          <w:tcPr>
            <w:tcW w:w="1058" w:type="dxa"/>
            <w:tcBorders>
              <w:left w:val="nil"/>
            </w:tcBorders>
          </w:tcPr>
          <w:p w14:paraId="0A70C2E8"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2C2F4365" w14:textId="77777777" w:rsidTr="006D4DD7">
        <w:trPr>
          <w:trHeight w:val="516"/>
        </w:trPr>
        <w:tc>
          <w:tcPr>
            <w:tcW w:w="756" w:type="dxa"/>
            <w:tcBorders>
              <w:right w:val="nil"/>
            </w:tcBorders>
          </w:tcPr>
          <w:p w14:paraId="34C668D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30.18</w:t>
            </w:r>
          </w:p>
        </w:tc>
        <w:tc>
          <w:tcPr>
            <w:tcW w:w="4083" w:type="dxa"/>
            <w:tcBorders>
              <w:left w:val="nil"/>
              <w:right w:val="nil"/>
            </w:tcBorders>
          </w:tcPr>
          <w:p w14:paraId="3AAFE634" w14:textId="77777777" w:rsidR="009B36B8" w:rsidRPr="0049220A" w:rsidRDefault="009B36B8" w:rsidP="006E1B9A">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Tetradecanoic</w:t>
            </w:r>
            <w:proofErr w:type="spellEnd"/>
            <w:r w:rsidRPr="0049220A">
              <w:rPr>
                <w:rFonts w:ascii="Times New Roman" w:hAnsi="Times New Roman" w:cs="Times New Roman"/>
                <w:sz w:val="24"/>
                <w:szCs w:val="24"/>
              </w:rPr>
              <w:t xml:space="preserve"> acid, 12-methyl-, methyl ester</w:t>
            </w:r>
          </w:p>
        </w:tc>
        <w:tc>
          <w:tcPr>
            <w:tcW w:w="1523" w:type="dxa"/>
            <w:tcBorders>
              <w:left w:val="nil"/>
              <w:right w:val="nil"/>
            </w:tcBorders>
          </w:tcPr>
          <w:p w14:paraId="091F2F4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C16H32O2</w:t>
            </w:r>
          </w:p>
        </w:tc>
        <w:tc>
          <w:tcPr>
            <w:tcW w:w="743" w:type="dxa"/>
            <w:tcBorders>
              <w:left w:val="nil"/>
              <w:right w:val="nil"/>
            </w:tcBorders>
          </w:tcPr>
          <w:p w14:paraId="0C65C78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256</w:t>
            </w:r>
          </w:p>
        </w:tc>
        <w:tc>
          <w:tcPr>
            <w:tcW w:w="990" w:type="dxa"/>
            <w:tcBorders>
              <w:left w:val="nil"/>
              <w:right w:val="nil"/>
            </w:tcBorders>
          </w:tcPr>
          <w:p w14:paraId="37A569B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1.11</w:t>
            </w:r>
          </w:p>
        </w:tc>
        <w:tc>
          <w:tcPr>
            <w:tcW w:w="1058" w:type="dxa"/>
            <w:tcBorders>
              <w:left w:val="nil"/>
            </w:tcBorders>
          </w:tcPr>
          <w:p w14:paraId="5FD5E7EC"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46CB3CC9" w14:textId="77777777" w:rsidTr="006D4DD7">
        <w:trPr>
          <w:trHeight w:val="258"/>
        </w:trPr>
        <w:tc>
          <w:tcPr>
            <w:tcW w:w="756" w:type="dxa"/>
            <w:tcBorders>
              <w:right w:val="nil"/>
            </w:tcBorders>
          </w:tcPr>
          <w:p w14:paraId="2C393A6E"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30.95</w:t>
            </w:r>
          </w:p>
        </w:tc>
        <w:tc>
          <w:tcPr>
            <w:tcW w:w="4083" w:type="dxa"/>
            <w:tcBorders>
              <w:left w:val="nil"/>
              <w:right w:val="nil"/>
            </w:tcBorders>
          </w:tcPr>
          <w:p w14:paraId="2A83656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9-Hexadecenoic acid</w:t>
            </w:r>
          </w:p>
        </w:tc>
        <w:tc>
          <w:tcPr>
            <w:tcW w:w="1523" w:type="dxa"/>
            <w:tcBorders>
              <w:left w:val="nil"/>
              <w:right w:val="nil"/>
            </w:tcBorders>
          </w:tcPr>
          <w:p w14:paraId="0DD5F94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C16H30O2</w:t>
            </w:r>
          </w:p>
        </w:tc>
        <w:tc>
          <w:tcPr>
            <w:tcW w:w="743" w:type="dxa"/>
            <w:tcBorders>
              <w:left w:val="nil"/>
              <w:right w:val="nil"/>
            </w:tcBorders>
          </w:tcPr>
          <w:p w14:paraId="64C9295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254</w:t>
            </w:r>
          </w:p>
        </w:tc>
        <w:tc>
          <w:tcPr>
            <w:tcW w:w="990" w:type="dxa"/>
            <w:tcBorders>
              <w:left w:val="nil"/>
              <w:right w:val="nil"/>
            </w:tcBorders>
          </w:tcPr>
          <w:p w14:paraId="1443641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0.56</w:t>
            </w:r>
          </w:p>
        </w:tc>
        <w:tc>
          <w:tcPr>
            <w:tcW w:w="1058" w:type="dxa"/>
            <w:tcBorders>
              <w:left w:val="nil"/>
            </w:tcBorders>
          </w:tcPr>
          <w:p w14:paraId="78649C40"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1B6872AF" w14:textId="77777777" w:rsidTr="006D4DD7">
        <w:trPr>
          <w:trHeight w:val="529"/>
        </w:trPr>
        <w:tc>
          <w:tcPr>
            <w:tcW w:w="756" w:type="dxa"/>
            <w:tcBorders>
              <w:right w:val="nil"/>
            </w:tcBorders>
          </w:tcPr>
          <w:p w14:paraId="7DE7B678"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lastRenderedPageBreak/>
              <w:t>33.37</w:t>
            </w:r>
          </w:p>
        </w:tc>
        <w:tc>
          <w:tcPr>
            <w:tcW w:w="4083" w:type="dxa"/>
            <w:tcBorders>
              <w:left w:val="nil"/>
              <w:right w:val="nil"/>
            </w:tcBorders>
          </w:tcPr>
          <w:p w14:paraId="3D50166D" w14:textId="77777777" w:rsidR="009B36B8" w:rsidRPr="0049220A" w:rsidRDefault="009B36B8" w:rsidP="006E1B9A">
            <w:pPr>
              <w:jc w:val="both"/>
              <w:rPr>
                <w:rFonts w:ascii="Times New Roman" w:hAnsi="Times New Roman" w:cs="Times New Roman"/>
                <w:sz w:val="24"/>
                <w:szCs w:val="24"/>
              </w:rPr>
            </w:pPr>
            <w:r w:rsidRPr="0049220A">
              <w:rPr>
                <w:rFonts w:ascii="Times New Roman" w:hAnsi="Times New Roman" w:cs="Times New Roman"/>
                <w:sz w:val="24"/>
                <w:szCs w:val="24"/>
              </w:rPr>
              <w:t>10-Heptadecen-8-ynoic acid, methyl ester</w:t>
            </w:r>
          </w:p>
        </w:tc>
        <w:tc>
          <w:tcPr>
            <w:tcW w:w="1523" w:type="dxa"/>
            <w:tcBorders>
              <w:left w:val="nil"/>
              <w:right w:val="nil"/>
            </w:tcBorders>
          </w:tcPr>
          <w:p w14:paraId="44791EC0"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C18H30O2</w:t>
            </w:r>
          </w:p>
        </w:tc>
        <w:tc>
          <w:tcPr>
            <w:tcW w:w="743" w:type="dxa"/>
            <w:tcBorders>
              <w:left w:val="nil"/>
              <w:right w:val="nil"/>
            </w:tcBorders>
          </w:tcPr>
          <w:p w14:paraId="759D8CB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278</w:t>
            </w:r>
          </w:p>
        </w:tc>
        <w:tc>
          <w:tcPr>
            <w:tcW w:w="990" w:type="dxa"/>
            <w:tcBorders>
              <w:left w:val="nil"/>
              <w:right w:val="nil"/>
            </w:tcBorders>
          </w:tcPr>
          <w:p w14:paraId="382BD73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0.64</w:t>
            </w:r>
          </w:p>
        </w:tc>
        <w:tc>
          <w:tcPr>
            <w:tcW w:w="1058" w:type="dxa"/>
            <w:tcBorders>
              <w:left w:val="nil"/>
            </w:tcBorders>
          </w:tcPr>
          <w:p w14:paraId="04ED3720"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A6CA85C" w14:textId="77777777" w:rsidTr="006D4DD7">
        <w:trPr>
          <w:trHeight w:val="258"/>
        </w:trPr>
        <w:tc>
          <w:tcPr>
            <w:tcW w:w="756" w:type="dxa"/>
            <w:tcBorders>
              <w:right w:val="nil"/>
            </w:tcBorders>
          </w:tcPr>
          <w:p w14:paraId="110475E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35.99</w:t>
            </w:r>
          </w:p>
        </w:tc>
        <w:tc>
          <w:tcPr>
            <w:tcW w:w="4083" w:type="dxa"/>
            <w:tcBorders>
              <w:left w:val="nil"/>
              <w:right w:val="nil"/>
            </w:tcBorders>
          </w:tcPr>
          <w:p w14:paraId="732CAA1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 </w:t>
            </w:r>
            <w:proofErr w:type="spellStart"/>
            <w:r w:rsidRPr="0049220A">
              <w:rPr>
                <w:rFonts w:ascii="Times New Roman" w:hAnsi="Times New Roman" w:cs="Times New Roman"/>
                <w:sz w:val="24"/>
                <w:szCs w:val="24"/>
              </w:rPr>
              <w:t>Panaxjapyne</w:t>
            </w:r>
            <w:proofErr w:type="spellEnd"/>
            <w:r w:rsidRPr="0049220A">
              <w:rPr>
                <w:rFonts w:ascii="Times New Roman" w:hAnsi="Times New Roman" w:cs="Times New Roman"/>
                <w:sz w:val="24"/>
                <w:szCs w:val="24"/>
              </w:rPr>
              <w:t xml:space="preserve"> A</w:t>
            </w:r>
          </w:p>
        </w:tc>
        <w:tc>
          <w:tcPr>
            <w:tcW w:w="1523" w:type="dxa"/>
            <w:tcBorders>
              <w:left w:val="nil"/>
              <w:right w:val="nil"/>
            </w:tcBorders>
          </w:tcPr>
          <w:p w14:paraId="1386EA0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C17H26O</w:t>
            </w:r>
          </w:p>
        </w:tc>
        <w:tc>
          <w:tcPr>
            <w:tcW w:w="743" w:type="dxa"/>
            <w:tcBorders>
              <w:left w:val="nil"/>
              <w:right w:val="nil"/>
            </w:tcBorders>
          </w:tcPr>
          <w:p w14:paraId="39CD2A78"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246</w:t>
            </w:r>
          </w:p>
        </w:tc>
        <w:tc>
          <w:tcPr>
            <w:tcW w:w="990" w:type="dxa"/>
            <w:tcBorders>
              <w:left w:val="nil"/>
              <w:right w:val="nil"/>
            </w:tcBorders>
          </w:tcPr>
          <w:p w14:paraId="0EE317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0.52</w:t>
            </w:r>
          </w:p>
        </w:tc>
        <w:tc>
          <w:tcPr>
            <w:tcW w:w="1058" w:type="dxa"/>
            <w:tcBorders>
              <w:left w:val="nil"/>
            </w:tcBorders>
          </w:tcPr>
          <w:p w14:paraId="38FE2F63"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54543958" w14:textId="77777777" w:rsidTr="006D4DD7">
        <w:trPr>
          <w:trHeight w:val="548"/>
        </w:trPr>
        <w:tc>
          <w:tcPr>
            <w:tcW w:w="756" w:type="dxa"/>
            <w:tcBorders>
              <w:right w:val="nil"/>
            </w:tcBorders>
          </w:tcPr>
          <w:p w14:paraId="0583782A"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36.66</w:t>
            </w:r>
          </w:p>
        </w:tc>
        <w:tc>
          <w:tcPr>
            <w:tcW w:w="4083" w:type="dxa"/>
            <w:tcBorders>
              <w:left w:val="nil"/>
              <w:right w:val="nil"/>
            </w:tcBorders>
          </w:tcPr>
          <w:p w14:paraId="1FA59337"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 xml:space="preserve"> 2,5-Octadecadiynoic acid, methyl</w:t>
            </w:r>
          </w:p>
          <w:p w14:paraId="2E0D620C"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 xml:space="preserve"> ester</w:t>
            </w:r>
          </w:p>
        </w:tc>
        <w:tc>
          <w:tcPr>
            <w:tcW w:w="1523" w:type="dxa"/>
            <w:tcBorders>
              <w:left w:val="nil"/>
              <w:right w:val="nil"/>
            </w:tcBorders>
          </w:tcPr>
          <w:p w14:paraId="5277419F"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C19H30O2</w:t>
            </w:r>
          </w:p>
        </w:tc>
        <w:tc>
          <w:tcPr>
            <w:tcW w:w="743" w:type="dxa"/>
            <w:tcBorders>
              <w:left w:val="nil"/>
              <w:right w:val="nil"/>
            </w:tcBorders>
          </w:tcPr>
          <w:p w14:paraId="441D53B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290</w:t>
            </w:r>
          </w:p>
        </w:tc>
        <w:tc>
          <w:tcPr>
            <w:tcW w:w="990" w:type="dxa"/>
            <w:tcBorders>
              <w:left w:val="nil"/>
              <w:right w:val="nil"/>
            </w:tcBorders>
          </w:tcPr>
          <w:p w14:paraId="342277D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0.45</w:t>
            </w:r>
          </w:p>
        </w:tc>
        <w:tc>
          <w:tcPr>
            <w:tcW w:w="1058" w:type="dxa"/>
            <w:tcBorders>
              <w:left w:val="nil"/>
            </w:tcBorders>
          </w:tcPr>
          <w:p w14:paraId="295C4873"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A5F7CC0" w14:textId="77777777" w:rsidTr="006D4DD7">
        <w:trPr>
          <w:trHeight w:val="258"/>
        </w:trPr>
        <w:tc>
          <w:tcPr>
            <w:tcW w:w="756" w:type="dxa"/>
            <w:tcBorders>
              <w:right w:val="nil"/>
            </w:tcBorders>
          </w:tcPr>
          <w:p w14:paraId="3E28CF7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39.21</w:t>
            </w:r>
          </w:p>
        </w:tc>
        <w:tc>
          <w:tcPr>
            <w:tcW w:w="4083" w:type="dxa"/>
            <w:tcBorders>
              <w:left w:val="nil"/>
              <w:right w:val="nil"/>
            </w:tcBorders>
          </w:tcPr>
          <w:p w14:paraId="3EAB0029" w14:textId="77777777" w:rsidR="009B36B8" w:rsidRPr="0049220A" w:rsidRDefault="00A73E0D" w:rsidP="00682148">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Corymbolone</w:t>
            </w:r>
            <w:proofErr w:type="spellEnd"/>
          </w:p>
        </w:tc>
        <w:tc>
          <w:tcPr>
            <w:tcW w:w="1523" w:type="dxa"/>
            <w:tcBorders>
              <w:left w:val="nil"/>
              <w:right w:val="nil"/>
            </w:tcBorders>
          </w:tcPr>
          <w:p w14:paraId="41320421"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C15H24O2</w:t>
            </w:r>
          </w:p>
        </w:tc>
        <w:tc>
          <w:tcPr>
            <w:tcW w:w="743" w:type="dxa"/>
            <w:tcBorders>
              <w:left w:val="nil"/>
              <w:right w:val="nil"/>
            </w:tcBorders>
          </w:tcPr>
          <w:p w14:paraId="36D53AA8"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236</w:t>
            </w:r>
          </w:p>
        </w:tc>
        <w:tc>
          <w:tcPr>
            <w:tcW w:w="990" w:type="dxa"/>
            <w:tcBorders>
              <w:left w:val="nil"/>
              <w:right w:val="nil"/>
            </w:tcBorders>
          </w:tcPr>
          <w:p w14:paraId="2D38229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1.17</w:t>
            </w:r>
          </w:p>
        </w:tc>
        <w:tc>
          <w:tcPr>
            <w:tcW w:w="1058" w:type="dxa"/>
            <w:tcBorders>
              <w:left w:val="nil"/>
            </w:tcBorders>
          </w:tcPr>
          <w:p w14:paraId="5D94A3DF" w14:textId="77777777" w:rsidR="009B36B8" w:rsidRPr="0049220A" w:rsidRDefault="00682148"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6B9B75E" w14:textId="77777777" w:rsidTr="006D4DD7">
        <w:trPr>
          <w:trHeight w:val="271"/>
        </w:trPr>
        <w:tc>
          <w:tcPr>
            <w:tcW w:w="756" w:type="dxa"/>
            <w:tcBorders>
              <w:right w:val="nil"/>
            </w:tcBorders>
          </w:tcPr>
          <w:p w14:paraId="2C41AA5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40.14</w:t>
            </w:r>
          </w:p>
        </w:tc>
        <w:tc>
          <w:tcPr>
            <w:tcW w:w="4083" w:type="dxa"/>
            <w:tcBorders>
              <w:left w:val="nil"/>
              <w:right w:val="nil"/>
            </w:tcBorders>
          </w:tcPr>
          <w:p w14:paraId="6E2FB3B9"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523" w:type="dxa"/>
            <w:tcBorders>
              <w:left w:val="nil"/>
              <w:right w:val="nil"/>
            </w:tcBorders>
          </w:tcPr>
          <w:p w14:paraId="370EB94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C37H76O</w:t>
            </w:r>
          </w:p>
        </w:tc>
        <w:tc>
          <w:tcPr>
            <w:tcW w:w="743" w:type="dxa"/>
            <w:tcBorders>
              <w:left w:val="nil"/>
              <w:right w:val="nil"/>
            </w:tcBorders>
          </w:tcPr>
          <w:p w14:paraId="4AE73A1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536</w:t>
            </w:r>
          </w:p>
        </w:tc>
        <w:tc>
          <w:tcPr>
            <w:tcW w:w="990" w:type="dxa"/>
            <w:tcBorders>
              <w:left w:val="nil"/>
              <w:right w:val="nil"/>
            </w:tcBorders>
          </w:tcPr>
          <w:p w14:paraId="23ACD8B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0.67</w:t>
            </w:r>
          </w:p>
        </w:tc>
        <w:tc>
          <w:tcPr>
            <w:tcW w:w="1058" w:type="dxa"/>
            <w:tcBorders>
              <w:left w:val="nil"/>
            </w:tcBorders>
          </w:tcPr>
          <w:p w14:paraId="39024264"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2B048FA1" w14:textId="77777777" w:rsidTr="006D4DD7">
        <w:trPr>
          <w:trHeight w:val="516"/>
        </w:trPr>
        <w:tc>
          <w:tcPr>
            <w:tcW w:w="756" w:type="dxa"/>
            <w:tcBorders>
              <w:right w:val="nil"/>
            </w:tcBorders>
          </w:tcPr>
          <w:p w14:paraId="3DBC5E1A"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40.48</w:t>
            </w:r>
          </w:p>
        </w:tc>
        <w:tc>
          <w:tcPr>
            <w:tcW w:w="4083" w:type="dxa"/>
            <w:tcBorders>
              <w:left w:val="nil"/>
              <w:right w:val="nil"/>
            </w:tcBorders>
          </w:tcPr>
          <w:p w14:paraId="7E72D3D3" w14:textId="77777777" w:rsidR="009B36B8" w:rsidRPr="0049220A" w:rsidRDefault="009B36B8" w:rsidP="00E72D95">
            <w:pPr>
              <w:jc w:val="both"/>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523" w:type="dxa"/>
            <w:tcBorders>
              <w:left w:val="nil"/>
              <w:right w:val="nil"/>
            </w:tcBorders>
          </w:tcPr>
          <w:p w14:paraId="1635315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C30H52O3Si</w:t>
            </w:r>
          </w:p>
        </w:tc>
        <w:tc>
          <w:tcPr>
            <w:tcW w:w="743" w:type="dxa"/>
            <w:tcBorders>
              <w:left w:val="nil"/>
              <w:right w:val="nil"/>
            </w:tcBorders>
          </w:tcPr>
          <w:p w14:paraId="11B217BE"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488</w:t>
            </w:r>
          </w:p>
          <w:p w14:paraId="78459EA6" w14:textId="77777777" w:rsidR="009B36B8" w:rsidRPr="0049220A" w:rsidRDefault="009B36B8" w:rsidP="006D4DD7">
            <w:pPr>
              <w:rPr>
                <w:rFonts w:ascii="Times New Roman" w:hAnsi="Times New Roman" w:cs="Times New Roman"/>
                <w:sz w:val="24"/>
                <w:szCs w:val="24"/>
              </w:rPr>
            </w:pPr>
          </w:p>
        </w:tc>
        <w:tc>
          <w:tcPr>
            <w:tcW w:w="990" w:type="dxa"/>
            <w:tcBorders>
              <w:left w:val="nil"/>
              <w:right w:val="nil"/>
            </w:tcBorders>
          </w:tcPr>
          <w:p w14:paraId="21E4433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1.65</w:t>
            </w:r>
          </w:p>
        </w:tc>
        <w:tc>
          <w:tcPr>
            <w:tcW w:w="1058" w:type="dxa"/>
            <w:tcBorders>
              <w:left w:val="nil"/>
            </w:tcBorders>
          </w:tcPr>
          <w:p w14:paraId="4CF340AA"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0E1DB309" w14:textId="77777777" w:rsidTr="006D4DD7">
        <w:trPr>
          <w:trHeight w:val="260"/>
        </w:trPr>
        <w:tc>
          <w:tcPr>
            <w:tcW w:w="756" w:type="dxa"/>
            <w:tcBorders>
              <w:right w:val="nil"/>
            </w:tcBorders>
          </w:tcPr>
          <w:p w14:paraId="6906CD1B"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40.90</w:t>
            </w:r>
          </w:p>
        </w:tc>
        <w:tc>
          <w:tcPr>
            <w:tcW w:w="4083" w:type="dxa"/>
            <w:tcBorders>
              <w:left w:val="nil"/>
              <w:right w:val="nil"/>
            </w:tcBorders>
          </w:tcPr>
          <w:p w14:paraId="44F778CC"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E-8-Methyl-9-tetradecen-1-ol acetate</w:t>
            </w:r>
          </w:p>
        </w:tc>
        <w:tc>
          <w:tcPr>
            <w:tcW w:w="1523" w:type="dxa"/>
            <w:tcBorders>
              <w:left w:val="nil"/>
              <w:right w:val="nil"/>
            </w:tcBorders>
          </w:tcPr>
          <w:p w14:paraId="64E20AD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C17H32O2</w:t>
            </w:r>
          </w:p>
        </w:tc>
        <w:tc>
          <w:tcPr>
            <w:tcW w:w="743" w:type="dxa"/>
            <w:tcBorders>
              <w:left w:val="nil"/>
              <w:right w:val="nil"/>
            </w:tcBorders>
          </w:tcPr>
          <w:p w14:paraId="4EC6C70D"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268</w:t>
            </w:r>
          </w:p>
        </w:tc>
        <w:tc>
          <w:tcPr>
            <w:tcW w:w="990" w:type="dxa"/>
            <w:tcBorders>
              <w:left w:val="nil"/>
              <w:right w:val="nil"/>
            </w:tcBorders>
          </w:tcPr>
          <w:p w14:paraId="3ACF1B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0.44</w:t>
            </w:r>
          </w:p>
        </w:tc>
        <w:tc>
          <w:tcPr>
            <w:tcW w:w="1058" w:type="dxa"/>
            <w:tcBorders>
              <w:left w:val="nil"/>
            </w:tcBorders>
          </w:tcPr>
          <w:p w14:paraId="3662FA00"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2AC777A9" w14:textId="77777777" w:rsidTr="006D4DD7">
        <w:trPr>
          <w:trHeight w:val="161"/>
        </w:trPr>
        <w:tc>
          <w:tcPr>
            <w:tcW w:w="756" w:type="dxa"/>
            <w:tcBorders>
              <w:right w:val="nil"/>
            </w:tcBorders>
          </w:tcPr>
          <w:p w14:paraId="246A1C5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41.25</w:t>
            </w:r>
          </w:p>
        </w:tc>
        <w:tc>
          <w:tcPr>
            <w:tcW w:w="4083" w:type="dxa"/>
            <w:tcBorders>
              <w:left w:val="nil"/>
              <w:right w:val="nil"/>
            </w:tcBorders>
          </w:tcPr>
          <w:p w14:paraId="15CEE930" w14:textId="77777777" w:rsidR="009B36B8" w:rsidRPr="0049220A" w:rsidRDefault="00A73E0D" w:rsidP="00E72D95">
            <w:pPr>
              <w:jc w:val="both"/>
              <w:rPr>
                <w:rFonts w:ascii="Times New Roman" w:hAnsi="Times New Roman" w:cs="Times New Roman"/>
                <w:sz w:val="24"/>
                <w:szCs w:val="24"/>
              </w:rPr>
            </w:pPr>
            <w:r w:rsidRPr="0049220A">
              <w:rPr>
                <w:rFonts w:ascii="Times New Roman" w:hAnsi="Times New Roman" w:cs="Times New Roman"/>
                <w:sz w:val="24"/>
                <w:szCs w:val="24"/>
              </w:rPr>
              <w:t>Cholest-5-en-3-ol (3a)-</w:t>
            </w:r>
            <w:r w:rsidR="009B36B8" w:rsidRPr="0049220A">
              <w:rPr>
                <w:rFonts w:ascii="Times New Roman" w:hAnsi="Times New Roman" w:cs="Times New Roman"/>
                <w:sz w:val="24"/>
                <w:szCs w:val="24"/>
              </w:rPr>
              <w:t xml:space="preserve"> </w:t>
            </w:r>
          </w:p>
        </w:tc>
        <w:tc>
          <w:tcPr>
            <w:tcW w:w="1523" w:type="dxa"/>
            <w:tcBorders>
              <w:left w:val="nil"/>
              <w:right w:val="nil"/>
            </w:tcBorders>
          </w:tcPr>
          <w:p w14:paraId="3DD4A24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C27H46O</w:t>
            </w:r>
          </w:p>
        </w:tc>
        <w:tc>
          <w:tcPr>
            <w:tcW w:w="743" w:type="dxa"/>
            <w:tcBorders>
              <w:left w:val="nil"/>
              <w:right w:val="nil"/>
            </w:tcBorders>
          </w:tcPr>
          <w:p w14:paraId="2161DDA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386</w:t>
            </w:r>
          </w:p>
        </w:tc>
        <w:tc>
          <w:tcPr>
            <w:tcW w:w="990" w:type="dxa"/>
            <w:tcBorders>
              <w:left w:val="nil"/>
              <w:right w:val="nil"/>
            </w:tcBorders>
          </w:tcPr>
          <w:p w14:paraId="42810611"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0.66</w:t>
            </w:r>
          </w:p>
        </w:tc>
        <w:tc>
          <w:tcPr>
            <w:tcW w:w="1058" w:type="dxa"/>
            <w:tcBorders>
              <w:left w:val="nil"/>
            </w:tcBorders>
          </w:tcPr>
          <w:p w14:paraId="6AD28F11"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2CDFC48" w14:textId="77777777" w:rsidTr="006D4DD7">
        <w:trPr>
          <w:trHeight w:val="258"/>
        </w:trPr>
        <w:tc>
          <w:tcPr>
            <w:tcW w:w="756" w:type="dxa"/>
            <w:tcBorders>
              <w:right w:val="nil"/>
            </w:tcBorders>
          </w:tcPr>
          <w:p w14:paraId="41466B3B"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41.52</w:t>
            </w:r>
          </w:p>
        </w:tc>
        <w:tc>
          <w:tcPr>
            <w:tcW w:w="4083" w:type="dxa"/>
            <w:tcBorders>
              <w:left w:val="nil"/>
              <w:right w:val="nil"/>
            </w:tcBorders>
          </w:tcPr>
          <w:p w14:paraId="458C924C"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T</w:t>
            </w:r>
            <w:r w:rsidR="009B36B8" w:rsidRPr="0049220A">
              <w:rPr>
                <w:rFonts w:ascii="Times New Roman" w:hAnsi="Times New Roman" w:cs="Times New Roman"/>
                <w:sz w:val="24"/>
                <w:szCs w:val="24"/>
              </w:rPr>
              <w:t>ert-</w:t>
            </w:r>
            <w:proofErr w:type="spellStart"/>
            <w:r w:rsidR="009B36B8" w:rsidRPr="0049220A">
              <w:rPr>
                <w:rFonts w:ascii="Times New Roman" w:hAnsi="Times New Roman" w:cs="Times New Roman"/>
                <w:sz w:val="24"/>
                <w:szCs w:val="24"/>
              </w:rPr>
              <w:t>Hexadecanethiol</w:t>
            </w:r>
            <w:proofErr w:type="spellEnd"/>
          </w:p>
        </w:tc>
        <w:tc>
          <w:tcPr>
            <w:tcW w:w="1523" w:type="dxa"/>
            <w:tcBorders>
              <w:left w:val="nil"/>
              <w:right w:val="nil"/>
            </w:tcBorders>
          </w:tcPr>
          <w:p w14:paraId="3CD53B9C"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C16H34S</w:t>
            </w:r>
          </w:p>
        </w:tc>
        <w:tc>
          <w:tcPr>
            <w:tcW w:w="743" w:type="dxa"/>
            <w:tcBorders>
              <w:left w:val="nil"/>
              <w:right w:val="nil"/>
            </w:tcBorders>
          </w:tcPr>
          <w:p w14:paraId="5B5CACE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258</w:t>
            </w:r>
          </w:p>
        </w:tc>
        <w:tc>
          <w:tcPr>
            <w:tcW w:w="990" w:type="dxa"/>
            <w:tcBorders>
              <w:left w:val="nil"/>
              <w:right w:val="nil"/>
            </w:tcBorders>
          </w:tcPr>
          <w:p w14:paraId="0D61327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4.00</w:t>
            </w:r>
          </w:p>
        </w:tc>
        <w:tc>
          <w:tcPr>
            <w:tcW w:w="1058" w:type="dxa"/>
            <w:tcBorders>
              <w:left w:val="nil"/>
            </w:tcBorders>
          </w:tcPr>
          <w:p w14:paraId="64D8F8CF"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67A139BB" w14:textId="77777777" w:rsidTr="006D4DD7">
        <w:trPr>
          <w:trHeight w:val="332"/>
        </w:trPr>
        <w:tc>
          <w:tcPr>
            <w:tcW w:w="756" w:type="dxa"/>
            <w:tcBorders>
              <w:right w:val="nil"/>
            </w:tcBorders>
          </w:tcPr>
          <w:p w14:paraId="63544340"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41.83</w:t>
            </w:r>
          </w:p>
        </w:tc>
        <w:tc>
          <w:tcPr>
            <w:tcW w:w="4083" w:type="dxa"/>
            <w:tcBorders>
              <w:left w:val="nil"/>
              <w:right w:val="nil"/>
            </w:tcBorders>
          </w:tcPr>
          <w:p w14:paraId="32A4DA13"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Glycidyl oleate</w:t>
            </w:r>
          </w:p>
        </w:tc>
        <w:tc>
          <w:tcPr>
            <w:tcW w:w="1523" w:type="dxa"/>
            <w:tcBorders>
              <w:left w:val="nil"/>
              <w:right w:val="nil"/>
            </w:tcBorders>
          </w:tcPr>
          <w:p w14:paraId="794ECCFC"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C21H38O3</w:t>
            </w:r>
          </w:p>
        </w:tc>
        <w:tc>
          <w:tcPr>
            <w:tcW w:w="743" w:type="dxa"/>
            <w:tcBorders>
              <w:left w:val="nil"/>
              <w:right w:val="nil"/>
            </w:tcBorders>
          </w:tcPr>
          <w:p w14:paraId="5F1AE7B1"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338</w:t>
            </w:r>
          </w:p>
        </w:tc>
        <w:tc>
          <w:tcPr>
            <w:tcW w:w="990" w:type="dxa"/>
            <w:tcBorders>
              <w:left w:val="nil"/>
              <w:right w:val="nil"/>
            </w:tcBorders>
          </w:tcPr>
          <w:p w14:paraId="26374CCA"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2.28</w:t>
            </w:r>
          </w:p>
        </w:tc>
        <w:tc>
          <w:tcPr>
            <w:tcW w:w="1058" w:type="dxa"/>
            <w:tcBorders>
              <w:left w:val="nil"/>
            </w:tcBorders>
          </w:tcPr>
          <w:p w14:paraId="3289B2E8" w14:textId="77777777" w:rsidR="009B36B8" w:rsidRPr="0049220A" w:rsidRDefault="00172DA7"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A2AF7B6" w14:textId="77777777" w:rsidTr="006D4DD7">
        <w:trPr>
          <w:trHeight w:val="258"/>
        </w:trPr>
        <w:tc>
          <w:tcPr>
            <w:tcW w:w="756" w:type="dxa"/>
            <w:tcBorders>
              <w:right w:val="nil"/>
            </w:tcBorders>
          </w:tcPr>
          <w:p w14:paraId="2F30B7C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42.13</w:t>
            </w:r>
          </w:p>
        </w:tc>
        <w:tc>
          <w:tcPr>
            <w:tcW w:w="4083" w:type="dxa"/>
            <w:tcBorders>
              <w:left w:val="nil"/>
              <w:right w:val="nil"/>
            </w:tcBorders>
          </w:tcPr>
          <w:p w14:paraId="7B06A534"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17-Octadecynoic acid</w:t>
            </w:r>
          </w:p>
        </w:tc>
        <w:tc>
          <w:tcPr>
            <w:tcW w:w="1523" w:type="dxa"/>
            <w:tcBorders>
              <w:left w:val="nil"/>
              <w:right w:val="nil"/>
            </w:tcBorders>
          </w:tcPr>
          <w:p w14:paraId="48FCB546"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C18H32O2</w:t>
            </w:r>
          </w:p>
        </w:tc>
        <w:tc>
          <w:tcPr>
            <w:tcW w:w="743" w:type="dxa"/>
            <w:tcBorders>
              <w:left w:val="nil"/>
              <w:right w:val="nil"/>
            </w:tcBorders>
          </w:tcPr>
          <w:p w14:paraId="21C32229"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280</w:t>
            </w:r>
          </w:p>
        </w:tc>
        <w:tc>
          <w:tcPr>
            <w:tcW w:w="990" w:type="dxa"/>
            <w:tcBorders>
              <w:left w:val="nil"/>
              <w:right w:val="nil"/>
            </w:tcBorders>
          </w:tcPr>
          <w:p w14:paraId="56024FAB"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5.83</w:t>
            </w:r>
          </w:p>
        </w:tc>
        <w:tc>
          <w:tcPr>
            <w:tcW w:w="1058" w:type="dxa"/>
            <w:tcBorders>
              <w:left w:val="nil"/>
            </w:tcBorders>
          </w:tcPr>
          <w:p w14:paraId="31B7259E" w14:textId="77777777" w:rsidR="009B36B8" w:rsidRPr="0049220A" w:rsidRDefault="009B36B8"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5823A2F2" w14:textId="77777777" w:rsidTr="006D4DD7">
        <w:trPr>
          <w:trHeight w:val="258"/>
        </w:trPr>
        <w:tc>
          <w:tcPr>
            <w:tcW w:w="756" w:type="dxa"/>
            <w:tcBorders>
              <w:right w:val="nil"/>
            </w:tcBorders>
          </w:tcPr>
          <w:p w14:paraId="3D6DEEBD"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42.56</w:t>
            </w:r>
          </w:p>
        </w:tc>
        <w:tc>
          <w:tcPr>
            <w:tcW w:w="4083" w:type="dxa"/>
            <w:tcBorders>
              <w:left w:val="nil"/>
              <w:right w:val="nil"/>
            </w:tcBorders>
          </w:tcPr>
          <w:p w14:paraId="3D6C9889" w14:textId="77777777" w:rsidR="009B36B8" w:rsidRPr="0049220A" w:rsidRDefault="00A73E0D" w:rsidP="003421EC">
            <w:pPr>
              <w:jc w:val="both"/>
              <w:rPr>
                <w:rFonts w:ascii="Times New Roman" w:hAnsi="Times New Roman" w:cs="Times New Roman"/>
                <w:sz w:val="24"/>
                <w:szCs w:val="24"/>
              </w:rPr>
            </w:pPr>
            <w:r w:rsidRPr="0049220A">
              <w:rPr>
                <w:rFonts w:ascii="Times New Roman" w:hAnsi="Times New Roman" w:cs="Times New Roman"/>
                <w:sz w:val="24"/>
                <w:szCs w:val="24"/>
              </w:rPr>
              <w:t>Ethyl iso-</w:t>
            </w:r>
            <w:proofErr w:type="spellStart"/>
            <w:r w:rsidRPr="0049220A">
              <w:rPr>
                <w:rFonts w:ascii="Times New Roman" w:hAnsi="Times New Roman" w:cs="Times New Roman"/>
                <w:sz w:val="24"/>
                <w:szCs w:val="24"/>
              </w:rPr>
              <w:t>allocholate</w:t>
            </w:r>
            <w:proofErr w:type="spellEnd"/>
          </w:p>
        </w:tc>
        <w:tc>
          <w:tcPr>
            <w:tcW w:w="1523" w:type="dxa"/>
            <w:tcBorders>
              <w:left w:val="nil"/>
              <w:right w:val="nil"/>
            </w:tcBorders>
          </w:tcPr>
          <w:p w14:paraId="0A248B60"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C26H44O5</w:t>
            </w:r>
          </w:p>
        </w:tc>
        <w:tc>
          <w:tcPr>
            <w:tcW w:w="743" w:type="dxa"/>
            <w:tcBorders>
              <w:left w:val="nil"/>
              <w:right w:val="nil"/>
            </w:tcBorders>
          </w:tcPr>
          <w:p w14:paraId="37039FEB"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436</w:t>
            </w:r>
          </w:p>
        </w:tc>
        <w:tc>
          <w:tcPr>
            <w:tcW w:w="990" w:type="dxa"/>
            <w:tcBorders>
              <w:left w:val="nil"/>
              <w:right w:val="nil"/>
            </w:tcBorders>
          </w:tcPr>
          <w:p w14:paraId="211ABD22"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1.32</w:t>
            </w:r>
          </w:p>
        </w:tc>
        <w:tc>
          <w:tcPr>
            <w:tcW w:w="1058" w:type="dxa"/>
            <w:tcBorders>
              <w:left w:val="nil"/>
            </w:tcBorders>
          </w:tcPr>
          <w:p w14:paraId="19D69520" w14:textId="77777777" w:rsidR="009B36B8" w:rsidRPr="0049220A" w:rsidRDefault="00A73E0D"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85C8118" w14:textId="77777777" w:rsidTr="006D4DD7">
        <w:trPr>
          <w:trHeight w:val="258"/>
        </w:trPr>
        <w:tc>
          <w:tcPr>
            <w:tcW w:w="756" w:type="dxa"/>
            <w:tcBorders>
              <w:right w:val="nil"/>
            </w:tcBorders>
          </w:tcPr>
          <w:p w14:paraId="6A2F1233"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42.95</w:t>
            </w:r>
          </w:p>
        </w:tc>
        <w:tc>
          <w:tcPr>
            <w:tcW w:w="4083" w:type="dxa"/>
            <w:tcBorders>
              <w:left w:val="nil"/>
              <w:right w:val="nil"/>
            </w:tcBorders>
          </w:tcPr>
          <w:p w14:paraId="2ADA2B22" w14:textId="77777777" w:rsidR="00A73E0D" w:rsidRPr="0049220A" w:rsidRDefault="00A73E0D" w:rsidP="00A73E0D">
            <w:pPr>
              <w:jc w:val="both"/>
              <w:rPr>
                <w:rFonts w:ascii="Times New Roman" w:hAnsi="Times New Roman" w:cs="Times New Roman"/>
                <w:sz w:val="24"/>
                <w:szCs w:val="24"/>
              </w:rPr>
            </w:pPr>
            <w:r w:rsidRPr="0049220A">
              <w:rPr>
                <w:rFonts w:ascii="Times New Roman" w:hAnsi="Times New Roman" w:cs="Times New Roman"/>
                <w:sz w:val="24"/>
                <w:szCs w:val="24"/>
              </w:rPr>
              <w:t>1,25-Dihydroxyvitamin D3, TMS</w:t>
            </w:r>
          </w:p>
          <w:p w14:paraId="0EB593D1" w14:textId="77777777" w:rsidR="009B36B8" w:rsidRPr="0049220A" w:rsidRDefault="00A73E0D" w:rsidP="00A73E0D">
            <w:pPr>
              <w:jc w:val="both"/>
              <w:rPr>
                <w:rFonts w:ascii="Times New Roman" w:hAnsi="Times New Roman" w:cs="Times New Roman"/>
                <w:sz w:val="24"/>
                <w:szCs w:val="24"/>
              </w:rPr>
            </w:pPr>
            <w:r w:rsidRPr="0049220A">
              <w:rPr>
                <w:rFonts w:ascii="Times New Roman" w:hAnsi="Times New Roman" w:cs="Times New Roman"/>
                <w:sz w:val="24"/>
                <w:szCs w:val="24"/>
              </w:rPr>
              <w:t xml:space="preserve"> derivative</w:t>
            </w:r>
          </w:p>
        </w:tc>
        <w:tc>
          <w:tcPr>
            <w:tcW w:w="1523" w:type="dxa"/>
            <w:tcBorders>
              <w:left w:val="nil"/>
              <w:right w:val="nil"/>
            </w:tcBorders>
          </w:tcPr>
          <w:p w14:paraId="66F471F2"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C30H52O3Si</w:t>
            </w:r>
          </w:p>
        </w:tc>
        <w:tc>
          <w:tcPr>
            <w:tcW w:w="743" w:type="dxa"/>
            <w:tcBorders>
              <w:left w:val="nil"/>
              <w:right w:val="nil"/>
            </w:tcBorders>
          </w:tcPr>
          <w:p w14:paraId="4AC43385"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488</w:t>
            </w:r>
          </w:p>
        </w:tc>
        <w:tc>
          <w:tcPr>
            <w:tcW w:w="990" w:type="dxa"/>
            <w:tcBorders>
              <w:left w:val="nil"/>
              <w:right w:val="nil"/>
            </w:tcBorders>
          </w:tcPr>
          <w:p w14:paraId="63F950A7"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1.89</w:t>
            </w:r>
          </w:p>
        </w:tc>
        <w:tc>
          <w:tcPr>
            <w:tcW w:w="1058" w:type="dxa"/>
            <w:tcBorders>
              <w:left w:val="nil"/>
            </w:tcBorders>
          </w:tcPr>
          <w:p w14:paraId="6E98009D" w14:textId="77777777" w:rsidR="009B36B8" w:rsidRPr="0049220A" w:rsidRDefault="00A73E0D"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7AD274DE" w14:textId="77777777" w:rsidTr="006D4DD7">
        <w:trPr>
          <w:trHeight w:val="258"/>
        </w:trPr>
        <w:tc>
          <w:tcPr>
            <w:tcW w:w="756" w:type="dxa"/>
            <w:tcBorders>
              <w:right w:val="nil"/>
            </w:tcBorders>
          </w:tcPr>
          <w:p w14:paraId="6FD14B82"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43.17</w:t>
            </w:r>
          </w:p>
        </w:tc>
        <w:tc>
          <w:tcPr>
            <w:tcW w:w="4083" w:type="dxa"/>
            <w:tcBorders>
              <w:left w:val="nil"/>
              <w:right w:val="nil"/>
            </w:tcBorders>
          </w:tcPr>
          <w:p w14:paraId="4B4AB99B" w14:textId="77777777" w:rsidR="009B36B8" w:rsidRPr="0049220A" w:rsidRDefault="00BB3AA1" w:rsidP="003421EC">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Isochiapin</w:t>
            </w:r>
            <w:proofErr w:type="spellEnd"/>
            <w:r w:rsidRPr="0049220A">
              <w:rPr>
                <w:rFonts w:ascii="Times New Roman" w:hAnsi="Times New Roman" w:cs="Times New Roman"/>
                <w:sz w:val="24"/>
                <w:szCs w:val="24"/>
              </w:rPr>
              <w:t xml:space="preserve"> B</w:t>
            </w:r>
          </w:p>
        </w:tc>
        <w:tc>
          <w:tcPr>
            <w:tcW w:w="1523" w:type="dxa"/>
            <w:tcBorders>
              <w:left w:val="nil"/>
              <w:right w:val="nil"/>
            </w:tcBorders>
          </w:tcPr>
          <w:p w14:paraId="0CBF410F" w14:textId="77777777" w:rsidR="009B36B8" w:rsidRPr="0049220A" w:rsidRDefault="00A73E0D" w:rsidP="006D4DD7">
            <w:pPr>
              <w:rPr>
                <w:rFonts w:ascii="Times New Roman" w:hAnsi="Times New Roman" w:cs="Times New Roman"/>
                <w:sz w:val="24"/>
                <w:szCs w:val="24"/>
              </w:rPr>
            </w:pPr>
            <w:r w:rsidRPr="0049220A">
              <w:rPr>
                <w:rFonts w:ascii="Times New Roman" w:hAnsi="Times New Roman" w:cs="Times New Roman"/>
                <w:sz w:val="24"/>
                <w:szCs w:val="24"/>
              </w:rPr>
              <w:t>C19H22O6</w:t>
            </w:r>
          </w:p>
        </w:tc>
        <w:tc>
          <w:tcPr>
            <w:tcW w:w="743" w:type="dxa"/>
            <w:tcBorders>
              <w:left w:val="nil"/>
              <w:right w:val="nil"/>
            </w:tcBorders>
          </w:tcPr>
          <w:p w14:paraId="202F9672"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346</w:t>
            </w:r>
          </w:p>
        </w:tc>
        <w:tc>
          <w:tcPr>
            <w:tcW w:w="990" w:type="dxa"/>
            <w:tcBorders>
              <w:left w:val="nil"/>
              <w:right w:val="nil"/>
            </w:tcBorders>
          </w:tcPr>
          <w:p w14:paraId="5CAB5D84" w14:textId="77777777" w:rsidR="009B36B8" w:rsidRPr="0049220A" w:rsidRDefault="009B36B8" w:rsidP="006D4DD7">
            <w:pPr>
              <w:rPr>
                <w:rFonts w:ascii="Times New Roman" w:hAnsi="Times New Roman" w:cs="Times New Roman"/>
                <w:sz w:val="24"/>
                <w:szCs w:val="24"/>
              </w:rPr>
            </w:pPr>
            <w:r w:rsidRPr="0049220A">
              <w:rPr>
                <w:rFonts w:ascii="Times New Roman" w:hAnsi="Times New Roman" w:cs="Times New Roman"/>
                <w:sz w:val="24"/>
                <w:szCs w:val="24"/>
              </w:rPr>
              <w:t>0.37</w:t>
            </w:r>
          </w:p>
        </w:tc>
        <w:tc>
          <w:tcPr>
            <w:tcW w:w="1058" w:type="dxa"/>
            <w:tcBorders>
              <w:left w:val="nil"/>
            </w:tcBorders>
          </w:tcPr>
          <w:p w14:paraId="352F8372" w14:textId="77777777" w:rsidR="009B36B8" w:rsidRPr="0049220A" w:rsidRDefault="00A73E0D"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5BEB9A69" w14:textId="77777777" w:rsidTr="006D4DD7">
        <w:trPr>
          <w:trHeight w:val="258"/>
        </w:trPr>
        <w:tc>
          <w:tcPr>
            <w:tcW w:w="756" w:type="dxa"/>
            <w:tcBorders>
              <w:right w:val="nil"/>
            </w:tcBorders>
          </w:tcPr>
          <w:p w14:paraId="76DA5B49"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43.46</w:t>
            </w:r>
          </w:p>
        </w:tc>
        <w:tc>
          <w:tcPr>
            <w:tcW w:w="4083" w:type="dxa"/>
            <w:tcBorders>
              <w:left w:val="nil"/>
              <w:right w:val="nil"/>
            </w:tcBorders>
          </w:tcPr>
          <w:p w14:paraId="31ECFC6D" w14:textId="77777777" w:rsidR="009B36B8" w:rsidRPr="0049220A" w:rsidRDefault="000B6857" w:rsidP="00BB2AD5">
            <w:pPr>
              <w:jc w:val="both"/>
              <w:rPr>
                <w:rFonts w:ascii="Times New Roman" w:hAnsi="Times New Roman" w:cs="Times New Roman"/>
                <w:sz w:val="24"/>
                <w:szCs w:val="24"/>
              </w:rPr>
            </w:pPr>
            <w:r w:rsidRPr="0049220A">
              <w:rPr>
                <w:rFonts w:ascii="Times New Roman" w:hAnsi="Times New Roman" w:cs="Times New Roman"/>
                <w:sz w:val="24"/>
                <w:szCs w:val="24"/>
              </w:rPr>
              <w:t xml:space="preserve">2H-Pyran, </w:t>
            </w:r>
            <w:r w:rsidR="00BB2AD5" w:rsidRPr="0049220A">
              <w:rPr>
                <w:rFonts w:ascii="Times New Roman" w:hAnsi="Times New Roman" w:cs="Times New Roman"/>
                <w:sz w:val="24"/>
                <w:szCs w:val="24"/>
              </w:rPr>
              <w:t>2-(7-heptadecynyloxy)</w:t>
            </w:r>
            <w:r w:rsidR="00A96890" w:rsidRPr="0049220A">
              <w:rPr>
                <w:rFonts w:ascii="Times New Roman" w:hAnsi="Times New Roman" w:cs="Times New Roman"/>
                <w:sz w:val="24"/>
                <w:szCs w:val="24"/>
              </w:rPr>
              <w:t xml:space="preserve"> </w:t>
            </w:r>
            <w:r w:rsidR="00BB2AD5" w:rsidRPr="0049220A">
              <w:rPr>
                <w:rFonts w:ascii="Times New Roman" w:hAnsi="Times New Roman" w:cs="Times New Roman"/>
                <w:sz w:val="24"/>
                <w:szCs w:val="24"/>
              </w:rPr>
              <w:t>tetrahydro</w:t>
            </w:r>
          </w:p>
        </w:tc>
        <w:tc>
          <w:tcPr>
            <w:tcW w:w="1523" w:type="dxa"/>
            <w:tcBorders>
              <w:left w:val="nil"/>
              <w:right w:val="nil"/>
            </w:tcBorders>
          </w:tcPr>
          <w:p w14:paraId="6B9CB3A4"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C22H40O2</w:t>
            </w:r>
          </w:p>
        </w:tc>
        <w:tc>
          <w:tcPr>
            <w:tcW w:w="743" w:type="dxa"/>
            <w:tcBorders>
              <w:left w:val="nil"/>
              <w:right w:val="nil"/>
            </w:tcBorders>
          </w:tcPr>
          <w:p w14:paraId="75A496CE"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336</w:t>
            </w:r>
          </w:p>
        </w:tc>
        <w:tc>
          <w:tcPr>
            <w:tcW w:w="990" w:type="dxa"/>
            <w:tcBorders>
              <w:left w:val="nil"/>
              <w:right w:val="nil"/>
            </w:tcBorders>
          </w:tcPr>
          <w:p w14:paraId="463A6355"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1.07</w:t>
            </w:r>
          </w:p>
        </w:tc>
        <w:tc>
          <w:tcPr>
            <w:tcW w:w="1058" w:type="dxa"/>
            <w:tcBorders>
              <w:left w:val="nil"/>
            </w:tcBorders>
          </w:tcPr>
          <w:p w14:paraId="49018F84" w14:textId="77777777" w:rsidR="009B36B8" w:rsidRPr="0049220A" w:rsidRDefault="00BB2AD5"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7D489028" w14:textId="77777777" w:rsidTr="006D4DD7">
        <w:trPr>
          <w:trHeight w:val="258"/>
        </w:trPr>
        <w:tc>
          <w:tcPr>
            <w:tcW w:w="756" w:type="dxa"/>
            <w:tcBorders>
              <w:right w:val="nil"/>
            </w:tcBorders>
          </w:tcPr>
          <w:p w14:paraId="788F97B7"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43.65</w:t>
            </w:r>
          </w:p>
        </w:tc>
        <w:tc>
          <w:tcPr>
            <w:tcW w:w="4083" w:type="dxa"/>
            <w:tcBorders>
              <w:left w:val="nil"/>
              <w:right w:val="nil"/>
            </w:tcBorders>
          </w:tcPr>
          <w:p w14:paraId="37BC4510" w14:textId="77777777" w:rsidR="009B36B8" w:rsidRPr="0049220A" w:rsidRDefault="00BB2AD5" w:rsidP="003421EC">
            <w:pPr>
              <w:jc w:val="both"/>
              <w:rPr>
                <w:rFonts w:ascii="Times New Roman" w:hAnsi="Times New Roman" w:cs="Times New Roman"/>
                <w:sz w:val="24"/>
                <w:szCs w:val="24"/>
              </w:rPr>
            </w:pPr>
            <w:r w:rsidRPr="0049220A">
              <w:rPr>
                <w:rFonts w:ascii="Times New Roman" w:hAnsi="Times New Roman" w:cs="Times New Roman"/>
                <w:sz w:val="24"/>
                <w:szCs w:val="24"/>
              </w:rPr>
              <w:t>Rhodopin</w:t>
            </w:r>
          </w:p>
        </w:tc>
        <w:tc>
          <w:tcPr>
            <w:tcW w:w="1523" w:type="dxa"/>
            <w:tcBorders>
              <w:left w:val="nil"/>
              <w:right w:val="nil"/>
            </w:tcBorders>
          </w:tcPr>
          <w:p w14:paraId="4CB23AC6"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C40H58O</w:t>
            </w:r>
          </w:p>
        </w:tc>
        <w:tc>
          <w:tcPr>
            <w:tcW w:w="743" w:type="dxa"/>
            <w:tcBorders>
              <w:left w:val="nil"/>
              <w:right w:val="nil"/>
            </w:tcBorders>
          </w:tcPr>
          <w:p w14:paraId="6C858E1A"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554</w:t>
            </w:r>
          </w:p>
        </w:tc>
        <w:tc>
          <w:tcPr>
            <w:tcW w:w="990" w:type="dxa"/>
            <w:tcBorders>
              <w:left w:val="nil"/>
              <w:right w:val="nil"/>
            </w:tcBorders>
          </w:tcPr>
          <w:p w14:paraId="5AA962EC"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3.65</w:t>
            </w:r>
          </w:p>
        </w:tc>
        <w:tc>
          <w:tcPr>
            <w:tcW w:w="1058" w:type="dxa"/>
            <w:tcBorders>
              <w:left w:val="nil"/>
            </w:tcBorders>
          </w:tcPr>
          <w:p w14:paraId="2F44CBBB" w14:textId="77777777" w:rsidR="009B36B8" w:rsidRPr="0049220A" w:rsidRDefault="00BB2AD5" w:rsidP="000B6857">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3E59D88D" w14:textId="77777777" w:rsidTr="006D4DD7">
        <w:trPr>
          <w:trHeight w:val="271"/>
        </w:trPr>
        <w:tc>
          <w:tcPr>
            <w:tcW w:w="756" w:type="dxa"/>
            <w:tcBorders>
              <w:right w:val="nil"/>
            </w:tcBorders>
          </w:tcPr>
          <w:p w14:paraId="63CF5CD1" w14:textId="77777777" w:rsidR="009B36B8" w:rsidRPr="0049220A" w:rsidRDefault="009B36B8" w:rsidP="003421EC">
            <w:pPr>
              <w:jc w:val="both"/>
              <w:rPr>
                <w:rFonts w:ascii="Times New Roman" w:hAnsi="Times New Roman" w:cs="Times New Roman"/>
                <w:sz w:val="24"/>
                <w:szCs w:val="24"/>
              </w:rPr>
            </w:pPr>
            <w:r w:rsidRPr="0049220A">
              <w:rPr>
                <w:rFonts w:ascii="Times New Roman" w:hAnsi="Times New Roman" w:cs="Times New Roman"/>
                <w:sz w:val="24"/>
                <w:szCs w:val="24"/>
              </w:rPr>
              <w:t>44.01</w:t>
            </w:r>
          </w:p>
        </w:tc>
        <w:tc>
          <w:tcPr>
            <w:tcW w:w="4083" w:type="dxa"/>
            <w:tcBorders>
              <w:left w:val="nil"/>
              <w:right w:val="nil"/>
            </w:tcBorders>
          </w:tcPr>
          <w:p w14:paraId="2528BBBB" w14:textId="77777777" w:rsidR="009B36B8" w:rsidRPr="0049220A" w:rsidRDefault="00BB2AD5" w:rsidP="00BB2AD5">
            <w:pPr>
              <w:jc w:val="both"/>
              <w:rPr>
                <w:rFonts w:ascii="Times New Roman" w:hAnsi="Times New Roman" w:cs="Times New Roman"/>
                <w:sz w:val="24"/>
                <w:szCs w:val="24"/>
              </w:rPr>
            </w:pPr>
            <w:r w:rsidRPr="0049220A">
              <w:rPr>
                <w:rFonts w:ascii="Times New Roman" w:hAnsi="Times New Roman" w:cs="Times New Roman"/>
                <w:sz w:val="24"/>
                <w:szCs w:val="24"/>
              </w:rPr>
              <w:t>Palmitic acid,</w:t>
            </w:r>
            <w:r w:rsidR="00A96890" w:rsidRPr="0049220A">
              <w:rPr>
                <w:rFonts w:ascii="Times New Roman" w:hAnsi="Times New Roman" w:cs="Times New Roman"/>
                <w:sz w:val="24"/>
                <w:szCs w:val="24"/>
              </w:rPr>
              <w:t xml:space="preserve"> </w:t>
            </w:r>
            <w:r w:rsidRPr="0049220A">
              <w:rPr>
                <w:rFonts w:ascii="Times New Roman" w:hAnsi="Times New Roman" w:cs="Times New Roman"/>
                <w:sz w:val="24"/>
                <w:szCs w:val="24"/>
              </w:rPr>
              <w:t>2-(</w:t>
            </w:r>
            <w:proofErr w:type="spellStart"/>
            <w:r w:rsidRPr="0049220A">
              <w:rPr>
                <w:rFonts w:ascii="Times New Roman" w:hAnsi="Times New Roman" w:cs="Times New Roman"/>
                <w:sz w:val="24"/>
                <w:szCs w:val="24"/>
              </w:rPr>
              <w:t>tetradecyloxy</w:t>
            </w:r>
            <w:proofErr w:type="spellEnd"/>
            <w:r w:rsidRPr="0049220A">
              <w:rPr>
                <w:rFonts w:ascii="Times New Roman" w:hAnsi="Times New Roman" w:cs="Times New Roman"/>
                <w:sz w:val="24"/>
                <w:szCs w:val="24"/>
              </w:rPr>
              <w:t xml:space="preserve">)ethyl ester </w:t>
            </w:r>
          </w:p>
        </w:tc>
        <w:tc>
          <w:tcPr>
            <w:tcW w:w="1523" w:type="dxa"/>
            <w:tcBorders>
              <w:left w:val="nil"/>
              <w:right w:val="nil"/>
            </w:tcBorders>
          </w:tcPr>
          <w:p w14:paraId="26B6CDCD"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C32H64O3</w:t>
            </w:r>
          </w:p>
        </w:tc>
        <w:tc>
          <w:tcPr>
            <w:tcW w:w="743" w:type="dxa"/>
            <w:tcBorders>
              <w:left w:val="nil"/>
              <w:right w:val="nil"/>
            </w:tcBorders>
          </w:tcPr>
          <w:p w14:paraId="4E01F548" w14:textId="77777777" w:rsidR="009B36B8" w:rsidRPr="0049220A" w:rsidRDefault="00BB2AD5" w:rsidP="006D4DD7">
            <w:pPr>
              <w:rPr>
                <w:rFonts w:ascii="Times New Roman" w:hAnsi="Times New Roman" w:cs="Times New Roman"/>
                <w:sz w:val="24"/>
                <w:szCs w:val="24"/>
              </w:rPr>
            </w:pPr>
            <w:r w:rsidRPr="0049220A">
              <w:rPr>
                <w:rFonts w:ascii="Times New Roman" w:hAnsi="Times New Roman" w:cs="Times New Roman"/>
                <w:sz w:val="24"/>
                <w:szCs w:val="24"/>
              </w:rPr>
              <w:t>496</w:t>
            </w:r>
          </w:p>
        </w:tc>
        <w:tc>
          <w:tcPr>
            <w:tcW w:w="990" w:type="dxa"/>
            <w:tcBorders>
              <w:left w:val="nil"/>
              <w:right w:val="nil"/>
            </w:tcBorders>
          </w:tcPr>
          <w:p w14:paraId="3C2BB3C2" w14:textId="77777777" w:rsidR="009B36B8"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4.69</w:t>
            </w:r>
          </w:p>
        </w:tc>
        <w:tc>
          <w:tcPr>
            <w:tcW w:w="1058" w:type="dxa"/>
            <w:tcBorders>
              <w:left w:val="nil"/>
            </w:tcBorders>
          </w:tcPr>
          <w:p w14:paraId="739BE2D4" w14:textId="77777777" w:rsidR="009B36B8" w:rsidRPr="0049220A" w:rsidRDefault="00BB2AD5" w:rsidP="000B6857">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2834775B" w14:textId="77777777" w:rsidTr="006D4DD7">
        <w:trPr>
          <w:trHeight w:val="207"/>
        </w:trPr>
        <w:tc>
          <w:tcPr>
            <w:tcW w:w="756" w:type="dxa"/>
            <w:tcBorders>
              <w:right w:val="nil"/>
            </w:tcBorders>
          </w:tcPr>
          <w:p w14:paraId="17D564AE"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44.34</w:t>
            </w:r>
          </w:p>
        </w:tc>
        <w:tc>
          <w:tcPr>
            <w:tcW w:w="4083" w:type="dxa"/>
            <w:tcBorders>
              <w:left w:val="nil"/>
              <w:right w:val="nil"/>
            </w:tcBorders>
          </w:tcPr>
          <w:p w14:paraId="70841750"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12-Methyl-E,E-2,13-octadecadien-1-ol</w:t>
            </w:r>
          </w:p>
        </w:tc>
        <w:tc>
          <w:tcPr>
            <w:tcW w:w="1523" w:type="dxa"/>
            <w:tcBorders>
              <w:left w:val="nil"/>
              <w:right w:val="nil"/>
            </w:tcBorders>
          </w:tcPr>
          <w:p w14:paraId="167F496F"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C19H36O</w:t>
            </w:r>
          </w:p>
        </w:tc>
        <w:tc>
          <w:tcPr>
            <w:tcW w:w="743" w:type="dxa"/>
            <w:tcBorders>
              <w:left w:val="nil"/>
              <w:right w:val="nil"/>
            </w:tcBorders>
          </w:tcPr>
          <w:p w14:paraId="2C30D40F"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280</w:t>
            </w:r>
          </w:p>
        </w:tc>
        <w:tc>
          <w:tcPr>
            <w:tcW w:w="990" w:type="dxa"/>
            <w:tcBorders>
              <w:left w:val="nil"/>
              <w:right w:val="nil"/>
            </w:tcBorders>
          </w:tcPr>
          <w:p w14:paraId="684407C8"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16.74</w:t>
            </w:r>
          </w:p>
        </w:tc>
        <w:tc>
          <w:tcPr>
            <w:tcW w:w="1058" w:type="dxa"/>
            <w:tcBorders>
              <w:left w:val="nil"/>
            </w:tcBorders>
          </w:tcPr>
          <w:p w14:paraId="14EB76AD" w14:textId="77777777" w:rsidR="006E6220" w:rsidRPr="0049220A" w:rsidRDefault="006E6220" w:rsidP="006E6220">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7A9B0F75" w14:textId="77777777" w:rsidTr="006D4DD7">
        <w:trPr>
          <w:trHeight w:val="258"/>
        </w:trPr>
        <w:tc>
          <w:tcPr>
            <w:tcW w:w="756" w:type="dxa"/>
            <w:tcBorders>
              <w:right w:val="nil"/>
            </w:tcBorders>
          </w:tcPr>
          <w:p w14:paraId="7FD3B3D9"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44.54</w:t>
            </w:r>
          </w:p>
        </w:tc>
        <w:tc>
          <w:tcPr>
            <w:tcW w:w="4083" w:type="dxa"/>
            <w:tcBorders>
              <w:left w:val="nil"/>
              <w:right w:val="nil"/>
            </w:tcBorders>
          </w:tcPr>
          <w:p w14:paraId="77A78B35"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1,2-15,16-Diepoxyhexadecane</w:t>
            </w:r>
          </w:p>
        </w:tc>
        <w:tc>
          <w:tcPr>
            <w:tcW w:w="1523" w:type="dxa"/>
            <w:tcBorders>
              <w:left w:val="nil"/>
              <w:right w:val="nil"/>
            </w:tcBorders>
          </w:tcPr>
          <w:p w14:paraId="7194685C"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C16H30O2</w:t>
            </w:r>
          </w:p>
        </w:tc>
        <w:tc>
          <w:tcPr>
            <w:tcW w:w="743" w:type="dxa"/>
            <w:tcBorders>
              <w:left w:val="nil"/>
              <w:right w:val="nil"/>
            </w:tcBorders>
          </w:tcPr>
          <w:p w14:paraId="65749837"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254</w:t>
            </w:r>
          </w:p>
        </w:tc>
        <w:tc>
          <w:tcPr>
            <w:tcW w:w="990" w:type="dxa"/>
            <w:tcBorders>
              <w:left w:val="nil"/>
              <w:right w:val="nil"/>
            </w:tcBorders>
          </w:tcPr>
          <w:p w14:paraId="45006D7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0.41</w:t>
            </w:r>
          </w:p>
        </w:tc>
        <w:tc>
          <w:tcPr>
            <w:tcW w:w="1058" w:type="dxa"/>
            <w:tcBorders>
              <w:left w:val="nil"/>
            </w:tcBorders>
          </w:tcPr>
          <w:p w14:paraId="3C7549C0"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14304A7B" w14:textId="77777777" w:rsidTr="006D4DD7">
        <w:trPr>
          <w:trHeight w:val="258"/>
        </w:trPr>
        <w:tc>
          <w:tcPr>
            <w:tcW w:w="756" w:type="dxa"/>
            <w:tcBorders>
              <w:right w:val="nil"/>
            </w:tcBorders>
          </w:tcPr>
          <w:p w14:paraId="29ACEB00"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44.64</w:t>
            </w:r>
          </w:p>
        </w:tc>
        <w:tc>
          <w:tcPr>
            <w:tcW w:w="4083" w:type="dxa"/>
            <w:tcBorders>
              <w:left w:val="nil"/>
              <w:right w:val="nil"/>
            </w:tcBorders>
          </w:tcPr>
          <w:p w14:paraId="69C01D43"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2-Hexadecanol</w:t>
            </w:r>
          </w:p>
        </w:tc>
        <w:tc>
          <w:tcPr>
            <w:tcW w:w="1523" w:type="dxa"/>
            <w:tcBorders>
              <w:left w:val="nil"/>
              <w:right w:val="nil"/>
            </w:tcBorders>
          </w:tcPr>
          <w:p w14:paraId="0A2F915F"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C16H34O</w:t>
            </w:r>
          </w:p>
        </w:tc>
        <w:tc>
          <w:tcPr>
            <w:tcW w:w="743" w:type="dxa"/>
            <w:tcBorders>
              <w:left w:val="nil"/>
              <w:right w:val="nil"/>
            </w:tcBorders>
          </w:tcPr>
          <w:p w14:paraId="5DE8B0EB"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242</w:t>
            </w:r>
          </w:p>
        </w:tc>
        <w:tc>
          <w:tcPr>
            <w:tcW w:w="990" w:type="dxa"/>
            <w:tcBorders>
              <w:left w:val="nil"/>
              <w:right w:val="nil"/>
            </w:tcBorders>
          </w:tcPr>
          <w:p w14:paraId="42D8052E"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3.52</w:t>
            </w:r>
          </w:p>
        </w:tc>
        <w:tc>
          <w:tcPr>
            <w:tcW w:w="1058" w:type="dxa"/>
            <w:tcBorders>
              <w:left w:val="nil"/>
            </w:tcBorders>
          </w:tcPr>
          <w:p w14:paraId="744B9F6F" w14:textId="77777777" w:rsidR="006E6220" w:rsidRPr="0049220A" w:rsidRDefault="00EC79EB"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49220A" w:rsidRPr="0049220A" w14:paraId="70CBD18C" w14:textId="77777777" w:rsidTr="006D4DD7">
        <w:trPr>
          <w:trHeight w:val="258"/>
        </w:trPr>
        <w:tc>
          <w:tcPr>
            <w:tcW w:w="756" w:type="dxa"/>
            <w:tcBorders>
              <w:right w:val="nil"/>
            </w:tcBorders>
          </w:tcPr>
          <w:p w14:paraId="1BA60C8E"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44.79</w:t>
            </w:r>
          </w:p>
        </w:tc>
        <w:tc>
          <w:tcPr>
            <w:tcW w:w="4083" w:type="dxa"/>
            <w:tcBorders>
              <w:left w:val="nil"/>
              <w:right w:val="nil"/>
            </w:tcBorders>
          </w:tcPr>
          <w:p w14:paraId="4C3C5C15" w14:textId="77777777" w:rsidR="006E6220" w:rsidRPr="0049220A" w:rsidRDefault="00EC79EB" w:rsidP="006E6220">
            <w:pPr>
              <w:jc w:val="both"/>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523" w:type="dxa"/>
            <w:tcBorders>
              <w:left w:val="nil"/>
              <w:right w:val="nil"/>
            </w:tcBorders>
          </w:tcPr>
          <w:p w14:paraId="42A569D2"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C37H76O</w:t>
            </w:r>
          </w:p>
        </w:tc>
        <w:tc>
          <w:tcPr>
            <w:tcW w:w="743" w:type="dxa"/>
            <w:tcBorders>
              <w:left w:val="nil"/>
              <w:right w:val="nil"/>
            </w:tcBorders>
          </w:tcPr>
          <w:p w14:paraId="5ED96F1C" w14:textId="77777777" w:rsidR="006E6220" w:rsidRPr="0049220A" w:rsidRDefault="00EC79EB" w:rsidP="006D4DD7">
            <w:pPr>
              <w:rPr>
                <w:rFonts w:ascii="Times New Roman" w:hAnsi="Times New Roman" w:cs="Times New Roman"/>
                <w:sz w:val="24"/>
                <w:szCs w:val="24"/>
              </w:rPr>
            </w:pPr>
            <w:r w:rsidRPr="0049220A">
              <w:rPr>
                <w:rFonts w:ascii="Times New Roman" w:hAnsi="Times New Roman" w:cs="Times New Roman"/>
                <w:sz w:val="24"/>
                <w:szCs w:val="24"/>
              </w:rPr>
              <w:t>536</w:t>
            </w:r>
          </w:p>
        </w:tc>
        <w:tc>
          <w:tcPr>
            <w:tcW w:w="990" w:type="dxa"/>
            <w:tcBorders>
              <w:left w:val="nil"/>
              <w:right w:val="nil"/>
            </w:tcBorders>
          </w:tcPr>
          <w:p w14:paraId="56886C7F" w14:textId="77777777" w:rsidR="006E6220" w:rsidRPr="0049220A" w:rsidRDefault="00971BA0" w:rsidP="006D4DD7">
            <w:pPr>
              <w:rPr>
                <w:rFonts w:ascii="Times New Roman" w:hAnsi="Times New Roman" w:cs="Times New Roman"/>
                <w:sz w:val="24"/>
                <w:szCs w:val="24"/>
              </w:rPr>
            </w:pPr>
            <w:r w:rsidRPr="0049220A">
              <w:rPr>
                <w:rFonts w:ascii="Times New Roman" w:hAnsi="Times New Roman" w:cs="Times New Roman"/>
                <w:sz w:val="24"/>
                <w:szCs w:val="24"/>
              </w:rPr>
              <w:t>5.48</w:t>
            </w:r>
          </w:p>
        </w:tc>
        <w:tc>
          <w:tcPr>
            <w:tcW w:w="1058" w:type="dxa"/>
            <w:tcBorders>
              <w:left w:val="nil"/>
            </w:tcBorders>
          </w:tcPr>
          <w:p w14:paraId="4AB7307C" w14:textId="77777777" w:rsidR="006E6220" w:rsidRPr="0049220A" w:rsidRDefault="00971BA0" w:rsidP="006E6220">
            <w:pPr>
              <w:rPr>
                <w:rFonts w:ascii="Times New Roman" w:hAnsi="Times New Roman" w:cs="Times New Roman"/>
                <w:sz w:val="24"/>
                <w:szCs w:val="24"/>
              </w:rPr>
            </w:pPr>
            <w:proofErr w:type="spellStart"/>
            <w:r w:rsidRPr="0049220A">
              <w:rPr>
                <w:rFonts w:ascii="Times New Roman" w:hAnsi="Times New Roman" w:cs="Times New Roman"/>
                <w:sz w:val="24"/>
                <w:szCs w:val="24"/>
              </w:rPr>
              <w:t>mainlib</w:t>
            </w:r>
            <w:proofErr w:type="spellEnd"/>
          </w:p>
        </w:tc>
      </w:tr>
      <w:tr w:rsidR="0049220A" w:rsidRPr="0049220A" w14:paraId="26A3E71F" w14:textId="77777777" w:rsidTr="006D4DD7">
        <w:trPr>
          <w:trHeight w:val="584"/>
        </w:trPr>
        <w:tc>
          <w:tcPr>
            <w:tcW w:w="756" w:type="dxa"/>
            <w:tcBorders>
              <w:right w:val="nil"/>
            </w:tcBorders>
          </w:tcPr>
          <w:p w14:paraId="5632D328"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45.04</w:t>
            </w:r>
          </w:p>
        </w:tc>
        <w:tc>
          <w:tcPr>
            <w:tcW w:w="4083" w:type="dxa"/>
            <w:tcBorders>
              <w:left w:val="nil"/>
              <w:right w:val="nil"/>
            </w:tcBorders>
          </w:tcPr>
          <w:p w14:paraId="76DB8390" w14:textId="77777777" w:rsidR="006E6220" w:rsidRPr="0049220A" w:rsidRDefault="006E6220" w:rsidP="006E6220">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Docosanoic</w:t>
            </w:r>
            <w:proofErr w:type="spellEnd"/>
            <w:r w:rsidRPr="0049220A">
              <w:rPr>
                <w:rFonts w:ascii="Times New Roman" w:hAnsi="Times New Roman" w:cs="Times New Roman"/>
                <w:sz w:val="24"/>
                <w:szCs w:val="24"/>
              </w:rPr>
              <w:t xml:space="preserve"> acid,8,9,13-trihydroxy-, methyl ester</w:t>
            </w:r>
          </w:p>
        </w:tc>
        <w:tc>
          <w:tcPr>
            <w:tcW w:w="1523" w:type="dxa"/>
            <w:tcBorders>
              <w:left w:val="nil"/>
              <w:right w:val="nil"/>
            </w:tcBorders>
          </w:tcPr>
          <w:p w14:paraId="5E5329F1"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C23H46O5</w:t>
            </w:r>
          </w:p>
        </w:tc>
        <w:tc>
          <w:tcPr>
            <w:tcW w:w="743" w:type="dxa"/>
            <w:tcBorders>
              <w:left w:val="nil"/>
              <w:right w:val="nil"/>
            </w:tcBorders>
          </w:tcPr>
          <w:p w14:paraId="377CDB7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402</w:t>
            </w:r>
          </w:p>
        </w:tc>
        <w:tc>
          <w:tcPr>
            <w:tcW w:w="990" w:type="dxa"/>
            <w:tcBorders>
              <w:left w:val="nil"/>
              <w:right w:val="nil"/>
            </w:tcBorders>
          </w:tcPr>
          <w:p w14:paraId="4BFD3B8D"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1.06</w:t>
            </w:r>
          </w:p>
        </w:tc>
        <w:tc>
          <w:tcPr>
            <w:tcW w:w="1058" w:type="dxa"/>
            <w:tcBorders>
              <w:left w:val="nil"/>
            </w:tcBorders>
          </w:tcPr>
          <w:p w14:paraId="4CE274B3"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r w:rsidR="006E6220" w:rsidRPr="0049220A" w14:paraId="0ED2F24D" w14:textId="77777777" w:rsidTr="006D4DD7">
        <w:trPr>
          <w:trHeight w:val="359"/>
        </w:trPr>
        <w:tc>
          <w:tcPr>
            <w:tcW w:w="756" w:type="dxa"/>
            <w:tcBorders>
              <w:bottom w:val="single" w:sz="4" w:space="0" w:color="auto"/>
              <w:right w:val="nil"/>
            </w:tcBorders>
          </w:tcPr>
          <w:p w14:paraId="78E65FE8" w14:textId="77777777" w:rsidR="006E6220" w:rsidRPr="0049220A" w:rsidRDefault="006E6220" w:rsidP="006E6220">
            <w:pPr>
              <w:jc w:val="both"/>
              <w:rPr>
                <w:rFonts w:ascii="Times New Roman" w:hAnsi="Times New Roman" w:cs="Times New Roman"/>
                <w:sz w:val="24"/>
                <w:szCs w:val="24"/>
              </w:rPr>
            </w:pPr>
            <w:r w:rsidRPr="0049220A">
              <w:rPr>
                <w:rFonts w:ascii="Times New Roman" w:hAnsi="Times New Roman" w:cs="Times New Roman"/>
                <w:sz w:val="24"/>
                <w:szCs w:val="24"/>
              </w:rPr>
              <w:t>45.17</w:t>
            </w:r>
          </w:p>
        </w:tc>
        <w:tc>
          <w:tcPr>
            <w:tcW w:w="4083" w:type="dxa"/>
            <w:tcBorders>
              <w:left w:val="nil"/>
              <w:bottom w:val="single" w:sz="4" w:space="0" w:color="auto"/>
              <w:right w:val="nil"/>
            </w:tcBorders>
          </w:tcPr>
          <w:p w14:paraId="38FA4AB5" w14:textId="77777777" w:rsidR="006E6220" w:rsidRPr="0049220A" w:rsidRDefault="006E6220" w:rsidP="006E6220">
            <w:pPr>
              <w:jc w:val="both"/>
              <w:rPr>
                <w:rFonts w:ascii="Times New Roman" w:hAnsi="Times New Roman" w:cs="Times New Roman"/>
                <w:sz w:val="24"/>
                <w:szCs w:val="24"/>
              </w:rPr>
            </w:pPr>
            <w:proofErr w:type="spellStart"/>
            <w:r w:rsidRPr="0049220A">
              <w:rPr>
                <w:rFonts w:ascii="Times New Roman" w:hAnsi="Times New Roman" w:cs="Times New Roman"/>
                <w:sz w:val="24"/>
                <w:szCs w:val="24"/>
              </w:rPr>
              <w:t>Octadecanal</w:t>
            </w:r>
            <w:proofErr w:type="spellEnd"/>
            <w:r w:rsidRPr="0049220A">
              <w:rPr>
                <w:rFonts w:ascii="Times New Roman" w:hAnsi="Times New Roman" w:cs="Times New Roman"/>
                <w:sz w:val="24"/>
                <w:szCs w:val="24"/>
              </w:rPr>
              <w:t>, 2-bromo-</w:t>
            </w:r>
          </w:p>
        </w:tc>
        <w:tc>
          <w:tcPr>
            <w:tcW w:w="1523" w:type="dxa"/>
            <w:tcBorders>
              <w:left w:val="nil"/>
              <w:bottom w:val="single" w:sz="4" w:space="0" w:color="auto"/>
              <w:right w:val="nil"/>
            </w:tcBorders>
          </w:tcPr>
          <w:p w14:paraId="7510CC4E"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C18H35BrO</w:t>
            </w:r>
          </w:p>
        </w:tc>
        <w:tc>
          <w:tcPr>
            <w:tcW w:w="743" w:type="dxa"/>
            <w:tcBorders>
              <w:left w:val="nil"/>
              <w:bottom w:val="single" w:sz="4" w:space="0" w:color="auto"/>
              <w:right w:val="nil"/>
            </w:tcBorders>
          </w:tcPr>
          <w:p w14:paraId="207AC246"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346</w:t>
            </w:r>
          </w:p>
        </w:tc>
        <w:tc>
          <w:tcPr>
            <w:tcW w:w="990" w:type="dxa"/>
            <w:tcBorders>
              <w:left w:val="nil"/>
              <w:bottom w:val="single" w:sz="4" w:space="0" w:color="auto"/>
              <w:right w:val="nil"/>
            </w:tcBorders>
          </w:tcPr>
          <w:p w14:paraId="207BCDAD" w14:textId="77777777" w:rsidR="006E6220" w:rsidRPr="0049220A" w:rsidRDefault="006E6220" w:rsidP="006D4DD7">
            <w:pPr>
              <w:rPr>
                <w:rFonts w:ascii="Times New Roman" w:hAnsi="Times New Roman" w:cs="Times New Roman"/>
                <w:sz w:val="24"/>
                <w:szCs w:val="24"/>
              </w:rPr>
            </w:pPr>
            <w:r w:rsidRPr="0049220A">
              <w:rPr>
                <w:rFonts w:ascii="Times New Roman" w:hAnsi="Times New Roman" w:cs="Times New Roman"/>
                <w:sz w:val="24"/>
                <w:szCs w:val="24"/>
              </w:rPr>
              <w:t>8.56</w:t>
            </w:r>
          </w:p>
        </w:tc>
        <w:tc>
          <w:tcPr>
            <w:tcW w:w="1058" w:type="dxa"/>
            <w:tcBorders>
              <w:left w:val="nil"/>
              <w:bottom w:val="single" w:sz="4" w:space="0" w:color="auto"/>
            </w:tcBorders>
          </w:tcPr>
          <w:p w14:paraId="488E1BF2" w14:textId="77777777" w:rsidR="006E6220" w:rsidRPr="0049220A" w:rsidRDefault="006E6220" w:rsidP="006E6220">
            <w:pPr>
              <w:rPr>
                <w:rFonts w:ascii="Times New Roman" w:hAnsi="Times New Roman" w:cs="Times New Roman"/>
                <w:sz w:val="24"/>
                <w:szCs w:val="24"/>
              </w:rPr>
            </w:pPr>
            <w:r w:rsidRPr="0049220A">
              <w:rPr>
                <w:rFonts w:ascii="Times New Roman" w:hAnsi="Times New Roman" w:cs="Times New Roman"/>
                <w:sz w:val="24"/>
                <w:szCs w:val="24"/>
              </w:rPr>
              <w:t>Wiley</w:t>
            </w:r>
          </w:p>
        </w:tc>
      </w:tr>
    </w:tbl>
    <w:p w14:paraId="4DA63037" w14:textId="77777777" w:rsidR="001F05F7" w:rsidRPr="0049220A" w:rsidRDefault="001F05F7" w:rsidP="003421EC">
      <w:pPr>
        <w:jc w:val="both"/>
        <w:rPr>
          <w:rFonts w:ascii="Times New Roman" w:hAnsi="Times New Roman" w:cs="Times New Roman"/>
          <w:sz w:val="24"/>
          <w:szCs w:val="24"/>
        </w:rPr>
      </w:pPr>
    </w:p>
    <w:p w14:paraId="7B948951" w14:textId="77777777" w:rsidR="002D19BE" w:rsidRPr="0049220A" w:rsidRDefault="002D19BE" w:rsidP="002D19BE">
      <w:pPr>
        <w:jc w:val="both"/>
        <w:rPr>
          <w:rFonts w:ascii="Times New Roman" w:hAnsi="Times New Roman" w:cs="Times New Roman"/>
          <w:sz w:val="24"/>
          <w:szCs w:val="24"/>
        </w:rPr>
      </w:pPr>
      <w:r w:rsidRPr="0049220A">
        <w:rPr>
          <w:rFonts w:ascii="Times New Roman" w:hAnsi="Times New Roman" w:cs="Times New Roman"/>
          <w:noProof/>
          <w:sz w:val="24"/>
          <w:szCs w:val="24"/>
          <w:lang w:val="en-US"/>
        </w:rPr>
        <w:drawing>
          <wp:inline distT="0" distB="0" distL="0" distR="0" wp14:anchorId="3C46F604" wp14:editId="0958C7C8">
            <wp:extent cx="5749925" cy="2889250"/>
            <wp:effectExtent l="0" t="0" r="3175" b="635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1"/>
                    <pic:cNvPicPr>
                      <a:picLocks noChangeAspect="1" noChangeArrowheads="1"/>
                    </pic:cNvPicPr>
                  </pic:nvPicPr>
                  <pic:blipFill>
                    <a:blip r:embed="rId9">
                      <a:extLst>
                        <a:ext uri="{28A0092B-C50C-407E-A947-70E740481C1C}">
                          <a14:useLocalDpi xmlns:a14="http://schemas.microsoft.com/office/drawing/2010/main" val="0"/>
                        </a:ext>
                      </a:extLst>
                    </a:blip>
                    <a:srcRect l="1663" t="4224" r="2261"/>
                    <a:stretch>
                      <a:fillRect/>
                    </a:stretch>
                  </pic:blipFill>
                  <pic:spPr bwMode="auto">
                    <a:xfrm>
                      <a:off x="0" y="0"/>
                      <a:ext cx="5749925" cy="2889250"/>
                    </a:xfrm>
                    <a:prstGeom prst="rect">
                      <a:avLst/>
                    </a:prstGeom>
                    <a:noFill/>
                    <a:ln>
                      <a:noFill/>
                    </a:ln>
                  </pic:spPr>
                </pic:pic>
              </a:graphicData>
            </a:graphic>
          </wp:inline>
        </w:drawing>
      </w:r>
    </w:p>
    <w:p w14:paraId="0C64D261" w14:textId="77777777" w:rsidR="002D19BE" w:rsidRPr="0049220A" w:rsidRDefault="002D19BE" w:rsidP="002D19BE">
      <w:pPr>
        <w:jc w:val="center"/>
        <w:rPr>
          <w:rFonts w:ascii="Times New Roman" w:hAnsi="Times New Roman" w:cs="Times New Roman"/>
          <w:sz w:val="24"/>
          <w:szCs w:val="24"/>
        </w:rPr>
      </w:pPr>
      <w:r w:rsidRPr="0049220A">
        <w:rPr>
          <w:rFonts w:ascii="Times New Roman" w:hAnsi="Times New Roman" w:cs="Times New Roman"/>
          <w:b/>
          <w:sz w:val="24"/>
          <w:szCs w:val="24"/>
        </w:rPr>
        <w:t>Fig. 2:</w:t>
      </w:r>
      <w:r w:rsidRPr="0049220A">
        <w:rPr>
          <w:rFonts w:ascii="Times New Roman" w:hAnsi="Times New Roman" w:cs="Times New Roman"/>
          <w:sz w:val="24"/>
          <w:szCs w:val="24"/>
        </w:rPr>
        <w:t xml:space="preserve"> GC-MS chromatogram of </w:t>
      </w:r>
      <w:r w:rsidRPr="0049220A">
        <w:rPr>
          <w:rFonts w:ascii="Times New Roman" w:hAnsi="Times New Roman" w:cs="Times New Roman"/>
          <w:i/>
          <w:sz w:val="24"/>
          <w:szCs w:val="24"/>
        </w:rPr>
        <w:t xml:space="preserve">A.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w:t>
      </w:r>
    </w:p>
    <w:p w14:paraId="12E780B9" w14:textId="77777777" w:rsidR="00877FF1" w:rsidRPr="0049220A" w:rsidRDefault="009222FD" w:rsidP="00F10DF8">
      <w:pPr>
        <w:ind w:firstLine="720"/>
        <w:jc w:val="both"/>
        <w:rPr>
          <w:rFonts w:ascii="Times New Roman" w:hAnsi="Times New Roman" w:cs="Times New Roman"/>
          <w:sz w:val="24"/>
          <w:szCs w:val="24"/>
        </w:rPr>
      </w:pPr>
      <w:r w:rsidRPr="0049220A">
        <w:rPr>
          <w:rFonts w:ascii="Times New Roman" w:hAnsi="Times New Roman" w:cs="Times New Roman"/>
          <w:sz w:val="24"/>
          <w:szCs w:val="24"/>
        </w:rPr>
        <w:lastRenderedPageBreak/>
        <w:t xml:space="preserve">Among the identified phytocompounds, </w:t>
      </w:r>
      <w:r w:rsidR="006D4DD7" w:rsidRPr="0049220A">
        <w:rPr>
          <w:rFonts w:ascii="Times New Roman" w:hAnsi="Times New Roman" w:cs="Times New Roman"/>
          <w:sz w:val="24"/>
          <w:szCs w:val="24"/>
        </w:rPr>
        <w:t>12-Methyl-E,E-2,13-octadecadien-1-ol compound was found to be in</w:t>
      </w:r>
      <w:r w:rsidR="00877FF1" w:rsidRPr="0049220A">
        <w:rPr>
          <w:rFonts w:ascii="Times New Roman" w:hAnsi="Times New Roman" w:cs="Times New Roman"/>
          <w:sz w:val="24"/>
          <w:szCs w:val="24"/>
        </w:rPr>
        <w:t xml:space="preserve"> the highest concentration (16.74</w:t>
      </w:r>
      <w:r w:rsidR="006D4DD7" w:rsidRPr="0049220A">
        <w:rPr>
          <w:rFonts w:ascii="Times New Roman" w:hAnsi="Times New Roman" w:cs="Times New Roman"/>
          <w:sz w:val="24"/>
          <w:szCs w:val="24"/>
        </w:rPr>
        <w:t>%) followed by</w:t>
      </w:r>
      <w:r w:rsidR="003711ED" w:rsidRPr="0049220A">
        <w:rPr>
          <w:rFonts w:ascii="Times New Roman" w:hAnsi="Times New Roman" w:cs="Times New Roman"/>
          <w:sz w:val="24"/>
          <w:szCs w:val="24"/>
        </w:rPr>
        <w:t xml:space="preserve"> </w:t>
      </w:r>
      <w:proofErr w:type="spellStart"/>
      <w:r w:rsidR="00E72AA1" w:rsidRPr="0049220A">
        <w:rPr>
          <w:rFonts w:ascii="Times New Roman" w:hAnsi="Times New Roman" w:cs="Times New Roman"/>
          <w:sz w:val="24"/>
          <w:szCs w:val="24"/>
        </w:rPr>
        <w:t>Octadecanal</w:t>
      </w:r>
      <w:proofErr w:type="spellEnd"/>
      <w:r w:rsidR="00E72AA1" w:rsidRPr="0049220A">
        <w:rPr>
          <w:rFonts w:ascii="Times New Roman" w:hAnsi="Times New Roman" w:cs="Times New Roman"/>
          <w:sz w:val="24"/>
          <w:szCs w:val="24"/>
        </w:rPr>
        <w:t>, 2-bromo- (8.56%)</w:t>
      </w:r>
      <w:r w:rsidR="003711ED" w:rsidRPr="0049220A">
        <w:rPr>
          <w:rFonts w:ascii="Times New Roman" w:hAnsi="Times New Roman" w:cs="Times New Roman"/>
          <w:sz w:val="24"/>
          <w:szCs w:val="24"/>
        </w:rPr>
        <w:t>, 17-Octadecynoic acid (5.83%), 1-Heptatriacotanol (5.48%), Palmitic acid, 2-(</w:t>
      </w:r>
      <w:proofErr w:type="spellStart"/>
      <w:r w:rsidR="003711ED" w:rsidRPr="0049220A">
        <w:rPr>
          <w:rFonts w:ascii="Times New Roman" w:hAnsi="Times New Roman" w:cs="Times New Roman"/>
          <w:sz w:val="24"/>
          <w:szCs w:val="24"/>
        </w:rPr>
        <w:t>tetradecyloxy</w:t>
      </w:r>
      <w:proofErr w:type="spellEnd"/>
      <w:r w:rsidR="003711ED" w:rsidRPr="0049220A">
        <w:rPr>
          <w:rFonts w:ascii="Times New Roman" w:hAnsi="Times New Roman" w:cs="Times New Roman"/>
          <w:sz w:val="24"/>
          <w:szCs w:val="24"/>
        </w:rPr>
        <w:t>) ethyl ester (4.69), Tert-</w:t>
      </w:r>
      <w:proofErr w:type="spellStart"/>
      <w:r w:rsidR="003711ED" w:rsidRPr="0049220A">
        <w:rPr>
          <w:rFonts w:ascii="Times New Roman" w:hAnsi="Times New Roman" w:cs="Times New Roman"/>
          <w:sz w:val="24"/>
          <w:szCs w:val="24"/>
        </w:rPr>
        <w:t>Hexadecanethiol</w:t>
      </w:r>
      <w:proofErr w:type="spellEnd"/>
      <w:r w:rsidR="003711ED" w:rsidRPr="0049220A">
        <w:rPr>
          <w:rFonts w:ascii="Times New Roman" w:hAnsi="Times New Roman" w:cs="Times New Roman"/>
          <w:sz w:val="24"/>
          <w:szCs w:val="24"/>
        </w:rPr>
        <w:t xml:space="preserve"> (4.00%), Pentadecanoic acid,14-methyl-, methyl ester (3.68%), </w:t>
      </w:r>
      <w:proofErr w:type="spellStart"/>
      <w:r w:rsidR="003711ED" w:rsidRPr="0049220A">
        <w:rPr>
          <w:rFonts w:ascii="Times New Roman" w:hAnsi="Times New Roman" w:cs="Times New Roman"/>
          <w:sz w:val="24"/>
          <w:szCs w:val="24"/>
        </w:rPr>
        <w:t>Rhodopin</w:t>
      </w:r>
      <w:proofErr w:type="spellEnd"/>
      <w:r w:rsidR="003711ED" w:rsidRPr="0049220A">
        <w:rPr>
          <w:rFonts w:ascii="Times New Roman" w:hAnsi="Times New Roman" w:cs="Times New Roman"/>
          <w:sz w:val="24"/>
          <w:szCs w:val="24"/>
        </w:rPr>
        <w:t xml:space="preserve"> (3.65%), 2-Hexadecanol (3.52%), 9-Octadecenoic acid (Z)-, methyl ester (3.35%), other compounds were found in trace amount (</w:t>
      </w:r>
      <w:r w:rsidR="003711ED" w:rsidRPr="0049220A">
        <w:rPr>
          <w:rFonts w:ascii="Times New Roman" w:hAnsi="Times New Roman" w:cs="Times New Roman"/>
          <w:b/>
          <w:sz w:val="24"/>
          <w:szCs w:val="24"/>
        </w:rPr>
        <w:t>Table 1</w:t>
      </w:r>
      <w:r w:rsidR="003711ED" w:rsidRPr="0049220A">
        <w:rPr>
          <w:rFonts w:ascii="Times New Roman" w:hAnsi="Times New Roman" w:cs="Times New Roman"/>
          <w:sz w:val="24"/>
          <w:szCs w:val="24"/>
        </w:rPr>
        <w:t xml:space="preserve">). </w:t>
      </w:r>
    </w:p>
    <w:p w14:paraId="5641F67F" w14:textId="77777777" w:rsidR="006C57CB" w:rsidRPr="0049220A" w:rsidRDefault="006C57CB" w:rsidP="006C57CB">
      <w:pPr>
        <w:jc w:val="both"/>
        <w:rPr>
          <w:rFonts w:ascii="Times New Roman" w:hAnsi="Times New Roman" w:cs="Times New Roman"/>
          <w:b/>
          <w:bCs/>
          <w:sz w:val="24"/>
          <w:szCs w:val="24"/>
        </w:rPr>
      </w:pPr>
      <w:r w:rsidRPr="0049220A">
        <w:rPr>
          <w:rFonts w:ascii="Times New Roman" w:hAnsi="Times New Roman" w:cs="Times New Roman"/>
          <w:b/>
          <w:bCs/>
          <w:sz w:val="24"/>
          <w:szCs w:val="24"/>
        </w:rPr>
        <w:t>3.2. Nature and the biological activities of some compounds from </w:t>
      </w:r>
      <w:r w:rsidRPr="0049220A">
        <w:rPr>
          <w:rFonts w:ascii="Times New Roman" w:hAnsi="Times New Roman" w:cs="Times New Roman"/>
          <w:b/>
          <w:bCs/>
          <w:i/>
          <w:iCs/>
          <w:sz w:val="24"/>
          <w:szCs w:val="24"/>
        </w:rPr>
        <w:t xml:space="preserve">A. </w:t>
      </w:r>
      <w:proofErr w:type="spellStart"/>
      <w:r w:rsidRPr="0049220A">
        <w:rPr>
          <w:rFonts w:ascii="Times New Roman" w:hAnsi="Times New Roman" w:cs="Times New Roman"/>
          <w:b/>
          <w:bCs/>
          <w:i/>
          <w:iCs/>
          <w:sz w:val="24"/>
          <w:szCs w:val="24"/>
        </w:rPr>
        <w:t>nayadiformis</w:t>
      </w:r>
      <w:proofErr w:type="spellEnd"/>
      <w:r w:rsidRPr="0049220A">
        <w:rPr>
          <w:rFonts w:ascii="Times New Roman" w:hAnsi="Times New Roman" w:cs="Times New Roman"/>
          <w:b/>
          <w:bCs/>
          <w:sz w:val="24"/>
          <w:szCs w:val="24"/>
        </w:rPr>
        <w:t xml:space="preserve"> extract.</w:t>
      </w:r>
    </w:p>
    <w:p w14:paraId="3B9A564E" w14:textId="77777777" w:rsidR="000B1C10" w:rsidRPr="0049220A" w:rsidRDefault="000B1C10"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The different bioactive compounds found in the ethanolic extract of </w:t>
      </w:r>
      <w:r w:rsidRPr="0049220A">
        <w:rPr>
          <w:rFonts w:ascii="Times New Roman" w:hAnsi="Times New Roman" w:cs="Times New Roman"/>
          <w:i/>
          <w:sz w:val="24"/>
          <w:szCs w:val="24"/>
        </w:rPr>
        <w:t xml:space="preserve">A.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 its type and biological activity, as reported in earlier studies (</w:t>
      </w:r>
      <w:r w:rsidRPr="0049220A">
        <w:rPr>
          <w:rFonts w:ascii="Times New Roman" w:hAnsi="Times New Roman" w:cs="Times New Roman"/>
          <w:b/>
          <w:sz w:val="24"/>
          <w:szCs w:val="24"/>
        </w:rPr>
        <w:t>Table 2</w:t>
      </w:r>
      <w:r w:rsidRPr="0049220A">
        <w:rPr>
          <w:rFonts w:ascii="Times New Roman" w:hAnsi="Times New Roman" w:cs="Times New Roman"/>
          <w:sz w:val="24"/>
          <w:szCs w:val="24"/>
        </w:rPr>
        <w:t>).</w:t>
      </w:r>
    </w:p>
    <w:p w14:paraId="2AEDC4F4" w14:textId="77777777" w:rsidR="001761FE" w:rsidRPr="0049220A" w:rsidRDefault="001761FE"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Table 2. Nature and the biological activities of compounds from </w:t>
      </w:r>
      <w:r w:rsidRPr="0049220A">
        <w:rPr>
          <w:rFonts w:ascii="Times New Roman" w:hAnsi="Times New Roman" w:cs="Times New Roman"/>
          <w:b/>
          <w:i/>
          <w:sz w:val="24"/>
          <w:szCs w:val="24"/>
        </w:rPr>
        <w:t xml:space="preserve">A. </w:t>
      </w:r>
      <w:proofErr w:type="spellStart"/>
      <w:r w:rsidRPr="0049220A">
        <w:rPr>
          <w:rFonts w:ascii="Times New Roman" w:hAnsi="Times New Roman" w:cs="Times New Roman"/>
          <w:b/>
          <w:i/>
          <w:sz w:val="24"/>
          <w:szCs w:val="24"/>
        </w:rPr>
        <w:t>nayadiformis</w:t>
      </w:r>
      <w:proofErr w:type="spellEnd"/>
      <w:r w:rsidRPr="0049220A">
        <w:rPr>
          <w:rFonts w:ascii="Times New Roman" w:hAnsi="Times New Roman" w:cs="Times New Roman"/>
          <w:b/>
          <w:sz w:val="24"/>
          <w:szCs w:val="24"/>
        </w:rPr>
        <w:t xml:space="preserve">. </w:t>
      </w:r>
    </w:p>
    <w:tbl>
      <w:tblPr>
        <w:tblStyle w:val="TableGrid1"/>
        <w:tblW w:w="91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2"/>
        <w:gridCol w:w="1920"/>
        <w:gridCol w:w="2713"/>
        <w:gridCol w:w="1620"/>
      </w:tblGrid>
      <w:tr w:rsidR="0049220A" w:rsidRPr="0049220A" w14:paraId="6974E99E" w14:textId="77777777" w:rsidTr="000D0B90">
        <w:tc>
          <w:tcPr>
            <w:tcW w:w="2922" w:type="dxa"/>
            <w:tcBorders>
              <w:bottom w:val="single" w:sz="4" w:space="0" w:color="auto"/>
            </w:tcBorders>
          </w:tcPr>
          <w:p w14:paraId="7EA99D94"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Compound Name</w:t>
            </w:r>
          </w:p>
        </w:tc>
        <w:tc>
          <w:tcPr>
            <w:tcW w:w="1920" w:type="dxa"/>
            <w:tcBorders>
              <w:bottom w:val="single" w:sz="4" w:space="0" w:color="auto"/>
            </w:tcBorders>
          </w:tcPr>
          <w:p w14:paraId="4C0F27E8"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Type of Compound</w:t>
            </w:r>
          </w:p>
        </w:tc>
        <w:tc>
          <w:tcPr>
            <w:tcW w:w="2713" w:type="dxa"/>
            <w:tcBorders>
              <w:bottom w:val="single" w:sz="4" w:space="0" w:color="auto"/>
            </w:tcBorders>
          </w:tcPr>
          <w:p w14:paraId="7C7AD3E8"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Reported Bioactivity</w:t>
            </w:r>
          </w:p>
        </w:tc>
        <w:tc>
          <w:tcPr>
            <w:tcW w:w="1620" w:type="dxa"/>
            <w:tcBorders>
              <w:bottom w:val="single" w:sz="4" w:space="0" w:color="auto"/>
            </w:tcBorders>
          </w:tcPr>
          <w:p w14:paraId="0F206950" w14:textId="77777777" w:rsidR="000B6857" w:rsidRPr="0049220A" w:rsidRDefault="000B6857" w:rsidP="000B6857">
            <w:pPr>
              <w:pStyle w:val="NoSpacing"/>
              <w:rPr>
                <w:rFonts w:ascii="Times New Roman" w:hAnsi="Times New Roman" w:cs="Times New Roman"/>
                <w:b/>
                <w:sz w:val="24"/>
                <w:szCs w:val="24"/>
              </w:rPr>
            </w:pPr>
            <w:r w:rsidRPr="0049220A">
              <w:rPr>
                <w:rFonts w:ascii="Times New Roman" w:hAnsi="Times New Roman" w:cs="Times New Roman"/>
                <w:b/>
                <w:sz w:val="24"/>
                <w:szCs w:val="24"/>
              </w:rPr>
              <w:t>References</w:t>
            </w:r>
          </w:p>
        </w:tc>
      </w:tr>
      <w:tr w:rsidR="0049220A" w:rsidRPr="0049220A" w14:paraId="28272C1E" w14:textId="77777777" w:rsidTr="000D0B90">
        <w:trPr>
          <w:trHeight w:val="1511"/>
        </w:trPr>
        <w:tc>
          <w:tcPr>
            <w:tcW w:w="2922" w:type="dxa"/>
            <w:tcBorders>
              <w:top w:val="single" w:sz="4" w:space="0" w:color="auto"/>
            </w:tcBorders>
          </w:tcPr>
          <w:p w14:paraId="45333E2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5,8,11,14-Eicosatetraenoic acid, phenylmethyl ester (all-Z)</w:t>
            </w:r>
          </w:p>
        </w:tc>
        <w:tc>
          <w:tcPr>
            <w:tcW w:w="1920" w:type="dxa"/>
            <w:tcBorders>
              <w:top w:val="single" w:sz="4" w:space="0" w:color="auto"/>
            </w:tcBorders>
          </w:tcPr>
          <w:p w14:paraId="59E3F2E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Aromatic ester of arachidonic acid (PUFA derivative)</w:t>
            </w:r>
          </w:p>
        </w:tc>
        <w:tc>
          <w:tcPr>
            <w:tcW w:w="2713" w:type="dxa"/>
            <w:tcBorders>
              <w:top w:val="single" w:sz="4" w:space="0" w:color="auto"/>
            </w:tcBorders>
          </w:tcPr>
          <w:p w14:paraId="18EB2DA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Precursor for eicosanoids; anti-inflammatory, antimicrobial, cytotoxic potential</w:t>
            </w:r>
          </w:p>
        </w:tc>
        <w:tc>
          <w:tcPr>
            <w:tcW w:w="1620" w:type="dxa"/>
            <w:tcBorders>
              <w:top w:val="single" w:sz="4" w:space="0" w:color="auto"/>
            </w:tcBorders>
          </w:tcPr>
          <w:p w14:paraId="1142A14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{"citationItems":[{"id":"ITEM-1","itemData":{"DOI":"10.1021/CR2002992,","ISSN":"00092665","PMID":"21942677","author":[{"dropping-particle":"","family":"Smith","given":"William L.","non-dropping-particle":"","parse-names":false,"suffix":""},{"dropping-particle":"","family":"Urade","given":"Yoshihiro","non-dropping-particle":"","parse-names":false,"suffix":""},{"dropping-particle":"","family":"Jakobsson","given":"Per Johan","non-dropping-particle":"","parse-names":false,"suffix":""}],"container-title":"Chemical Reviews","id":"ITEM-1","issue":"10","issued":{"date-parts":[["2011","10","12"]]},"page":"5821-5865","publisher":"Chem Rev","title":"Enzymes of the cyclooxygenase pathways of prostanoid biosynthesis","type":"article-journal","volume":"111"},"uris":["http://www.mendeley.com/documents/?uuid=13898d66-174e-3a67-b79e-6425403b8d6d"]}],"mendeley":{"formattedCitation":"(Smith et al., 2011)","plainTextFormattedCitation":"(Smith et al., 2011)","previouslyFormattedCitation":"(Smith et al., 2011)"},"properties":{"noteIndex":0},"schema":"https://github.com/citation-style-language/schema/raw/master/csl-citation.json"}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(Smith et al., 2011)</w:t>
            </w:r>
            <w:r w:rsidRPr="0049220A">
              <w:rPr>
                <w:rFonts w:ascii="Times New Roman" w:hAnsi="Times New Roman" w:cs="Times New Roman"/>
                <w:sz w:val="24"/>
                <w:szCs w:val="24"/>
              </w:rPr>
              <w:fldChar w:fldCharType="end"/>
            </w:r>
          </w:p>
          <w:p w14:paraId="443108B0" w14:textId="77777777" w:rsidR="000B6857" w:rsidRPr="0049220A" w:rsidRDefault="000B6857" w:rsidP="000B6857">
            <w:pPr>
              <w:pStyle w:val="NoSpacing"/>
              <w:rPr>
                <w:rFonts w:ascii="Times New Roman" w:hAnsi="Times New Roman" w:cs="Times New Roman"/>
                <w:sz w:val="24"/>
                <w:szCs w:val="24"/>
              </w:rPr>
            </w:pPr>
          </w:p>
        </w:tc>
      </w:tr>
      <w:tr w:rsidR="0049220A" w:rsidRPr="0049220A" w14:paraId="4D38E79F" w14:textId="77777777" w:rsidTr="000D0B90">
        <w:trPr>
          <w:trHeight w:val="980"/>
        </w:trPr>
        <w:tc>
          <w:tcPr>
            <w:tcW w:w="2922" w:type="dxa"/>
          </w:tcPr>
          <w:p w14:paraId="01D44F1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9,12,15-Octadecatrienoic acid, methyl ester</w:t>
            </w:r>
          </w:p>
        </w:tc>
        <w:tc>
          <w:tcPr>
            <w:tcW w:w="1920" w:type="dxa"/>
          </w:tcPr>
          <w:p w14:paraId="48EC120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PUFA ester</w:t>
            </w:r>
          </w:p>
        </w:tc>
        <w:tc>
          <w:tcPr>
            <w:tcW w:w="2713" w:type="dxa"/>
          </w:tcPr>
          <w:p w14:paraId="237C987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anti-inflammatory, cardioprotective</w:t>
            </w:r>
          </w:p>
        </w:tc>
        <w:tc>
          <w:tcPr>
            <w:tcW w:w="1620" w:type="dxa"/>
          </w:tcPr>
          <w:p w14:paraId="7DF2231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relevance","type":"article-journal","volume":"1851"},"uris":["http://www.mendeley.com/documents/?uuid=45258b62-89f7-3b6e-b9c6-fdfd709f79ae"]}],"mendeley":{"formattedCitation":"(Calder, 2015)","plainTextFormattedCitation":"(Calder, 2015)","previouslyFormattedCitation":"(Calder, 2015)"},"properties":{"noteIndex":0},"schema":"https://github.com/citation-style-language/schema/raw/master/csl-citation.json"}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(Calder, 2015)</w:t>
            </w:r>
            <w:r w:rsidRPr="0049220A">
              <w:rPr>
                <w:rFonts w:ascii="Times New Roman" w:hAnsi="Times New Roman" w:cs="Times New Roman"/>
                <w:sz w:val="24"/>
                <w:szCs w:val="24"/>
              </w:rPr>
              <w:fldChar w:fldCharType="end"/>
            </w:r>
          </w:p>
        </w:tc>
      </w:tr>
      <w:tr w:rsidR="0049220A" w:rsidRPr="0049220A" w14:paraId="0B194C19" w14:textId="77777777" w:rsidTr="000D0B90">
        <w:trPr>
          <w:trHeight w:val="710"/>
        </w:trPr>
        <w:tc>
          <w:tcPr>
            <w:tcW w:w="2922" w:type="dxa"/>
          </w:tcPr>
          <w:p w14:paraId="1B1A968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1-Chlorooctadecane</w:t>
            </w:r>
          </w:p>
        </w:tc>
        <w:tc>
          <w:tcPr>
            <w:tcW w:w="1920" w:type="dxa"/>
          </w:tcPr>
          <w:p w14:paraId="660CA13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Halogenated long-chain alkane</w:t>
            </w:r>
          </w:p>
        </w:tc>
        <w:tc>
          <w:tcPr>
            <w:tcW w:w="2713" w:type="dxa"/>
          </w:tcPr>
          <w:p w14:paraId="0D927AD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antifungal, antifouling</w:t>
            </w:r>
          </w:p>
        </w:tc>
        <w:tc>
          <w:tcPr>
            <w:tcW w:w="1620" w:type="dxa"/>
          </w:tcPr>
          <w:p w14:paraId="477FC0E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products","type":"article-journal","volume":"29"},"uris":["http://www.mendeley.com/documents/?uuid=21681af5-1832-3442-b69e-51002f2ec36c"]}],"mendeley":{"formattedCitation":"(Blunt et al., 2012)","plainTextFormattedCitation":"(Blunt et al., 2012)","previouslyFormattedCitation":"(Blunt et al., 2012)"},"properties":{"noteIndex":0},"schema":"https://github.com/citation-style-language/schema/raw/master/csl-citation.json"}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(Blunt et al., 2012)</w:t>
            </w:r>
            <w:r w:rsidRPr="0049220A">
              <w:rPr>
                <w:rFonts w:ascii="Times New Roman" w:hAnsi="Times New Roman" w:cs="Times New Roman"/>
                <w:sz w:val="24"/>
                <w:szCs w:val="24"/>
              </w:rPr>
              <w:fldChar w:fldCharType="end"/>
            </w:r>
          </w:p>
        </w:tc>
      </w:tr>
      <w:tr w:rsidR="0049220A" w:rsidRPr="0049220A" w14:paraId="14C9EA90" w14:textId="77777777" w:rsidTr="000D0B90">
        <w:trPr>
          <w:trHeight w:val="620"/>
        </w:trPr>
        <w:tc>
          <w:tcPr>
            <w:tcW w:w="2922" w:type="dxa"/>
          </w:tcPr>
          <w:p w14:paraId="6489023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1,3,5-Triazine-2,4-diamine,6-chloro-n-ethyl</w:t>
            </w:r>
          </w:p>
        </w:tc>
        <w:tc>
          <w:tcPr>
            <w:tcW w:w="1920" w:type="dxa"/>
          </w:tcPr>
          <w:p w14:paraId="77260AF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Chlorotriazine derivative</w:t>
            </w:r>
          </w:p>
        </w:tc>
        <w:tc>
          <w:tcPr>
            <w:tcW w:w="2713" w:type="dxa"/>
          </w:tcPr>
          <w:p w14:paraId="097F4E3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Herbicidal/antimicrobial activity</w:t>
            </w:r>
          </w:p>
        </w:tc>
        <w:tc>
          <w:tcPr>
            <w:tcW w:w="1620" w:type="dxa"/>
          </w:tcPr>
          <w:p w14:paraId="73E78AE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{"citationItems":[{"id":"ITEM-1","itemData":{"ISBN":"925204910X","ISSN":"1014-1197","abstract":"Resultados de un foro electrónico ESTUDIO FAO INVESTIGACIÓN Y TECNOLOGIA En esta publicación se presenta un informe sobre las primeras seis conferencias mediante correo electrónico organizadas por el Foro electrónico de la FAO sobre la biotecnología en la alimentación y la agricultura, celebradas entre marzo de 2000 y mayo de 2001. Todas las conferencias contaron con un moderador, duraron aproximadamente dos meses y se centraron en la biotecnología agrícola en los países en desarrollo. Las cuatro primeras conferencias trataron de la idoneidad para los países en desarrollo de las biotecnologías actualmente disponibles en los sectores agrícola, pesquero, forestal y ganadero. Las otras dos conferencias trataron de las repercusiones de la biotecnología agrícola sobre el hambre y la seguridad alimentaria en los países en desarrollo y las consecuencias de los derechos de propiedad intelectual en la alimentación y la agricultura en esos países. Rapport r gional Ð opportunit s et d s ˆ l'horizon 2020 ƒTUDE FAO FORaeTS Ce rapport r gional de lÕEtude prospective du secteur forestier en Afrique fournit une vue dÕensemble des possibilit s ooertes et des d s ˆ relever pour renforcer la contribution du secteur forestier au d veloppement durable de lÕAfrique, dans le contexte des changements politiques et institutionnels, d mographiques, conomiques, technologiques et environnementaux. Sur la base dÕun examen de lÕimpact des facteurs de changement et des sc narios probables, il donne une indication de ce qui pourrait arriver dÕicî 2020, si les tendances actuelles persistent. Les priorit s et les strat gies permettant de renforcer la contribution du secteur forestier au bien-tre social sont galement tudi es.","author":[{"dropping-particle":"","family":"FAO","given":"","non-dropping-particle":"","parse-names":false,"suffix":""}],"id":"ITEM-1","issued":{"date-parts":[["2000"]]},"number-of-pages":"1-253","title":"Pesticide residues in food 2000 Joint FAO/WHO Meeting on Pesticide Residues","type":"report"},"uris":["http://www.mendeley.com/documents/?uuid=5f50eb75-ecd6-300a-bf98-03c441ed4536"]}],"mendeley":{"formattedCitation":"(FAO, 2000)","plainTextFormattedCitation":"(FAO, 2000)","previouslyFormattedCitation":"(FAO, 2000)"},"properties":{"noteIndex":0},"schema":"https://github.com/citation-style-language/schema/raw/master/csl-citation.json"}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(FAO, 2000)</w:t>
            </w:r>
            <w:r w:rsidRPr="0049220A">
              <w:rPr>
                <w:rFonts w:ascii="Times New Roman" w:hAnsi="Times New Roman" w:cs="Times New Roman"/>
                <w:sz w:val="24"/>
                <w:szCs w:val="24"/>
              </w:rPr>
              <w:fldChar w:fldCharType="end"/>
            </w:r>
          </w:p>
        </w:tc>
      </w:tr>
      <w:tr w:rsidR="0049220A" w:rsidRPr="0049220A" w14:paraId="78AB3CCB" w14:textId="77777777" w:rsidTr="000D0B90">
        <w:trPr>
          <w:trHeight w:val="710"/>
        </w:trPr>
        <w:tc>
          <w:tcPr>
            <w:tcW w:w="2922" w:type="dxa"/>
          </w:tcPr>
          <w:p w14:paraId="213853F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E-7-Tetradecenol</w:t>
            </w:r>
          </w:p>
        </w:tc>
        <w:tc>
          <w:tcPr>
            <w:tcW w:w="1920" w:type="dxa"/>
          </w:tcPr>
          <w:p w14:paraId="08FA8A7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alcohol</w:t>
            </w:r>
          </w:p>
        </w:tc>
        <w:tc>
          <w:tcPr>
            <w:tcW w:w="2713" w:type="dxa"/>
          </w:tcPr>
          <w:p w14:paraId="0E9EDF9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Pheromone activity, antimicrobial</w:t>
            </w:r>
          </w:p>
        </w:tc>
        <w:tc>
          <w:tcPr>
            <w:tcW w:w="1620" w:type="dxa"/>
          </w:tcPr>
          <w:p w14:paraId="7FF5181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{"citationItems":[{"id":"ITEM-1","itemData":{"DOI":"10.1016/J.PLIPRES.2015.06.001","ISSN":"18732194","PMID":"26080085","abstract":"For many species of insects, lipid pheromones profoundly influence survival, reproduction, and social organization. Unravelling the chemical language of insects has been the subject of intense research in the field of chemical ecology for the past five decades. Characterizing the forms, functions, and biosynthesis of lipid pheromones has led not only to the development of strategies for controlling agricultural pests but has also provided insights into fundamental questions in evolutionary biology. Despite the enormous variety of chemical structures that are used as pheromones, some common themes in function and biosynthetic pathways have emerged across studies of diverse taxa. This review will offer a general overview of insect lipid pheromone function and biochemical synthesis, describe analytical methods for pheromone discovery, and provide perspectives on the contribution of chemical ecology to pest control and understanding evolutionary processes.","author":[{"dropping-particle":"","family":"Yew","given":"Joanne Y.","non-dropping-particle":"","parse-names":false,"suffix":""},{"dropping-particle":"","family":"Chung","given":"Henry","non-dropping-particle":"","parse-names":false,"suffix":""}],"container-title":"Progress in Lipid Research","id":"ITEM-1","issued":{"date-parts":[["2015","6","29"]]},"page":"88-105","publisher":"Elsevier Ltd","title":"Insect pheromones: An overview of function, form, and discovery","type":"article-journal","volume":"59"},"uris":["http://www.mendeley.com/documents/?uuid=2e687217-b979-3602-9534-6a58cbef7c9a"]}],"mendeley":{"formattedCitation":"(Yew &amp; Chung, 2015)","plainTextFormattedCitation":"(Yew &amp; Chung, 2015)","previouslyFormattedCitation":"(Yew &amp; Chung, 2015)"},"properties":{"noteIndex":0},"schema":"https://github.com/citation-style-language/schema/raw/master/csl-citation.json"}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(Yew &amp; Chung, 2015)</w:t>
            </w:r>
            <w:r w:rsidRPr="0049220A">
              <w:rPr>
                <w:rFonts w:ascii="Times New Roman" w:hAnsi="Times New Roman" w:cs="Times New Roman"/>
                <w:sz w:val="24"/>
                <w:szCs w:val="24"/>
              </w:rPr>
              <w:fldChar w:fldCharType="end"/>
            </w:r>
          </w:p>
        </w:tc>
      </w:tr>
      <w:tr w:rsidR="0049220A" w:rsidRPr="0049220A" w14:paraId="664A149C" w14:textId="77777777" w:rsidTr="000D0B90">
        <w:trPr>
          <w:trHeight w:val="620"/>
        </w:trPr>
        <w:tc>
          <w:tcPr>
            <w:tcW w:w="2922" w:type="dxa"/>
          </w:tcPr>
          <w:p w14:paraId="5C48285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1-Dodecanol, 3,7,11-trimethyl-</w:t>
            </w:r>
          </w:p>
        </w:tc>
        <w:tc>
          <w:tcPr>
            <w:tcW w:w="1920" w:type="dxa"/>
          </w:tcPr>
          <w:p w14:paraId="574151E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Branched-chain fatty alcohol</w:t>
            </w:r>
          </w:p>
        </w:tc>
        <w:tc>
          <w:tcPr>
            <w:tcW w:w="2713" w:type="dxa"/>
          </w:tcPr>
          <w:p w14:paraId="7FF0B84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quorum-sensing inhibitor</w:t>
            </w:r>
          </w:p>
        </w:tc>
        <w:tc>
          <w:tcPr>
            <w:tcW w:w="1620" w:type="dxa"/>
          </w:tcPr>
          <w:p w14:paraId="50DA6B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{"citationItems":[{"id":"ITEM-1","itemData":{"DOI":"10.1021/JF034774L;JOURNAL:JOURNAL:JAFCAU;ISSUE:ISSUE:10.1021/JAFCAU.2004.52.ISSUE-5;PAGE:STRING:ARTICLE/CHAPTER","ISSN":"00218561","abstract":"The antibacterial activity of a series of alkyl gallates (3,4,5-trihydroxybenzoates) against Gram-positive bacteria was tested using a broth dilution method. All of the Gram-positive bacteria tested were susceptible to alkyl gallates, and this activity was found to correlate with the alkyl chain length. The antibacterial activity of alkyl gallates against Bacillus subtilis was a parabolic function of their lipophilicity and maximized with alkyl chain length between C8 and C11. Notably, alkyl gallates were found to be bactericidal against B. subtilis ATCC 9372, but this activity was significantly affected by the endospore formation in the culture. The antibacterial activity of alkyl gallates likely comes at least in part from their ability to inhibit the membrane respiratory chain but is not due to the prooxidant action.","author":[{"dropping-particle":"","family":"Kubo","given":"Isao","non-dropping-particle":"","parse-names":false,"suffix":""},{"dropping-particle":"","family":"Fujita","given":"Ken Ichi","non-dropping-particle":"","parse-names":false,"suffix":""},{"dropping-particle":"","family":"Nihei","given":"Ken Ichi","non-dropping-particle":"","parse-names":false,"suffix":""},{"dropping-particle":"","family":"Nihei","given":"Atsuko","non-dropping-particle":"","parse-names":false,"suffix":""}],"container-title":"Journal of Agricultural and Food Chemistry","id":"ITEM-1","issue":"5","issued":{"date-parts":[["2004","3","10"]]},"page":"1072-1076","publisher":"American Chemical Society","title":"Antibacterial Activity of Akyl Gallates against Bacillus subtilis","type":"article-journal","volume":"52"},"uris":["http://www.mendeley.com/documents/?uuid=21ed38c1-7279-3c95-b92f-f5840a7cae5b"]}],"mendeley":{"formattedCitation":"(Kubo et al., 2004)","plainTextFormattedCitation":"(Kubo et al., 2004)","previouslyFormattedCitation":"(Kubo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(Kubo et al., 2004)</w:t>
            </w:r>
            <w:r w:rsidRPr="0049220A">
              <w:rPr>
                <w:rFonts w:ascii="Times New Roman" w:hAnsi="Times New Roman" w:cs="Times New Roman"/>
                <w:sz w:val="24"/>
                <w:szCs w:val="24"/>
              </w:rPr>
              <w:fldChar w:fldCharType="end"/>
            </w:r>
          </w:p>
        </w:tc>
      </w:tr>
      <w:tr w:rsidR="0049220A" w:rsidRPr="0049220A" w14:paraId="5577F425" w14:textId="77777777" w:rsidTr="000D0B90">
        <w:trPr>
          <w:trHeight w:val="629"/>
        </w:trPr>
        <w:tc>
          <w:tcPr>
            <w:tcW w:w="2922" w:type="dxa"/>
          </w:tcPr>
          <w:p w14:paraId="43058FA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Lidocaine</w:t>
            </w:r>
          </w:p>
        </w:tc>
        <w:tc>
          <w:tcPr>
            <w:tcW w:w="1920" w:type="dxa"/>
          </w:tcPr>
          <w:p w14:paraId="47657BA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Synthetic amide anesthetic</w:t>
            </w:r>
          </w:p>
        </w:tc>
        <w:tc>
          <w:tcPr>
            <w:tcW w:w="2713" w:type="dxa"/>
          </w:tcPr>
          <w:p w14:paraId="1B4551B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Local anesthetic, antiarrhythmic</w:t>
            </w:r>
          </w:p>
        </w:tc>
        <w:tc>
          <w:tcPr>
            <w:tcW w:w="1620" w:type="dxa"/>
          </w:tcPr>
          <w:p w14:paraId="4D5BCA9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{"citationItems":[{"id":"ITEM-1","itemData":{"DOI":"10.1085/JGP.69.4.497","ISSN":"0022-1295","PMID":"300786","abstract":"The properties of Na channels of the node of Ranvier are altered by neutral, amine, and quaternary local anesthetic compounds. The kinetics of the Na currents are governed by a composite of voltage- and time-dependent gating processes with voltage- and time-dependent block of channels by drug. Conventional measurements of steady-state sodium inactivation by use of 50-ms prepulses show a large negative voltage shift of the inactivation curve with neutral benzocaine and with some ionizable amines like lidocaine and tetracaine, but no shift is seen with quaternary QX-572. However, when the experiment is done with repetitive application of a prepulse-testpulse waveform, a shift with the quaternary cations (applied internally) is seen as well. 1-min hyperpolarizations of lidocaine- or tetracaine- treated fibers restore two to four times as many channels to the conducting pool as 50-ms hyperpolarizations. Raising the external Ca++ concentration also has a strong unblocking effect. These manipulations do not relieve block in fibers treated with internal quaternary drugs. The results are interpreted in terms of a single receptor in Na channels for the different drug types. Lipid-soluble drug forms are thought to come and go from the receptor via a hydrophobic region of the membrane, while charged and less lipid-soluble forms pass via a hydrophilic region (the inner channel mouth). The hydrophilic pathway is open only when the gates of the channel are open. Any drug form in the channel increases the probability of closing the inactivation gate which, in effect, is equivalent to a negative shift of the voltage dependence of inactivation. © 1977, Rockefeller University Press., All rights reserved.","author":[{"dropping-particle":"","family":"Hille","given":"Bertil","non-dropping-particle":"","parse-names":false,"suffix":""}],"container-title":"Journal of General Physiology","id":"ITEM-1","issue":"4","issued":{"date-parts":[["1977","4","1"]]},"page":"497-515","publisher":"The Rockefeller University Press","title":"Local anesthetics: hydrophilic and hydrophobic pathways for the drug-receptor reaction.","type":"article-journal","volume":"69"},"uris":["http://www.mendeley.com/documents/?uuid=5e1b43a2-c170-3218-a468-093fd0890edd"]}],"mendeley":{"formattedCitation":"(Hille, 1977)","plainTextFormattedCitation":"(Hille, 1977)","previouslyFormattedCitation":"(Hille, 1977)"},"properties":{"noteIndex":0},"schema":"https://github.com/citation-style-language/schema/raw/master/csl-citation.json"}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(Hille, 1977)</w:t>
            </w:r>
            <w:r w:rsidRPr="0049220A">
              <w:rPr>
                <w:rFonts w:ascii="Times New Roman" w:hAnsi="Times New Roman" w:cs="Times New Roman"/>
                <w:sz w:val="24"/>
                <w:szCs w:val="24"/>
              </w:rPr>
              <w:fldChar w:fldCharType="end"/>
            </w:r>
          </w:p>
        </w:tc>
      </w:tr>
      <w:tr w:rsidR="0049220A" w:rsidRPr="0049220A" w14:paraId="17F69F72" w14:textId="77777777" w:rsidTr="000D0B90">
        <w:tc>
          <w:tcPr>
            <w:tcW w:w="2922" w:type="dxa"/>
          </w:tcPr>
          <w:p w14:paraId="75DE21D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Pentadecanoic acid,14-methyl-, methyl ester</w:t>
            </w:r>
          </w:p>
        </w:tc>
        <w:tc>
          <w:tcPr>
            <w:tcW w:w="1920" w:type="dxa"/>
          </w:tcPr>
          <w:p w14:paraId="65C5B66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 fatty acid ester</w:t>
            </w:r>
          </w:p>
        </w:tc>
        <w:tc>
          <w:tcPr>
            <w:tcW w:w="2713" w:type="dxa"/>
          </w:tcPr>
          <w:p w14:paraId="6CF3AAB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5AE82C4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{"citationItems":[{"id":"ITEM-1","itemData":{"DOI":"10.1016/S0960-894X(01)00663-1","ISSN":"0960-894X","PMID":"11755333","abstract":"A series of alkyl gallates (3,4,5-trihydroxybenzoates) was found to show antibacterial activity against Gram-positive bacteria including methicillin resistant Staphylococcus aureus (MRSA) strains. For example, dodecyl (C12) gallate (1) exhibited bactericidal activity against MRSA ATCC 33591 strain with the minimum bactericidal concentration (MBC) of 25 μg/mL (74 μM). The time-kill curve study showed that dodecyl gallate is bactericidal against this MRSA strain. This bactericidal activity comes in part from its ability to inhibit respiratory electron transport systems. The length of the alkyl chain is not a major contributor but plays an important role in eliciting the activity. © 2002 Elsevier Science Ltd. All rights reserved.","author":[{"dropping-particle":"","family":"Kubo","given":"Isao","non-dropping-particle":"","parse-names":false,"suffix":""},{"dropping-particle":"","family":"Xiao","given":"Ping","non-dropping-particle":"","parse-names":false,"suffix":""},{"dropping-particle":"","family":"Fujita","given":"Ken'ichi","non-dropping-particle":"","parse-names":false,"suffix":""}],"container-title":"Bioorganic &amp; Medicinal Chemistry Letters","id":"ITEM-1","issue":"2","issued":{"date-parts":[["2002","1","21"]]},"page":"113-116","publisher":"Pergamon","title":"Anti-MRSA activity of alkyl gallates","type":"article-journal","volume":"12"},"uris":["http://www.mendeley.com/documents/?uuid=5fbabe2e-5d82-3095-90bb-0417c1ed3318"]}],"mendeley":{"formattedCitation":"(Kubo et al., 2002)","plainTextFormattedCitation":"(Kubo et al., 2002)","previouslyFormattedCitation":"(Kubo et al., 2002)"},"properties":{"noteIndex":0},"schema":"https://github.com/citation-style-language/schema/raw/master/csl-citation.json"}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(Kubo et al., 2002)</w:t>
            </w:r>
            <w:r w:rsidRPr="0049220A">
              <w:rPr>
                <w:rFonts w:ascii="Times New Roman" w:hAnsi="Times New Roman" w:cs="Times New Roman"/>
                <w:sz w:val="24"/>
                <w:szCs w:val="24"/>
              </w:rPr>
              <w:fldChar w:fldCharType="end"/>
            </w:r>
          </w:p>
        </w:tc>
      </w:tr>
      <w:tr w:rsidR="0049220A" w:rsidRPr="0049220A" w14:paraId="7BF3E250" w14:textId="77777777" w:rsidTr="000D0B90">
        <w:trPr>
          <w:trHeight w:val="980"/>
        </w:trPr>
        <w:tc>
          <w:tcPr>
            <w:tcW w:w="2922" w:type="dxa"/>
          </w:tcPr>
          <w:p w14:paraId="6B4F861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Oleic Acid</w:t>
            </w:r>
          </w:p>
        </w:tc>
        <w:tc>
          <w:tcPr>
            <w:tcW w:w="1920" w:type="dxa"/>
          </w:tcPr>
          <w:p w14:paraId="64D9257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Monounsaturated fatty acid</w:t>
            </w:r>
          </w:p>
        </w:tc>
        <w:tc>
          <w:tcPr>
            <w:tcW w:w="2713" w:type="dxa"/>
          </w:tcPr>
          <w:p w14:paraId="797EDD6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cardioprotective, antimicrobial</w:t>
            </w:r>
          </w:p>
        </w:tc>
        <w:tc>
          <w:tcPr>
            <w:tcW w:w="1620" w:type="dxa"/>
          </w:tcPr>
          <w:p w14:paraId="12FFD75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{"citationItems":[{"id":"ITEM-1","itemData":{"DOI":"10.3390/MD9102155","ISBN":"5655637804","ISSN":"1660-3397","PMID":"22073014","abstract":"It is known that some strains of Vibrio parahaemolyticus are responsible for gastroenteric diseases caused by the ingestion of marine organisms contaminated with these bacterial strains. Organic products that show inhibitory activity on the growth of the pathogenic V. parahaemolyticus were extracted from a Vibrio native in the north of Chile. The inhibitory organic products were isolated by reverse phase chromatography and permeation by Sephadex LH20, and were characterized by spectroscopic and spectrometric techniques. The results showed that the prevailing active product is oleic acid, which was compared with standards by gas chromatography and high-performance liquid chromatography (HPLC). These active products might be useful for controlling the proliferation of pathogenic clones of V. parahaemolyticus.","author":[{"dropping-particle":"","family":"Leyton","given":"Yanett","non-dropping-particle":"","parse-names":false,"suffix":""},{"dropping-particle":"","family":"Borquez","given":"Jorge","non-dropping-particle":"","parse-names":false,"suffix":""},{"dropping-particle":"","family":"Darias","given":"José","non-dropping-particle":"","parse-names":false,"suffix":""},{"dropping-particle":"","family":"Cueto","given":"Mercedes","non-dropping-particle":"","parse-names":false,"suffix":""},{"dropping-particle":"","family":"Díaz-Marrero","given":"Ana R.","non-dropping-particle":"","parse-names":false,"suffix":""},{"dropping-particle":"","family":"Riquelme","given":"Carlos","non-dropping-particle":"","parse-names":false,"suffix":""}],"container-title":"Marine Drugs","id":"ITEM-1","issue":"10","issued":{"date-parts":[["2011","10","24"]]},"page":"2155-2163","publisher":"Molecular Diversity Preservation International","title":"Oleic Acid Produced by a Marine Vibrio spp. Acts as an Anti-Vibrio parahaemolyticus Agent","type":"article-journal","volume":"9"},"uris":["http://www.mendeley.com/documents/?uuid=7734124c-18b4-3cc5-b475-6ae239f84eb4"]}],"mendeley":{"formattedCitation":"(Leyton et al., 2011)","plainTextFormattedCitation":"(Leyton et al., 2011)","previouslyFormattedCitation":"(Leyton et al., 2011)"},"properties":{"noteIndex":0},"schema":"https://github.com/citation-style-language/schema/raw/master/csl-citation.json"}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(Leyton et al., 2011)</w:t>
            </w:r>
            <w:r w:rsidRPr="0049220A">
              <w:rPr>
                <w:rFonts w:ascii="Times New Roman" w:hAnsi="Times New Roman" w:cs="Times New Roman"/>
                <w:sz w:val="24"/>
                <w:szCs w:val="24"/>
              </w:rPr>
              <w:fldChar w:fldCharType="end"/>
            </w:r>
          </w:p>
        </w:tc>
      </w:tr>
      <w:tr w:rsidR="0049220A" w:rsidRPr="0049220A" w14:paraId="095CCFBB" w14:textId="77777777" w:rsidTr="000D0B90">
        <w:trPr>
          <w:trHeight w:val="620"/>
        </w:trPr>
        <w:tc>
          <w:tcPr>
            <w:tcW w:w="2922" w:type="dxa"/>
          </w:tcPr>
          <w:p w14:paraId="563E177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Ethyl pentadecanoate</w:t>
            </w:r>
          </w:p>
        </w:tc>
        <w:tc>
          <w:tcPr>
            <w:tcW w:w="1920" w:type="dxa"/>
          </w:tcPr>
          <w:p w14:paraId="2717FD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ethyl ester</w:t>
            </w:r>
          </w:p>
        </w:tc>
        <w:tc>
          <w:tcPr>
            <w:tcW w:w="2713" w:type="dxa"/>
          </w:tcPr>
          <w:p w14:paraId="5E5702A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4B0E94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{"citationItems":[{"id":"ITEM-1","itemData":{"DOI":"10.1016/J.HELIYON.2023.E14461","ISSN":"24058440","PMID":"36925541","abstract":"Conventional antibiotics are associated with various side-effects. Therefore, there is need of using plant-derived antibiotics with fewer side-effects. Grewia tembensis and Xerophyta spekei, which have been extensively utilized in the Mbeere community, were studied to support their folkloric use and demonstrate their antibacterial capabilities. Salmonella Typhi ATCC 1408, Bacillus subtilis ATCC 21332, Staphylococcus aureus ATCC 25923, and Escherichia coli ATCC 25922 were all used in this study. As a standard reference, Ciprofloxacin (100 μg/ml) was employed, and 5% DMSO was used as a negative reference. Tests for antibacterial activities included disc diffusion, minimum inhibitory concentrations, and bactericidal concentrations. G. tembensis exhibited effects on S. aureus only with Mean Zone Inhibition (MZI) of 07.07 ± 0.07 to 12.33 ± 0.33 mm and 08.33 ± 0.33 to 11.67 ± 0.33 mm for stem bark and leaf extracts respectively. While X. spekei extract had effects on S. aureus with MZI of 07.67 ± 0.33 to 14.67 ± 0.33 mm and B. subtilis with MZI of 09.67 ± 0.33 to 14.33 ± 0.33 mm. Ciprofloxacin demonstrated significantly higher activities as compared to the plant extracts in all the concentrations (p &lt; 0.05), while 5% DMSO had no activity. GC-MS analysis demonstrated the availability of compounds with known antibacterial effects. Therefore, the current study recommends ethnomedicinal and therapeutic use of G. tembensis and X. spekei as antibacterial agents.","author":[{"dropping-particle":"","family":"Nyalo","given":"Paul Ochieng","non-dropping-particle":"","parse-names":false,"suffix":""},{"dropping-particle":"","family":"Omwenga","given":"George Isanda","non-dropping-particle":"","parse-names":false,"suffix":""},{"dropping-particle":"","family":"Ngugi","given":"Mathew Piero","non-dropping-particle":"","parse-names":false,"suffix":""}],"container-title":"Heliyon","id":"ITEM-1","issue":"3","issued":{"date-parts":[["2023","3","1"]]},"page":"e14461","publisher":"Elsevier Ltd","title":"Antibacterial properties and GC-MS analysis of ethyl acetate extracts of Xerophyta spekei (Baker) and Grewia tembensis (Fresen)","type":"article-journal","volume":"9"},"uris":["http://www.mendeley.com/documents/?uuid=2d94790a-506b-3aa3-a3da-45b2c6a9b500"]}],"mendeley":{"formattedCitation":"(Nyalo et al., 2023)","plainTextFormattedCitation":"(Nyalo et al., 2023)","previouslyFormattedCitation":"(Nyalo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(Nyalo et al., 2023)</w:t>
            </w:r>
            <w:r w:rsidRPr="0049220A">
              <w:rPr>
                <w:rFonts w:ascii="Times New Roman" w:hAnsi="Times New Roman" w:cs="Times New Roman"/>
                <w:sz w:val="24"/>
                <w:szCs w:val="24"/>
              </w:rPr>
              <w:fldChar w:fldCharType="end"/>
            </w:r>
          </w:p>
        </w:tc>
      </w:tr>
      <w:tr w:rsidR="0049220A" w:rsidRPr="0049220A" w14:paraId="5B7941E6" w14:textId="77777777" w:rsidTr="000D0B90">
        <w:trPr>
          <w:trHeight w:val="620"/>
        </w:trPr>
        <w:tc>
          <w:tcPr>
            <w:tcW w:w="2922" w:type="dxa"/>
          </w:tcPr>
          <w:p w14:paraId="4899E66A"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Hexadecadienoic</w:t>
            </w:r>
            <w:proofErr w:type="spellEnd"/>
            <w:r w:rsidRPr="0049220A">
              <w:rPr>
                <w:rFonts w:ascii="Times New Roman" w:hAnsi="Times New Roman" w:cs="Times New Roman"/>
                <w:sz w:val="24"/>
                <w:szCs w:val="24"/>
              </w:rPr>
              <w:t xml:space="preserve"> acid, methyl ester</w:t>
            </w:r>
          </w:p>
        </w:tc>
        <w:tc>
          <w:tcPr>
            <w:tcW w:w="1920" w:type="dxa"/>
          </w:tcPr>
          <w:p w14:paraId="5329542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PUFA ester</w:t>
            </w:r>
          </w:p>
        </w:tc>
        <w:tc>
          <w:tcPr>
            <w:tcW w:w="2713" w:type="dxa"/>
          </w:tcPr>
          <w:p w14:paraId="738E990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lipid metabolism role</w:t>
            </w:r>
          </w:p>
        </w:tc>
        <w:tc>
          <w:tcPr>
            <w:tcW w:w="1620" w:type="dxa"/>
          </w:tcPr>
          <w:p w14:paraId="4092D16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relevance","type":"article-journal","volume":"1851"},"uris":["http://www.mendeley.com/documents/?uuid=45258b62-89f7-3b6e-b9c6-fdfd709f79ae"]}],"mendeley":{"formattedCitation":"(Calder, 2015)","plainTextFormattedCitation":"(Calder, 2015)","previouslyFormattedCitation":"(Calder, 2015)"},"properties":{"noteIndex":0},"schema":"https://github.com/citation-style-language/schema/raw/master/csl-citation.json"}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(Calder, 2015)</w:t>
            </w:r>
            <w:r w:rsidRPr="0049220A">
              <w:rPr>
                <w:rFonts w:ascii="Times New Roman" w:hAnsi="Times New Roman" w:cs="Times New Roman"/>
                <w:sz w:val="24"/>
                <w:szCs w:val="24"/>
              </w:rPr>
              <w:fldChar w:fldCharType="end"/>
            </w:r>
          </w:p>
        </w:tc>
      </w:tr>
      <w:tr w:rsidR="0049220A" w:rsidRPr="0049220A" w14:paraId="293835EA" w14:textId="77777777" w:rsidTr="000D0B90">
        <w:trPr>
          <w:trHeight w:val="971"/>
        </w:trPr>
        <w:tc>
          <w:tcPr>
            <w:tcW w:w="2922" w:type="dxa"/>
          </w:tcPr>
          <w:p w14:paraId="55E205B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9-Octadecenoic acid (Z)-, methyl ester</w:t>
            </w:r>
          </w:p>
        </w:tc>
        <w:tc>
          <w:tcPr>
            <w:tcW w:w="1920" w:type="dxa"/>
          </w:tcPr>
          <w:p w14:paraId="5B0162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ester</w:t>
            </w:r>
          </w:p>
        </w:tc>
        <w:tc>
          <w:tcPr>
            <w:tcW w:w="2713" w:type="dxa"/>
          </w:tcPr>
          <w:p w14:paraId="5F1EEF2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 energy metabolism</w:t>
            </w:r>
          </w:p>
        </w:tc>
        <w:tc>
          <w:tcPr>
            <w:tcW w:w="1620" w:type="dxa"/>
          </w:tcPr>
          <w:p w14:paraId="40CA3AA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{"citationItems":[{"id":"ITEM-1","itemData":{"DOI":"10.1016/j.micpath.2020.104446","ISSN":"10961208","PMID":"32810555","abstract":"Purpose: Antibiotic resistance is a huge problem that stays to challenge the healthcare sector in a large part of the world in both developing and developed countries. The spread of multi drug resistant (MDR) bacteria in hospital and community settings remains a widely uncertain problem and a heavy burden to health services. Methods: This study unveils the in vitro and in vivo anti-ESBL potential of Methyl oleate (MO) and Palmitic acid (PA) against ESBL producing MDR bacterial pathogens such as Escherichia coli and Klebsiella pneumoniae. Microscopic observations unveiled the anti-ESBL efficacy of test compounds. MTT assay, in vivo anti-infective efficiency of MO and PA was tested with different concentrations. Results: The pure compounds of MO and PA from Oxynema thaianum demonstrated high inhibitory activity in MIC and MBC assays against MDR E. coli and K. pneumoniae. Moreover, the anti-ESBL potential of MO and PA was validated through light, confocal laser scanning and scanning electron microscopic analyses. The IC50 values of MO and PA against A549 cells was recorded as 625 μg mL−1 and 514 μg mL−1, respectively. In Artemia nauplii cytotoxicity assay, the LC50 value of MO and PA were recorded as 53.33 μg mL−1 and 50 μg mL−1 respectively. The 96 h lethal concentrations obtained for Lobeo rohita treated with different concentrations of Methyl oleate and Palmitic acid. The LC50 for MO and PA was 50 mg L−1 and 100 mg L−1, respectively. Conclusion: Therefore the study concluded that the promising effects of MO and PA can be used as an alternative biological agent which could be positively explored to treat ESBL producing MDR pathogens.","author":[{"dropping-particle":"","family":"Padmini","given":"Nagarajan","non-dropping-particle":"","parse-names":false,"suffix":""},{"dropping-particle":"","family":"Rashiya","given":"Nagasundaram","non-dropping-particle":"","parse-names":false,"suffix":""},{"dropping-particle":"","family":"Sivakumar","given":"Natesan","non-dropping-particle":"","parse-names":false,"suffix":""},{"dropping-particle":"","family":"Kannan","given":"Narayanan Dhiraviam","non-dropping-particle":"","parse-names":false,"suffix":""},{"dropping-particle":"","family":"Manjuladevi","given":"Ramamoorthy","non-dropping-particle":"","parse-names":false,"suffix":""},{"dropping-particle":"","family":"Rajasekar","given":"Periyannan","non-dropping-particle":"","parse-names":false,"suffix":""},{"dropping-particle":"","family":"Prabhu","given":"Narayananasamy Marimuthu","non-dropping-particle":"","parse-names":false,"suffix":""},{"dropping-particle":"","family":"Selvakumar","given":"Gopal","non-dropping-particle":"","parse-names":false,"suffix":""}],"container-title":"Microbial Pathogenesis","id":"ITEM-1","issued":{"date-parts":[["2020","11","1"]]},"publisher":"Academic Press","title":"In vitro and in vivo efficacy of methyl oleate and palmitic acid against ESBL producing MDR Escherichia coli and Klebsiella pneumoniae","type":"article-journal","volume":"148"},"uris":["http://www.mendeley.com/documents/?uuid=9d51fae5-ea75-3109-8090-7fdbe9e39d03"]}],"mendeley":{"formattedCitation":"(Padmini et al., 2020)","plainTextFormattedCitation":"(Padmini et al., 2020)","previouslyFormattedCitation":"(Padmini et al., 2020)"},"properties":{"noteIndex":0},"schema":"https://github.com/citation-style-language/schema/raw/master/csl-citation.json"}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(Padmini et al., 2020)</w:t>
            </w:r>
            <w:r w:rsidRPr="0049220A">
              <w:rPr>
                <w:rFonts w:ascii="Times New Roman" w:hAnsi="Times New Roman" w:cs="Times New Roman"/>
                <w:sz w:val="24"/>
                <w:szCs w:val="24"/>
              </w:rPr>
              <w:fldChar w:fldCharType="end"/>
            </w:r>
          </w:p>
        </w:tc>
      </w:tr>
      <w:tr w:rsidR="0049220A" w:rsidRPr="0049220A" w14:paraId="5A1AFBB7" w14:textId="77777777" w:rsidTr="000D0B90">
        <w:trPr>
          <w:trHeight w:val="629"/>
        </w:trPr>
        <w:tc>
          <w:tcPr>
            <w:tcW w:w="2922" w:type="dxa"/>
          </w:tcPr>
          <w:p w14:paraId="6C791C6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lastRenderedPageBreak/>
              <w:t>9,12-Octadecadienoyl chloride, (Z,Z)</w:t>
            </w:r>
          </w:p>
        </w:tc>
        <w:tc>
          <w:tcPr>
            <w:tcW w:w="1920" w:type="dxa"/>
          </w:tcPr>
          <w:p w14:paraId="7D43D02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acyl chloride</w:t>
            </w:r>
          </w:p>
        </w:tc>
        <w:tc>
          <w:tcPr>
            <w:tcW w:w="2713" w:type="dxa"/>
          </w:tcPr>
          <w:p w14:paraId="2D94F9C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Reactive intermediate; antimicrobial</w:t>
            </w:r>
          </w:p>
        </w:tc>
        <w:tc>
          <w:tcPr>
            <w:tcW w:w="1620" w:type="dxa"/>
          </w:tcPr>
          <w:p w14:paraId="473F152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{"citationItems":[{"id":"ITEM-1","itemData":{"DOI":"10.3390/MOLECULES28083350","ISSN":"1420-3049","PMID":"37110582","abstract":"The oxidation of food emulsions causes rancidity, which reduces their shelf life. To prevent rancidity, synthetic antioxidants are widely used in the food industry. However, due to their potential health risks, researchers are exploring natural alternatives. This study aimed to investigate whether Rosa canina fruit extract (RCFE) could be used as a natural antioxidant to extend the shelf life of mayonnaise. Mayonnaise containing varying concentrations of RCFE [0.125% (T1), 0.25% (T2), 0.50% (T3), 0.75% (T4)] was compared to a mayonnaise control sample (C1) and a mayonnaise sample containing 0.02% BHT (C2) for 60 days of storage at 4 °C. RCFE was found to have high levels of total phenols content (52.06 ± 1.14 mg GAE g−1), total flavonoids content (26.31 ± 1.03 mg QE g−1), and free radical scavenging activity. The GC–MS analysis of RCFE revealed 39 different peaks, whereas the HPLC analysis showed the presence of 13 polyphenolic compounds in RCFE. The pH values of T2, T3, and T4 mayonnaise samples substantially declined as storage progressed; however, the reduction was less than that of C1 and C2. After 60 days, mayonnaise samples T2, T3, and T4 had greatly reduced peroxide and free fatty acid levels compared to C1 and C2. The mayonnaise enriched with RCFE (T3 and T4) had the most potent antioxidative ability and the lowest value of lipid hydroperoxides (peroxide value, POV) and the lowest value of thiobarbituric-acid-reactive substances (TBARS). The sensory evaluation revealed that the T3 sample exhibited the highest overall acceptability. In conclusion, this study recommends that RCFE could be used as a natural preservative to enhance the shelf life of functional foods.","author":[{"dropping-particle":"","family":"Soltan","given":"Osama I.A.","non-dropping-particle":"","parse-names":false,"suffix":""},{"dropping-particle":"","family":"Gazwi","given":"Hanaa S.S.","non-dropping-particle":"","parse-names":false,"suffix":""},{"dropping-particle":"","family":"Ragab","given":"Amany E.","non-dropping-particle":"","parse-names":false,"suffix":""},{"dropping-particle":"","family":"Aljohani","given":"Abdullah S.M.","non-dropping-particle":"","parse-names":false,"suffix":""},{"dropping-particle":"","family":"El-Ashmawy","given":"Ibrahim M.","non-dropping-particle":"","parse-names":false,"suffix":""},{"dropping-particle":"","family":"Batiha","given":"Gaber El Saber","non-dropping-particle":"","parse-names":false,"suffix":""},{"dropping-particle":"","family":"Hafiz","given":"Amin A.","non-dropping-particle":"","parse-names":false,"suffix":""},{"dropping-particle":"","family":"Abdel-Hameed","given":"Sanaa M.","non-dropping-particle":"","parse-names":false,"suffix":""}],"container-title":"Molecules","id":"ITEM-1","issue":"8","issued":{"date-parts":[["2023","4","10"]]},"page":"3350","publisher":"Multidisciplinary Digital Publishing Institute","title":"Assessment of Bioactive Phytochemicals and Utilization of Rosa canina Fruit Extract as a Novel Natural Antioxidant for Mayonnaise","type":"article-journal","volume":"28"},"uris":["http://www.mendeley.com/documents/?uuid=a08785f0-6446-3d15-84e8-f73e24dfc5df"]}],"mendeley":{"formattedCitation":"(Soltan et al., 2023)","plainTextFormattedCitation":"(Soltan et al., 2023)","previouslyFormattedCitation":"(Soltan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(Soltan et al., 2023)</w:t>
            </w:r>
            <w:r w:rsidRPr="0049220A">
              <w:rPr>
                <w:rFonts w:ascii="Times New Roman" w:hAnsi="Times New Roman" w:cs="Times New Roman"/>
                <w:sz w:val="24"/>
                <w:szCs w:val="24"/>
              </w:rPr>
              <w:fldChar w:fldCharType="end"/>
            </w:r>
          </w:p>
        </w:tc>
      </w:tr>
      <w:tr w:rsidR="0049220A" w:rsidRPr="0049220A" w14:paraId="4D9ACC01" w14:textId="77777777" w:rsidTr="000D0B90">
        <w:trPr>
          <w:trHeight w:val="737"/>
        </w:trPr>
        <w:tc>
          <w:tcPr>
            <w:tcW w:w="2922" w:type="dxa"/>
          </w:tcPr>
          <w:p w14:paraId="58377C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Undec-10-ynoic acid, dodecyl ester</w:t>
            </w:r>
          </w:p>
        </w:tc>
        <w:tc>
          <w:tcPr>
            <w:tcW w:w="1920" w:type="dxa"/>
          </w:tcPr>
          <w:p w14:paraId="639F50D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Alkyne fatty ester</w:t>
            </w:r>
          </w:p>
        </w:tc>
        <w:tc>
          <w:tcPr>
            <w:tcW w:w="2713" w:type="dxa"/>
          </w:tcPr>
          <w:p w14:paraId="71EC6E6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Antifungal, antimicrobial</w:t>
            </w:r>
          </w:p>
        </w:tc>
        <w:tc>
          <w:tcPr>
            <w:tcW w:w="1620" w:type="dxa"/>
          </w:tcPr>
          <w:p w14:paraId="1654C87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{"citationItems":[{"id":"ITEM-1","itemData":{"author":[{"dropping-particle":"","family":"Adebayo-Tayo","given":"Bukola Christianah","non-dropping-particle":"","parse-names":false,"suffix":""},{"dropping-particle":"","family":"Briggs-Kamara","given":"Adela Irene","non-dropping-particle":"","parse-names":false,"suffix":""},{"dropping-particle":"","family":"Salaam","given":"Adebayo Moshood","non-dropping-particle":"","parse-names":false,"suffix":""}],"container-title":"ACTA MICROBIOLOGICA BULGARICA","id":"ITEM-1","issue":"1","issued":{"date-parts":[["2021"]]},"title":"Phytochemical Composition, Antioxidant, Antimicrobial Potential and GC-MS Analysis of Crude and Partitioned Fractions of Nigella sativa Seed Extract","type":"article-journal","volume":"37"},"uris":["http://www.mendeley.com/documents/?uuid=ea779a54-91ee-3e78-995f-f9689d610d4a"]}],"mendeley":{"formattedCitation":"(Adebayo-Tayo et al., 2021)","plainTextFormattedCitation":"(Adebayo-Tayo et al., 2021)","previouslyFormattedCitation":"(Adebayo-Tayo et al., 2021)"},"properties":{"noteIndex":0},"schema":"https://github.com/citation-style-language/schema/raw/master/csl-citation.json"}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(Adebayo-Tayo et al., 2021)</w:t>
            </w:r>
            <w:r w:rsidRPr="0049220A">
              <w:rPr>
                <w:rFonts w:ascii="Times New Roman" w:hAnsi="Times New Roman" w:cs="Times New Roman"/>
                <w:sz w:val="24"/>
                <w:szCs w:val="24"/>
              </w:rPr>
              <w:fldChar w:fldCharType="end"/>
            </w:r>
          </w:p>
        </w:tc>
      </w:tr>
      <w:tr w:rsidR="0049220A" w:rsidRPr="0049220A" w14:paraId="24F3B651" w14:textId="77777777" w:rsidTr="000D0B90">
        <w:tc>
          <w:tcPr>
            <w:tcW w:w="2922" w:type="dxa"/>
          </w:tcPr>
          <w:p w14:paraId="46910F3D"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Tetradecanoic</w:t>
            </w:r>
            <w:proofErr w:type="spellEnd"/>
            <w:r w:rsidRPr="0049220A">
              <w:rPr>
                <w:rFonts w:ascii="Times New Roman" w:hAnsi="Times New Roman" w:cs="Times New Roman"/>
                <w:sz w:val="24"/>
                <w:szCs w:val="24"/>
              </w:rPr>
              <w:t xml:space="preserve"> acid, 12-methyl-, methyl ester</w:t>
            </w:r>
          </w:p>
        </w:tc>
        <w:tc>
          <w:tcPr>
            <w:tcW w:w="1920" w:type="dxa"/>
          </w:tcPr>
          <w:p w14:paraId="46027EF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Branched-chain fatty ester</w:t>
            </w:r>
          </w:p>
        </w:tc>
        <w:tc>
          <w:tcPr>
            <w:tcW w:w="2713" w:type="dxa"/>
          </w:tcPr>
          <w:p w14:paraId="68CC869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0955358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{"citationItems":[{"id":"ITEM-1","itemData":{"DOI":"10.1007/S13205-023-03888-2/METRICS","ISSN":"21905738","abstract":"Bioactive compounds in plants are essential for the formation of novel chemotherapeutic drugs, which have been used in Ayurveda to treat a variety of illnesses. Indian medicinal herbs have been used for thousands of years to treat a variety of illnesses, such as fever, cancer, snake bites, rheumatism, skin problems, and neurodegenerative diseases. GC–MS was used to locate and categorize bioactive components in Olea dioica leaves. The results showed that presence of octanoic acid, methyl ester, decanoic acid, methyl ester, desulphosinigrin, l-gala-l-ido-octose, methyl tetradecanoate, Tetradecanoic acid, 6-benzoxazolesulfonamide, N-(2-hydroxyethyl)-2-methyl-, 10-chloro-5-methoxy-5H-dibenzo[a,d][7]annulene, pentadecanoic acid, oleic acid, n-hexadecanoic acid, hexanedioic acid, dioctyl ester, and squalene. The methanol extract of Olea dioica was effective against a wide spectrum of pathogenic bacteria at four different concentrations, with the highest activity against Escherichia coli, Klebsiella pneumoniae, Staphylococcus aureus, Xanthomonas campestris, and Salmonella typhimurium. It also showed moderate activity against Agrobacterium tumefaciens, Pseudomonas aeruginosa, Streptomyces pneumonia, and Pseudomonas syringae. The pharmacological properties of O. dioica, as well as their variety and comprehensive phytochemistry, could be exploited as a potent antimicrobial agent for future therapeutics.","author":[{"dropping-particle":"","family":"Krishnappa","given":"Srinivasa","non-dropping-particle":"","parse-names":false,"suffix":""},{"dropping-particle":"","family":"Karthik","given":"Yalpi","non-dropping-particle":"","parse-names":false,"suffix":""},{"dropping-particle":"","family":"Pratap","given":"G. K.","non-dropping-particle":"","parse-names":false,"suffix":""},{"dropping-particle":"","family":"Shantaram","given":"Manjula","non-dropping-particle":"","parse-names":false,"suffix":""},{"dropping-particle":"","family":"Umarajashekhar","given":"Alavala","non-dropping-particle":"","parse-names":false,"suffix":""},{"dropping-particle":"","family":"Soumya","given":"J.","non-dropping-particle":"","parse-names":false,"suffix":""},{"dropping-particle":"","family":"Bhatt","given":"Bhagyashree","non-dropping-particle":"","parse-names":false,"suffix":""},{"dropping-particle":"","family":"Sayed","given":"Samy M.","non-dropping-particle":"","parse-names":false,"suffix":""},{"dropping-particle":"","family":"Alhelaify","given":"Seham Sater","non-dropping-particle":"","parse-names":false,"suffix":""},{"dropping-particle":"","family":"Aharthy","given":"Ohud Muslat","non-dropping-particle":"","parse-names":false,"suffix":""},{"dropping-particle":"","family":"Mushtaq","given":"Muntazir","non-dropping-particle":"","parse-names":false,"suffix":""}],"container-title":"Biotech","id":"ITEM-1","issue":"3","issued":{"date-parts":[["2024","3","1"]]},"page":"1-14","publisher":"Springer Science and Business Media Deutschland GmbH","title":"Exploration of bioactive compounds from Olea dioica in Western Ghats of Karnataka using GC–MS","type":"article-journal","volume":"14"},"uris":["http://www.mendeley.com/documents/?uuid=586d1da9-0f67-3dbc-9aed-2397c7268dd4"]}],"mendeley":{"formattedCitation":"(Krishnappa et al., 2024)","plainTextFormattedCitation":"(Krishnappa et al., 2024)","previouslyFormattedCitation":"(Krishnappa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(Krishnappa et al., 2024)</w:t>
            </w:r>
            <w:r w:rsidRPr="0049220A">
              <w:rPr>
                <w:rFonts w:ascii="Times New Roman" w:hAnsi="Times New Roman" w:cs="Times New Roman"/>
                <w:sz w:val="24"/>
                <w:szCs w:val="24"/>
              </w:rPr>
              <w:fldChar w:fldCharType="end"/>
            </w:r>
          </w:p>
        </w:tc>
      </w:tr>
      <w:tr w:rsidR="0049220A" w:rsidRPr="0049220A" w14:paraId="016ACBD3" w14:textId="77777777" w:rsidTr="000D0B90">
        <w:trPr>
          <w:trHeight w:val="665"/>
        </w:trPr>
        <w:tc>
          <w:tcPr>
            <w:tcW w:w="2922" w:type="dxa"/>
          </w:tcPr>
          <w:p w14:paraId="34A60A5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9-Hexadecenoic acid</w:t>
            </w:r>
          </w:p>
        </w:tc>
        <w:tc>
          <w:tcPr>
            <w:tcW w:w="1920" w:type="dxa"/>
          </w:tcPr>
          <w:p w14:paraId="60E72E9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Monounsaturated fatty acid</w:t>
            </w:r>
          </w:p>
        </w:tc>
        <w:tc>
          <w:tcPr>
            <w:tcW w:w="2713" w:type="dxa"/>
          </w:tcPr>
          <w:p w14:paraId="1FF3AD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Antibacterial, lipid metabolism regulator</w:t>
            </w:r>
          </w:p>
        </w:tc>
        <w:tc>
          <w:tcPr>
            <w:tcW w:w="1620" w:type="dxa"/>
          </w:tcPr>
          <w:p w14:paraId="6266161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{"citationItems":[{"id":"ITEM-1","itemData":{"DOI":"10.3390/IJMS19041114,","ISSN":"14220067","PMID":"29642500","abstract":"Antimicrobial lipids such as fatty acids and monoglycerides are promising antibacterial agents that destabilize bacterial cell membranes, causing a wide range of direct and indirect inhibitory effects. The goal of this review is to introduce the latest experimental approaches for characterizing how antimicrobial lipids destabilize phospholipidmembraneswithin the broader scope of introducing current knowledge about the biological activities of antimicrobial lipids, testing strategies, and applications for treating bacterial infections. To this end, a general background on antimicrobial lipids, including structural classification, is provided along with a detailed description of their targeting spectrum and currently understood antibacterial mechanisms. Building on this knowledge, different experimental approaches to characterize antimicrobial lipids are presented, including cell-based biological and model membrane-based biophysical measurement techniques. Particular emphasis is placed on drawing out how biological and biophysical approaches complement one another and can yield mechanistic insights into how the physicochemical properties of antimicrobial lipids influence molecular self-assembly and concentration-dependent interactions with model phospholipid and bacterial cell membranes. Examples of possible therapeutic applications are briefly introduced to highlight the potential significance of antimicrobial lipids for human health and medicine, and to motivate the importance of employing orthogonal measurement strategies to characterize the activity profile of antimicrobial lipids.","author":[{"dropping-particle":"","family":"Yoon","given":"Bo Kyeong","non-dropping-particle":"","parse-names":false,"suffix":""},{"dropping-particle":"","family":"Jackman","given":"Joshua A.","non-dropping-particle":"","parse-names":false,"suffix":""},{"dropping-particle":"","family":"Valle-González","given":"Elba R.","non-dropping-particle":"","parse-names":false,"suffix":""},{"dropping-particle":"","family":"Cho","given":"Nam Joon","non-dropping-particle":"","parse-names":false,"suffix":""}],"container-title":"International Journal of Molecular Sciences","id":"ITEM-1","issue":"4","issued":{"date-parts":[["2018","4","8"]]},"publisher":"MDPI AG","title":"Antibacterial free fatty acids and monoglycerides: Biological activities, experimental testing, and therapeutic applications","type":"article-journal","volume":"19"},"uris":["http://www.mendeley.com/documents/?uuid=6e50da23-85df-38e2-a783-4f98cb127187"]}],"mendeley":{"formattedCitation":"(Yoon et al., 2018)","plainTextFormattedCitation":"(Yoon et al., 2018)","previouslyFormattedCitation":"(Yoon et al., 2018)"},"properties":{"noteIndex":0},"schema":"https://github.com/citation-style-language/schema/raw/master/csl-citation.json"}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(Yoon et al., 2018)</w:t>
            </w:r>
            <w:r w:rsidRPr="0049220A">
              <w:rPr>
                <w:rFonts w:ascii="Times New Roman" w:hAnsi="Times New Roman" w:cs="Times New Roman"/>
                <w:sz w:val="24"/>
                <w:szCs w:val="24"/>
              </w:rPr>
              <w:fldChar w:fldCharType="end"/>
            </w:r>
          </w:p>
        </w:tc>
      </w:tr>
      <w:tr w:rsidR="0049220A" w:rsidRPr="0049220A" w14:paraId="62F07E5C" w14:textId="77777777" w:rsidTr="000D0B90">
        <w:tc>
          <w:tcPr>
            <w:tcW w:w="2922" w:type="dxa"/>
          </w:tcPr>
          <w:p w14:paraId="791A1219"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Panaxjapyne</w:t>
            </w:r>
            <w:proofErr w:type="spellEnd"/>
            <w:r w:rsidRPr="0049220A">
              <w:rPr>
                <w:rFonts w:ascii="Times New Roman" w:hAnsi="Times New Roman" w:cs="Times New Roman"/>
                <w:sz w:val="24"/>
                <w:szCs w:val="24"/>
              </w:rPr>
              <w:t xml:space="preserve"> A</w:t>
            </w:r>
          </w:p>
        </w:tc>
        <w:tc>
          <w:tcPr>
            <w:tcW w:w="1920" w:type="dxa"/>
          </w:tcPr>
          <w:p w14:paraId="78354E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Polyacetylene derivative</w:t>
            </w:r>
          </w:p>
        </w:tc>
        <w:tc>
          <w:tcPr>
            <w:tcW w:w="2713" w:type="dxa"/>
          </w:tcPr>
          <w:p w14:paraId="3023C8F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Anticancer, antifungal</w:t>
            </w:r>
          </w:p>
        </w:tc>
        <w:tc>
          <w:tcPr>
            <w:tcW w:w="1620" w:type="dxa"/>
          </w:tcPr>
          <w:p w14:paraId="67E1F7E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{"citationItems":[{"id":"ITEM-1","itemData":{"DOI":"10.3390/MOLECULES27207027/S1","ISSN":"14203049","PMID":"36296616","abstract":"Although C17 polyacetylenes from Panax ginseng exhibit cytotoxic properties against various tumor cells, there have been few experiments on epithelial ovarian carcinoma cells. This study aimed to investigate the cytotoxic effects of C17 polyacetylenes from P. ginseng against ovarian cancer cell lines. Four unreported (1–4) and fifteen known (5–19) C17 polyacetylenes were obtained from the roots of P. ginseng using repeated chromatography (open column, MPLC, and preparative HPLC). The chemical structures of all the compounds were determined by analyzing their spectroscopic data (NMR, IR, and optical rotation) and HR-MS. The structures of new polyacetylenes were elucidated as (3S,8S,9R,10R)-(-)-heptadeca-9,10-epoxy-4,6-diyne-3,8-diyl diacetate (1), (3S,8S,9R,10R)-(−)-heptadeca-1-en-9,10-epoxy-4,6-diyne-3,8-diyl diacetate (2), (−)-haptadeca-9,10-epoxy-8-methoxy-4,6-diyne-3,11-diol (3), and (3R,9R,10R)-(+)-3-acetoxy-9,10-dihydroxyheptadeca-1-en-4,6-diyne (4), named ginsenoynes O, P, and Q, and 3-acetyl panaxytriol, respectively. Subsequently, in vitro experiments on A2780 and SKOV3 human epithelial ovarian carcinoma cells were performed to assess the cytotoxic properties of the isolates. Among the isolates, panaquinquecol 4 (15) exhibited the most remarkable cytotoxic effects on both human ovarian cancer cells A2780 (IC50 value of 7.60 μM) and SKOV3 (IC50 value of 27.53 μM). Therefore, C17 polyacetylenes derived from P. ginseng may warrant further investigation for their therapeutic potential in epithelial ovarian cancer.","author":[{"dropping-particle":"","family":"Kim","given":"Ranhee","non-dropping-particle":"","parse-names":false,"suffix":""},{"dropping-particle":"","family":"Son","given":"So Ri","non-dropping-particle":"","parse-names":false,"suffix":""},{"dropping-particle":"","family":"Lee","given":"Na Kyung","non-dropping-particle":"","parse-names":false,"suffix":""},{"dropping-particle":"","family":"Kim","given":"Ji Young","non-dropping-particle":"","parse-names":false,"suffix":""},{"dropping-particle":"","family":"An","given":"Gami","non-dropping-particle":"","parse-names":false,"suffix":""},{"dropping-particle":"","family":"Choi","given":"Jung Hye","non-dropping-particle":"","parse-names":false,"suffix":""},{"dropping-particle":"","family":"Jang","given":"Dae Sik","non-dropping-particle":"","parse-names":false,"suffix":""}],"container-title":"Molecules","id":"ITEM-1","issue":"20","issued":{"date-parts":[["2022","10","1"]]},"page":"7027","publisher":"MDPI","title":"Cytotoxic Properties of C17 Polyacetylenes from the Fresh Roots of Panax ginseng on Human Epithelial Ovarian Cancer Cells","type":"article-journal","volume":"27"},"uris":["http://www.mendeley.com/documents/?uuid=338e59c8-7cee-36fa-884d-70271effaa0f"]}],"mendeley":{"formattedCitation":"(Kim et al., 2022)","plainTextFormattedCitation":"(Kim et al., 2022)","previouslyFormattedCitation":"(Kim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(Kim et al., 2022)</w:t>
            </w:r>
            <w:r w:rsidRPr="0049220A">
              <w:rPr>
                <w:rFonts w:ascii="Times New Roman" w:hAnsi="Times New Roman" w:cs="Times New Roman"/>
                <w:sz w:val="24"/>
                <w:szCs w:val="24"/>
              </w:rPr>
              <w:fldChar w:fldCharType="end"/>
            </w:r>
          </w:p>
        </w:tc>
      </w:tr>
      <w:tr w:rsidR="0049220A" w:rsidRPr="0049220A" w14:paraId="77EB1F34" w14:textId="77777777" w:rsidTr="000D0B90">
        <w:tc>
          <w:tcPr>
            <w:tcW w:w="2922" w:type="dxa"/>
          </w:tcPr>
          <w:p w14:paraId="3F2C6BA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2,5-Octadecadiynoic acid, methyl ester</w:t>
            </w:r>
          </w:p>
        </w:tc>
        <w:tc>
          <w:tcPr>
            <w:tcW w:w="1920" w:type="dxa"/>
          </w:tcPr>
          <w:p w14:paraId="262AFCE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Polyacetylene fatty ester</w:t>
            </w:r>
          </w:p>
        </w:tc>
        <w:tc>
          <w:tcPr>
            <w:tcW w:w="2713" w:type="dxa"/>
          </w:tcPr>
          <w:p w14:paraId="5A33E5F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140AA86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products","type":"article-journal","volume":"29"},"uris":["http://www.mendeley.com/documents/?uuid=21681af5-1832-3442-b69e-51002f2ec36c"]}],"mendeley":{"formattedCitation":"(Blunt et al., 2012)","plainTextFormattedCitation":"(Blunt et al., 2012)","previouslyFormattedCitation":"(Blunt et al., 2012)"},"properties":{"noteIndex":0},"schema":"https://github.com/citation-style-language/schema/raw/master/csl-citation.json"}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(Blunt et al., 2012)</w:t>
            </w:r>
            <w:r w:rsidRPr="0049220A">
              <w:rPr>
                <w:rFonts w:ascii="Times New Roman" w:hAnsi="Times New Roman" w:cs="Times New Roman"/>
                <w:sz w:val="24"/>
                <w:szCs w:val="24"/>
              </w:rPr>
              <w:fldChar w:fldCharType="end"/>
            </w:r>
          </w:p>
        </w:tc>
      </w:tr>
      <w:tr w:rsidR="0049220A" w:rsidRPr="0049220A" w14:paraId="4A80B215" w14:textId="77777777" w:rsidTr="000D0B90">
        <w:trPr>
          <w:trHeight w:val="683"/>
        </w:trPr>
        <w:tc>
          <w:tcPr>
            <w:tcW w:w="2922" w:type="dxa"/>
          </w:tcPr>
          <w:p w14:paraId="1218F90B"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Corymbolone</w:t>
            </w:r>
            <w:proofErr w:type="spellEnd"/>
          </w:p>
        </w:tc>
        <w:tc>
          <w:tcPr>
            <w:tcW w:w="1920" w:type="dxa"/>
          </w:tcPr>
          <w:p w14:paraId="6316C4E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Sesquiterpene</w:t>
            </w:r>
          </w:p>
        </w:tc>
        <w:tc>
          <w:tcPr>
            <w:tcW w:w="2713" w:type="dxa"/>
          </w:tcPr>
          <w:p w14:paraId="7B8BDA2E"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Antiplasmodial</w:t>
            </w:r>
            <w:proofErr w:type="spellEnd"/>
            <w:r w:rsidRPr="0049220A">
              <w:rPr>
                <w:rFonts w:ascii="Times New Roman" w:hAnsi="Times New Roman" w:cs="Times New Roman"/>
                <w:sz w:val="24"/>
                <w:szCs w:val="24"/>
              </w:rPr>
              <w:t>, cytotoxic</w:t>
            </w:r>
          </w:p>
        </w:tc>
        <w:tc>
          <w:tcPr>
            <w:tcW w:w="1620" w:type="dxa"/>
          </w:tcPr>
          <w:p w14:paraId="3F3E0CE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{"citationItems":[{"id":"ITEM-1","itemData":{"DOI":"10.3390/PATHOGENS9110889","ISSN":"20760817","PMID":"33120980","abstract":"Cyperus articulatus L. is popularly known as priprioca. Its rhizomes are used as a medicine in the treatment of malaria in traditional medicine. Since priprioca oil is extracted for commercial purpose, we evaluated if the components from the priprioca residue can be a source of antiplasmodial active molecules. This study aimed to determine the in vitro antiplasmodial and cytotoxicity activities of the ethanolic extract of C. articulatus as an in vitro antiplasmodial agent. From the solid residue of the plant rhizomes, 40 g samples were removed and subjected to hot extraction using a Soxhlet extractor. The in vitro antiplasmodial activity was determined using the W2 and 3D7 strains of P. falciparum. The phytochemical study identified the following main compounds: Corymbolone (14.25%), cyclocolorenone (9.75%), and cadalene (8.36%). The extract exhibited moderate IC50 (inhibitory concentration) against the two strains of P. falciparum: 1.21 ± 0.01 against the W2 strain and 1.10 ± 0.06 μg/mL against the 3D7 strain. Our results show the therapeutic potential of priprioca residue as a low-cost antiplasmodial agent.","author":[{"dropping-particle":"","family":"Assis","given":"Francisco Flávio Vieira","non-dropping-particle":"De","parse-names":false,"suffix":""},{"dropping-particle":"","family":"Silva","given":"Nazaré Carneiro","non-dropping-particle":"Da","parse-names":false,"suffix":""},{"dropping-particle":"","family":"Moraes","given":"Waldiney Pires","non-dropping-particle":"","parse-names":false,"suffix":""},{"dropping-particle":"","family":"Barata","given":"Lauro Euclides Soares","non-dropping-particle":"","parse-names":false,"suffix":""},{"dropping-particle":"","family":"Minervino","given":"Antonio Humberto Hamad","non-dropping-particle":"","parse-names":false,"suffix":""}],"container-title":"Pathogens","id":"ITEM-1","issue":"11","issued":{"date-parts":[["2020","11","1"]]},"page":"889","publisher":"MDPI AG","title":"Chemical Composition and In Vitro Antiplasmodial Activity of the Ethanolic Extract of Cyperus articulatus var. nodosus Residue","type":"article-journal","volume":"9"},"uris":["http://www.mendeley.com/documents/?uuid=c8064a74-4e40-38b6-9a56-b9396237d572"]}],"mendeley":{"formattedCitation":"(De Assis et al., 2020)","plainTextFormattedCitation":"(De Assis et al., 2020)","previouslyFormattedCitation":"(De Assis et al., 2020)"},"properties":{"noteIndex":0},"schema":"https://github.com/citation-style-language/schema/raw/master/csl-citation.json"}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(De Assis et al., 2020)</w:t>
            </w:r>
            <w:r w:rsidRPr="0049220A">
              <w:rPr>
                <w:rFonts w:ascii="Times New Roman" w:hAnsi="Times New Roman" w:cs="Times New Roman"/>
                <w:sz w:val="24"/>
                <w:szCs w:val="24"/>
              </w:rPr>
              <w:fldChar w:fldCharType="end"/>
            </w:r>
          </w:p>
        </w:tc>
      </w:tr>
      <w:tr w:rsidR="0049220A" w:rsidRPr="0049220A" w14:paraId="069D134F" w14:textId="77777777" w:rsidTr="000D0B90">
        <w:trPr>
          <w:trHeight w:val="980"/>
        </w:trPr>
        <w:tc>
          <w:tcPr>
            <w:tcW w:w="2922" w:type="dxa"/>
          </w:tcPr>
          <w:p w14:paraId="463CBF1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1-Heptatriacotanol</w:t>
            </w:r>
          </w:p>
        </w:tc>
        <w:tc>
          <w:tcPr>
            <w:tcW w:w="1920" w:type="dxa"/>
          </w:tcPr>
          <w:p w14:paraId="237CECE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Long-chain alcohol (C37)</w:t>
            </w:r>
          </w:p>
        </w:tc>
        <w:tc>
          <w:tcPr>
            <w:tcW w:w="2713" w:type="dxa"/>
          </w:tcPr>
          <w:p w14:paraId="0A98BE7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Anticancer, anti-inflammatory, Antioxidant</w:t>
            </w:r>
          </w:p>
        </w:tc>
        <w:tc>
          <w:tcPr>
            <w:tcW w:w="1620" w:type="dxa"/>
          </w:tcPr>
          <w:p w14:paraId="20D0D58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M.","non-dropping-particle":"","parse-names":false,"suffix":""}],"container-title":"Molecules","id":"ITEM-1","issue":"9","issued":{"date-parts":[["2023","5","7"]]},"page":"3939","publisher":"Multidisciplinary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Fabaceae","type":"article-journal","volume":"28"},"uris":["http://www.mendeley.com/documents/?uuid=a8d923f8-5671-346d-9a43-6d33de945aeb"]}],"mendeley":{"formattedCitation":"(Youssef et al., 2023)","plainTextFormattedCitation":"(Youssef et al., 2023)","previouslyFormattedCitation":"(Youssef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(Youssef et al., 2023)</w:t>
            </w:r>
            <w:r w:rsidRPr="0049220A">
              <w:rPr>
                <w:rFonts w:ascii="Times New Roman" w:hAnsi="Times New Roman" w:cs="Times New Roman"/>
                <w:sz w:val="24"/>
                <w:szCs w:val="24"/>
              </w:rPr>
              <w:fldChar w:fldCharType="end"/>
            </w:r>
          </w:p>
        </w:tc>
      </w:tr>
      <w:tr w:rsidR="0049220A" w:rsidRPr="0049220A" w14:paraId="13A90989" w14:textId="77777777" w:rsidTr="000D0B90">
        <w:trPr>
          <w:trHeight w:val="629"/>
        </w:trPr>
        <w:tc>
          <w:tcPr>
            <w:tcW w:w="2922" w:type="dxa"/>
          </w:tcPr>
          <w:p w14:paraId="52FA810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920" w:type="dxa"/>
          </w:tcPr>
          <w:p w14:paraId="6F36019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Steroidal vitamin D metabolite</w:t>
            </w:r>
          </w:p>
        </w:tc>
        <w:tc>
          <w:tcPr>
            <w:tcW w:w="2713" w:type="dxa"/>
          </w:tcPr>
          <w:p w14:paraId="05E8530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Regulates calcium metabolism, anticancer</w:t>
            </w:r>
          </w:p>
        </w:tc>
        <w:tc>
          <w:tcPr>
            <w:tcW w:w="1620" w:type="dxa"/>
          </w:tcPr>
          <w:p w14:paraId="3CC6048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deficiency","type":"article-journal","volume":"357"},"uris":["http://www.mendeley.com/documents/?uuid=e9c3f049-912a-34bf-8ab8-f47d2da44587"]}],"mendeley":{"formattedCitation":"(Holick, 2007)","plainTextFormattedCitation":"(Holick, 2007)","previouslyFormattedCitation":"(Holick, 2007)"},"properties":{"noteIndex":0},"schema":"https://github.com/citation-style-language/schema/raw/master/csl-citation.json"}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(Holick, 2007)</w:t>
            </w:r>
            <w:r w:rsidRPr="0049220A">
              <w:rPr>
                <w:rFonts w:ascii="Times New Roman" w:hAnsi="Times New Roman" w:cs="Times New Roman"/>
                <w:sz w:val="24"/>
                <w:szCs w:val="24"/>
              </w:rPr>
              <w:fldChar w:fldCharType="end"/>
            </w:r>
          </w:p>
        </w:tc>
      </w:tr>
      <w:tr w:rsidR="0049220A" w:rsidRPr="0049220A" w14:paraId="56636497" w14:textId="77777777" w:rsidTr="000D0B90">
        <w:trPr>
          <w:trHeight w:val="701"/>
        </w:trPr>
        <w:tc>
          <w:tcPr>
            <w:tcW w:w="2922" w:type="dxa"/>
          </w:tcPr>
          <w:p w14:paraId="56DF99B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E-8-Methyl-9-tetradecen-1-ol acetate</w:t>
            </w:r>
          </w:p>
        </w:tc>
        <w:tc>
          <w:tcPr>
            <w:tcW w:w="1920" w:type="dxa"/>
          </w:tcPr>
          <w:p w14:paraId="5B19169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acetate</w:t>
            </w:r>
          </w:p>
        </w:tc>
        <w:tc>
          <w:tcPr>
            <w:tcW w:w="2713" w:type="dxa"/>
          </w:tcPr>
          <w:p w14:paraId="6C84642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Insect pheromone activity</w:t>
            </w:r>
          </w:p>
        </w:tc>
        <w:tc>
          <w:tcPr>
            <w:tcW w:w="1620" w:type="dxa"/>
          </w:tcPr>
          <w:p w14:paraId="2E0379C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{"citationItems":[{"id":"ITEM-1","itemData":{"DOI":"10.1007/B95449","ISSN":"0340-1022","PMID":"22160231","abstract":"As a consequence of the diversity of Lepidoptera, including 150,000 described species, interesting species-specific sex pheromone systems are exhibited in this insect group. The quite varied pheromones, which have been identified from female moths of nearly 530 species from around the world, are classified into groups of Type I (75%),Type II (15%), and miscellaneous (10%), according to their chemical structures.Additionally,many pheromones produced by male moths and butterflies have been known.While new sex pheromones from about 70 lepidopteran species have been reported in the last five years utilizing GC-EAD, GC-MS,LC,and NMR,our information about the pheromones is still rudimentary, and these kinds of semiochemicals remain an exciting research target for natural product chemistry. In addition to the overview of their chemical structures, this chapter deals with current methods for their identification. Furthermore, an actual application of the synthetic pheromones for pest control is briefly introduced.","author":[{"dropping-particle":"","family":"Ando","given":"Tetsu","non-dropping-particle":"","parse-names":false,"suffix":""},{"dropping-particle":"","family":"Inomata","given":"Shin-ichi","non-dropping-particle":"","parse-names":false,"suffix":""},{"dropping-particle":"","family":"Yamamoto","given":"Masanobu","non-dropping-particle":"","parse-names":false,"suffix":""}],"container-title":"Topics in current chemistry","id":"ITEM-1","issued":{"date-parts":[["2004"]]},"page":"51-96","publisher":"Top Curr Chem","title":"Lepidopteran sex pheromones","type":"article-journal","volume":"239"},"uris":["http://www.mendeley.com/documents/?uuid=67e4fdb7-af95-3242-bfab-42935ba3b581"]}],"mendeley":{"formattedCitation":"(Ando et al., 2004)","plainTextFormattedCitation":"(Ando et al., 2004)","previouslyFormattedCitation":"(Ando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(Ando et al., 2004)</w:t>
            </w:r>
            <w:r w:rsidRPr="0049220A">
              <w:rPr>
                <w:rFonts w:ascii="Times New Roman" w:hAnsi="Times New Roman" w:cs="Times New Roman"/>
                <w:sz w:val="24"/>
                <w:szCs w:val="24"/>
              </w:rPr>
              <w:fldChar w:fldCharType="end"/>
            </w:r>
          </w:p>
        </w:tc>
      </w:tr>
      <w:tr w:rsidR="0049220A" w:rsidRPr="0049220A" w14:paraId="2645ED14" w14:textId="77777777" w:rsidTr="000D0B90">
        <w:trPr>
          <w:trHeight w:val="980"/>
        </w:trPr>
        <w:tc>
          <w:tcPr>
            <w:tcW w:w="2922" w:type="dxa"/>
          </w:tcPr>
          <w:p w14:paraId="3E16CF8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Cholest-5-en-3-ol (3a)-</w:t>
            </w:r>
          </w:p>
        </w:tc>
        <w:tc>
          <w:tcPr>
            <w:tcW w:w="1920" w:type="dxa"/>
          </w:tcPr>
          <w:p w14:paraId="0C23F2E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Sterol</w:t>
            </w:r>
          </w:p>
        </w:tc>
        <w:tc>
          <w:tcPr>
            <w:tcW w:w="2713" w:type="dxa"/>
          </w:tcPr>
          <w:p w14:paraId="5A2ACD6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Cell membrane regulator, precursor to hormones</w:t>
            </w:r>
          </w:p>
        </w:tc>
        <w:tc>
          <w:tcPr>
            <w:tcW w:w="1620" w:type="dxa"/>
          </w:tcPr>
          <w:p w14:paraId="3717C74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{"citationItems":[{"id":"ITEM-1","itemData":{"DOI":"10.18596/JOTCSA.1379263","ISSN":"2149-0120","abstract":"Cholest-5-en-3-ol is an organic compound that belongs to the category of steroidal secondary metabolites. The compound has a double bond and a hydroxyl group and is commonly found in plants that contain oils such as coconut, nuts, and others. So far, there have been no reports of isolating the compound cholest-5-en-3-ol from the extract of the stem bark of the ulin plant. This compound has been found in very small amounts. A maceration method was used to obtain the extract. The isolation method used for the isolation of the compound was chromatography, while for the elucidation of the structure of the compound, UV-Vis spectrophotometry, Fourier transform infrared spectroscopy (FTIR), and nuclear magnetic resonance spectroscopy (NMR) were used. The ethyl acetate extract is the most abundant with 85.5 g. The isolation results were obtained as a white needle-like solid. Based on the spectra of UV-Vis spectrophotometry, FTIR spectra, and chemical shifts of NMR, the elucidated compound is the cholest-5-en-3-ol.","author":[{"dropping-particle":"","family":"Yulianti","given":"Heni","non-dropping-particle":"","parse-names":false,"suffix":""},{"dropping-particle":"","family":"Santoni","given":"Adlis","non-dropping-particle":"","parse-names":false,"suffix":""},{"dropping-particle":"","family":"Efdi","given":"Mai","non-dropping-particle":"","parse-names":false,"suffix":""}],"container-title":"Journal of the Turkish Chemical Society Section A: Chemistry","id":"ITEM-1","issue":"3","issued":{"date-parts":[["2024","8","30"]]},"page":"919-924","publisher":"Turkish Chemical Society","title":"Isolation and Characterization of Cholest-5-en-3-ol Compound from the Ethyl Acetate Extract of Stem Bark Ulin Plant (Eusideroxylon zwageri Teijm &amp; Binn)","type":"article-journal","volume":"11"},"uris":["http://www.mendeley.com/documents/?uuid=4690c8df-5ebb-35de-bf81-19fb3f632bc4"]}],"mendeley":{"formattedCitation":"(Yulianti et al., 2024)","plainTextFormattedCitation":"(Yulianti et al., 2024)","previouslyFormattedCitation":"(Yulianti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(Yulianti et al., 2024)</w:t>
            </w:r>
            <w:r w:rsidRPr="0049220A">
              <w:rPr>
                <w:rFonts w:ascii="Times New Roman" w:hAnsi="Times New Roman" w:cs="Times New Roman"/>
                <w:sz w:val="24"/>
                <w:szCs w:val="24"/>
              </w:rPr>
              <w:fldChar w:fldCharType="end"/>
            </w:r>
          </w:p>
        </w:tc>
      </w:tr>
      <w:tr w:rsidR="0049220A" w:rsidRPr="0049220A" w14:paraId="1D92BAD2" w14:textId="77777777" w:rsidTr="000D0B90">
        <w:trPr>
          <w:trHeight w:val="710"/>
        </w:trPr>
        <w:tc>
          <w:tcPr>
            <w:tcW w:w="2922" w:type="dxa"/>
          </w:tcPr>
          <w:p w14:paraId="63A4E7C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Tert-</w:t>
            </w:r>
            <w:proofErr w:type="spellStart"/>
            <w:r w:rsidRPr="0049220A">
              <w:rPr>
                <w:rFonts w:ascii="Times New Roman" w:hAnsi="Times New Roman" w:cs="Times New Roman"/>
                <w:sz w:val="24"/>
                <w:szCs w:val="24"/>
              </w:rPr>
              <w:t>Hexadecanethiol</w:t>
            </w:r>
            <w:proofErr w:type="spellEnd"/>
          </w:p>
        </w:tc>
        <w:tc>
          <w:tcPr>
            <w:tcW w:w="1920" w:type="dxa"/>
          </w:tcPr>
          <w:p w14:paraId="485C195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Aliphatic thiol</w:t>
            </w:r>
          </w:p>
        </w:tc>
        <w:tc>
          <w:tcPr>
            <w:tcW w:w="2713" w:type="dxa"/>
          </w:tcPr>
          <w:p w14:paraId="10447E2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 potential</w:t>
            </w:r>
          </w:p>
        </w:tc>
        <w:tc>
          <w:tcPr>
            <w:tcW w:w="1620" w:type="dxa"/>
          </w:tcPr>
          <w:p w14:paraId="2EA8D22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{"citationItems":[{"id":"ITEM-1","itemData":{"DOI":"10.3390/MOLECULES27217476,","ISSN":"14203049","PMID":"36364303","abstract":"The unpredictable invasion of the Mupli beetle, Luprops tristis Fabricius (Coleoptera: Tenebrionidae), makes areas uninhabitable to humans. These beetles produce a strong-smelling, irritating secretion as a defence mechanism, which causes blisters on contact with human skin. In the current study, gas chromatography high-resolution mass spectrometry (GC-HRMS) analysis of the defensive gland extract of the Mupli beetle revealed the presence of compounds such as 2,3,dimethyl-1,4-benzoquinone, 1,3-dihydroxy-2-methylbenzene, 2,5-dimethyl hydroquinone, tetracosane, oleic acid, hexacosane, pentacosane, 7-hexadecenal and tert-hexadecanethiol. The defensive gland extracts showed considerable antibacterial activity on Gram-negative and Gram-positive bacteria in an agar diffusion assay. The chromosomal aberration analysis using root tips of Allium cepa L. exposed to the defensive secretion showed chromosomal aberrations such as disturbed metaphase, sticky chromosomes and chromosomal breakage. The antioxidant activity of the extract was determined using a radical scavenging (DPPH) assay. A cytotoxic assay of the defensive gland extract against Dalton’s lymphoma ascites (DLA) cell line showed anticancer properties. In the present study, the defensive gland extract of the Mupli beetle, L. tristis, which is generally perceived as a nuisance insect to humans, was found to have beneficial biological activities.","author":[{"dropping-particle":"","family":"Sabira","given":"Ovungal","non-dropping-particle":"","parse-names":false,"suffix":""},{"dropping-particle":"","family":"Vignesh","given":"Attuvalappil Ramdas","non-dropping-particle":"","parse-names":false,"suffix":""},{"dropping-particle":"","family":"Ajaykumar","given":"Anthyalam Parambil","non-dropping-particle":"","parse-names":false,"suffix":""},{"dropping-particle":"","family":"Varma","given":"Sudhir Rama","non-dropping-particle":"","parse-names":false,"suffix":""},{"dropping-particle":"","family":"Jayaraj","given":"Kodangattil Narayanan","non-dropping-particle":"","parse-names":false,"suffix":""},{"dropping-particle":"","family":"Sebastin","given":"Merin","non-dropping-particle":"","parse-names":false,"suffix":""},{"dropping-particle":"","family":"Nikhila","given":"Kalleringal","non-dropping-particle":"","parse-names":false,"suffix":""},{"dropping-particle":"","family":"Babu","given":"Annet","non-dropping-particle":"","parse-names":false,"suffix":""},{"dropping-particle":"","family":"Rasheed","given":"Vazhanthodi Abdul","non-dropping-particle":"","parse-names":false,"suffix":""},{"dropping-particle":"","family":"Binitha","given":"Valiyaparambil Sivadasan","non-dropping-particle":"","parse-names":false,"suffix":""},{"dropping-particle":"","family":"Vasu","given":"Zeena koldath","non-dropping-particle":"","parse-names":false,"suffix":""},{"dropping-particle":"","family":"Sujith","given":"Madathilpadi Subrahmanian","non-dropping-particle":"","parse-names":false,"suffix":""}],"container-title":"Molecules","id":"ITEM-1","issue":"21","issued":{"date-parts":[["2022","11","1"]]},"publisher":"MDPI","title":"The Chemical Composition and Antimitotic, Antioxidant, Antibacterial and Cytotoxic Properties of the Defensive Gland Extract of the Beetle, Luprops tristis Fabricius","type":"article-journal","volume":"27"},"uris":["http://www.mendeley.com/documents/?uuid=1b780a56-b9a1-35a3-bd24-b91409389945"]}],"mendeley":{"formattedCitation":"(Sabira et al., 2022)","plainTextFormattedCitation":"(Sabira et al., 2022)","previouslyFormattedCitation":"(Sabira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(Sabira et al., 2022)</w:t>
            </w:r>
            <w:r w:rsidRPr="0049220A">
              <w:rPr>
                <w:rFonts w:ascii="Times New Roman" w:hAnsi="Times New Roman" w:cs="Times New Roman"/>
                <w:sz w:val="24"/>
                <w:szCs w:val="24"/>
              </w:rPr>
              <w:fldChar w:fldCharType="end"/>
            </w:r>
          </w:p>
        </w:tc>
      </w:tr>
      <w:tr w:rsidR="0049220A" w:rsidRPr="0049220A" w14:paraId="6F555A40" w14:textId="77777777" w:rsidTr="000D0B90">
        <w:trPr>
          <w:trHeight w:val="710"/>
        </w:trPr>
        <w:tc>
          <w:tcPr>
            <w:tcW w:w="2922" w:type="dxa"/>
          </w:tcPr>
          <w:p w14:paraId="2115DAEA"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Glycidyl oleate</w:t>
            </w:r>
          </w:p>
        </w:tc>
        <w:tc>
          <w:tcPr>
            <w:tcW w:w="1920" w:type="dxa"/>
          </w:tcPr>
          <w:p w14:paraId="5E7C079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Epoxy fatty ester</w:t>
            </w:r>
          </w:p>
        </w:tc>
        <w:tc>
          <w:tcPr>
            <w:tcW w:w="2713" w:type="dxa"/>
          </w:tcPr>
          <w:p w14:paraId="573B273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surfactant precursor</w:t>
            </w:r>
          </w:p>
        </w:tc>
        <w:tc>
          <w:tcPr>
            <w:tcW w:w="1620" w:type="dxa"/>
          </w:tcPr>
          <w:p w14:paraId="135CEF4F"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{"citationItems":[{"id":"ITEM-1","itemData":{"DOI":"10.3390/TOXICS11020175","ISSN":"2305-6304","abstract":"Glycidyl fatty acid esters (GEs) can be found in food, and they can be converted into genotoxic animal carcinogen glycidol in vivo by the action of lipase. This study examined whether human ingestion of charbroiled pork containing high levels of GEs (300 µg/day) increased glycidol–hemoglobin adduct (diHOPrVal), a marker of internal exposure to glycidol using LC-MS/MS. Contrary to expectation, the diHOPrVal value before ingesting charbroiled pork was 3.11 ± 1.10 pmol/g globin, which slightly decreased to 2.48 ± 0.47 pmol/g globin after 5 days of consumption. The decrease in lipase activity caused by the continuous consumption of lipid-rich foods such as meat in humans might decrease internal exposure to glycidol released from its esters. Thus, lipase activity was measured in C57/BL6J mice fed a high-fat diet (HFD) for 8 weeks, and diHOPrVal formation was measured after the administration of glycidyl oleate. Lipase activity was significantly lower in the HFD group than in the normal diet group. The amount of diHOPrVal was reduced in the HFD group. Therefore, the lipase activity was reduced by HFD, thereby decreasing the degradation of glycidol from glycidyl oleate. These results indicate that changes in lipase activity depending on the amount of lipids in the diet may affect the assessment of GEs exposure, and monitoring the lipase activity would provide a comprehensive understanding of exposure assessment.","author":[{"dropping-particle":"","family":"Shimamura","given":"Yuko","non-dropping-particle":"","parse-names":false,"suffix":""},{"dropping-particle":"","family":"Inagaki","given":"Ryo","non-dropping-particle":"","parse-names":false,"suffix":""},{"dropping-particle":"","family":"Oike","given":"Minami","non-dropping-particle":"","parse-names":false,"suffix":""},{"dropping-particle":"","family":"Wada","given":"Yuri","non-dropping-particle":"","parse-names":false,"suffix":""},{"dropping-particle":"","family":"Honda","given":"Hiroshi","non-dropping-particle":"","parse-names":false,"suffix":""},{"dropping-particle":"","family":"Masuda","given":"Shuichi","non-dropping-particle":"","parse-names":false,"suffix":""}],"container-title":"Toxics","id":"ITEM-1","issue":"2","issued":{"date-parts":[["2023","2","14"]]},"page":"175","publisher":"Multidisciplinary Digital Publishing Institute","title":"Potential Role of Lipase Activity on the Internal Exposure Assessment of Glycidol Released from Its Fatty Acid Esters","type":"article-journal","volume":"11"},"uris":["http://www.mendeley.com/documents/?uuid=cad186e2-aef9-3ae0-8ceb-eee6f92b4675"]}],"mendeley":{"formattedCitation":"(Shimamura et al., 2023)","plainTextFormattedCitation":"(Shimamura et al., 2023)","previouslyFormattedCitation":"(Shimamura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(Shimamura et al., 2023)</w:t>
            </w:r>
            <w:r w:rsidRPr="0049220A">
              <w:rPr>
                <w:rFonts w:ascii="Times New Roman" w:hAnsi="Times New Roman" w:cs="Times New Roman"/>
                <w:sz w:val="24"/>
                <w:szCs w:val="24"/>
              </w:rPr>
              <w:fldChar w:fldCharType="end"/>
            </w:r>
          </w:p>
        </w:tc>
      </w:tr>
      <w:tr w:rsidR="0049220A" w:rsidRPr="0049220A" w14:paraId="5D1E6284" w14:textId="77777777" w:rsidTr="000D0B90">
        <w:tc>
          <w:tcPr>
            <w:tcW w:w="2922" w:type="dxa"/>
          </w:tcPr>
          <w:p w14:paraId="38743E1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17-Octadecynoic acid</w:t>
            </w:r>
          </w:p>
        </w:tc>
        <w:tc>
          <w:tcPr>
            <w:tcW w:w="1920" w:type="dxa"/>
          </w:tcPr>
          <w:p w14:paraId="5E7DCC8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Alkyne fatty acid</w:t>
            </w:r>
          </w:p>
        </w:tc>
        <w:tc>
          <w:tcPr>
            <w:tcW w:w="2713" w:type="dxa"/>
          </w:tcPr>
          <w:p w14:paraId="1B1CDD7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Inhibitor of cytochrome P450 enzymes, anticancer</w:t>
            </w:r>
          </w:p>
        </w:tc>
        <w:tc>
          <w:tcPr>
            <w:tcW w:w="1620" w:type="dxa"/>
          </w:tcPr>
          <w:p w14:paraId="3D6815F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{"citationItems":[{"id":"ITEM-1","itemData":{"DOI":"10.1021/TX0002583;JOURNAL:JOURNAL:CRTOEC;PAGEGROUP:STRING:PUBLICATION","ISSN":"0893228X","PMID":"11409933","abstract":"Cytochrome P450 (P450) enzymes catalyze a variety of reactions and convert chemicals to potentially reactive products as well as make compounds less toxic. Most of the P450 reactions are oxidations. The majority of these can be rationalized in the context of an FeO3+ intermediate and odd electron abstraction/rebound mechanisms; however, other iron--oxygen complexes are possible and alternate chemistries can be considered. Another issue regarding P450-catalyzed reactions is the delineation of rate-limiting steps in the catalytic cycle and the contribution to reaction selectivity. In addition to the rather classical oxidations, P450s also catalyze less generally discussed reactions including reduction, desaturation, ester cleavage, ring expansion, ring formation, aldehyde scission, dehydration, ipso attack, one-electron oxidation, coupling reactions, rearrangement of fatty acid and prostaglandin hydroperoxides, and phospholipase activity. Most of these reactions are rationalized in the context of high-valent iron--oxygen intermediates and Fe2+ reductions, but others are not and may involve acid--base catalysis. Some of these transformations are involved in the bioactivation and detoxication of xenobiotic chemicals.","author":[{"dropping-particle":"","family":"Guengerich","given":"F. P.","non-dropping-particle":"","parse-names":false,"suffix":""}],"container-title":"Chemical Research in Toxicology","id":"ITEM-1","issue":"6","issued":{"date-parts":[["2001"]]},"page":"611-650","publisher":"American Chemical Society","title":"Common and uncommon cytochrome P450 reactions related to metabolism and chemical toxicity","type":"article-journal","volume":"14"},"uris":["http://www.mendeley.com/documents/?uuid=ed010d86-5857-37bf-b2dc-eaccd31c721f"]}],"mendeley":{"formattedCitation":"(Guengerich, 2001)","plainTextFormattedCitation":"(Guengerich, 2001)","previouslyFormattedCitation":"(Guengerich, 2001)"},"properties":{"noteIndex":0},"schema":"https://github.com/citation-style-language/schema/raw/master/csl-citation.json"}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(Guengerich, 2001)</w:t>
            </w:r>
            <w:r w:rsidRPr="0049220A">
              <w:rPr>
                <w:rFonts w:ascii="Times New Roman" w:hAnsi="Times New Roman" w:cs="Times New Roman"/>
                <w:sz w:val="24"/>
                <w:szCs w:val="24"/>
              </w:rPr>
              <w:fldChar w:fldCharType="end"/>
            </w:r>
          </w:p>
        </w:tc>
      </w:tr>
      <w:tr w:rsidR="0049220A" w:rsidRPr="0049220A" w14:paraId="07EA4382" w14:textId="77777777" w:rsidTr="000D0B90">
        <w:tc>
          <w:tcPr>
            <w:tcW w:w="2922" w:type="dxa"/>
          </w:tcPr>
          <w:p w14:paraId="71B642FC"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Ethyl iso-</w:t>
            </w:r>
            <w:proofErr w:type="spellStart"/>
            <w:r w:rsidRPr="0049220A">
              <w:rPr>
                <w:rFonts w:ascii="Times New Roman" w:hAnsi="Times New Roman" w:cs="Times New Roman"/>
                <w:sz w:val="24"/>
                <w:szCs w:val="24"/>
              </w:rPr>
              <w:t>allocholate</w:t>
            </w:r>
            <w:proofErr w:type="spellEnd"/>
          </w:p>
        </w:tc>
        <w:tc>
          <w:tcPr>
            <w:tcW w:w="1920" w:type="dxa"/>
          </w:tcPr>
          <w:p w14:paraId="7834A00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Bile acid ester</w:t>
            </w:r>
          </w:p>
        </w:tc>
        <w:tc>
          <w:tcPr>
            <w:tcW w:w="2713" w:type="dxa"/>
          </w:tcPr>
          <w:p w14:paraId="15EB13E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7667D1D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{"citationItems":[{"id":"ITEM-1","itemData":{"DOI":"10.1007/S12010-024-05016-Z,","ISSN":"15590291","PMID":"39083194","abstract":"The rise of microbial resistance and emerging infections pose significant health threats. Natural products from endophytic fungi offer a promising source of novel compounds with the potential as major drug leads. This research aims to screen Myrtus communis and Moringa oleifera for endophytic fungi and screen their metabolites for antibacterial and antifungal potential. Six endophytic fungal strains were isolated using a potato dextrose agar (PDA) medium. The M. communis isolates were designated MC1, MC2, and MC3, and the M. oleifera isolates were named MO1, MO2, and MO3. Preliminary bioactivity testing revealed that the MC3 isolate exhibited significant growth inhibition against multidrug-resistant bacterial and fungal pathogens, including Staphylococcus aureus, Enterococcus faecalis, Bacillus subtilis, Pseudomonas aeruginosa, Escherichia coli, Candida albicans, and Candida glabrata. The MC3 isolate was identified as Fusarium oxysporum through morphological and microscopic methods. For metabolite production, the fungal strain was cultured in potato dextrose broth (PDB) medium at 28 °C for 14 days in a shaking incubator. The metabolites were purified using various chromatographic techniques, HPLC and GC–MS. The GC–MS analysis of the bioactive compound containing fungal strain (F. oxysporum) revealed multiple compounds at different retention times using the NIST-20 Library. Based on RSI values and probability indices, two compounds were targeted for further purification. Structure elucidation was performed using 1D and 2D nuclear magnetic resonance (NMR) experiments on a Varian 500 NMR machine. The compounds identified were ethyl iso-allocholate (C26H44O5, exact mass 436.32) and 1-monolinoleoyl glycerol trimethylsilyl ether (C27H56O4Si2, exact mass 500.37). The MS (NIST-20) library facilitated the investigation of the in silico antimicrobial activity of these compounds against the elastase virulence protein of P. aeruginosa and protease Sapp1p from C. parapsilosis. Both the compounds were docked with druggable proteins using the Glide induced fit docking (IFD) algorithm. The ethyl iso-allocholate and 1-monolinoleoyl glycerol trimethylsilyl ether compounds showed binding scores − 10.07 kcal mol−1 and − 7.47 kcal mol−1 against elastase, and − 8.16 kcal mol−1 and − 6.89 kcal mol−1 against aspartic protease, respectively. In vitro studies confirmed the inhibitory activity of these compounds against multidrug-resistant P. aeruginosa and E. faecalis. Ethyl iso…","author":[{"dropping-particle":"","family":"Khattak","given":"Saeed Ullah","non-dropping-particle":"","parse-names":false,"suffix":""},{"dropping-particle":"","family":"Ahmad","given":"Mansoor","non-dropping-particle":"","parse-names":false,"suffix":""},{"dropping-particle":"","family":"Ahmad","given":"Jamshaid","non-dropping-particle":"","parse-names":false,"suffix":""},{"dropping-particle":"","family":"Ikram","given":"Saima","non-dropping-particle":"","parse-names":false,"suffix":""},{"dropping-particle":"","family":"Ahmad","given":"Sajjad","non-dropping-particle":"","parse-names":false,"suffix":""},{"dropping-particle":"","family":"Alshabrmi","given":"Fahad M.","non-dropping-particle":"","parse-names":false,"suffix":""},{"dropping-particle":"","family":"Alatawi","given":"Eid A.","non-dropping-particle":"","parse-names":false,"suffix":""}],"container-title":"Applied Biochemistry and Biotechnology","id":"ITEM-1","issue":"12","issued":{"date-parts":[["2024","12","1"]]},"page":"8940-8964","publisher":"Springer","title":"Purification of Potential Antimicrobial Metabolites from Endophytic Fusarium oxysporum Isolated from Myrtus communis","type":"article-journal","volume":"196"},"uris":["http://www.mendeley.com/documents/?uuid=cd65851c-e9fa-3a82-8975-bcbc7f2df0ec"]}],"mendeley":{"formattedCitation":"(Khattak et al., 2024)","plainTextFormattedCitation":"(Khattak et al., 2024)","previouslyFormattedCitation":"(Khattak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(Khattak et al., 2024)</w:t>
            </w:r>
            <w:r w:rsidRPr="0049220A">
              <w:rPr>
                <w:rFonts w:ascii="Times New Roman" w:hAnsi="Times New Roman" w:cs="Times New Roman"/>
                <w:sz w:val="24"/>
                <w:szCs w:val="24"/>
              </w:rPr>
              <w:fldChar w:fldCharType="end"/>
            </w:r>
          </w:p>
        </w:tc>
      </w:tr>
      <w:tr w:rsidR="0049220A" w:rsidRPr="0049220A" w14:paraId="1575852E" w14:textId="77777777" w:rsidTr="000D0B90">
        <w:trPr>
          <w:trHeight w:val="666"/>
        </w:trPr>
        <w:tc>
          <w:tcPr>
            <w:tcW w:w="2922" w:type="dxa"/>
          </w:tcPr>
          <w:p w14:paraId="412C856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1,25-Dihydroxyvitamin D3, TMS derivative</w:t>
            </w:r>
          </w:p>
        </w:tc>
        <w:tc>
          <w:tcPr>
            <w:tcW w:w="1920" w:type="dxa"/>
          </w:tcPr>
          <w:p w14:paraId="64069C9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Steroidal vitamin D metabolite</w:t>
            </w:r>
          </w:p>
        </w:tc>
        <w:tc>
          <w:tcPr>
            <w:tcW w:w="2713" w:type="dxa"/>
          </w:tcPr>
          <w:p w14:paraId="6CB1C3A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Regulates calcium metabolism, anticancer</w:t>
            </w:r>
          </w:p>
        </w:tc>
        <w:tc>
          <w:tcPr>
            <w:tcW w:w="1620" w:type="dxa"/>
          </w:tcPr>
          <w:p w14:paraId="7AAB374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deficiency","type":"article-journal","volume":"357"},"uris":["http://www.mendeley.com/documents/?uuid=e9c3f049-912a-34bf-8ab8-f47d2da44587"]}],"mendeley":{"formattedCitation":"(Holick, 2007)","plainTextFormattedCitation":"(Holick, 2007)","previouslyFormattedCitation":"(Holick, 2007)"},"properties":{"noteIndex":0},"schema":"https://github.com/citation-style-language/schema/raw/master/csl-citation.json"}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(Holick, 2007)</w:t>
            </w:r>
            <w:r w:rsidRPr="0049220A">
              <w:rPr>
                <w:rFonts w:ascii="Times New Roman" w:hAnsi="Times New Roman" w:cs="Times New Roman"/>
                <w:sz w:val="24"/>
                <w:szCs w:val="24"/>
              </w:rPr>
              <w:fldChar w:fldCharType="end"/>
            </w:r>
          </w:p>
        </w:tc>
      </w:tr>
      <w:tr w:rsidR="0049220A" w:rsidRPr="0049220A" w14:paraId="012C230A" w14:textId="77777777" w:rsidTr="000D0B90">
        <w:trPr>
          <w:trHeight w:val="710"/>
        </w:trPr>
        <w:tc>
          <w:tcPr>
            <w:tcW w:w="2922" w:type="dxa"/>
          </w:tcPr>
          <w:p w14:paraId="5882E118"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Isochiapin</w:t>
            </w:r>
            <w:proofErr w:type="spellEnd"/>
            <w:r w:rsidRPr="0049220A">
              <w:rPr>
                <w:rFonts w:ascii="Times New Roman" w:hAnsi="Times New Roman" w:cs="Times New Roman"/>
                <w:sz w:val="24"/>
                <w:szCs w:val="24"/>
              </w:rPr>
              <w:t xml:space="preserve"> B</w:t>
            </w:r>
          </w:p>
        </w:tc>
        <w:tc>
          <w:tcPr>
            <w:tcW w:w="1920" w:type="dxa"/>
          </w:tcPr>
          <w:p w14:paraId="30023614"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Flavonoid</w:t>
            </w:r>
          </w:p>
        </w:tc>
        <w:tc>
          <w:tcPr>
            <w:tcW w:w="2713" w:type="dxa"/>
          </w:tcPr>
          <w:p w14:paraId="5FE1675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Anti-inflammatory, antioxidant</w:t>
            </w:r>
          </w:p>
        </w:tc>
        <w:tc>
          <w:tcPr>
            <w:tcW w:w="1620" w:type="dxa"/>
          </w:tcPr>
          <w:p w14:paraId="654773A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{"citationItems":[{"id":"ITEM-1","itemData":{"DOI":"10.21608/EJCHEM.2024.328645.10642","ISSN":"0449-2285","abstract":"Wound healing stays a substantial health affair for a great number of patients globally. Hypoxia plays a decisive role in specifying the normal successfulness of healing process. Hypoxia-inducible factor-1alpha, plays a critical role in oxygen homeostasis, cell survival and migration and growth factor release throughout the healing process. The target of this research is to characterize the phytochemical and antioxidant analysis of the lipophilic extract of Calendula officinalis (C. officinalis) flowers utilizing colorimetric, spectrophotometric, and chromatographic techniques. In addition, studying the wound healing properties in vivo and in vitro model. Rats were divided into four groups (six in each group) as follow: Group I: Control rats. Group II: Wounded and untreated rats. Group III: Rats are treated topically with 2.5% of C. officinalis in gel. Group IV Rats are treated topically with 5% of C. officinalis in gel. Furthermore, Molecular docking study was conducted to elucidate the mechanistic of C. officinalis wound healing properties through the inhibitory effects of its main components against key anti-healing goals and study the best binding affinity. Using GC-MS analysis six main different organic classes fatty acid (36.99 %), Sesquiterpene (34.9%), hydrocarbons (20.06%), diterpene (3.9%), phytosterol (2.10%) and alkaloid (0.53%), and 24 components comprising 98.48% of the observed peaks were identified as a consequence. It is evident that the predominant fatty acid is 1-heptatriacotanol (16.47%). Additionally, Isochiapin B is a significant sesquiterpene compounds that accounting for 15.91% of all sesquiterpene compounds. Moreover, this extract exhibited more potent antioxidant activity were observed., as demonstrated by the IC50. Owing to its high concentration of active compounds, C. officinalis promoted more wound contraction., collagen synthesis, 5' adenosine monophosphate-activated protein kinase (AMPK), Hypoxia-inducible factor 1-alpha (HIF-1α) and accelerated epithelization with a decrease in matrix metalloproteinases (MMP-9). Molecular docking revealed that Isochiapin B had better binding affinities than 1-Heptatriacotanol in the interaction with AMPK, Collagenase, HIF-1α, MMP-9, tumor necrosis factor alpha (TNF-α), and vascular endothelial growth factor (VEGF), and that its best binding affinity was with MMP-9. Obtained results assured that Calendula officinalis L possesses considerable wound healing activity in wounded rats due to i…","author":[{"dropping-particle":"","family":"Salama","given":"Abeer","non-dropping-particle":"","parse-names":false,"suffix":""},{"dropping-particle":"","family":"EL-Kassaby","given":"Mahitab I.","non-dropping-particle":"","parse-names":false,"suffix":""},{"dropping-particle":"","family":"Refaat","given":"Ahmed","non-dropping-particle":"","parse-names":false,"suffix":""},{"dropping-particle":"","family":"Mohasib","given":"Rasha M.M.","non-dropping-particle":"","parse-names":false,"suffix":""}],"container-title":"Egyptian Journal of Chemistry","id":"ITEM-1","issue":"13","issued":{"date-parts":[["2024","12","1"]]},"page":"1037-1058","publisher":"National Information and Documentation Centre (NIDOC), Academy of Scientific Research and Technology, ASRT","title":"GC–MS and Molecular Docking Analyses of Phytochemicals from Calendula officinalis L. Hexane Extract and Evaluation of its Antioxidant and Wound Healing Properties in Rats","type":"article-journal","volume":"67"},"uris":["http://www.mendeley.com/documents/?uuid=1bd4049e-1398-3dc9-9be0-f44084447ec8"]}],"mendeley":{"formattedCitation":"(Salama et al., 2024)","plainTextFormattedCitation":"(Salama et al., 2024)","previouslyFormattedCitation":"(Salama et al., 2024)"},"properties":{"noteIndex":0},"schema":"https://github.com/citation-style-language/schema/raw/master/csl-citation.json"}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(Salama et al., 2024)</w:t>
            </w:r>
            <w:r w:rsidRPr="0049220A">
              <w:rPr>
                <w:rFonts w:ascii="Times New Roman" w:hAnsi="Times New Roman" w:cs="Times New Roman"/>
                <w:sz w:val="24"/>
                <w:szCs w:val="24"/>
              </w:rPr>
              <w:fldChar w:fldCharType="end"/>
            </w:r>
          </w:p>
        </w:tc>
      </w:tr>
      <w:tr w:rsidR="0049220A" w:rsidRPr="0049220A" w14:paraId="380CEBFD" w14:textId="77777777" w:rsidTr="000D0B90">
        <w:tc>
          <w:tcPr>
            <w:tcW w:w="2922" w:type="dxa"/>
          </w:tcPr>
          <w:p w14:paraId="1548DC8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2H-Pyran, 2-(7-heptadecynyloxy)tetrahydro</w:t>
            </w:r>
          </w:p>
        </w:tc>
        <w:tc>
          <w:tcPr>
            <w:tcW w:w="1920" w:type="dxa"/>
          </w:tcPr>
          <w:p w14:paraId="2741BD4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Pyran derivative</w:t>
            </w:r>
          </w:p>
        </w:tc>
        <w:tc>
          <w:tcPr>
            <w:tcW w:w="2713" w:type="dxa"/>
          </w:tcPr>
          <w:p w14:paraId="2006362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antioxidant</w:t>
            </w:r>
          </w:p>
        </w:tc>
        <w:tc>
          <w:tcPr>
            <w:tcW w:w="1620" w:type="dxa"/>
          </w:tcPr>
          <w:p w14:paraId="2958359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{"citationItems":[{"id":"ITEM-1","itemData":{"DOI":"10.1007/S13197-017-2744-Z,","ISSN":"09758402","abstract":"Sida cordata (Burm.f.) is a pineal tropical plant in the family Malvaceae that is found throughout India and used to treat various diseases and ailments in many complementary and alternative medicine systems. This study identified the bioactive components present in whole-plant ethanol extracts of S. cordata using gas chromatography–mass spectrometry (GC–MS). Based on their retention times (RT) and mass-to-charge ratios (m/z), 29 bioactive compounds were identified: nonanoic acid, vitamin D3, 3-trifluroacetoxypentadecane, α-d-glucopyranoside, O-α-d-glucopyranosyl-(1.fwdarw.3)-α-d-fructofuranosyl,3,7,11,15-tetramethyl-2-hexadecan-1-ol, octadecanoic acid, ethyl ester, phytol, 9,12-octadecadienoic acid, methyl ester (E,E), 9,12,15-octadecadienoic acid, methyl ester (Z,Z,Z), oleic acid, 1,2-15,16-diepoxyhexadecane, 3-hexadecyloxycarbonyl-5-(2-hydroxyethyl)-4-methylimidazolium ion, methoxyacetic acid, 4-tetradecyl ester, 1,2-benzenedicarboxylic acid, mono (2-ethylhexyl) ester, 1-iodo-2-methylundecane, dodecane, 2,6,10-trimethyl-, 2-piperidinone-N-[4-bromo-n-butyl]-, squalene, octadecane-1-(ethenyloxy)-, Z,Z-2,5-pentadecadien-1-ol, 1-hexadecanol, 2-methyl-, spiro[androst-5ene-17,1′-cyclobutan]-2′-one-3-hydroxy-, (3a,17a)-, diethylene glycol monododecyl ether, vitamin E, cholestan-3-ol, 2-methylene-, (3a,5a)-, 2H-pyran, 2-(7-heptadecynyloxy)tetrahydro-, and cis-Z-α-bisabolene epoxide. The presence of various bioactive compounds justifies the use of this plant for treating various ailments by traditional practitioners.","author":[{"dropping-particle":"","family":"Ganesh","given":"Mani","non-dropping-particle":"","parse-names":false,"suffix":""},{"dropping-particle":"","family":"Mohankumar","given":"Murugan","non-dropping-particle":"","parse-names":false,"suffix":""}],"container-title":"Journal of Food Science and Technology","id":"ITEM-1","issue":"10","issued":{"date-parts":[["2017","9","1"]]},"page":"3082-3091","publisher":"Springer India","title":"Extraction and identification of bioactive components in Sida cordata (Burm.f.) using gas chromatography–mass spectrometry","type":"article-journal","volume":"54"},"uris":["http://www.mendeley.com/documents/?uuid=0e08f04e-5e85-341b-8836-6afcdbf9d12c"]}],"mendeley":{"formattedCitation":"(Ganesh &amp; Mohankumar, 2017b)","plainTextFormattedCitation":"(Ganesh &amp; Mohankumar, 2017b)","previouslyFormattedCitation":"(Ganesh &amp; Mohankumar, 2017b)"},"properties":{"noteIndex":0},"schema":"https://github.com/citation-style-language/schema/raw/master/csl-citation.json"}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(Ganesh &amp; Mohankumar, 2017b)</w:t>
            </w:r>
            <w:r w:rsidRPr="0049220A">
              <w:rPr>
                <w:rFonts w:ascii="Times New Roman" w:hAnsi="Times New Roman" w:cs="Times New Roman"/>
                <w:sz w:val="24"/>
                <w:szCs w:val="24"/>
              </w:rPr>
              <w:fldChar w:fldCharType="end"/>
            </w:r>
          </w:p>
        </w:tc>
      </w:tr>
      <w:tr w:rsidR="0049220A" w:rsidRPr="0049220A" w14:paraId="3A1A2BDC" w14:textId="77777777" w:rsidTr="000D0B90">
        <w:trPr>
          <w:trHeight w:val="855"/>
        </w:trPr>
        <w:tc>
          <w:tcPr>
            <w:tcW w:w="2922" w:type="dxa"/>
          </w:tcPr>
          <w:p w14:paraId="62C609FC"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Rhodopin</w:t>
            </w:r>
            <w:proofErr w:type="spellEnd"/>
          </w:p>
        </w:tc>
        <w:tc>
          <w:tcPr>
            <w:tcW w:w="1920" w:type="dxa"/>
          </w:tcPr>
          <w:p w14:paraId="6279EC3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Carotenoid</w:t>
            </w:r>
          </w:p>
        </w:tc>
        <w:tc>
          <w:tcPr>
            <w:tcW w:w="2713" w:type="dxa"/>
          </w:tcPr>
          <w:p w14:paraId="7A6750B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Antiproliferative,</w:t>
            </w:r>
          </w:p>
          <w:p w14:paraId="688F934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w:t>
            </w:r>
          </w:p>
        </w:tc>
        <w:tc>
          <w:tcPr>
            <w:tcW w:w="1620" w:type="dxa"/>
          </w:tcPr>
          <w:p w14:paraId="67120A18"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M.","non-dropping-particle":"","parse-names":false,"suffix":""}],"container-title":"Molecules","id":"ITEM-1","issue":"9","issued":{"date-parts":[["2023","5","7"]]},"page":"3939","publisher":"Multidisciplinary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Fabaceae","type":"article-journal","volume":"28"},"uris":["http://www.mendeley.com/documents/?uuid=a8d923f8-5671-346d-9a43-6d33de945aeb"]}],"mendeley":{"formattedCitation":"(Youssef et al., 2023)","plainTextFormattedCitation":"(Youssef et al., 2023)","previouslyFormattedCitation":"(Youssef et al., 2023)"},"properties":{"noteIndex":0},"schema":"https://github.com/citation-style-language/schema/raw/master/csl-citation.json"}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(Youssef et al., 2023)</w:t>
            </w:r>
            <w:r w:rsidRPr="0049220A">
              <w:rPr>
                <w:rFonts w:ascii="Times New Roman" w:hAnsi="Times New Roman" w:cs="Times New Roman"/>
                <w:sz w:val="24"/>
                <w:szCs w:val="24"/>
              </w:rPr>
              <w:fldChar w:fldCharType="end"/>
            </w:r>
          </w:p>
        </w:tc>
      </w:tr>
      <w:tr w:rsidR="0049220A" w:rsidRPr="0049220A" w14:paraId="0B07494D" w14:textId="77777777" w:rsidTr="000D0B90">
        <w:tc>
          <w:tcPr>
            <w:tcW w:w="2922" w:type="dxa"/>
          </w:tcPr>
          <w:p w14:paraId="19117B67"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Palmitic acid, 2-(</w:t>
            </w:r>
            <w:proofErr w:type="spellStart"/>
            <w:r w:rsidRPr="0049220A">
              <w:rPr>
                <w:rFonts w:ascii="Times New Roman" w:hAnsi="Times New Roman" w:cs="Times New Roman"/>
                <w:sz w:val="24"/>
                <w:szCs w:val="24"/>
              </w:rPr>
              <w:t>tetradecyloxy</w:t>
            </w:r>
            <w:proofErr w:type="spellEnd"/>
            <w:r w:rsidRPr="0049220A">
              <w:rPr>
                <w:rFonts w:ascii="Times New Roman" w:hAnsi="Times New Roman" w:cs="Times New Roman"/>
                <w:sz w:val="24"/>
                <w:szCs w:val="24"/>
              </w:rPr>
              <w:t>) ethyl ester</w:t>
            </w:r>
          </w:p>
        </w:tc>
        <w:tc>
          <w:tcPr>
            <w:tcW w:w="1920" w:type="dxa"/>
          </w:tcPr>
          <w:p w14:paraId="4EB7E82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Fatty acid ether ester</w:t>
            </w:r>
          </w:p>
        </w:tc>
        <w:tc>
          <w:tcPr>
            <w:tcW w:w="2713" w:type="dxa"/>
          </w:tcPr>
          <w:p w14:paraId="0051C97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cytotoxic</w:t>
            </w:r>
          </w:p>
        </w:tc>
        <w:tc>
          <w:tcPr>
            <w:tcW w:w="1620" w:type="dxa"/>
          </w:tcPr>
          <w:p w14:paraId="5CAA443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{"citationItems":[{"id":"ITEM-1","itemData":{"DOI":"10.3389/FPHYS.2017.00902","ISSN":"1664042X","PMID":"29167646","abstract":"Palmitic acid (PA) has been for long time negatively depicted for its putative detrimental health effects, shadowing its multiple crucial physiological activities. PA is the most common saturated fatty acid accounting for 20-30% of total fatty acids in the human body and can be provided in the diet or synthesized endogenously via de novo lipogenesis (DNL). PA tissue content seems to be controlled around a well-defined concentration, and changes in its intake do not influence significantly its tissue concentration because the exogenous source is counterbalanced by PA endogenous biosynthesis. Particular physiopathological conditions and nutritional factors may strongly induce DNL, resulting in increased tissue content of PA and disrupted homeostatic control of its tissue concentration. The tight homeostatic control of PA tissue concentration is likely related to its fundamental physiological role to guarantee membrane physical properties but also to consent protein palmitoylation, palmitoylethanolamide (PEA) biosynthesis, and in the lung an efficient surfactant activity. In order to maintain membrane phospholipids (PL) balance may be crucial an optimal intake of PA in a certain ratio with unsaturated fatty acids, especially PUFAs of both n-6 and n-3 families. However, in presence of other factors such as positive energy balance, excessive intake of carbohydrates (in particular mono and disaccharides), and a sedentary lifestyle, the mechanisms to maintain a steady state of PA concentration may be disrupted leading to an over accumulation of tissue PA resulting in dyslipidemia, hyperglycemia, increased ectopic fat accumulation and increased inflammatory tone via toll-like receptor 4. It is therefore likely that the controversial data on the association of dietary PA with detrimental health effects, may be related to an excessive imbalance of dietary PA/PUFA ratio which, in certain physiopathological conditions, and in presence of an enhanced DNL, may further accelerate these deleterious effects.","author":[{"dropping-particle":"","family":"Carta","given":"Gianfranca","non-dropping-particle":"","parse-names":false,"suffix":""},{"dropping-particle":"","family":"Murru","given":"Elisabetta","non-dropping-particle":"","parse-names":false,"suffix":""},{"dropping-particle":"","family":"Banni","given":"Sebastiano","non-dropping-particle":"","parse-names":false,"suffix":""},{"dropping-particle":"","family":"Manca","given":"Claudia","non-dropping-particle":"","parse-names":false,"suffix":""}],"container-title":"Frontiers in Physiology","id":"ITEM-1","issue":"NOV","issued":{"date-parts":[["2017","11","8"]]},"page":"902","publisher":"Frontiers Media S.A.","title":"Palmitic Acid: Physiological Role, Metabolism and Nutritional Implications","type":"article-journal","volume":"8"},"uris":["http://www.mendeley.com/documents/?uuid=a90ce1d3-4e74-33c9-b773-f0bb1cba514a"]}],"mendeley":{"formattedCitation":"(Carta et al., 2017)","plainTextFormattedCitation":"(Carta et al., 2017)","previouslyFormattedCitation":"(Carta et al., 2017)"},"properties":{"noteIndex":0},"schema":"https://github.com/citation-style-language/schema/raw/master/csl-citation.json"}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(Carta et al., 2017)</w:t>
            </w:r>
            <w:r w:rsidRPr="0049220A">
              <w:rPr>
                <w:rFonts w:ascii="Times New Roman" w:hAnsi="Times New Roman" w:cs="Times New Roman"/>
                <w:sz w:val="24"/>
                <w:szCs w:val="24"/>
              </w:rPr>
              <w:fldChar w:fldCharType="end"/>
            </w:r>
          </w:p>
        </w:tc>
      </w:tr>
      <w:tr w:rsidR="0049220A" w:rsidRPr="0049220A" w14:paraId="78C41E3E" w14:textId="77777777" w:rsidTr="000D0B90">
        <w:tc>
          <w:tcPr>
            <w:tcW w:w="2922" w:type="dxa"/>
          </w:tcPr>
          <w:p w14:paraId="3193B8A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lastRenderedPageBreak/>
              <w:t>12-Methyl-E,E-2,13-octadecadien-1-ol</w:t>
            </w:r>
          </w:p>
        </w:tc>
        <w:tc>
          <w:tcPr>
            <w:tcW w:w="1920" w:type="dxa"/>
          </w:tcPr>
          <w:p w14:paraId="0B1EF865"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alcohol</w:t>
            </w:r>
          </w:p>
        </w:tc>
        <w:tc>
          <w:tcPr>
            <w:tcW w:w="2713" w:type="dxa"/>
          </w:tcPr>
          <w:p w14:paraId="3E2BF07E"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pheromone activity</w:t>
            </w:r>
          </w:p>
        </w:tc>
        <w:tc>
          <w:tcPr>
            <w:tcW w:w="1620" w:type="dxa"/>
          </w:tcPr>
          <w:p w14:paraId="36B5D54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{"citationItems":[{"id":"ITEM-1","itemData":{"DOI":"10.30491/JABR.2022.335430.1514","author":[{"dropping-particle":"","family":"Fakhry Abdel-Motaal","given":"Fatma","non-dropping-particle":"","parse-names":false,"suffix":""},{"dropping-particle":"","family":"Kamel","given":"Noha M","non-dropping-particle":"","parse-names":false,"suffix":""},{"dropping-particle":"","family":"El-Zayat","given":"Soad A","non-dropping-particle":"","parse-names":false,"suffix":""},{"dropping-particle":"","family":"El-Hamd Mohamed","given":"Abou H","non-dropping-particle":"","parse-names":false,"suffix":""},{"dropping-particle":"","family":"Darwish","given":"Doaa B","non-dropping-particle":"","parse-names":false,"suffix":""},{"dropping-particle":"","family":"Professor","given":"Associate","non-dropping-particle":"","parse-names":false,"suffix":""}],"container-title":"J Appl Biotechnol Rep","id":"ITEM-1","issue":"4","issued":{"date-parts":[["2022"]]},"page":"831-840","title":"Plant Seedling Growth Stimulation and Antifungal Activities of Volatile Organic Compounds Emitted by Aspergillus flavus Endophyte","type":"article-journal","volume":"9"},"uris":["http://www.mendeley.com/documents/?uuid=fcf26b81-969e-39de-b4c3-b6e53a77194e"]}],"mendeley":{"formattedCitation":"(Fakhry Abdel-Motaal et al., 2022)","plainTextFormattedCitation":"(Fakhry Abdel-Motaal et al., 2022)","previouslyFormattedCitation":"(Fakhry Abdel-Motaal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(Fakhry Abdel-Motaal et al., 2022)</w:t>
            </w:r>
            <w:r w:rsidRPr="0049220A">
              <w:rPr>
                <w:rFonts w:ascii="Times New Roman" w:hAnsi="Times New Roman" w:cs="Times New Roman"/>
                <w:sz w:val="24"/>
                <w:szCs w:val="24"/>
              </w:rPr>
              <w:fldChar w:fldCharType="end"/>
            </w:r>
          </w:p>
        </w:tc>
      </w:tr>
      <w:tr w:rsidR="0049220A" w:rsidRPr="0049220A" w14:paraId="14BC3CC1" w14:textId="77777777" w:rsidTr="000D0B90">
        <w:tc>
          <w:tcPr>
            <w:tcW w:w="2922" w:type="dxa"/>
          </w:tcPr>
          <w:p w14:paraId="16C930BB"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1,2-15,16-Diepoxyhexadecane</w:t>
            </w:r>
          </w:p>
        </w:tc>
        <w:tc>
          <w:tcPr>
            <w:tcW w:w="1920" w:type="dxa"/>
          </w:tcPr>
          <w:p w14:paraId="3F5F21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Epoxy alkane</w:t>
            </w:r>
          </w:p>
        </w:tc>
        <w:tc>
          <w:tcPr>
            <w:tcW w:w="2713" w:type="dxa"/>
          </w:tcPr>
          <w:p w14:paraId="3F8E00C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reactive lipid</w:t>
            </w:r>
          </w:p>
        </w:tc>
        <w:tc>
          <w:tcPr>
            <w:tcW w:w="1620" w:type="dxa"/>
          </w:tcPr>
          <w:p w14:paraId="45C0E920"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{"citationItems":[{"id":"ITEM-1","itemData":{"DOI":"10.1007/S13197-017-2744-Z","ISSN":"0022-1155","PMID":"28974793","abstract":"Sida cordata (Burm.f.) is a pineal tropical plant in the family Malvaceae that is found throughout India and used to treat various diseases and ailments in many complementary and alternative medicine systems. This study identified the bioactive components present in whole-plant ethanol extracts of S. cordata using gas chromatography–mass spectrometry (GC–MS). Based on their retention times (RT) and mass-to-charge ratios (m/z), 29 bioactive compounds were identified: nonanoic acid, vitamin D3, 3-trifluroacetoxypentadecane, α-d-glucopyranoside, O-α-d-glucopyranosyl-(1.fwdarw.3)-α-d-fructofuranosyl,3,7,11,15-tetramethyl-2-hexadecan-1-ol, octadecanoic acid, ethyl ester, phytol, 9,12-octadecadienoic acid, methyl ester (E,E), 9,12,15-octadecadienoic acid, methyl ester (Z,Z,Z), oleic acid, 1,2-15,16-diepoxyhexadecane, 3-hexadecyloxycarbonyl-5-(2-hydroxyethyl)-4-methylimidazolium ion, methoxyacetic acid, 4-tetradecyl ester, 1,2-benzenedicarboxylic acid, mono (2-ethylhexyl) ester, 1-iodo-2-methylundecane, dodecane, 2,6,10-trimethyl-, 2-piperidinone-N-[4-bromo-n-butyl]-, squalene, octadecane-1-(ethenyloxy)-, Z,Z-2,5-pentadecadien-1-ol, 1-hexadecanol, 2-methyl-, spiro[androst-5ene-17,1′-cyclobutan]-2′-one-3-hydroxy-, (3a,17a)-, diethylene glycol monododecyl ether, vitamin E, cholestan-3-ol, 2-methylene-, (3a,5a)-, 2H-pyran, 2-(7-heptadecynyloxy)tetrahydro-, and cis-Z-α-bisabolene epoxide. The presence of various bioactive compounds justifies the use of this plant for treating various ailments by traditional practitioners.","author":[{"dropping-particle":"","family":"Ganesh","given":"Mani","non-dropping-particle":"","parse-names":false,"suffix":""},{"dropping-particle":"","family":"Mohankumar","given":"Murugan","non-dropping-particle":"","parse-names":false,"suffix":""}],"container-title":"Journal of food science and technology","id":"ITEM-1","issue":"10","issued":{"date-parts":[["2017","9","1"]]},"page":"3082-3091","publisher":"J Food Sci Technol","title":"Extraction and identification of bioactive components in Sida cordata (Burm.f.) using gas chromatography-mass spectrometry","type":"article-journal","volume":"54"},"uris":["http://www.mendeley.com/documents/?uuid=8ed35788-b960-395d-b02f-9674e1facfdf"]}],"mendeley":{"formattedCitation":"(Ganesh &amp; Mohankumar, 2017a)","plainTextFormattedCitation":"(Ganesh &amp; Mohankumar, 2017a)","previouslyFormattedCitation":"(Ganesh &amp; Mohankumar, 2017a)"},"properties":{"noteIndex":0},"schema":"https://github.com/citation-style-language/schema/raw/master/csl-citation.json"}</w:instrText>
            </w:r>
            <w:r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(Ganesh &amp; Mohankumar, 2017a)</w:t>
            </w:r>
            <w:r w:rsidRPr="0049220A">
              <w:rPr>
                <w:rFonts w:ascii="Times New Roman" w:hAnsi="Times New Roman" w:cs="Times New Roman"/>
                <w:sz w:val="24"/>
                <w:szCs w:val="24"/>
              </w:rPr>
              <w:fldChar w:fldCharType="end"/>
            </w:r>
          </w:p>
        </w:tc>
      </w:tr>
      <w:tr w:rsidR="0049220A" w:rsidRPr="0049220A" w14:paraId="6924754B" w14:textId="77777777" w:rsidTr="000D0B90">
        <w:trPr>
          <w:trHeight w:val="674"/>
        </w:trPr>
        <w:tc>
          <w:tcPr>
            <w:tcW w:w="2922" w:type="dxa"/>
          </w:tcPr>
          <w:p w14:paraId="1473809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11-Octadecenal</w:t>
            </w:r>
          </w:p>
        </w:tc>
        <w:tc>
          <w:tcPr>
            <w:tcW w:w="1920" w:type="dxa"/>
          </w:tcPr>
          <w:p w14:paraId="2E182D5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Unsaturated fatty aldehyde</w:t>
            </w:r>
          </w:p>
        </w:tc>
        <w:tc>
          <w:tcPr>
            <w:tcW w:w="2713" w:type="dxa"/>
          </w:tcPr>
          <w:p w14:paraId="708F52D1"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Pheromone, antimicrobial, cytotoxic</w:t>
            </w:r>
          </w:p>
        </w:tc>
        <w:tc>
          <w:tcPr>
            <w:tcW w:w="1620" w:type="dxa"/>
          </w:tcPr>
          <w:p w14:paraId="4569065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{"citationItems":[{"id":"ITEM-1","itemData":{"DOI":"10.1007/B95449","ISSN":"0340-1022","PMID":"22160231","abstract":"As a consequence of the diversity of Lepidoptera, including 150,000 described species, interesting species-specific sex pheromone systems are exhibited in this insect group. The quite varied pheromones, which have been identified from female moths of nearly 530 species from around the world, are classified into groups of Type I (75%),Type II (15%), and miscellaneous (10%), according to their chemical structures.Additionally,many pheromones produced by male moths and butterflies have been known.While new sex pheromones from about 70 lepidopteran species have been reported in the last five years utilizing GC-EAD, GC-MS,LC,and NMR,our information about the pheromones is still rudimentary, and these kinds of semiochemicals remain an exciting research target for natural product chemistry. In addition to the overview of their chemical structures, this chapter deals with current methods for their identification. Furthermore, an actual application of the synthetic pheromones for pest control is briefly introduced.","author":[{"dropping-particle":"","family":"Ando","given":"Tetsu","non-dropping-particle":"","parse-names":false,"suffix":""},{"dropping-particle":"","family":"Inomata","given":"Shin-ichi","non-dropping-particle":"","parse-names":false,"suffix":""},{"dropping-particle":"","family":"Yamamoto","given":"Masanobu","non-dropping-particle":"","parse-names":false,"suffix":""}],"container-title":"Topics in current chemistry","id":"ITEM-1","issued":{"date-parts":[["2004"]]},"page":"51-96","publisher":"Top Curr Chem","title":"Lepidopteran sex pheromones","type":"article-journal","volume":"239"},"uris":["http://www.mendeley.com/documents/?uuid=67e4fdb7-af95-3242-bfab-42935ba3b581"]}],"mendeley":{"formattedCitation":"(Ando et al., 2004)","plainTextFormattedCitation":"(Ando et al., 2004)","previouslyFormattedCitation":"(Ando et al., 2004)"},"properties":{"noteIndex":0},"schema":"https://github.com/citation-style-language/schema/raw/master/csl-citation.json"}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(Ando et al., 2004)</w:t>
            </w:r>
            <w:r w:rsidRPr="0049220A">
              <w:rPr>
                <w:rFonts w:ascii="Times New Roman" w:hAnsi="Times New Roman" w:cs="Times New Roman"/>
                <w:sz w:val="24"/>
                <w:szCs w:val="24"/>
              </w:rPr>
              <w:fldChar w:fldCharType="end"/>
            </w:r>
          </w:p>
        </w:tc>
      </w:tr>
      <w:tr w:rsidR="0049220A" w:rsidRPr="0049220A" w14:paraId="5A802A85" w14:textId="77777777" w:rsidTr="000D0B90">
        <w:trPr>
          <w:trHeight w:val="701"/>
        </w:trPr>
        <w:tc>
          <w:tcPr>
            <w:tcW w:w="2922" w:type="dxa"/>
          </w:tcPr>
          <w:p w14:paraId="36B4A19A"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Docosanoic</w:t>
            </w:r>
            <w:proofErr w:type="spellEnd"/>
            <w:r w:rsidRPr="0049220A">
              <w:rPr>
                <w:rFonts w:ascii="Times New Roman" w:hAnsi="Times New Roman" w:cs="Times New Roman"/>
                <w:sz w:val="24"/>
                <w:szCs w:val="24"/>
              </w:rPr>
              <w:t xml:space="preserve"> acid,8,9,13-trihydroxy-, methyl ester</w:t>
            </w:r>
          </w:p>
        </w:tc>
        <w:tc>
          <w:tcPr>
            <w:tcW w:w="1920" w:type="dxa"/>
          </w:tcPr>
          <w:p w14:paraId="4AA8653D"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Hydroxylated fatty ester</w:t>
            </w:r>
          </w:p>
        </w:tc>
        <w:tc>
          <w:tcPr>
            <w:tcW w:w="2713" w:type="dxa"/>
          </w:tcPr>
          <w:p w14:paraId="3940BC43"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Antioxidant, antimicrobial</w:t>
            </w:r>
          </w:p>
        </w:tc>
        <w:tc>
          <w:tcPr>
            <w:tcW w:w="1620" w:type="dxa"/>
          </w:tcPr>
          <w:p w14:paraId="03832DC9"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{"citationItems":[{"id":"ITEM-1","itemData":{"DOI":"10.3390/MOLECULES27175453","ISSN":"14203049","PMID":"36080220","abstract":"Opuntia ficus-indica (OFI) is a cactus that is widely cultivated in the Kingdom of Saudi Arabia especially in the Taif region due to its favorable weather for growing, and it has benefits as a food and traditional medicine. The aim of the current study was to chemically characterize Opuntia ficus-indica seed oil from Taif, Kingdom of Saudi Arabia, using GC-MS and HPLC analysis and evaluate its antioxidant, antiviral, antifungal, antibacterial and anticancer activities. Linolenic acid was the dominating fatty acid in OFI oil, followed by oleic acid, linoleic acid, palmitic acid and stearic acid. Total tocopherol (α-, β-, Ɣ-tocopherol) was found to be 24.02 μg/mL. Campesterol was the main phytosterol, followed by γ- &amp; β -sitosterol, and Stigmasterol. The phenolic components scored 30.5 mg gallic acid equivalent per ml of oil with 89.2% antioxidant activity (% DPPH radical inhibition) at 200 µL/mL of OFI oil. OFI oil showed an inhibition efficacy against microbial strains especially Saccharomyces cervisiae with a diameter (28.3 ± 0.4), MBC (15 µg/mL) and MIC bacteriostatic (10 µg/mL). While OFI oil had no effect against Aspergillus niger, OFI oil showed weak inhibitory activity against A-2780 (Ovarian carcinoma) cell line, although it showed significant inhibitory activity against PC-3 (Prostate carcinoma) cell line. OFI oil exhibited an antiviral effect (22.67 ± 2.79%) at 300 µg/mL of Oil against herpes simplex type 2 (HSV-2) virus. The bioactive compounds of OFI oil, as well as its main biological activities, make it a promising candidate for the non-communicable disease management.","author":[{"dropping-particle":"","family":"Alqurashi","given":"Abeer S.","non-dropping-particle":"","parse-names":false,"suffix":""},{"dropping-particle":"","family":"Masoudi","given":"Luluah M.","non-dropping-particle":"Al","parse-names":false,"suffix":""},{"dropping-particle":"","family":"Hamdi","given":"Hamida","non-dropping-particle":"","parse-names":false,"suffix":""},{"dropping-particle":"","family":"Abu Zaid","given":"Abeer","non-dropping-particle":"","parse-names":false,"suffix":""}],"container-title":"Molecules","id":"ITEM-1","issue":"17","issued":{"date-parts":[["2022","9","1"]]},"page":"5453","publisher":"MDPI","title":"Chemical Composition and Antioxidant, Antiviral, Antifungal, Antibacterial and Anticancer Potentials of Opuntia ficus-indica Seed Oil","type":"article-journal","volume":"27"},"uris":["http://www.mendeley.com/documents/?uuid=a95916cf-05b2-3c59-8ab1-02ba1d25b10f"]}],"mendeley":{"formattedCitation":"(Alqurashi et al., 2022)","plainTextFormattedCitation":"(Alqurashi et al., 2022)","previouslyFormattedCitation":"(Alqurashi et al., 2022)"},"properties":{"noteIndex":0},"schema":"https://github.com/citation-style-language/schema/raw/master/csl-citation.json"}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(Alqurashi et al., 2022)</w:t>
            </w:r>
            <w:r w:rsidRPr="0049220A">
              <w:rPr>
                <w:rFonts w:ascii="Times New Roman" w:hAnsi="Times New Roman" w:cs="Times New Roman"/>
                <w:sz w:val="24"/>
                <w:szCs w:val="24"/>
              </w:rPr>
              <w:fldChar w:fldCharType="end"/>
            </w:r>
          </w:p>
        </w:tc>
      </w:tr>
      <w:tr w:rsidR="000B6857" w:rsidRPr="0049220A" w14:paraId="6B889017" w14:textId="77777777" w:rsidTr="000D0B90">
        <w:tc>
          <w:tcPr>
            <w:tcW w:w="2922" w:type="dxa"/>
          </w:tcPr>
          <w:p w14:paraId="01EC1A7E" w14:textId="77777777" w:rsidR="000B6857" w:rsidRPr="0049220A" w:rsidRDefault="000B6857" w:rsidP="000B6857">
            <w:pPr>
              <w:pStyle w:val="NoSpacing"/>
              <w:rPr>
                <w:rFonts w:ascii="Times New Roman" w:hAnsi="Times New Roman" w:cs="Times New Roman"/>
                <w:sz w:val="24"/>
                <w:szCs w:val="24"/>
              </w:rPr>
            </w:pPr>
            <w:proofErr w:type="spellStart"/>
            <w:r w:rsidRPr="0049220A">
              <w:rPr>
                <w:rFonts w:ascii="Times New Roman" w:hAnsi="Times New Roman" w:cs="Times New Roman"/>
                <w:sz w:val="24"/>
                <w:szCs w:val="24"/>
              </w:rPr>
              <w:t>Octadecanal</w:t>
            </w:r>
            <w:proofErr w:type="spellEnd"/>
            <w:r w:rsidRPr="0049220A">
              <w:rPr>
                <w:rFonts w:ascii="Times New Roman" w:hAnsi="Times New Roman" w:cs="Times New Roman"/>
                <w:sz w:val="24"/>
                <w:szCs w:val="24"/>
              </w:rPr>
              <w:t>, 2-bromo-</w:t>
            </w:r>
          </w:p>
        </w:tc>
        <w:tc>
          <w:tcPr>
            <w:tcW w:w="1920" w:type="dxa"/>
          </w:tcPr>
          <w:p w14:paraId="59C1160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Halogenated fatty aldehyde</w:t>
            </w:r>
          </w:p>
        </w:tc>
        <w:tc>
          <w:tcPr>
            <w:tcW w:w="2713" w:type="dxa"/>
          </w:tcPr>
          <w:p w14:paraId="5F763A72"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t>Antimicrobial, antifouling, cytotoxic</w:t>
            </w:r>
          </w:p>
        </w:tc>
        <w:tc>
          <w:tcPr>
            <w:tcW w:w="1620" w:type="dxa"/>
          </w:tcPr>
          <w:p w14:paraId="55AD1196" w14:textId="77777777" w:rsidR="000B6857" w:rsidRPr="0049220A" w:rsidRDefault="000B6857" w:rsidP="000B6857">
            <w:pPr>
              <w:pStyle w:val="NoSpacing"/>
              <w:rPr>
                <w:rFonts w:ascii="Times New Roman" w:hAnsi="Times New Roman" w:cs="Times New Roman"/>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ADDIN CSL_CITATION {"citationItems":[{"id":"ITEM-1","itemData":{"ISSN":"20084447","PMID":"28210466","abstract":"Background and Objectives: Acinetobacter spp. are important causes of nosocomial infections. They possess various antibiotic resistance mechanisms including extended spectrum beta lactamases (ESBLs). The aim of this study was to determine antibiotic resistance profile of Acinetobacter clinical isolates especially among ESBL-producing strains and to investigate the antimicrobial effects of oleo-gum-resin extract and essential oil of Ferula gummosa Boiss. Materials and Methods: 120 Acinetobacter strains were isolated from various clinical samples of hospitalized patients in Baqiyatallah hospital, Tehran during 2011-2012. Antibiotic susceptibility test was performed on the isolates using disk diffusion method. To detect and confirm the ESBL-positive isolates, phenotypic and genotypic tests were performed. Three types of F. gummosa oleo-gum-resin extracts and essential oils were prepared and the bioactive components of F. gummosa Boiss extracts were determined by GC-Mass chromatography. F. gummosa antimicrobial activity was evaluated against standard strain of Acinetobacter baumannii (ATCC19606) as well as Acinetobacter clinical isolates using well and disk diffusion methods. Minimum inhibitory concentration (MIC) and minimum bactericidal concentration (MBC) were determined by broth microdilution method. Results: 46 isolates were resistant to all tested antibiotics. All clinical isolates were resistant to cefotaxime. 12.94% of the isolates were phenotypically ESBL-producing among which 94.2% carried ESBL genes (blaPER-1, blaOXA-4 and blaCTX-M) detected by PCR. Oleo-gum-resin of F. gummosa had significant antibacterial activity and alcoholic essential oil had higher inhibitory effect on Acinetobacter strains (MIC of 18.75 mg/ml). Conclusion: Ferula gummosa extract contained components with well-known antimicrobial effects.","author":[{"dropping-particle":"","family":"Farid-Afshar","given":"Fatemeh","non-dropping-particle":"","parse-names":false,"suffix":""},{"dropping-particle":"","family":"Saffarian","given":"Parvaneh","non-dropping-particle":"","parse-names":false,"suffix":""},{"dropping-particle":"","family":"Mahmoodzadeh-Hosseini","given":"Hamideh","non-dropping-particle":"","parse-names":false,"suffix":""},{"dropping-particle":"","family":"Sattarian","given":"Fereshteh","non-dropping-particle":"","parse-names":false,"suffix":""},{"dropping-particle":"","family":"Amin","given":"Mohsen","non-dropping-particle":"","parse-names":false,"suffix":""},{"dropping-particle":"","family":"Fooladi","given":"Abbas Ali Imani","non-dropping-particle":"","parse-names":false,"suffix":""}],"container-title":"Iranian Journal of Microbiology","id":"ITEM-1","issue":"4","issued":{"date-parts":[["2016"]]},"page":"263","publisher":"Tehran University of Medical Science","title":"Antimicrobial effects of Ferula gummosa Boiss gum against extended-spectrum β-lactamase producing Acinetobacter clinical isolates","type":"article-journal","volume":"8"},"uris":["http://www.mendeley.com/documents/?uuid=657d224a-56f6-3d6b-84c3-92148d396ee6"]}],"mendeley":{"formattedCitation":"(Farid-Afshar et al., 2016)","plainTextFormattedCitation":"(Farid-Afshar et al., 2016)","previouslyFormattedCitation":"(Farid-Afshar et al., 2016)"},"properties":{"noteIndex":0},"schema":"https://github.com/citation-style-language/schema/raw/master/csl-citation.json"}</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(Farid-Afshar et al., 2016)</w:t>
            </w:r>
            <w:r w:rsidRPr="0049220A">
              <w:rPr>
                <w:rFonts w:ascii="Times New Roman" w:hAnsi="Times New Roman" w:cs="Times New Roman"/>
                <w:sz w:val="24"/>
                <w:szCs w:val="24"/>
              </w:rPr>
              <w:fldChar w:fldCharType="end"/>
            </w:r>
          </w:p>
        </w:tc>
      </w:tr>
    </w:tbl>
    <w:p w14:paraId="710CB212" w14:textId="77777777" w:rsidR="006E13DA" w:rsidRPr="0049220A" w:rsidRDefault="006E13DA" w:rsidP="003421EC">
      <w:pPr>
        <w:jc w:val="both"/>
        <w:rPr>
          <w:rFonts w:ascii="Times New Roman" w:hAnsi="Times New Roman" w:cs="Times New Roman"/>
          <w:noProof/>
          <w:sz w:val="24"/>
          <w:szCs w:val="24"/>
          <w:lang w:eastAsia="en-GB"/>
        </w:rPr>
      </w:pPr>
    </w:p>
    <w:p w14:paraId="0F185627" w14:textId="77777777" w:rsidR="009222FD" w:rsidRPr="0049220A" w:rsidRDefault="00856A4D"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4. </w:t>
      </w:r>
      <w:r w:rsidR="009222FD" w:rsidRPr="0049220A">
        <w:rPr>
          <w:rFonts w:ascii="Times New Roman" w:hAnsi="Times New Roman" w:cs="Times New Roman"/>
          <w:b/>
          <w:sz w:val="24"/>
          <w:szCs w:val="24"/>
        </w:rPr>
        <w:t>Discussion</w:t>
      </w:r>
    </w:p>
    <w:p w14:paraId="33ADC227"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The GC-MS analysis of the ethanolic extract of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revealed the presence of diverse bioactive compounds, including fatty acids, esters, alcohols, alkanes, terpenoids, and steroidal derivatives, each contributing to the extract’s biological potential. The predominance of polyunsaturated fatty acids (PUFAs) and their derivatives, such as 5,8,11,14-eicosatetraenoic acid, phenylmethyl ester and 9,12,15-octadecatrienoic acid, methyl ester, indicates that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possesses strong anti-inflammatory, antioxidant, and antimicrobial properties. These findings are consistent with previous reports highlighting the crucial role of PUFA derivatives in modulating oxidative stress and immune responses</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{"citationItems":[{"id":"ITEM-1","itemData":{"DOI":"10.1016/J.BBALIP.2014.08.010","ISSN":"1388-1981","PMID":"25149823","abstract":"Inflammation is a condition which contributes to a range of human diseases. It involves a multitude of cell types, chemical mediators, and interactions. Eicosapentaenoic acid (EPA) and docosahexaenoic acid (DHA) are omega-3 (n - 3) fatty acids found in oily fish and fish oil supplements. These fatty acids are able to partly inhibit a number of aspects of inflammation including leukocyte chemotaxis, adhesion molecule expression and leukocyte-endothelial adhesive interactions, production of eicosanoids like prostaglandins and leukotrienes from the n - 6 fatty acid arachidonic acid, production of inflammatory cytokines, and T-helper 1 lymphocyte reactivity. In addition, EPA gives rise to eicosanoids that often have lower biological potency than those produced from arachidonic acid and EPA and DHA give rise to anti-inflammatory and inflammation resolving mediators called resolvins, protectins and maresins. Mechanisms underlying the anti-inflammatory actions of marine n - 3 fatty acids include altered cell membrane phospholipid fatty acid composition, disruption of lipid rafts, inhibition of activation of the pro-inflammatory transcription factor nuclear factor kappa B so reducing expression of inflammatory genes, activation of the anti-inflammatory transcription factor peroxisome proliferator activated receptor γ and binding to the G protein coupled receptor GPR120. These mechanisms are interlinked, although the full extent of this is not yet elucidated. Animal experiments demonstrate benefit from marine n - 3 fatty acids in models of rheumatoid arthritis (RA), inflammatory bowel disease (IBD) and asthma. Clinical trials of fish oil in RA demonstrate benefit, but clinical trials of fish oil in IBD and asthma are inconsistent with no overall clear evidence of efficacy. This article is part of a Special Issue entitled \"Oxygenated metabolism of PUFA: analysis and biological relevance\".","author":[{"dropping-particle":"","family":"Calder","given":"Philip C.","non-dropping-particle":"","parse-names":false,"suffix":""}],"container-title":"Biochimica et Biophysica Acta (BBA) - Molecular and Cell Biology of Lipids","id":"ITEM-1","issue":"4","issued":{"date-parts":[["2015","4","1"]]},"page":"469-484","publisher":"Elsevier","title":"Marine omega-3 fatty acids and inflammatory processes: Effects, mechanisms and clinical relevance","type":"article-journal","volume":"1851"},"uris":["http://www.mendeley.com/documents/?uuid=45258b62-89f7-3b6e-b9c6-fdfd709f79ae"]},{"id":"ITEM-2","itemData":{"DOI":"10.1021/CR2002992,","ISSN":"00092665","PMID":"21942677","author":[{"dropping-particle":"","family":"Smith","given":"William L.","non-dropping-particle":"","parse-names":false,"suffix":""},{"dropping-particle":"","family":"Urade","given":"Yoshihiro","non-dropping-particle":"","parse-names":false,"suffix":""},{"dropping-particle":"","family":"Jakobsson","given":"Per Johan","non-dropping-particle":"","parse-names":false,"suffix":""}],"container-title":"Chemical Reviews","id":"ITEM-2","issue":"10","issued":{"date-parts":[["2011","10","12"]]},"page":"5821-5865","publisher":"Chem Rev","title":"Enzymes of the cyclooxygenase pathways of prostanoid biosynthesis","type":"article-journal","volume":"111"},"uris":["http://www.mendeley.com/documents/?uuid=13898d66-174e-3a67-b79e-6425403b8d6d"]}],"mendeley":{"formattedCitation":"(Calder, 2015; Smith et al., 2011)","plainTextFormattedCitation":"(Calder, 2015; Smith et al., 2011)","previouslyFormattedCitation":"(Calder, 2015; Smith et al., 2011)"},"properties":{"noteIndex":0},"schema":"https://github.com/citation-style-language/schema/raw/master/csl-citation.json"}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(Calder, 2015; Smith et al., 2011)</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2BFE1D8C"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The detection of several antimicrobial compounds such as 1-chlorooctadecane, 9,12-octadecadienoyl chloride, and </w:t>
      </w:r>
      <w:proofErr w:type="spellStart"/>
      <w:r w:rsidRPr="0049220A">
        <w:rPr>
          <w:rFonts w:ascii="Times New Roman" w:hAnsi="Times New Roman" w:cs="Times New Roman"/>
          <w:sz w:val="24"/>
          <w:szCs w:val="24"/>
        </w:rPr>
        <w:t>tetradecanoic</w:t>
      </w:r>
      <w:proofErr w:type="spellEnd"/>
      <w:r w:rsidRPr="0049220A">
        <w:rPr>
          <w:rFonts w:ascii="Times New Roman" w:hAnsi="Times New Roman" w:cs="Times New Roman"/>
          <w:sz w:val="24"/>
          <w:szCs w:val="24"/>
        </w:rPr>
        <w:t xml:space="preserve"> acid, 12-methyl-, methyl ester further supports the antimicrobial potential of the extract. Similar compounds isolated from other cyanobacteria have demonstrated inhibitory activity against Gram-positive and Gram-negative bacteria</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{"citationItems":[{"id":"ITEM-1","itemData":{"DOI":"10.1039/C2NP00090C","ISSN":"1460-4752","PMID":"22193773","abstract":"Covering: 2010. Previous review: Nat. Prod. Rep., 2011, 28, 196\n      This review covers the literature published in 2010 for marine natural products, with 895 citations (590 for the period January to December 2010) referring to compounds isolated from marine microorganisms and phytoplankton, green, brown and red algae, sponges, cnidarians, bryozoans, molluscs, tunicates, echinoderms, mangroves and other intertidal plants and microorganisms. The emphasis is on new compounds (1003 for 2010), together with the relevant biological activities, source organisms and country of origin. Biosynthetic studies, first syntheses, and syntheses that lead to the revision of structures or stereochemistries, have been included.","author":[{"dropping-particle":"","family":"Blunt","given":"John W.","non-dropping-particle":"","parse-names":false,"suffix":""},{"dropping-particle":"","family":"Copp","given":"Brent R.","non-dropping-particle":"","parse-names":false,"suffix":""},{"dropping-particle":"","family":"Keyzers","given":"Robert A.","non-dropping-particle":"","parse-names":false,"suffix":""},{"dropping-particle":"","family":"Munro","given":"Murray H.G.","non-dropping-particle":"","parse-names":false,"suffix":""},{"dropping-particle":"","family":"Prinsep","given":"Michèle R.","non-dropping-particle":"","parse-names":false,"suffix":""}],"container-title":"Natural Product Reports","id":"ITEM-1","issue":"2","issued":{"date-parts":[["2012","1","17"]]},"page":"144-222","publisher":"The Royal Society of Chemistry","title":"Marine natural products","type":"article-journal","volume":"29"},"uris":["http://www.mendeley.com/documents/?uuid=21681af5-1832-3442-b69e-51002f2ec36c"]},{"id":"ITEM-2","itemData":{"DOI":"10.1007/S13205-023-03888-2/METRICS","ISSN":"21905738","abstract":"Bioactive compounds in plants are essential for the formation of novel chemotherapeutic drugs, which have been used in Ayurveda to treat a variety of illnesses. Indian medicinal herbs have been used for thousands of years to treat a variety of illnesses, such as fever, cancer, snake bites, rheumatism, skin problems, and neurodegenerative diseases. GC–MS was used to locate and categorize bioactive components in Olea dioica leaves. The results showed that presence of octanoic acid, methyl ester, decanoic acid, methyl ester, desulphosinigrin, l-gala-l-ido-octose, methyl tetradecanoate, Tetradecanoic acid, 6-benzoxazolesulfonamide, N-(2-hydroxyethyl)-2-methyl-, 10-chloro-5-methoxy-5H-dibenzo[a,d][7]annulene, pentadecanoic acid, oleic acid, n-hexadecanoic acid, hexanedioic acid, dioctyl ester, and squalene. The methanol extract of Olea dioica was effective against a wide spectrum of pathogenic bacteria at four different concentrations, with the highest activity against Escherichia coli, Klebsiella pneumoniae, Staphylococcus aureus, Xanthomonas campestris, and Salmonella typhimurium. It also showed moderate activity against Agrobacterium tumefaciens, Pseudomonas aeruginosa, Streptomyces pneumonia, and Pseudomonas syringae. The pharmacological properties of O. dioica, as well as their variety and comprehensive phytochemistry, could be exploited as a potent antimicrobial agent for future therapeutics.","author":[{"dropping-particle":"","family":"Krishnappa","given":"Srinivasa","non-dropping-particle":"","parse-names":false,"suffix":""},{"dropping-particle":"","family":"Karthik","given":"Yalpi","non-dropping-particle":"","parse-names":false,"suffix":""},{"dropping-particle":"","family":"Pratap","given":"G. K.","non-dropping-particle":"","parse-names":false,"suffix":""},{"dropping-particle":"","family":"Shantaram","given":"Manjula","non-dropping-particle":"","parse-names":false,"suffix":""},{"dropping-particle":"","family":"Umarajashekhar","given":"Alavala","non-dropping-particle":"","parse-names":false,"suffix":""},{"dropping-particle":"","family":"Soumya","given":"J.","non-dropping-particle":"","parse-names":false,"suffix":""},{"dropping-particle":"","family":"Bhatt","given":"Bhagyashree","non-dropping-particle":"","parse-names":false,"suffix":""},{"dropping-particle":"","family":"Sayed","given":"Samy M.","non-dropping-particle":"","parse-names":false,"suffix":""},{"dropping-particle":"","family":"Alhelaify","given":"Seham Sater","non-dropping-particle":"","parse-names":false,"suffix":""},{"dropping-particle":"","family":"Aharthy","given":"Ohud Muslat","non-dropping-particle":"","parse-names":false,"suffix":""},{"dropping-particle":"","family":"Mushtaq","given":"Muntazir","non-dropping-particle":"","parse-names":false,"suffix":""}],"container-title":"Biotech","id":"ITEM-2","issue":"3","issued":{"date-parts":[["2024","3","1"]]},"page":"1-14","publisher":"Springer Science and Business Media Deutschland GmbH","title":"Exploration of bioactive compounds from Olea dioica in Western Ghats of Karnataka using GC–MS","type":"article-journal","volume":"14"},"uris":["http://www.mendeley.com/documents/?uuid=586d1da9-0f67-3dbc-9aed-2397c7268dd4"]}],"mendeley":{"formattedCitation":"(Blunt et al., 2012; Krishnappa et al., 2024)","plainTextFormattedCitation":"(Blunt et al., 2012; Krishnappa et al., 2024)","previouslyFormattedCitation":"(Blunt et al., 2012; Krishnappa et al., 2024)"},"properties":{"noteIndex":0},"schema":"https://github.com/citation-style-language/schema/raw/master/csl-citation.json"}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(Blunt et al., 2012; Krishnappa et al., 2024)</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The presence of halogenated alkanes and aldehydes, including 1-chlorooctadecane and </w:t>
      </w:r>
      <w:proofErr w:type="spellStart"/>
      <w:r w:rsidRPr="0049220A">
        <w:rPr>
          <w:rFonts w:ascii="Times New Roman" w:hAnsi="Times New Roman" w:cs="Times New Roman"/>
          <w:sz w:val="24"/>
          <w:szCs w:val="24"/>
        </w:rPr>
        <w:t>octadecanal</w:t>
      </w:r>
      <w:proofErr w:type="spellEnd"/>
      <w:r w:rsidRPr="0049220A">
        <w:rPr>
          <w:rFonts w:ascii="Times New Roman" w:hAnsi="Times New Roman" w:cs="Times New Roman"/>
          <w:sz w:val="24"/>
          <w:szCs w:val="24"/>
        </w:rPr>
        <w:t xml:space="preserve">, 2-bromo-, suggests a defensive role against microbial colonization and fouling, a common ecological adaptation among marine and freshwater cyanobacteria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{"citationItems":[{"id":"ITEM-1","itemData":{"ISSN":"20084447","PMID":"28210466","abstract":"Background and Objectives: Acinetobacter spp. are important causes of nosocomial infections. They possess various antibiotic resistance mechanisms including extended spectrum beta lactamases (ESBLs). The aim of this study was to determine antibiotic resistance profile of Acinetobacter clinical isolates especially among ESBL-producing strains and to investigate the antimicrobial effects of oleo-gum-resin extract and essential oil of Ferula gummosa Boiss. Materials and Methods: 120 Acinetobacter strains were isolated from various clinical samples of hospitalized patients in Baqiyatallah hospital, Tehran during 2011-2012. Antibiotic susceptibility test was performed on the isolates using disk diffusion method. To detect and confirm the ESBL-positive isolates, phenotypic and genotypic tests were performed. Three types of F. gummosa oleo-gum-resin extracts and essential oils were prepared and the bioactive components of F. gummosa Boiss extracts were determined by GC-Mass chromatography. F. gummosa antimicrobial activity was evaluated against standard strain of Acinetobacter baumannii (ATCC19606) as well as Acinetobacter clinical isolates using well and disk diffusion methods. Minimum inhibitory concentration (MIC) and minimum bactericidal concentration (MBC) were determined by broth microdilution method. Results: 46 isolates were resistant to all tested antibiotics. All clinical isolates were resistant to cefotaxime. 12.94% of the isolates were phenotypically ESBL-producing among which 94.2% carried ESBL genes (blaPER-1, blaOXA-4 and blaCTX-M) detected by PCR. Oleo-gum-resin of F. gummosa had significant antibacterial activity and alcoholic essential oil had higher inhibitory effect on Acinetobacter strains (MIC of 18.75 mg/ml). Conclusion: Ferula gummosa extract contained components with well-known antimicrobial effects.","author":[{"dropping-particle":"","family":"Farid-Afshar","given":"Fatemeh","non-dropping-particle":"","parse-names":false,"suffix":""},{"dropping-particle":"","family":"Saffarian","given":"Parvaneh","non-dropping-particle":"","parse-names":false,"suffix":""},{"dropping-particle":"","family":"Mahmoodzadeh-Hosseini","given":"Hamideh","non-dropping-particle":"","parse-names":false,"suffix":""},{"dropping-particle":"","family":"Sattarian","given":"Fereshteh","non-dropping-particle":"","parse-names":false,"suffix":""},{"dropping-particle":"","family":"Amin","given":"Mohsen","non-dropping-particle":"","parse-names":false,"suffix":""},{"dropping-particle":"","family":"Fooladi","given":"Abbas Ali Imani","non-dropping-particle":"","parse-names":false,"suffix":""}],"container-title":"Iranian Journal of Microbiology","id":"ITEM-1","issue":"4","issued":{"date-parts":[["2016"]]},"page":"263","publisher":"Tehran University of Medical Science","title":"Antimicrobial effects of Ferula gummosa Boiss gum against extended-spectrum β-lactamase producing Acinetobacter clinical isolates","type":"article-journal","volume":"8"},"uris":["http://www.mendeley.com/documents/?uuid=657d224a-56f6-3d6b-84c3-92148d396ee6"]}],"mendeley":{"formattedCitation":"(Farid-Afshar et al., 2016)","plainTextFormattedCitation":"(Farid-Afshar et al., 2016)","previouslyFormattedCitation":"(Farid-Afshar et al., 2016)"},"properties":{"noteIndex":0},"schema":"https://github.com/citation-style-language/schema/raw/master/csl-citation.json"}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(Farid-Afshar et al., 2016)</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4EC0535C"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Several lipid-based metabolites, such as oleic acid, pentadecanoic acid methyl ester, and ethyl pentadecanoate, contribute to the antioxidant and cytoprotective activities of the extract. These compounds are known to maintain membrane stability and prevent lipid peroxidation, which may enhance the survival of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in oxidative environments</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{"citationItems":[{"id":"ITEM-1","itemData":{"DOI":"10.3390/MD9102155","ISBN":"5655637804","ISSN":"1660-3397","PMID":"22073014","abstract":"It is known that some strains of Vibrio parahaemolyticus are responsible for gastroenteric diseases caused by the ingestion of marine organisms contaminated with these bacterial strains. Organic products that show inhibitory activity on the growth of the pathogenic V. parahaemolyticus were extracted from a Vibrio native in the north of Chile. The inhibitory organic products were isolated by reverse phase chromatography and permeation by Sephadex LH20, and were characterized by spectroscopic and spectrometric techniques. The results showed that the prevailing active product is oleic acid, which was compared with standards by gas chromatography and high-performance liquid chromatography (HPLC). These active products might be useful for controlling the proliferation of pathogenic clones of V. parahaemolyticus.","author":[{"dropping-particle":"","family":"Leyton","given":"Yanett","non-dropping-particle":"","parse-names":false,"suffix":""},{"dropping-particle":"","family":"Borquez","given":"Jorge","non-dropping-particle":"","parse-names":false,"suffix":""},{"dropping-particle":"","family":"Darias","given":"José","non-dropping-particle":"","parse-names":false,"suffix":""},{"dropping-particle":"","family":"Cueto","given":"Mercedes","non-dropping-particle":"","parse-names":false,"suffix":""},{"dropping-particle":"","family":"Díaz-Marrero","given":"Ana R.","non-dropping-particle":"","parse-names":false,"suffix":""},{"dropping-particle":"","family":"Riquelme","given":"Carlos","non-dropping-particle":"","parse-names":false,"suffix":""}],"container-title":"Marine Drugs","id":"ITEM-1","issue":"10","issued":{"date-parts":[["2011","10","24"]]},"page":"2155-2163","publisher":"Molecular Diversity Preservation International","title":"Oleic Acid Produced by a Marine Vibrio spp. Acts as an Anti-Vibrio parahaemolyticus Agent","type":"article-journal","volume":"9"},"uris":["http://www.mendeley.com/documents/?uuid=7734124c-18b4-3cc5-b475-6ae239f84eb4"]},{"id":"ITEM-2","itemData":{"DOI":"10.1016/J.HELIYON.2023.E14461","ISSN":"24058440","PMID":"36925541","abstract":"Conventional antibiotics are associated with various side-effects. Therefore, there is need of using plant-derived antibiotics with fewer side-effects. Grewia tembensis and Xerophyta spekei, which have been extensively utilized in the Mbeere community, were studied to support their folkloric use and demonstrate their antibacterial capabilities. Salmonella Typhi ATCC 1408, Bacillus subtilis ATCC 21332, Staphylococcus aureus ATCC 25923, and Escherichia coli ATCC 25922 were all used in this study. As a standard reference, Ciprofloxacin (100 μg/ml) was employed, and 5% DMSO was used as a negative reference. Tests for antibacterial activities included disc diffusion, minimum inhibitory concentrations, and bactericidal concentrations. G. tembensis exhibited effects on S. aureus only with Mean Zone Inhibition (MZI) of 07.07 ± 0.07 to 12.33 ± 0.33 mm and 08.33 ± 0.33 to 11.67 ± 0.33 mm for stem bark and leaf extracts respectively. While X. spekei extract had effects on S. aureus with MZI of 07.67 ± 0.33 to 14.67 ± 0.33 mm and B. subtilis with MZI of 09.67 ± 0.33 to 14.33 ± 0.33 mm. Ciprofloxacin demonstrated significantly higher activities as compared to the plant extracts in all the concentrations (p &lt; 0.05), while 5% DMSO had no activity. GC-MS analysis demonstrated the availability of compounds with known antibacterial effects. Therefore, the current study recommends ethnomedicinal and therapeutic use of G. tembensis and X. spekei as antibacterial agents.","author":[{"dropping-particle":"","family":"Nyalo","given":"Paul Ochieng","non-dropping-particle":"","parse-names":false,"suffix":""},{"dropping-particle":"","family":"Omwenga","given":"George Isanda","non-dropping-particle":"","parse-names":false,"suffix":""},{"dropping-particle":"","family":"Ngugi","given":"Mathew Piero","non-dropping-particle":"","parse-names":false,"suffix":""}],"container-title":"Heliyon","id":"ITEM-2","issue":"3","issued":{"date-parts":[["2023","3","1"]]},"page":"e14461","publisher":"Elsevier Ltd","title":"Antibacterial properties and GC-MS analysis of ethyl acetate extracts of Xerophyta spekei (Baker) and Grewia tembensis (Fresen)","type":"article-journal","volume":"9"},"uris":["http://www.mendeley.com/documents/?uuid=2d94790a-506b-3aa3-a3da-45b2c6a9b500"]}],"mendeley":{"formattedCitation":"(Leyton et al., 2011; Nyalo et al., 2023)","plainTextFormattedCitation":"(Leyton et al., 2011; Nyalo et al., 2023)","previouslyFormattedCitation":"(Leyton et al., 2011; Nyalo et al., 2023)"},"properties":{"noteIndex":0},"schema":"https://github.com/citation-style-language/schema/raw/master/csl-citation.json"}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(Leyton et al., 2011; Nyalo et al., 2023)</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Moreover, the identification of bioactive alcohols such as E-7-tetradecenol and 1-dodecanol, 3,7,11-trimethyl- implies potential quorum-sensing inhibition and antifungal effects, similar to those reported in other microalgal metabolites </w:t>
      </w:r>
      <w:r w:rsidR="00AB1280"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{"citationItems":[{"id":"ITEM-1","itemData":{"DOI":"10.1021/JF034774L;JOURNAL:JOURNAL:JAFCAU;ISSUE:ISSUE:10.1021/JAFCAU.2004.52.ISSUE-5;PAGE:STRING:ARTICLE/CHAPTER","ISSN":"00218561","abstract":"The antibacterial activity of a series of alkyl gallates (3,4,5-trihydroxybenzoates) against Gram-positive bacteria was tested using a broth dilution method. All of the Gram-positive bacteria tested were susceptible to alkyl gallates, and this activity was found to correlate with the alkyl chain length. The antibacterial activity of alkyl gallates against Bacillus subtilis was a parabolic function of their lipophilicity and maximized with alkyl chain length between C8 and C11. Notably, alkyl gallates were found to be bactericidal against B. subtilis ATCC 9372, but this activity was significantly affected by the endospore formation in the culture. The antibacterial activity of alkyl gallates likely comes at least in part from their ability to inhibit the membrane respiratory chain but is not due to the prooxidant action.","author":[{"dropping-particle":"","family":"Kubo","given":"Isao","non-dropping-particle":"","parse-names":false,"suffix":""},{"dropping-particle":"","family":"Fujita","given":"Ken Ichi","non-dropping-particle":"","parse-names":false,"suffix":""},{"dropping-particle":"","family":"Nihei","given":"Ken Ichi","non-dropping-particle":"","parse-names":false,"suffix":""},{"dropping-particle":"","family":"Nihei","given":"Atsuko","non-dropping-particle":"","parse-names":false,"suffix":""}],"container-title":"Journal of Agricultural and Food Chemistry","id":"ITEM-1","issue":"5","issued":{"date-parts":[["2004","3","10"]]},"page":"1072-1076","publisher":"American Chemical Society","title":"Antibacterial Activity of Akyl Gallates against Bacillus subtilis","type":"article-journal","volume":"52"},"uris":["http://www.mendeley.com/documents/?uuid=21ed38c1-7279-3c95-b92f-f5840a7cae5b"]},{"id":"ITEM-2","itemData":{"DOI":"10.1016/J.PLIPRES.2015.06.001","ISSN":"18732194","PMID":"26080085","abstract":"For many species of insects, lipid pheromones profoundly influence survival, reproduction, and social organization. Unravelling the chemical language of insects has been the subject of intense research in the field of chemical ecology for the past five decades. Characterizing the forms, functions, and biosynthesis of lipid pheromones has led not only to the development of strategies for controlling agricultural pests but has also provided insights into fundamental questions in evolutionary biology. Despite the enormous variety of chemical structures that are used as pheromones, some common themes in function and biosynthetic pathways have emerged across studies of diverse taxa. This review will offer a general overview of insect lipid pheromone function and biochemical synthesis, describe analytical methods for pheromone discovery, and provide perspectives on the contribution of chemical ecology to pest control and understanding evolutionary processes.","author":[{"dropping-particle":"","family":"Yew","given":"Joanne Y.","non-dropping-particle":"","parse-names":false,"suffix":""},{"dropping-particle":"","family":"Chung","given":"Henry","non-dropping-particle":"","parse-names":false,"suffix":""}],"container-title":"Progress in Lipid Research","id":"ITEM-2","issued":{"date-parts":[["2015","6","29"]]},"page":"88-105","publisher":"Elsevier Ltd","title":"Insect pheromones: An overview of function, form, and discovery","type":"article-journal","volume":"59"},"uris":["http://www.mendeley.com/documents/?uuid=2e687217-b979-3602-9534-6a58cbef7c9a"]}],"mendeley":{"formattedCitation":"(Kubo et al., 2004; Yew &amp; Chung, 2015)","plainTextFormattedCitation":"(Kubo et al., 2004; Yew &amp; Chung, 2015)","previouslyFormattedCitation":"(Kubo et al., 2004; Yew &amp; Chung, 2015)"},"properties":{"noteIndex":0},"schema":"https://github.com/citation-style-language/schema/raw/master/csl-citation.json"}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EA3896" w:rsidRPr="0049220A">
        <w:rPr>
          <w:rFonts w:ascii="Times New Roman" w:hAnsi="Times New Roman" w:cs="Times New Roman"/>
          <w:noProof/>
          <w:sz w:val="24"/>
          <w:szCs w:val="24"/>
        </w:rPr>
        <w:t>(Kubo et al., 2004; Yew &amp; Chung, 2015)</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434ABF8C"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The detection of specialized compounds such as </w:t>
      </w:r>
      <w:proofErr w:type="spellStart"/>
      <w:r w:rsidRPr="0049220A">
        <w:rPr>
          <w:rFonts w:ascii="Times New Roman" w:hAnsi="Times New Roman" w:cs="Times New Roman"/>
          <w:sz w:val="24"/>
          <w:szCs w:val="24"/>
        </w:rPr>
        <w:t>panaxjapyne</w:t>
      </w:r>
      <w:proofErr w:type="spellEnd"/>
      <w:r w:rsidRPr="0049220A">
        <w:rPr>
          <w:rFonts w:ascii="Times New Roman" w:hAnsi="Times New Roman" w:cs="Times New Roman"/>
          <w:sz w:val="24"/>
          <w:szCs w:val="24"/>
        </w:rPr>
        <w:t xml:space="preserve"> A, </w:t>
      </w:r>
      <w:proofErr w:type="spellStart"/>
      <w:r w:rsidRPr="0049220A">
        <w:rPr>
          <w:rFonts w:ascii="Times New Roman" w:hAnsi="Times New Roman" w:cs="Times New Roman"/>
          <w:sz w:val="24"/>
          <w:szCs w:val="24"/>
        </w:rPr>
        <w:t>corymbolone</w:t>
      </w:r>
      <w:proofErr w:type="spellEnd"/>
      <w:r w:rsidRPr="0049220A">
        <w:rPr>
          <w:rFonts w:ascii="Times New Roman" w:hAnsi="Times New Roman" w:cs="Times New Roman"/>
          <w:sz w:val="24"/>
          <w:szCs w:val="24"/>
        </w:rPr>
        <w:t>, and 17-octadecynoic acid indicates possible cytotoxic or anticancer properties. Polyacetylene and sesquiterpene derivatives, like those found here, have been associated with antiproliferative and apoptosis-inducing effects</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{"citationItems":[{"id":"ITEM-1","itemData":{"DOI":"10.3390/PATHOGENS9110889","ISSN":"20760817","PMID":"33120980","abstract":"Cyperus articulatus L. is popularly known as priprioca. Its rhizomes are used as a medicine in the treatment of malaria in traditional medicine. Since priprioca oil is extracted for commercial purpose, we evaluated if the components from the priprioca residue can be a source of antiplasmodial active molecules. This study aimed to determine the in vitro antiplasmodial and cytotoxicity activities of the ethanolic extract of C. articulatus as an in vitro antiplasmodial agent. From the solid residue of the plant rhizomes, 40 g samples were removed and subjected to hot extraction using a Soxhlet extractor. The in vitro antiplasmodial activity was determined using the W2 and 3D7 strains of P. falciparum. The phytochemical study identified the following main compounds: Corymbolone (14.25%), cyclocolorenone (9.75%), and cadalene (8.36%). The extract exhibited moderate IC50 (inhibitory concentration) against the two strains of P. falciparum: 1.21 ± 0.01 against the W2 strain and 1.10 ± 0.06 μg/mL against the 3D7 strain. Our results show the therapeutic potential of priprioca residue as a low-cost antiplasmodial agent.","author":[{"dropping-particle":"","family":"Assis","given":"Francisco Flávio Vieira","non-dropping-particle":"De","parse-names":false,"suffix":""},{"dropping-particle":"","family":"Silva","given":"Nazaré Carneiro","non-dropping-particle":"Da","parse-names":false,"suffix":""},{"dropping-particle":"","family":"Moraes","given":"Waldiney Pires","non-dropping-particle":"","parse-names":false,"suffix":""},{"dropping-particle":"","family":"Barata","given":"Lauro Euclides Soares","non-dropping-particle":"","parse-names":false,"suffix":""},{"dropping-particle":"","family":"Minervino","given":"Antonio Humberto Hamad","non-dropping-particle":"","parse-names":false,"suffix":""}],"container-title":"Pathogens","id":"ITEM-1","issue":"11","issued":{"date-parts":[["2020","11","1"]]},"page":"889","publisher":"MDPI AG","title":"Chemical Composition and In Vitro Antiplasmodial Activity of the Ethanolic Extract of Cyperus articulatus var. nodosus Residue","type":"article-journal","volume":"9"},"uris":["http://www.mendeley.com/documents/?uuid=c8064a74-4e40-38b6-9a56-b9396237d572"]},{"id":"ITEM-2","itemData":{"DOI":"10.3390/MOLECULES27207027/S1","ISSN":"14203049","PMID":"36296616","abstract":"Although C17 polyacetylenes from Panax ginseng exhibit cytotoxic properties against various tumor cells, there have been few experiments on epithelial ovarian carcinoma cells. This study aimed to investigate the cytotoxic effects of C17 polyacetylenes from P. ginseng against ovarian cancer cell lines. Four unreported (1–4) and fifteen known (5–19) C17 polyacetylenes were obtained from the roots of P. ginseng using repeated chromatography (open column, MPLC, and preparative HPLC). The chemical structures of all the compounds were determined by analyzing their spectroscopic data (NMR, IR, and optical rotation) and HR-MS. The structures of new polyacetylenes were elucidated as (3S,8S,9R,10R)-(-)-heptadeca-9,10-epoxy-4,6-diyne-3,8-diyl diacetate (1), (3S,8S,9R,10R)-(−)-heptadeca-1-en-9,10-epoxy-4,6-diyne-3,8-diyl diacetate (2), (−)-haptadeca-9,10-epoxy-8-methoxy-4,6-diyne-3,11-diol (3), and (3R,9R,10R)-(+)-3-acetoxy-9,10-dihydroxyheptadeca-1-en-4,6-diyne (4), named ginsenoynes O, P, and Q, and 3-acetyl panaxytriol, respectively. Subsequently, in vitro experiments on A2780 and SKOV3 human epithelial ovarian carcinoma cells were performed to assess the cytotoxic properties of the isolates. Among the isolates, panaquinquecol 4 (15) exhibited the most remarkable cytotoxic effects on both human ovarian cancer cells A2780 (IC50 value of 7.60 μM) and SKOV3 (IC50 value of 27.53 μM). Therefore, C17 polyacetylenes derived from P. ginseng may warrant further investigation for their therapeutic potential in epithelial ovarian cancer.","author":[{"dropping-particle":"","family":"Kim","given":"Ranhee","non-dropping-particle":"","parse-names":false,"suffix":""},{"dropping-particle":"","family":"Son","given":"So Ri","non-dropping-particle":"","parse-names":false,"suffix":""},{"dropping-particle":"","family":"Lee","given":"Na Kyung","non-dropping-particle":"","parse-names":false,"suffix":""},{"dropping-particle":"","family":"Kim","given":"Ji Young","non-dropping-particle":"","parse-names":false,"suffix":""},{"dropping-particle":"","family":"An","given":"Gami","non-dropping-particle":"","parse-names":false,"suffix":""},{"dropping-particle":"","family":"Choi","given":"Jung Hye","non-dropping-particle":"","parse-names":false,"suffix":""},{"dropping-particle":"","family":"Jang","given":"Dae Sik","non-dropping-particle":"","parse-names":false,"suffix":""}],"container-title":"Molecules","id":"ITEM-2","issue":"20","issued":{"date-parts":[["2022","10","1"]]},"page":"7027","publisher":"MDPI","title":"Cytotoxic Properties of C17 Polyacetylenes from the Fresh Roots of Panax ginseng on Human Epithelial Ovarian Cancer Cells","type":"article-journal","volume":"27"},"uris":["http://www.mendeley.com/documents/?uuid=338e59c8-7cee-36fa-884d-70271effaa0f"]}],"mendeley":{"formattedCitation":"(De Assis et al., 2020; Kim et al., 2022)","plainTextFormattedCitation":"(De Assis et al., 2020; Kim et al., 2022)","previouslyFormattedCitation":"(De Assis et al., 2020; Kim et al., 2022)"},"properties":{"noteIndex":0},"schema":"https://github.com/citation-style-language/schema/raw/master/csl-citation.json"}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(De Assis et al., 2020; Kim et al., 2022)</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Additionally, the presence of 1,25-dihydroxyvitamin D3 and cholest-5-en-3-ol confirms the metabolic versatility </w:t>
      </w:r>
      <w:r w:rsidRPr="0049220A">
        <w:rPr>
          <w:rFonts w:ascii="Times New Roman" w:hAnsi="Times New Roman" w:cs="Times New Roman"/>
          <w:sz w:val="24"/>
          <w:szCs w:val="24"/>
        </w:rPr>
        <w:lastRenderedPageBreak/>
        <w:t xml:space="preserve">of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in producing steroidal compounds involved in cellular regulation and photoprotection</w:t>
      </w:r>
      <w:r w:rsidR="00AB1280" w:rsidRPr="0049220A">
        <w:rPr>
          <w:rFonts w:ascii="Times New Roman" w:hAnsi="Times New Roman" w:cs="Times New Roman"/>
          <w:sz w:val="24"/>
          <w:szCs w:val="24"/>
        </w:rPr>
        <w:t xml:space="preserve"> </w:t>
      </w:r>
      <w:r w:rsidR="00AB1280" w:rsidRPr="0049220A">
        <w:rPr>
          <w:rFonts w:ascii="Times New Roman" w:hAnsi="Times New Roman" w:cs="Times New Roman"/>
          <w:sz w:val="24"/>
          <w:szCs w:val="24"/>
        </w:rPr>
        <w:fldChar w:fldCharType="begin" w:fldLock="1"/>
      </w:r>
      <w:r w:rsidR="00AB1280" w:rsidRPr="0049220A">
        <w:rPr>
          <w:rFonts w:ascii="Times New Roman" w:hAnsi="Times New Roman" w:cs="Times New Roman"/>
          <w:sz w:val="24"/>
          <w:szCs w:val="24"/>
        </w:rPr>
        <w:instrText>ADDIN CSL_CITATION {"citationItems":[{"id":"ITEM-1","itemData":{"DOI":"10.1056/NEJMRA070553","ISSN":"1533-4406","PMID":"17634462","author":[{"dropping-particle":"","family":"Holick","given":"Michael F.","non-dropping-particle":"","parse-names":false,"suffix":""}],"container-title":"The New England journal of medicine","id":"ITEM-1","issue":"3","issued":{"date-parts":[["2007","7","19"]]},"page":"266-281","publisher":"N Engl J Med","title":"Vitamin D deficiency","type":"article-journal","volume":"357"},"uris":["http://www.mendeley.com/documents/?uuid=e9c3f049-912a-34bf-8ab8-f47d2da44587"]},{"id":"ITEM-2","itemData":{"DOI":"10.18596/JOTCSA.1379263","ISSN":"2149-0120","abstract":"Cholest-5-en-3-ol is an organic compound that belongs to the category of steroidal secondary metabolites. The compound has a double bond and a hydroxyl group and is commonly found in plants that contain oils such as coconut, nuts, and others. So far, there have been no reports of isolating the compound cholest-5-en-3-ol from the extract of the stem bark of the ulin plant. This compound has been found in very small amounts. A maceration method was used to obtain the extract. The isolation method used for the isolation of the compound was chromatography, while for the elucidation of the structure of the compound, UV-Vis spectrophotometry, Fourier transform infrared spectroscopy (FTIR), and nuclear magnetic resonance spectroscopy (NMR) were used. The ethyl acetate extract is the most abundant with 85.5 g. The isolation results were obtained as a white needle-like solid. Based on the spectra of UV-Vis spectrophotometry, FTIR spectra, and chemical shifts of NMR, the elucidated compound is the cholest-5-en-3-ol.","author":[{"dropping-particle":"","family":"Yulianti","given":"Heni","non-dropping-particle":"","parse-names":false,"suffix":""},{"dropping-particle":"","family":"Santoni","given":"Adlis","non-dropping-particle":"","parse-names":false,"suffix":""},{"dropping-particle":"","family":"Efdi","given":"Mai","non-dropping-particle":"","parse-names":false,"suffix":""}],"container-title":"Journal of the Turkish Chemical Society Section A: Chemistry","id":"ITEM-2","issue":"3","issued":{"date-parts":[["2024","8","30"]]},"page":"919-924","publisher":"Turkish Chemical Society","title":"Isolation and Characterization of Cholest-5-en-3-ol Compound from the Ethyl Acetate Extract of Stem Bark Ulin Plant (Eusideroxylon zwageri Teijm &amp; Binn)","type":"article-journal","volume":"11"},"uris":["http://www.mendeley.com/documents/?uuid=4690c8df-5ebb-35de-bf81-19fb3f632bc4"]}],"mendeley":{"formattedCitation":"(Holick, 2007; Yulianti et al., 2024)","plainTextFormattedCitation":"(Holick, 2007; Yulianti et al., 2024)","previouslyFormattedCitation":"(Holick, 2007; Yulianti et al., 2024)"},"properties":{"noteIndex":0},"schema":"https://github.com/citation-style-language/schema/raw/master/csl-citation.json"}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(Holick, 2007; Yulianti et al., 2024)</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w:t>
      </w:r>
    </w:p>
    <w:p w14:paraId="25A33082" w14:textId="77777777" w:rsidR="00F7118C" w:rsidRPr="0049220A" w:rsidRDefault="00F7118C" w:rsidP="00F7118C">
      <w:pPr>
        <w:jc w:val="both"/>
        <w:rPr>
          <w:rFonts w:ascii="Times New Roman" w:hAnsi="Times New Roman" w:cs="Times New Roman"/>
          <w:sz w:val="24"/>
          <w:szCs w:val="24"/>
        </w:rPr>
      </w:pPr>
      <w:r w:rsidRPr="0049220A">
        <w:rPr>
          <w:rFonts w:ascii="Times New Roman" w:hAnsi="Times New Roman" w:cs="Times New Roman"/>
          <w:sz w:val="24"/>
          <w:szCs w:val="24"/>
        </w:rPr>
        <w:t xml:space="preserve">Flavonoid-like metabolites such as </w:t>
      </w:r>
      <w:proofErr w:type="spellStart"/>
      <w:r w:rsidRPr="0049220A">
        <w:rPr>
          <w:rFonts w:ascii="Times New Roman" w:hAnsi="Times New Roman" w:cs="Times New Roman"/>
          <w:sz w:val="24"/>
          <w:szCs w:val="24"/>
        </w:rPr>
        <w:t>isochiapin</w:t>
      </w:r>
      <w:proofErr w:type="spellEnd"/>
      <w:r w:rsidRPr="0049220A">
        <w:rPr>
          <w:rFonts w:ascii="Times New Roman" w:hAnsi="Times New Roman" w:cs="Times New Roman"/>
          <w:sz w:val="24"/>
          <w:szCs w:val="24"/>
        </w:rPr>
        <w:t xml:space="preserve"> B and carotenoids like </w:t>
      </w:r>
      <w:proofErr w:type="spellStart"/>
      <w:r w:rsidRPr="0049220A">
        <w:rPr>
          <w:rFonts w:ascii="Times New Roman" w:hAnsi="Times New Roman" w:cs="Times New Roman"/>
          <w:sz w:val="24"/>
          <w:szCs w:val="24"/>
        </w:rPr>
        <w:t>rhodopin</w:t>
      </w:r>
      <w:proofErr w:type="spellEnd"/>
      <w:r w:rsidRPr="0049220A">
        <w:rPr>
          <w:rFonts w:ascii="Times New Roman" w:hAnsi="Times New Roman" w:cs="Times New Roman"/>
          <w:sz w:val="24"/>
          <w:szCs w:val="24"/>
        </w:rPr>
        <w:t xml:space="preserve"> further strengthen the antioxidant profile of the extract. These compounds scavenge free radicals and contribute to cellular protection, aligning with the bioactivities previously documented in cyanobacteria and microalgae </w:t>
      </w:r>
      <w:r w:rsidR="00AB1280" w:rsidRPr="0049220A">
        <w:rPr>
          <w:rFonts w:ascii="Times New Roman" w:hAnsi="Times New Roman" w:cs="Times New Roman"/>
          <w:sz w:val="24"/>
          <w:szCs w:val="24"/>
        </w:rPr>
        <w:fldChar w:fldCharType="begin" w:fldLock="1"/>
      </w:r>
      <w:r w:rsidR="00EA3896" w:rsidRPr="0049220A">
        <w:rPr>
          <w:rFonts w:ascii="Times New Roman" w:hAnsi="Times New Roman" w:cs="Times New Roman"/>
          <w:sz w:val="24"/>
          <w:szCs w:val="24"/>
        </w:rPr>
        <w:instrText>ADDIN CSL_CITATION {"citationItems":[{"id":"ITEM-1","itemData":{"DOI":"10.21608/EJCHEM.2024.328645.10642","ISSN":"0449-2285","abstract":"Wound healing stays a substantial health affair for a great number of patients globally. Hypoxia plays a decisive role in specifying the normal successfulness of healing process. Hypoxia-inducible factor-1alpha, plays a critical role in oxygen homeostasis, cell survival and migration and growth factor release throughout the healing process. The target of this research is to characterize the phytochemical and antioxidant analysis of the lipophilic extract of Calendula officinalis (C. officinalis) flowers utilizing colorimetric, spectrophotometric, and chromatographic techniques. In addition, studying the wound healing properties in vivo and in vitro model. Rats were divided into four groups (six in each group) as follow: Group I: Control rats. Group II: Wounded and untreated rats. Group III: Rats are treated topically with 2.5% of C. officinalis in gel. Group IV Rats are treated topically with 5% of C. officinalis in gel. Furthermore, Molecular docking study was conducted to elucidate the mechanistic of C. officinalis wound healing properties through the inhibitory effects of its main components against key anti-healing goals and study the best binding affinity. Using GC-MS analysis six main different organic classes fatty acid (36.99 %), Sesquiterpene (34.9%), hydrocarbons (20.06%), diterpene (3.9%), phytosterol (2.10%) and alkaloid (0.53%), and 24 components comprising 98.48% of the observed peaks were identified as a consequence. It is evident that the predominant fatty acid is 1-heptatriacotanol (16.47%). Additionally, Isochiapin B is a significant sesquiterpene compounds that accounting for 15.91% of all sesquiterpene compounds. Moreover, this extract exhibited more potent antioxidant activity were observed., as demonstrated by the IC50. Owing to its high concentration of active compounds, C. officinalis promoted more wound contraction., collagen synthesis, 5' adenosine monophosphate-activated protein kinase (AMPK), Hypoxia-inducible factor 1-alpha (HIF-1α) and accelerated epithelization with a decrease in matrix metalloproteinases (MMP-9). Molecular docking revealed that Isochiapin B had better binding affinities than 1-Heptatriacotanol in the interaction with AMPK, Collagenase, HIF-1α, MMP-9, tumor necrosis factor alpha (TNF-α), and vascular endothelial growth factor (VEGF), and that its best binding affinity was with MMP-9. Obtained results assured that Calendula officinalis L possesses considerable wound healing activity in wounded rats due to i…","author":[{"dropping-particle":"","family":"Salama","given":"Abeer","non-dropping-particle":"","parse-names":false,"suffix":""},{"dropping-particle":"","family":"EL-Kassaby","given":"Mahitab I.","non-dropping-particle":"","parse-names":false,"suffix":""},{"dropping-particle":"","family":"Refaat","given":"Ahmed","non-dropping-particle":"","parse-names":false,"suffix":""},{"dropping-particle":"","family":"Mohasib","given":"Rasha M.M.","non-dropping-particle":"","parse-names":false,"suffix":""}],"container-title":"Egyptian Journal of Chemistry","id":"ITEM-1","issue":"13","issued":{"date-parts":[["2024","12","1"]]},"page":"1037-1058","publisher":"National Information and Documentation Centre (NIDOC), Academy of Scientific Research and Technology, ASRT","title":"GC–MS and Molecular Docking Analyses of Phytochemicals from Calendula officinalis L. Hexane Extract and Evaluation of its Antioxidant and Wound Healing Properties in Rats","type":"article-journal","volume":"67"},"uris":["http://www.mendeley.com/documents/?uuid=1bd4049e-1398-3dc9-9be0-f44084447ec8"]},{"id":"ITEM-2","itemData":{"DOI":"10.3390/MOLECULES28093939","ISSN":"1420-3049","PMID":"37175349","abstract":"Tephorosia purpurea subsp. apollinea was extracted with methanol and n-hexane to obtain sub-fractions. The chemical compounds identified with GC-MS and HPLC in T. purpurea subsp. apollinea extracts showed antioxidant and anticancer properties. The antioxidant and anticancer activities were investigated using DDPH and ABTS assays, and MTT assay, respectively. Stigmasta-5,24(28)-dien-3-ol, (3 β,24Z)-, 9,12,15-octadecatrienoic acid methyl ester, phytol, chlorogenic acid, and quercetin were the major chemical compounds detected in T. purpurea subsp. apollinea. These compounds possessed antioxidant and anticancer properties. The methanol extract showed antioxidant properties with DDPH and ABTS radical scavenging of 84% and 94%, respectively, relative to ascorbic acid and trolox. The anticancer effects of T. purpurea subsp. apollinea against the cancer cell lines MCF7 (IC50 = 102.8 ± 0.6 μg/mL), MG63 (IC50 = 118.3 ± 2.5 μg/mL), T47D (IC50 = 114.7 ± 1.0 μg/mL), HeLa (IC50 = 196.3 ± 2.3 μg/mL), and PC3 (IC50 = 117.7 ± 1.1 μg/mL) were greater than its anticancer effects against U379 (IC50 = 248.4 ± 7.5 μg/mL). However, it had no adverse effects on the normal cells (WI38) (IC50 = 242.9 ± 1.8 μg/mL). Therefore, the major active constituents presented in T. purpurea subsp. apollinea can be isolated and studied for their potential antioxidant and anticancer effects against breast, cervical, and prostate cancers and osteosarcoma.","author":[{"dropping-particle":"","family":"Youssef","given":"Ahmed M.M.","non-dropping-particle":"","parse-names":false,"suffix":""},{"dropping-particle":"","family":"Maaty","given":"Doaa A.M.","non-dropping-particle":"","parse-names":false,"suffix":""},{"dropping-particle":"","family":"Al-Saraireh","given":"Yousef M.","non-dropping-particle":"","parse-names":false,"suffix":""}],"container-title":"Molecules","id":"ITEM-2","issue":"9","issued":{"date-parts":[["2023","5","7"]]},"page":"3939","publisher":"Multidisciplinary Digital Publishing Institute","title":"Phytochemical Analysis and Profiling of Antioxidants and Anticancer Compounds from Tephrosia purpurea (L.) subsp. apollinea Family Fabaceae","type":"article-journal","volume":"28"},"uris":["http://www.mendeley.com/documents/?uuid=a8d923f8-5671-346d-9a43-6d33de945aeb"]}],"mendeley":{"formattedCitation":"(Salama et al., 2024; Youssef et al., 2023)","plainTextFormattedCitation":"(Salama et al., 2024; Youssef et al., 2023)","previouslyFormattedCitation":"(Salama et al., 2024; Youssef et al., 2023)"},"properties":{"noteIndex":0},"schema":"https://github.com/citation-style-language/schema/raw/master/csl-citation.json"}</w:instrText>
      </w:r>
      <w:r w:rsidR="00AB1280" w:rsidRPr="0049220A">
        <w:rPr>
          <w:rFonts w:ascii="Times New Roman" w:hAnsi="Times New Roman" w:cs="Times New Roman"/>
          <w:sz w:val="24"/>
          <w:szCs w:val="24"/>
        </w:rPr>
        <w:fldChar w:fldCharType="separate"/>
      </w:r>
      <w:r w:rsidR="00AB1280" w:rsidRPr="0049220A">
        <w:rPr>
          <w:rFonts w:ascii="Times New Roman" w:hAnsi="Times New Roman" w:cs="Times New Roman"/>
          <w:noProof/>
          <w:sz w:val="24"/>
          <w:szCs w:val="24"/>
        </w:rPr>
        <w:t>(Salama et al., 2024; Youssef et al., 2023)</w:t>
      </w:r>
      <w:r w:rsidR="00AB1280" w:rsidRPr="0049220A">
        <w:rPr>
          <w:rFonts w:ascii="Times New Roman" w:hAnsi="Times New Roman" w:cs="Times New Roman"/>
          <w:sz w:val="24"/>
          <w:szCs w:val="24"/>
        </w:rPr>
        <w:fldChar w:fldCharType="end"/>
      </w:r>
      <w:r w:rsidRPr="0049220A">
        <w:rPr>
          <w:rFonts w:ascii="Times New Roman" w:hAnsi="Times New Roman" w:cs="Times New Roman"/>
          <w:sz w:val="24"/>
          <w:szCs w:val="24"/>
        </w:rPr>
        <w:t xml:space="preserve">. The combined occurrence of antimicrobial, antioxidant, and cytotoxic compounds demonstrates that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is a rich source of multifunctional bioactive molecules with pharmaceutical and biotechnological potential.</w:t>
      </w:r>
    </w:p>
    <w:p w14:paraId="0088AC1E" w14:textId="77777777" w:rsidR="00F7118C" w:rsidRPr="0049220A" w:rsidRDefault="00F7118C"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Overall, the biochemical composition of </w:t>
      </w:r>
      <w:r w:rsidRPr="0049220A">
        <w:rPr>
          <w:rFonts w:ascii="Times New Roman" w:hAnsi="Times New Roman" w:cs="Times New Roman"/>
          <w:i/>
          <w:iCs/>
          <w:sz w:val="24"/>
          <w:szCs w:val="24"/>
        </w:rPr>
        <w:t xml:space="preserve">A. </w:t>
      </w:r>
      <w:proofErr w:type="spellStart"/>
      <w:r w:rsidRPr="0049220A">
        <w:rPr>
          <w:rFonts w:ascii="Times New Roman" w:hAnsi="Times New Roman" w:cs="Times New Roman"/>
          <w:i/>
          <w:iCs/>
          <w:sz w:val="24"/>
          <w:szCs w:val="24"/>
        </w:rPr>
        <w:t>nayadiformis</w:t>
      </w:r>
      <w:proofErr w:type="spellEnd"/>
      <w:r w:rsidRPr="0049220A">
        <w:rPr>
          <w:rFonts w:ascii="Times New Roman" w:hAnsi="Times New Roman" w:cs="Times New Roman"/>
          <w:sz w:val="24"/>
          <w:szCs w:val="24"/>
        </w:rPr>
        <w:t xml:space="preserve"> ethanolic extract justifies its observed bioactivities and supports its potential as a natural source of antimicrobial, antioxidant, and anticancer agents. Further studies focusing on compound isolation, structural characterization, and in vitro or in vivo bioassays are recommended to validate </w:t>
      </w:r>
      <w:r w:rsidR="00C47C68" w:rsidRPr="0049220A">
        <w:rPr>
          <w:rFonts w:ascii="Times New Roman" w:hAnsi="Times New Roman" w:cs="Times New Roman"/>
          <w:sz w:val="24"/>
          <w:szCs w:val="24"/>
        </w:rPr>
        <w:t>and expand upon these findings.</w:t>
      </w:r>
    </w:p>
    <w:p w14:paraId="163FB9EA" w14:textId="77777777" w:rsidR="001F05F7" w:rsidRPr="0049220A" w:rsidRDefault="00856A4D" w:rsidP="003421EC">
      <w:pPr>
        <w:jc w:val="both"/>
        <w:rPr>
          <w:rFonts w:ascii="Times New Roman" w:hAnsi="Times New Roman" w:cs="Times New Roman"/>
          <w:b/>
          <w:sz w:val="24"/>
          <w:szCs w:val="24"/>
        </w:rPr>
      </w:pPr>
      <w:r w:rsidRPr="0049220A">
        <w:rPr>
          <w:rFonts w:ascii="Times New Roman" w:hAnsi="Times New Roman" w:cs="Times New Roman"/>
          <w:b/>
          <w:sz w:val="24"/>
          <w:szCs w:val="24"/>
        </w:rPr>
        <w:t xml:space="preserve">5. </w:t>
      </w:r>
      <w:r w:rsidR="006C57CB" w:rsidRPr="0049220A">
        <w:rPr>
          <w:rFonts w:ascii="Times New Roman" w:hAnsi="Times New Roman" w:cs="Times New Roman"/>
          <w:b/>
          <w:sz w:val="24"/>
          <w:szCs w:val="24"/>
        </w:rPr>
        <w:t>Conclusion</w:t>
      </w:r>
    </w:p>
    <w:p w14:paraId="25CC16A2" w14:textId="77777777" w:rsidR="005A57E5" w:rsidRPr="0049220A" w:rsidRDefault="005A57E5" w:rsidP="003421EC">
      <w:pPr>
        <w:jc w:val="both"/>
        <w:rPr>
          <w:rFonts w:ascii="Times New Roman" w:hAnsi="Times New Roman" w:cs="Times New Roman"/>
          <w:sz w:val="24"/>
          <w:szCs w:val="24"/>
        </w:rPr>
      </w:pPr>
      <w:r w:rsidRPr="0049220A">
        <w:rPr>
          <w:rFonts w:ascii="Times New Roman" w:hAnsi="Times New Roman" w:cs="Times New Roman"/>
          <w:sz w:val="24"/>
          <w:szCs w:val="24"/>
        </w:rPr>
        <w:t xml:space="preserve">The ethanolic extract of </w:t>
      </w:r>
      <w:r w:rsidRPr="0049220A">
        <w:rPr>
          <w:rFonts w:ascii="Times New Roman" w:hAnsi="Times New Roman" w:cs="Times New Roman"/>
          <w:i/>
          <w:sz w:val="24"/>
          <w:szCs w:val="24"/>
        </w:rPr>
        <w:t xml:space="preserve">A. </w:t>
      </w:r>
      <w:proofErr w:type="spellStart"/>
      <w:r w:rsidRPr="0049220A">
        <w:rPr>
          <w:rFonts w:ascii="Times New Roman" w:hAnsi="Times New Roman" w:cs="Times New Roman"/>
          <w:i/>
          <w:sz w:val="24"/>
          <w:szCs w:val="24"/>
        </w:rPr>
        <w:t>nayadiformis</w:t>
      </w:r>
      <w:proofErr w:type="spellEnd"/>
      <w:r w:rsidRPr="0049220A">
        <w:rPr>
          <w:rFonts w:ascii="Times New Roman" w:hAnsi="Times New Roman" w:cs="Times New Roman"/>
          <w:sz w:val="24"/>
          <w:szCs w:val="24"/>
        </w:rPr>
        <w:t xml:space="preserve"> revealed a wide range of bioactive molecules with demonstrated antimicrobial, antioxidant, and antican</w:t>
      </w:r>
      <w:r w:rsidR="00973339" w:rsidRPr="0049220A">
        <w:rPr>
          <w:rFonts w:ascii="Times New Roman" w:hAnsi="Times New Roman" w:cs="Times New Roman"/>
          <w:sz w:val="24"/>
          <w:szCs w:val="24"/>
        </w:rPr>
        <w:t>cer activities. The present</w:t>
      </w:r>
      <w:r w:rsidRPr="0049220A">
        <w:rPr>
          <w:rFonts w:ascii="Times New Roman" w:hAnsi="Times New Roman" w:cs="Times New Roman"/>
          <w:sz w:val="24"/>
          <w:szCs w:val="24"/>
        </w:rPr>
        <w:t xml:space="preserve"> of PUFA derivatives, halogenated compounds, lipid-based metabolites, and specialized metabolites such as polyacetylene derivatives and carotenoids supports the extract’s therapeutic potential. These findings validate the traditional use of marine macroalgae in medicine and underscore their significance as sources of lead compounds for pharmaceutical innovation. Continued work in isolating and characterizing individual compounds, supported by bioactivity assays, will be critical in advancing the clinical and biotechnological utility of these marine resources. </w:t>
      </w:r>
    </w:p>
    <w:p w14:paraId="218D14EA" w14:textId="77777777" w:rsidR="005A57E5" w:rsidRPr="0049220A" w:rsidRDefault="005A57E5" w:rsidP="003421EC">
      <w:pPr>
        <w:jc w:val="both"/>
        <w:rPr>
          <w:rFonts w:ascii="Times New Roman" w:hAnsi="Times New Roman" w:cs="Times New Roman"/>
          <w:sz w:val="24"/>
          <w:szCs w:val="24"/>
        </w:rPr>
      </w:pPr>
    </w:p>
    <w:p w14:paraId="40645F6B" w14:textId="77777777" w:rsidR="006C57CB" w:rsidRPr="0049220A" w:rsidRDefault="006C57CB" w:rsidP="00C862CA">
      <w:pPr>
        <w:jc w:val="both"/>
        <w:rPr>
          <w:rFonts w:ascii="Times New Roman" w:hAnsi="Times New Roman" w:cs="Times New Roman"/>
          <w:b/>
          <w:sz w:val="24"/>
          <w:szCs w:val="24"/>
        </w:rPr>
      </w:pPr>
      <w:r w:rsidRPr="0049220A">
        <w:rPr>
          <w:rFonts w:ascii="Times New Roman" w:hAnsi="Times New Roman" w:cs="Times New Roman"/>
          <w:b/>
          <w:sz w:val="24"/>
          <w:szCs w:val="24"/>
        </w:rPr>
        <w:t>References</w:t>
      </w:r>
    </w:p>
    <w:p w14:paraId="65AD559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sz w:val="24"/>
          <w:szCs w:val="24"/>
        </w:rPr>
        <w:fldChar w:fldCharType="begin" w:fldLock="1"/>
      </w:r>
      <w:r w:rsidRPr="0049220A">
        <w:rPr>
          <w:rFonts w:ascii="Times New Roman" w:hAnsi="Times New Roman" w:cs="Times New Roman"/>
          <w:sz w:val="24"/>
          <w:szCs w:val="24"/>
        </w:rPr>
        <w:instrText xml:space="preserve">ADDIN Mendeley Bibliography CSL_BIBLIOGRAPHY </w:instrText>
      </w:r>
      <w:r w:rsidRPr="0049220A">
        <w:rPr>
          <w:rFonts w:ascii="Times New Roman" w:hAnsi="Times New Roman" w:cs="Times New Roman"/>
          <w:sz w:val="24"/>
          <w:szCs w:val="24"/>
        </w:rPr>
        <w:fldChar w:fldCharType="separate"/>
      </w:r>
      <w:r w:rsidRPr="0049220A">
        <w:rPr>
          <w:rFonts w:ascii="Times New Roman" w:hAnsi="Times New Roman" w:cs="Times New Roman"/>
          <w:noProof/>
          <w:sz w:val="24"/>
          <w:szCs w:val="24"/>
        </w:rPr>
        <w:t xml:space="preserve">Adebayo-Tayo, B. C., Briggs-Kamara, A. I. &amp; Salaam, A. M. (2021). Phytochemical Composition, Antioxidant, Antimicrobial Potential and GC-MS Analysis of Crude and Partitioned Fractions of Nigella sativa Seed Extract. </w:t>
      </w:r>
      <w:r w:rsidRPr="0049220A">
        <w:rPr>
          <w:rFonts w:ascii="Times New Roman" w:hAnsi="Times New Roman" w:cs="Times New Roman"/>
          <w:i/>
          <w:iCs/>
          <w:noProof/>
          <w:sz w:val="24"/>
          <w:szCs w:val="24"/>
        </w:rPr>
        <w:t>ACTA MICROBIOLOGICA BULGARICA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37</w:t>
      </w:r>
      <w:r w:rsidRPr="0049220A">
        <w:rPr>
          <w:rFonts w:ascii="Times New Roman" w:hAnsi="Times New Roman" w:cs="Times New Roman"/>
          <w:noProof/>
          <w:sz w:val="24"/>
          <w:szCs w:val="24"/>
        </w:rPr>
        <w:t>(1). https://actamicrobio.bg/archive/issue-1-2021/amb-1-2021-article-5.pdf</w:t>
      </w:r>
    </w:p>
    <w:p w14:paraId="45B9C49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Alqurashi, A. S., Al Masoudi, L. M., Hamdi, H. &amp; Abu Zaid, A. (2022). Chemical Composition and Antioxidant, Antiviral, Antifungal, Antibacterial and Anticancer Potentials of Opuntia ficus-indica Seed Oil.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(17), 5453. https://doi.org/10.3390/MOLECULES27175453</w:t>
      </w:r>
    </w:p>
    <w:p w14:paraId="02B7D84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Ando, T., Inomata, S. &amp; Yamamoto, M. (2004). Lepidopteran sex pheromones. </w:t>
      </w:r>
      <w:r w:rsidRPr="0049220A">
        <w:rPr>
          <w:rFonts w:ascii="Times New Roman" w:hAnsi="Times New Roman" w:cs="Times New Roman"/>
          <w:i/>
          <w:iCs/>
          <w:noProof/>
          <w:sz w:val="24"/>
          <w:szCs w:val="24"/>
        </w:rPr>
        <w:t>Topics in Current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239</w:t>
      </w:r>
      <w:r w:rsidRPr="0049220A">
        <w:rPr>
          <w:rFonts w:ascii="Times New Roman" w:hAnsi="Times New Roman" w:cs="Times New Roman"/>
          <w:noProof/>
          <w:sz w:val="24"/>
          <w:szCs w:val="24"/>
        </w:rPr>
        <w:t>, 51–96. https://doi.org/10.1007/B95449</w:t>
      </w:r>
    </w:p>
    <w:p w14:paraId="61F10C8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Asteggiano, A., Occhipinti, A., Capuzzo, A., Mecarelli, E., Aigotti, R. &amp; Medana, C. (2021). Quali–Quantitative Characterization of Volatile and Non-Volatile Compounds in Protium heptaphyllum (Aubl.) Marchand Resin by GC–MS Validated Method, GC–FID and HPLC–HRMS2.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26</w:t>
      </w:r>
      <w:r w:rsidRPr="0049220A">
        <w:rPr>
          <w:rFonts w:ascii="Times New Roman" w:hAnsi="Times New Roman" w:cs="Times New Roman"/>
          <w:noProof/>
          <w:sz w:val="24"/>
          <w:szCs w:val="24"/>
        </w:rPr>
        <w:t>(5), 1447. https://doi.org/10.3390/MOLECULES26051447</w:t>
      </w:r>
    </w:p>
    <w:p w14:paraId="777BB1F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Blunt, J. W., Copp, B. R., Keyzers, R. A., Munro, M. H. G. &amp; Prinsep, M. R. (2012). Marine natural products. </w:t>
      </w:r>
      <w:r w:rsidRPr="0049220A">
        <w:rPr>
          <w:rFonts w:ascii="Times New Roman" w:hAnsi="Times New Roman" w:cs="Times New Roman"/>
          <w:i/>
          <w:iCs/>
          <w:noProof/>
          <w:sz w:val="24"/>
          <w:szCs w:val="24"/>
        </w:rPr>
        <w:t>Natural Product Reports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29</w:t>
      </w:r>
      <w:r w:rsidRPr="0049220A">
        <w:rPr>
          <w:rFonts w:ascii="Times New Roman" w:hAnsi="Times New Roman" w:cs="Times New Roman"/>
          <w:noProof/>
          <w:sz w:val="24"/>
          <w:szCs w:val="24"/>
        </w:rPr>
        <w:t>(2), 144–222. https://doi.org/10.1039/C2NP00090C</w:t>
      </w:r>
    </w:p>
    <w:p w14:paraId="5F66AC9D"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lastRenderedPageBreak/>
        <w:t xml:space="preserve">Calder, P. C. (2015). Marine omega-3 fatty acids and inflammatory processes: Effects, mechanisms and clinical relevance. </w:t>
      </w:r>
      <w:r w:rsidRPr="0049220A">
        <w:rPr>
          <w:rFonts w:ascii="Times New Roman" w:hAnsi="Times New Roman" w:cs="Times New Roman"/>
          <w:i/>
          <w:iCs/>
          <w:noProof/>
          <w:sz w:val="24"/>
          <w:szCs w:val="24"/>
        </w:rPr>
        <w:t>Biochimica et Biophysica Acta (BBA) - Molecular and Cell Biology of Lipids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1851</w:t>
      </w:r>
      <w:r w:rsidRPr="0049220A">
        <w:rPr>
          <w:rFonts w:ascii="Times New Roman" w:hAnsi="Times New Roman" w:cs="Times New Roman"/>
          <w:noProof/>
          <w:sz w:val="24"/>
          <w:szCs w:val="24"/>
        </w:rPr>
        <w:t>(4), 469–484. https://doi.org/10.1016/J.BBALIP.2014.08.010</w:t>
      </w:r>
    </w:p>
    <w:p w14:paraId="00F8EE4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Carta, G., Murru, E., Banni, S. &amp; Manca, C. (2017). Palmitic Acid: Physiological Role, Metabolism and Nutritional Implications. </w:t>
      </w:r>
      <w:r w:rsidRPr="0049220A">
        <w:rPr>
          <w:rFonts w:ascii="Times New Roman" w:hAnsi="Times New Roman" w:cs="Times New Roman"/>
          <w:i/>
          <w:iCs/>
          <w:noProof/>
          <w:sz w:val="24"/>
          <w:szCs w:val="24"/>
        </w:rPr>
        <w:t>Frontiers in Physiology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8</w:t>
      </w:r>
      <w:r w:rsidRPr="0049220A">
        <w:rPr>
          <w:rFonts w:ascii="Times New Roman" w:hAnsi="Times New Roman" w:cs="Times New Roman"/>
          <w:noProof/>
          <w:sz w:val="24"/>
          <w:szCs w:val="24"/>
        </w:rPr>
        <w:t>(NOV), 902. https://doi.org/10.3389/FPHYS.2017.00902</w:t>
      </w:r>
    </w:p>
    <w:p w14:paraId="68D9310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Cecere, E. &amp; Perrone, C. (2002). Morphology of Acanthophora nayadiformis (Ceramiales, Rhodophyta). </w:t>
      </w:r>
      <w:r w:rsidRPr="0049220A">
        <w:rPr>
          <w:rFonts w:ascii="Times New Roman" w:hAnsi="Times New Roman" w:cs="Times New Roman"/>
          <w:i/>
          <w:iCs/>
          <w:noProof/>
          <w:sz w:val="24"/>
          <w:szCs w:val="24"/>
        </w:rPr>
        <w:t>Phycologia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41</w:t>
      </w:r>
      <w:r w:rsidRPr="0049220A">
        <w:rPr>
          <w:rFonts w:ascii="Times New Roman" w:hAnsi="Times New Roman" w:cs="Times New Roman"/>
          <w:noProof/>
          <w:sz w:val="24"/>
          <w:szCs w:val="24"/>
        </w:rPr>
        <w:t>(5), 523–532. https://doi.org/10.2216/I0031-8884-41-5-523.1</w:t>
      </w:r>
    </w:p>
    <w:p w14:paraId="6F3B4F6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De Assis, F. F. V., Da Silva, N. C., Moraes, W. P., Barata, L. E. S. &amp; Minervino, A. H. H. (2020). Chemical Composition and In Vitro Antiplasmodial Activity of the Ethanolic Extract of Cyperus articulatus var. nodosus Residue. </w:t>
      </w:r>
      <w:r w:rsidRPr="0049220A">
        <w:rPr>
          <w:rFonts w:ascii="Times New Roman" w:hAnsi="Times New Roman" w:cs="Times New Roman"/>
          <w:i/>
          <w:iCs/>
          <w:noProof/>
          <w:sz w:val="24"/>
          <w:szCs w:val="24"/>
        </w:rPr>
        <w:t>Pathogens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(11), 889. https://doi.org/10.3390/PATHOGENS9110889</w:t>
      </w:r>
    </w:p>
    <w:p w14:paraId="5161467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Fakhry Abdel-Motaal, F., Kamel, N. M., El-Zayat, S. A., El-Hamd Mohamed, A. H., Darwish, D. B. &amp; Professor, A. (2022). Plant Seedling Growth Stimulation and Antifungal Activities of Volatile Organic Compounds Emitted by Aspergillus flavus Endophyte. </w:t>
      </w:r>
      <w:r w:rsidRPr="0049220A">
        <w:rPr>
          <w:rFonts w:ascii="Times New Roman" w:hAnsi="Times New Roman" w:cs="Times New Roman"/>
          <w:i/>
          <w:iCs/>
          <w:noProof/>
          <w:sz w:val="24"/>
          <w:szCs w:val="24"/>
        </w:rPr>
        <w:t>J Appl Biotechnol Rep</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(4), 831–840. https://doi.org/10.30491/JABR.2022.335430.1514</w:t>
      </w:r>
    </w:p>
    <w:p w14:paraId="1BD9BB7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FAO. (2000). </w:t>
      </w:r>
      <w:r w:rsidRPr="0049220A">
        <w:rPr>
          <w:rFonts w:ascii="Times New Roman" w:hAnsi="Times New Roman" w:cs="Times New Roman"/>
          <w:i/>
          <w:iCs/>
          <w:noProof/>
          <w:sz w:val="24"/>
          <w:szCs w:val="24"/>
        </w:rPr>
        <w:t>Pesticide residues in food 2000 Joint FAO/WHO Meeting on Pesticide Residues</w:t>
      </w:r>
      <w:r w:rsidRPr="0049220A">
        <w:rPr>
          <w:rFonts w:ascii="Times New Roman" w:hAnsi="Times New Roman" w:cs="Times New Roman"/>
          <w:noProof/>
          <w:sz w:val="24"/>
          <w:szCs w:val="24"/>
        </w:rPr>
        <w:t>.</w:t>
      </w:r>
    </w:p>
    <w:p w14:paraId="0AF9BBD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Farid-Afshar, F., Saffarian, P., Mahmoodzadeh-Hosseini, H., Sattarian, F., Amin, M. &amp; Fooladi, A. A. I. (2016). Antimicrobial effects of Ferula gummosa Boiss gum against extended-spectrum β-lactamase producing Acinetobacter clinical isolates. </w:t>
      </w:r>
      <w:r w:rsidRPr="0049220A">
        <w:rPr>
          <w:rFonts w:ascii="Times New Roman" w:hAnsi="Times New Roman" w:cs="Times New Roman"/>
          <w:i/>
          <w:iCs/>
          <w:noProof/>
          <w:sz w:val="24"/>
          <w:szCs w:val="24"/>
        </w:rPr>
        <w:t>Iranian Journal of Microbiology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8</w:t>
      </w:r>
      <w:r w:rsidRPr="0049220A">
        <w:rPr>
          <w:rFonts w:ascii="Times New Roman" w:hAnsi="Times New Roman" w:cs="Times New Roman"/>
          <w:noProof/>
          <w:sz w:val="24"/>
          <w:szCs w:val="24"/>
        </w:rPr>
        <w:t>(4), 263. https://pmc.ncbi.nlm.nih.gov/articles/PMC5296941/</w:t>
      </w:r>
    </w:p>
    <w:p w14:paraId="29A716D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Ganesh, M. &amp; Mohankumar, M. (2017a). Extraction and identification of bioactive components in Sida cordata (Burm.f.) using gas chromatography-mass spectrometry.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54</w:t>
      </w:r>
      <w:r w:rsidRPr="0049220A">
        <w:rPr>
          <w:rFonts w:ascii="Times New Roman" w:hAnsi="Times New Roman" w:cs="Times New Roman"/>
          <w:noProof/>
          <w:sz w:val="24"/>
          <w:szCs w:val="24"/>
        </w:rPr>
        <w:t>(10), 3082–3091. https://doi.org/10.1007/S13197-017-2744-Z</w:t>
      </w:r>
    </w:p>
    <w:p w14:paraId="0A25299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Ganesh, M. &amp; Mohankumar, M. (2017b). Extraction and identification of bioactive components in Sida cordata (Burm.f.) using gas chromatography–mass spectrometry.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54</w:t>
      </w:r>
      <w:r w:rsidRPr="0049220A">
        <w:rPr>
          <w:rFonts w:ascii="Times New Roman" w:hAnsi="Times New Roman" w:cs="Times New Roman"/>
          <w:noProof/>
          <w:sz w:val="24"/>
          <w:szCs w:val="24"/>
        </w:rPr>
        <w:t>(10), 3082–3091. https://doi.org/10.1007/S13197-017-2744-Z,</w:t>
      </w:r>
    </w:p>
    <w:p w14:paraId="4EB9C27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Gomathi, D., Kalaiselvi, M., Ravikumar, G., Devaki, K. &amp; Uma, C. (2013). GC-MS analysis of bioactive compounds from the whole plant ethanolic extract of Evolvulus alsinoides (L.) L. </w:t>
      </w:r>
      <w:r w:rsidRPr="0049220A">
        <w:rPr>
          <w:rFonts w:ascii="Times New Roman" w:hAnsi="Times New Roman" w:cs="Times New Roman"/>
          <w:i/>
          <w:iCs/>
          <w:noProof/>
          <w:sz w:val="24"/>
          <w:szCs w:val="24"/>
        </w:rPr>
        <w:t>Journal of Food Science and 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52</w:t>
      </w:r>
      <w:r w:rsidRPr="0049220A">
        <w:rPr>
          <w:rFonts w:ascii="Times New Roman" w:hAnsi="Times New Roman" w:cs="Times New Roman"/>
          <w:noProof/>
          <w:sz w:val="24"/>
          <w:szCs w:val="24"/>
        </w:rPr>
        <w:t>(2), 1212. https://doi.org/10.1007/S13197-013-1105-9</w:t>
      </w:r>
    </w:p>
    <w:p w14:paraId="476596E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Guengerich, F. P. (2001). Common and uncommon cytochrome P450 reactions related to metabolism and chemical toxicity. </w:t>
      </w:r>
      <w:r w:rsidRPr="0049220A">
        <w:rPr>
          <w:rFonts w:ascii="Times New Roman" w:hAnsi="Times New Roman" w:cs="Times New Roman"/>
          <w:i/>
          <w:iCs/>
          <w:noProof/>
          <w:sz w:val="24"/>
          <w:szCs w:val="24"/>
        </w:rPr>
        <w:t>Chemical Research in Toxicology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14</w:t>
      </w:r>
      <w:r w:rsidRPr="0049220A">
        <w:rPr>
          <w:rFonts w:ascii="Times New Roman" w:hAnsi="Times New Roman" w:cs="Times New Roman"/>
          <w:noProof/>
          <w:sz w:val="24"/>
          <w:szCs w:val="24"/>
        </w:rPr>
        <w:t>(6), 611–650. https://doi.org/10.1021/TX0002583;JOURNAL:JOURNAL:CRTOEC;PAGEGROUP:STRING:PUBLICATION</w:t>
      </w:r>
    </w:p>
    <w:p w14:paraId="1F5A4587"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Guillén, P. O., Motti, P., Mangelinckx, S., De Clerck, O., Bossier, P. &amp; Van Den Hende, S. (2022). Valorization of the chemical diversity of the tropical red seaweeds Acanthophora and Kappaphycus and their applications in aquaculture: A review. </w:t>
      </w:r>
      <w:r w:rsidRPr="0049220A">
        <w:rPr>
          <w:rFonts w:ascii="Times New Roman" w:hAnsi="Times New Roman" w:cs="Times New Roman"/>
          <w:i/>
          <w:iCs/>
          <w:noProof/>
          <w:sz w:val="24"/>
          <w:szCs w:val="24"/>
        </w:rPr>
        <w:t>Frontiers in Marine Science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 957290. https://doi.org/10.3389/FMARS.2022.957290/XML</w:t>
      </w:r>
    </w:p>
    <w:p w14:paraId="652A155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Hille, B. (1977). Local anesthetics: hydrophilic and hydrophobic pathways for the drug-receptor reaction. </w:t>
      </w:r>
      <w:r w:rsidRPr="0049220A">
        <w:rPr>
          <w:rFonts w:ascii="Times New Roman" w:hAnsi="Times New Roman" w:cs="Times New Roman"/>
          <w:i/>
          <w:iCs/>
          <w:noProof/>
          <w:sz w:val="24"/>
          <w:szCs w:val="24"/>
        </w:rPr>
        <w:t>Journal of General Physiology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69</w:t>
      </w:r>
      <w:r w:rsidRPr="0049220A">
        <w:rPr>
          <w:rFonts w:ascii="Times New Roman" w:hAnsi="Times New Roman" w:cs="Times New Roman"/>
          <w:noProof/>
          <w:sz w:val="24"/>
          <w:szCs w:val="24"/>
        </w:rPr>
        <w:t>(4), 497–515. https://doi.org/10.1085/JGP.69.4.497</w:t>
      </w:r>
    </w:p>
    <w:p w14:paraId="1A80DD5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lastRenderedPageBreak/>
        <w:t xml:space="preserve">Holick, M. F. (2007). Vitamin D deficiency. </w:t>
      </w:r>
      <w:r w:rsidRPr="0049220A">
        <w:rPr>
          <w:rFonts w:ascii="Times New Roman" w:hAnsi="Times New Roman" w:cs="Times New Roman"/>
          <w:i/>
          <w:iCs/>
          <w:noProof/>
          <w:sz w:val="24"/>
          <w:szCs w:val="24"/>
        </w:rPr>
        <w:t>The New England Journal of Medicine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357</w:t>
      </w:r>
      <w:r w:rsidRPr="0049220A">
        <w:rPr>
          <w:rFonts w:ascii="Times New Roman" w:hAnsi="Times New Roman" w:cs="Times New Roman"/>
          <w:noProof/>
          <w:sz w:val="24"/>
          <w:szCs w:val="24"/>
        </w:rPr>
        <w:t>(3), 266–281. https://doi.org/10.1056/NEJMRA070553</w:t>
      </w:r>
    </w:p>
    <w:p w14:paraId="5CB8BB7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Khattak, S. U., Ahmad, M., Ahmad, J., Ikram, S., Ahmad, S., Alshabrmi, F. M. &amp; Alatawi, E. A. (2024). Purification of Potential Antimicrobial Metabolites from Endophytic Fusarium oxysporum Isolated from Myrtus communis. </w:t>
      </w:r>
      <w:r w:rsidRPr="0049220A">
        <w:rPr>
          <w:rFonts w:ascii="Times New Roman" w:hAnsi="Times New Roman" w:cs="Times New Roman"/>
          <w:i/>
          <w:iCs/>
          <w:noProof/>
          <w:sz w:val="24"/>
          <w:szCs w:val="24"/>
        </w:rPr>
        <w:t>Applied Biochemistry and Biotechnology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196</w:t>
      </w:r>
      <w:r w:rsidRPr="0049220A">
        <w:rPr>
          <w:rFonts w:ascii="Times New Roman" w:hAnsi="Times New Roman" w:cs="Times New Roman"/>
          <w:noProof/>
          <w:sz w:val="24"/>
          <w:szCs w:val="24"/>
        </w:rPr>
        <w:t>(12), 8940–8964. https://doi.org/10.1007/S12010-024-05016-Z,</w:t>
      </w:r>
    </w:p>
    <w:p w14:paraId="35FD4C34"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Kim, R., Son, S. R., Lee, N. K., Kim, J. Y., An, G., Choi, J. H. &amp; Jang, D. S. (2022). Cytotoxic Properties of C17 Polyacetylenes from the Fresh Roots of Panax ginseng on Human Epithelial Ovarian Cancer Cells.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(20), 7027. https://doi.org/10.3390/MOLECULES27207027/S1</w:t>
      </w:r>
    </w:p>
    <w:p w14:paraId="51613DA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Krishnappa, S., Karthik, Y., Pratap, G. K., Shantaram, M., Umarajashekhar, A., Soumya, J., Bhatt, B., Sayed, S. M., Alhelaify, S. S., Aharthy, O. M. &amp; Mushtaq, M. (2024). Exploration of bioactive compounds from Olea dioica in Western Ghats of Karnataka using GC–MS. </w:t>
      </w:r>
      <w:r w:rsidRPr="0049220A">
        <w:rPr>
          <w:rFonts w:ascii="Times New Roman" w:hAnsi="Times New Roman" w:cs="Times New Roman"/>
          <w:i/>
          <w:iCs/>
          <w:noProof/>
          <w:sz w:val="24"/>
          <w:szCs w:val="24"/>
        </w:rPr>
        <w:t>Biotech</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14</w:t>
      </w:r>
      <w:r w:rsidRPr="0049220A">
        <w:rPr>
          <w:rFonts w:ascii="Times New Roman" w:hAnsi="Times New Roman" w:cs="Times New Roman"/>
          <w:noProof/>
          <w:sz w:val="24"/>
          <w:szCs w:val="24"/>
        </w:rPr>
        <w:t>(3), 1–14. https://doi.org/10.1007/S13205-023-03888-2/METRICS</w:t>
      </w:r>
    </w:p>
    <w:p w14:paraId="1A873CE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Kubo, I., Fujita, K. I., Nihei, K. I. &amp; Nihei, A. (2004). Antibacterial Activity of Akyl Gallates against Bacillus subtilis. </w:t>
      </w:r>
      <w:r w:rsidRPr="0049220A">
        <w:rPr>
          <w:rFonts w:ascii="Times New Roman" w:hAnsi="Times New Roman" w:cs="Times New Roman"/>
          <w:i/>
          <w:iCs/>
          <w:noProof/>
          <w:sz w:val="24"/>
          <w:szCs w:val="24"/>
        </w:rPr>
        <w:t>Journal of Agricultural and Food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52</w:t>
      </w:r>
      <w:r w:rsidRPr="0049220A">
        <w:rPr>
          <w:rFonts w:ascii="Times New Roman" w:hAnsi="Times New Roman" w:cs="Times New Roman"/>
          <w:noProof/>
          <w:sz w:val="24"/>
          <w:szCs w:val="24"/>
        </w:rPr>
        <w:t>(5), 1072–1076. https://doi.org/10.1021/JF034774L;JOURNAL:JOURNAL:JAFCAU;ISSUE:ISSUE:10.1021/JAFCAU.2004.52.ISSUE-5;PAGE:STRING:ARTICLE/CHAPTER</w:t>
      </w:r>
    </w:p>
    <w:p w14:paraId="5138792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Kubo, I., Xiao, P. &amp; Fujita, K. (2002). Anti-MRSA activity of alkyl gallates. </w:t>
      </w:r>
      <w:r w:rsidRPr="0049220A">
        <w:rPr>
          <w:rFonts w:ascii="Times New Roman" w:hAnsi="Times New Roman" w:cs="Times New Roman"/>
          <w:i/>
          <w:iCs/>
          <w:noProof/>
          <w:sz w:val="24"/>
          <w:szCs w:val="24"/>
        </w:rPr>
        <w:t>Bioorganic &amp; Medicinal Chemistry Letters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12</w:t>
      </w:r>
      <w:r w:rsidRPr="0049220A">
        <w:rPr>
          <w:rFonts w:ascii="Times New Roman" w:hAnsi="Times New Roman" w:cs="Times New Roman"/>
          <w:noProof/>
          <w:sz w:val="24"/>
          <w:szCs w:val="24"/>
        </w:rPr>
        <w:t>(2), 113–116. https://doi.org/10.1016/S0960-894X(01)00663-1</w:t>
      </w:r>
    </w:p>
    <w:p w14:paraId="7E8DBEF0"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Leyton, Y., Borquez, J., Darias, J., Cueto, M., Díaz-Marrero, A. R. &amp; Riquelme, C. (2011). Oleic Acid Produced by a Marine Vibrio spp. Acts as an Anti-Vibrio parahaemolyticus Agent. </w:t>
      </w:r>
      <w:r w:rsidRPr="0049220A">
        <w:rPr>
          <w:rFonts w:ascii="Times New Roman" w:hAnsi="Times New Roman" w:cs="Times New Roman"/>
          <w:i/>
          <w:iCs/>
          <w:noProof/>
          <w:sz w:val="24"/>
          <w:szCs w:val="24"/>
        </w:rPr>
        <w:t>Marine Drugs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(10), 2155–2163. https://doi.org/10.3390/MD9102155</w:t>
      </w:r>
    </w:p>
    <w:p w14:paraId="1EE2E63D"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Mukherjee, P., Harwansh, R., Bahadur, S., Banerjee, S. &amp; Kar, A. (2016). Evidence based validation of Indian traditional medicine - Way forward. </w:t>
      </w:r>
      <w:r w:rsidRPr="0049220A">
        <w:rPr>
          <w:rFonts w:ascii="Times New Roman" w:hAnsi="Times New Roman" w:cs="Times New Roman"/>
          <w:i/>
          <w:iCs/>
          <w:noProof/>
          <w:sz w:val="24"/>
          <w:szCs w:val="24"/>
        </w:rPr>
        <w:t>World Journal of Traditional Chinese Medicine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w:t>
      </w:r>
      <w:r w:rsidRPr="0049220A">
        <w:rPr>
          <w:rFonts w:ascii="Times New Roman" w:hAnsi="Times New Roman" w:cs="Times New Roman"/>
          <w:noProof/>
          <w:sz w:val="24"/>
          <w:szCs w:val="24"/>
        </w:rPr>
        <w:t>(1), 48–61. https://doi.org/10.15806/J.ISSN.2311-8571.2015.0018</w:t>
      </w:r>
    </w:p>
    <w:p w14:paraId="01A77F1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Nyalo, P. O., Omwenga, G. I. &amp; Ngugi, M. P. (2023). Antibacterial properties and GC-MS analysis of ethyl acetate extracts of Xerophyta spekei (Baker) and Grewia tembensis (Fresen). </w:t>
      </w:r>
      <w:r w:rsidRPr="0049220A">
        <w:rPr>
          <w:rFonts w:ascii="Times New Roman" w:hAnsi="Times New Roman" w:cs="Times New Roman"/>
          <w:i/>
          <w:iCs/>
          <w:noProof/>
          <w:sz w:val="24"/>
          <w:szCs w:val="24"/>
        </w:rPr>
        <w:t>Heliyon</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(3), e14461. https://doi.org/10.1016/J.HELIYON.2023.E14461</w:t>
      </w:r>
    </w:p>
    <w:p w14:paraId="11C443EB"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Olivia, N. U., Goodness, U. C. &amp; Obinna, O. M. (2021). Phytochemical profiling and GC-MS analysis of aqueous methanol fraction of Hibiscus asper leaves. </w:t>
      </w:r>
      <w:r w:rsidRPr="0049220A">
        <w:rPr>
          <w:rFonts w:ascii="Times New Roman" w:hAnsi="Times New Roman" w:cs="Times New Roman"/>
          <w:i/>
          <w:iCs/>
          <w:noProof/>
          <w:sz w:val="24"/>
          <w:szCs w:val="24"/>
        </w:rPr>
        <w:t>Future Journal of Pharmaceutical Sciences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7</w:t>
      </w:r>
      <w:r w:rsidRPr="0049220A">
        <w:rPr>
          <w:rFonts w:ascii="Times New Roman" w:hAnsi="Times New Roman" w:cs="Times New Roman"/>
          <w:noProof/>
          <w:sz w:val="24"/>
          <w:szCs w:val="24"/>
        </w:rPr>
        <w:t>(1), 1–5. https://doi.org/10.1186/S43094-021-00208-4</w:t>
      </w:r>
    </w:p>
    <w:p w14:paraId="316E53A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Padmini, N., Rashiya, N., Sivakumar, N., Kannan, N. D., Manjuladevi, R., Rajasekar, P., Prabhu, N. M. &amp; Selvakumar, G. (2020). In vitro and in vivo efficacy of methyl oleate and palmitic acid against ESBL producing MDR Escherichia coli and Klebsiella pneumoniae. </w:t>
      </w:r>
      <w:r w:rsidRPr="0049220A">
        <w:rPr>
          <w:rFonts w:ascii="Times New Roman" w:hAnsi="Times New Roman" w:cs="Times New Roman"/>
          <w:i/>
          <w:iCs/>
          <w:noProof/>
          <w:sz w:val="24"/>
          <w:szCs w:val="24"/>
        </w:rPr>
        <w:t>Microbial Pathogenesis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148</w:t>
      </w:r>
      <w:r w:rsidRPr="0049220A">
        <w:rPr>
          <w:rFonts w:ascii="Times New Roman" w:hAnsi="Times New Roman" w:cs="Times New Roman"/>
          <w:noProof/>
          <w:sz w:val="24"/>
          <w:szCs w:val="24"/>
        </w:rPr>
        <w:t>. https://doi.org/10.1016/j.micpath.2020.104446</w:t>
      </w:r>
    </w:p>
    <w:p w14:paraId="708D203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Pereira, L. &amp; Cotas, J. (2024). Seaweed: a sustainable solution for greening drug manufacturing in the pursuit of sustainable healthcare. </w:t>
      </w:r>
      <w:r w:rsidRPr="0049220A">
        <w:rPr>
          <w:rFonts w:ascii="Times New Roman" w:hAnsi="Times New Roman" w:cs="Times New Roman"/>
          <w:i/>
          <w:iCs/>
          <w:noProof/>
          <w:sz w:val="24"/>
          <w:szCs w:val="24"/>
        </w:rPr>
        <w:t>Open Exploration</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w:t>
      </w:r>
      <w:r w:rsidRPr="0049220A">
        <w:rPr>
          <w:rFonts w:ascii="Times New Roman" w:hAnsi="Times New Roman" w:cs="Times New Roman"/>
          <w:noProof/>
          <w:sz w:val="24"/>
          <w:szCs w:val="24"/>
        </w:rPr>
        <w:t>(1), 50–84. https://doi.org/10.37349/EDS.2024.00036</w:t>
      </w:r>
    </w:p>
    <w:p w14:paraId="711A2360"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Perrone, C., Cecere, E. &amp; Furnari, G. (2006). Growth pattern assessment in the genus Acanthophora (Rhodophyta, Ceramiales). </w:t>
      </w:r>
      <w:r w:rsidRPr="0049220A">
        <w:rPr>
          <w:rFonts w:ascii="Times New Roman" w:hAnsi="Times New Roman" w:cs="Times New Roman"/>
          <w:i/>
          <w:iCs/>
          <w:noProof/>
          <w:sz w:val="24"/>
          <w:szCs w:val="24"/>
        </w:rPr>
        <w:t>Phycologia</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45</w:t>
      </w:r>
      <w:r w:rsidRPr="0049220A">
        <w:rPr>
          <w:rFonts w:ascii="Times New Roman" w:hAnsi="Times New Roman" w:cs="Times New Roman"/>
          <w:noProof/>
          <w:sz w:val="24"/>
          <w:szCs w:val="24"/>
        </w:rPr>
        <w:t>(1), 37–43. https://doi.org/10.2216/04-45.1</w:t>
      </w:r>
    </w:p>
    <w:p w14:paraId="12CC1B6E"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lastRenderedPageBreak/>
        <w:t xml:space="preserve">Raghavendra Hebbar, D. &amp; Somaiah Nalini, M. (2020). GC-MS Characterization of Antioxidative Compounds from the Stem Bark and Flower Extracts of Schefflera Species, from Western Ghats. </w:t>
      </w:r>
      <w:r w:rsidRPr="0049220A">
        <w:rPr>
          <w:rFonts w:ascii="Times New Roman" w:hAnsi="Times New Roman" w:cs="Times New Roman"/>
          <w:i/>
          <w:iCs/>
          <w:noProof/>
          <w:sz w:val="24"/>
          <w:szCs w:val="24"/>
        </w:rPr>
        <w:t>Der Pharmacia Lettre</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12</w:t>
      </w:r>
      <w:r w:rsidRPr="0049220A">
        <w:rPr>
          <w:rFonts w:ascii="Times New Roman" w:hAnsi="Times New Roman" w:cs="Times New Roman"/>
          <w:noProof/>
          <w:sz w:val="24"/>
          <w:szCs w:val="24"/>
        </w:rPr>
        <w:t>(7), 51–60. https://www.researchgate.net/publication/383670943</w:t>
      </w:r>
    </w:p>
    <w:p w14:paraId="3B4500A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Sabira, O., Vignesh, A. R., Ajaykumar, A. P., Varma, S. R., Jayaraj, K. N., Sebastin, M., Nikhila, K., Babu, A., Rasheed, V. A., Binitha, V. S., Vasu, Z. koldath &amp; Sujith, M. S. (2022). The Chemical Composition and Antimitotic, Antioxidant, Antibacterial and Cytotoxic Properties of the Defensive Gland Extract of the Beetle, Luprops tristis Fabricius.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27</w:t>
      </w:r>
      <w:r w:rsidRPr="0049220A">
        <w:rPr>
          <w:rFonts w:ascii="Times New Roman" w:hAnsi="Times New Roman" w:cs="Times New Roman"/>
          <w:noProof/>
          <w:sz w:val="24"/>
          <w:szCs w:val="24"/>
        </w:rPr>
        <w:t>(21). https://doi.org/10.3390/MOLECULES27217476,</w:t>
      </w:r>
    </w:p>
    <w:p w14:paraId="61381C7A"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Salama, A., EL-Kassaby, M. I., Refaat, A. &amp; Mohasib, R. M. M. (2024). GC–MS and Molecular Docking Analyses of Phytochemicals from Calendula officinalis L. Hexane Extract and Evaluation of its Antioxidant and Wound Healing Properties in Rats. </w:t>
      </w:r>
      <w:r w:rsidRPr="0049220A">
        <w:rPr>
          <w:rFonts w:ascii="Times New Roman" w:hAnsi="Times New Roman" w:cs="Times New Roman"/>
          <w:i/>
          <w:iCs/>
          <w:noProof/>
          <w:sz w:val="24"/>
          <w:szCs w:val="24"/>
        </w:rPr>
        <w:t>Egyptian Journal of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67</w:t>
      </w:r>
      <w:r w:rsidRPr="0049220A">
        <w:rPr>
          <w:rFonts w:ascii="Times New Roman" w:hAnsi="Times New Roman" w:cs="Times New Roman"/>
          <w:noProof/>
          <w:sz w:val="24"/>
          <w:szCs w:val="24"/>
        </w:rPr>
        <w:t>(13), 1037–1058. https://doi.org/10.21608/EJCHEM.2024.328645.10642</w:t>
      </w:r>
    </w:p>
    <w:p w14:paraId="40A96B88"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Sezer, F., Deniz, S., Sevim, D., Chaachouay, N. &amp; Zidane, L. (2024). Plant-Derived Natural Products: A Source for Drug Discovery and Development. </w:t>
      </w:r>
      <w:r w:rsidRPr="0049220A">
        <w:rPr>
          <w:rFonts w:ascii="Times New Roman" w:hAnsi="Times New Roman" w:cs="Times New Roman"/>
          <w:i/>
          <w:iCs/>
          <w:noProof/>
          <w:sz w:val="24"/>
          <w:szCs w:val="24"/>
        </w:rPr>
        <w:t>Drugs and Drug Candidates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3</w:t>
      </w:r>
      <w:r w:rsidRPr="0049220A">
        <w:rPr>
          <w:rFonts w:ascii="Times New Roman" w:hAnsi="Times New Roman" w:cs="Times New Roman"/>
          <w:noProof/>
          <w:sz w:val="24"/>
          <w:szCs w:val="24"/>
        </w:rPr>
        <w:t>(1), 184–207. https://doi.org/10.3390/DDC3010011</w:t>
      </w:r>
    </w:p>
    <w:p w14:paraId="3E8F19DF"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Shimamura, Y., Inagaki, R., Oike, M., Wada, Y., Honda, H. &amp; Masuda, S. (2023). Potential Role of Lipase Activity on the Internal Exposure Assessment of Glycidol Released from Its Fatty Acid Esters. </w:t>
      </w:r>
      <w:r w:rsidRPr="0049220A">
        <w:rPr>
          <w:rFonts w:ascii="Times New Roman" w:hAnsi="Times New Roman" w:cs="Times New Roman"/>
          <w:i/>
          <w:iCs/>
          <w:noProof/>
          <w:sz w:val="24"/>
          <w:szCs w:val="24"/>
        </w:rPr>
        <w:t>Toxics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11</w:t>
      </w:r>
      <w:r w:rsidRPr="0049220A">
        <w:rPr>
          <w:rFonts w:ascii="Times New Roman" w:hAnsi="Times New Roman" w:cs="Times New Roman"/>
          <w:noProof/>
          <w:sz w:val="24"/>
          <w:szCs w:val="24"/>
        </w:rPr>
        <w:t>(2), 175. https://doi.org/10.3390/TOXICS11020175</w:t>
      </w:r>
    </w:p>
    <w:p w14:paraId="12E05535"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Smith, W. L., Urade, Y. &amp; Jakobsson, P. J. (2011). Enzymes of the cyclooxygenase pathways of prostanoid biosynthesis. </w:t>
      </w:r>
      <w:r w:rsidRPr="0049220A">
        <w:rPr>
          <w:rFonts w:ascii="Times New Roman" w:hAnsi="Times New Roman" w:cs="Times New Roman"/>
          <w:i/>
          <w:iCs/>
          <w:noProof/>
          <w:sz w:val="24"/>
          <w:szCs w:val="24"/>
        </w:rPr>
        <w:t>Chemical Reviews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111</w:t>
      </w:r>
      <w:r w:rsidRPr="0049220A">
        <w:rPr>
          <w:rFonts w:ascii="Times New Roman" w:hAnsi="Times New Roman" w:cs="Times New Roman"/>
          <w:noProof/>
          <w:sz w:val="24"/>
          <w:szCs w:val="24"/>
        </w:rPr>
        <w:t>(10), 5821–5865. https://doi.org/10.1021/CR2002992,</w:t>
      </w:r>
    </w:p>
    <w:p w14:paraId="433199E3"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Soltan, O. I. A., Gazwi, H. S. S., Ragab, A. E., Aljohani, A. S. M., El-Ashmawy, I. M., Batiha, G. E. S., Hafiz, A. A. &amp; Abdel-Hameed, S. M. (2023). Assessment of Bioactive Phytochemicals and Utilization of Rosa canina Fruit Extract as a Novel Natural Antioxidant for Mayonnaise.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28</w:t>
      </w:r>
      <w:r w:rsidRPr="0049220A">
        <w:rPr>
          <w:rFonts w:ascii="Times New Roman" w:hAnsi="Times New Roman" w:cs="Times New Roman"/>
          <w:noProof/>
          <w:sz w:val="24"/>
          <w:szCs w:val="24"/>
        </w:rPr>
        <w:t>(8), 3350. https://doi.org/10.3390/MOLECULES28083350</w:t>
      </w:r>
    </w:p>
    <w:p w14:paraId="60E965D1"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Thamer, F. H. &amp; Thamer, N. (2023). Gas chromatography – Mass spectrometry (GC-MS) profiling reveals newly described bioactive compounds in Citrullus colocynthis (L.) seeds oil extracts. </w:t>
      </w:r>
      <w:r w:rsidRPr="0049220A">
        <w:rPr>
          <w:rFonts w:ascii="Times New Roman" w:hAnsi="Times New Roman" w:cs="Times New Roman"/>
          <w:i/>
          <w:iCs/>
          <w:noProof/>
          <w:sz w:val="24"/>
          <w:szCs w:val="24"/>
        </w:rPr>
        <w:t>Heliyon</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9</w:t>
      </w:r>
      <w:r w:rsidRPr="0049220A">
        <w:rPr>
          <w:rFonts w:ascii="Times New Roman" w:hAnsi="Times New Roman" w:cs="Times New Roman"/>
          <w:noProof/>
          <w:sz w:val="24"/>
          <w:szCs w:val="24"/>
        </w:rPr>
        <w:t>(6), e16861. https://doi.org/10.1016/J.HELIYON.2023.E16861</w:t>
      </w:r>
    </w:p>
    <w:p w14:paraId="74F3E049"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Yew, J. Y. &amp; Chung, H. (2015). Insect pheromones: An overview of function, form, and discovery. </w:t>
      </w:r>
      <w:r w:rsidRPr="0049220A">
        <w:rPr>
          <w:rFonts w:ascii="Times New Roman" w:hAnsi="Times New Roman" w:cs="Times New Roman"/>
          <w:i/>
          <w:iCs/>
          <w:noProof/>
          <w:sz w:val="24"/>
          <w:szCs w:val="24"/>
        </w:rPr>
        <w:t>Progress in Lipid Research</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59</w:t>
      </w:r>
      <w:r w:rsidRPr="0049220A">
        <w:rPr>
          <w:rFonts w:ascii="Times New Roman" w:hAnsi="Times New Roman" w:cs="Times New Roman"/>
          <w:noProof/>
          <w:sz w:val="24"/>
          <w:szCs w:val="24"/>
        </w:rPr>
        <w:t>, 88–105. https://doi.org/10.1016/J.PLIPRES.2015.06.001</w:t>
      </w:r>
    </w:p>
    <w:p w14:paraId="4AF036CC"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Yoon, B. K., Jackman, J. A., Valle-González, E. R. &amp; Cho, N. J. (2018). Antibacterial free fatty acids and monoglycerides: Biological activities, experimental testing, and therapeutic applications. </w:t>
      </w:r>
      <w:r w:rsidRPr="0049220A">
        <w:rPr>
          <w:rFonts w:ascii="Times New Roman" w:hAnsi="Times New Roman" w:cs="Times New Roman"/>
          <w:i/>
          <w:iCs/>
          <w:noProof/>
          <w:sz w:val="24"/>
          <w:szCs w:val="24"/>
        </w:rPr>
        <w:t>International Journal of Molecular Sciences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19</w:t>
      </w:r>
      <w:r w:rsidRPr="0049220A">
        <w:rPr>
          <w:rFonts w:ascii="Times New Roman" w:hAnsi="Times New Roman" w:cs="Times New Roman"/>
          <w:noProof/>
          <w:sz w:val="24"/>
          <w:szCs w:val="24"/>
        </w:rPr>
        <w:t>(4). https://doi.org/10.3390/IJMS19041114,</w:t>
      </w:r>
    </w:p>
    <w:p w14:paraId="7C7307B2"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Youssef, A. M. M., Maaty, D. A. M. &amp; Al-Saraireh, Y. M. (2023). Phytochemical Analysis and Profiling of Antioxidants and Anticancer Compounds from Tephrosia purpurea (L.) subsp. apollinea Family Fabaceae. </w:t>
      </w:r>
      <w:r w:rsidRPr="0049220A">
        <w:rPr>
          <w:rFonts w:ascii="Times New Roman" w:hAnsi="Times New Roman" w:cs="Times New Roman"/>
          <w:i/>
          <w:iCs/>
          <w:noProof/>
          <w:sz w:val="24"/>
          <w:szCs w:val="24"/>
        </w:rPr>
        <w:t>Molecules</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t>28</w:t>
      </w:r>
      <w:r w:rsidRPr="0049220A">
        <w:rPr>
          <w:rFonts w:ascii="Times New Roman" w:hAnsi="Times New Roman" w:cs="Times New Roman"/>
          <w:noProof/>
          <w:sz w:val="24"/>
          <w:szCs w:val="24"/>
        </w:rPr>
        <w:t>(9), 3939. https://doi.org/10.3390/MOLECULES28093939</w:t>
      </w:r>
    </w:p>
    <w:p w14:paraId="63FB44D4" w14:textId="77777777" w:rsidR="00EA3896" w:rsidRPr="0049220A" w:rsidRDefault="00EA3896" w:rsidP="00EA3896">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9220A">
        <w:rPr>
          <w:rFonts w:ascii="Times New Roman" w:hAnsi="Times New Roman" w:cs="Times New Roman"/>
          <w:noProof/>
          <w:sz w:val="24"/>
          <w:szCs w:val="24"/>
        </w:rPr>
        <w:t xml:space="preserve">Yulianti, H., Santoni, A. &amp; Efdi, M. (2024). Isolation and Characterization of Cholest-5-en-3-ol Compound from the Ethyl Acetate Extract of Stem Bark Ulin Plant (Eusideroxylon zwageri Teijm &amp; Binn). </w:t>
      </w:r>
      <w:r w:rsidRPr="0049220A">
        <w:rPr>
          <w:rFonts w:ascii="Times New Roman" w:hAnsi="Times New Roman" w:cs="Times New Roman"/>
          <w:i/>
          <w:iCs/>
          <w:noProof/>
          <w:sz w:val="24"/>
          <w:szCs w:val="24"/>
        </w:rPr>
        <w:t>Journal of the Turkish Chemical Society Section A: Chemistry</w:t>
      </w:r>
      <w:r w:rsidRPr="0049220A">
        <w:rPr>
          <w:rFonts w:ascii="Times New Roman" w:hAnsi="Times New Roman" w:cs="Times New Roman"/>
          <w:noProof/>
          <w:sz w:val="24"/>
          <w:szCs w:val="24"/>
        </w:rPr>
        <w:t xml:space="preserve">, </w:t>
      </w:r>
      <w:r w:rsidRPr="0049220A">
        <w:rPr>
          <w:rFonts w:ascii="Times New Roman" w:hAnsi="Times New Roman" w:cs="Times New Roman"/>
          <w:i/>
          <w:iCs/>
          <w:noProof/>
          <w:sz w:val="24"/>
          <w:szCs w:val="24"/>
        </w:rPr>
        <w:lastRenderedPageBreak/>
        <w:t>11</w:t>
      </w:r>
      <w:r w:rsidRPr="0049220A">
        <w:rPr>
          <w:rFonts w:ascii="Times New Roman" w:hAnsi="Times New Roman" w:cs="Times New Roman"/>
          <w:noProof/>
          <w:sz w:val="24"/>
          <w:szCs w:val="24"/>
        </w:rPr>
        <w:t>(3), 919–924. https://doi.org/10.18596/JOTCSA.1379263</w:t>
      </w:r>
    </w:p>
    <w:p w14:paraId="398C5AF3" w14:textId="77777777" w:rsidR="006C57CB" w:rsidRPr="0049220A" w:rsidRDefault="00EA3896" w:rsidP="003421EC">
      <w:pPr>
        <w:jc w:val="both"/>
        <w:rPr>
          <w:rFonts w:ascii="Times New Roman" w:hAnsi="Times New Roman" w:cs="Times New Roman"/>
          <w:sz w:val="24"/>
          <w:szCs w:val="24"/>
        </w:rPr>
      </w:pPr>
      <w:r w:rsidRPr="0049220A">
        <w:rPr>
          <w:rFonts w:ascii="Times New Roman" w:hAnsi="Times New Roman" w:cs="Times New Roman"/>
          <w:sz w:val="24"/>
          <w:szCs w:val="24"/>
        </w:rPr>
        <w:fldChar w:fldCharType="end"/>
      </w:r>
    </w:p>
    <w:sectPr w:rsidR="006C57CB" w:rsidRPr="0049220A" w:rsidSect="003639F6">
      <w:headerReference w:type="even" r:id="rId10"/>
      <w:headerReference w:type="default" r:id="rId11"/>
      <w:footerReference w:type="even" r:id="rId12"/>
      <w:footerReference w:type="default" r:id="rId13"/>
      <w:headerReference w:type="first" r:id="rId14"/>
      <w:footerReference w:type="first" r:id="rId15"/>
      <w:pgSz w:w="11906" w:h="16838" w:code="9"/>
      <w:pgMar w:top="1152" w:right="1152" w:bottom="1152" w:left="172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E8E1A" w14:textId="77777777" w:rsidR="00800267" w:rsidRDefault="00800267" w:rsidP="00856A4D">
      <w:pPr>
        <w:spacing w:after="0" w:line="240" w:lineRule="auto"/>
      </w:pPr>
      <w:r>
        <w:separator/>
      </w:r>
    </w:p>
  </w:endnote>
  <w:endnote w:type="continuationSeparator" w:id="0">
    <w:p w14:paraId="54F70260" w14:textId="77777777" w:rsidR="00800267" w:rsidRDefault="00800267" w:rsidP="00856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CE3E" w14:textId="77777777" w:rsidR="0030380D" w:rsidRDefault="00303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19"/>
      <w:docPartObj>
        <w:docPartGallery w:val="Page Numbers (Bottom of Page)"/>
        <w:docPartUnique/>
      </w:docPartObj>
    </w:sdtPr>
    <w:sdtEndPr>
      <w:rPr>
        <w:noProof/>
      </w:rPr>
    </w:sdtEndPr>
    <w:sdtContent>
      <w:p w14:paraId="6FCA2BD1" w14:textId="77777777" w:rsidR="00856A4D" w:rsidRDefault="00856A4D">
        <w:pPr>
          <w:pStyle w:val="Footer"/>
          <w:jc w:val="center"/>
        </w:pPr>
        <w:r>
          <w:fldChar w:fldCharType="begin"/>
        </w:r>
        <w:r>
          <w:instrText xml:space="preserve"> PAGE   \* MERGEFORMAT </w:instrText>
        </w:r>
        <w:r>
          <w:fldChar w:fldCharType="separate"/>
        </w:r>
        <w:r w:rsidR="0049220A">
          <w:rPr>
            <w:noProof/>
          </w:rPr>
          <w:t>13</w:t>
        </w:r>
        <w:r>
          <w:rPr>
            <w:noProof/>
          </w:rPr>
          <w:fldChar w:fldCharType="end"/>
        </w:r>
      </w:p>
    </w:sdtContent>
  </w:sdt>
  <w:p w14:paraId="39FFE85D" w14:textId="77777777" w:rsidR="00856A4D" w:rsidRDefault="00856A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85143" w14:textId="77777777" w:rsidR="0030380D" w:rsidRDefault="00303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7B940" w14:textId="77777777" w:rsidR="00800267" w:rsidRDefault="00800267" w:rsidP="00856A4D">
      <w:pPr>
        <w:spacing w:after="0" w:line="240" w:lineRule="auto"/>
      </w:pPr>
      <w:r>
        <w:separator/>
      </w:r>
    </w:p>
  </w:footnote>
  <w:footnote w:type="continuationSeparator" w:id="0">
    <w:p w14:paraId="43EFFF13" w14:textId="77777777" w:rsidR="00800267" w:rsidRDefault="00800267" w:rsidP="00856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6D1C" w14:textId="48459E07" w:rsidR="0030380D" w:rsidRDefault="0030380D">
    <w:pPr>
      <w:pStyle w:val="Header"/>
    </w:pPr>
    <w:r>
      <w:rPr>
        <w:noProof/>
      </w:rPr>
      <w:pict w14:anchorId="6C926B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092A" w14:textId="791151A6" w:rsidR="0030380D" w:rsidRDefault="0030380D">
    <w:pPr>
      <w:pStyle w:val="Header"/>
    </w:pPr>
    <w:r>
      <w:rPr>
        <w:noProof/>
      </w:rPr>
      <w:pict w14:anchorId="6C043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FB8D0" w14:textId="156DEEF3" w:rsidR="0030380D" w:rsidRDefault="0030380D">
    <w:pPr>
      <w:pStyle w:val="Header"/>
    </w:pPr>
    <w:r>
      <w:rPr>
        <w:noProof/>
      </w:rPr>
      <w:pict w14:anchorId="222F8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31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3B1DDB"/>
    <w:multiLevelType w:val="hybridMultilevel"/>
    <w:tmpl w:val="CE345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95F"/>
    <w:rsid w:val="000809C4"/>
    <w:rsid w:val="000B1C10"/>
    <w:rsid w:val="000B6857"/>
    <w:rsid w:val="000D0B90"/>
    <w:rsid w:val="001028B0"/>
    <w:rsid w:val="00113986"/>
    <w:rsid w:val="00132707"/>
    <w:rsid w:val="00172DA7"/>
    <w:rsid w:val="001761FE"/>
    <w:rsid w:val="001802CF"/>
    <w:rsid w:val="0019395F"/>
    <w:rsid w:val="001F05F7"/>
    <w:rsid w:val="00250B15"/>
    <w:rsid w:val="00267DA2"/>
    <w:rsid w:val="00273B94"/>
    <w:rsid w:val="00297DEF"/>
    <w:rsid w:val="002D19BE"/>
    <w:rsid w:val="002F5586"/>
    <w:rsid w:val="0030380D"/>
    <w:rsid w:val="00325A67"/>
    <w:rsid w:val="003421EC"/>
    <w:rsid w:val="00345798"/>
    <w:rsid w:val="003639F6"/>
    <w:rsid w:val="003711ED"/>
    <w:rsid w:val="0037163D"/>
    <w:rsid w:val="003C6D93"/>
    <w:rsid w:val="003F403E"/>
    <w:rsid w:val="003F685F"/>
    <w:rsid w:val="0042421F"/>
    <w:rsid w:val="00445751"/>
    <w:rsid w:val="00463A9C"/>
    <w:rsid w:val="00473BF2"/>
    <w:rsid w:val="0049220A"/>
    <w:rsid w:val="004B1CB4"/>
    <w:rsid w:val="004F64F6"/>
    <w:rsid w:val="004F6EF1"/>
    <w:rsid w:val="005006B9"/>
    <w:rsid w:val="005813B9"/>
    <w:rsid w:val="00596613"/>
    <w:rsid w:val="005A57E5"/>
    <w:rsid w:val="005C2030"/>
    <w:rsid w:val="005D2222"/>
    <w:rsid w:val="005E0DF0"/>
    <w:rsid w:val="005F5E1A"/>
    <w:rsid w:val="00603275"/>
    <w:rsid w:val="00604806"/>
    <w:rsid w:val="00625BF3"/>
    <w:rsid w:val="006308D7"/>
    <w:rsid w:val="0065004C"/>
    <w:rsid w:val="00655323"/>
    <w:rsid w:val="006809CC"/>
    <w:rsid w:val="00682148"/>
    <w:rsid w:val="00687E4A"/>
    <w:rsid w:val="006953DB"/>
    <w:rsid w:val="006A146C"/>
    <w:rsid w:val="006A25C9"/>
    <w:rsid w:val="006C0A91"/>
    <w:rsid w:val="006C57CB"/>
    <w:rsid w:val="006D4DD7"/>
    <w:rsid w:val="006E13DA"/>
    <w:rsid w:val="006E1B9A"/>
    <w:rsid w:val="006E6220"/>
    <w:rsid w:val="006F1F24"/>
    <w:rsid w:val="00712C44"/>
    <w:rsid w:val="00724B53"/>
    <w:rsid w:val="007359E2"/>
    <w:rsid w:val="0075488C"/>
    <w:rsid w:val="007606C4"/>
    <w:rsid w:val="007640AA"/>
    <w:rsid w:val="00764614"/>
    <w:rsid w:val="00765570"/>
    <w:rsid w:val="0076701B"/>
    <w:rsid w:val="0077714B"/>
    <w:rsid w:val="007B6738"/>
    <w:rsid w:val="007F310E"/>
    <w:rsid w:val="00800267"/>
    <w:rsid w:val="00841199"/>
    <w:rsid w:val="00852972"/>
    <w:rsid w:val="00856A4D"/>
    <w:rsid w:val="008673C1"/>
    <w:rsid w:val="00877FF1"/>
    <w:rsid w:val="00891970"/>
    <w:rsid w:val="008A1698"/>
    <w:rsid w:val="008B0BD7"/>
    <w:rsid w:val="008B456D"/>
    <w:rsid w:val="008D2F6B"/>
    <w:rsid w:val="008F6DC1"/>
    <w:rsid w:val="00900717"/>
    <w:rsid w:val="009222FD"/>
    <w:rsid w:val="009259BE"/>
    <w:rsid w:val="00960F65"/>
    <w:rsid w:val="009707E3"/>
    <w:rsid w:val="00971BA0"/>
    <w:rsid w:val="00973339"/>
    <w:rsid w:val="009947CE"/>
    <w:rsid w:val="009B36B8"/>
    <w:rsid w:val="009B7DB7"/>
    <w:rsid w:val="00A73E0D"/>
    <w:rsid w:val="00A96890"/>
    <w:rsid w:val="00AB1280"/>
    <w:rsid w:val="00AB25E6"/>
    <w:rsid w:val="00AD3219"/>
    <w:rsid w:val="00AE6CD9"/>
    <w:rsid w:val="00B25667"/>
    <w:rsid w:val="00B34B56"/>
    <w:rsid w:val="00B4653B"/>
    <w:rsid w:val="00B76DEA"/>
    <w:rsid w:val="00B80359"/>
    <w:rsid w:val="00B91AE1"/>
    <w:rsid w:val="00BA04A3"/>
    <w:rsid w:val="00BB2AD5"/>
    <w:rsid w:val="00BB3AA1"/>
    <w:rsid w:val="00BE3360"/>
    <w:rsid w:val="00BE795C"/>
    <w:rsid w:val="00C05ADB"/>
    <w:rsid w:val="00C47C68"/>
    <w:rsid w:val="00C862CA"/>
    <w:rsid w:val="00CC4D81"/>
    <w:rsid w:val="00CF0F1F"/>
    <w:rsid w:val="00CF5ACD"/>
    <w:rsid w:val="00D54B3B"/>
    <w:rsid w:val="00D64EBD"/>
    <w:rsid w:val="00D85EDA"/>
    <w:rsid w:val="00D8758A"/>
    <w:rsid w:val="00DC0BDF"/>
    <w:rsid w:val="00DD06D2"/>
    <w:rsid w:val="00DF67F0"/>
    <w:rsid w:val="00E32A74"/>
    <w:rsid w:val="00E51A9F"/>
    <w:rsid w:val="00E64453"/>
    <w:rsid w:val="00E72AA1"/>
    <w:rsid w:val="00E72D95"/>
    <w:rsid w:val="00EA11B5"/>
    <w:rsid w:val="00EA159E"/>
    <w:rsid w:val="00EA3896"/>
    <w:rsid w:val="00EC79EB"/>
    <w:rsid w:val="00EE39D9"/>
    <w:rsid w:val="00EE4FA6"/>
    <w:rsid w:val="00F05712"/>
    <w:rsid w:val="00F10DF8"/>
    <w:rsid w:val="00F36E9D"/>
    <w:rsid w:val="00F43804"/>
    <w:rsid w:val="00F475F3"/>
    <w:rsid w:val="00F7118C"/>
    <w:rsid w:val="00F860DE"/>
    <w:rsid w:val="00FC1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2A3F3"/>
  <w15:chartTrackingRefBased/>
  <w15:docId w15:val="{E2961AAE-89C9-4ADD-A85E-3439C960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5BF3"/>
    <w:rPr>
      <w:color w:val="0563C1" w:themeColor="hyperlink"/>
      <w:u w:val="single"/>
    </w:rPr>
  </w:style>
  <w:style w:type="table" w:styleId="TableGrid">
    <w:name w:val="Table Grid"/>
    <w:basedOn w:val="TableNormal"/>
    <w:uiPriority w:val="39"/>
    <w:rsid w:val="001F0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B685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6857"/>
    <w:pPr>
      <w:spacing w:after="0" w:line="240" w:lineRule="auto"/>
    </w:pPr>
  </w:style>
  <w:style w:type="paragraph" w:styleId="ListParagraph">
    <w:name w:val="List Paragraph"/>
    <w:basedOn w:val="Normal"/>
    <w:uiPriority w:val="34"/>
    <w:qFormat/>
    <w:rsid w:val="00B34B56"/>
    <w:pPr>
      <w:ind w:left="720"/>
      <w:contextualSpacing/>
    </w:pPr>
  </w:style>
  <w:style w:type="paragraph" w:styleId="Header">
    <w:name w:val="header"/>
    <w:basedOn w:val="Normal"/>
    <w:link w:val="HeaderChar"/>
    <w:uiPriority w:val="99"/>
    <w:unhideWhenUsed/>
    <w:rsid w:val="00856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4D"/>
  </w:style>
  <w:style w:type="paragraph" w:styleId="Footer">
    <w:name w:val="footer"/>
    <w:basedOn w:val="Normal"/>
    <w:link w:val="FooterChar"/>
    <w:uiPriority w:val="99"/>
    <w:unhideWhenUsed/>
    <w:rsid w:val="00856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4D"/>
  </w:style>
  <w:style w:type="character" w:styleId="UnresolvedMention">
    <w:name w:val="Unresolved Mention"/>
    <w:basedOn w:val="DefaultParagraphFont"/>
    <w:uiPriority w:val="99"/>
    <w:semiHidden/>
    <w:unhideWhenUsed/>
    <w:rsid w:val="0099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4118">
      <w:bodyDiv w:val="1"/>
      <w:marLeft w:val="0"/>
      <w:marRight w:val="0"/>
      <w:marTop w:val="0"/>
      <w:marBottom w:val="0"/>
      <w:divBdr>
        <w:top w:val="none" w:sz="0" w:space="0" w:color="auto"/>
        <w:left w:val="none" w:sz="0" w:space="0" w:color="auto"/>
        <w:bottom w:val="none" w:sz="0" w:space="0" w:color="auto"/>
        <w:right w:val="none" w:sz="0" w:space="0" w:color="auto"/>
      </w:divBdr>
    </w:div>
    <w:div w:id="494498334">
      <w:bodyDiv w:val="1"/>
      <w:marLeft w:val="0"/>
      <w:marRight w:val="0"/>
      <w:marTop w:val="0"/>
      <w:marBottom w:val="0"/>
      <w:divBdr>
        <w:top w:val="none" w:sz="0" w:space="0" w:color="auto"/>
        <w:left w:val="none" w:sz="0" w:space="0" w:color="auto"/>
        <w:bottom w:val="none" w:sz="0" w:space="0" w:color="auto"/>
        <w:right w:val="none" w:sz="0" w:space="0" w:color="auto"/>
      </w:divBdr>
    </w:div>
    <w:div w:id="560216163">
      <w:bodyDiv w:val="1"/>
      <w:marLeft w:val="0"/>
      <w:marRight w:val="0"/>
      <w:marTop w:val="0"/>
      <w:marBottom w:val="0"/>
      <w:divBdr>
        <w:top w:val="none" w:sz="0" w:space="0" w:color="auto"/>
        <w:left w:val="none" w:sz="0" w:space="0" w:color="auto"/>
        <w:bottom w:val="none" w:sz="0" w:space="0" w:color="auto"/>
        <w:right w:val="none" w:sz="0" w:space="0" w:color="auto"/>
      </w:divBdr>
    </w:div>
    <w:div w:id="909340377">
      <w:bodyDiv w:val="1"/>
      <w:marLeft w:val="0"/>
      <w:marRight w:val="0"/>
      <w:marTop w:val="0"/>
      <w:marBottom w:val="0"/>
      <w:divBdr>
        <w:top w:val="none" w:sz="0" w:space="0" w:color="auto"/>
        <w:left w:val="none" w:sz="0" w:space="0" w:color="auto"/>
        <w:bottom w:val="none" w:sz="0" w:space="0" w:color="auto"/>
        <w:right w:val="none" w:sz="0" w:space="0" w:color="auto"/>
      </w:divBdr>
    </w:div>
    <w:div w:id="1316181568">
      <w:bodyDiv w:val="1"/>
      <w:marLeft w:val="0"/>
      <w:marRight w:val="0"/>
      <w:marTop w:val="0"/>
      <w:marBottom w:val="0"/>
      <w:divBdr>
        <w:top w:val="none" w:sz="0" w:space="0" w:color="auto"/>
        <w:left w:val="none" w:sz="0" w:space="0" w:color="auto"/>
        <w:bottom w:val="none" w:sz="0" w:space="0" w:color="auto"/>
        <w:right w:val="none" w:sz="0" w:space="0" w:color="auto"/>
      </w:divBdr>
    </w:div>
    <w:div w:id="1754158849">
      <w:bodyDiv w:val="1"/>
      <w:marLeft w:val="0"/>
      <w:marRight w:val="0"/>
      <w:marTop w:val="0"/>
      <w:marBottom w:val="0"/>
      <w:divBdr>
        <w:top w:val="none" w:sz="0" w:space="0" w:color="auto"/>
        <w:left w:val="none" w:sz="0" w:space="0" w:color="auto"/>
        <w:bottom w:val="none" w:sz="0" w:space="0" w:color="auto"/>
        <w:right w:val="none" w:sz="0" w:space="0" w:color="auto"/>
      </w:divBdr>
    </w:div>
    <w:div w:id="1907254937">
      <w:bodyDiv w:val="1"/>
      <w:marLeft w:val="0"/>
      <w:marRight w:val="0"/>
      <w:marTop w:val="0"/>
      <w:marBottom w:val="0"/>
      <w:divBdr>
        <w:top w:val="none" w:sz="0" w:space="0" w:color="auto"/>
        <w:left w:val="none" w:sz="0" w:space="0" w:color="auto"/>
        <w:bottom w:val="none" w:sz="0" w:space="0" w:color="auto"/>
        <w:right w:val="none" w:sz="0" w:space="0" w:color="auto"/>
      </w:divBdr>
    </w:div>
    <w:div w:id="1968730878">
      <w:bodyDiv w:val="1"/>
      <w:marLeft w:val="0"/>
      <w:marRight w:val="0"/>
      <w:marTop w:val="0"/>
      <w:marBottom w:val="0"/>
      <w:divBdr>
        <w:top w:val="none" w:sz="0" w:space="0" w:color="auto"/>
        <w:left w:val="none" w:sz="0" w:space="0" w:color="auto"/>
        <w:bottom w:val="none" w:sz="0" w:space="0" w:color="auto"/>
        <w:right w:val="none" w:sz="0" w:space="0" w:color="auto"/>
      </w:divBdr>
    </w:div>
    <w:div w:id="1983846163">
      <w:bodyDiv w:val="1"/>
      <w:marLeft w:val="0"/>
      <w:marRight w:val="0"/>
      <w:marTop w:val="0"/>
      <w:marBottom w:val="0"/>
      <w:divBdr>
        <w:top w:val="none" w:sz="0" w:space="0" w:color="auto"/>
        <w:left w:val="none" w:sz="0" w:space="0" w:color="auto"/>
        <w:bottom w:val="none" w:sz="0" w:space="0" w:color="auto"/>
        <w:right w:val="none" w:sz="0" w:space="0" w:color="auto"/>
      </w:divBdr>
    </w:div>
    <w:div w:id="2047949687">
      <w:bodyDiv w:val="1"/>
      <w:marLeft w:val="0"/>
      <w:marRight w:val="0"/>
      <w:marTop w:val="0"/>
      <w:marBottom w:val="0"/>
      <w:divBdr>
        <w:top w:val="none" w:sz="0" w:space="0" w:color="auto"/>
        <w:left w:val="none" w:sz="0" w:space="0" w:color="auto"/>
        <w:bottom w:val="none" w:sz="0" w:space="0" w:color="auto"/>
        <w:right w:val="none" w:sz="0" w:space="0" w:color="auto"/>
      </w:divBdr>
    </w:div>
    <w:div w:id="2080014020">
      <w:bodyDiv w:val="1"/>
      <w:marLeft w:val="0"/>
      <w:marRight w:val="0"/>
      <w:marTop w:val="0"/>
      <w:marBottom w:val="0"/>
      <w:divBdr>
        <w:top w:val="none" w:sz="0" w:space="0" w:color="auto"/>
        <w:left w:val="none" w:sz="0" w:space="0" w:color="auto"/>
        <w:bottom w:val="none" w:sz="0" w:space="0" w:color="auto"/>
        <w:right w:val="none" w:sz="0" w:space="0" w:color="auto"/>
      </w:divBdr>
    </w:div>
    <w:div w:id="208503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47569-B985-4492-A380-3C256AC2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5519</TotalTime>
  <Pages>12</Pages>
  <Words>28307</Words>
  <Characters>161351</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1180</cp:lastModifiedBy>
  <cp:revision>63</cp:revision>
  <dcterms:created xsi:type="dcterms:W3CDTF">2025-09-08T10:48:00Z</dcterms:created>
  <dcterms:modified xsi:type="dcterms:W3CDTF">2025-10-09T10:02:00Z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http://www.zotero.org/styles/aquaculture-and-fisheries</vt:lpwstr>
  </property>
  <property fmtid="{D5CDD505-2E9C-101B-9397-08002B2CF9AE}" pid="5" name="Mendeley Recent Style Name 1_1">
    <vt:lpwstr>Aquaculture and Fisheries</vt:lpwstr>
  </property>
  <property fmtid="{D5CDD505-2E9C-101B-9397-08002B2CF9AE}" pid="6" name="Mendeley Recent Style Id 2_1">
    <vt:lpwstr>http://www.zotero.org/styles/food-webs</vt:lpwstr>
  </property>
  <property fmtid="{D5CDD505-2E9C-101B-9397-08002B2CF9AE}" pid="7" name="Mendeley Recent Style Name 2_1">
    <vt:lpwstr>Food Webs</vt:lpwstr>
  </property>
  <property fmtid="{D5CDD505-2E9C-101B-9397-08002B2CF9AE}" pid="8" name="Mendeley Recent Style Id 3_1">
    <vt:lpwstr>http://www.zotero.org/styles/journal-of-plant-growth-regulation</vt:lpwstr>
  </property>
  <property fmtid="{D5CDD505-2E9C-101B-9397-08002B2CF9AE}" pid="9" name="Mendeley Recent Style Name 3_1">
    <vt:lpwstr>Journal of Plant Growth Regulation</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http://www.zotero.org/styles/norsk-apa-manual</vt:lpwstr>
  </property>
  <property fmtid="{D5CDD505-2E9C-101B-9397-08002B2CF9AE}" pid="13" name="Mendeley Recent Style Name 5_1">
    <vt:lpwstr>Norsk APA-manual - APA 7th edition (author-date)</vt:lpwstr>
  </property>
  <property fmtid="{D5CDD505-2E9C-101B-9397-08002B2CF9AE}" pid="14" name="Mendeley Recent Style Id 6_1">
    <vt:lpwstr>http://www.zotero.org/styles/pakistani-veterinary-journal</vt:lpwstr>
  </property>
  <property fmtid="{D5CDD505-2E9C-101B-9397-08002B2CF9AE}" pid="15" name="Mendeley Recent Style Name 6_1">
    <vt:lpwstr>Pakistan Veterinary Journal</vt:lpwstr>
  </property>
  <property fmtid="{D5CDD505-2E9C-101B-9397-08002B2CF9AE}" pid="16" name="Mendeley Recent Style Id 7_1">
    <vt:lpwstr>http://www.zotero.org/styles/saudi-journal-of-biological-sciences</vt:lpwstr>
  </property>
  <property fmtid="{D5CDD505-2E9C-101B-9397-08002B2CF9AE}" pid="17" name="Mendeley Recent Style Name 7_1">
    <vt:lpwstr>Saudi Journal of Biological Sciences</vt:lpwstr>
  </property>
  <property fmtid="{D5CDD505-2E9C-101B-9397-08002B2CF9AE}" pid="18" name="Mendeley Recent Style Id 8_1">
    <vt:lpwstr>http://www.zotero.org/styles/the-egyptian-journal-of-aquatic-research</vt:lpwstr>
  </property>
  <property fmtid="{D5CDD505-2E9C-101B-9397-08002B2CF9AE}" pid="19" name="Mendeley Recent Style Name 8_1">
    <vt:lpwstr>The Egyptian Journal of Aquatic Research</vt:lpwstr>
  </property>
  <property fmtid="{D5CDD505-2E9C-101B-9397-08002B2CF9AE}" pid="20" name="Mendeley Recent Style Id 9_1">
    <vt:lpwstr>http://www.zotero.org/styles/tropical-animal-health-and-production</vt:lpwstr>
  </property>
  <property fmtid="{D5CDD505-2E9C-101B-9397-08002B2CF9AE}" pid="21" name="Mendeley Recent Style Name 9_1">
    <vt:lpwstr>Tropical Animal Health and Production</vt:lpwstr>
  </property>
  <property fmtid="{D5CDD505-2E9C-101B-9397-08002B2CF9AE}" pid="22" name="Mendeley Document_1">
    <vt:lpwstr>True</vt:lpwstr>
  </property>
  <property fmtid="{D5CDD505-2E9C-101B-9397-08002B2CF9AE}" pid="23" name="Mendeley Unique User Id_1">
    <vt:lpwstr>61cbbfd6-ba95-316c-9270-90fcb8d76383</vt:lpwstr>
  </property>
  <property fmtid="{D5CDD505-2E9C-101B-9397-08002B2CF9AE}" pid="24" name="Mendeley Citation Style_1">
    <vt:lpwstr>http://www.zotero.org/styles/norsk-apa-manual</vt:lpwstr>
  </property>
</Properties>
</file>