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E909D" w14:textId="77777777" w:rsidR="00754C9A" w:rsidRDefault="00754C9A" w:rsidP="00F4441C">
      <w:pPr>
        <w:pStyle w:val="Title"/>
        <w:spacing w:after="0"/>
        <w:ind w:left="-1701"/>
        <w:jc w:val="both"/>
        <w:rPr>
          <w:rFonts w:ascii="Arial" w:hAnsi="Arial" w:cs="Arial"/>
        </w:rPr>
      </w:pPr>
    </w:p>
    <w:p w14:paraId="296E500B" w14:textId="77777777" w:rsidR="00F4441C" w:rsidRDefault="00F4441C" w:rsidP="00F4441C">
      <w:pPr>
        <w:pStyle w:val="Author"/>
        <w:spacing w:line="240" w:lineRule="auto"/>
        <w:rPr>
          <w:rFonts w:ascii="Arial" w:hAnsi="Arial" w:cs="Arial"/>
          <w:bCs/>
          <w:iCs/>
          <w:kern w:val="28"/>
          <w:sz w:val="36"/>
        </w:rPr>
      </w:pPr>
      <w:r w:rsidRPr="00BE671D">
        <w:rPr>
          <w:rFonts w:ascii="Arial" w:hAnsi="Arial" w:cs="Arial"/>
          <w:bCs/>
          <w:iCs/>
          <w:kern w:val="28"/>
          <w:sz w:val="36"/>
        </w:rPr>
        <w:t xml:space="preserve">Community Structure of </w:t>
      </w:r>
      <w:proofErr w:type="spellStart"/>
      <w:r w:rsidRPr="00BE671D">
        <w:rPr>
          <w:rFonts w:ascii="Arial" w:hAnsi="Arial" w:cs="Arial"/>
          <w:bCs/>
          <w:iCs/>
          <w:kern w:val="28"/>
          <w:sz w:val="36"/>
        </w:rPr>
        <w:t>Macrozoobenthos</w:t>
      </w:r>
      <w:proofErr w:type="spellEnd"/>
      <w:r w:rsidRPr="00BE671D">
        <w:rPr>
          <w:rFonts w:ascii="Arial" w:hAnsi="Arial" w:cs="Arial"/>
          <w:bCs/>
          <w:iCs/>
          <w:kern w:val="28"/>
          <w:sz w:val="36"/>
        </w:rPr>
        <w:t xml:space="preserve"> as a Bioindicator of Water Quality in Situ </w:t>
      </w:r>
      <w:proofErr w:type="spellStart"/>
      <w:r w:rsidRPr="00BE671D">
        <w:rPr>
          <w:rFonts w:ascii="Arial" w:hAnsi="Arial" w:cs="Arial"/>
          <w:bCs/>
          <w:iCs/>
          <w:kern w:val="28"/>
          <w:sz w:val="36"/>
        </w:rPr>
        <w:t>Sipatahunan</w:t>
      </w:r>
      <w:proofErr w:type="spellEnd"/>
      <w:r w:rsidRPr="00BE671D">
        <w:rPr>
          <w:rFonts w:ascii="Arial" w:hAnsi="Arial" w:cs="Arial"/>
          <w:bCs/>
          <w:iCs/>
          <w:kern w:val="28"/>
          <w:sz w:val="36"/>
        </w:rPr>
        <w:t>, West Java, Indonesia</w:t>
      </w:r>
    </w:p>
    <w:p w14:paraId="3C298C02" w14:textId="77777777" w:rsidR="00A258C3" w:rsidRPr="00790ADA" w:rsidRDefault="00A258C3" w:rsidP="00441B6F">
      <w:pPr>
        <w:pStyle w:val="Author"/>
        <w:spacing w:line="240" w:lineRule="auto"/>
        <w:jc w:val="both"/>
        <w:rPr>
          <w:rFonts w:ascii="Arial" w:hAnsi="Arial" w:cs="Arial"/>
          <w:sz w:val="36"/>
        </w:rPr>
      </w:pPr>
    </w:p>
    <w:p w14:paraId="051871A0" w14:textId="77777777" w:rsidR="00790ADA" w:rsidRDefault="00790ADA" w:rsidP="00F4441C">
      <w:pPr>
        <w:pStyle w:val="Affiliation"/>
        <w:spacing w:after="0" w:line="240" w:lineRule="auto"/>
        <w:ind w:left="-142"/>
        <w:jc w:val="both"/>
        <w:rPr>
          <w:rFonts w:ascii="Arial" w:hAnsi="Arial" w:cs="Arial"/>
        </w:rPr>
      </w:pPr>
    </w:p>
    <w:p w14:paraId="15CBC252" w14:textId="77777777" w:rsidR="002C57D2" w:rsidRPr="00FB3A86" w:rsidRDefault="002C57D2" w:rsidP="00441B6F">
      <w:pPr>
        <w:pStyle w:val="Affiliation"/>
        <w:spacing w:after="0" w:line="240" w:lineRule="auto"/>
        <w:jc w:val="both"/>
        <w:rPr>
          <w:rFonts w:ascii="Arial" w:hAnsi="Arial" w:cs="Arial"/>
        </w:rPr>
      </w:pPr>
    </w:p>
    <w:p w14:paraId="44EA8A4C" w14:textId="2602B5B0" w:rsidR="00B01FCD" w:rsidRPr="00FB3A86" w:rsidRDefault="004C0FCE" w:rsidP="00441B6F">
      <w:pPr>
        <w:pStyle w:val="Copyright"/>
        <w:spacing w:after="0" w:line="240" w:lineRule="auto"/>
        <w:jc w:val="both"/>
        <w:rPr>
          <w:rFonts w:ascii="Arial" w:hAnsi="Arial" w:cs="Arial"/>
        </w:rPr>
        <w:sectPr w:rsidR="00B01FCD" w:rsidRPr="00FB3A86" w:rsidSect="00D579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28DD8A" wp14:editId="6A06E817">
                <wp:extent cx="5303520" cy="635"/>
                <wp:effectExtent l="15240" t="17145" r="1524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DA25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4C85C86" w14:textId="4D3D2C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9275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2BD634" w14:textId="77777777" w:rsidTr="001E44FE">
        <w:tc>
          <w:tcPr>
            <w:tcW w:w="9576" w:type="dxa"/>
            <w:shd w:val="clear" w:color="auto" w:fill="F2F2F2"/>
          </w:tcPr>
          <w:p w14:paraId="18C365FA" w14:textId="1C92CFF8" w:rsidR="00505F06" w:rsidRPr="00391E27" w:rsidRDefault="00F4441C" w:rsidP="006022C3">
            <w:pPr>
              <w:pStyle w:val="Body"/>
              <w:spacing w:after="0" w:line="276" w:lineRule="auto"/>
              <w:rPr>
                <w:rFonts w:ascii="Arial" w:eastAsia="Calibri" w:hAnsi="Arial" w:cs="Arial"/>
                <w:szCs w:val="22"/>
              </w:rPr>
            </w:pPr>
            <w:r w:rsidRPr="00BE671D">
              <w:rPr>
                <w:rFonts w:ascii="Arial" w:eastAsia="Calibri" w:hAnsi="Arial" w:cs="Arial"/>
                <w:szCs w:val="22"/>
              </w:rPr>
              <w:t xml:space="preserve">This study aimed to determine the water quality of Situ </w:t>
            </w:r>
            <w:proofErr w:type="spellStart"/>
            <w:r w:rsidRPr="00BE671D">
              <w:rPr>
                <w:rFonts w:ascii="Arial" w:eastAsia="Calibri" w:hAnsi="Arial" w:cs="Arial"/>
                <w:szCs w:val="22"/>
              </w:rPr>
              <w:t>Sipatahunan</w:t>
            </w:r>
            <w:proofErr w:type="spellEnd"/>
            <w:r w:rsidRPr="00BE671D">
              <w:rPr>
                <w:rFonts w:ascii="Arial" w:eastAsia="Calibri" w:hAnsi="Arial" w:cs="Arial"/>
                <w:szCs w:val="22"/>
              </w:rPr>
              <w:t xml:space="preserve"> based on the macrozoobenthic community structure as a bioindicator. The research was conducted from May 19 to June 20, 2025, using a survey method with purposive sampling for data collection. The observational data were analyzed descriptively and comparatively. The results revealed 4 classes and 11 species of </w:t>
            </w:r>
            <w:proofErr w:type="spellStart"/>
            <w:r w:rsidRPr="00BE671D">
              <w:rPr>
                <w:rFonts w:ascii="Arial" w:eastAsia="Calibri" w:hAnsi="Arial" w:cs="Arial"/>
                <w:szCs w:val="22"/>
              </w:rPr>
              <w:t>macrozoobenthos</w:t>
            </w:r>
            <w:proofErr w:type="spellEnd"/>
            <w:r w:rsidRPr="00BE671D">
              <w:rPr>
                <w:rFonts w:ascii="Arial" w:eastAsia="Calibri" w:hAnsi="Arial" w:cs="Arial"/>
                <w:szCs w:val="22"/>
              </w:rPr>
              <w:t xml:space="preserve">, with the highest abundance found in </w:t>
            </w:r>
            <w:proofErr w:type="spellStart"/>
            <w:r w:rsidR="00553FBA" w:rsidRPr="00553FBA">
              <w:rPr>
                <w:rFonts w:ascii="Arial" w:eastAsia="Calibri" w:hAnsi="Arial" w:cs="Arial"/>
                <w:i/>
                <w:iCs/>
                <w:szCs w:val="22"/>
              </w:rPr>
              <w:t>Pomacea</w:t>
            </w:r>
            <w:proofErr w:type="spellEnd"/>
            <w:r w:rsidRPr="00BE671D">
              <w:rPr>
                <w:rFonts w:ascii="Arial" w:eastAsia="Calibri" w:hAnsi="Arial" w:cs="Arial"/>
                <w:szCs w:val="22"/>
              </w:rPr>
              <w:t xml:space="preserve"> </w:t>
            </w:r>
            <w:proofErr w:type="spellStart"/>
            <w:r w:rsidRPr="00BE671D">
              <w:rPr>
                <w:rFonts w:ascii="Arial" w:eastAsia="Calibri" w:hAnsi="Arial" w:cs="Arial"/>
                <w:szCs w:val="22"/>
              </w:rPr>
              <w:t>canaliculata</w:t>
            </w:r>
            <w:proofErr w:type="spellEnd"/>
            <w:r w:rsidRPr="00BE671D">
              <w:rPr>
                <w:rFonts w:ascii="Arial" w:eastAsia="Calibri" w:hAnsi="Arial" w:cs="Arial"/>
                <w:szCs w:val="22"/>
              </w:rPr>
              <w:t xml:space="preserve"> (41 </w:t>
            </w:r>
            <w:proofErr w:type="spellStart"/>
            <w:r w:rsidRPr="00BE671D">
              <w:rPr>
                <w:rFonts w:ascii="Arial" w:eastAsia="Calibri" w:hAnsi="Arial" w:cs="Arial"/>
                <w:szCs w:val="22"/>
              </w:rPr>
              <w:t>ind</w:t>
            </w:r>
            <w:proofErr w:type="spellEnd"/>
            <w:r w:rsidRPr="00BE671D">
              <w:rPr>
                <w:rFonts w:ascii="Arial" w:eastAsia="Calibri" w:hAnsi="Arial" w:cs="Arial"/>
                <w:szCs w:val="22"/>
              </w:rPr>
              <w:t xml:space="preserve">/m²; 63%). Water quality status in Situ </w:t>
            </w:r>
            <w:proofErr w:type="spellStart"/>
            <w:r w:rsidRPr="00BE671D">
              <w:rPr>
                <w:rFonts w:ascii="Arial" w:eastAsia="Calibri" w:hAnsi="Arial" w:cs="Arial"/>
                <w:szCs w:val="22"/>
              </w:rPr>
              <w:t>Sipatahunan</w:t>
            </w:r>
            <w:proofErr w:type="spellEnd"/>
            <w:r w:rsidRPr="00BE671D">
              <w:rPr>
                <w:rFonts w:ascii="Arial" w:eastAsia="Calibri" w:hAnsi="Arial" w:cs="Arial"/>
                <w:szCs w:val="22"/>
              </w:rPr>
              <w:t xml:space="preserve">, based on </w:t>
            </w:r>
            <w:proofErr w:type="spellStart"/>
            <w:r w:rsidRPr="00BE671D">
              <w:rPr>
                <w:rFonts w:ascii="Arial" w:eastAsia="Calibri" w:hAnsi="Arial" w:cs="Arial"/>
                <w:szCs w:val="22"/>
              </w:rPr>
              <w:t>macrozoobenthos</w:t>
            </w:r>
            <w:proofErr w:type="spellEnd"/>
            <w:r w:rsidRPr="00BE671D">
              <w:rPr>
                <w:rFonts w:ascii="Arial" w:eastAsia="Calibri" w:hAnsi="Arial" w:cs="Arial"/>
                <w:szCs w:val="22"/>
              </w:rPr>
              <w:t xml:space="preserve">, was classified as lightly to moderately polluted. This was indicated by the evenness index values ranging from 0.53 to 0.80, suggesting that the population at each station was in an unstable to relatively stable condition, with overall moderate evenness of the macrozoobenthic community. The Family Biotic Index (FBI) ranged between 4.11 and 4.69, also indicating light to moderate pollution levels. Accordingly, Situ </w:t>
            </w:r>
            <w:proofErr w:type="spellStart"/>
            <w:r w:rsidRPr="00BE671D">
              <w:rPr>
                <w:rFonts w:ascii="Arial" w:eastAsia="Calibri" w:hAnsi="Arial" w:cs="Arial"/>
                <w:szCs w:val="22"/>
              </w:rPr>
              <w:t>Sipatahunan</w:t>
            </w:r>
            <w:proofErr w:type="spellEnd"/>
            <w:r w:rsidRPr="00BE671D">
              <w:rPr>
                <w:rFonts w:ascii="Arial" w:eastAsia="Calibri" w:hAnsi="Arial" w:cs="Arial"/>
                <w:szCs w:val="22"/>
              </w:rPr>
              <w:t xml:space="preserve"> can be categorized as being polluted by certain organic </w:t>
            </w:r>
            <w:proofErr w:type="spellStart"/>
            <w:proofErr w:type="gramStart"/>
            <w:r w:rsidRPr="00BE671D">
              <w:rPr>
                <w:rFonts w:ascii="Arial" w:eastAsia="Calibri" w:hAnsi="Arial" w:cs="Arial"/>
                <w:szCs w:val="22"/>
              </w:rPr>
              <w:t>materials.</w:t>
            </w:r>
            <w:r w:rsidRPr="00BA1B01">
              <w:rPr>
                <w:rFonts w:ascii="Arial" w:eastAsia="Calibri" w:hAnsi="Arial" w:cs="Arial"/>
                <w:szCs w:val="22"/>
              </w:rPr>
              <w:t>patients</w:t>
            </w:r>
            <w:proofErr w:type="spellEnd"/>
            <w:proofErr w:type="gramEnd"/>
            <w:r w:rsidRPr="00BA1B01">
              <w:rPr>
                <w:rFonts w:ascii="Arial" w:eastAsia="Calibri" w:hAnsi="Arial" w:cs="Arial"/>
                <w:szCs w:val="22"/>
              </w:rPr>
              <w:t>. These predictors, however, need further work to validate reliability</w:t>
            </w:r>
            <w:r>
              <w:rPr>
                <w:rFonts w:ascii="Arial" w:eastAsia="Calibri" w:hAnsi="Arial" w:cs="Arial"/>
                <w:szCs w:val="22"/>
              </w:rPr>
              <w:t>.</w:t>
            </w:r>
          </w:p>
        </w:tc>
      </w:tr>
    </w:tbl>
    <w:p w14:paraId="7BC54D12" w14:textId="77777777" w:rsidR="00636EB2" w:rsidRDefault="00636EB2" w:rsidP="00441B6F">
      <w:pPr>
        <w:pStyle w:val="Body"/>
        <w:spacing w:after="0"/>
        <w:rPr>
          <w:rFonts w:ascii="Arial" w:hAnsi="Arial" w:cs="Arial"/>
          <w:i/>
        </w:rPr>
      </w:pPr>
    </w:p>
    <w:p w14:paraId="5B2AB6FB" w14:textId="7D09E5A5" w:rsidR="00A24E7E" w:rsidRDefault="00A24E7E" w:rsidP="00441B6F">
      <w:pPr>
        <w:pStyle w:val="Body"/>
        <w:spacing w:after="0"/>
        <w:rPr>
          <w:rFonts w:ascii="Arial" w:hAnsi="Arial" w:cs="Arial"/>
          <w:i/>
        </w:rPr>
      </w:pPr>
      <w:r>
        <w:rPr>
          <w:rFonts w:ascii="Arial" w:hAnsi="Arial" w:cs="Arial"/>
          <w:i/>
        </w:rPr>
        <w:t xml:space="preserve">Keywords: </w:t>
      </w:r>
      <w:r w:rsidR="004B7104">
        <w:rPr>
          <w:rFonts w:ascii="Arial" w:hAnsi="Arial" w:cs="Arial"/>
          <w:i/>
        </w:rPr>
        <w:t xml:space="preserve">FBI index, </w:t>
      </w:r>
      <w:proofErr w:type="spellStart"/>
      <w:r w:rsidR="00F4441C">
        <w:rPr>
          <w:rFonts w:ascii="Arial" w:hAnsi="Arial" w:cs="Arial"/>
          <w:i/>
        </w:rPr>
        <w:t>Macrozoobentos</w:t>
      </w:r>
      <w:proofErr w:type="spellEnd"/>
      <w:r w:rsidR="004B7104">
        <w:rPr>
          <w:rFonts w:ascii="Arial" w:hAnsi="Arial" w:cs="Arial"/>
          <w:i/>
        </w:rPr>
        <w:t xml:space="preserve">, Organic Pollution </w:t>
      </w:r>
      <w:r w:rsidR="00F4441C">
        <w:rPr>
          <w:rFonts w:ascii="Arial" w:hAnsi="Arial" w:cs="Arial"/>
          <w:i/>
        </w:rPr>
        <w:t>FBI index</w:t>
      </w:r>
      <w:r w:rsidR="004B7104">
        <w:rPr>
          <w:rFonts w:ascii="Arial" w:hAnsi="Arial" w:cs="Arial"/>
          <w:i/>
        </w:rPr>
        <w:t xml:space="preserve">, </w:t>
      </w:r>
      <w:r w:rsidR="00F4441C">
        <w:rPr>
          <w:rFonts w:ascii="Arial" w:hAnsi="Arial" w:cs="Arial"/>
          <w:i/>
        </w:rPr>
        <w:t xml:space="preserve">Water </w:t>
      </w:r>
      <w:r w:rsidR="00320778">
        <w:rPr>
          <w:rFonts w:ascii="Arial" w:hAnsi="Arial" w:cs="Arial"/>
          <w:i/>
        </w:rPr>
        <w:t>Q</w:t>
      </w:r>
      <w:r w:rsidR="00F4441C">
        <w:rPr>
          <w:rFonts w:ascii="Arial" w:hAnsi="Arial" w:cs="Arial"/>
          <w:i/>
        </w:rPr>
        <w:t>uality</w:t>
      </w:r>
      <w:r w:rsidR="004B7104">
        <w:rPr>
          <w:rFonts w:ascii="Arial" w:hAnsi="Arial" w:cs="Arial"/>
          <w:i/>
        </w:rPr>
        <w:t>,</w:t>
      </w:r>
      <w:r w:rsidR="00F4441C">
        <w:rPr>
          <w:rFonts w:ascii="Arial" w:hAnsi="Arial" w:cs="Arial"/>
          <w:i/>
        </w:rPr>
        <w:t xml:space="preserve"> Situ </w:t>
      </w:r>
      <w:proofErr w:type="spellStart"/>
      <w:r w:rsidR="00F4441C">
        <w:rPr>
          <w:rFonts w:ascii="Arial" w:hAnsi="Arial" w:cs="Arial"/>
          <w:i/>
        </w:rPr>
        <w:t>Sipatahuna</w:t>
      </w:r>
      <w:r w:rsidR="004B7104">
        <w:rPr>
          <w:rFonts w:ascii="Arial" w:hAnsi="Arial" w:cs="Arial"/>
          <w:i/>
        </w:rPr>
        <w:t>n</w:t>
      </w:r>
      <w:proofErr w:type="spellEnd"/>
    </w:p>
    <w:p w14:paraId="46CD07E0" w14:textId="77777777" w:rsidR="00505F06" w:rsidRPr="00A24E7E" w:rsidRDefault="00505F06" w:rsidP="00441B6F">
      <w:pPr>
        <w:pStyle w:val="Body"/>
        <w:spacing w:after="0"/>
        <w:rPr>
          <w:rFonts w:ascii="Arial" w:hAnsi="Arial" w:cs="Arial"/>
          <w:i/>
        </w:rPr>
      </w:pPr>
    </w:p>
    <w:p w14:paraId="42B3F89D" w14:textId="3C033004" w:rsidR="007F7B32" w:rsidRDefault="00902823" w:rsidP="006022C3">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BB6D0E" w14:textId="77777777" w:rsidR="00F4441C" w:rsidRDefault="00F4441C" w:rsidP="00F4441C">
      <w:pPr>
        <w:pStyle w:val="Body"/>
        <w:spacing w:after="0" w:line="276" w:lineRule="auto"/>
        <w:ind w:firstLine="720"/>
        <w:rPr>
          <w:rFonts w:ascii="Arial" w:hAnsi="Arial" w:cs="Arial"/>
        </w:rPr>
      </w:pPr>
      <w:r w:rsidRPr="00F4441C">
        <w:rPr>
          <w:rFonts w:ascii="Arial" w:hAnsi="Arial" w:cs="Arial"/>
        </w:rPr>
        <w:t xml:space="preserve">Situ </w:t>
      </w:r>
      <w:proofErr w:type="spellStart"/>
      <w:r w:rsidRPr="00F4441C">
        <w:rPr>
          <w:rFonts w:ascii="Arial" w:hAnsi="Arial" w:cs="Arial"/>
        </w:rPr>
        <w:t>Sipatahunan</w:t>
      </w:r>
      <w:proofErr w:type="spellEnd"/>
      <w:r w:rsidRPr="00F4441C">
        <w:rPr>
          <w:rFonts w:ascii="Arial" w:hAnsi="Arial" w:cs="Arial"/>
        </w:rPr>
        <w:t xml:space="preserve"> is an artificial lake located in </w:t>
      </w:r>
      <w:proofErr w:type="spellStart"/>
      <w:r w:rsidRPr="00F4441C">
        <w:rPr>
          <w:rFonts w:ascii="Arial" w:hAnsi="Arial" w:cs="Arial"/>
        </w:rPr>
        <w:t>Baleendah</w:t>
      </w:r>
      <w:proofErr w:type="spellEnd"/>
      <w:r w:rsidRPr="00F4441C">
        <w:rPr>
          <w:rFonts w:ascii="Arial" w:hAnsi="Arial" w:cs="Arial"/>
        </w:rPr>
        <w:t xml:space="preserve"> District, West Java, Indonesia, covering an area of 10 hectares, with an elevation of 700 meters above sea level and an average depth of 8 meters. The lake functions as a water source for agricultural land, aquaculture activities, fishing, and as a temporary reservoir during the rainy season to reduce the risk of downstream flooding, as well as a habitat for various flora and fauna. In addition, the lake is utilized by the surrounding community as a water source for daily needs, including both domestic and non-domestic purposes. Situ </w:t>
      </w:r>
      <w:proofErr w:type="spellStart"/>
      <w:r w:rsidRPr="00F4441C">
        <w:rPr>
          <w:rFonts w:ascii="Arial" w:hAnsi="Arial" w:cs="Arial"/>
        </w:rPr>
        <w:t>Sipatahunan</w:t>
      </w:r>
      <w:proofErr w:type="spellEnd"/>
      <w:r w:rsidRPr="00F4441C">
        <w:rPr>
          <w:rFonts w:ascii="Arial" w:hAnsi="Arial" w:cs="Arial"/>
        </w:rPr>
        <w:t xml:space="preserve"> serves as one of the drinking water sources that can be supplied to the community in </w:t>
      </w:r>
      <w:proofErr w:type="spellStart"/>
      <w:r w:rsidRPr="00F4441C">
        <w:rPr>
          <w:rFonts w:ascii="Arial" w:hAnsi="Arial" w:cs="Arial"/>
        </w:rPr>
        <w:t>Baleendah</w:t>
      </w:r>
      <w:proofErr w:type="spellEnd"/>
      <w:r w:rsidRPr="00F4441C">
        <w:rPr>
          <w:rFonts w:ascii="Arial" w:hAnsi="Arial" w:cs="Arial"/>
        </w:rPr>
        <w:t xml:space="preserve"> District (</w:t>
      </w:r>
      <w:proofErr w:type="spellStart"/>
      <w:r w:rsidRPr="00F4441C">
        <w:rPr>
          <w:rFonts w:ascii="Arial" w:hAnsi="Arial" w:cs="Arial"/>
        </w:rPr>
        <w:t>Zaqi</w:t>
      </w:r>
      <w:proofErr w:type="spellEnd"/>
      <w:r w:rsidRPr="00F4441C">
        <w:rPr>
          <w:rFonts w:ascii="Arial" w:hAnsi="Arial" w:cs="Arial"/>
        </w:rPr>
        <w:t>, 2020).</w:t>
      </w:r>
    </w:p>
    <w:p w14:paraId="04A36B58" w14:textId="10A14407" w:rsidR="00F4441C" w:rsidRPr="00F4441C" w:rsidRDefault="00F4441C" w:rsidP="00F4441C">
      <w:pPr>
        <w:pStyle w:val="Body"/>
        <w:spacing w:line="276" w:lineRule="auto"/>
        <w:ind w:firstLine="720"/>
        <w:rPr>
          <w:rFonts w:ascii="Arial" w:hAnsi="Arial" w:cs="Arial"/>
        </w:rPr>
      </w:pPr>
      <w:r w:rsidRPr="00F4441C">
        <w:rPr>
          <w:rFonts w:ascii="Arial" w:hAnsi="Arial" w:cs="Arial"/>
        </w:rPr>
        <w:t xml:space="preserve">However, Situ Sipatahunan, which is located in a densely populated area and surrounded by agricultural land, is at risk of receiving pollutant inputs such as household waste and agricultural fertilizer runoff. The accumulation of organic matter in the waters can decrease dissolved oxygen (DO) levels. In addition, residential activities and the conversion of agricultural land exert further pressure on the environment, particularly on water quality. Pollution from domestic waste, agriculture, and other anthropogenic activities may introduce organic and inorganic compounds as well as pathogenic microorganisms that disrupt the balance of the aquatic ecosystem. One of the methods to evaluate the ecological impacts of pollution is biomonitoring, conducted through the analysis of </w:t>
      </w:r>
      <w:proofErr w:type="spellStart"/>
      <w:r w:rsidRPr="00F4441C">
        <w:rPr>
          <w:rFonts w:ascii="Arial" w:hAnsi="Arial" w:cs="Arial"/>
        </w:rPr>
        <w:t>macrozoobenthos</w:t>
      </w:r>
      <w:proofErr w:type="spellEnd"/>
      <w:r w:rsidRPr="00F4441C">
        <w:rPr>
          <w:rFonts w:ascii="Arial" w:hAnsi="Arial" w:cs="Arial"/>
        </w:rPr>
        <w:t xml:space="preserve"> community structure as a bioindicator of water quality.</w:t>
      </w:r>
    </w:p>
    <w:p w14:paraId="0C59AF7E" w14:textId="2DFC0BE0" w:rsidR="00F4441C" w:rsidRPr="00F4441C" w:rsidRDefault="00F4441C" w:rsidP="00F4441C">
      <w:pPr>
        <w:pStyle w:val="Body"/>
        <w:spacing w:after="0" w:line="276" w:lineRule="auto"/>
        <w:rPr>
          <w:rFonts w:ascii="Arial" w:hAnsi="Arial" w:cs="Arial"/>
        </w:rPr>
      </w:pPr>
      <w:r w:rsidRPr="00F4441C">
        <w:rPr>
          <w:rFonts w:ascii="Arial" w:hAnsi="Arial" w:cs="Arial"/>
        </w:rPr>
        <w:t>Biomonitoring is the utilization of organisms to monitor and assess/detect environmental conditions (</w:t>
      </w:r>
      <w:proofErr w:type="spellStart"/>
      <w:r w:rsidRPr="00F4441C">
        <w:rPr>
          <w:rFonts w:ascii="Arial" w:hAnsi="Arial" w:cs="Arial"/>
        </w:rPr>
        <w:t>Rosyadi</w:t>
      </w:r>
      <w:proofErr w:type="spellEnd"/>
      <w:r w:rsidRPr="00F4441C">
        <w:rPr>
          <w:rFonts w:ascii="Arial" w:hAnsi="Arial" w:cs="Arial"/>
        </w:rPr>
        <w:t xml:space="preserve"> &amp; Ali, 2020). Biomonitoring of water quality in Situ </w:t>
      </w:r>
      <w:proofErr w:type="spellStart"/>
      <w:r w:rsidRPr="00F4441C">
        <w:rPr>
          <w:rFonts w:ascii="Arial" w:hAnsi="Arial" w:cs="Arial"/>
        </w:rPr>
        <w:t>Sipatahunan</w:t>
      </w:r>
      <w:proofErr w:type="spellEnd"/>
      <w:r w:rsidRPr="00F4441C">
        <w:rPr>
          <w:rFonts w:ascii="Arial" w:hAnsi="Arial" w:cs="Arial"/>
        </w:rPr>
        <w:t xml:space="preserve"> can be conducted using </w:t>
      </w:r>
      <w:proofErr w:type="spellStart"/>
      <w:r w:rsidRPr="00F4441C">
        <w:rPr>
          <w:rFonts w:ascii="Arial" w:hAnsi="Arial" w:cs="Arial"/>
        </w:rPr>
        <w:t>macrozoobenthos</w:t>
      </w:r>
      <w:proofErr w:type="spellEnd"/>
      <w:r w:rsidRPr="00F4441C">
        <w:rPr>
          <w:rFonts w:ascii="Arial" w:hAnsi="Arial" w:cs="Arial"/>
        </w:rPr>
        <w:t xml:space="preserve">. According to Ramadhan et </w:t>
      </w:r>
      <w:r w:rsidRPr="00F4441C">
        <w:rPr>
          <w:rFonts w:ascii="Arial" w:hAnsi="Arial" w:cs="Arial"/>
        </w:rPr>
        <w:lastRenderedPageBreak/>
        <w:t xml:space="preserve">al. (2024), water quality influences the growth of aquatic biota, particularly </w:t>
      </w:r>
      <w:proofErr w:type="spellStart"/>
      <w:r w:rsidRPr="00F4441C">
        <w:rPr>
          <w:rFonts w:ascii="Arial" w:hAnsi="Arial" w:cs="Arial"/>
        </w:rPr>
        <w:t>macrozoobenthos</w:t>
      </w:r>
      <w:proofErr w:type="spellEnd"/>
      <w:r w:rsidRPr="00F4441C">
        <w:rPr>
          <w:rFonts w:ascii="Arial" w:hAnsi="Arial" w:cs="Arial"/>
        </w:rPr>
        <w:t xml:space="preserve">. </w:t>
      </w:r>
      <w:proofErr w:type="spellStart"/>
      <w:r w:rsidRPr="00F4441C">
        <w:rPr>
          <w:rFonts w:ascii="Arial" w:hAnsi="Arial" w:cs="Arial"/>
        </w:rPr>
        <w:t>Macrozoobenthos</w:t>
      </w:r>
      <w:proofErr w:type="spellEnd"/>
      <w:r w:rsidRPr="00F4441C">
        <w:rPr>
          <w:rFonts w:ascii="Arial" w:hAnsi="Arial" w:cs="Arial"/>
        </w:rPr>
        <w:t xml:space="preserve"> are organisms that live within the substrate or attach to the surface of the waterbed (</w:t>
      </w:r>
      <w:proofErr w:type="spellStart"/>
      <w:r w:rsidRPr="00F4441C">
        <w:rPr>
          <w:rFonts w:ascii="Arial" w:hAnsi="Arial" w:cs="Arial"/>
        </w:rPr>
        <w:t>Rijaluddin</w:t>
      </w:r>
      <w:proofErr w:type="spellEnd"/>
      <w:r w:rsidRPr="00F4441C">
        <w:rPr>
          <w:rFonts w:ascii="Arial" w:hAnsi="Arial" w:cs="Arial"/>
        </w:rPr>
        <w:t xml:space="preserve"> </w:t>
      </w:r>
      <w:r w:rsidR="00553FBA">
        <w:rPr>
          <w:rFonts w:ascii="Arial" w:hAnsi="Arial" w:cs="Arial"/>
        </w:rPr>
        <w:t>et al.</w:t>
      </w:r>
      <w:r w:rsidRPr="00F4441C">
        <w:rPr>
          <w:rFonts w:ascii="Arial" w:hAnsi="Arial" w:cs="Arial"/>
        </w:rPr>
        <w:t xml:space="preserve"> 2017). They are also widely used as indicators of water quality because of their high sensitivity to environmental changes in aquatic ecosystems (Vinda </w:t>
      </w:r>
      <w:r w:rsidR="00553FBA">
        <w:rPr>
          <w:rFonts w:ascii="Arial" w:hAnsi="Arial" w:cs="Arial"/>
        </w:rPr>
        <w:t>et al.</w:t>
      </w:r>
      <w:r w:rsidRPr="00F4441C">
        <w:rPr>
          <w:rFonts w:ascii="Arial" w:hAnsi="Arial" w:cs="Arial"/>
        </w:rPr>
        <w:t xml:space="preserve"> 2018). Tolerant </w:t>
      </w:r>
      <w:proofErr w:type="spellStart"/>
      <w:r w:rsidRPr="00F4441C">
        <w:rPr>
          <w:rFonts w:ascii="Arial" w:hAnsi="Arial" w:cs="Arial"/>
        </w:rPr>
        <w:t>macrozoobenthos</w:t>
      </w:r>
      <w:proofErr w:type="spellEnd"/>
      <w:r w:rsidRPr="00F4441C">
        <w:rPr>
          <w:rFonts w:ascii="Arial" w:hAnsi="Arial" w:cs="Arial"/>
        </w:rPr>
        <w:t xml:space="preserve"> species tend to dominate polluted waters, whereas sensitive species decline or even disappear.</w:t>
      </w:r>
    </w:p>
    <w:p w14:paraId="67AE21CE" w14:textId="77777777" w:rsidR="00F4441C" w:rsidRPr="00F4441C" w:rsidRDefault="00F4441C" w:rsidP="00F4441C">
      <w:pPr>
        <w:pStyle w:val="Body"/>
        <w:spacing w:after="0" w:line="276" w:lineRule="auto"/>
        <w:ind w:firstLine="720"/>
        <w:rPr>
          <w:rFonts w:ascii="Arial" w:hAnsi="Arial" w:cs="Arial"/>
        </w:rPr>
      </w:pPr>
      <w:r w:rsidRPr="00F4441C">
        <w:rPr>
          <w:rFonts w:ascii="Arial" w:hAnsi="Arial" w:cs="Arial"/>
        </w:rPr>
        <w:t xml:space="preserve">In recent years, studies on water quality in Situ </w:t>
      </w:r>
      <w:proofErr w:type="spellStart"/>
      <w:r w:rsidRPr="00F4441C">
        <w:rPr>
          <w:rFonts w:ascii="Arial" w:hAnsi="Arial" w:cs="Arial"/>
        </w:rPr>
        <w:t>Sipatahunan</w:t>
      </w:r>
      <w:proofErr w:type="spellEnd"/>
      <w:r w:rsidRPr="00F4441C">
        <w:rPr>
          <w:rFonts w:ascii="Arial" w:hAnsi="Arial" w:cs="Arial"/>
        </w:rPr>
        <w:t xml:space="preserve"> have been conducted by </w:t>
      </w:r>
      <w:proofErr w:type="spellStart"/>
      <w:r w:rsidRPr="00F4441C">
        <w:rPr>
          <w:rFonts w:ascii="Arial" w:hAnsi="Arial" w:cs="Arial"/>
        </w:rPr>
        <w:t>Supriyatna</w:t>
      </w:r>
      <w:proofErr w:type="spellEnd"/>
      <w:r w:rsidRPr="00F4441C">
        <w:rPr>
          <w:rFonts w:ascii="Arial" w:hAnsi="Arial" w:cs="Arial"/>
        </w:rPr>
        <w:t xml:space="preserve"> et al. (2023), who examined zooplankton abundance, and by </w:t>
      </w:r>
      <w:proofErr w:type="spellStart"/>
      <w:r w:rsidRPr="00F4441C">
        <w:rPr>
          <w:rFonts w:ascii="Arial" w:hAnsi="Arial" w:cs="Arial"/>
        </w:rPr>
        <w:t>Azkiya</w:t>
      </w:r>
      <w:proofErr w:type="spellEnd"/>
      <w:r w:rsidRPr="00F4441C">
        <w:rPr>
          <w:rFonts w:ascii="Arial" w:hAnsi="Arial" w:cs="Arial"/>
        </w:rPr>
        <w:t xml:space="preserve"> (2023), who investigated phytoplankton diversity. The findings of both studies indicated that the water quality in Situ </w:t>
      </w:r>
      <w:proofErr w:type="spellStart"/>
      <w:r w:rsidRPr="00F4441C">
        <w:rPr>
          <w:rFonts w:ascii="Arial" w:hAnsi="Arial" w:cs="Arial"/>
        </w:rPr>
        <w:t>Sipatahunan</w:t>
      </w:r>
      <w:proofErr w:type="spellEnd"/>
      <w:r w:rsidRPr="00F4441C">
        <w:rPr>
          <w:rFonts w:ascii="Arial" w:hAnsi="Arial" w:cs="Arial"/>
        </w:rPr>
        <w:t xml:space="preserve"> falls into the lightly polluted category. However, research on the </w:t>
      </w:r>
      <w:proofErr w:type="spellStart"/>
      <w:r w:rsidRPr="00F4441C">
        <w:rPr>
          <w:rFonts w:ascii="Arial" w:hAnsi="Arial" w:cs="Arial"/>
        </w:rPr>
        <w:t>macrozoobenthos</w:t>
      </w:r>
      <w:proofErr w:type="spellEnd"/>
      <w:r w:rsidRPr="00F4441C">
        <w:rPr>
          <w:rFonts w:ascii="Arial" w:hAnsi="Arial" w:cs="Arial"/>
        </w:rPr>
        <w:t xml:space="preserve"> community structure in Situ </w:t>
      </w:r>
      <w:proofErr w:type="spellStart"/>
      <w:r w:rsidRPr="00F4441C">
        <w:rPr>
          <w:rFonts w:ascii="Arial" w:hAnsi="Arial" w:cs="Arial"/>
        </w:rPr>
        <w:t>Sipatahunan</w:t>
      </w:r>
      <w:proofErr w:type="spellEnd"/>
      <w:r w:rsidRPr="00F4441C">
        <w:rPr>
          <w:rFonts w:ascii="Arial" w:hAnsi="Arial" w:cs="Arial"/>
        </w:rPr>
        <w:t xml:space="preserve"> has not yet been carried out. The analysis of </w:t>
      </w:r>
      <w:proofErr w:type="spellStart"/>
      <w:r w:rsidRPr="00F4441C">
        <w:rPr>
          <w:rFonts w:ascii="Arial" w:hAnsi="Arial" w:cs="Arial"/>
        </w:rPr>
        <w:t>macrozoobenthos</w:t>
      </w:r>
      <w:proofErr w:type="spellEnd"/>
      <w:r w:rsidRPr="00F4441C">
        <w:rPr>
          <w:rFonts w:ascii="Arial" w:hAnsi="Arial" w:cs="Arial"/>
        </w:rPr>
        <w:t xml:space="preserve"> community structure aims to provide a comprehensive overview of the aquatic ecosystem condition, while also serving as a basis for identifying various factors influencing water quality, including pollution levels, temperature, dissolved oxygen concentration, sediment characteristics, and biotic aspects such as abundance, composition, evenness, and biodiversity. The significance of this study lies in efforts to preserve Situ </w:t>
      </w:r>
      <w:proofErr w:type="spellStart"/>
      <w:r w:rsidRPr="00F4441C">
        <w:rPr>
          <w:rFonts w:ascii="Arial" w:hAnsi="Arial" w:cs="Arial"/>
        </w:rPr>
        <w:t>Sipatahunan</w:t>
      </w:r>
      <w:proofErr w:type="spellEnd"/>
      <w:r w:rsidRPr="00F4441C">
        <w:rPr>
          <w:rFonts w:ascii="Arial" w:hAnsi="Arial" w:cs="Arial"/>
        </w:rPr>
        <w:t xml:space="preserve"> as a sustainable natural resource. By understanding the condition of the </w:t>
      </w:r>
      <w:proofErr w:type="spellStart"/>
      <w:r w:rsidRPr="00F4441C">
        <w:rPr>
          <w:rFonts w:ascii="Arial" w:hAnsi="Arial" w:cs="Arial"/>
        </w:rPr>
        <w:t>macrozoobenthos</w:t>
      </w:r>
      <w:proofErr w:type="spellEnd"/>
      <w:r w:rsidRPr="00F4441C">
        <w:rPr>
          <w:rFonts w:ascii="Arial" w:hAnsi="Arial" w:cs="Arial"/>
        </w:rPr>
        <w:t xml:space="preserve"> community and water quality, it is expected that strategies or actions can be developed to prevent further water quality degradation in Situ </w:t>
      </w:r>
      <w:proofErr w:type="spellStart"/>
      <w:r w:rsidRPr="00F4441C">
        <w:rPr>
          <w:rFonts w:ascii="Arial" w:hAnsi="Arial" w:cs="Arial"/>
        </w:rPr>
        <w:t>Sipatahunan</w:t>
      </w:r>
      <w:proofErr w:type="spellEnd"/>
      <w:r w:rsidRPr="00F4441C">
        <w:rPr>
          <w:rFonts w:ascii="Arial" w:hAnsi="Arial" w:cs="Arial"/>
        </w:rPr>
        <w:t>.</w:t>
      </w:r>
    </w:p>
    <w:p w14:paraId="14D1A523" w14:textId="77777777" w:rsidR="001301F7" w:rsidRPr="00FB3A86" w:rsidRDefault="001301F7" w:rsidP="009D2F4C">
      <w:pPr>
        <w:pStyle w:val="Body"/>
        <w:spacing w:after="0" w:line="276" w:lineRule="auto"/>
        <w:rPr>
          <w:rFonts w:ascii="Arial" w:hAnsi="Arial" w:cs="Arial"/>
        </w:rPr>
      </w:pPr>
    </w:p>
    <w:p w14:paraId="3D3B3D24" w14:textId="11083D6E" w:rsidR="00790ADA" w:rsidRPr="00FB3A86" w:rsidRDefault="00902823" w:rsidP="006022C3">
      <w:pPr>
        <w:pStyle w:val="AbstHead"/>
        <w:spacing w:after="0" w:line="276" w:lineRule="auto"/>
        <w:jc w:val="both"/>
        <w:rPr>
          <w:rFonts w:ascii="Arial" w:hAnsi="Arial" w:cs="Arial"/>
        </w:rPr>
      </w:pPr>
      <w:r>
        <w:rPr>
          <w:rFonts w:ascii="Arial" w:hAnsi="Arial" w:cs="Arial"/>
        </w:rPr>
        <w:t xml:space="preserve">2. </w:t>
      </w:r>
      <w:r w:rsidR="0050714F">
        <w:rPr>
          <w:rFonts w:ascii="Arial" w:hAnsi="Arial" w:cs="Arial"/>
        </w:rPr>
        <w:t>Research methods</w:t>
      </w:r>
    </w:p>
    <w:p w14:paraId="24A569A4" w14:textId="7A385ECD" w:rsidR="00AA74E0" w:rsidRDefault="00AA74E0" w:rsidP="006022C3">
      <w:pPr>
        <w:pStyle w:val="Body"/>
        <w:spacing w:after="0" w:line="276" w:lineRule="auto"/>
        <w:rPr>
          <w:rFonts w:ascii="Arial" w:hAnsi="Arial" w:cs="Arial"/>
          <w:b/>
          <w:sz w:val="22"/>
        </w:rPr>
      </w:pPr>
      <w:r w:rsidRPr="00C30A0F">
        <w:rPr>
          <w:rFonts w:ascii="Arial" w:hAnsi="Arial" w:cs="Arial"/>
          <w:b/>
          <w:caps/>
          <w:sz w:val="22"/>
        </w:rPr>
        <w:t xml:space="preserve">2.1 </w:t>
      </w:r>
      <w:r w:rsidR="001908C3">
        <w:rPr>
          <w:rFonts w:ascii="Arial" w:hAnsi="Arial" w:cs="Arial"/>
          <w:b/>
          <w:sz w:val="22"/>
        </w:rPr>
        <w:t xml:space="preserve">Time and </w:t>
      </w:r>
      <w:r w:rsidR="00320778">
        <w:rPr>
          <w:rFonts w:ascii="Arial" w:hAnsi="Arial" w:cs="Arial"/>
          <w:b/>
          <w:sz w:val="22"/>
        </w:rPr>
        <w:t>Location</w:t>
      </w:r>
      <w:r w:rsidR="001908C3">
        <w:rPr>
          <w:rFonts w:ascii="Arial" w:hAnsi="Arial" w:cs="Arial"/>
          <w:b/>
          <w:sz w:val="22"/>
        </w:rPr>
        <w:t xml:space="preserve"> of Research</w:t>
      </w:r>
    </w:p>
    <w:p w14:paraId="27D90889" w14:textId="0C658534" w:rsidR="00953A3A" w:rsidRDefault="000F5346" w:rsidP="006022C3">
      <w:pPr>
        <w:pStyle w:val="Body"/>
        <w:spacing w:line="276" w:lineRule="auto"/>
        <w:rPr>
          <w:rFonts w:ascii="Arial" w:hAnsi="Arial" w:cs="Arial"/>
        </w:rPr>
      </w:pPr>
      <w:r>
        <w:rPr>
          <w:rFonts w:ascii="Arial" w:hAnsi="Arial" w:cs="Arial"/>
        </w:rPr>
        <w:tab/>
      </w:r>
      <w:r w:rsidR="00320778" w:rsidRPr="00320778">
        <w:rPr>
          <w:rFonts w:ascii="Arial" w:hAnsi="Arial" w:cs="Arial"/>
        </w:rPr>
        <w:t xml:space="preserve">Sampling was conducted in Situ </w:t>
      </w:r>
      <w:proofErr w:type="spellStart"/>
      <w:r w:rsidR="00320778" w:rsidRPr="00320778">
        <w:rPr>
          <w:rFonts w:ascii="Arial" w:hAnsi="Arial" w:cs="Arial"/>
        </w:rPr>
        <w:t>Sipatahunan</w:t>
      </w:r>
      <w:proofErr w:type="spellEnd"/>
      <w:r w:rsidR="00320778" w:rsidRPr="00320778">
        <w:rPr>
          <w:rFonts w:ascii="Arial" w:hAnsi="Arial" w:cs="Arial"/>
        </w:rPr>
        <w:t xml:space="preserve">, </w:t>
      </w:r>
      <w:proofErr w:type="spellStart"/>
      <w:r w:rsidR="00320778" w:rsidRPr="00320778">
        <w:rPr>
          <w:rFonts w:ascii="Arial" w:hAnsi="Arial" w:cs="Arial"/>
        </w:rPr>
        <w:t>Baleendah</w:t>
      </w:r>
      <w:proofErr w:type="spellEnd"/>
      <w:r w:rsidR="00320778" w:rsidRPr="00320778">
        <w:rPr>
          <w:rFonts w:ascii="Arial" w:hAnsi="Arial" w:cs="Arial"/>
        </w:rPr>
        <w:t xml:space="preserve"> District, Bandung Regency, West Java, Indonesia. Field sampling was carried out every 14 days over a two-month period from May to June 2025. Laboratory analyses were conducted at the Aquatic Resources Laboratory, Faculty of Fisheries and Marine Sciences, </w:t>
      </w:r>
      <w:proofErr w:type="spellStart"/>
      <w:r w:rsidR="00320778" w:rsidRPr="00320778">
        <w:rPr>
          <w:rFonts w:ascii="Arial" w:hAnsi="Arial" w:cs="Arial"/>
        </w:rPr>
        <w:t>Universitas</w:t>
      </w:r>
      <w:proofErr w:type="spellEnd"/>
      <w:r w:rsidR="00320778" w:rsidRPr="00320778">
        <w:rPr>
          <w:rFonts w:ascii="Arial" w:hAnsi="Arial" w:cs="Arial"/>
        </w:rPr>
        <w:t xml:space="preserve"> </w:t>
      </w:r>
      <w:proofErr w:type="spellStart"/>
      <w:r w:rsidR="00320778" w:rsidRPr="00320778">
        <w:rPr>
          <w:rFonts w:ascii="Arial" w:hAnsi="Arial" w:cs="Arial"/>
        </w:rPr>
        <w:t>Padjadjaran</w:t>
      </w:r>
      <w:proofErr w:type="spellEnd"/>
      <w:r w:rsidR="00320778" w:rsidRPr="00320778">
        <w:rPr>
          <w:rFonts w:ascii="Arial" w:hAnsi="Arial" w:cs="Arial"/>
        </w:rPr>
        <w:t>.</w:t>
      </w:r>
    </w:p>
    <w:p w14:paraId="608CC737" w14:textId="576F52DF" w:rsidR="00953A3A" w:rsidRDefault="00953A3A" w:rsidP="006022C3">
      <w:pPr>
        <w:pStyle w:val="Body"/>
        <w:spacing w:after="0" w:line="276" w:lineRule="auto"/>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Sampling Stations and Depth</w:t>
      </w:r>
    </w:p>
    <w:p w14:paraId="688365D6" w14:textId="53C79053" w:rsidR="00900BFB" w:rsidRDefault="00953A3A" w:rsidP="00320778">
      <w:pPr>
        <w:pStyle w:val="Body"/>
        <w:spacing w:after="0" w:line="276" w:lineRule="auto"/>
        <w:rPr>
          <w:rFonts w:ascii="Arial" w:hAnsi="Arial" w:cs="Arial"/>
        </w:rPr>
      </w:pPr>
      <w:r>
        <w:rPr>
          <w:rFonts w:ascii="Arial" w:hAnsi="Arial" w:cs="Arial"/>
        </w:rPr>
        <w:tab/>
      </w:r>
      <w:r w:rsidR="00320778" w:rsidRPr="00320778">
        <w:rPr>
          <w:rFonts w:ascii="Arial" w:hAnsi="Arial" w:cs="Arial"/>
        </w:rPr>
        <w:t xml:space="preserve">The determination of sampling points considered environmental factors and land use around Situ </w:t>
      </w:r>
      <w:proofErr w:type="spellStart"/>
      <w:r w:rsidR="00320778" w:rsidRPr="00320778">
        <w:rPr>
          <w:rFonts w:ascii="Arial" w:hAnsi="Arial" w:cs="Arial"/>
        </w:rPr>
        <w:t>Sipatahunan</w:t>
      </w:r>
      <w:proofErr w:type="spellEnd"/>
      <w:r w:rsidR="00320778" w:rsidRPr="00320778">
        <w:rPr>
          <w:rFonts w:ascii="Arial" w:hAnsi="Arial" w:cs="Arial"/>
        </w:rPr>
        <w:t xml:space="preserve">, </w:t>
      </w:r>
      <w:proofErr w:type="spellStart"/>
      <w:r w:rsidR="00320778" w:rsidRPr="00320778">
        <w:rPr>
          <w:rFonts w:ascii="Arial" w:hAnsi="Arial" w:cs="Arial"/>
        </w:rPr>
        <w:t>Baleendah</w:t>
      </w:r>
      <w:proofErr w:type="spellEnd"/>
      <w:r w:rsidR="00320778" w:rsidRPr="00320778">
        <w:rPr>
          <w:rFonts w:ascii="Arial" w:hAnsi="Arial" w:cs="Arial"/>
        </w:rPr>
        <w:t xml:space="preserve"> Subdistrict, Bandung Regency. The research map and a more detailed description of the sampling points are presented in Figure 1 and Table 1.</w:t>
      </w:r>
    </w:p>
    <w:p w14:paraId="347E05DF" w14:textId="3069192D" w:rsidR="000870F3" w:rsidRDefault="00320778" w:rsidP="006022C3">
      <w:pPr>
        <w:pStyle w:val="Body"/>
        <w:keepNext/>
        <w:spacing w:after="0" w:line="276" w:lineRule="auto"/>
        <w:ind w:left="360"/>
        <w:jc w:val="center"/>
      </w:pPr>
      <w:r>
        <w:rPr>
          <w:rFonts w:ascii="Arial" w:hAnsi="Arial" w:cs="Arial"/>
          <w:bCs/>
          <w:noProof/>
        </w:rPr>
        <w:drawing>
          <wp:inline distT="0" distB="0" distL="0" distR="0" wp14:anchorId="4AF78DF1" wp14:editId="1C654838">
            <wp:extent cx="3709263" cy="2619375"/>
            <wp:effectExtent l="0" t="0" r="5715" b="0"/>
            <wp:docPr id="10524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63" cy="2636746"/>
                    </a:xfrm>
                    <a:prstGeom prst="rect">
                      <a:avLst/>
                    </a:prstGeom>
                    <a:noFill/>
                  </pic:spPr>
                </pic:pic>
              </a:graphicData>
            </a:graphic>
          </wp:inline>
        </w:drawing>
      </w:r>
    </w:p>
    <w:p w14:paraId="46319D67" w14:textId="77E50CB5" w:rsidR="000870F3" w:rsidRPr="000870F3" w:rsidRDefault="000870F3" w:rsidP="006022C3">
      <w:pPr>
        <w:pStyle w:val="Caption"/>
        <w:spacing w:line="276" w:lineRule="auto"/>
        <w:jc w:val="center"/>
        <w:rPr>
          <w:rFonts w:ascii="Arial" w:hAnsi="Arial" w:cs="Arial"/>
          <w:i w:val="0"/>
          <w:iCs w:val="0"/>
          <w:color w:val="000000" w:themeColor="text1"/>
        </w:rPr>
      </w:pPr>
      <w:r w:rsidRPr="000870F3">
        <w:rPr>
          <w:rFonts w:ascii="Arial" w:hAnsi="Arial" w:cs="Arial"/>
          <w:b/>
          <w:bCs/>
          <w:i w:val="0"/>
          <w:iCs w:val="0"/>
          <w:color w:val="000000" w:themeColor="text1"/>
        </w:rPr>
        <w:t xml:space="preserve">Figure </w:t>
      </w:r>
      <w:r w:rsidRPr="000870F3">
        <w:rPr>
          <w:rFonts w:ascii="Arial" w:hAnsi="Arial" w:cs="Arial"/>
          <w:b/>
          <w:bCs/>
          <w:i w:val="0"/>
          <w:iCs w:val="0"/>
          <w:color w:val="000000" w:themeColor="text1"/>
        </w:rPr>
        <w:fldChar w:fldCharType="begin"/>
      </w:r>
      <w:r w:rsidRPr="000870F3">
        <w:rPr>
          <w:rFonts w:ascii="Arial" w:hAnsi="Arial" w:cs="Arial"/>
          <w:b/>
          <w:bCs/>
          <w:i w:val="0"/>
          <w:iCs w:val="0"/>
          <w:color w:val="000000" w:themeColor="text1"/>
        </w:rPr>
        <w:instrText xml:space="preserve"> SEQ Figure \* ARABIC </w:instrText>
      </w:r>
      <w:r w:rsidRPr="000870F3">
        <w:rPr>
          <w:rFonts w:ascii="Arial" w:hAnsi="Arial" w:cs="Arial"/>
          <w:b/>
          <w:bCs/>
          <w:i w:val="0"/>
          <w:iCs w:val="0"/>
          <w:color w:val="000000" w:themeColor="text1"/>
        </w:rPr>
        <w:fldChar w:fldCharType="separate"/>
      </w:r>
      <w:r w:rsidRPr="000870F3">
        <w:rPr>
          <w:rFonts w:ascii="Arial" w:hAnsi="Arial" w:cs="Arial"/>
          <w:b/>
          <w:bCs/>
          <w:i w:val="0"/>
          <w:iCs w:val="0"/>
          <w:noProof/>
          <w:color w:val="000000" w:themeColor="text1"/>
        </w:rPr>
        <w:t>1</w:t>
      </w:r>
      <w:r w:rsidRPr="000870F3">
        <w:rPr>
          <w:rFonts w:ascii="Arial" w:hAnsi="Arial" w:cs="Arial"/>
          <w:b/>
          <w:bCs/>
          <w:i w:val="0"/>
          <w:iCs w:val="0"/>
          <w:color w:val="000000" w:themeColor="text1"/>
        </w:rPr>
        <w:fldChar w:fldCharType="end"/>
      </w:r>
      <w:r w:rsidRPr="000870F3">
        <w:rPr>
          <w:rFonts w:ascii="Arial" w:hAnsi="Arial" w:cs="Arial"/>
          <w:b/>
          <w:bCs/>
          <w:i w:val="0"/>
          <w:iCs w:val="0"/>
          <w:color w:val="000000" w:themeColor="text1"/>
        </w:rPr>
        <w:t>.</w:t>
      </w:r>
      <w:r w:rsidRPr="000870F3">
        <w:rPr>
          <w:rFonts w:ascii="Arial" w:hAnsi="Arial" w:cs="Arial"/>
          <w:i w:val="0"/>
          <w:iCs w:val="0"/>
          <w:color w:val="000000" w:themeColor="text1"/>
        </w:rPr>
        <w:t xml:space="preserve"> Location of Research Station</w:t>
      </w:r>
    </w:p>
    <w:p w14:paraId="1B6C8942" w14:textId="77777777" w:rsidR="00320778" w:rsidRPr="00013AA1" w:rsidRDefault="00320778" w:rsidP="00013AA1">
      <w:pPr>
        <w:pStyle w:val="Body"/>
        <w:spacing w:after="0"/>
        <w:jc w:val="left"/>
        <w:rPr>
          <w:rFonts w:ascii="Arial" w:hAnsi="Arial" w:cs="Arial"/>
          <w:b/>
          <w:sz w:val="18"/>
          <w:szCs w:val="18"/>
        </w:rPr>
      </w:pPr>
      <w:r w:rsidRPr="00013AA1">
        <w:rPr>
          <w:rFonts w:ascii="Arial" w:hAnsi="Arial" w:cs="Arial"/>
          <w:b/>
          <w:sz w:val="18"/>
          <w:szCs w:val="18"/>
        </w:rPr>
        <w:t xml:space="preserve">Table 1. </w:t>
      </w:r>
      <w:r w:rsidRPr="00013AA1">
        <w:rPr>
          <w:rFonts w:ascii="Arial" w:hAnsi="Arial" w:cs="Arial"/>
          <w:bCs/>
          <w:sz w:val="18"/>
          <w:szCs w:val="18"/>
        </w:rPr>
        <w:t>Description of the research location based on environmental characteristics</w:t>
      </w:r>
    </w:p>
    <w:tbl>
      <w:tblPr>
        <w:tblStyle w:val="TableGrid"/>
        <w:tblW w:w="0" w:type="auto"/>
        <w:tblLook w:val="04A0" w:firstRow="1" w:lastRow="0" w:firstColumn="1" w:lastColumn="0" w:noHBand="0" w:noVBand="1"/>
      </w:tblPr>
      <w:tblGrid>
        <w:gridCol w:w="959"/>
        <w:gridCol w:w="1984"/>
        <w:gridCol w:w="2552"/>
        <w:gridCol w:w="5278"/>
      </w:tblGrid>
      <w:tr w:rsidR="00320778" w:rsidRPr="001039CF" w14:paraId="4EA73157" w14:textId="77777777" w:rsidTr="009D2F4C">
        <w:tc>
          <w:tcPr>
            <w:tcW w:w="959" w:type="dxa"/>
            <w:tcBorders>
              <w:top w:val="single" w:sz="4" w:space="0" w:color="auto"/>
              <w:left w:val="nil"/>
              <w:bottom w:val="single" w:sz="4" w:space="0" w:color="auto"/>
              <w:right w:val="nil"/>
            </w:tcBorders>
            <w:vAlign w:val="center"/>
          </w:tcPr>
          <w:p w14:paraId="2DDA6FEF" w14:textId="77777777" w:rsidR="00320778" w:rsidRPr="001039CF" w:rsidRDefault="00320778" w:rsidP="00162298">
            <w:pPr>
              <w:pStyle w:val="Body"/>
              <w:spacing w:after="0"/>
              <w:jc w:val="center"/>
              <w:rPr>
                <w:rFonts w:ascii="Arial" w:hAnsi="Arial" w:cs="Arial"/>
                <w:b/>
                <w:sz w:val="20"/>
                <w:szCs w:val="20"/>
              </w:rPr>
            </w:pPr>
            <w:r w:rsidRPr="001039CF">
              <w:rPr>
                <w:rFonts w:ascii="Arial" w:hAnsi="Arial" w:cs="Arial"/>
                <w:b/>
                <w:sz w:val="20"/>
                <w:szCs w:val="20"/>
              </w:rPr>
              <w:t>Station</w:t>
            </w:r>
          </w:p>
        </w:tc>
        <w:tc>
          <w:tcPr>
            <w:tcW w:w="1984" w:type="dxa"/>
            <w:tcBorders>
              <w:top w:val="single" w:sz="4" w:space="0" w:color="auto"/>
              <w:left w:val="nil"/>
              <w:bottom w:val="single" w:sz="4" w:space="0" w:color="auto"/>
              <w:right w:val="nil"/>
            </w:tcBorders>
            <w:vAlign w:val="center"/>
          </w:tcPr>
          <w:p w14:paraId="3004FE30" w14:textId="77777777" w:rsidR="00320778" w:rsidRPr="001039CF" w:rsidRDefault="00320778" w:rsidP="00162298">
            <w:pPr>
              <w:pStyle w:val="Body"/>
              <w:spacing w:after="0"/>
              <w:jc w:val="center"/>
              <w:rPr>
                <w:rFonts w:ascii="Arial" w:hAnsi="Arial" w:cs="Arial"/>
                <w:b/>
                <w:sz w:val="20"/>
                <w:szCs w:val="20"/>
              </w:rPr>
            </w:pPr>
            <w:r w:rsidRPr="001039CF">
              <w:rPr>
                <w:rFonts w:ascii="Arial" w:hAnsi="Arial" w:cs="Arial"/>
                <w:b/>
                <w:sz w:val="20"/>
                <w:szCs w:val="20"/>
              </w:rPr>
              <w:t>Location</w:t>
            </w:r>
          </w:p>
        </w:tc>
        <w:tc>
          <w:tcPr>
            <w:tcW w:w="2552" w:type="dxa"/>
            <w:tcBorders>
              <w:top w:val="single" w:sz="4" w:space="0" w:color="auto"/>
              <w:left w:val="nil"/>
              <w:bottom w:val="single" w:sz="4" w:space="0" w:color="auto"/>
              <w:right w:val="nil"/>
            </w:tcBorders>
            <w:vAlign w:val="center"/>
          </w:tcPr>
          <w:p w14:paraId="4A985386" w14:textId="77777777" w:rsidR="00320778" w:rsidRPr="001039CF" w:rsidRDefault="00320778" w:rsidP="00162298">
            <w:pPr>
              <w:pStyle w:val="Body"/>
              <w:spacing w:after="0"/>
              <w:jc w:val="center"/>
              <w:rPr>
                <w:rFonts w:ascii="Arial" w:hAnsi="Arial" w:cs="Arial"/>
                <w:b/>
                <w:sz w:val="20"/>
                <w:szCs w:val="20"/>
              </w:rPr>
            </w:pPr>
            <w:proofErr w:type="spellStart"/>
            <w:r w:rsidRPr="001039CF">
              <w:rPr>
                <w:rFonts w:ascii="Arial" w:hAnsi="Arial" w:cs="Arial"/>
                <w:b/>
                <w:sz w:val="20"/>
                <w:szCs w:val="20"/>
              </w:rPr>
              <w:t>Coodinate</w:t>
            </w:r>
            <w:proofErr w:type="spellEnd"/>
            <w:r>
              <w:rPr>
                <w:rFonts w:ascii="Arial" w:hAnsi="Arial" w:cs="Arial"/>
                <w:b/>
                <w:sz w:val="20"/>
                <w:szCs w:val="20"/>
              </w:rPr>
              <w:t xml:space="preserve"> </w:t>
            </w:r>
            <w:r w:rsidRPr="001039CF">
              <w:rPr>
                <w:rFonts w:ascii="Arial" w:hAnsi="Arial" w:cs="Arial"/>
                <w:b/>
                <w:sz w:val="20"/>
                <w:szCs w:val="20"/>
              </w:rPr>
              <w:t>Point</w:t>
            </w:r>
          </w:p>
        </w:tc>
        <w:tc>
          <w:tcPr>
            <w:tcW w:w="5278" w:type="dxa"/>
            <w:tcBorders>
              <w:top w:val="single" w:sz="4" w:space="0" w:color="auto"/>
              <w:left w:val="nil"/>
              <w:bottom w:val="single" w:sz="4" w:space="0" w:color="auto"/>
              <w:right w:val="nil"/>
            </w:tcBorders>
            <w:vAlign w:val="center"/>
          </w:tcPr>
          <w:p w14:paraId="50C91E96" w14:textId="77777777" w:rsidR="00320778" w:rsidRPr="001039CF" w:rsidRDefault="00320778" w:rsidP="00162298">
            <w:pPr>
              <w:pStyle w:val="Body"/>
              <w:spacing w:after="0"/>
              <w:jc w:val="center"/>
              <w:rPr>
                <w:rFonts w:ascii="Arial" w:hAnsi="Arial" w:cs="Arial"/>
                <w:b/>
                <w:sz w:val="20"/>
                <w:szCs w:val="20"/>
              </w:rPr>
            </w:pPr>
            <w:r w:rsidRPr="001039CF">
              <w:rPr>
                <w:rFonts w:ascii="Arial" w:hAnsi="Arial" w:cs="Arial"/>
                <w:b/>
                <w:sz w:val="20"/>
                <w:szCs w:val="20"/>
              </w:rPr>
              <w:t>Description</w:t>
            </w:r>
          </w:p>
        </w:tc>
      </w:tr>
      <w:tr w:rsidR="00320778" w:rsidRPr="001039CF" w14:paraId="1548084B" w14:textId="77777777" w:rsidTr="00013AA1">
        <w:tc>
          <w:tcPr>
            <w:tcW w:w="959" w:type="dxa"/>
            <w:tcBorders>
              <w:top w:val="single" w:sz="4" w:space="0" w:color="auto"/>
              <w:left w:val="nil"/>
              <w:bottom w:val="nil"/>
              <w:right w:val="nil"/>
            </w:tcBorders>
            <w:vAlign w:val="center"/>
          </w:tcPr>
          <w:p w14:paraId="7F1CB011"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w:t>
            </w:r>
          </w:p>
        </w:tc>
        <w:tc>
          <w:tcPr>
            <w:tcW w:w="1984" w:type="dxa"/>
            <w:tcBorders>
              <w:top w:val="single" w:sz="4" w:space="0" w:color="auto"/>
              <w:left w:val="nil"/>
              <w:bottom w:val="nil"/>
              <w:right w:val="nil"/>
            </w:tcBorders>
            <w:vAlign w:val="center"/>
          </w:tcPr>
          <w:p w14:paraId="0A9B77BC" w14:textId="77777777" w:rsidR="00320778" w:rsidRPr="001039CF" w:rsidRDefault="00320778" w:rsidP="00162298">
            <w:pPr>
              <w:pStyle w:val="Body"/>
              <w:spacing w:after="0"/>
              <w:jc w:val="center"/>
              <w:rPr>
                <w:rFonts w:ascii="Arial" w:hAnsi="Arial" w:cs="Arial"/>
                <w:bCs/>
                <w:sz w:val="20"/>
                <w:szCs w:val="20"/>
              </w:rPr>
            </w:pPr>
            <w:r>
              <w:rPr>
                <w:rFonts w:ascii="Arial" w:hAnsi="Arial" w:cs="Arial"/>
                <w:bCs/>
                <w:sz w:val="20"/>
                <w:szCs w:val="20"/>
              </w:rPr>
              <w:t>Inlet zone</w:t>
            </w:r>
          </w:p>
        </w:tc>
        <w:tc>
          <w:tcPr>
            <w:tcW w:w="2552" w:type="dxa"/>
            <w:tcBorders>
              <w:top w:val="single" w:sz="4" w:space="0" w:color="auto"/>
              <w:left w:val="nil"/>
              <w:bottom w:val="nil"/>
              <w:right w:val="nil"/>
            </w:tcBorders>
            <w:vAlign w:val="center"/>
          </w:tcPr>
          <w:p w14:paraId="094D2F02"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7° 0'54.34"S</w:t>
            </w:r>
          </w:p>
          <w:p w14:paraId="71110CAE"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107°37'34.67"E</w:t>
            </w:r>
          </w:p>
        </w:tc>
        <w:tc>
          <w:tcPr>
            <w:tcW w:w="5278" w:type="dxa"/>
            <w:tcBorders>
              <w:top w:val="single" w:sz="4" w:space="0" w:color="auto"/>
              <w:left w:val="nil"/>
              <w:bottom w:val="nil"/>
              <w:right w:val="nil"/>
            </w:tcBorders>
            <w:vAlign w:val="center"/>
          </w:tcPr>
          <w:p w14:paraId="36206ED1" w14:textId="29C694DC" w:rsidR="00320778" w:rsidRPr="001039CF" w:rsidRDefault="00320778" w:rsidP="00162298">
            <w:pPr>
              <w:pStyle w:val="Body"/>
              <w:spacing w:after="0"/>
              <w:rPr>
                <w:rFonts w:ascii="Arial" w:hAnsi="Arial" w:cs="Arial"/>
                <w:bCs/>
                <w:sz w:val="20"/>
                <w:szCs w:val="20"/>
              </w:rPr>
            </w:pPr>
            <w:r w:rsidRPr="00162D8B">
              <w:rPr>
                <w:rFonts w:ascii="Arial" w:hAnsi="Arial" w:cs="Arial"/>
                <w:bCs/>
                <w:sz w:val="20"/>
                <w:szCs w:val="20"/>
              </w:rPr>
              <w:t>a calm-water area that is occasionally used as a source of clean water for washing</w:t>
            </w:r>
          </w:p>
        </w:tc>
      </w:tr>
      <w:tr w:rsidR="00320778" w:rsidRPr="001039CF" w14:paraId="1E925FE0" w14:textId="77777777" w:rsidTr="00013AA1">
        <w:tc>
          <w:tcPr>
            <w:tcW w:w="959" w:type="dxa"/>
            <w:tcBorders>
              <w:top w:val="nil"/>
              <w:left w:val="nil"/>
              <w:bottom w:val="nil"/>
              <w:right w:val="nil"/>
            </w:tcBorders>
            <w:vAlign w:val="center"/>
          </w:tcPr>
          <w:p w14:paraId="0772D9D9"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2</w:t>
            </w:r>
          </w:p>
        </w:tc>
        <w:tc>
          <w:tcPr>
            <w:tcW w:w="1984" w:type="dxa"/>
            <w:tcBorders>
              <w:top w:val="nil"/>
              <w:left w:val="nil"/>
              <w:bottom w:val="nil"/>
              <w:right w:val="nil"/>
            </w:tcBorders>
            <w:vAlign w:val="center"/>
          </w:tcPr>
          <w:p w14:paraId="5C1C20F0" w14:textId="77777777" w:rsidR="00320778" w:rsidRPr="001039CF" w:rsidRDefault="00320778" w:rsidP="00162298">
            <w:pPr>
              <w:pStyle w:val="Body"/>
              <w:spacing w:after="0"/>
              <w:jc w:val="center"/>
              <w:rPr>
                <w:rFonts w:ascii="Arial" w:hAnsi="Arial" w:cs="Arial"/>
                <w:bCs/>
                <w:sz w:val="20"/>
                <w:szCs w:val="20"/>
              </w:rPr>
            </w:pPr>
            <w:proofErr w:type="spellStart"/>
            <w:r>
              <w:rPr>
                <w:rFonts w:ascii="Arial" w:hAnsi="Arial" w:cs="Arial"/>
                <w:bCs/>
                <w:sz w:val="20"/>
                <w:szCs w:val="20"/>
              </w:rPr>
              <w:t>Midlet</w:t>
            </w:r>
            <w:proofErr w:type="spellEnd"/>
            <w:r>
              <w:rPr>
                <w:rFonts w:ascii="Arial" w:hAnsi="Arial" w:cs="Arial"/>
                <w:bCs/>
                <w:sz w:val="20"/>
                <w:szCs w:val="20"/>
              </w:rPr>
              <w:t xml:space="preserve"> zone</w:t>
            </w:r>
          </w:p>
        </w:tc>
        <w:tc>
          <w:tcPr>
            <w:tcW w:w="2552" w:type="dxa"/>
            <w:tcBorders>
              <w:top w:val="nil"/>
              <w:left w:val="nil"/>
              <w:bottom w:val="nil"/>
              <w:right w:val="nil"/>
            </w:tcBorders>
            <w:vAlign w:val="center"/>
          </w:tcPr>
          <w:p w14:paraId="3E287F7D"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7° 0'52.87"S</w:t>
            </w:r>
          </w:p>
          <w:p w14:paraId="32AFB242"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107°37'34.38"E</w:t>
            </w:r>
          </w:p>
        </w:tc>
        <w:tc>
          <w:tcPr>
            <w:tcW w:w="5278" w:type="dxa"/>
            <w:tcBorders>
              <w:top w:val="nil"/>
              <w:left w:val="nil"/>
              <w:bottom w:val="nil"/>
              <w:right w:val="nil"/>
            </w:tcBorders>
            <w:vAlign w:val="center"/>
          </w:tcPr>
          <w:p w14:paraId="19564B45" w14:textId="3CF54E38" w:rsidR="00320778" w:rsidRPr="001039CF" w:rsidRDefault="002567A0" w:rsidP="00162298">
            <w:pPr>
              <w:pStyle w:val="Body"/>
              <w:spacing w:after="0"/>
              <w:rPr>
                <w:rFonts w:ascii="Arial" w:hAnsi="Arial" w:cs="Arial"/>
                <w:bCs/>
                <w:sz w:val="20"/>
                <w:szCs w:val="20"/>
              </w:rPr>
            </w:pPr>
            <w:r w:rsidRPr="002567A0">
              <w:rPr>
                <w:rFonts w:ascii="Arial" w:hAnsi="Arial" w:cs="Arial"/>
                <w:bCs/>
                <w:sz w:val="20"/>
                <w:szCs w:val="20"/>
              </w:rPr>
              <w:t>The midwater zone, often used as a target fishing area, with a depth of approximately 1 meter</w:t>
            </w:r>
          </w:p>
        </w:tc>
      </w:tr>
      <w:tr w:rsidR="00320778" w:rsidRPr="001039CF" w14:paraId="4688250D" w14:textId="77777777" w:rsidTr="00013AA1">
        <w:tc>
          <w:tcPr>
            <w:tcW w:w="959" w:type="dxa"/>
            <w:tcBorders>
              <w:top w:val="nil"/>
              <w:left w:val="nil"/>
              <w:bottom w:val="nil"/>
              <w:right w:val="nil"/>
            </w:tcBorders>
            <w:vAlign w:val="center"/>
          </w:tcPr>
          <w:p w14:paraId="7074C4A0"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3</w:t>
            </w:r>
          </w:p>
        </w:tc>
        <w:tc>
          <w:tcPr>
            <w:tcW w:w="1984" w:type="dxa"/>
            <w:tcBorders>
              <w:top w:val="nil"/>
              <w:left w:val="nil"/>
              <w:bottom w:val="nil"/>
              <w:right w:val="nil"/>
            </w:tcBorders>
            <w:vAlign w:val="center"/>
          </w:tcPr>
          <w:p w14:paraId="4AA82D6E" w14:textId="77777777" w:rsidR="00320778" w:rsidRPr="001039CF" w:rsidRDefault="00320778" w:rsidP="00162298">
            <w:pPr>
              <w:pStyle w:val="Body"/>
              <w:spacing w:after="0"/>
              <w:jc w:val="center"/>
              <w:rPr>
                <w:rFonts w:ascii="Arial" w:hAnsi="Arial" w:cs="Arial"/>
                <w:bCs/>
                <w:sz w:val="20"/>
                <w:szCs w:val="20"/>
              </w:rPr>
            </w:pPr>
            <w:proofErr w:type="spellStart"/>
            <w:r>
              <w:rPr>
                <w:rFonts w:ascii="Arial" w:hAnsi="Arial" w:cs="Arial"/>
                <w:bCs/>
                <w:sz w:val="20"/>
                <w:szCs w:val="20"/>
              </w:rPr>
              <w:t>Antropogenic</w:t>
            </w:r>
            <w:proofErr w:type="spellEnd"/>
            <w:r>
              <w:rPr>
                <w:rFonts w:ascii="Arial" w:hAnsi="Arial" w:cs="Arial"/>
                <w:bCs/>
                <w:sz w:val="20"/>
                <w:szCs w:val="20"/>
              </w:rPr>
              <w:t xml:space="preserve"> zone</w:t>
            </w:r>
          </w:p>
        </w:tc>
        <w:tc>
          <w:tcPr>
            <w:tcW w:w="2552" w:type="dxa"/>
            <w:tcBorders>
              <w:top w:val="nil"/>
              <w:left w:val="nil"/>
              <w:bottom w:val="nil"/>
              <w:right w:val="nil"/>
            </w:tcBorders>
            <w:vAlign w:val="center"/>
          </w:tcPr>
          <w:p w14:paraId="30E39FD1"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7° 0'50.95"S</w:t>
            </w:r>
          </w:p>
          <w:p w14:paraId="2776DA03"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107°37'33.90"E</w:t>
            </w:r>
          </w:p>
        </w:tc>
        <w:tc>
          <w:tcPr>
            <w:tcW w:w="5278" w:type="dxa"/>
            <w:tcBorders>
              <w:top w:val="nil"/>
              <w:left w:val="nil"/>
              <w:bottom w:val="nil"/>
              <w:right w:val="nil"/>
            </w:tcBorders>
            <w:vAlign w:val="center"/>
          </w:tcPr>
          <w:p w14:paraId="15966AB3" w14:textId="11852BFD" w:rsidR="00320778" w:rsidRPr="001039CF" w:rsidRDefault="00320778" w:rsidP="00162298">
            <w:pPr>
              <w:pStyle w:val="Body"/>
              <w:spacing w:after="0"/>
              <w:rPr>
                <w:rFonts w:ascii="Arial" w:hAnsi="Arial" w:cs="Arial"/>
                <w:bCs/>
                <w:sz w:val="20"/>
                <w:szCs w:val="20"/>
              </w:rPr>
            </w:pPr>
            <w:r w:rsidRPr="00162D8B">
              <w:rPr>
                <w:rFonts w:ascii="Arial" w:hAnsi="Arial" w:cs="Arial"/>
                <w:bCs/>
                <w:sz w:val="20"/>
                <w:szCs w:val="20"/>
              </w:rPr>
              <w:t>located near residential areas, characterized by the presence of solid waste, and frequently used for bathing and dishwashing</w:t>
            </w:r>
          </w:p>
        </w:tc>
      </w:tr>
      <w:tr w:rsidR="00320778" w:rsidRPr="001039CF" w14:paraId="018A07D8" w14:textId="77777777" w:rsidTr="00013AA1">
        <w:trPr>
          <w:trHeight w:val="70"/>
        </w:trPr>
        <w:tc>
          <w:tcPr>
            <w:tcW w:w="959" w:type="dxa"/>
            <w:tcBorders>
              <w:top w:val="nil"/>
              <w:left w:val="nil"/>
              <w:bottom w:val="single" w:sz="4" w:space="0" w:color="auto"/>
              <w:right w:val="nil"/>
            </w:tcBorders>
            <w:vAlign w:val="center"/>
          </w:tcPr>
          <w:p w14:paraId="70023D42"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lastRenderedPageBreak/>
              <w:t>4</w:t>
            </w:r>
          </w:p>
        </w:tc>
        <w:tc>
          <w:tcPr>
            <w:tcW w:w="1984" w:type="dxa"/>
            <w:tcBorders>
              <w:top w:val="nil"/>
              <w:left w:val="nil"/>
              <w:bottom w:val="single" w:sz="4" w:space="0" w:color="auto"/>
              <w:right w:val="nil"/>
            </w:tcBorders>
            <w:vAlign w:val="center"/>
          </w:tcPr>
          <w:p w14:paraId="20F50F81" w14:textId="77777777" w:rsidR="00320778" w:rsidRPr="001039CF" w:rsidRDefault="00320778" w:rsidP="00162298">
            <w:pPr>
              <w:pStyle w:val="Body"/>
              <w:spacing w:after="0"/>
              <w:jc w:val="center"/>
              <w:rPr>
                <w:rFonts w:ascii="Arial" w:hAnsi="Arial" w:cs="Arial"/>
                <w:bCs/>
                <w:sz w:val="20"/>
                <w:szCs w:val="20"/>
              </w:rPr>
            </w:pPr>
            <w:r>
              <w:rPr>
                <w:rFonts w:ascii="Arial" w:hAnsi="Arial" w:cs="Arial"/>
                <w:bCs/>
                <w:sz w:val="20"/>
                <w:szCs w:val="20"/>
              </w:rPr>
              <w:t xml:space="preserve">Low </w:t>
            </w:r>
            <w:proofErr w:type="spellStart"/>
            <w:r>
              <w:rPr>
                <w:rFonts w:ascii="Arial" w:hAnsi="Arial" w:cs="Arial"/>
                <w:bCs/>
                <w:sz w:val="20"/>
                <w:szCs w:val="20"/>
              </w:rPr>
              <w:t>antropogenic</w:t>
            </w:r>
            <w:proofErr w:type="spellEnd"/>
            <w:r>
              <w:rPr>
                <w:rFonts w:ascii="Arial" w:hAnsi="Arial" w:cs="Arial"/>
                <w:bCs/>
                <w:sz w:val="20"/>
                <w:szCs w:val="20"/>
              </w:rPr>
              <w:t xml:space="preserve"> activity zone</w:t>
            </w:r>
          </w:p>
        </w:tc>
        <w:tc>
          <w:tcPr>
            <w:tcW w:w="2552" w:type="dxa"/>
            <w:tcBorders>
              <w:top w:val="nil"/>
              <w:left w:val="nil"/>
              <w:bottom w:val="single" w:sz="4" w:space="0" w:color="auto"/>
              <w:right w:val="nil"/>
            </w:tcBorders>
            <w:vAlign w:val="center"/>
          </w:tcPr>
          <w:p w14:paraId="74608B85" w14:textId="77777777" w:rsidR="00320778" w:rsidRPr="00162D8B" w:rsidRDefault="00320778" w:rsidP="00162298">
            <w:pPr>
              <w:spacing w:line="276" w:lineRule="auto"/>
              <w:jc w:val="center"/>
              <w:rPr>
                <w:rFonts w:ascii="Arial" w:eastAsia="Times New Roman" w:hAnsi="Arial" w:cs="Arial"/>
                <w:sz w:val="20"/>
                <w:szCs w:val="20"/>
              </w:rPr>
            </w:pPr>
            <w:r w:rsidRPr="00162D8B">
              <w:rPr>
                <w:rFonts w:ascii="Arial" w:eastAsia="Times New Roman" w:hAnsi="Arial" w:cs="Arial"/>
                <w:sz w:val="20"/>
                <w:szCs w:val="20"/>
              </w:rPr>
              <w:t>7° 0'52.72"S</w:t>
            </w:r>
          </w:p>
          <w:p w14:paraId="36D56E58" w14:textId="77777777" w:rsidR="00320778" w:rsidRPr="001039CF" w:rsidRDefault="00320778" w:rsidP="00162298">
            <w:pPr>
              <w:pStyle w:val="Body"/>
              <w:spacing w:after="0"/>
              <w:jc w:val="center"/>
              <w:rPr>
                <w:rFonts w:ascii="Arial" w:hAnsi="Arial" w:cs="Arial"/>
                <w:bCs/>
                <w:sz w:val="20"/>
                <w:szCs w:val="20"/>
              </w:rPr>
            </w:pPr>
            <w:r w:rsidRPr="00162D8B">
              <w:rPr>
                <w:rFonts w:ascii="Arial" w:eastAsia="Times New Roman" w:hAnsi="Arial" w:cs="Arial"/>
                <w:sz w:val="20"/>
                <w:szCs w:val="20"/>
              </w:rPr>
              <w:t>107°37'38.16"E</w:t>
            </w:r>
          </w:p>
        </w:tc>
        <w:tc>
          <w:tcPr>
            <w:tcW w:w="5278" w:type="dxa"/>
            <w:tcBorders>
              <w:top w:val="nil"/>
              <w:left w:val="nil"/>
              <w:bottom w:val="single" w:sz="4" w:space="0" w:color="auto"/>
              <w:right w:val="nil"/>
            </w:tcBorders>
            <w:vAlign w:val="center"/>
          </w:tcPr>
          <w:p w14:paraId="34F6F7B7" w14:textId="77777777" w:rsidR="00320778" w:rsidRPr="001039CF" w:rsidRDefault="00320778" w:rsidP="00162298">
            <w:pPr>
              <w:pStyle w:val="Body"/>
              <w:spacing w:after="0"/>
              <w:rPr>
                <w:rFonts w:ascii="Arial" w:hAnsi="Arial" w:cs="Arial"/>
                <w:bCs/>
                <w:sz w:val="20"/>
                <w:szCs w:val="20"/>
              </w:rPr>
            </w:pPr>
            <w:r w:rsidRPr="00162D8B">
              <w:rPr>
                <w:rFonts w:ascii="Arial" w:hAnsi="Arial" w:cs="Arial"/>
                <w:bCs/>
                <w:sz w:val="20"/>
                <w:szCs w:val="20"/>
              </w:rPr>
              <w:t>an area distant from human activities and pollution sources, although small amounts of waste are still present</w:t>
            </w:r>
          </w:p>
        </w:tc>
      </w:tr>
    </w:tbl>
    <w:p w14:paraId="3A141C06" w14:textId="77777777" w:rsidR="00320778" w:rsidRDefault="00320778" w:rsidP="006022C3">
      <w:pPr>
        <w:pStyle w:val="Body"/>
        <w:spacing w:after="0" w:line="276" w:lineRule="auto"/>
        <w:rPr>
          <w:rFonts w:ascii="Arial" w:hAnsi="Arial" w:cs="Arial"/>
          <w:b/>
          <w:caps/>
          <w:sz w:val="22"/>
        </w:rPr>
      </w:pPr>
    </w:p>
    <w:p w14:paraId="0E4EE37D" w14:textId="1DAABCA7" w:rsidR="00724A46" w:rsidRDefault="00724A46" w:rsidP="006022C3">
      <w:pPr>
        <w:pStyle w:val="Body"/>
        <w:spacing w:after="0" w:line="276" w:lineRule="auto"/>
        <w:rPr>
          <w:rFonts w:ascii="Arial" w:hAnsi="Arial" w:cs="Arial"/>
          <w:b/>
          <w:sz w:val="22"/>
        </w:rPr>
      </w:pPr>
      <w:r w:rsidRPr="00C30A0F">
        <w:rPr>
          <w:rFonts w:ascii="Arial" w:hAnsi="Arial" w:cs="Arial"/>
          <w:b/>
          <w:caps/>
          <w:sz w:val="22"/>
        </w:rPr>
        <w:t>2.</w:t>
      </w:r>
      <w:r w:rsidR="00CF1C46">
        <w:rPr>
          <w:rFonts w:ascii="Arial" w:hAnsi="Arial" w:cs="Arial"/>
          <w:b/>
          <w:caps/>
          <w:sz w:val="22"/>
        </w:rPr>
        <w:t>3</w:t>
      </w:r>
      <w:r w:rsidRPr="00C30A0F">
        <w:rPr>
          <w:rFonts w:ascii="Arial" w:hAnsi="Arial" w:cs="Arial"/>
          <w:b/>
          <w:caps/>
          <w:sz w:val="22"/>
        </w:rPr>
        <w:t xml:space="preserve"> </w:t>
      </w:r>
      <w:r>
        <w:rPr>
          <w:rFonts w:ascii="Arial" w:hAnsi="Arial" w:cs="Arial"/>
          <w:b/>
          <w:sz w:val="22"/>
        </w:rPr>
        <w:t>Parameters Measured and Data Analysis</w:t>
      </w:r>
    </w:p>
    <w:p w14:paraId="43FA0661" w14:textId="77777777" w:rsidR="00320778" w:rsidRPr="00320778" w:rsidRDefault="00320778" w:rsidP="00013AA1">
      <w:pPr>
        <w:pStyle w:val="Body"/>
        <w:spacing w:after="0" w:line="276" w:lineRule="auto"/>
        <w:ind w:firstLine="720"/>
        <w:rPr>
          <w:rFonts w:ascii="Arial" w:hAnsi="Arial" w:cs="Arial"/>
        </w:rPr>
      </w:pPr>
      <w:r w:rsidRPr="00320778">
        <w:rPr>
          <w:rFonts w:ascii="Arial" w:hAnsi="Arial" w:cs="Arial"/>
        </w:rPr>
        <w:t xml:space="preserve">This study used a survey method with purposive sampling at four stations determined based on the level of human activities and the ecological conditions of the waters. Water quality parameters measured included temperature (thermometer), pH (pH meter), dissolved oxygen/DO (DO meter) measured </w:t>
      </w:r>
      <w:r w:rsidRPr="00320778">
        <w:rPr>
          <w:rFonts w:ascii="Arial" w:hAnsi="Arial" w:cs="Arial"/>
          <w:i/>
          <w:iCs/>
        </w:rPr>
        <w:t>in situ</w:t>
      </w:r>
      <w:r w:rsidRPr="00320778">
        <w:rPr>
          <w:rFonts w:ascii="Arial" w:hAnsi="Arial" w:cs="Arial"/>
        </w:rPr>
        <w:t xml:space="preserve">, and Biochemical Oxygen Demand (BOD) analyzed </w:t>
      </w:r>
      <w:r w:rsidRPr="00320778">
        <w:rPr>
          <w:rFonts w:ascii="Arial" w:hAnsi="Arial" w:cs="Arial"/>
          <w:i/>
          <w:iCs/>
        </w:rPr>
        <w:t>ex situ</w:t>
      </w:r>
      <w:r w:rsidRPr="00320778">
        <w:rPr>
          <w:rFonts w:ascii="Arial" w:hAnsi="Arial" w:cs="Arial"/>
        </w:rPr>
        <w:t xml:space="preserve"> in the laboratory. Sediment analysis was conducted using the dry sieving method to determine substrate fractions (gravel, sand, silt).</w:t>
      </w:r>
    </w:p>
    <w:p w14:paraId="69D38F34" w14:textId="77777777" w:rsidR="00320778" w:rsidRPr="00320778" w:rsidRDefault="00320778" w:rsidP="00013AA1">
      <w:pPr>
        <w:pStyle w:val="Body"/>
        <w:spacing w:after="0" w:line="276" w:lineRule="auto"/>
        <w:ind w:firstLine="720"/>
        <w:rPr>
          <w:rFonts w:ascii="Arial" w:hAnsi="Arial" w:cs="Arial"/>
        </w:rPr>
      </w:pPr>
      <w:proofErr w:type="spellStart"/>
      <w:r w:rsidRPr="00320778">
        <w:rPr>
          <w:rFonts w:ascii="Arial" w:hAnsi="Arial" w:cs="Arial"/>
        </w:rPr>
        <w:t>Macrozoobenthos</w:t>
      </w:r>
      <w:proofErr w:type="spellEnd"/>
      <w:r w:rsidRPr="00320778">
        <w:rPr>
          <w:rFonts w:ascii="Arial" w:hAnsi="Arial" w:cs="Arial"/>
        </w:rPr>
        <w:t xml:space="preserve"> samples were collected using an Ekman Grab (20 × 20 cm) in deeper waters. The samples were then separated from the substrate using a sieve, preserved in 4% formalin, and subsequently identified in the laboratory. The number of individuals per species was recorded and used to analyze the structure of the </w:t>
      </w:r>
      <w:proofErr w:type="spellStart"/>
      <w:r w:rsidRPr="00320778">
        <w:rPr>
          <w:rFonts w:ascii="Arial" w:hAnsi="Arial" w:cs="Arial"/>
        </w:rPr>
        <w:t>macrozoobenthos</w:t>
      </w:r>
      <w:proofErr w:type="spellEnd"/>
      <w:r w:rsidRPr="00320778">
        <w:rPr>
          <w:rFonts w:ascii="Arial" w:hAnsi="Arial" w:cs="Arial"/>
        </w:rPr>
        <w:t xml:space="preserve"> community.</w:t>
      </w:r>
    </w:p>
    <w:p w14:paraId="37346E37" w14:textId="77777777" w:rsidR="00A4148D" w:rsidRDefault="00A4148D" w:rsidP="00013AA1">
      <w:pPr>
        <w:pStyle w:val="Body"/>
        <w:spacing w:after="0" w:line="276" w:lineRule="auto"/>
        <w:rPr>
          <w:rFonts w:ascii="Arial" w:hAnsi="Arial" w:cs="Arial"/>
        </w:rPr>
      </w:pPr>
    </w:p>
    <w:p w14:paraId="4531B4C2" w14:textId="65CBD9E5" w:rsidR="00A4148D" w:rsidRDefault="00A4148D" w:rsidP="006022C3">
      <w:pPr>
        <w:pStyle w:val="Caption"/>
        <w:keepNext/>
        <w:spacing w:after="0" w:line="276" w:lineRule="auto"/>
        <w:rPr>
          <w:rFonts w:ascii="Arial" w:hAnsi="Arial" w:cs="Arial"/>
          <w:i w:val="0"/>
          <w:iCs w:val="0"/>
          <w:color w:val="000000" w:themeColor="text1"/>
        </w:rPr>
      </w:pPr>
      <w:r w:rsidRPr="0030688C">
        <w:rPr>
          <w:rFonts w:ascii="Arial" w:hAnsi="Arial" w:cs="Arial"/>
          <w:b/>
          <w:bCs/>
          <w:i w:val="0"/>
          <w:iCs w:val="0"/>
          <w:color w:val="000000" w:themeColor="text1"/>
        </w:rPr>
        <w:t xml:space="preserve">Table </w:t>
      </w:r>
      <w:r w:rsidR="007B3EC0">
        <w:rPr>
          <w:rFonts w:ascii="Arial" w:hAnsi="Arial" w:cs="Arial"/>
          <w:b/>
          <w:bCs/>
          <w:i w:val="0"/>
          <w:iCs w:val="0"/>
          <w:color w:val="000000" w:themeColor="text1"/>
        </w:rPr>
        <w:t>2</w:t>
      </w:r>
      <w:r w:rsidRPr="0030688C">
        <w:rPr>
          <w:rFonts w:ascii="Arial" w:hAnsi="Arial" w:cs="Arial"/>
          <w:b/>
          <w:bCs/>
          <w:i w:val="0"/>
          <w:iCs w:val="0"/>
          <w:color w:val="000000" w:themeColor="text1"/>
        </w:rPr>
        <w:t>.</w:t>
      </w:r>
      <w:r w:rsidRPr="00A4148D">
        <w:rPr>
          <w:rFonts w:ascii="Arial" w:hAnsi="Arial" w:cs="Arial"/>
          <w:i w:val="0"/>
          <w:iCs w:val="0"/>
          <w:color w:val="000000" w:themeColor="text1"/>
        </w:rPr>
        <w:t xml:space="preserve"> Physical</w:t>
      </w:r>
      <w:r w:rsidR="00013AA1">
        <w:rPr>
          <w:rFonts w:ascii="Arial" w:hAnsi="Arial" w:cs="Arial"/>
          <w:i w:val="0"/>
          <w:iCs w:val="0"/>
          <w:color w:val="000000" w:themeColor="text1"/>
        </w:rPr>
        <w:t xml:space="preserve"> and</w:t>
      </w:r>
      <w:r w:rsidRPr="00A4148D">
        <w:rPr>
          <w:rFonts w:ascii="Arial" w:hAnsi="Arial" w:cs="Arial"/>
          <w:i w:val="0"/>
          <w:iCs w:val="0"/>
          <w:color w:val="000000" w:themeColor="text1"/>
        </w:rPr>
        <w:t xml:space="preserve"> Chemical Parameters</w:t>
      </w: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399"/>
        <w:gridCol w:w="2878"/>
        <w:gridCol w:w="2609"/>
        <w:gridCol w:w="1773"/>
      </w:tblGrid>
      <w:tr w:rsidR="007B3EC0" w:rsidRPr="00E2142F" w14:paraId="3C97C9B1" w14:textId="77777777" w:rsidTr="00162298">
        <w:trPr>
          <w:trHeight w:val="20"/>
          <w:jc w:val="center"/>
        </w:trPr>
        <w:tc>
          <w:tcPr>
            <w:tcW w:w="1502" w:type="dxa"/>
            <w:tcBorders>
              <w:bottom w:val="single" w:sz="4" w:space="0" w:color="auto"/>
            </w:tcBorders>
          </w:tcPr>
          <w:p w14:paraId="115CC6EE"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Parameter</w:t>
            </w:r>
          </w:p>
        </w:tc>
        <w:tc>
          <w:tcPr>
            <w:tcW w:w="1091" w:type="dxa"/>
            <w:tcBorders>
              <w:bottom w:val="single" w:sz="4" w:space="0" w:color="auto"/>
            </w:tcBorders>
          </w:tcPr>
          <w:p w14:paraId="2F48530E"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Unit</w:t>
            </w:r>
          </w:p>
        </w:tc>
        <w:tc>
          <w:tcPr>
            <w:tcW w:w="2245" w:type="dxa"/>
            <w:tcBorders>
              <w:bottom w:val="single" w:sz="4" w:space="0" w:color="auto"/>
            </w:tcBorders>
          </w:tcPr>
          <w:p w14:paraId="04A71B94"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Tool</w:t>
            </w:r>
          </w:p>
        </w:tc>
        <w:tc>
          <w:tcPr>
            <w:tcW w:w="2035" w:type="dxa"/>
            <w:tcBorders>
              <w:bottom w:val="single" w:sz="4" w:space="0" w:color="auto"/>
            </w:tcBorders>
          </w:tcPr>
          <w:p w14:paraId="19D9A7ED"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Method</w:t>
            </w:r>
          </w:p>
        </w:tc>
        <w:tc>
          <w:tcPr>
            <w:tcW w:w="1383" w:type="dxa"/>
            <w:tcBorders>
              <w:bottom w:val="single" w:sz="4" w:space="0" w:color="auto"/>
            </w:tcBorders>
          </w:tcPr>
          <w:p w14:paraId="4E0BFA8D"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Location</w:t>
            </w:r>
          </w:p>
        </w:tc>
      </w:tr>
      <w:tr w:rsidR="007B3EC0" w:rsidRPr="00E2142F" w14:paraId="67F8C15B" w14:textId="77777777" w:rsidTr="00162298">
        <w:trPr>
          <w:trHeight w:val="20"/>
          <w:jc w:val="center"/>
        </w:trPr>
        <w:tc>
          <w:tcPr>
            <w:tcW w:w="8256" w:type="dxa"/>
            <w:gridSpan w:val="5"/>
            <w:tcBorders>
              <w:top w:val="single" w:sz="4" w:space="0" w:color="auto"/>
              <w:bottom w:val="nil"/>
            </w:tcBorders>
          </w:tcPr>
          <w:p w14:paraId="2621564E"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 xml:space="preserve">1. Physical </w:t>
            </w:r>
          </w:p>
        </w:tc>
      </w:tr>
      <w:tr w:rsidR="007B3EC0" w:rsidRPr="00E2142F" w14:paraId="10C3D696" w14:textId="77777777" w:rsidTr="00162298">
        <w:trPr>
          <w:trHeight w:val="20"/>
          <w:jc w:val="center"/>
        </w:trPr>
        <w:tc>
          <w:tcPr>
            <w:tcW w:w="1502" w:type="dxa"/>
            <w:tcBorders>
              <w:top w:val="nil"/>
            </w:tcBorders>
          </w:tcPr>
          <w:p w14:paraId="4D1EA3CA"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Temperature</w:t>
            </w:r>
          </w:p>
        </w:tc>
        <w:tc>
          <w:tcPr>
            <w:tcW w:w="1091" w:type="dxa"/>
            <w:tcBorders>
              <w:top w:val="nil"/>
            </w:tcBorders>
          </w:tcPr>
          <w:p w14:paraId="2B7E4D28"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°C</w:t>
            </w:r>
          </w:p>
        </w:tc>
        <w:tc>
          <w:tcPr>
            <w:tcW w:w="2245" w:type="dxa"/>
            <w:tcBorders>
              <w:top w:val="nil"/>
            </w:tcBorders>
          </w:tcPr>
          <w:p w14:paraId="2762CA07"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Thermometer</w:t>
            </w:r>
          </w:p>
        </w:tc>
        <w:tc>
          <w:tcPr>
            <w:tcW w:w="2035" w:type="dxa"/>
            <w:tcBorders>
              <w:top w:val="nil"/>
            </w:tcBorders>
          </w:tcPr>
          <w:p w14:paraId="13ED47DC"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Potentiometric</w:t>
            </w:r>
          </w:p>
        </w:tc>
        <w:tc>
          <w:tcPr>
            <w:tcW w:w="1383" w:type="dxa"/>
            <w:tcBorders>
              <w:top w:val="nil"/>
            </w:tcBorders>
          </w:tcPr>
          <w:p w14:paraId="10EA8A2F"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 xml:space="preserve">Direct </w:t>
            </w:r>
          </w:p>
        </w:tc>
      </w:tr>
      <w:tr w:rsidR="007B3EC0" w:rsidRPr="00E2142F" w14:paraId="1C05F120" w14:textId="77777777" w:rsidTr="00162298">
        <w:trPr>
          <w:trHeight w:val="20"/>
          <w:jc w:val="center"/>
        </w:trPr>
        <w:tc>
          <w:tcPr>
            <w:tcW w:w="8256" w:type="dxa"/>
            <w:gridSpan w:val="5"/>
            <w:tcBorders>
              <w:top w:val="single" w:sz="4" w:space="0" w:color="auto"/>
              <w:bottom w:val="nil"/>
            </w:tcBorders>
          </w:tcPr>
          <w:p w14:paraId="440C0418"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2. Chemical</w:t>
            </w:r>
          </w:p>
        </w:tc>
      </w:tr>
      <w:tr w:rsidR="007B3EC0" w:rsidRPr="00E2142F" w14:paraId="3A7391FD" w14:textId="77777777" w:rsidTr="00162298">
        <w:trPr>
          <w:trHeight w:val="20"/>
          <w:jc w:val="center"/>
        </w:trPr>
        <w:tc>
          <w:tcPr>
            <w:tcW w:w="1502" w:type="dxa"/>
            <w:tcBorders>
              <w:top w:val="nil"/>
            </w:tcBorders>
          </w:tcPr>
          <w:p w14:paraId="2B001B63"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pH</w:t>
            </w:r>
          </w:p>
        </w:tc>
        <w:tc>
          <w:tcPr>
            <w:tcW w:w="1091" w:type="dxa"/>
            <w:tcBorders>
              <w:top w:val="nil"/>
            </w:tcBorders>
          </w:tcPr>
          <w:p w14:paraId="3E2778BC"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w:t>
            </w:r>
          </w:p>
        </w:tc>
        <w:tc>
          <w:tcPr>
            <w:tcW w:w="2245" w:type="dxa"/>
            <w:tcBorders>
              <w:top w:val="nil"/>
            </w:tcBorders>
          </w:tcPr>
          <w:p w14:paraId="0B4FA0FD"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pH meter</w:t>
            </w:r>
          </w:p>
        </w:tc>
        <w:tc>
          <w:tcPr>
            <w:tcW w:w="2035" w:type="dxa"/>
            <w:tcBorders>
              <w:top w:val="nil"/>
            </w:tcBorders>
          </w:tcPr>
          <w:p w14:paraId="08DFB17A"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Potentiometric</w:t>
            </w:r>
          </w:p>
        </w:tc>
        <w:tc>
          <w:tcPr>
            <w:tcW w:w="1383" w:type="dxa"/>
            <w:tcBorders>
              <w:top w:val="nil"/>
            </w:tcBorders>
          </w:tcPr>
          <w:p w14:paraId="08A84534"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Direct</w:t>
            </w:r>
          </w:p>
        </w:tc>
      </w:tr>
      <w:tr w:rsidR="007B3EC0" w:rsidRPr="00E2142F" w14:paraId="6B8B17B8" w14:textId="77777777" w:rsidTr="00162298">
        <w:trPr>
          <w:trHeight w:val="20"/>
          <w:jc w:val="center"/>
        </w:trPr>
        <w:tc>
          <w:tcPr>
            <w:tcW w:w="1502" w:type="dxa"/>
          </w:tcPr>
          <w:p w14:paraId="7EB4764A"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BOD</w:t>
            </w:r>
          </w:p>
        </w:tc>
        <w:tc>
          <w:tcPr>
            <w:tcW w:w="1091" w:type="dxa"/>
          </w:tcPr>
          <w:p w14:paraId="6C2AFDD9"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Mg/L</w:t>
            </w:r>
          </w:p>
        </w:tc>
        <w:tc>
          <w:tcPr>
            <w:tcW w:w="2245" w:type="dxa"/>
          </w:tcPr>
          <w:p w14:paraId="48596F88"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Winkler bottle</w:t>
            </w:r>
          </w:p>
        </w:tc>
        <w:tc>
          <w:tcPr>
            <w:tcW w:w="2035" w:type="dxa"/>
          </w:tcPr>
          <w:p w14:paraId="2A189E6E"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 xml:space="preserve">Titrimetric </w:t>
            </w:r>
          </w:p>
        </w:tc>
        <w:tc>
          <w:tcPr>
            <w:tcW w:w="1383" w:type="dxa"/>
          </w:tcPr>
          <w:p w14:paraId="0D82BCA1"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Laboratory</w:t>
            </w:r>
          </w:p>
        </w:tc>
      </w:tr>
      <w:tr w:rsidR="007B3EC0" w:rsidRPr="00E2142F" w14:paraId="42CA4660" w14:textId="77777777" w:rsidTr="00162298">
        <w:trPr>
          <w:trHeight w:val="20"/>
          <w:jc w:val="center"/>
        </w:trPr>
        <w:tc>
          <w:tcPr>
            <w:tcW w:w="1502" w:type="dxa"/>
          </w:tcPr>
          <w:p w14:paraId="5219E6A1"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DO</w:t>
            </w:r>
          </w:p>
        </w:tc>
        <w:tc>
          <w:tcPr>
            <w:tcW w:w="1091" w:type="dxa"/>
          </w:tcPr>
          <w:p w14:paraId="46B180D6"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Mg/L</w:t>
            </w:r>
          </w:p>
        </w:tc>
        <w:tc>
          <w:tcPr>
            <w:tcW w:w="2245" w:type="dxa"/>
          </w:tcPr>
          <w:p w14:paraId="22A85D1F"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DO meter</w:t>
            </w:r>
          </w:p>
        </w:tc>
        <w:tc>
          <w:tcPr>
            <w:tcW w:w="2035" w:type="dxa"/>
          </w:tcPr>
          <w:p w14:paraId="30093DC3"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Potentiometric</w:t>
            </w:r>
          </w:p>
        </w:tc>
        <w:tc>
          <w:tcPr>
            <w:tcW w:w="1383" w:type="dxa"/>
          </w:tcPr>
          <w:p w14:paraId="6D9330F6"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Direct</w:t>
            </w:r>
          </w:p>
        </w:tc>
      </w:tr>
    </w:tbl>
    <w:p w14:paraId="74B864CB" w14:textId="77777777" w:rsidR="007B3EC0" w:rsidRPr="007B3EC0" w:rsidRDefault="007B3EC0" w:rsidP="007B3EC0"/>
    <w:p w14:paraId="3C4E1035" w14:textId="77777777" w:rsidR="00604781" w:rsidRPr="005355A9" w:rsidRDefault="00604781" w:rsidP="006022C3">
      <w:pPr>
        <w:pStyle w:val="Body"/>
        <w:spacing w:after="0" w:line="276" w:lineRule="auto"/>
        <w:rPr>
          <w:rFonts w:ascii="Arial" w:hAnsi="Arial" w:cs="Arial"/>
        </w:rPr>
      </w:pPr>
    </w:p>
    <w:p w14:paraId="6FA65B17" w14:textId="337679CF" w:rsidR="00CF1C46" w:rsidRDefault="00CF1C46" w:rsidP="006022C3">
      <w:pPr>
        <w:pStyle w:val="Body"/>
        <w:spacing w:after="0" w:line="276" w:lineRule="auto"/>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Data Analysis</w:t>
      </w:r>
    </w:p>
    <w:p w14:paraId="78D29111" w14:textId="39EF2E54" w:rsidR="00505F06" w:rsidRDefault="00CF1C46" w:rsidP="006022C3">
      <w:pPr>
        <w:pStyle w:val="Body"/>
        <w:spacing w:after="0" w:line="276" w:lineRule="auto"/>
        <w:rPr>
          <w:rFonts w:ascii="Arial" w:hAnsi="Arial" w:cs="Arial"/>
        </w:rPr>
      </w:pPr>
      <w:r>
        <w:rPr>
          <w:rFonts w:ascii="Arial" w:hAnsi="Arial" w:cs="Arial"/>
        </w:rPr>
        <w:tab/>
      </w:r>
      <w:r w:rsidR="00320778" w:rsidRPr="00320778">
        <w:rPr>
          <w:rFonts w:ascii="Arial" w:hAnsi="Arial" w:cs="Arial"/>
        </w:rPr>
        <w:t xml:space="preserve">The observational data from this study were processed using Microsoft Excel and analyzed with a descriptive-comparative method. Water quality results were then compared with the Class II water quality standards in accordance with Government Regulation (PP) No. 22 of 2021. </w:t>
      </w:r>
      <w:proofErr w:type="spellStart"/>
      <w:r w:rsidR="00320778" w:rsidRPr="00320778">
        <w:rPr>
          <w:rFonts w:ascii="Arial" w:hAnsi="Arial" w:cs="Arial"/>
        </w:rPr>
        <w:t>Macrozoobenthos</w:t>
      </w:r>
      <w:proofErr w:type="spellEnd"/>
      <w:r w:rsidR="00320778" w:rsidRPr="00320778">
        <w:rPr>
          <w:rFonts w:ascii="Arial" w:hAnsi="Arial" w:cs="Arial"/>
        </w:rPr>
        <w:t xml:space="preserve"> community data were analyzed based on species composition and abundance, the Shannon-Wiener diversity index (H’), evenness index (E), and dominance index (C). The pollution status of the waters was determined using the Family Biotic Index (FBI) according to </w:t>
      </w:r>
      <w:proofErr w:type="spellStart"/>
      <w:r w:rsidR="00320778" w:rsidRPr="00320778">
        <w:rPr>
          <w:rFonts w:ascii="Arial" w:hAnsi="Arial" w:cs="Arial"/>
        </w:rPr>
        <w:t>Hilsenhoff</w:t>
      </w:r>
      <w:proofErr w:type="spellEnd"/>
      <w:r w:rsidR="00320778" w:rsidRPr="00320778">
        <w:rPr>
          <w:rFonts w:ascii="Arial" w:hAnsi="Arial" w:cs="Arial"/>
        </w:rPr>
        <w:t xml:space="preserve"> (1988).</w:t>
      </w:r>
    </w:p>
    <w:p w14:paraId="10B7C06A" w14:textId="203FC0F4" w:rsidR="00790ADA" w:rsidRPr="00FB3A86" w:rsidRDefault="00790ADA" w:rsidP="006022C3">
      <w:pPr>
        <w:pStyle w:val="Body"/>
        <w:spacing w:after="0" w:line="276" w:lineRule="auto"/>
        <w:rPr>
          <w:rFonts w:ascii="Arial" w:hAnsi="Arial" w:cs="Arial"/>
        </w:rPr>
      </w:pPr>
    </w:p>
    <w:p w14:paraId="58A986E4" w14:textId="79EDF13A" w:rsidR="00863BD3" w:rsidRPr="00FB3A86" w:rsidRDefault="00000F8F" w:rsidP="006022C3">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A8BCC7" w14:textId="2D976284" w:rsidR="00C30A0F" w:rsidRDefault="00C30A0F" w:rsidP="006022C3">
      <w:pPr>
        <w:pStyle w:val="Body"/>
        <w:spacing w:after="0" w:line="276" w:lineRule="auto"/>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320778">
        <w:rPr>
          <w:rFonts w:ascii="Arial" w:hAnsi="Arial" w:cs="Arial"/>
          <w:b/>
          <w:sz w:val="22"/>
        </w:rPr>
        <w:t>Physical and Chemical Water Quality Factors</w:t>
      </w:r>
    </w:p>
    <w:p w14:paraId="52DCD7DE" w14:textId="60F450D8" w:rsidR="00320778" w:rsidRPr="00320778" w:rsidRDefault="006C478E" w:rsidP="00320778">
      <w:pPr>
        <w:pStyle w:val="Body"/>
        <w:spacing w:after="0" w:line="276" w:lineRule="auto"/>
        <w:rPr>
          <w:rFonts w:ascii="Arial" w:hAnsi="Arial" w:cs="Arial"/>
          <w:bCs/>
          <w:szCs w:val="18"/>
        </w:rPr>
      </w:pPr>
      <w:r>
        <w:rPr>
          <w:rFonts w:ascii="Arial" w:hAnsi="Arial" w:cs="Arial"/>
          <w:bCs/>
          <w:szCs w:val="18"/>
        </w:rPr>
        <w:tab/>
      </w:r>
      <w:r w:rsidR="00C50D9B">
        <w:rPr>
          <w:rFonts w:ascii="Arial" w:hAnsi="Arial" w:cs="Arial"/>
          <w:bCs/>
          <w:szCs w:val="18"/>
        </w:rPr>
        <w:t>W</w:t>
      </w:r>
      <w:r w:rsidR="00320778" w:rsidRPr="00320778">
        <w:rPr>
          <w:rFonts w:ascii="Arial" w:hAnsi="Arial" w:cs="Arial"/>
          <w:bCs/>
          <w:szCs w:val="18"/>
        </w:rPr>
        <w:t xml:space="preserve">ater temperature in Situ </w:t>
      </w:r>
      <w:proofErr w:type="spellStart"/>
      <w:r w:rsidR="00320778" w:rsidRPr="00320778">
        <w:rPr>
          <w:rFonts w:ascii="Arial" w:hAnsi="Arial" w:cs="Arial"/>
          <w:bCs/>
          <w:szCs w:val="18"/>
        </w:rPr>
        <w:t>Sipatahunan</w:t>
      </w:r>
      <w:proofErr w:type="spellEnd"/>
      <w:r w:rsidR="00320778" w:rsidRPr="00320778">
        <w:rPr>
          <w:rFonts w:ascii="Arial" w:hAnsi="Arial" w:cs="Arial"/>
          <w:bCs/>
          <w:szCs w:val="18"/>
        </w:rPr>
        <w:t xml:space="preserve"> ranged from 26.8–27.4°C with a deviation of 0.33–1.53°C. Station 2 recorded the highest temperature as it was located in the mid-zone directly exposed to sunlight, while Station 4 had the lowest temperature due to shading by vegetation. Temperature variation among stations was influenced by light intensity, vegetation cover, and site conditions (</w:t>
      </w:r>
      <w:proofErr w:type="spellStart"/>
      <w:r w:rsidR="00320778" w:rsidRPr="00320778">
        <w:rPr>
          <w:rFonts w:ascii="Arial" w:hAnsi="Arial" w:cs="Arial"/>
          <w:bCs/>
          <w:szCs w:val="18"/>
        </w:rPr>
        <w:t>Gayosia</w:t>
      </w:r>
      <w:proofErr w:type="spellEnd"/>
      <w:r w:rsidR="00320778" w:rsidRPr="00320778">
        <w:rPr>
          <w:rFonts w:ascii="Arial" w:hAnsi="Arial" w:cs="Arial"/>
          <w:bCs/>
          <w:szCs w:val="18"/>
        </w:rPr>
        <w:t xml:space="preserve"> &amp; </w:t>
      </w:r>
      <w:proofErr w:type="spellStart"/>
      <w:r w:rsidR="00320778" w:rsidRPr="00320778">
        <w:rPr>
          <w:rFonts w:ascii="Arial" w:hAnsi="Arial" w:cs="Arial"/>
          <w:bCs/>
          <w:szCs w:val="18"/>
        </w:rPr>
        <w:t>Basri</w:t>
      </w:r>
      <w:proofErr w:type="spellEnd"/>
      <w:r w:rsidR="00320778" w:rsidRPr="00320778">
        <w:rPr>
          <w:rFonts w:ascii="Arial" w:hAnsi="Arial" w:cs="Arial"/>
          <w:bCs/>
          <w:szCs w:val="18"/>
        </w:rPr>
        <w:t xml:space="preserve">, 2015). This temperature range remains within the optimum tolerance for </w:t>
      </w:r>
      <w:proofErr w:type="spellStart"/>
      <w:r w:rsidR="00320778" w:rsidRPr="00320778">
        <w:rPr>
          <w:rFonts w:ascii="Arial" w:hAnsi="Arial" w:cs="Arial"/>
          <w:bCs/>
          <w:szCs w:val="18"/>
        </w:rPr>
        <w:t>macrozoobenthos</w:t>
      </w:r>
      <w:proofErr w:type="spellEnd"/>
      <w:r w:rsidR="00320778" w:rsidRPr="00320778">
        <w:rPr>
          <w:rFonts w:ascii="Arial" w:hAnsi="Arial" w:cs="Arial"/>
          <w:bCs/>
          <w:szCs w:val="18"/>
        </w:rPr>
        <w:t>, 25–30°C (</w:t>
      </w:r>
      <w:proofErr w:type="spellStart"/>
      <w:r w:rsidR="00320778" w:rsidRPr="00320778">
        <w:rPr>
          <w:rFonts w:ascii="Arial" w:hAnsi="Arial" w:cs="Arial"/>
          <w:bCs/>
          <w:szCs w:val="18"/>
        </w:rPr>
        <w:t>Ruswahyuni</w:t>
      </w:r>
      <w:proofErr w:type="spellEnd"/>
      <w:r w:rsidR="00320778" w:rsidRPr="00320778">
        <w:rPr>
          <w:rFonts w:ascii="Arial" w:hAnsi="Arial" w:cs="Arial"/>
          <w:bCs/>
          <w:szCs w:val="18"/>
        </w:rPr>
        <w:t>, 2010), thus supporting the survival of benthic organisms.</w:t>
      </w:r>
    </w:p>
    <w:p w14:paraId="7D525116" w14:textId="0E07B7DA" w:rsidR="00320778" w:rsidRPr="00320778" w:rsidRDefault="00320778" w:rsidP="00320778">
      <w:pPr>
        <w:pStyle w:val="Body"/>
        <w:spacing w:after="0" w:line="276" w:lineRule="auto"/>
        <w:rPr>
          <w:rFonts w:ascii="Arial" w:hAnsi="Arial" w:cs="Arial"/>
          <w:bCs/>
          <w:szCs w:val="18"/>
        </w:rPr>
      </w:pPr>
      <w:r w:rsidRPr="00320778">
        <w:rPr>
          <w:rFonts w:ascii="Arial" w:hAnsi="Arial" w:cs="Arial"/>
          <w:bCs/>
          <w:szCs w:val="18"/>
        </w:rPr>
        <w:tab/>
        <w:t xml:space="preserve">The pH of the waters in Situ </w:t>
      </w:r>
      <w:proofErr w:type="spellStart"/>
      <w:r w:rsidRPr="00320778">
        <w:rPr>
          <w:rFonts w:ascii="Arial" w:hAnsi="Arial" w:cs="Arial"/>
          <w:bCs/>
          <w:szCs w:val="18"/>
        </w:rPr>
        <w:t>Sipatahunan</w:t>
      </w:r>
      <w:proofErr w:type="spellEnd"/>
      <w:r w:rsidRPr="00320778">
        <w:rPr>
          <w:rFonts w:ascii="Arial" w:hAnsi="Arial" w:cs="Arial"/>
          <w:bCs/>
          <w:szCs w:val="18"/>
        </w:rPr>
        <w:t xml:space="preserve"> ranged from 7.3–7.7, with the lowest average at Station 1 (7.3 ± 0.39) and the highest at Station 3 (7.7 ± 0.</w:t>
      </w:r>
      <w:r w:rsidR="00347456">
        <w:rPr>
          <w:rFonts w:ascii="Arial" w:hAnsi="Arial" w:cs="Arial"/>
          <w:bCs/>
          <w:szCs w:val="18"/>
        </w:rPr>
        <w:t>22</w:t>
      </w:r>
      <w:r w:rsidRPr="00320778">
        <w:rPr>
          <w:rFonts w:ascii="Arial" w:hAnsi="Arial" w:cs="Arial"/>
          <w:bCs/>
          <w:szCs w:val="18"/>
        </w:rPr>
        <w:t xml:space="preserve">). This variation was influenced by anthropogenic activities, particularly at Station 3 which receives domestic waste inputs, thereby increasing the organic and inorganic content of the waters. This finding is consistent with </w:t>
      </w:r>
      <w:proofErr w:type="spellStart"/>
      <w:r w:rsidRPr="00320778">
        <w:rPr>
          <w:rFonts w:ascii="Arial" w:hAnsi="Arial" w:cs="Arial"/>
          <w:bCs/>
          <w:szCs w:val="18"/>
        </w:rPr>
        <w:t>Yuliasti</w:t>
      </w:r>
      <w:proofErr w:type="spellEnd"/>
      <w:r w:rsidRPr="00320778">
        <w:rPr>
          <w:rFonts w:ascii="Arial" w:hAnsi="Arial" w:cs="Arial"/>
          <w:bCs/>
          <w:szCs w:val="18"/>
        </w:rPr>
        <w:t xml:space="preserve"> (2011), who reported that waste inputs can elevate pH values. The observed pH range remains within the optimum tolerance for </w:t>
      </w:r>
      <w:proofErr w:type="spellStart"/>
      <w:r w:rsidRPr="00320778">
        <w:rPr>
          <w:rFonts w:ascii="Arial" w:hAnsi="Arial" w:cs="Arial"/>
          <w:bCs/>
          <w:szCs w:val="18"/>
        </w:rPr>
        <w:t>macrozoobenthos</w:t>
      </w:r>
      <w:proofErr w:type="spellEnd"/>
      <w:r w:rsidRPr="00320778">
        <w:rPr>
          <w:rFonts w:ascii="Arial" w:hAnsi="Arial" w:cs="Arial"/>
          <w:bCs/>
          <w:szCs w:val="18"/>
        </w:rPr>
        <w:t>, 7–8.5 (Effendi, 2003).</w:t>
      </w:r>
    </w:p>
    <w:p w14:paraId="59FDB958" w14:textId="4598E42F" w:rsidR="00320778" w:rsidRPr="00320778" w:rsidRDefault="00320778" w:rsidP="00320778">
      <w:pPr>
        <w:pStyle w:val="Body"/>
        <w:spacing w:after="0" w:line="276" w:lineRule="auto"/>
        <w:rPr>
          <w:rFonts w:ascii="Arial" w:hAnsi="Arial" w:cs="Arial"/>
          <w:bCs/>
          <w:szCs w:val="18"/>
        </w:rPr>
      </w:pPr>
      <w:r w:rsidRPr="00320778">
        <w:rPr>
          <w:rFonts w:ascii="Arial" w:hAnsi="Arial" w:cs="Arial"/>
          <w:bCs/>
          <w:szCs w:val="18"/>
        </w:rPr>
        <w:tab/>
        <w:t xml:space="preserve">BOD values in Situ </w:t>
      </w:r>
      <w:proofErr w:type="spellStart"/>
      <w:r w:rsidRPr="00320778">
        <w:rPr>
          <w:rFonts w:ascii="Arial" w:hAnsi="Arial" w:cs="Arial"/>
          <w:bCs/>
          <w:szCs w:val="18"/>
        </w:rPr>
        <w:t>Sipatahunan</w:t>
      </w:r>
      <w:proofErr w:type="spellEnd"/>
      <w:r w:rsidRPr="00320778">
        <w:rPr>
          <w:rFonts w:ascii="Arial" w:hAnsi="Arial" w:cs="Arial"/>
          <w:bCs/>
          <w:szCs w:val="18"/>
        </w:rPr>
        <w:t xml:space="preserve"> ranged from 5.21–7.34 mg/L, with the highest average at Station 3 (7.34 ± 2.56 mg/L) and the lowest at Station 2 (5.21 ± 2.92 mg/L). The elevated BOD at </w:t>
      </w:r>
      <w:r w:rsidR="00D25AD7">
        <w:rPr>
          <w:rFonts w:ascii="Arial" w:hAnsi="Arial" w:cs="Arial"/>
          <w:bCs/>
          <w:szCs w:val="18"/>
        </w:rPr>
        <w:t>s</w:t>
      </w:r>
      <w:r w:rsidRPr="00320778">
        <w:rPr>
          <w:rFonts w:ascii="Arial" w:hAnsi="Arial" w:cs="Arial"/>
          <w:bCs/>
          <w:szCs w:val="18"/>
        </w:rPr>
        <w:t>tation 3 reflects high organic matter input from domestic activities, particularly household waste discharged directly into the water body</w:t>
      </w:r>
      <w:r w:rsidR="00D25AD7">
        <w:rPr>
          <w:rFonts w:ascii="Arial" w:hAnsi="Arial" w:cs="Arial"/>
          <w:bCs/>
          <w:szCs w:val="18"/>
        </w:rPr>
        <w:t>.</w:t>
      </w:r>
      <w:r w:rsidRPr="00320778">
        <w:rPr>
          <w:rFonts w:ascii="Arial" w:hAnsi="Arial" w:cs="Arial"/>
          <w:bCs/>
          <w:szCs w:val="18"/>
        </w:rPr>
        <w:t xml:space="preserve"> Most BOD values exceeded the Class II water quality standard set by Government Regulation No. 22/2021 (&gt;3 mg/L), with values at Stations 3 and 4 reaching more than twice the permissible limit. These findings suggest that water quality in several parts of Situ </w:t>
      </w:r>
      <w:proofErr w:type="spellStart"/>
      <w:r w:rsidRPr="00320778">
        <w:rPr>
          <w:rFonts w:ascii="Arial" w:hAnsi="Arial" w:cs="Arial"/>
          <w:bCs/>
          <w:szCs w:val="18"/>
        </w:rPr>
        <w:t>Sipatahunan</w:t>
      </w:r>
      <w:proofErr w:type="spellEnd"/>
      <w:r w:rsidRPr="00320778">
        <w:rPr>
          <w:rFonts w:ascii="Arial" w:hAnsi="Arial" w:cs="Arial"/>
          <w:bCs/>
          <w:szCs w:val="18"/>
        </w:rPr>
        <w:t xml:space="preserve"> has declined due to organic pollution, which may negatively impact aquatic biota (</w:t>
      </w:r>
      <w:proofErr w:type="spellStart"/>
      <w:r w:rsidRPr="00320778">
        <w:rPr>
          <w:rFonts w:ascii="Arial" w:hAnsi="Arial" w:cs="Arial"/>
          <w:bCs/>
          <w:szCs w:val="18"/>
        </w:rPr>
        <w:t>Sukmabuana</w:t>
      </w:r>
      <w:proofErr w:type="spellEnd"/>
      <w:r w:rsidRPr="00320778">
        <w:rPr>
          <w:rFonts w:ascii="Arial" w:hAnsi="Arial" w:cs="Arial"/>
          <w:bCs/>
          <w:szCs w:val="18"/>
        </w:rPr>
        <w:t>, 2016).</w:t>
      </w:r>
    </w:p>
    <w:p w14:paraId="75BC44A6" w14:textId="535BEB16" w:rsidR="00320778" w:rsidRDefault="00C50D9B" w:rsidP="00C50D9B">
      <w:pPr>
        <w:pStyle w:val="Body"/>
        <w:spacing w:after="0" w:line="276" w:lineRule="auto"/>
        <w:ind w:firstLine="720"/>
        <w:rPr>
          <w:rFonts w:ascii="Arial" w:hAnsi="Arial" w:cs="Arial"/>
          <w:bCs/>
          <w:szCs w:val="18"/>
        </w:rPr>
      </w:pPr>
      <w:r>
        <w:rPr>
          <w:rFonts w:ascii="Arial" w:hAnsi="Arial" w:cs="Arial"/>
          <w:bCs/>
          <w:szCs w:val="18"/>
        </w:rPr>
        <w:t>D</w:t>
      </w:r>
      <w:r w:rsidR="00320778" w:rsidRPr="00320778">
        <w:rPr>
          <w:rFonts w:ascii="Arial" w:hAnsi="Arial" w:cs="Arial"/>
          <w:bCs/>
          <w:szCs w:val="18"/>
        </w:rPr>
        <w:t xml:space="preserve">issolved oxygen (DO) concentration in Situ </w:t>
      </w:r>
      <w:proofErr w:type="spellStart"/>
      <w:r w:rsidR="00320778" w:rsidRPr="00320778">
        <w:rPr>
          <w:rFonts w:ascii="Arial" w:hAnsi="Arial" w:cs="Arial"/>
          <w:bCs/>
          <w:szCs w:val="18"/>
        </w:rPr>
        <w:t>Sipatahunan</w:t>
      </w:r>
      <w:proofErr w:type="spellEnd"/>
      <w:r w:rsidR="00320778" w:rsidRPr="00320778">
        <w:rPr>
          <w:rFonts w:ascii="Arial" w:hAnsi="Arial" w:cs="Arial"/>
          <w:bCs/>
          <w:szCs w:val="18"/>
        </w:rPr>
        <w:t xml:space="preserve"> ranged from 5.77–6.77 mg/L, with the lowest value at Station 3 (5.77 ± 0.13 mg/L) and the highest at Station 4 (6.77 ± 1.0 mg/L). The low DO at Station 3 was associated with high BOD values, indicating organic matter input from domestic activities, including household wastewater and plastic waste. Elevated organic loads enhance microbial decomposition activity, which consumes oxygen and reduces DO </w:t>
      </w:r>
      <w:proofErr w:type="gramStart"/>
      <w:r w:rsidR="00320778" w:rsidRPr="00320778">
        <w:rPr>
          <w:rFonts w:ascii="Arial" w:hAnsi="Arial" w:cs="Arial"/>
          <w:bCs/>
          <w:szCs w:val="18"/>
        </w:rPr>
        <w:t>levels..</w:t>
      </w:r>
      <w:proofErr w:type="gramEnd"/>
      <w:r w:rsidR="00320778" w:rsidRPr="00320778">
        <w:rPr>
          <w:rFonts w:ascii="Arial" w:hAnsi="Arial" w:cs="Arial"/>
          <w:bCs/>
          <w:szCs w:val="18"/>
        </w:rPr>
        <w:t xml:space="preserve"> Despite </w:t>
      </w:r>
      <w:r w:rsidR="00320778" w:rsidRPr="00320778">
        <w:rPr>
          <w:rFonts w:ascii="Arial" w:hAnsi="Arial" w:cs="Arial"/>
          <w:bCs/>
          <w:szCs w:val="18"/>
        </w:rPr>
        <w:lastRenderedPageBreak/>
        <w:t>inter-station variation, DO concentrations across all sites remained above 5 mg/L, the minimum threshold considered ideal to support aquatic life (</w:t>
      </w:r>
      <w:proofErr w:type="spellStart"/>
      <w:r w:rsidR="00320778" w:rsidRPr="00320778">
        <w:rPr>
          <w:rFonts w:ascii="Arial" w:hAnsi="Arial" w:cs="Arial"/>
          <w:bCs/>
          <w:szCs w:val="18"/>
        </w:rPr>
        <w:t>Anggraini</w:t>
      </w:r>
      <w:proofErr w:type="spellEnd"/>
      <w:r w:rsidR="00320778" w:rsidRPr="00320778">
        <w:rPr>
          <w:rFonts w:ascii="Arial" w:hAnsi="Arial" w:cs="Arial"/>
          <w:bCs/>
          <w:szCs w:val="18"/>
        </w:rPr>
        <w:t xml:space="preserve"> et al. 2015).</w:t>
      </w:r>
    </w:p>
    <w:p w14:paraId="5642C051" w14:textId="5089EC14" w:rsidR="00DD265D" w:rsidRPr="002567A0" w:rsidRDefault="00DD265D" w:rsidP="00DD265D">
      <w:pPr>
        <w:pStyle w:val="Body"/>
        <w:spacing w:after="0" w:line="276" w:lineRule="auto"/>
        <w:rPr>
          <w:rFonts w:ascii="Arial" w:hAnsi="Arial" w:cs="Arial"/>
          <w:bCs/>
          <w:sz w:val="18"/>
          <w:szCs w:val="16"/>
        </w:rPr>
      </w:pPr>
      <w:r w:rsidRPr="002567A0">
        <w:rPr>
          <w:rFonts w:ascii="Arial" w:hAnsi="Arial" w:cs="Arial"/>
          <w:b/>
          <w:sz w:val="18"/>
          <w:szCs w:val="16"/>
        </w:rPr>
        <w:t>Table 3</w:t>
      </w:r>
      <w:r w:rsidR="002567A0" w:rsidRPr="002567A0">
        <w:rPr>
          <w:rFonts w:ascii="Arial" w:hAnsi="Arial" w:cs="Arial"/>
          <w:b/>
          <w:sz w:val="18"/>
          <w:szCs w:val="16"/>
        </w:rPr>
        <w:t>.</w:t>
      </w:r>
      <w:r w:rsidR="002567A0" w:rsidRPr="002567A0">
        <w:rPr>
          <w:rFonts w:ascii="Arial" w:hAnsi="Arial" w:cs="Arial"/>
          <w:bCs/>
          <w:sz w:val="18"/>
          <w:szCs w:val="16"/>
        </w:rPr>
        <w:t xml:space="preserve"> Result of Physical and Chemical Water Quality Analysis</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C50D9B" w:rsidRPr="00C50D9B" w14:paraId="77F16023" w14:textId="77777777" w:rsidTr="00C50D9B">
        <w:tc>
          <w:tcPr>
            <w:tcW w:w="1798" w:type="dxa"/>
            <w:vMerge w:val="restart"/>
            <w:vAlign w:val="center"/>
          </w:tcPr>
          <w:p w14:paraId="23D0CE5F" w14:textId="45A61772"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Parameters</w:t>
            </w:r>
          </w:p>
        </w:tc>
        <w:tc>
          <w:tcPr>
            <w:tcW w:w="7193" w:type="dxa"/>
            <w:gridSpan w:val="4"/>
            <w:vAlign w:val="center"/>
          </w:tcPr>
          <w:p w14:paraId="7FBDDF91" w14:textId="38B786D4"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Location</w:t>
            </w:r>
          </w:p>
        </w:tc>
        <w:tc>
          <w:tcPr>
            <w:tcW w:w="1799" w:type="dxa"/>
            <w:vMerge w:val="restart"/>
            <w:vAlign w:val="center"/>
          </w:tcPr>
          <w:p w14:paraId="74BC75A1" w14:textId="77777777"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Quality</w:t>
            </w:r>
          </w:p>
          <w:p w14:paraId="3236B603" w14:textId="13DBFD4F"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Standards</w:t>
            </w:r>
          </w:p>
        </w:tc>
      </w:tr>
      <w:tr w:rsidR="00C50D9B" w:rsidRPr="00C50D9B" w14:paraId="123FB3F0" w14:textId="77777777" w:rsidTr="00C50D9B">
        <w:tc>
          <w:tcPr>
            <w:tcW w:w="1798" w:type="dxa"/>
            <w:vMerge/>
            <w:vAlign w:val="center"/>
          </w:tcPr>
          <w:p w14:paraId="020210C3" w14:textId="77777777" w:rsidR="00C50D9B" w:rsidRPr="00C50D9B" w:rsidRDefault="00C50D9B" w:rsidP="00C50D9B">
            <w:pPr>
              <w:pStyle w:val="Body"/>
              <w:spacing w:after="0"/>
              <w:rPr>
                <w:rFonts w:ascii="Arial" w:hAnsi="Arial" w:cs="Arial"/>
                <w:bCs/>
                <w:sz w:val="20"/>
                <w:szCs w:val="16"/>
              </w:rPr>
            </w:pPr>
          </w:p>
        </w:tc>
        <w:tc>
          <w:tcPr>
            <w:tcW w:w="1798" w:type="dxa"/>
            <w:vAlign w:val="center"/>
          </w:tcPr>
          <w:p w14:paraId="2449A7A3" w14:textId="79917319"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1</w:t>
            </w:r>
          </w:p>
        </w:tc>
        <w:tc>
          <w:tcPr>
            <w:tcW w:w="1798" w:type="dxa"/>
            <w:vAlign w:val="center"/>
          </w:tcPr>
          <w:p w14:paraId="38B0E4CB" w14:textId="5BF97726"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2</w:t>
            </w:r>
          </w:p>
        </w:tc>
        <w:tc>
          <w:tcPr>
            <w:tcW w:w="1798" w:type="dxa"/>
            <w:vAlign w:val="center"/>
          </w:tcPr>
          <w:p w14:paraId="754622A6" w14:textId="0C5CCA65"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3</w:t>
            </w:r>
          </w:p>
        </w:tc>
        <w:tc>
          <w:tcPr>
            <w:tcW w:w="1799" w:type="dxa"/>
            <w:vAlign w:val="center"/>
          </w:tcPr>
          <w:p w14:paraId="1EAC3185" w14:textId="5ECD3325"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4</w:t>
            </w:r>
          </w:p>
        </w:tc>
        <w:tc>
          <w:tcPr>
            <w:tcW w:w="1799" w:type="dxa"/>
            <w:vMerge/>
            <w:vAlign w:val="center"/>
          </w:tcPr>
          <w:p w14:paraId="4EF46E7E" w14:textId="77777777" w:rsidR="00C50D9B" w:rsidRPr="00C50D9B" w:rsidRDefault="00C50D9B" w:rsidP="00C50D9B">
            <w:pPr>
              <w:pStyle w:val="Body"/>
              <w:spacing w:after="0"/>
              <w:rPr>
                <w:rFonts w:ascii="Arial" w:hAnsi="Arial" w:cs="Arial"/>
                <w:bCs/>
                <w:sz w:val="20"/>
                <w:szCs w:val="16"/>
              </w:rPr>
            </w:pPr>
          </w:p>
        </w:tc>
      </w:tr>
      <w:tr w:rsidR="00C50D9B" w:rsidRPr="00C50D9B" w14:paraId="0B5F22E8" w14:textId="77777777" w:rsidTr="00C50D9B">
        <w:tc>
          <w:tcPr>
            <w:tcW w:w="1798" w:type="dxa"/>
            <w:vAlign w:val="center"/>
          </w:tcPr>
          <w:p w14:paraId="30E6C1B3" w14:textId="6BB303B3" w:rsidR="00C50D9B" w:rsidRPr="00C50D9B" w:rsidRDefault="00C50D9B" w:rsidP="00C50D9B">
            <w:pPr>
              <w:pStyle w:val="Body"/>
              <w:spacing w:after="0"/>
              <w:rPr>
                <w:rFonts w:ascii="Arial" w:hAnsi="Arial" w:cs="Arial"/>
                <w:bCs/>
                <w:sz w:val="20"/>
                <w:szCs w:val="16"/>
              </w:rPr>
            </w:pPr>
            <w:r>
              <w:rPr>
                <w:rFonts w:ascii="Arial" w:hAnsi="Arial" w:cs="Arial"/>
                <w:bCs/>
                <w:sz w:val="20"/>
                <w:szCs w:val="16"/>
              </w:rPr>
              <w:t>Temperature (</w:t>
            </w:r>
            <w:r w:rsidRPr="00320778">
              <w:rPr>
                <w:rFonts w:ascii="Arial" w:hAnsi="Arial" w:cs="Arial"/>
                <w:bCs/>
                <w:sz w:val="20"/>
                <w:szCs w:val="18"/>
              </w:rPr>
              <w:t>°C</w:t>
            </w:r>
            <w:r>
              <w:rPr>
                <w:rFonts w:ascii="Arial" w:hAnsi="Arial" w:cs="Arial"/>
                <w:bCs/>
                <w:sz w:val="20"/>
                <w:szCs w:val="18"/>
              </w:rPr>
              <w:t>)</w:t>
            </w:r>
          </w:p>
        </w:tc>
        <w:tc>
          <w:tcPr>
            <w:tcW w:w="1798" w:type="dxa"/>
            <w:vAlign w:val="center"/>
          </w:tcPr>
          <w:p w14:paraId="1FA1BCC2" w14:textId="7D50F6D0" w:rsidR="00C50D9B" w:rsidRPr="00C50D9B" w:rsidRDefault="00C50D9B" w:rsidP="00347456">
            <w:pPr>
              <w:pStyle w:val="Body"/>
              <w:spacing w:after="0"/>
              <w:jc w:val="center"/>
              <w:rPr>
                <w:rFonts w:ascii="Arial" w:hAnsi="Arial" w:cs="Arial"/>
                <w:bCs/>
                <w:sz w:val="20"/>
                <w:szCs w:val="16"/>
              </w:rPr>
            </w:pPr>
            <w:r w:rsidRPr="00320778">
              <w:rPr>
                <w:rFonts w:ascii="Arial" w:hAnsi="Arial" w:cs="Arial"/>
                <w:bCs/>
                <w:sz w:val="20"/>
                <w:szCs w:val="18"/>
              </w:rPr>
              <w:t>2</w:t>
            </w:r>
            <w:r w:rsidR="00347456">
              <w:rPr>
                <w:rFonts w:ascii="Arial" w:hAnsi="Arial" w:cs="Arial"/>
                <w:bCs/>
                <w:sz w:val="20"/>
                <w:szCs w:val="18"/>
              </w:rPr>
              <w:t xml:space="preserve">7.1 </w:t>
            </w:r>
            <w:r w:rsidR="00347456" w:rsidRPr="00320778">
              <w:rPr>
                <w:rFonts w:ascii="Arial" w:hAnsi="Arial" w:cs="Arial"/>
                <w:bCs/>
                <w:szCs w:val="18"/>
              </w:rPr>
              <w:t>±</w:t>
            </w:r>
            <w:r w:rsidR="00347456">
              <w:rPr>
                <w:rFonts w:ascii="Arial" w:hAnsi="Arial" w:cs="Arial"/>
                <w:bCs/>
                <w:szCs w:val="18"/>
              </w:rPr>
              <w:t xml:space="preserve"> 1.5</w:t>
            </w:r>
          </w:p>
        </w:tc>
        <w:tc>
          <w:tcPr>
            <w:tcW w:w="1798" w:type="dxa"/>
            <w:vAlign w:val="center"/>
          </w:tcPr>
          <w:p w14:paraId="1AD311F4" w14:textId="75FC04EF"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27</w:t>
            </w:r>
            <w:r w:rsidRPr="00320778">
              <w:rPr>
                <w:rFonts w:ascii="Arial" w:hAnsi="Arial" w:cs="Arial"/>
                <w:bCs/>
                <w:sz w:val="20"/>
                <w:szCs w:val="18"/>
              </w:rPr>
              <w:t>.</w:t>
            </w:r>
            <w:r>
              <w:rPr>
                <w:rFonts w:ascii="Arial" w:hAnsi="Arial" w:cs="Arial"/>
                <w:bCs/>
                <w:sz w:val="20"/>
                <w:szCs w:val="18"/>
              </w:rPr>
              <w:t xml:space="preserve">4 </w:t>
            </w:r>
            <w:r w:rsidRPr="00320778">
              <w:rPr>
                <w:rFonts w:ascii="Arial" w:hAnsi="Arial" w:cs="Arial"/>
                <w:bCs/>
                <w:szCs w:val="18"/>
              </w:rPr>
              <w:t>±</w:t>
            </w:r>
            <w:r>
              <w:rPr>
                <w:rFonts w:ascii="Arial" w:hAnsi="Arial" w:cs="Arial"/>
                <w:bCs/>
                <w:szCs w:val="18"/>
              </w:rPr>
              <w:t xml:space="preserve"> 1.2</w:t>
            </w:r>
          </w:p>
        </w:tc>
        <w:tc>
          <w:tcPr>
            <w:tcW w:w="1798" w:type="dxa"/>
            <w:vAlign w:val="center"/>
          </w:tcPr>
          <w:p w14:paraId="2E648F50" w14:textId="55D9CB46"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 xml:space="preserve">27.2 </w:t>
            </w:r>
            <w:r w:rsidRPr="00320778">
              <w:rPr>
                <w:rFonts w:ascii="Arial" w:hAnsi="Arial" w:cs="Arial"/>
                <w:bCs/>
                <w:szCs w:val="18"/>
              </w:rPr>
              <w:t>±</w:t>
            </w:r>
            <w:r>
              <w:rPr>
                <w:rFonts w:ascii="Arial" w:hAnsi="Arial" w:cs="Arial"/>
                <w:bCs/>
                <w:szCs w:val="18"/>
              </w:rPr>
              <w:t xml:space="preserve"> 0.4</w:t>
            </w:r>
          </w:p>
        </w:tc>
        <w:tc>
          <w:tcPr>
            <w:tcW w:w="1799" w:type="dxa"/>
            <w:vAlign w:val="center"/>
          </w:tcPr>
          <w:p w14:paraId="62DAC973" w14:textId="49CB3C16"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26.8 </w:t>
            </w:r>
            <w:r w:rsidRPr="00320778">
              <w:rPr>
                <w:rFonts w:ascii="Arial" w:hAnsi="Arial" w:cs="Arial"/>
                <w:bCs/>
                <w:szCs w:val="18"/>
              </w:rPr>
              <w:t>±</w:t>
            </w:r>
            <w:r>
              <w:rPr>
                <w:rFonts w:ascii="Arial" w:hAnsi="Arial" w:cs="Arial"/>
                <w:bCs/>
                <w:szCs w:val="18"/>
              </w:rPr>
              <w:t xml:space="preserve"> 0.3</w:t>
            </w:r>
          </w:p>
        </w:tc>
        <w:tc>
          <w:tcPr>
            <w:tcW w:w="1799" w:type="dxa"/>
            <w:vAlign w:val="center"/>
          </w:tcPr>
          <w:p w14:paraId="7E6F355D" w14:textId="20DDBED9"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Dev 3</w:t>
            </w:r>
          </w:p>
        </w:tc>
      </w:tr>
      <w:tr w:rsidR="00C50D9B" w:rsidRPr="00C50D9B" w14:paraId="07EF07C6" w14:textId="77777777" w:rsidTr="00C50D9B">
        <w:tc>
          <w:tcPr>
            <w:tcW w:w="1798" w:type="dxa"/>
            <w:vAlign w:val="center"/>
          </w:tcPr>
          <w:p w14:paraId="5BCAC3F8" w14:textId="5F1AB21D" w:rsidR="00C50D9B" w:rsidRPr="00C50D9B" w:rsidRDefault="00C50D9B" w:rsidP="00C50D9B">
            <w:pPr>
              <w:pStyle w:val="Body"/>
              <w:spacing w:after="0"/>
              <w:rPr>
                <w:rFonts w:ascii="Arial" w:hAnsi="Arial" w:cs="Arial"/>
                <w:bCs/>
                <w:sz w:val="20"/>
                <w:szCs w:val="16"/>
              </w:rPr>
            </w:pPr>
            <w:r>
              <w:rPr>
                <w:rFonts w:ascii="Arial" w:hAnsi="Arial" w:cs="Arial"/>
                <w:bCs/>
                <w:sz w:val="20"/>
                <w:szCs w:val="16"/>
              </w:rPr>
              <w:t>pH</w:t>
            </w:r>
          </w:p>
        </w:tc>
        <w:tc>
          <w:tcPr>
            <w:tcW w:w="1798" w:type="dxa"/>
            <w:vAlign w:val="center"/>
          </w:tcPr>
          <w:p w14:paraId="0CCCE8F3" w14:textId="641F83AA"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7.3 </w:t>
            </w:r>
            <w:r w:rsidRPr="00320778">
              <w:rPr>
                <w:rFonts w:ascii="Arial" w:hAnsi="Arial" w:cs="Arial"/>
                <w:bCs/>
                <w:szCs w:val="18"/>
              </w:rPr>
              <w:t>±</w:t>
            </w:r>
            <w:r>
              <w:rPr>
                <w:rFonts w:ascii="Arial" w:hAnsi="Arial" w:cs="Arial"/>
                <w:bCs/>
                <w:szCs w:val="18"/>
              </w:rPr>
              <w:t xml:space="preserve"> 0.3</w:t>
            </w:r>
          </w:p>
        </w:tc>
        <w:tc>
          <w:tcPr>
            <w:tcW w:w="1798" w:type="dxa"/>
            <w:vAlign w:val="center"/>
          </w:tcPr>
          <w:p w14:paraId="2C115C50" w14:textId="2A33BD1F"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7.5 </w:t>
            </w:r>
            <w:r w:rsidRPr="00320778">
              <w:rPr>
                <w:rFonts w:ascii="Arial" w:hAnsi="Arial" w:cs="Arial"/>
                <w:bCs/>
                <w:szCs w:val="18"/>
              </w:rPr>
              <w:t>±</w:t>
            </w:r>
            <w:r>
              <w:rPr>
                <w:rFonts w:ascii="Arial" w:hAnsi="Arial" w:cs="Arial"/>
                <w:bCs/>
                <w:szCs w:val="18"/>
              </w:rPr>
              <w:t xml:space="preserve"> 0.1</w:t>
            </w:r>
          </w:p>
        </w:tc>
        <w:tc>
          <w:tcPr>
            <w:tcW w:w="1798" w:type="dxa"/>
            <w:vAlign w:val="center"/>
          </w:tcPr>
          <w:p w14:paraId="310F3F15" w14:textId="6836BD1D"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7.7</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0.22</w:t>
            </w:r>
          </w:p>
        </w:tc>
        <w:tc>
          <w:tcPr>
            <w:tcW w:w="1799" w:type="dxa"/>
            <w:vAlign w:val="center"/>
          </w:tcPr>
          <w:p w14:paraId="30F3D030" w14:textId="2072B10E"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7.4</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0.3</w:t>
            </w:r>
          </w:p>
        </w:tc>
        <w:tc>
          <w:tcPr>
            <w:tcW w:w="1799" w:type="dxa"/>
            <w:vAlign w:val="center"/>
          </w:tcPr>
          <w:p w14:paraId="148686D3" w14:textId="4734711C"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7 – 8.5</w:t>
            </w:r>
          </w:p>
        </w:tc>
      </w:tr>
      <w:tr w:rsidR="00C50D9B" w:rsidRPr="00C50D9B" w14:paraId="09F51CA4" w14:textId="77777777" w:rsidTr="00C50D9B">
        <w:tc>
          <w:tcPr>
            <w:tcW w:w="1798" w:type="dxa"/>
            <w:vAlign w:val="center"/>
          </w:tcPr>
          <w:p w14:paraId="7809F677" w14:textId="3E68B0BE" w:rsidR="00C50D9B" w:rsidRPr="00C50D9B" w:rsidRDefault="00C50D9B" w:rsidP="00C50D9B">
            <w:pPr>
              <w:pStyle w:val="Body"/>
              <w:spacing w:after="0"/>
              <w:rPr>
                <w:rFonts w:ascii="Arial" w:hAnsi="Arial" w:cs="Arial"/>
                <w:bCs/>
                <w:sz w:val="20"/>
                <w:szCs w:val="16"/>
              </w:rPr>
            </w:pPr>
            <w:r>
              <w:rPr>
                <w:rFonts w:ascii="Arial" w:hAnsi="Arial" w:cs="Arial"/>
                <w:bCs/>
                <w:sz w:val="20"/>
                <w:szCs w:val="16"/>
              </w:rPr>
              <w:t>BOD (mg/L)</w:t>
            </w:r>
          </w:p>
        </w:tc>
        <w:tc>
          <w:tcPr>
            <w:tcW w:w="1798" w:type="dxa"/>
            <w:vAlign w:val="center"/>
          </w:tcPr>
          <w:p w14:paraId="314134A2" w14:textId="4CA82CBB"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 w:val="20"/>
                <w:szCs w:val="16"/>
              </w:rPr>
              <w:t xml:space="preserve">5.4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2.4</w:t>
            </w:r>
          </w:p>
        </w:tc>
        <w:tc>
          <w:tcPr>
            <w:tcW w:w="1798" w:type="dxa"/>
            <w:vAlign w:val="center"/>
          </w:tcPr>
          <w:p w14:paraId="2D8CF901" w14:textId="07A678F3"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 w:val="20"/>
                <w:szCs w:val="16"/>
              </w:rPr>
              <w:t xml:space="preserve">5.2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2.9</w:t>
            </w:r>
          </w:p>
        </w:tc>
        <w:tc>
          <w:tcPr>
            <w:tcW w:w="1798" w:type="dxa"/>
            <w:vAlign w:val="center"/>
          </w:tcPr>
          <w:p w14:paraId="14396027" w14:textId="0D5BD11C"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Cs w:val="16"/>
              </w:rPr>
              <w:t xml:space="preserve">7.3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2.4</w:t>
            </w:r>
          </w:p>
        </w:tc>
        <w:tc>
          <w:tcPr>
            <w:tcW w:w="1799" w:type="dxa"/>
            <w:vAlign w:val="center"/>
          </w:tcPr>
          <w:p w14:paraId="782A61E6" w14:textId="22DC7DE8"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 w:val="20"/>
                <w:szCs w:val="16"/>
              </w:rPr>
              <w:t xml:space="preserve">7.2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2.9</w:t>
            </w:r>
          </w:p>
        </w:tc>
        <w:tc>
          <w:tcPr>
            <w:tcW w:w="1799" w:type="dxa"/>
            <w:vAlign w:val="center"/>
          </w:tcPr>
          <w:p w14:paraId="0CFABB6E" w14:textId="63790A07"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&gt; 3</w:t>
            </w:r>
          </w:p>
        </w:tc>
      </w:tr>
      <w:tr w:rsidR="00C50D9B" w:rsidRPr="00C50D9B" w14:paraId="6DF80683" w14:textId="77777777" w:rsidTr="00C50D9B">
        <w:tc>
          <w:tcPr>
            <w:tcW w:w="1798" w:type="dxa"/>
            <w:vAlign w:val="center"/>
          </w:tcPr>
          <w:p w14:paraId="1B588377" w14:textId="748DE872" w:rsidR="00C50D9B" w:rsidRPr="00C50D9B" w:rsidRDefault="00C50D9B" w:rsidP="00C50D9B">
            <w:pPr>
              <w:pStyle w:val="Body"/>
              <w:spacing w:after="0"/>
              <w:rPr>
                <w:rFonts w:ascii="Arial" w:hAnsi="Arial" w:cs="Arial"/>
                <w:bCs/>
                <w:sz w:val="20"/>
                <w:szCs w:val="16"/>
              </w:rPr>
            </w:pPr>
            <w:r>
              <w:rPr>
                <w:rFonts w:ascii="Arial" w:hAnsi="Arial" w:cs="Arial"/>
                <w:bCs/>
                <w:sz w:val="20"/>
                <w:szCs w:val="16"/>
              </w:rPr>
              <w:t>DO (mg/L)</w:t>
            </w:r>
          </w:p>
        </w:tc>
        <w:tc>
          <w:tcPr>
            <w:tcW w:w="1798" w:type="dxa"/>
            <w:vAlign w:val="center"/>
          </w:tcPr>
          <w:p w14:paraId="2DB83570" w14:textId="3643D59F" w:rsidR="00C50D9B" w:rsidRPr="00C50D9B" w:rsidRDefault="00347456" w:rsidP="00347456">
            <w:pPr>
              <w:pStyle w:val="Body"/>
              <w:spacing w:after="0"/>
              <w:jc w:val="center"/>
              <w:rPr>
                <w:rFonts w:ascii="Arial" w:hAnsi="Arial" w:cs="Arial"/>
                <w:bCs/>
                <w:sz w:val="20"/>
                <w:szCs w:val="16"/>
              </w:rPr>
            </w:pPr>
            <w:r>
              <w:rPr>
                <w:rFonts w:ascii="Arial" w:hAnsi="Arial" w:cs="Arial"/>
                <w:bCs/>
                <w:szCs w:val="18"/>
              </w:rPr>
              <w:t>6.4</w:t>
            </w:r>
            <w:r w:rsidRPr="00320778">
              <w:rPr>
                <w:rFonts w:ascii="Arial" w:hAnsi="Arial" w:cs="Arial"/>
                <w:bCs/>
                <w:szCs w:val="18"/>
              </w:rPr>
              <w:t>±</w:t>
            </w:r>
            <w:r>
              <w:rPr>
                <w:rFonts w:ascii="Arial" w:hAnsi="Arial" w:cs="Arial"/>
                <w:bCs/>
                <w:szCs w:val="18"/>
              </w:rPr>
              <w:t xml:space="preserve"> 0.9</w:t>
            </w:r>
          </w:p>
        </w:tc>
        <w:tc>
          <w:tcPr>
            <w:tcW w:w="1798" w:type="dxa"/>
            <w:vAlign w:val="center"/>
          </w:tcPr>
          <w:p w14:paraId="0EE6CEED" w14:textId="3EB89F05"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6.7 </w:t>
            </w:r>
            <w:r w:rsidRPr="00320778">
              <w:rPr>
                <w:rFonts w:ascii="Arial" w:hAnsi="Arial" w:cs="Arial"/>
                <w:bCs/>
                <w:szCs w:val="18"/>
              </w:rPr>
              <w:t>±</w:t>
            </w:r>
            <w:r>
              <w:rPr>
                <w:rFonts w:ascii="Arial" w:hAnsi="Arial" w:cs="Arial"/>
                <w:bCs/>
                <w:szCs w:val="18"/>
              </w:rPr>
              <w:t xml:space="preserve"> 0.6</w:t>
            </w:r>
          </w:p>
        </w:tc>
        <w:tc>
          <w:tcPr>
            <w:tcW w:w="1798" w:type="dxa"/>
            <w:vAlign w:val="center"/>
          </w:tcPr>
          <w:p w14:paraId="479D0747" w14:textId="1EF1C3B1"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5.7</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0.9</w:t>
            </w:r>
          </w:p>
        </w:tc>
        <w:tc>
          <w:tcPr>
            <w:tcW w:w="1799" w:type="dxa"/>
            <w:vAlign w:val="center"/>
          </w:tcPr>
          <w:p w14:paraId="6E2D1CEF" w14:textId="4395F9FC"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6.7</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1</w:t>
            </w:r>
          </w:p>
        </w:tc>
        <w:tc>
          <w:tcPr>
            <w:tcW w:w="1799" w:type="dxa"/>
            <w:vAlign w:val="center"/>
          </w:tcPr>
          <w:p w14:paraId="53BBFD7A" w14:textId="734A4EEA"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&gt; 5</w:t>
            </w:r>
          </w:p>
        </w:tc>
      </w:tr>
    </w:tbl>
    <w:p w14:paraId="48552717" w14:textId="690E272A" w:rsidR="00C50D9B" w:rsidRPr="00320778" w:rsidRDefault="00347456" w:rsidP="00347456">
      <w:pPr>
        <w:pStyle w:val="Body"/>
        <w:spacing w:after="0" w:line="276" w:lineRule="auto"/>
        <w:rPr>
          <w:rFonts w:ascii="Arial" w:hAnsi="Arial" w:cs="Arial"/>
          <w:bCs/>
          <w:szCs w:val="18"/>
        </w:rPr>
      </w:pPr>
      <w:proofErr w:type="gramStart"/>
      <w:r>
        <w:rPr>
          <w:rFonts w:ascii="Arial" w:hAnsi="Arial" w:cs="Arial"/>
          <w:bCs/>
          <w:szCs w:val="18"/>
        </w:rPr>
        <w:t>Source :</w:t>
      </w:r>
      <w:proofErr w:type="gramEnd"/>
      <w:r>
        <w:rPr>
          <w:rFonts w:ascii="Arial" w:hAnsi="Arial" w:cs="Arial"/>
          <w:bCs/>
          <w:szCs w:val="18"/>
        </w:rPr>
        <w:t xml:space="preserve"> Indonesian Government Regulation </w:t>
      </w:r>
      <w:r w:rsidR="00852CC1">
        <w:rPr>
          <w:rFonts w:ascii="Arial" w:hAnsi="Arial" w:cs="Arial"/>
          <w:bCs/>
          <w:szCs w:val="18"/>
        </w:rPr>
        <w:t>of the Republic of Indonesia No. 22 of 2021</w:t>
      </w:r>
    </w:p>
    <w:p w14:paraId="3E3BFA2A" w14:textId="273AB345" w:rsidR="00011FBA" w:rsidRPr="00011FBA" w:rsidRDefault="00011FBA" w:rsidP="006022C3">
      <w:pPr>
        <w:pStyle w:val="Body"/>
        <w:spacing w:after="0" w:line="276" w:lineRule="auto"/>
        <w:rPr>
          <w:rFonts w:ascii="Arial" w:hAnsi="Arial" w:cs="Arial"/>
        </w:rPr>
      </w:pPr>
    </w:p>
    <w:p w14:paraId="2989F925" w14:textId="0BFD9562" w:rsidR="001B771A" w:rsidRDefault="001B771A" w:rsidP="006022C3">
      <w:pPr>
        <w:pStyle w:val="Body"/>
        <w:spacing w:after="0" w:line="276"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320778">
        <w:rPr>
          <w:rFonts w:ascii="Arial" w:hAnsi="Arial" w:cs="Arial"/>
          <w:b/>
          <w:sz w:val="22"/>
        </w:rPr>
        <w:t>Sediment Fraction</w:t>
      </w:r>
    </w:p>
    <w:p w14:paraId="7F6C1C0E" w14:textId="0B25B2F2" w:rsidR="001B771A" w:rsidRPr="001B771A" w:rsidRDefault="001B771A" w:rsidP="006022C3">
      <w:pPr>
        <w:pStyle w:val="Body"/>
        <w:spacing w:after="0" w:line="276" w:lineRule="auto"/>
        <w:rPr>
          <w:rFonts w:ascii="Arial" w:hAnsi="Arial" w:cs="Arial"/>
          <w:bCs/>
          <w:szCs w:val="18"/>
        </w:rPr>
      </w:pPr>
      <w:r>
        <w:rPr>
          <w:rFonts w:ascii="Arial" w:hAnsi="Arial" w:cs="Arial"/>
          <w:bCs/>
          <w:szCs w:val="18"/>
        </w:rPr>
        <w:tab/>
      </w:r>
      <w:r w:rsidR="000B3583" w:rsidRPr="000B3583">
        <w:rPr>
          <w:rFonts w:ascii="Arial" w:hAnsi="Arial" w:cs="Arial"/>
          <w:bCs/>
          <w:szCs w:val="18"/>
        </w:rPr>
        <w:t>Sediment fraction analysis revealed differences in substrate composition among stations. Stations 1 (inlet) and 2 (</w:t>
      </w:r>
      <w:proofErr w:type="spellStart"/>
      <w:r w:rsidR="000B3583" w:rsidRPr="000B3583">
        <w:rPr>
          <w:rFonts w:ascii="Arial" w:hAnsi="Arial" w:cs="Arial"/>
          <w:bCs/>
          <w:szCs w:val="18"/>
        </w:rPr>
        <w:t>midlet</w:t>
      </w:r>
      <w:proofErr w:type="spellEnd"/>
      <w:r w:rsidR="000B3583" w:rsidRPr="000B3583">
        <w:rPr>
          <w:rFonts w:ascii="Arial" w:hAnsi="Arial" w:cs="Arial"/>
          <w:bCs/>
          <w:szCs w:val="18"/>
        </w:rPr>
        <w:t>) were dominated by mud, while Stations 3 and 4 contained higher proportions of sand and gravel, with sand fractions exceeding 40</w:t>
      </w:r>
      <w:proofErr w:type="gramStart"/>
      <w:r w:rsidR="000B3583" w:rsidRPr="000B3583">
        <w:rPr>
          <w:rFonts w:ascii="Arial" w:hAnsi="Arial" w:cs="Arial"/>
          <w:bCs/>
          <w:szCs w:val="18"/>
        </w:rPr>
        <w:t>%.Fine</w:t>
      </w:r>
      <w:proofErr w:type="gramEnd"/>
      <w:r w:rsidR="000B3583" w:rsidRPr="000B3583">
        <w:rPr>
          <w:rFonts w:ascii="Arial" w:hAnsi="Arial" w:cs="Arial"/>
          <w:bCs/>
          <w:szCs w:val="18"/>
        </w:rPr>
        <w:t xml:space="preserve"> sandy substrates tend to be less favorable for aquatic organisms due to anaerobic decomposition processes that may produce toxic compounds (Ulfah et al. 2012). The highest </w:t>
      </w:r>
      <w:proofErr w:type="spellStart"/>
      <w:r w:rsidR="000B3583" w:rsidRPr="000B3583">
        <w:rPr>
          <w:rFonts w:ascii="Arial" w:hAnsi="Arial" w:cs="Arial"/>
          <w:bCs/>
          <w:szCs w:val="18"/>
        </w:rPr>
        <w:t>macrozoobenthos</w:t>
      </w:r>
      <w:proofErr w:type="spellEnd"/>
      <w:r w:rsidR="000B3583" w:rsidRPr="000B3583">
        <w:rPr>
          <w:rFonts w:ascii="Arial" w:hAnsi="Arial" w:cs="Arial"/>
          <w:bCs/>
          <w:szCs w:val="18"/>
        </w:rPr>
        <w:t xml:space="preserve"> abundance in Situ </w:t>
      </w:r>
      <w:proofErr w:type="spellStart"/>
      <w:r w:rsidR="000B3583" w:rsidRPr="000B3583">
        <w:rPr>
          <w:rFonts w:ascii="Arial" w:hAnsi="Arial" w:cs="Arial"/>
          <w:bCs/>
          <w:szCs w:val="18"/>
        </w:rPr>
        <w:t>Sipatahunan</w:t>
      </w:r>
      <w:proofErr w:type="spellEnd"/>
      <w:r w:rsidR="000B3583" w:rsidRPr="000B3583">
        <w:rPr>
          <w:rFonts w:ascii="Arial" w:hAnsi="Arial" w:cs="Arial"/>
          <w:bCs/>
          <w:szCs w:val="18"/>
        </w:rPr>
        <w:t xml:space="preserve"> was found in the class </w:t>
      </w:r>
      <w:proofErr w:type="spellStart"/>
      <w:r w:rsidR="000B3583" w:rsidRPr="000B3583">
        <w:rPr>
          <w:rFonts w:ascii="Arial" w:hAnsi="Arial" w:cs="Arial"/>
          <w:bCs/>
          <w:szCs w:val="18"/>
        </w:rPr>
        <w:t>Gastropoda</w:t>
      </w:r>
      <w:proofErr w:type="spellEnd"/>
      <w:r w:rsidR="000B3583" w:rsidRPr="000B3583">
        <w:rPr>
          <w:rFonts w:ascii="Arial" w:hAnsi="Arial" w:cs="Arial"/>
          <w:bCs/>
          <w:szCs w:val="18"/>
        </w:rPr>
        <w:t xml:space="preserve">. This finding is consistent with Susanti (2018), who noted that gastropods generally prefer mixed mud–sand substrates, which provide more suitable conditions for their life </w:t>
      </w:r>
      <w:proofErr w:type="gramStart"/>
      <w:r w:rsidR="000B3583" w:rsidRPr="000B3583">
        <w:rPr>
          <w:rFonts w:ascii="Arial" w:hAnsi="Arial" w:cs="Arial"/>
          <w:bCs/>
          <w:szCs w:val="18"/>
        </w:rPr>
        <w:t>activities.</w:t>
      </w:r>
      <w:r w:rsidR="0005712A" w:rsidRPr="0005712A">
        <w:rPr>
          <w:rFonts w:ascii="Arial" w:hAnsi="Arial" w:cs="Arial"/>
          <w:bCs/>
          <w:szCs w:val="18"/>
        </w:rPr>
        <w:t>.</w:t>
      </w:r>
      <w:proofErr w:type="gramEnd"/>
    </w:p>
    <w:p w14:paraId="258BA3CE" w14:textId="77777777" w:rsidR="001B771A" w:rsidRDefault="001B771A" w:rsidP="006022C3">
      <w:pPr>
        <w:pStyle w:val="Body"/>
        <w:spacing w:after="0" w:line="276" w:lineRule="auto"/>
        <w:rPr>
          <w:rFonts w:ascii="Arial" w:hAnsi="Arial" w:cs="Arial"/>
          <w:b/>
          <w:sz w:val="22"/>
        </w:rPr>
      </w:pPr>
    </w:p>
    <w:p w14:paraId="22173ADA" w14:textId="5AD603F4" w:rsidR="0005712A" w:rsidRDefault="0005712A" w:rsidP="0005712A">
      <w:pPr>
        <w:pStyle w:val="Body"/>
        <w:spacing w:after="0" w:line="276"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 xml:space="preserve">Composition and </w:t>
      </w:r>
      <w:proofErr w:type="spellStart"/>
      <w:r>
        <w:rPr>
          <w:rFonts w:ascii="Arial" w:hAnsi="Arial" w:cs="Arial"/>
          <w:b/>
          <w:sz w:val="22"/>
        </w:rPr>
        <w:t>Abudance</w:t>
      </w:r>
      <w:proofErr w:type="spellEnd"/>
      <w:r>
        <w:rPr>
          <w:rFonts w:ascii="Arial" w:hAnsi="Arial" w:cs="Arial"/>
          <w:b/>
          <w:sz w:val="22"/>
        </w:rPr>
        <w:t xml:space="preserve"> of </w:t>
      </w:r>
      <w:proofErr w:type="spellStart"/>
      <w:r>
        <w:rPr>
          <w:rFonts w:ascii="Arial" w:hAnsi="Arial" w:cs="Arial"/>
          <w:b/>
          <w:sz w:val="22"/>
        </w:rPr>
        <w:t>Makrozoobentos</w:t>
      </w:r>
      <w:proofErr w:type="spellEnd"/>
    </w:p>
    <w:p w14:paraId="5CF194A6" w14:textId="01962413" w:rsidR="0005712A" w:rsidRDefault="00FE7BB9" w:rsidP="0005712A">
      <w:pPr>
        <w:pStyle w:val="Body"/>
        <w:spacing w:after="0" w:line="276" w:lineRule="auto"/>
        <w:rPr>
          <w:rFonts w:ascii="Arial" w:hAnsi="Arial" w:cs="Arial"/>
          <w:bCs/>
        </w:rPr>
      </w:pPr>
      <w:r>
        <w:rPr>
          <w:rFonts w:ascii="Arial" w:hAnsi="Arial" w:cs="Arial"/>
          <w:bCs/>
        </w:rPr>
        <w:tab/>
      </w:r>
      <w:r w:rsidR="0005712A" w:rsidRPr="0005712A">
        <w:rPr>
          <w:rFonts w:ascii="Arial" w:hAnsi="Arial" w:cs="Arial"/>
          <w:bCs/>
        </w:rPr>
        <w:t xml:space="preserve">The identification results revealed 11 </w:t>
      </w:r>
      <w:proofErr w:type="spellStart"/>
      <w:r w:rsidR="0005712A" w:rsidRPr="0005712A">
        <w:rPr>
          <w:rFonts w:ascii="Arial" w:hAnsi="Arial" w:cs="Arial"/>
          <w:bCs/>
        </w:rPr>
        <w:t>macrozoobenthos</w:t>
      </w:r>
      <w:proofErr w:type="spellEnd"/>
      <w:r w:rsidR="0005712A" w:rsidRPr="0005712A">
        <w:rPr>
          <w:rFonts w:ascii="Arial" w:hAnsi="Arial" w:cs="Arial"/>
          <w:bCs/>
        </w:rPr>
        <w:t xml:space="preserve"> species from four sampling stations in Situ </w:t>
      </w:r>
      <w:proofErr w:type="spellStart"/>
      <w:r w:rsidR="0005712A" w:rsidRPr="0005712A">
        <w:rPr>
          <w:rFonts w:ascii="Arial" w:hAnsi="Arial" w:cs="Arial"/>
          <w:bCs/>
        </w:rPr>
        <w:t>Sipatahunan</w:t>
      </w:r>
      <w:proofErr w:type="spellEnd"/>
      <w:r w:rsidR="0005712A" w:rsidRPr="0005712A">
        <w:rPr>
          <w:rFonts w:ascii="Arial" w:hAnsi="Arial" w:cs="Arial"/>
          <w:bCs/>
        </w:rPr>
        <w:t xml:space="preserve">, namely </w:t>
      </w:r>
      <w:proofErr w:type="spellStart"/>
      <w:r w:rsidR="00553FBA" w:rsidRPr="00D25AD7">
        <w:rPr>
          <w:rFonts w:ascii="Arial" w:hAnsi="Arial" w:cs="Arial"/>
          <w:bCs/>
          <w:i/>
          <w:iCs/>
        </w:rPr>
        <w:t>Pomacea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canaliculata</w:t>
      </w:r>
      <w:proofErr w:type="spellEnd"/>
      <w:r w:rsidR="0005712A" w:rsidRPr="00D25AD7">
        <w:rPr>
          <w:rFonts w:ascii="Arial" w:hAnsi="Arial" w:cs="Arial"/>
          <w:bCs/>
          <w:i/>
          <w:iCs/>
        </w:rPr>
        <w:t xml:space="preserve">, Pila </w:t>
      </w:r>
      <w:proofErr w:type="spellStart"/>
      <w:r w:rsidR="0005712A" w:rsidRPr="00D25AD7">
        <w:rPr>
          <w:rFonts w:ascii="Arial" w:hAnsi="Arial" w:cs="Arial"/>
          <w:bCs/>
          <w:i/>
          <w:iCs/>
        </w:rPr>
        <w:t>ampullacea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Filopaludina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javanica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Palaemon</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macrodactylus</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Lymnaeidae</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rubingosa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Sinanodonta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woodiana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Melanoides</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tuberculata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Tarebia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granifera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Lingunia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nasuta</w:t>
      </w:r>
      <w:proofErr w:type="spellEnd"/>
      <w:r w:rsidR="0005712A" w:rsidRPr="00D25AD7">
        <w:rPr>
          <w:rFonts w:ascii="Arial" w:hAnsi="Arial" w:cs="Arial"/>
          <w:bCs/>
          <w:i/>
          <w:iCs/>
        </w:rPr>
        <w:t xml:space="preserve">, and </w:t>
      </w:r>
      <w:proofErr w:type="spellStart"/>
      <w:r w:rsidR="0005712A" w:rsidRPr="00D25AD7">
        <w:rPr>
          <w:rFonts w:ascii="Arial" w:hAnsi="Arial" w:cs="Arial"/>
          <w:bCs/>
          <w:i/>
          <w:iCs/>
        </w:rPr>
        <w:t>Melanoides</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plicaria</w:t>
      </w:r>
      <w:proofErr w:type="spellEnd"/>
      <w:r w:rsidR="0005712A" w:rsidRPr="0005712A">
        <w:rPr>
          <w:rFonts w:ascii="Arial" w:hAnsi="Arial" w:cs="Arial"/>
          <w:bCs/>
        </w:rPr>
        <w:t xml:space="preserve">. The community was dominated by </w:t>
      </w:r>
      <w:r w:rsidR="0005712A" w:rsidRPr="00D25AD7">
        <w:rPr>
          <w:rFonts w:ascii="Arial" w:hAnsi="Arial" w:cs="Arial"/>
          <w:bCs/>
          <w:i/>
          <w:iCs/>
        </w:rPr>
        <w:t xml:space="preserve">P. </w:t>
      </w:r>
      <w:proofErr w:type="spellStart"/>
      <w:r w:rsidR="0005712A" w:rsidRPr="00D25AD7">
        <w:rPr>
          <w:rFonts w:ascii="Arial" w:hAnsi="Arial" w:cs="Arial"/>
          <w:bCs/>
          <w:i/>
          <w:iCs/>
        </w:rPr>
        <w:t>canaliculata</w:t>
      </w:r>
      <w:proofErr w:type="spellEnd"/>
      <w:r w:rsidR="0005712A" w:rsidRPr="0005712A">
        <w:rPr>
          <w:rFonts w:ascii="Arial" w:hAnsi="Arial" w:cs="Arial"/>
          <w:bCs/>
        </w:rPr>
        <w:t xml:space="preserve"> (63.8%), followed </w:t>
      </w:r>
      <w:r w:rsidR="0005712A" w:rsidRPr="00D25AD7">
        <w:rPr>
          <w:rFonts w:ascii="Arial" w:hAnsi="Arial" w:cs="Arial"/>
          <w:bCs/>
          <w:i/>
          <w:iCs/>
        </w:rPr>
        <w:t xml:space="preserve">by T. </w:t>
      </w:r>
      <w:proofErr w:type="spellStart"/>
      <w:r w:rsidR="0005712A" w:rsidRPr="00D25AD7">
        <w:rPr>
          <w:rFonts w:ascii="Arial" w:hAnsi="Arial" w:cs="Arial"/>
          <w:bCs/>
          <w:i/>
          <w:iCs/>
        </w:rPr>
        <w:t>granifera</w:t>
      </w:r>
      <w:proofErr w:type="spellEnd"/>
      <w:r w:rsidR="0005712A" w:rsidRPr="0005712A">
        <w:rPr>
          <w:rFonts w:ascii="Arial" w:hAnsi="Arial" w:cs="Arial"/>
          <w:bCs/>
        </w:rPr>
        <w:t xml:space="preserve"> (13.5%) and </w:t>
      </w:r>
      <w:r w:rsidR="0005712A" w:rsidRPr="00D25AD7">
        <w:rPr>
          <w:rFonts w:ascii="Arial" w:hAnsi="Arial" w:cs="Arial"/>
          <w:bCs/>
          <w:i/>
          <w:iCs/>
        </w:rPr>
        <w:t>F. javanica</w:t>
      </w:r>
      <w:r w:rsidR="0005712A" w:rsidRPr="0005712A">
        <w:rPr>
          <w:rFonts w:ascii="Arial" w:hAnsi="Arial" w:cs="Arial"/>
          <w:bCs/>
        </w:rPr>
        <w:t xml:space="preserve"> (7.2%). Species with high tolerance to environmental conditions, such as P. </w:t>
      </w:r>
      <w:proofErr w:type="spellStart"/>
      <w:r w:rsidR="0005712A" w:rsidRPr="0005712A">
        <w:rPr>
          <w:rFonts w:ascii="Arial" w:hAnsi="Arial" w:cs="Arial"/>
          <w:bCs/>
        </w:rPr>
        <w:t>canaliculata</w:t>
      </w:r>
      <w:proofErr w:type="spellEnd"/>
      <w:r w:rsidR="0005712A" w:rsidRPr="0005712A">
        <w:rPr>
          <w:rFonts w:ascii="Arial" w:hAnsi="Arial" w:cs="Arial"/>
          <w:bCs/>
        </w:rPr>
        <w:t xml:space="preserve">, tend to dominate waters under organic pollution pressure (Ratih </w:t>
      </w:r>
      <w:r w:rsidR="00553FBA">
        <w:rPr>
          <w:rFonts w:ascii="Arial" w:hAnsi="Arial" w:cs="Arial"/>
          <w:bCs/>
        </w:rPr>
        <w:t>et al.</w:t>
      </w:r>
      <w:r w:rsidR="0005712A" w:rsidRPr="0005712A">
        <w:rPr>
          <w:rFonts w:ascii="Arial" w:hAnsi="Arial" w:cs="Arial"/>
          <w:bCs/>
        </w:rPr>
        <w:t xml:space="preserve"> 2016). </w:t>
      </w:r>
    </w:p>
    <w:p w14:paraId="2191B987" w14:textId="77777777" w:rsidR="00DD265D" w:rsidRDefault="00DD265D" w:rsidP="0005712A">
      <w:pPr>
        <w:pStyle w:val="Body"/>
        <w:spacing w:after="0" w:line="276" w:lineRule="auto"/>
        <w:rPr>
          <w:rFonts w:ascii="Arial" w:hAnsi="Arial" w:cs="Arial"/>
          <w:bCs/>
        </w:rPr>
      </w:pPr>
    </w:p>
    <w:p w14:paraId="0737A460" w14:textId="39D99496" w:rsidR="00DD265D" w:rsidRPr="00DD265D" w:rsidRDefault="00DD265D" w:rsidP="00DD265D">
      <w:pPr>
        <w:pStyle w:val="Body"/>
        <w:spacing w:after="0" w:line="276" w:lineRule="auto"/>
        <w:ind w:left="720" w:hanging="720"/>
        <w:rPr>
          <w:rFonts w:ascii="Arial" w:hAnsi="Arial" w:cs="Arial"/>
          <w:bCs/>
          <w:sz w:val="18"/>
          <w:szCs w:val="18"/>
        </w:rPr>
      </w:pPr>
      <w:r w:rsidRPr="00DD265D">
        <w:rPr>
          <w:rFonts w:ascii="Arial" w:hAnsi="Arial" w:cs="Arial"/>
          <w:b/>
          <w:sz w:val="18"/>
          <w:szCs w:val="18"/>
        </w:rPr>
        <w:t>Table 4</w:t>
      </w:r>
      <w:r>
        <w:rPr>
          <w:rFonts w:ascii="Arial" w:hAnsi="Arial" w:cs="Arial"/>
          <w:b/>
          <w:sz w:val="18"/>
          <w:szCs w:val="18"/>
        </w:rPr>
        <w:t xml:space="preserve">. </w:t>
      </w:r>
      <w:proofErr w:type="spellStart"/>
      <w:r w:rsidRPr="00DD265D">
        <w:rPr>
          <w:rFonts w:ascii="Arial" w:hAnsi="Arial" w:cs="Arial"/>
          <w:sz w:val="18"/>
          <w:szCs w:val="18"/>
        </w:rPr>
        <w:t>Macrozoobenthos</w:t>
      </w:r>
      <w:proofErr w:type="spellEnd"/>
      <w:r w:rsidRPr="00DD265D">
        <w:rPr>
          <w:rFonts w:ascii="Arial" w:hAnsi="Arial" w:cs="Arial"/>
          <w:sz w:val="18"/>
          <w:szCs w:val="18"/>
        </w:rPr>
        <w:t xml:space="preserve"> Abundance and Diversity</w:t>
      </w:r>
    </w:p>
    <w:tbl>
      <w:tblPr>
        <w:tblW w:w="5000" w:type="pct"/>
        <w:jc w:val="center"/>
        <w:tblLook w:val="0600" w:firstRow="0" w:lastRow="0" w:firstColumn="0" w:lastColumn="0" w:noHBand="1" w:noVBand="1"/>
      </w:tblPr>
      <w:tblGrid>
        <w:gridCol w:w="2803"/>
        <w:gridCol w:w="3480"/>
        <w:gridCol w:w="1160"/>
        <w:gridCol w:w="1074"/>
        <w:gridCol w:w="987"/>
        <w:gridCol w:w="1296"/>
      </w:tblGrid>
      <w:tr w:rsidR="00852CC1" w:rsidRPr="00DD265D" w14:paraId="569A03DA" w14:textId="77777777" w:rsidTr="00162298">
        <w:trPr>
          <w:trHeight w:val="20"/>
          <w:jc w:val="center"/>
        </w:trPr>
        <w:tc>
          <w:tcPr>
            <w:tcW w:w="1298" w:type="pct"/>
            <w:vMerge w:val="restart"/>
            <w:tcBorders>
              <w:top w:val="single" w:sz="4" w:space="0" w:color="auto"/>
            </w:tcBorders>
            <w:tcMar>
              <w:top w:w="100" w:type="dxa"/>
              <w:left w:w="100" w:type="dxa"/>
              <w:bottom w:w="100" w:type="dxa"/>
              <w:right w:w="100" w:type="dxa"/>
            </w:tcMar>
            <w:vAlign w:val="center"/>
          </w:tcPr>
          <w:p w14:paraId="072A7510" w14:textId="40DF2503"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Class</w:t>
            </w:r>
          </w:p>
        </w:tc>
        <w:tc>
          <w:tcPr>
            <w:tcW w:w="1611" w:type="pct"/>
            <w:vMerge w:val="restart"/>
            <w:tcBorders>
              <w:top w:val="single" w:sz="4" w:space="0" w:color="auto"/>
            </w:tcBorders>
            <w:tcMar>
              <w:top w:w="100" w:type="dxa"/>
              <w:left w:w="100" w:type="dxa"/>
              <w:bottom w:w="100" w:type="dxa"/>
              <w:right w:w="100" w:type="dxa"/>
            </w:tcMar>
            <w:vAlign w:val="center"/>
          </w:tcPr>
          <w:p w14:paraId="02D999B1" w14:textId="30DAD052" w:rsidR="00852CC1" w:rsidRPr="00DD265D" w:rsidRDefault="00DD265D"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Identified species</w:t>
            </w:r>
          </w:p>
        </w:tc>
        <w:tc>
          <w:tcPr>
            <w:tcW w:w="2091" w:type="pct"/>
            <w:gridSpan w:val="4"/>
            <w:tcBorders>
              <w:top w:val="single" w:sz="4" w:space="0" w:color="auto"/>
              <w:bottom w:val="single" w:sz="4" w:space="0" w:color="auto"/>
            </w:tcBorders>
            <w:tcMar>
              <w:top w:w="100" w:type="dxa"/>
              <w:left w:w="100" w:type="dxa"/>
              <w:bottom w:w="100" w:type="dxa"/>
              <w:right w:w="100" w:type="dxa"/>
            </w:tcMar>
            <w:vAlign w:val="center"/>
          </w:tcPr>
          <w:p w14:paraId="70E9DB96" w14:textId="5A84E60F" w:rsidR="00852CC1" w:rsidRPr="00DD265D" w:rsidRDefault="00852CC1" w:rsidP="00162298">
            <w:pPr>
              <w:widowControl w:val="0"/>
              <w:pBdr>
                <w:top w:val="nil"/>
                <w:left w:val="nil"/>
                <w:bottom w:val="nil"/>
                <w:right w:val="nil"/>
                <w:between w:val="nil"/>
              </w:pBdr>
              <w:jc w:val="center"/>
              <w:rPr>
                <w:rFonts w:ascii="Arial" w:hAnsi="Arial" w:cs="Arial"/>
                <w:b/>
              </w:rPr>
            </w:pPr>
            <w:proofErr w:type="spellStart"/>
            <w:r w:rsidRPr="00DD265D">
              <w:rPr>
                <w:rFonts w:ascii="Arial" w:hAnsi="Arial" w:cs="Arial"/>
                <w:b/>
              </w:rPr>
              <w:t>Abudace</w:t>
            </w:r>
            <w:proofErr w:type="spellEnd"/>
            <w:r w:rsidRPr="00DD265D">
              <w:rPr>
                <w:rFonts w:ascii="Arial" w:hAnsi="Arial" w:cs="Arial"/>
                <w:b/>
              </w:rPr>
              <w:t xml:space="preserve"> at each station (</w:t>
            </w:r>
            <w:proofErr w:type="spellStart"/>
            <w:r w:rsidRPr="00DD265D">
              <w:rPr>
                <w:rFonts w:ascii="Arial" w:hAnsi="Arial" w:cs="Arial"/>
                <w:b/>
              </w:rPr>
              <w:t>ind</w:t>
            </w:r>
            <w:proofErr w:type="spellEnd"/>
            <w:r w:rsidRPr="00DD265D">
              <w:rPr>
                <w:rFonts w:ascii="Arial" w:hAnsi="Arial" w:cs="Arial"/>
                <w:b/>
              </w:rPr>
              <w:t>/m</w:t>
            </w:r>
            <w:r w:rsidRPr="00DD265D">
              <w:rPr>
                <w:rFonts w:ascii="Arial" w:hAnsi="Arial" w:cs="Arial"/>
                <w:b/>
                <w:vertAlign w:val="superscript"/>
              </w:rPr>
              <w:t>2</w:t>
            </w:r>
            <w:r w:rsidRPr="00DD265D">
              <w:rPr>
                <w:rFonts w:ascii="Arial" w:hAnsi="Arial" w:cs="Arial"/>
                <w:b/>
              </w:rPr>
              <w:t>)</w:t>
            </w:r>
          </w:p>
        </w:tc>
      </w:tr>
      <w:tr w:rsidR="00852CC1" w:rsidRPr="00DD265D" w14:paraId="7D7E08CF" w14:textId="77777777" w:rsidTr="008A5AE1">
        <w:trPr>
          <w:trHeight w:val="20"/>
          <w:jc w:val="center"/>
        </w:trPr>
        <w:tc>
          <w:tcPr>
            <w:tcW w:w="1298" w:type="pct"/>
            <w:vMerge/>
            <w:tcBorders>
              <w:bottom w:val="single" w:sz="4" w:space="0" w:color="auto"/>
            </w:tcBorders>
            <w:tcMar>
              <w:top w:w="100" w:type="dxa"/>
              <w:left w:w="100" w:type="dxa"/>
              <w:bottom w:w="100" w:type="dxa"/>
              <w:right w:w="100" w:type="dxa"/>
            </w:tcMar>
            <w:vAlign w:val="center"/>
          </w:tcPr>
          <w:p w14:paraId="6D92A46D"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vMerge/>
            <w:tcBorders>
              <w:bottom w:val="single" w:sz="4" w:space="0" w:color="auto"/>
            </w:tcBorders>
            <w:tcMar>
              <w:top w:w="100" w:type="dxa"/>
              <w:left w:w="100" w:type="dxa"/>
              <w:bottom w:w="100" w:type="dxa"/>
              <w:right w:w="100" w:type="dxa"/>
            </w:tcMar>
            <w:vAlign w:val="center"/>
          </w:tcPr>
          <w:p w14:paraId="2DBAC875"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537" w:type="pct"/>
            <w:tcBorders>
              <w:top w:val="single" w:sz="4" w:space="0" w:color="auto"/>
              <w:bottom w:val="single" w:sz="4" w:space="0" w:color="auto"/>
            </w:tcBorders>
            <w:tcMar>
              <w:top w:w="100" w:type="dxa"/>
              <w:left w:w="100" w:type="dxa"/>
              <w:bottom w:w="100" w:type="dxa"/>
              <w:right w:w="100" w:type="dxa"/>
            </w:tcMar>
            <w:vAlign w:val="center"/>
          </w:tcPr>
          <w:p w14:paraId="71A908D7" w14:textId="2B0E8AAD"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1</w:t>
            </w:r>
          </w:p>
        </w:tc>
        <w:tc>
          <w:tcPr>
            <w:tcW w:w="497" w:type="pct"/>
            <w:tcBorders>
              <w:top w:val="single" w:sz="4" w:space="0" w:color="auto"/>
              <w:bottom w:val="single" w:sz="4" w:space="0" w:color="auto"/>
            </w:tcBorders>
            <w:tcMar>
              <w:top w:w="100" w:type="dxa"/>
              <w:left w:w="100" w:type="dxa"/>
              <w:bottom w:w="100" w:type="dxa"/>
              <w:right w:w="100" w:type="dxa"/>
            </w:tcMar>
            <w:vAlign w:val="center"/>
          </w:tcPr>
          <w:p w14:paraId="7CC52639" w14:textId="3661227A"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2</w:t>
            </w:r>
          </w:p>
        </w:tc>
        <w:tc>
          <w:tcPr>
            <w:tcW w:w="457" w:type="pct"/>
            <w:tcBorders>
              <w:top w:val="single" w:sz="4" w:space="0" w:color="auto"/>
              <w:bottom w:val="single" w:sz="4" w:space="0" w:color="auto"/>
            </w:tcBorders>
            <w:tcMar>
              <w:top w:w="100" w:type="dxa"/>
              <w:left w:w="100" w:type="dxa"/>
              <w:bottom w:w="100" w:type="dxa"/>
              <w:right w:w="100" w:type="dxa"/>
            </w:tcMar>
            <w:vAlign w:val="center"/>
          </w:tcPr>
          <w:p w14:paraId="32585E4E" w14:textId="5A6A46F6"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3</w:t>
            </w:r>
          </w:p>
        </w:tc>
        <w:tc>
          <w:tcPr>
            <w:tcW w:w="600" w:type="pct"/>
            <w:tcBorders>
              <w:top w:val="single" w:sz="4" w:space="0" w:color="auto"/>
              <w:bottom w:val="single" w:sz="4" w:space="0" w:color="auto"/>
            </w:tcBorders>
            <w:tcMar>
              <w:top w:w="100" w:type="dxa"/>
              <w:left w:w="100" w:type="dxa"/>
              <w:bottom w:w="100" w:type="dxa"/>
              <w:right w:w="100" w:type="dxa"/>
            </w:tcMar>
            <w:vAlign w:val="center"/>
          </w:tcPr>
          <w:p w14:paraId="0326AB15" w14:textId="64A5909F"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4</w:t>
            </w:r>
          </w:p>
        </w:tc>
      </w:tr>
      <w:tr w:rsidR="00852CC1" w:rsidRPr="00DD265D" w14:paraId="1A9FBAC1" w14:textId="77777777" w:rsidTr="008A5AE1">
        <w:trPr>
          <w:trHeight w:val="20"/>
          <w:jc w:val="center"/>
        </w:trPr>
        <w:tc>
          <w:tcPr>
            <w:tcW w:w="1298" w:type="pct"/>
            <w:vMerge w:val="restart"/>
            <w:tcBorders>
              <w:top w:val="single" w:sz="4" w:space="0" w:color="auto"/>
            </w:tcBorders>
            <w:tcMar>
              <w:top w:w="100" w:type="dxa"/>
              <w:left w:w="100" w:type="dxa"/>
              <w:bottom w:w="100" w:type="dxa"/>
              <w:right w:w="100" w:type="dxa"/>
            </w:tcMar>
            <w:vAlign w:val="center"/>
          </w:tcPr>
          <w:p w14:paraId="6724F8A4" w14:textId="77777777" w:rsidR="00852CC1" w:rsidRPr="00DD265D" w:rsidRDefault="00852CC1" w:rsidP="00162298">
            <w:pPr>
              <w:widowControl w:val="0"/>
              <w:pBdr>
                <w:top w:val="nil"/>
                <w:left w:val="nil"/>
                <w:bottom w:val="nil"/>
                <w:right w:val="nil"/>
                <w:between w:val="nil"/>
              </w:pBdr>
              <w:rPr>
                <w:rFonts w:ascii="Arial" w:hAnsi="Arial" w:cs="Arial"/>
              </w:rPr>
            </w:pPr>
            <w:proofErr w:type="spellStart"/>
            <w:r w:rsidRPr="00DD265D">
              <w:rPr>
                <w:rFonts w:ascii="Arial" w:hAnsi="Arial" w:cs="Arial"/>
              </w:rPr>
              <w:t>Gastropoda</w:t>
            </w:r>
            <w:proofErr w:type="spellEnd"/>
          </w:p>
        </w:tc>
        <w:tc>
          <w:tcPr>
            <w:tcW w:w="1611" w:type="pct"/>
            <w:tcBorders>
              <w:top w:val="single" w:sz="4" w:space="0" w:color="auto"/>
            </w:tcBorders>
            <w:tcMar>
              <w:top w:w="100" w:type="dxa"/>
              <w:left w:w="100" w:type="dxa"/>
              <w:bottom w:w="100" w:type="dxa"/>
              <w:right w:w="100" w:type="dxa"/>
            </w:tcMar>
            <w:vAlign w:val="center"/>
          </w:tcPr>
          <w:p w14:paraId="10639DB2" w14:textId="3FE494EF" w:rsidR="00852CC1" w:rsidRPr="00DD265D" w:rsidRDefault="00553FBA" w:rsidP="00162298">
            <w:pPr>
              <w:widowControl w:val="0"/>
              <w:pBdr>
                <w:top w:val="nil"/>
                <w:left w:val="nil"/>
                <w:bottom w:val="nil"/>
                <w:right w:val="nil"/>
                <w:between w:val="nil"/>
              </w:pBdr>
              <w:rPr>
                <w:rFonts w:ascii="Arial" w:hAnsi="Arial" w:cs="Arial"/>
                <w:i/>
              </w:rPr>
            </w:pPr>
            <w:proofErr w:type="spellStart"/>
            <w:r w:rsidRPr="00553FBA">
              <w:rPr>
                <w:rFonts w:ascii="Arial" w:hAnsi="Arial" w:cs="Arial"/>
                <w:i/>
                <w:iCs/>
              </w:rPr>
              <w:t>Pomacea</w:t>
            </w:r>
            <w:proofErr w:type="spellEnd"/>
            <w:r w:rsidR="00852CC1" w:rsidRPr="00DD265D">
              <w:rPr>
                <w:rFonts w:ascii="Arial" w:hAnsi="Arial" w:cs="Arial"/>
                <w:i/>
              </w:rPr>
              <w:t xml:space="preserve"> </w:t>
            </w:r>
            <w:proofErr w:type="spellStart"/>
            <w:r w:rsidR="00852CC1" w:rsidRPr="00DD265D">
              <w:rPr>
                <w:rFonts w:ascii="Arial" w:hAnsi="Arial" w:cs="Arial"/>
                <w:i/>
              </w:rPr>
              <w:t>canaliculata</w:t>
            </w:r>
            <w:proofErr w:type="spellEnd"/>
          </w:p>
        </w:tc>
        <w:tc>
          <w:tcPr>
            <w:tcW w:w="537" w:type="pct"/>
            <w:tcBorders>
              <w:top w:val="single" w:sz="4" w:space="0" w:color="auto"/>
            </w:tcBorders>
            <w:tcMar>
              <w:top w:w="100" w:type="dxa"/>
              <w:left w:w="100" w:type="dxa"/>
              <w:bottom w:w="100" w:type="dxa"/>
              <w:right w:w="100" w:type="dxa"/>
            </w:tcMar>
            <w:vAlign w:val="center"/>
          </w:tcPr>
          <w:p w14:paraId="58A581A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29</w:t>
            </w:r>
          </w:p>
        </w:tc>
        <w:tc>
          <w:tcPr>
            <w:tcW w:w="497" w:type="pct"/>
            <w:tcBorders>
              <w:top w:val="single" w:sz="4" w:space="0" w:color="auto"/>
            </w:tcBorders>
            <w:tcMar>
              <w:top w:w="100" w:type="dxa"/>
              <w:left w:w="100" w:type="dxa"/>
              <w:bottom w:w="100" w:type="dxa"/>
              <w:right w:w="100" w:type="dxa"/>
            </w:tcMar>
            <w:vAlign w:val="center"/>
          </w:tcPr>
          <w:p w14:paraId="606B5175"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57" w:type="pct"/>
            <w:tcBorders>
              <w:top w:val="single" w:sz="4" w:space="0" w:color="auto"/>
            </w:tcBorders>
            <w:tcMar>
              <w:top w:w="100" w:type="dxa"/>
              <w:left w:w="100" w:type="dxa"/>
              <w:bottom w:w="100" w:type="dxa"/>
              <w:right w:w="100" w:type="dxa"/>
            </w:tcMar>
            <w:vAlign w:val="center"/>
          </w:tcPr>
          <w:p w14:paraId="1020F06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600" w:type="pct"/>
            <w:tcBorders>
              <w:top w:val="single" w:sz="4" w:space="0" w:color="auto"/>
            </w:tcBorders>
            <w:tcMar>
              <w:top w:w="100" w:type="dxa"/>
              <w:left w:w="100" w:type="dxa"/>
              <w:bottom w:w="100" w:type="dxa"/>
              <w:right w:w="100" w:type="dxa"/>
            </w:tcMar>
            <w:vAlign w:val="center"/>
          </w:tcPr>
          <w:p w14:paraId="5AB2DB9B"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18</w:t>
            </w:r>
          </w:p>
        </w:tc>
      </w:tr>
      <w:tr w:rsidR="00852CC1" w:rsidRPr="00DD265D" w14:paraId="51AB104D" w14:textId="77777777" w:rsidTr="008A5AE1">
        <w:trPr>
          <w:trHeight w:val="20"/>
          <w:jc w:val="center"/>
        </w:trPr>
        <w:tc>
          <w:tcPr>
            <w:tcW w:w="1298" w:type="pct"/>
            <w:vMerge/>
            <w:tcMar>
              <w:top w:w="100" w:type="dxa"/>
              <w:left w:w="100" w:type="dxa"/>
              <w:bottom w:w="100" w:type="dxa"/>
              <w:right w:w="100" w:type="dxa"/>
            </w:tcMar>
            <w:vAlign w:val="center"/>
          </w:tcPr>
          <w:p w14:paraId="7CCC31BC"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409CFF45" w14:textId="77777777" w:rsidR="00852CC1" w:rsidRPr="00DD265D" w:rsidRDefault="00852CC1" w:rsidP="00162298">
            <w:pPr>
              <w:widowControl w:val="0"/>
              <w:pBdr>
                <w:top w:val="nil"/>
                <w:left w:val="nil"/>
                <w:bottom w:val="nil"/>
                <w:right w:val="nil"/>
                <w:between w:val="nil"/>
              </w:pBdr>
              <w:rPr>
                <w:rFonts w:ascii="Arial" w:hAnsi="Arial" w:cs="Arial"/>
                <w:i/>
              </w:rPr>
            </w:pPr>
            <w:r w:rsidRPr="00DD265D">
              <w:rPr>
                <w:rFonts w:ascii="Arial" w:hAnsi="Arial" w:cs="Arial"/>
                <w:i/>
              </w:rPr>
              <w:t xml:space="preserve">Pila </w:t>
            </w:r>
            <w:proofErr w:type="spellStart"/>
            <w:r w:rsidRPr="00DD265D">
              <w:rPr>
                <w:rFonts w:ascii="Arial" w:hAnsi="Arial" w:cs="Arial"/>
                <w:i/>
              </w:rPr>
              <w:t>ampulacea</w:t>
            </w:r>
            <w:proofErr w:type="spellEnd"/>
          </w:p>
        </w:tc>
        <w:tc>
          <w:tcPr>
            <w:tcW w:w="537" w:type="pct"/>
            <w:tcMar>
              <w:top w:w="100" w:type="dxa"/>
              <w:left w:w="100" w:type="dxa"/>
              <w:bottom w:w="100" w:type="dxa"/>
              <w:right w:w="100" w:type="dxa"/>
            </w:tcMar>
            <w:vAlign w:val="center"/>
          </w:tcPr>
          <w:p w14:paraId="61F9CB36"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5</w:t>
            </w:r>
          </w:p>
        </w:tc>
        <w:tc>
          <w:tcPr>
            <w:tcW w:w="497" w:type="pct"/>
            <w:tcMar>
              <w:top w:w="100" w:type="dxa"/>
              <w:left w:w="100" w:type="dxa"/>
              <w:bottom w:w="100" w:type="dxa"/>
              <w:right w:w="100" w:type="dxa"/>
            </w:tcMar>
            <w:vAlign w:val="center"/>
          </w:tcPr>
          <w:p w14:paraId="46F5CBF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Mar>
              <w:top w:w="100" w:type="dxa"/>
              <w:left w:w="100" w:type="dxa"/>
              <w:bottom w:w="100" w:type="dxa"/>
              <w:right w:w="100" w:type="dxa"/>
            </w:tcMar>
            <w:vAlign w:val="center"/>
          </w:tcPr>
          <w:p w14:paraId="5E9E3AB6"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773F479C"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4ACFDBBC" w14:textId="77777777" w:rsidTr="008A5AE1">
        <w:trPr>
          <w:trHeight w:val="20"/>
          <w:jc w:val="center"/>
        </w:trPr>
        <w:tc>
          <w:tcPr>
            <w:tcW w:w="1298" w:type="pct"/>
            <w:vMerge/>
            <w:tcMar>
              <w:top w:w="100" w:type="dxa"/>
              <w:left w:w="100" w:type="dxa"/>
              <w:bottom w:w="100" w:type="dxa"/>
              <w:right w:w="100" w:type="dxa"/>
            </w:tcMar>
            <w:vAlign w:val="center"/>
          </w:tcPr>
          <w:p w14:paraId="2A9D31B7"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6B8907DA"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Filopaludina</w:t>
            </w:r>
            <w:proofErr w:type="spellEnd"/>
            <w:r w:rsidRPr="00DD265D">
              <w:rPr>
                <w:rFonts w:ascii="Arial" w:hAnsi="Arial" w:cs="Arial"/>
                <w:i/>
              </w:rPr>
              <w:t xml:space="preserve"> </w:t>
            </w:r>
            <w:proofErr w:type="spellStart"/>
            <w:r w:rsidRPr="00DD265D">
              <w:rPr>
                <w:rFonts w:ascii="Arial" w:hAnsi="Arial" w:cs="Arial"/>
                <w:i/>
              </w:rPr>
              <w:t>javanica</w:t>
            </w:r>
            <w:proofErr w:type="spellEnd"/>
          </w:p>
        </w:tc>
        <w:tc>
          <w:tcPr>
            <w:tcW w:w="537" w:type="pct"/>
            <w:tcMar>
              <w:top w:w="100" w:type="dxa"/>
              <w:left w:w="100" w:type="dxa"/>
              <w:bottom w:w="100" w:type="dxa"/>
              <w:right w:w="100" w:type="dxa"/>
            </w:tcMar>
            <w:vAlign w:val="center"/>
          </w:tcPr>
          <w:p w14:paraId="02FF364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c>
          <w:tcPr>
            <w:tcW w:w="497" w:type="pct"/>
            <w:tcMar>
              <w:top w:w="100" w:type="dxa"/>
              <w:left w:w="100" w:type="dxa"/>
              <w:bottom w:w="100" w:type="dxa"/>
              <w:right w:w="100" w:type="dxa"/>
            </w:tcMar>
            <w:vAlign w:val="center"/>
          </w:tcPr>
          <w:p w14:paraId="13D0F91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Mar>
              <w:top w:w="100" w:type="dxa"/>
              <w:left w:w="100" w:type="dxa"/>
              <w:bottom w:w="100" w:type="dxa"/>
              <w:right w:w="100" w:type="dxa"/>
            </w:tcMar>
            <w:vAlign w:val="center"/>
          </w:tcPr>
          <w:p w14:paraId="52EF9D0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9</w:t>
            </w:r>
          </w:p>
        </w:tc>
        <w:tc>
          <w:tcPr>
            <w:tcW w:w="600" w:type="pct"/>
            <w:tcMar>
              <w:top w:w="100" w:type="dxa"/>
              <w:left w:w="100" w:type="dxa"/>
              <w:bottom w:w="100" w:type="dxa"/>
              <w:right w:w="100" w:type="dxa"/>
            </w:tcMar>
            <w:vAlign w:val="center"/>
          </w:tcPr>
          <w:p w14:paraId="4D68DC1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r>
      <w:tr w:rsidR="00852CC1" w:rsidRPr="00DD265D" w14:paraId="07CCAC7A" w14:textId="77777777" w:rsidTr="008A5AE1">
        <w:trPr>
          <w:trHeight w:val="20"/>
          <w:jc w:val="center"/>
        </w:trPr>
        <w:tc>
          <w:tcPr>
            <w:tcW w:w="1298" w:type="pct"/>
            <w:vMerge/>
            <w:tcMar>
              <w:top w:w="100" w:type="dxa"/>
              <w:left w:w="100" w:type="dxa"/>
              <w:bottom w:w="100" w:type="dxa"/>
              <w:right w:w="100" w:type="dxa"/>
            </w:tcMar>
            <w:vAlign w:val="center"/>
          </w:tcPr>
          <w:p w14:paraId="232D876D"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24B1290E"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Lymnaeidae</w:t>
            </w:r>
            <w:proofErr w:type="spellEnd"/>
            <w:r w:rsidRPr="00DD265D">
              <w:rPr>
                <w:rFonts w:ascii="Arial" w:hAnsi="Arial" w:cs="Arial"/>
                <w:i/>
              </w:rPr>
              <w:t xml:space="preserve"> </w:t>
            </w:r>
            <w:proofErr w:type="spellStart"/>
            <w:r w:rsidRPr="00DD265D">
              <w:rPr>
                <w:rFonts w:ascii="Arial" w:hAnsi="Arial" w:cs="Arial"/>
                <w:i/>
              </w:rPr>
              <w:t>rubingosa</w:t>
            </w:r>
            <w:proofErr w:type="spellEnd"/>
          </w:p>
        </w:tc>
        <w:tc>
          <w:tcPr>
            <w:tcW w:w="537" w:type="pct"/>
            <w:tcMar>
              <w:top w:w="100" w:type="dxa"/>
              <w:left w:w="100" w:type="dxa"/>
              <w:bottom w:w="100" w:type="dxa"/>
              <w:right w:w="100" w:type="dxa"/>
            </w:tcMar>
            <w:vAlign w:val="center"/>
          </w:tcPr>
          <w:p w14:paraId="3B80CA5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c>
          <w:tcPr>
            <w:tcW w:w="497" w:type="pct"/>
            <w:tcMar>
              <w:top w:w="100" w:type="dxa"/>
              <w:left w:w="100" w:type="dxa"/>
              <w:bottom w:w="100" w:type="dxa"/>
              <w:right w:w="100" w:type="dxa"/>
            </w:tcMar>
            <w:vAlign w:val="center"/>
          </w:tcPr>
          <w:p w14:paraId="56E0282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Mar>
              <w:top w:w="100" w:type="dxa"/>
              <w:left w:w="100" w:type="dxa"/>
              <w:bottom w:w="100" w:type="dxa"/>
              <w:right w:w="100" w:type="dxa"/>
            </w:tcMar>
            <w:vAlign w:val="center"/>
          </w:tcPr>
          <w:p w14:paraId="707230BE"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67C4E687"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4ED3BE1A" w14:textId="77777777" w:rsidTr="008A5AE1">
        <w:trPr>
          <w:trHeight w:val="20"/>
          <w:jc w:val="center"/>
        </w:trPr>
        <w:tc>
          <w:tcPr>
            <w:tcW w:w="1298" w:type="pct"/>
            <w:vMerge/>
            <w:tcMar>
              <w:top w:w="100" w:type="dxa"/>
              <w:left w:w="100" w:type="dxa"/>
              <w:bottom w:w="100" w:type="dxa"/>
              <w:right w:w="100" w:type="dxa"/>
            </w:tcMar>
            <w:vAlign w:val="center"/>
          </w:tcPr>
          <w:p w14:paraId="52017938"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1D943C54"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Melanoides</w:t>
            </w:r>
            <w:proofErr w:type="spellEnd"/>
            <w:r w:rsidRPr="00DD265D">
              <w:rPr>
                <w:rFonts w:ascii="Arial" w:hAnsi="Arial" w:cs="Arial"/>
                <w:i/>
              </w:rPr>
              <w:t xml:space="preserve"> </w:t>
            </w:r>
            <w:proofErr w:type="spellStart"/>
            <w:r w:rsidRPr="00DD265D">
              <w:rPr>
                <w:rFonts w:ascii="Arial" w:hAnsi="Arial" w:cs="Arial"/>
                <w:i/>
              </w:rPr>
              <w:t>tuberculata</w:t>
            </w:r>
            <w:proofErr w:type="spellEnd"/>
          </w:p>
        </w:tc>
        <w:tc>
          <w:tcPr>
            <w:tcW w:w="537" w:type="pct"/>
            <w:tcMar>
              <w:top w:w="100" w:type="dxa"/>
              <w:left w:w="100" w:type="dxa"/>
              <w:bottom w:w="100" w:type="dxa"/>
              <w:right w:w="100" w:type="dxa"/>
            </w:tcMar>
            <w:vAlign w:val="center"/>
          </w:tcPr>
          <w:p w14:paraId="5ADB13F8"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Mar>
              <w:top w:w="100" w:type="dxa"/>
              <w:left w:w="100" w:type="dxa"/>
              <w:bottom w:w="100" w:type="dxa"/>
              <w:right w:w="100" w:type="dxa"/>
            </w:tcMar>
            <w:vAlign w:val="center"/>
          </w:tcPr>
          <w:p w14:paraId="2199E67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3</w:t>
            </w:r>
          </w:p>
        </w:tc>
        <w:tc>
          <w:tcPr>
            <w:tcW w:w="457" w:type="pct"/>
            <w:tcMar>
              <w:top w:w="100" w:type="dxa"/>
              <w:left w:w="100" w:type="dxa"/>
              <w:bottom w:w="100" w:type="dxa"/>
              <w:right w:w="100" w:type="dxa"/>
            </w:tcMar>
            <w:vAlign w:val="center"/>
          </w:tcPr>
          <w:p w14:paraId="282A2C4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74F0A415"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65A4A77E" w14:textId="77777777" w:rsidTr="008A5AE1">
        <w:trPr>
          <w:trHeight w:val="20"/>
          <w:jc w:val="center"/>
        </w:trPr>
        <w:tc>
          <w:tcPr>
            <w:tcW w:w="1298" w:type="pct"/>
            <w:vMerge/>
            <w:tcMar>
              <w:top w:w="100" w:type="dxa"/>
              <w:left w:w="100" w:type="dxa"/>
              <w:bottom w:w="100" w:type="dxa"/>
              <w:right w:w="100" w:type="dxa"/>
            </w:tcMar>
            <w:vAlign w:val="center"/>
          </w:tcPr>
          <w:p w14:paraId="2C30CAAE"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66DC49E1"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Tarebia</w:t>
            </w:r>
            <w:proofErr w:type="spellEnd"/>
            <w:r w:rsidRPr="00DD265D">
              <w:rPr>
                <w:rFonts w:ascii="Arial" w:hAnsi="Arial" w:cs="Arial"/>
                <w:i/>
              </w:rPr>
              <w:t xml:space="preserve"> </w:t>
            </w:r>
            <w:proofErr w:type="spellStart"/>
            <w:r w:rsidRPr="00DD265D">
              <w:rPr>
                <w:rFonts w:ascii="Arial" w:hAnsi="Arial" w:cs="Arial"/>
                <w:i/>
              </w:rPr>
              <w:t>granifera</w:t>
            </w:r>
            <w:proofErr w:type="spellEnd"/>
          </w:p>
        </w:tc>
        <w:tc>
          <w:tcPr>
            <w:tcW w:w="537" w:type="pct"/>
            <w:tcMar>
              <w:top w:w="100" w:type="dxa"/>
              <w:left w:w="100" w:type="dxa"/>
              <w:bottom w:w="100" w:type="dxa"/>
              <w:right w:w="100" w:type="dxa"/>
            </w:tcMar>
            <w:vAlign w:val="center"/>
          </w:tcPr>
          <w:p w14:paraId="2C0B205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97" w:type="pct"/>
            <w:tcMar>
              <w:top w:w="100" w:type="dxa"/>
              <w:left w:w="100" w:type="dxa"/>
              <w:bottom w:w="100" w:type="dxa"/>
              <w:right w:w="100" w:type="dxa"/>
            </w:tcMar>
            <w:vAlign w:val="center"/>
          </w:tcPr>
          <w:p w14:paraId="41E3ACA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6</w:t>
            </w:r>
          </w:p>
        </w:tc>
        <w:tc>
          <w:tcPr>
            <w:tcW w:w="457" w:type="pct"/>
            <w:tcMar>
              <w:top w:w="100" w:type="dxa"/>
              <w:left w:w="100" w:type="dxa"/>
              <w:bottom w:w="100" w:type="dxa"/>
              <w:right w:w="100" w:type="dxa"/>
            </w:tcMar>
            <w:vAlign w:val="center"/>
          </w:tcPr>
          <w:p w14:paraId="566250D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14C506DA"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4</w:t>
            </w:r>
          </w:p>
        </w:tc>
      </w:tr>
      <w:tr w:rsidR="00852CC1" w:rsidRPr="00DD265D" w14:paraId="34F24923" w14:textId="77777777" w:rsidTr="008A5AE1">
        <w:trPr>
          <w:trHeight w:val="20"/>
          <w:jc w:val="center"/>
        </w:trPr>
        <w:tc>
          <w:tcPr>
            <w:tcW w:w="1298" w:type="pct"/>
            <w:vMerge/>
            <w:tcBorders>
              <w:bottom w:val="single" w:sz="4" w:space="0" w:color="auto"/>
            </w:tcBorders>
            <w:tcMar>
              <w:top w:w="100" w:type="dxa"/>
              <w:left w:w="100" w:type="dxa"/>
              <w:bottom w:w="100" w:type="dxa"/>
              <w:right w:w="100" w:type="dxa"/>
            </w:tcMar>
            <w:vAlign w:val="center"/>
          </w:tcPr>
          <w:p w14:paraId="78BA85DB"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Borders>
              <w:bottom w:val="single" w:sz="4" w:space="0" w:color="auto"/>
            </w:tcBorders>
            <w:tcMar>
              <w:top w:w="100" w:type="dxa"/>
              <w:left w:w="100" w:type="dxa"/>
              <w:bottom w:w="100" w:type="dxa"/>
              <w:right w:w="100" w:type="dxa"/>
            </w:tcMar>
            <w:vAlign w:val="center"/>
          </w:tcPr>
          <w:p w14:paraId="26AE10C8"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Melanoides</w:t>
            </w:r>
            <w:proofErr w:type="spellEnd"/>
            <w:r w:rsidRPr="00DD265D">
              <w:rPr>
                <w:rFonts w:ascii="Arial" w:hAnsi="Arial" w:cs="Arial"/>
                <w:i/>
              </w:rPr>
              <w:t xml:space="preserve"> </w:t>
            </w:r>
            <w:proofErr w:type="spellStart"/>
            <w:r w:rsidRPr="00DD265D">
              <w:rPr>
                <w:rFonts w:ascii="Arial" w:hAnsi="Arial" w:cs="Arial"/>
                <w:i/>
              </w:rPr>
              <w:t>plicaria</w:t>
            </w:r>
            <w:proofErr w:type="spellEnd"/>
          </w:p>
        </w:tc>
        <w:tc>
          <w:tcPr>
            <w:tcW w:w="537" w:type="pct"/>
            <w:tcBorders>
              <w:bottom w:val="single" w:sz="4" w:space="0" w:color="auto"/>
            </w:tcBorders>
            <w:tcMar>
              <w:top w:w="100" w:type="dxa"/>
              <w:left w:w="100" w:type="dxa"/>
              <w:bottom w:w="100" w:type="dxa"/>
              <w:right w:w="100" w:type="dxa"/>
            </w:tcMar>
            <w:vAlign w:val="center"/>
          </w:tcPr>
          <w:p w14:paraId="7EC6839F"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Borders>
              <w:bottom w:val="single" w:sz="4" w:space="0" w:color="auto"/>
            </w:tcBorders>
            <w:tcMar>
              <w:top w:w="100" w:type="dxa"/>
              <w:left w:w="100" w:type="dxa"/>
              <w:bottom w:w="100" w:type="dxa"/>
              <w:right w:w="100" w:type="dxa"/>
            </w:tcMar>
            <w:vAlign w:val="center"/>
          </w:tcPr>
          <w:p w14:paraId="20B46918"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3</w:t>
            </w:r>
          </w:p>
        </w:tc>
        <w:tc>
          <w:tcPr>
            <w:tcW w:w="457" w:type="pct"/>
            <w:tcBorders>
              <w:bottom w:val="single" w:sz="4" w:space="0" w:color="auto"/>
            </w:tcBorders>
            <w:tcMar>
              <w:top w:w="100" w:type="dxa"/>
              <w:left w:w="100" w:type="dxa"/>
              <w:bottom w:w="100" w:type="dxa"/>
              <w:right w:w="100" w:type="dxa"/>
            </w:tcMar>
            <w:vAlign w:val="center"/>
          </w:tcPr>
          <w:p w14:paraId="44307AC9"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bottom w:val="single" w:sz="4" w:space="0" w:color="auto"/>
            </w:tcBorders>
            <w:tcMar>
              <w:top w:w="100" w:type="dxa"/>
              <w:left w:w="100" w:type="dxa"/>
              <w:bottom w:w="100" w:type="dxa"/>
              <w:right w:w="100" w:type="dxa"/>
            </w:tcMar>
            <w:vAlign w:val="center"/>
          </w:tcPr>
          <w:p w14:paraId="12E34C49"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r>
      <w:tr w:rsidR="00852CC1" w:rsidRPr="00DD265D" w14:paraId="0F8786F2" w14:textId="77777777" w:rsidTr="008A5AE1">
        <w:trPr>
          <w:trHeight w:val="20"/>
          <w:jc w:val="center"/>
        </w:trPr>
        <w:tc>
          <w:tcPr>
            <w:tcW w:w="1298" w:type="pct"/>
            <w:vMerge w:val="restart"/>
            <w:tcBorders>
              <w:top w:val="single" w:sz="4" w:space="0" w:color="auto"/>
            </w:tcBorders>
            <w:tcMar>
              <w:top w:w="100" w:type="dxa"/>
              <w:left w:w="100" w:type="dxa"/>
              <w:bottom w:w="100" w:type="dxa"/>
              <w:right w:w="100" w:type="dxa"/>
            </w:tcMar>
            <w:vAlign w:val="center"/>
          </w:tcPr>
          <w:p w14:paraId="4DEC9B88" w14:textId="77777777" w:rsidR="00852CC1" w:rsidRPr="00DD265D" w:rsidRDefault="00852CC1" w:rsidP="00162298">
            <w:pPr>
              <w:widowControl w:val="0"/>
              <w:pBdr>
                <w:top w:val="nil"/>
                <w:left w:val="nil"/>
                <w:bottom w:val="nil"/>
                <w:right w:val="nil"/>
                <w:between w:val="nil"/>
              </w:pBdr>
              <w:rPr>
                <w:rFonts w:ascii="Arial" w:hAnsi="Arial" w:cs="Arial"/>
              </w:rPr>
            </w:pPr>
            <w:r w:rsidRPr="00DD265D">
              <w:rPr>
                <w:rFonts w:ascii="Arial" w:hAnsi="Arial" w:cs="Arial"/>
              </w:rPr>
              <w:t>Bivalvia</w:t>
            </w:r>
          </w:p>
        </w:tc>
        <w:tc>
          <w:tcPr>
            <w:tcW w:w="1611" w:type="pct"/>
            <w:tcBorders>
              <w:top w:val="single" w:sz="4" w:space="0" w:color="auto"/>
            </w:tcBorders>
            <w:tcMar>
              <w:top w:w="100" w:type="dxa"/>
              <w:left w:w="100" w:type="dxa"/>
              <w:bottom w:w="100" w:type="dxa"/>
              <w:right w:w="100" w:type="dxa"/>
            </w:tcMar>
            <w:vAlign w:val="center"/>
          </w:tcPr>
          <w:p w14:paraId="091785C1"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Sinanodonta</w:t>
            </w:r>
            <w:proofErr w:type="spellEnd"/>
            <w:r w:rsidRPr="00DD265D">
              <w:rPr>
                <w:rFonts w:ascii="Arial" w:hAnsi="Arial" w:cs="Arial"/>
                <w:i/>
              </w:rPr>
              <w:t xml:space="preserve"> </w:t>
            </w:r>
            <w:proofErr w:type="spellStart"/>
            <w:r w:rsidRPr="00DD265D">
              <w:rPr>
                <w:rFonts w:ascii="Arial" w:hAnsi="Arial" w:cs="Arial"/>
                <w:i/>
              </w:rPr>
              <w:t>woodiana</w:t>
            </w:r>
            <w:proofErr w:type="spellEnd"/>
          </w:p>
        </w:tc>
        <w:tc>
          <w:tcPr>
            <w:tcW w:w="537" w:type="pct"/>
            <w:tcBorders>
              <w:top w:val="single" w:sz="4" w:space="0" w:color="auto"/>
            </w:tcBorders>
            <w:tcMar>
              <w:top w:w="100" w:type="dxa"/>
              <w:left w:w="100" w:type="dxa"/>
              <w:bottom w:w="100" w:type="dxa"/>
              <w:right w:w="100" w:type="dxa"/>
            </w:tcMar>
            <w:vAlign w:val="center"/>
          </w:tcPr>
          <w:p w14:paraId="6672EC51"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Borders>
              <w:top w:val="single" w:sz="4" w:space="0" w:color="auto"/>
            </w:tcBorders>
            <w:tcMar>
              <w:top w:w="100" w:type="dxa"/>
              <w:left w:w="100" w:type="dxa"/>
              <w:bottom w:w="100" w:type="dxa"/>
              <w:right w:w="100" w:type="dxa"/>
            </w:tcMar>
            <w:vAlign w:val="center"/>
          </w:tcPr>
          <w:p w14:paraId="61E0C9E6"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57" w:type="pct"/>
            <w:tcBorders>
              <w:top w:val="single" w:sz="4" w:space="0" w:color="auto"/>
            </w:tcBorders>
            <w:tcMar>
              <w:top w:w="100" w:type="dxa"/>
              <w:left w:w="100" w:type="dxa"/>
              <w:bottom w:w="100" w:type="dxa"/>
              <w:right w:w="100" w:type="dxa"/>
            </w:tcMar>
            <w:vAlign w:val="center"/>
          </w:tcPr>
          <w:p w14:paraId="07AE5AAB"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top w:val="single" w:sz="4" w:space="0" w:color="auto"/>
            </w:tcBorders>
            <w:tcMar>
              <w:top w:w="100" w:type="dxa"/>
              <w:left w:w="100" w:type="dxa"/>
              <w:bottom w:w="100" w:type="dxa"/>
              <w:right w:w="100" w:type="dxa"/>
            </w:tcMar>
            <w:vAlign w:val="center"/>
          </w:tcPr>
          <w:p w14:paraId="46D90AFE"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5E24BD2F" w14:textId="77777777" w:rsidTr="008A5AE1">
        <w:trPr>
          <w:trHeight w:val="20"/>
          <w:jc w:val="center"/>
        </w:trPr>
        <w:tc>
          <w:tcPr>
            <w:tcW w:w="1298" w:type="pct"/>
            <w:vMerge/>
            <w:tcBorders>
              <w:bottom w:val="single" w:sz="4" w:space="0" w:color="auto"/>
            </w:tcBorders>
            <w:tcMar>
              <w:top w:w="100" w:type="dxa"/>
              <w:left w:w="100" w:type="dxa"/>
              <w:bottom w:w="100" w:type="dxa"/>
              <w:right w:w="100" w:type="dxa"/>
            </w:tcMar>
            <w:vAlign w:val="center"/>
          </w:tcPr>
          <w:p w14:paraId="5D50AF21"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Borders>
              <w:bottom w:val="single" w:sz="4" w:space="0" w:color="auto"/>
            </w:tcBorders>
            <w:tcMar>
              <w:top w:w="100" w:type="dxa"/>
              <w:left w:w="100" w:type="dxa"/>
              <w:bottom w:w="100" w:type="dxa"/>
              <w:right w:w="100" w:type="dxa"/>
            </w:tcMar>
            <w:vAlign w:val="center"/>
          </w:tcPr>
          <w:p w14:paraId="7B5B6E2F" w14:textId="77777777" w:rsidR="00852CC1" w:rsidRPr="00DD265D" w:rsidRDefault="00852CC1" w:rsidP="00162298">
            <w:pPr>
              <w:widowControl w:val="0"/>
              <w:pBdr>
                <w:top w:val="nil"/>
                <w:left w:val="nil"/>
                <w:bottom w:val="nil"/>
                <w:right w:val="nil"/>
                <w:between w:val="nil"/>
              </w:pBdr>
              <w:rPr>
                <w:rFonts w:ascii="Arial" w:hAnsi="Arial" w:cs="Arial"/>
                <w:i/>
              </w:rPr>
            </w:pPr>
            <w:r w:rsidRPr="00DD265D">
              <w:rPr>
                <w:rFonts w:ascii="Arial" w:hAnsi="Arial" w:cs="Arial"/>
                <w:i/>
              </w:rPr>
              <w:t>Corbicula javanica</w:t>
            </w:r>
          </w:p>
        </w:tc>
        <w:tc>
          <w:tcPr>
            <w:tcW w:w="537" w:type="pct"/>
            <w:tcBorders>
              <w:bottom w:val="single" w:sz="4" w:space="0" w:color="auto"/>
            </w:tcBorders>
            <w:tcMar>
              <w:top w:w="100" w:type="dxa"/>
              <w:left w:w="100" w:type="dxa"/>
              <w:bottom w:w="100" w:type="dxa"/>
              <w:right w:w="100" w:type="dxa"/>
            </w:tcMar>
            <w:vAlign w:val="center"/>
          </w:tcPr>
          <w:p w14:paraId="7D9F022C"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Borders>
              <w:bottom w:val="single" w:sz="4" w:space="0" w:color="auto"/>
            </w:tcBorders>
            <w:tcMar>
              <w:top w:w="100" w:type="dxa"/>
              <w:left w:w="100" w:type="dxa"/>
              <w:bottom w:w="100" w:type="dxa"/>
              <w:right w:w="100" w:type="dxa"/>
            </w:tcMar>
            <w:vAlign w:val="center"/>
          </w:tcPr>
          <w:p w14:paraId="582350F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57" w:type="pct"/>
            <w:tcBorders>
              <w:bottom w:val="single" w:sz="4" w:space="0" w:color="auto"/>
            </w:tcBorders>
            <w:tcMar>
              <w:top w:w="100" w:type="dxa"/>
              <w:left w:w="100" w:type="dxa"/>
              <w:bottom w:w="100" w:type="dxa"/>
              <w:right w:w="100" w:type="dxa"/>
            </w:tcMar>
            <w:vAlign w:val="center"/>
          </w:tcPr>
          <w:p w14:paraId="5DE6CF41"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bottom w:val="single" w:sz="4" w:space="0" w:color="auto"/>
            </w:tcBorders>
            <w:tcMar>
              <w:top w:w="100" w:type="dxa"/>
              <w:left w:w="100" w:type="dxa"/>
              <w:bottom w:w="100" w:type="dxa"/>
              <w:right w:w="100" w:type="dxa"/>
            </w:tcMar>
            <w:vAlign w:val="center"/>
          </w:tcPr>
          <w:p w14:paraId="7AA9C62E"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43F14726" w14:textId="77777777" w:rsidTr="008A5AE1">
        <w:trPr>
          <w:trHeight w:val="20"/>
          <w:jc w:val="center"/>
        </w:trPr>
        <w:tc>
          <w:tcPr>
            <w:tcW w:w="1298" w:type="pct"/>
            <w:tcBorders>
              <w:top w:val="single" w:sz="4" w:space="0" w:color="auto"/>
              <w:bottom w:val="single" w:sz="4" w:space="0" w:color="auto"/>
            </w:tcBorders>
            <w:tcMar>
              <w:top w:w="100" w:type="dxa"/>
              <w:left w:w="100" w:type="dxa"/>
              <w:bottom w:w="100" w:type="dxa"/>
              <w:right w:w="100" w:type="dxa"/>
            </w:tcMar>
            <w:vAlign w:val="center"/>
          </w:tcPr>
          <w:p w14:paraId="427A9242" w14:textId="77777777" w:rsidR="00852CC1" w:rsidRPr="00DD265D" w:rsidRDefault="00852CC1" w:rsidP="00162298">
            <w:pPr>
              <w:widowControl w:val="0"/>
              <w:pBdr>
                <w:top w:val="nil"/>
                <w:left w:val="nil"/>
                <w:bottom w:val="nil"/>
                <w:right w:val="nil"/>
                <w:between w:val="nil"/>
              </w:pBdr>
              <w:rPr>
                <w:rFonts w:ascii="Arial" w:hAnsi="Arial" w:cs="Arial"/>
              </w:rPr>
            </w:pPr>
            <w:r w:rsidRPr="00DD265D">
              <w:rPr>
                <w:rFonts w:ascii="Arial" w:hAnsi="Arial" w:cs="Arial"/>
              </w:rPr>
              <w:t>Malacostraca</w:t>
            </w:r>
          </w:p>
        </w:tc>
        <w:tc>
          <w:tcPr>
            <w:tcW w:w="1611" w:type="pct"/>
            <w:tcBorders>
              <w:top w:val="single" w:sz="4" w:space="0" w:color="auto"/>
              <w:bottom w:val="single" w:sz="4" w:space="0" w:color="auto"/>
            </w:tcBorders>
            <w:tcMar>
              <w:top w:w="100" w:type="dxa"/>
              <w:left w:w="100" w:type="dxa"/>
              <w:bottom w:w="100" w:type="dxa"/>
              <w:right w:w="100" w:type="dxa"/>
            </w:tcMar>
            <w:vAlign w:val="center"/>
          </w:tcPr>
          <w:p w14:paraId="7349D42D"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Palaemon</w:t>
            </w:r>
            <w:proofErr w:type="spellEnd"/>
            <w:r w:rsidRPr="00DD265D">
              <w:rPr>
                <w:rFonts w:ascii="Arial" w:hAnsi="Arial" w:cs="Arial"/>
                <w:i/>
              </w:rPr>
              <w:t xml:space="preserve"> </w:t>
            </w:r>
            <w:proofErr w:type="spellStart"/>
            <w:r w:rsidRPr="00DD265D">
              <w:rPr>
                <w:rFonts w:ascii="Arial" w:hAnsi="Arial" w:cs="Arial"/>
                <w:i/>
              </w:rPr>
              <w:t>macrodactylus</w:t>
            </w:r>
            <w:proofErr w:type="spellEnd"/>
          </w:p>
        </w:tc>
        <w:tc>
          <w:tcPr>
            <w:tcW w:w="537" w:type="pct"/>
            <w:tcBorders>
              <w:top w:val="single" w:sz="4" w:space="0" w:color="auto"/>
              <w:bottom w:val="single" w:sz="4" w:space="0" w:color="auto"/>
            </w:tcBorders>
            <w:tcMar>
              <w:top w:w="100" w:type="dxa"/>
              <w:left w:w="100" w:type="dxa"/>
              <w:bottom w:w="100" w:type="dxa"/>
              <w:right w:w="100" w:type="dxa"/>
            </w:tcMar>
            <w:vAlign w:val="center"/>
          </w:tcPr>
          <w:p w14:paraId="725DB94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97" w:type="pct"/>
            <w:tcBorders>
              <w:top w:val="single" w:sz="4" w:space="0" w:color="auto"/>
              <w:bottom w:val="single" w:sz="4" w:space="0" w:color="auto"/>
            </w:tcBorders>
            <w:tcMar>
              <w:top w:w="100" w:type="dxa"/>
              <w:left w:w="100" w:type="dxa"/>
              <w:bottom w:w="100" w:type="dxa"/>
              <w:right w:w="100" w:type="dxa"/>
            </w:tcMar>
            <w:vAlign w:val="center"/>
          </w:tcPr>
          <w:p w14:paraId="1098FD0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Borders>
              <w:top w:val="single" w:sz="4" w:space="0" w:color="auto"/>
              <w:bottom w:val="single" w:sz="4" w:space="0" w:color="auto"/>
            </w:tcBorders>
            <w:tcMar>
              <w:top w:w="100" w:type="dxa"/>
              <w:left w:w="100" w:type="dxa"/>
              <w:bottom w:w="100" w:type="dxa"/>
              <w:right w:w="100" w:type="dxa"/>
            </w:tcMar>
            <w:vAlign w:val="center"/>
          </w:tcPr>
          <w:p w14:paraId="582EFC15"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top w:val="single" w:sz="4" w:space="0" w:color="auto"/>
              <w:bottom w:val="single" w:sz="4" w:space="0" w:color="auto"/>
            </w:tcBorders>
            <w:tcMar>
              <w:top w:w="100" w:type="dxa"/>
              <w:left w:w="100" w:type="dxa"/>
              <w:bottom w:w="100" w:type="dxa"/>
              <w:right w:w="100" w:type="dxa"/>
            </w:tcMar>
            <w:vAlign w:val="center"/>
          </w:tcPr>
          <w:p w14:paraId="1D89A0FA"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20E323C8" w14:textId="77777777" w:rsidTr="008A5AE1">
        <w:trPr>
          <w:trHeight w:val="20"/>
          <w:jc w:val="center"/>
        </w:trPr>
        <w:tc>
          <w:tcPr>
            <w:tcW w:w="2909" w:type="pct"/>
            <w:gridSpan w:val="2"/>
            <w:tcBorders>
              <w:top w:val="single" w:sz="4" w:space="0" w:color="auto"/>
              <w:bottom w:val="single" w:sz="4" w:space="0" w:color="auto"/>
            </w:tcBorders>
            <w:tcMar>
              <w:top w:w="100" w:type="dxa"/>
              <w:left w:w="100" w:type="dxa"/>
              <w:bottom w:w="100" w:type="dxa"/>
              <w:right w:w="100" w:type="dxa"/>
            </w:tcMar>
            <w:vAlign w:val="center"/>
          </w:tcPr>
          <w:p w14:paraId="4BF53AEA" w14:textId="6B6421B6"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 xml:space="preserve">Total </w:t>
            </w:r>
            <w:proofErr w:type="spellStart"/>
            <w:r w:rsidRPr="00DD265D">
              <w:rPr>
                <w:rFonts w:ascii="Arial" w:hAnsi="Arial" w:cs="Arial"/>
                <w:b/>
                <w:bCs/>
              </w:rPr>
              <w:t>Ma</w:t>
            </w:r>
            <w:r w:rsidR="00DD265D">
              <w:rPr>
                <w:rFonts w:ascii="Arial" w:hAnsi="Arial" w:cs="Arial"/>
                <w:b/>
                <w:bCs/>
              </w:rPr>
              <w:t>c</w:t>
            </w:r>
            <w:r w:rsidRPr="00DD265D">
              <w:rPr>
                <w:rFonts w:ascii="Arial" w:hAnsi="Arial" w:cs="Arial"/>
                <w:b/>
                <w:bCs/>
              </w:rPr>
              <w:t>rozoobent</w:t>
            </w:r>
            <w:r w:rsidR="00DD265D">
              <w:rPr>
                <w:rFonts w:ascii="Arial" w:hAnsi="Arial" w:cs="Arial"/>
                <w:b/>
                <w:bCs/>
              </w:rPr>
              <w:t>h</w:t>
            </w:r>
            <w:r w:rsidRPr="00DD265D">
              <w:rPr>
                <w:rFonts w:ascii="Arial" w:hAnsi="Arial" w:cs="Arial"/>
                <w:b/>
                <w:bCs/>
              </w:rPr>
              <w:t>os</w:t>
            </w:r>
            <w:proofErr w:type="spellEnd"/>
          </w:p>
        </w:tc>
        <w:tc>
          <w:tcPr>
            <w:tcW w:w="537" w:type="pct"/>
            <w:tcBorders>
              <w:top w:val="single" w:sz="4" w:space="0" w:color="auto"/>
              <w:bottom w:val="single" w:sz="4" w:space="0" w:color="auto"/>
            </w:tcBorders>
            <w:tcMar>
              <w:top w:w="100" w:type="dxa"/>
              <w:left w:w="100" w:type="dxa"/>
              <w:bottom w:w="100" w:type="dxa"/>
              <w:right w:w="100" w:type="dxa"/>
            </w:tcMar>
            <w:vAlign w:val="center"/>
          </w:tcPr>
          <w:p w14:paraId="19E20731" w14:textId="60710C59"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4</w:t>
            </w:r>
            <w:r w:rsidR="008A5AE1">
              <w:rPr>
                <w:rFonts w:ascii="Arial" w:hAnsi="Arial" w:cs="Arial"/>
                <w:b/>
                <w:bCs/>
              </w:rPr>
              <w:t>0</w:t>
            </w:r>
          </w:p>
        </w:tc>
        <w:tc>
          <w:tcPr>
            <w:tcW w:w="497" w:type="pct"/>
            <w:tcBorders>
              <w:top w:val="single" w:sz="4" w:space="0" w:color="auto"/>
              <w:bottom w:val="single" w:sz="4" w:space="0" w:color="auto"/>
            </w:tcBorders>
            <w:tcMar>
              <w:top w:w="100" w:type="dxa"/>
              <w:left w:w="100" w:type="dxa"/>
              <w:bottom w:w="100" w:type="dxa"/>
              <w:right w:w="100" w:type="dxa"/>
            </w:tcMar>
            <w:vAlign w:val="center"/>
          </w:tcPr>
          <w:p w14:paraId="0F3A90A9" w14:textId="77777777"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15</w:t>
            </w:r>
          </w:p>
        </w:tc>
        <w:tc>
          <w:tcPr>
            <w:tcW w:w="457" w:type="pct"/>
            <w:tcBorders>
              <w:top w:val="single" w:sz="4" w:space="0" w:color="auto"/>
              <w:bottom w:val="single" w:sz="4" w:space="0" w:color="auto"/>
            </w:tcBorders>
            <w:tcMar>
              <w:top w:w="100" w:type="dxa"/>
              <w:left w:w="100" w:type="dxa"/>
              <w:bottom w:w="100" w:type="dxa"/>
              <w:right w:w="100" w:type="dxa"/>
            </w:tcMar>
            <w:vAlign w:val="center"/>
          </w:tcPr>
          <w:p w14:paraId="54CC5D2A" w14:textId="77777777"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10</w:t>
            </w:r>
          </w:p>
        </w:tc>
        <w:tc>
          <w:tcPr>
            <w:tcW w:w="600" w:type="pct"/>
            <w:tcBorders>
              <w:top w:val="single" w:sz="4" w:space="0" w:color="auto"/>
              <w:bottom w:val="single" w:sz="4" w:space="0" w:color="auto"/>
            </w:tcBorders>
            <w:tcMar>
              <w:top w:w="100" w:type="dxa"/>
              <w:left w:w="100" w:type="dxa"/>
              <w:bottom w:w="100" w:type="dxa"/>
              <w:right w:w="100" w:type="dxa"/>
            </w:tcMar>
            <w:vAlign w:val="center"/>
          </w:tcPr>
          <w:p w14:paraId="3F1EEFD2" w14:textId="77777777"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26</w:t>
            </w:r>
          </w:p>
        </w:tc>
      </w:tr>
    </w:tbl>
    <w:p w14:paraId="66B46D86" w14:textId="77777777" w:rsidR="00852CC1" w:rsidRPr="0005712A" w:rsidRDefault="00852CC1" w:rsidP="0005712A">
      <w:pPr>
        <w:pStyle w:val="Body"/>
        <w:spacing w:after="0" w:line="276" w:lineRule="auto"/>
        <w:rPr>
          <w:rFonts w:ascii="Arial" w:hAnsi="Arial" w:cs="Arial"/>
          <w:bCs/>
        </w:rPr>
      </w:pPr>
    </w:p>
    <w:p w14:paraId="5545212F" w14:textId="0914EE6A" w:rsidR="0005712A" w:rsidRDefault="0005712A" w:rsidP="0005712A">
      <w:pPr>
        <w:pStyle w:val="Body"/>
        <w:spacing w:after="0" w:line="276" w:lineRule="auto"/>
        <w:ind w:firstLine="720"/>
        <w:rPr>
          <w:rFonts w:ascii="Arial" w:hAnsi="Arial" w:cs="Arial"/>
          <w:bCs/>
        </w:rPr>
      </w:pPr>
      <w:proofErr w:type="spellStart"/>
      <w:r w:rsidRPr="0005712A">
        <w:rPr>
          <w:rFonts w:ascii="Arial" w:hAnsi="Arial" w:cs="Arial"/>
          <w:bCs/>
        </w:rPr>
        <w:t>Macrozoobenthos</w:t>
      </w:r>
      <w:proofErr w:type="spellEnd"/>
      <w:r w:rsidRPr="0005712A">
        <w:rPr>
          <w:rFonts w:ascii="Arial" w:hAnsi="Arial" w:cs="Arial"/>
          <w:bCs/>
        </w:rPr>
        <w:t xml:space="preserve"> abundance varied among stations, with the highest recorded at Station 1 (4</w:t>
      </w:r>
      <w:r w:rsidR="008A5AE1">
        <w:rPr>
          <w:rFonts w:ascii="Arial" w:hAnsi="Arial" w:cs="Arial"/>
          <w:bCs/>
        </w:rPr>
        <w:t>0</w:t>
      </w:r>
      <w:r w:rsidRPr="0005712A">
        <w:rPr>
          <w:rFonts w:ascii="Arial" w:hAnsi="Arial" w:cs="Arial"/>
          <w:bCs/>
        </w:rPr>
        <w:t xml:space="preserve"> </w:t>
      </w:r>
      <w:proofErr w:type="spellStart"/>
      <w:r w:rsidRPr="0005712A">
        <w:rPr>
          <w:rFonts w:ascii="Arial" w:hAnsi="Arial" w:cs="Arial"/>
          <w:bCs/>
        </w:rPr>
        <w:t>ind</w:t>
      </w:r>
      <w:proofErr w:type="spellEnd"/>
      <w:r w:rsidRPr="0005712A">
        <w:rPr>
          <w:rFonts w:ascii="Arial" w:hAnsi="Arial" w:cs="Arial"/>
          <w:bCs/>
        </w:rPr>
        <w:t xml:space="preserve">/m²), characterized by mud–sand substrates rich in organic matter, and the lowest at Station 3 (10 </w:t>
      </w:r>
      <w:proofErr w:type="spellStart"/>
      <w:r w:rsidRPr="0005712A">
        <w:rPr>
          <w:rFonts w:ascii="Arial" w:hAnsi="Arial" w:cs="Arial"/>
          <w:bCs/>
        </w:rPr>
        <w:t>ind</w:t>
      </w:r>
      <w:proofErr w:type="spellEnd"/>
      <w:r w:rsidRPr="0005712A">
        <w:rPr>
          <w:rFonts w:ascii="Arial" w:hAnsi="Arial" w:cs="Arial"/>
          <w:bCs/>
        </w:rPr>
        <w:t xml:space="preserve">/m²), dominated by gravel </w:t>
      </w:r>
      <w:r w:rsidRPr="0005712A">
        <w:rPr>
          <w:rFonts w:ascii="Arial" w:hAnsi="Arial" w:cs="Arial"/>
          <w:bCs/>
        </w:rPr>
        <w:lastRenderedPageBreak/>
        <w:t xml:space="preserve">substrates with the highest BOD (7.34 mg/L). This condition restricted the presence of sensitive species, leaving only tolerant organisms such as </w:t>
      </w:r>
      <w:r w:rsidRPr="0005712A">
        <w:rPr>
          <w:rFonts w:ascii="Arial" w:hAnsi="Arial" w:cs="Arial"/>
          <w:bCs/>
          <w:i/>
          <w:iCs/>
        </w:rPr>
        <w:t xml:space="preserve">P. </w:t>
      </w:r>
      <w:proofErr w:type="spellStart"/>
      <w:r w:rsidRPr="0005712A">
        <w:rPr>
          <w:rFonts w:ascii="Arial" w:hAnsi="Arial" w:cs="Arial"/>
          <w:bCs/>
          <w:i/>
          <w:iCs/>
        </w:rPr>
        <w:t>canaliculata</w:t>
      </w:r>
      <w:proofErr w:type="spellEnd"/>
      <w:r w:rsidRPr="0005712A">
        <w:rPr>
          <w:rFonts w:ascii="Arial" w:hAnsi="Arial" w:cs="Arial"/>
          <w:bCs/>
          <w:i/>
          <w:iCs/>
        </w:rPr>
        <w:t xml:space="preserve"> and F. javanica</w:t>
      </w:r>
      <w:r w:rsidRPr="0005712A">
        <w:rPr>
          <w:rFonts w:ascii="Arial" w:hAnsi="Arial" w:cs="Arial"/>
          <w:bCs/>
        </w:rPr>
        <w:t xml:space="preserve">. Overall, the class </w:t>
      </w:r>
      <w:proofErr w:type="spellStart"/>
      <w:r w:rsidRPr="0005712A">
        <w:rPr>
          <w:rFonts w:ascii="Arial" w:hAnsi="Arial" w:cs="Arial"/>
          <w:bCs/>
        </w:rPr>
        <w:t>Gastropoda</w:t>
      </w:r>
      <w:proofErr w:type="spellEnd"/>
      <w:r w:rsidRPr="0005712A">
        <w:rPr>
          <w:rFonts w:ascii="Arial" w:hAnsi="Arial" w:cs="Arial"/>
          <w:bCs/>
        </w:rPr>
        <w:t xml:space="preserve"> dominated the </w:t>
      </w:r>
      <w:proofErr w:type="spellStart"/>
      <w:r w:rsidRPr="0005712A">
        <w:rPr>
          <w:rFonts w:ascii="Arial" w:hAnsi="Arial" w:cs="Arial"/>
          <w:bCs/>
        </w:rPr>
        <w:t>macrozoobenthos</w:t>
      </w:r>
      <w:proofErr w:type="spellEnd"/>
      <w:r w:rsidRPr="0005712A">
        <w:rPr>
          <w:rFonts w:ascii="Arial" w:hAnsi="Arial" w:cs="Arial"/>
          <w:bCs/>
        </w:rPr>
        <w:t xml:space="preserve"> community across the study area. This finding is consistent with previous studies showing that gastropods prefer muddy substrates with high organic content (</w:t>
      </w:r>
      <w:proofErr w:type="spellStart"/>
      <w:r w:rsidRPr="0005712A">
        <w:rPr>
          <w:rFonts w:ascii="Arial" w:hAnsi="Arial" w:cs="Arial"/>
          <w:bCs/>
        </w:rPr>
        <w:t>Chusna</w:t>
      </w:r>
      <w:proofErr w:type="spellEnd"/>
      <w:r w:rsidRPr="0005712A">
        <w:rPr>
          <w:rFonts w:ascii="Arial" w:hAnsi="Arial" w:cs="Arial"/>
          <w:bCs/>
        </w:rPr>
        <w:t xml:space="preserve"> </w:t>
      </w:r>
      <w:r w:rsidR="00553FBA">
        <w:rPr>
          <w:rFonts w:ascii="Arial" w:hAnsi="Arial" w:cs="Arial"/>
          <w:bCs/>
        </w:rPr>
        <w:t>et al.</w:t>
      </w:r>
      <w:r w:rsidRPr="0005712A">
        <w:rPr>
          <w:rFonts w:ascii="Arial" w:hAnsi="Arial" w:cs="Arial"/>
          <w:bCs/>
        </w:rPr>
        <w:t xml:space="preserve"> 2017), and their abundance can serve as an indicator of organic pollution (Lutfi et al.</w:t>
      </w:r>
      <w:r>
        <w:rPr>
          <w:rFonts w:ascii="Arial" w:hAnsi="Arial" w:cs="Arial"/>
          <w:bCs/>
        </w:rPr>
        <w:t xml:space="preserve"> </w:t>
      </w:r>
      <w:r w:rsidRPr="0005712A">
        <w:rPr>
          <w:rFonts w:ascii="Arial" w:hAnsi="Arial" w:cs="Arial"/>
          <w:bCs/>
        </w:rPr>
        <w:t>2020).</w:t>
      </w:r>
    </w:p>
    <w:p w14:paraId="58ED2C77" w14:textId="1A5BD8C3" w:rsidR="002567A0" w:rsidRPr="00D03CF0" w:rsidRDefault="004B7104" w:rsidP="004B7104">
      <w:pPr>
        <w:pStyle w:val="Body"/>
        <w:spacing w:after="0" w:line="276" w:lineRule="auto"/>
        <w:ind w:firstLine="720"/>
        <w:jc w:val="center"/>
        <w:rPr>
          <w:rFonts w:ascii="Arial" w:hAnsi="Arial" w:cs="Arial"/>
          <w:bCs/>
        </w:rPr>
      </w:pPr>
      <w:r>
        <w:rPr>
          <w:rFonts w:ascii="Arial" w:hAnsi="Arial" w:cs="Arial"/>
          <w:bCs/>
          <w:noProof/>
        </w:rPr>
        <w:drawing>
          <wp:inline distT="0" distB="0" distL="0" distR="0" wp14:anchorId="5097704E" wp14:editId="72A54941">
            <wp:extent cx="4336915" cy="4892040"/>
            <wp:effectExtent l="0" t="0" r="6985" b="3810"/>
            <wp:docPr id="1583249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49161" name="Picture 1583249161"/>
                    <pic:cNvPicPr/>
                  </pic:nvPicPr>
                  <pic:blipFill rotWithShape="1">
                    <a:blip r:embed="rId15" cstate="print">
                      <a:extLst>
                        <a:ext uri="{28A0092B-C50C-407E-A947-70E740481C1C}">
                          <a14:useLocalDpi xmlns:a14="http://schemas.microsoft.com/office/drawing/2010/main" val="0"/>
                        </a:ext>
                      </a:extLst>
                    </a:blip>
                    <a:srcRect b="12865"/>
                    <a:stretch>
                      <a:fillRect/>
                    </a:stretch>
                  </pic:blipFill>
                  <pic:spPr bwMode="auto">
                    <a:xfrm>
                      <a:off x="0" y="0"/>
                      <a:ext cx="4340703" cy="4896313"/>
                    </a:xfrm>
                    <a:prstGeom prst="rect">
                      <a:avLst/>
                    </a:prstGeom>
                    <a:ln>
                      <a:noFill/>
                    </a:ln>
                    <a:extLst>
                      <a:ext uri="{53640926-AAD7-44D8-BBD7-CCE9431645EC}">
                        <a14:shadowObscured xmlns:a14="http://schemas.microsoft.com/office/drawing/2010/main"/>
                      </a:ext>
                    </a:extLst>
                  </pic:spPr>
                </pic:pic>
              </a:graphicData>
            </a:graphic>
          </wp:inline>
        </w:drawing>
      </w:r>
    </w:p>
    <w:p w14:paraId="442E648D" w14:textId="0ABE391A" w:rsidR="002567A0" w:rsidRPr="002567A0" w:rsidRDefault="002567A0" w:rsidP="002567A0">
      <w:pPr>
        <w:pStyle w:val="Caption"/>
        <w:spacing w:after="0"/>
        <w:jc w:val="center"/>
        <w:rPr>
          <w:rFonts w:ascii="Arial" w:hAnsi="Arial" w:cs="Arial"/>
          <w:color w:val="auto"/>
          <w:lang w:val="it-IT"/>
        </w:rPr>
      </w:pPr>
      <w:r w:rsidRPr="00553FBA">
        <w:rPr>
          <w:rFonts w:ascii="Arial" w:hAnsi="Arial" w:cs="Arial"/>
          <w:b/>
          <w:i w:val="0"/>
          <w:iCs w:val="0"/>
          <w:color w:val="auto"/>
          <w:lang w:val="it-IT"/>
        </w:rPr>
        <w:t>Figure 2.</w:t>
      </w:r>
      <w:r w:rsidRPr="00553FBA">
        <w:rPr>
          <w:rFonts w:ascii="Arial" w:hAnsi="Arial" w:cs="Arial"/>
          <w:b/>
          <w:color w:val="auto"/>
          <w:lang w:val="it-IT"/>
        </w:rPr>
        <w:t xml:space="preserve">  </w:t>
      </w:r>
      <w:r w:rsidRPr="00553FBA">
        <w:rPr>
          <w:rFonts w:ascii="Arial" w:hAnsi="Arial" w:cs="Arial"/>
          <w:color w:val="auto"/>
          <w:lang w:val="it-IT"/>
        </w:rPr>
        <w:t xml:space="preserve">. </w:t>
      </w:r>
      <w:r w:rsidRPr="00553FBA">
        <w:rPr>
          <w:rFonts w:ascii="Arial" w:hAnsi="Arial" w:cs="Arial"/>
          <w:i w:val="0"/>
          <w:iCs w:val="0"/>
          <w:color w:val="auto"/>
          <w:lang w:val="it-IT"/>
        </w:rPr>
        <w:t>a)</w:t>
      </w:r>
      <w:r w:rsidRPr="00553FBA">
        <w:rPr>
          <w:rFonts w:ascii="Arial" w:hAnsi="Arial" w:cs="Arial"/>
          <w:color w:val="auto"/>
          <w:lang w:val="it-IT"/>
        </w:rPr>
        <w:t xml:space="preserve"> </w:t>
      </w:r>
      <w:r w:rsidR="00553FBA" w:rsidRPr="00553FBA">
        <w:rPr>
          <w:rFonts w:ascii="Arial" w:hAnsi="Arial" w:cs="Arial"/>
          <w:color w:val="auto"/>
          <w:lang w:val="it-IT"/>
        </w:rPr>
        <w:t>Pomacea</w:t>
      </w:r>
      <w:r w:rsidRPr="00553FBA">
        <w:rPr>
          <w:rFonts w:ascii="Arial" w:hAnsi="Arial" w:cs="Arial"/>
          <w:color w:val="auto"/>
          <w:lang w:val="it-IT"/>
        </w:rPr>
        <w:t xml:space="preserve"> canaliculata,</w:t>
      </w:r>
      <w:r w:rsidRPr="00553FBA">
        <w:rPr>
          <w:rFonts w:ascii="Arial" w:hAnsi="Arial" w:cs="Arial"/>
          <w:i w:val="0"/>
          <w:iCs w:val="0"/>
          <w:color w:val="auto"/>
          <w:lang w:val="it-IT"/>
        </w:rPr>
        <w:t xml:space="preserve"> b</w:t>
      </w:r>
      <w:r w:rsidRPr="00553FBA">
        <w:rPr>
          <w:rFonts w:ascii="Arial" w:hAnsi="Arial" w:cs="Arial"/>
          <w:color w:val="auto"/>
          <w:lang w:val="it-IT"/>
        </w:rPr>
        <w:t xml:space="preserve">) </w:t>
      </w:r>
      <w:r w:rsidRPr="00553FBA">
        <w:rPr>
          <w:rFonts w:ascii="Arial" w:hAnsi="Arial" w:cs="Arial"/>
          <w:color w:val="000000"/>
          <w:lang w:val="it-IT"/>
        </w:rPr>
        <w:t>Filopaludina javanica</w:t>
      </w:r>
      <w:r w:rsidRPr="00553FBA">
        <w:rPr>
          <w:rFonts w:ascii="Arial" w:hAnsi="Arial" w:cs="Arial"/>
          <w:color w:val="auto"/>
          <w:lang w:val="it-IT"/>
        </w:rPr>
        <w:t>,</w:t>
      </w:r>
    </w:p>
    <w:p w14:paraId="42D45B6D" w14:textId="30524780" w:rsidR="002567A0" w:rsidRPr="002567A0" w:rsidRDefault="002567A0" w:rsidP="002567A0">
      <w:pPr>
        <w:pStyle w:val="Caption"/>
        <w:spacing w:after="0"/>
        <w:jc w:val="center"/>
        <w:rPr>
          <w:rFonts w:ascii="Arial" w:hAnsi="Arial" w:cs="Arial"/>
          <w:color w:val="auto"/>
          <w:lang w:val="it-IT"/>
        </w:rPr>
      </w:pPr>
      <w:r w:rsidRPr="002567A0">
        <w:rPr>
          <w:rFonts w:ascii="Arial" w:hAnsi="Arial" w:cs="Arial"/>
          <w:i w:val="0"/>
          <w:iCs w:val="0"/>
          <w:color w:val="auto"/>
          <w:lang w:val="it-IT"/>
        </w:rPr>
        <w:t>c)</w:t>
      </w:r>
      <w:r w:rsidRPr="002567A0">
        <w:rPr>
          <w:rFonts w:ascii="Arial" w:hAnsi="Arial" w:cs="Arial"/>
          <w:color w:val="auto"/>
          <w:lang w:val="it-IT"/>
        </w:rPr>
        <w:t xml:space="preserve"> Tarebia granifera, </w:t>
      </w:r>
      <w:r w:rsidRPr="002567A0">
        <w:rPr>
          <w:rFonts w:ascii="Arial" w:hAnsi="Arial" w:cs="Arial"/>
          <w:i w:val="0"/>
          <w:iCs w:val="0"/>
          <w:color w:val="auto"/>
          <w:lang w:val="it-IT"/>
        </w:rPr>
        <w:t xml:space="preserve">d) </w:t>
      </w:r>
      <w:r w:rsidRPr="002567A0">
        <w:rPr>
          <w:rFonts w:ascii="Arial" w:hAnsi="Arial" w:cs="Arial"/>
          <w:color w:val="auto"/>
          <w:lang w:val="it-IT"/>
        </w:rPr>
        <w:t>Melanoides tuberculata</w:t>
      </w:r>
      <w:r w:rsidRPr="002567A0">
        <w:rPr>
          <w:rFonts w:ascii="Arial" w:hAnsi="Arial" w:cs="Arial"/>
          <w:i w:val="0"/>
          <w:iCs w:val="0"/>
          <w:color w:val="auto"/>
          <w:lang w:val="it-IT"/>
        </w:rPr>
        <w:t xml:space="preserve">, e) </w:t>
      </w:r>
      <w:r w:rsidRPr="002567A0">
        <w:rPr>
          <w:rFonts w:ascii="Arial" w:hAnsi="Arial" w:cs="Arial"/>
          <w:color w:val="auto"/>
          <w:lang w:val="it-IT"/>
        </w:rPr>
        <w:t xml:space="preserve">Lymnaeidae rubingosa, </w:t>
      </w:r>
      <w:r w:rsidRPr="002567A0">
        <w:rPr>
          <w:rFonts w:ascii="Arial" w:hAnsi="Arial" w:cs="Arial"/>
          <w:color w:val="auto"/>
          <w:lang w:val="it-IT"/>
        </w:rPr>
        <w:br/>
      </w:r>
      <w:r w:rsidRPr="002567A0">
        <w:rPr>
          <w:rFonts w:ascii="Arial" w:hAnsi="Arial" w:cs="Arial"/>
          <w:i w:val="0"/>
          <w:iCs w:val="0"/>
          <w:color w:val="auto"/>
          <w:lang w:val="it-IT"/>
        </w:rPr>
        <w:t xml:space="preserve">f) </w:t>
      </w:r>
      <w:r w:rsidRPr="002567A0">
        <w:rPr>
          <w:rFonts w:ascii="Arial" w:hAnsi="Arial" w:cs="Arial"/>
          <w:color w:val="auto"/>
          <w:lang w:val="it-IT"/>
        </w:rPr>
        <w:t xml:space="preserve">Pila ampulacea, </w:t>
      </w:r>
      <w:r w:rsidRPr="002567A0">
        <w:rPr>
          <w:rFonts w:ascii="Arial" w:hAnsi="Arial" w:cs="Arial"/>
          <w:i w:val="0"/>
          <w:iCs w:val="0"/>
          <w:color w:val="auto"/>
          <w:lang w:val="it-IT"/>
        </w:rPr>
        <w:t xml:space="preserve">g) </w:t>
      </w:r>
      <w:r w:rsidRPr="002567A0">
        <w:rPr>
          <w:rFonts w:ascii="Arial" w:hAnsi="Arial" w:cs="Arial"/>
          <w:color w:val="auto"/>
          <w:lang w:val="it-IT"/>
        </w:rPr>
        <w:t xml:space="preserve">Melanoides plicaria, </w:t>
      </w:r>
      <w:r w:rsidRPr="002567A0">
        <w:rPr>
          <w:rFonts w:ascii="Arial" w:hAnsi="Arial" w:cs="Arial"/>
          <w:i w:val="0"/>
          <w:iCs w:val="0"/>
          <w:color w:val="auto"/>
          <w:lang w:val="it-IT"/>
        </w:rPr>
        <w:t>h)</w:t>
      </w:r>
      <w:r w:rsidRPr="002567A0">
        <w:rPr>
          <w:rFonts w:ascii="Arial" w:hAnsi="Arial" w:cs="Arial"/>
          <w:lang w:val="it-IT"/>
        </w:rPr>
        <w:t xml:space="preserve"> </w:t>
      </w:r>
      <w:r w:rsidRPr="002567A0">
        <w:rPr>
          <w:rFonts w:ascii="Arial" w:hAnsi="Arial" w:cs="Arial"/>
          <w:color w:val="auto"/>
          <w:lang w:val="it-IT"/>
        </w:rPr>
        <w:t>Corbicula javanica</w:t>
      </w:r>
      <w:r w:rsidRPr="002567A0">
        <w:rPr>
          <w:rFonts w:ascii="Arial" w:hAnsi="Arial" w:cs="Arial"/>
          <w:color w:val="auto"/>
          <w:lang w:val="it-IT"/>
        </w:rPr>
        <w:br/>
      </w:r>
      <w:r w:rsidRPr="002567A0">
        <w:rPr>
          <w:rFonts w:ascii="Arial" w:hAnsi="Arial" w:cs="Arial"/>
          <w:i w:val="0"/>
          <w:iCs w:val="0"/>
          <w:color w:val="auto"/>
          <w:lang w:val="it-IT"/>
        </w:rPr>
        <w:t xml:space="preserve">i) </w:t>
      </w:r>
      <w:r w:rsidRPr="002567A0">
        <w:rPr>
          <w:rFonts w:ascii="Arial" w:hAnsi="Arial" w:cs="Arial"/>
          <w:color w:val="auto"/>
          <w:lang w:val="it-IT"/>
        </w:rPr>
        <w:t xml:space="preserve">Sinandonta woodiana, </w:t>
      </w:r>
      <w:r w:rsidRPr="002567A0">
        <w:rPr>
          <w:rFonts w:ascii="Arial" w:hAnsi="Arial" w:cs="Arial"/>
          <w:i w:val="0"/>
          <w:iCs w:val="0"/>
          <w:color w:val="auto"/>
          <w:lang w:val="it-IT"/>
        </w:rPr>
        <w:t xml:space="preserve">j) </w:t>
      </w:r>
      <w:r w:rsidRPr="002567A0">
        <w:rPr>
          <w:rFonts w:ascii="Arial" w:hAnsi="Arial" w:cs="Arial"/>
          <w:color w:val="auto"/>
          <w:lang w:val="it-IT"/>
        </w:rPr>
        <w:t>Palaemon macrodactylus</w:t>
      </w:r>
    </w:p>
    <w:p w14:paraId="61478BC8" w14:textId="67C43525" w:rsidR="002567A0" w:rsidRPr="00D03CF0" w:rsidRDefault="002567A0" w:rsidP="002567A0">
      <w:pPr>
        <w:pStyle w:val="Body"/>
        <w:spacing w:after="0" w:line="276" w:lineRule="auto"/>
        <w:ind w:firstLine="720"/>
        <w:jc w:val="center"/>
        <w:rPr>
          <w:rFonts w:ascii="Arial" w:hAnsi="Arial" w:cs="Arial"/>
          <w:b/>
          <w:lang w:val="it-IT"/>
        </w:rPr>
      </w:pPr>
    </w:p>
    <w:p w14:paraId="14A11709" w14:textId="77777777" w:rsidR="0005712A" w:rsidRPr="00D03CF0" w:rsidRDefault="0005712A" w:rsidP="002567A0">
      <w:pPr>
        <w:pStyle w:val="Body"/>
        <w:spacing w:after="0" w:line="276" w:lineRule="auto"/>
        <w:rPr>
          <w:rFonts w:ascii="Arial" w:hAnsi="Arial" w:cs="Arial"/>
          <w:bCs/>
          <w:lang w:val="it-IT"/>
        </w:rPr>
      </w:pPr>
    </w:p>
    <w:p w14:paraId="2EDB66D0" w14:textId="3C60CE05" w:rsidR="0005712A" w:rsidRDefault="0005712A" w:rsidP="0005712A">
      <w:pPr>
        <w:pStyle w:val="Body"/>
        <w:spacing w:after="0" w:line="276" w:lineRule="auto"/>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05712A">
        <w:rPr>
          <w:rFonts w:ascii="Arial" w:hAnsi="Arial" w:cs="Arial"/>
          <w:b/>
          <w:bCs/>
          <w:sz w:val="22"/>
        </w:rPr>
        <w:t>Diversity Index (H'), Evenness Index (E), and Dominance Index (C)</w:t>
      </w:r>
    </w:p>
    <w:p w14:paraId="64B224A6" w14:textId="79836FDB" w:rsidR="0005712A" w:rsidRDefault="0005712A" w:rsidP="0005712A">
      <w:pPr>
        <w:pStyle w:val="Body"/>
        <w:spacing w:after="0" w:line="276" w:lineRule="auto"/>
        <w:rPr>
          <w:rFonts w:ascii="Arial" w:hAnsi="Arial" w:cs="Arial"/>
          <w:bCs/>
        </w:rPr>
      </w:pPr>
      <w:r>
        <w:rPr>
          <w:rFonts w:ascii="Arial" w:hAnsi="Arial" w:cs="Arial"/>
          <w:b/>
          <w:bCs/>
          <w:sz w:val="22"/>
        </w:rPr>
        <w:tab/>
      </w:r>
      <w:r w:rsidRPr="0005712A">
        <w:rPr>
          <w:rFonts w:ascii="Arial" w:hAnsi="Arial" w:cs="Arial"/>
          <w:bCs/>
        </w:rPr>
        <w:t xml:space="preserve">The </w:t>
      </w:r>
      <w:proofErr w:type="spellStart"/>
      <w:r w:rsidRPr="0005712A">
        <w:rPr>
          <w:rFonts w:ascii="Arial" w:hAnsi="Arial" w:cs="Arial"/>
          <w:bCs/>
        </w:rPr>
        <w:t>macrozoobenthos</w:t>
      </w:r>
      <w:proofErr w:type="spellEnd"/>
      <w:r w:rsidRPr="0005712A">
        <w:rPr>
          <w:rFonts w:ascii="Arial" w:hAnsi="Arial" w:cs="Arial"/>
          <w:bCs/>
        </w:rPr>
        <w:t xml:space="preserve"> diversity index (H’) in Situ </w:t>
      </w:r>
      <w:proofErr w:type="spellStart"/>
      <w:r w:rsidRPr="0005712A">
        <w:rPr>
          <w:rFonts w:ascii="Arial" w:hAnsi="Arial" w:cs="Arial"/>
          <w:bCs/>
        </w:rPr>
        <w:t>Sipatahunan</w:t>
      </w:r>
      <w:proofErr w:type="spellEnd"/>
      <w:r w:rsidRPr="0005712A">
        <w:rPr>
          <w:rFonts w:ascii="Arial" w:hAnsi="Arial" w:cs="Arial"/>
          <w:bCs/>
        </w:rPr>
        <w:t xml:space="preserve"> ranged from 0.58–0.94, indicating low to moderate diversity levels. The highest value was recorded at Station 1 (0.94), while the lowest was at Station 3 (0.58). According to the Shannon-Wiener criteria, H’ &lt; 1 indicates low diversity, 1 &lt; H’ &lt; 3 moderate, and H’ &gt; 3 high. Ecological stress was strongly associated with anthropogenic activities, particularly at Station 3, which is adjacent to residential areas and receives inputs from domestic and agricultural waste as well as inorganic pollutants such as plastics, diapers, and </w:t>
      </w:r>
      <w:proofErr w:type="spellStart"/>
      <w:r w:rsidRPr="0005712A">
        <w:rPr>
          <w:rFonts w:ascii="Arial" w:hAnsi="Arial" w:cs="Arial"/>
          <w:bCs/>
        </w:rPr>
        <w:t>styrofoam</w:t>
      </w:r>
      <w:proofErr w:type="spellEnd"/>
      <w:r w:rsidRPr="0005712A">
        <w:rPr>
          <w:rFonts w:ascii="Arial" w:hAnsi="Arial" w:cs="Arial"/>
          <w:bCs/>
        </w:rPr>
        <w:t xml:space="preserve">. Such inputs potentially lower DO levels and disrupt </w:t>
      </w:r>
      <w:proofErr w:type="spellStart"/>
      <w:r w:rsidRPr="0005712A">
        <w:rPr>
          <w:rFonts w:ascii="Arial" w:hAnsi="Arial" w:cs="Arial"/>
          <w:bCs/>
        </w:rPr>
        <w:t>macrozoobenthos</w:t>
      </w:r>
      <w:proofErr w:type="spellEnd"/>
      <w:r w:rsidRPr="0005712A">
        <w:rPr>
          <w:rFonts w:ascii="Arial" w:hAnsi="Arial" w:cs="Arial"/>
          <w:bCs/>
        </w:rPr>
        <w:t xml:space="preserve"> productivity (</w:t>
      </w:r>
      <w:proofErr w:type="spellStart"/>
      <w:r w:rsidRPr="0005712A">
        <w:rPr>
          <w:rFonts w:ascii="Arial" w:hAnsi="Arial" w:cs="Arial"/>
          <w:bCs/>
        </w:rPr>
        <w:t>Munandar</w:t>
      </w:r>
      <w:proofErr w:type="spellEnd"/>
      <w:r w:rsidRPr="0005712A">
        <w:rPr>
          <w:rFonts w:ascii="Arial" w:hAnsi="Arial" w:cs="Arial"/>
          <w:bCs/>
        </w:rPr>
        <w:t xml:space="preserve"> </w:t>
      </w:r>
      <w:r w:rsidR="00553FBA">
        <w:rPr>
          <w:rFonts w:ascii="Arial" w:hAnsi="Arial" w:cs="Arial"/>
          <w:bCs/>
        </w:rPr>
        <w:t>et al.</w:t>
      </w:r>
      <w:r w:rsidRPr="0005712A">
        <w:rPr>
          <w:rFonts w:ascii="Arial" w:hAnsi="Arial" w:cs="Arial"/>
          <w:bCs/>
        </w:rPr>
        <w:t xml:space="preserve"> 2016).</w:t>
      </w:r>
    </w:p>
    <w:p w14:paraId="4B14173D" w14:textId="21F7130E" w:rsidR="0005712A" w:rsidRDefault="0005712A" w:rsidP="0005712A">
      <w:pPr>
        <w:pStyle w:val="Body"/>
        <w:spacing w:after="0" w:line="276" w:lineRule="auto"/>
        <w:ind w:firstLine="720"/>
        <w:rPr>
          <w:rFonts w:ascii="Arial" w:hAnsi="Arial" w:cs="Arial"/>
          <w:bCs/>
        </w:rPr>
      </w:pPr>
      <w:r w:rsidRPr="0005712A">
        <w:rPr>
          <w:rFonts w:ascii="Arial" w:hAnsi="Arial" w:cs="Arial"/>
          <w:bCs/>
        </w:rPr>
        <w:t>The evenness index (E) ranged from 0.53–0.80. The highest value was found at Station 2 (0.80), reflecting a relatively stable community with an even distribution of individuals, while the lowest was at Station 3 (0.53), indicating an unstable condition due to dominance by pollution-tolerant species. At Stations 1, 3, and 4, E values fell within the “unstable” category (0.50 &lt; E &lt; 0.75), highlighting imbalanced species distribution and ecological stress. According to Odum (19</w:t>
      </w:r>
      <w:r w:rsidR="00A16CCB">
        <w:rPr>
          <w:rFonts w:ascii="Arial" w:hAnsi="Arial" w:cs="Arial"/>
          <w:bCs/>
        </w:rPr>
        <w:t>9</w:t>
      </w:r>
      <w:r w:rsidRPr="0005712A">
        <w:rPr>
          <w:rFonts w:ascii="Arial" w:hAnsi="Arial" w:cs="Arial"/>
          <w:bCs/>
        </w:rPr>
        <w:t xml:space="preserve">3), communities with E values close to 1.00 represent stable ecosystems with balanced individual distribution. Hence, most </w:t>
      </w:r>
      <w:proofErr w:type="spellStart"/>
      <w:r w:rsidRPr="0005712A">
        <w:rPr>
          <w:rFonts w:ascii="Arial" w:hAnsi="Arial" w:cs="Arial"/>
          <w:bCs/>
        </w:rPr>
        <w:lastRenderedPageBreak/>
        <w:t>macrozoobenthos</w:t>
      </w:r>
      <w:proofErr w:type="spellEnd"/>
      <w:r w:rsidRPr="0005712A">
        <w:rPr>
          <w:rFonts w:ascii="Arial" w:hAnsi="Arial" w:cs="Arial"/>
          <w:bCs/>
        </w:rPr>
        <w:t xml:space="preserve"> communities in Situ </w:t>
      </w:r>
      <w:proofErr w:type="spellStart"/>
      <w:r w:rsidRPr="0005712A">
        <w:rPr>
          <w:rFonts w:ascii="Arial" w:hAnsi="Arial" w:cs="Arial"/>
          <w:bCs/>
        </w:rPr>
        <w:t>Sipatahunan</w:t>
      </w:r>
      <w:proofErr w:type="spellEnd"/>
      <w:r w:rsidRPr="0005712A">
        <w:rPr>
          <w:rFonts w:ascii="Arial" w:hAnsi="Arial" w:cs="Arial"/>
          <w:bCs/>
        </w:rPr>
        <w:t xml:space="preserve"> remain imbalanced, especially in the anthropogenic zone, while Station 2 is relatively more stable.</w:t>
      </w:r>
    </w:p>
    <w:p w14:paraId="230C912D" w14:textId="039D348C" w:rsidR="00BE6E23" w:rsidRDefault="0005712A" w:rsidP="0005712A">
      <w:pPr>
        <w:pStyle w:val="Body"/>
        <w:spacing w:after="0" w:line="276" w:lineRule="auto"/>
        <w:ind w:firstLine="720"/>
        <w:rPr>
          <w:rFonts w:ascii="Arial" w:hAnsi="Arial" w:cs="Arial"/>
          <w:bCs/>
        </w:rPr>
      </w:pPr>
      <w:r w:rsidRPr="0005712A">
        <w:rPr>
          <w:rFonts w:ascii="Arial" w:hAnsi="Arial" w:cs="Arial"/>
          <w:bCs/>
        </w:rPr>
        <w:t xml:space="preserve">The dominance index (C) ranged from 0.25–0.72, classified as low to moderate. Stations 2 and 3 (showed low dominance, while </w:t>
      </w:r>
      <w:r w:rsidR="00D03CF0">
        <w:rPr>
          <w:rFonts w:ascii="Arial" w:hAnsi="Arial" w:cs="Arial"/>
          <w:bCs/>
        </w:rPr>
        <w:t>s</w:t>
      </w:r>
      <w:r w:rsidRPr="0005712A">
        <w:rPr>
          <w:rFonts w:ascii="Arial" w:hAnsi="Arial" w:cs="Arial"/>
          <w:bCs/>
        </w:rPr>
        <w:t>tations 1 (inlet) and 4 (minimal anthropogenic activity) showed moderate dominance. These differences were influenced by habitat zones, where littoral areas (</w:t>
      </w:r>
      <w:r w:rsidR="00D03CF0">
        <w:rPr>
          <w:rFonts w:ascii="Arial" w:hAnsi="Arial" w:cs="Arial"/>
          <w:bCs/>
        </w:rPr>
        <w:t>s</w:t>
      </w:r>
      <w:r w:rsidRPr="0005712A">
        <w:rPr>
          <w:rFonts w:ascii="Arial" w:hAnsi="Arial" w:cs="Arial"/>
          <w:bCs/>
        </w:rPr>
        <w:t xml:space="preserve">tations 1 and 4) provide better light and nutrient availability, thereby supporting higher benthic diversity </w:t>
      </w:r>
      <w:r w:rsidR="00E20239">
        <w:rPr>
          <w:rFonts w:ascii="Arial" w:hAnsi="Arial" w:cs="Arial"/>
          <w:bCs/>
        </w:rPr>
        <w:t>(</w:t>
      </w:r>
      <w:r w:rsidRPr="0005712A">
        <w:rPr>
          <w:rFonts w:ascii="Arial" w:hAnsi="Arial" w:cs="Arial"/>
          <w:bCs/>
        </w:rPr>
        <w:t xml:space="preserve">Muhammad, 2019). </w:t>
      </w:r>
      <w:proofErr w:type="spellStart"/>
      <w:r w:rsidR="00553FBA" w:rsidRPr="00553FBA">
        <w:rPr>
          <w:rFonts w:ascii="Arial" w:hAnsi="Arial" w:cs="Arial"/>
          <w:bCs/>
          <w:i/>
          <w:iCs/>
        </w:rPr>
        <w:t>Pomacea</w:t>
      </w:r>
      <w:proofErr w:type="spellEnd"/>
      <w:r w:rsidRPr="0005712A">
        <w:rPr>
          <w:rFonts w:ascii="Arial" w:hAnsi="Arial" w:cs="Arial"/>
          <w:bCs/>
        </w:rPr>
        <w:t xml:space="preserve"> </w:t>
      </w:r>
      <w:proofErr w:type="spellStart"/>
      <w:r w:rsidRPr="0005712A">
        <w:rPr>
          <w:rFonts w:ascii="Arial" w:hAnsi="Arial" w:cs="Arial"/>
          <w:bCs/>
        </w:rPr>
        <w:t>canaliculata</w:t>
      </w:r>
      <w:proofErr w:type="spellEnd"/>
      <w:r w:rsidRPr="0005712A">
        <w:rPr>
          <w:rFonts w:ascii="Arial" w:hAnsi="Arial" w:cs="Arial"/>
          <w:bCs/>
        </w:rPr>
        <w:t xml:space="preserve"> dominated several stations, particularly 1, 3, and 4. High dominance indicates low species richness and uneven distribution (Munandar </w:t>
      </w:r>
      <w:r w:rsidR="00553FBA">
        <w:rPr>
          <w:rFonts w:ascii="Arial" w:hAnsi="Arial" w:cs="Arial"/>
          <w:bCs/>
        </w:rPr>
        <w:t>et al.</w:t>
      </w:r>
      <w:r w:rsidRPr="0005712A">
        <w:rPr>
          <w:rFonts w:ascii="Arial" w:hAnsi="Arial" w:cs="Arial"/>
          <w:bCs/>
        </w:rPr>
        <w:t xml:space="preserve"> 2016). At Station 3, dominance was driven by organic pollution from anthropogenic activities and coarse gravel substrates, which restricted sensitive species. </w:t>
      </w:r>
      <w:r w:rsidRPr="00D03CF0">
        <w:rPr>
          <w:rFonts w:ascii="Arial" w:hAnsi="Arial" w:cs="Arial"/>
          <w:bCs/>
          <w:i/>
          <w:iCs/>
        </w:rPr>
        <w:t xml:space="preserve">P. </w:t>
      </w:r>
      <w:proofErr w:type="spellStart"/>
      <w:r w:rsidRPr="00D03CF0">
        <w:rPr>
          <w:rFonts w:ascii="Arial" w:hAnsi="Arial" w:cs="Arial"/>
          <w:bCs/>
          <w:i/>
          <w:iCs/>
        </w:rPr>
        <w:t>canaliculata</w:t>
      </w:r>
      <w:proofErr w:type="spellEnd"/>
      <w:r w:rsidRPr="0005712A">
        <w:rPr>
          <w:rFonts w:ascii="Arial" w:hAnsi="Arial" w:cs="Arial"/>
          <w:bCs/>
        </w:rPr>
        <w:t xml:space="preserve">, as an invasive species with broad environmental tolerance (Bunga </w:t>
      </w:r>
      <w:r w:rsidR="00553FBA">
        <w:rPr>
          <w:rFonts w:ascii="Arial" w:hAnsi="Arial" w:cs="Arial"/>
          <w:bCs/>
        </w:rPr>
        <w:t>et al.</w:t>
      </w:r>
      <w:r w:rsidRPr="0005712A">
        <w:rPr>
          <w:rFonts w:ascii="Arial" w:hAnsi="Arial" w:cs="Arial"/>
          <w:bCs/>
        </w:rPr>
        <w:t xml:space="preserve"> 2018), proliferated rapidly and dominated the community. The high abundance of gastropods also indicates organic pollution in the aquatic ecosystem (</w:t>
      </w:r>
      <w:proofErr w:type="spellStart"/>
      <w:r w:rsidRPr="0005712A">
        <w:rPr>
          <w:rFonts w:ascii="Arial" w:hAnsi="Arial" w:cs="Arial"/>
          <w:bCs/>
        </w:rPr>
        <w:t>Wulansari</w:t>
      </w:r>
      <w:proofErr w:type="spellEnd"/>
      <w:r w:rsidRPr="0005712A">
        <w:rPr>
          <w:rFonts w:ascii="Arial" w:hAnsi="Arial" w:cs="Arial"/>
          <w:bCs/>
        </w:rPr>
        <w:t xml:space="preserve"> &amp; </w:t>
      </w:r>
      <w:proofErr w:type="spellStart"/>
      <w:r w:rsidRPr="0005712A">
        <w:rPr>
          <w:rFonts w:ascii="Arial" w:hAnsi="Arial" w:cs="Arial"/>
          <w:bCs/>
        </w:rPr>
        <w:t>Kuntjoro</w:t>
      </w:r>
      <w:proofErr w:type="spellEnd"/>
      <w:r w:rsidRPr="0005712A">
        <w:rPr>
          <w:rFonts w:ascii="Arial" w:hAnsi="Arial" w:cs="Arial"/>
          <w:bCs/>
        </w:rPr>
        <w:t>, 2018).</w:t>
      </w:r>
    </w:p>
    <w:p w14:paraId="669FA855" w14:textId="00CC8A48" w:rsidR="002567A0" w:rsidRPr="00553FBA" w:rsidRDefault="002567A0" w:rsidP="002567A0">
      <w:pPr>
        <w:pStyle w:val="Body"/>
        <w:spacing w:after="0" w:line="276" w:lineRule="auto"/>
        <w:rPr>
          <w:rFonts w:ascii="Arial" w:hAnsi="Arial" w:cs="Arial"/>
          <w:bCs/>
          <w:sz w:val="18"/>
          <w:szCs w:val="18"/>
        </w:rPr>
      </w:pPr>
      <w:r>
        <w:rPr>
          <w:rFonts w:ascii="Arial" w:hAnsi="Arial" w:cs="Arial"/>
          <w:bCs/>
        </w:rPr>
        <w:t xml:space="preserve"> </w:t>
      </w:r>
      <w:r w:rsidRPr="00553FBA">
        <w:rPr>
          <w:rFonts w:ascii="Arial" w:hAnsi="Arial" w:cs="Arial"/>
          <w:b/>
          <w:sz w:val="18"/>
          <w:szCs w:val="18"/>
        </w:rPr>
        <w:t>Table 5.</w:t>
      </w:r>
      <w:r w:rsidRPr="00553FBA">
        <w:rPr>
          <w:rFonts w:ascii="Arial" w:hAnsi="Arial" w:cs="Arial"/>
          <w:bCs/>
          <w:sz w:val="18"/>
          <w:szCs w:val="18"/>
        </w:rPr>
        <w:t xml:space="preserve"> </w:t>
      </w:r>
      <w:r w:rsidR="00553FBA" w:rsidRPr="00553FBA">
        <w:rPr>
          <w:rFonts w:ascii="Arial" w:hAnsi="Arial" w:cs="Arial"/>
          <w:bCs/>
          <w:sz w:val="18"/>
          <w:szCs w:val="18"/>
        </w:rPr>
        <w:t>Results of index analysis</w:t>
      </w:r>
    </w:p>
    <w:tbl>
      <w:tblPr>
        <w:tblStyle w:val="TableGrid"/>
        <w:tblW w:w="0" w:type="auto"/>
        <w:tblLook w:val="04A0" w:firstRow="1" w:lastRow="0" w:firstColumn="1" w:lastColumn="0" w:noHBand="0" w:noVBand="1"/>
      </w:tblPr>
      <w:tblGrid>
        <w:gridCol w:w="1798"/>
        <w:gridCol w:w="1798"/>
        <w:gridCol w:w="1798"/>
        <w:gridCol w:w="1798"/>
        <w:gridCol w:w="1799"/>
      </w:tblGrid>
      <w:tr w:rsidR="002567A0" w:rsidRPr="00C50D9B" w14:paraId="714E093D" w14:textId="77777777" w:rsidTr="00162298">
        <w:tc>
          <w:tcPr>
            <w:tcW w:w="1798" w:type="dxa"/>
            <w:vMerge w:val="restart"/>
            <w:vAlign w:val="center"/>
          </w:tcPr>
          <w:p w14:paraId="2F9E10A0"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Parameters</w:t>
            </w:r>
          </w:p>
        </w:tc>
        <w:tc>
          <w:tcPr>
            <w:tcW w:w="7193" w:type="dxa"/>
            <w:gridSpan w:val="4"/>
            <w:vAlign w:val="center"/>
          </w:tcPr>
          <w:p w14:paraId="5DF09341"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Location</w:t>
            </w:r>
          </w:p>
        </w:tc>
      </w:tr>
      <w:tr w:rsidR="002567A0" w:rsidRPr="00C50D9B" w14:paraId="0660F437" w14:textId="77777777" w:rsidTr="00162298">
        <w:tc>
          <w:tcPr>
            <w:tcW w:w="1798" w:type="dxa"/>
            <w:vMerge/>
            <w:vAlign w:val="center"/>
          </w:tcPr>
          <w:p w14:paraId="59C56730" w14:textId="77777777" w:rsidR="002567A0" w:rsidRPr="00C50D9B" w:rsidRDefault="002567A0" w:rsidP="00162298">
            <w:pPr>
              <w:pStyle w:val="Body"/>
              <w:spacing w:after="0"/>
              <w:rPr>
                <w:rFonts w:ascii="Arial" w:hAnsi="Arial" w:cs="Arial"/>
                <w:bCs/>
                <w:sz w:val="20"/>
                <w:szCs w:val="16"/>
              </w:rPr>
            </w:pPr>
          </w:p>
        </w:tc>
        <w:tc>
          <w:tcPr>
            <w:tcW w:w="1798" w:type="dxa"/>
            <w:vAlign w:val="center"/>
          </w:tcPr>
          <w:p w14:paraId="05148A5C"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1</w:t>
            </w:r>
          </w:p>
        </w:tc>
        <w:tc>
          <w:tcPr>
            <w:tcW w:w="1798" w:type="dxa"/>
            <w:vAlign w:val="center"/>
          </w:tcPr>
          <w:p w14:paraId="000CB0CF"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2</w:t>
            </w:r>
          </w:p>
        </w:tc>
        <w:tc>
          <w:tcPr>
            <w:tcW w:w="1798" w:type="dxa"/>
            <w:vAlign w:val="center"/>
          </w:tcPr>
          <w:p w14:paraId="01E7B052"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3</w:t>
            </w:r>
          </w:p>
        </w:tc>
        <w:tc>
          <w:tcPr>
            <w:tcW w:w="1799" w:type="dxa"/>
            <w:vAlign w:val="center"/>
          </w:tcPr>
          <w:p w14:paraId="3063F955"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4</w:t>
            </w:r>
          </w:p>
        </w:tc>
      </w:tr>
      <w:tr w:rsidR="00553FBA" w:rsidRPr="00C50D9B" w14:paraId="30A29C1A" w14:textId="77777777" w:rsidTr="00162298">
        <w:tc>
          <w:tcPr>
            <w:tcW w:w="1798" w:type="dxa"/>
            <w:vAlign w:val="center"/>
          </w:tcPr>
          <w:p w14:paraId="50858412" w14:textId="178743D6"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H’</w:t>
            </w:r>
          </w:p>
        </w:tc>
        <w:tc>
          <w:tcPr>
            <w:tcW w:w="1798" w:type="dxa"/>
            <w:vAlign w:val="center"/>
          </w:tcPr>
          <w:p w14:paraId="2D28992E" w14:textId="26C6FC8A"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0.94</w:t>
            </w:r>
          </w:p>
        </w:tc>
        <w:tc>
          <w:tcPr>
            <w:tcW w:w="1798" w:type="dxa"/>
            <w:vAlign w:val="center"/>
          </w:tcPr>
          <w:p w14:paraId="0989501B" w14:textId="5E8E6507"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0.88</w:t>
            </w:r>
          </w:p>
        </w:tc>
        <w:tc>
          <w:tcPr>
            <w:tcW w:w="1798" w:type="dxa"/>
            <w:vAlign w:val="center"/>
          </w:tcPr>
          <w:p w14:paraId="73D2DFD7" w14:textId="292E8CC2"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0.58</w:t>
            </w:r>
          </w:p>
        </w:tc>
        <w:tc>
          <w:tcPr>
            <w:tcW w:w="1799" w:type="dxa"/>
            <w:vAlign w:val="center"/>
          </w:tcPr>
          <w:p w14:paraId="7BE2389B" w14:textId="37FD9146"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0.90</w:t>
            </w:r>
          </w:p>
        </w:tc>
      </w:tr>
      <w:tr w:rsidR="00553FBA" w:rsidRPr="00C50D9B" w14:paraId="57931DCA" w14:textId="77777777" w:rsidTr="00162298">
        <w:tc>
          <w:tcPr>
            <w:tcW w:w="1798" w:type="dxa"/>
            <w:vAlign w:val="center"/>
          </w:tcPr>
          <w:p w14:paraId="694B6CC8" w14:textId="4DF42D7B"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E</w:t>
            </w:r>
          </w:p>
        </w:tc>
        <w:tc>
          <w:tcPr>
            <w:tcW w:w="1798" w:type="dxa"/>
            <w:vAlign w:val="center"/>
          </w:tcPr>
          <w:p w14:paraId="0D991E9C" w14:textId="0B47BF9B"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0.68</w:t>
            </w:r>
          </w:p>
        </w:tc>
        <w:tc>
          <w:tcPr>
            <w:tcW w:w="1798" w:type="dxa"/>
            <w:vAlign w:val="center"/>
          </w:tcPr>
          <w:p w14:paraId="4637F401" w14:textId="07134763"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0.80</w:t>
            </w:r>
          </w:p>
        </w:tc>
        <w:tc>
          <w:tcPr>
            <w:tcW w:w="1798" w:type="dxa"/>
            <w:vAlign w:val="center"/>
          </w:tcPr>
          <w:p w14:paraId="6B98A014" w14:textId="3DA23EEF"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0.53</w:t>
            </w:r>
          </w:p>
        </w:tc>
        <w:tc>
          <w:tcPr>
            <w:tcW w:w="1799" w:type="dxa"/>
            <w:vAlign w:val="center"/>
          </w:tcPr>
          <w:p w14:paraId="594217AD" w14:textId="1C2EF388"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0.56</w:t>
            </w:r>
          </w:p>
        </w:tc>
      </w:tr>
      <w:tr w:rsidR="00553FBA" w:rsidRPr="00C50D9B" w14:paraId="04C94A68" w14:textId="77777777" w:rsidTr="00162298">
        <w:tc>
          <w:tcPr>
            <w:tcW w:w="1798" w:type="dxa"/>
            <w:vAlign w:val="center"/>
          </w:tcPr>
          <w:p w14:paraId="41EAB556" w14:textId="0DD1CECF"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C</w:t>
            </w:r>
          </w:p>
        </w:tc>
        <w:tc>
          <w:tcPr>
            <w:tcW w:w="1798" w:type="dxa"/>
            <w:vAlign w:val="center"/>
          </w:tcPr>
          <w:p w14:paraId="643B6DBF" w14:textId="676841DD"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0.58</w:t>
            </w:r>
          </w:p>
        </w:tc>
        <w:tc>
          <w:tcPr>
            <w:tcW w:w="1798" w:type="dxa"/>
            <w:vAlign w:val="center"/>
          </w:tcPr>
          <w:p w14:paraId="56EE197E" w14:textId="2769CA9C"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0.25</w:t>
            </w:r>
          </w:p>
        </w:tc>
        <w:tc>
          <w:tcPr>
            <w:tcW w:w="1798" w:type="dxa"/>
            <w:vAlign w:val="center"/>
          </w:tcPr>
          <w:p w14:paraId="0754E034" w14:textId="06956A41"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0.46</w:t>
            </w:r>
          </w:p>
        </w:tc>
        <w:tc>
          <w:tcPr>
            <w:tcW w:w="1799" w:type="dxa"/>
            <w:vAlign w:val="center"/>
          </w:tcPr>
          <w:p w14:paraId="5E29CDCE" w14:textId="550C1926"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0.72</w:t>
            </w:r>
          </w:p>
        </w:tc>
      </w:tr>
      <w:tr w:rsidR="00553FBA" w:rsidRPr="00C50D9B" w14:paraId="6F7904FB" w14:textId="77777777" w:rsidTr="00162298">
        <w:tc>
          <w:tcPr>
            <w:tcW w:w="1798" w:type="dxa"/>
            <w:vAlign w:val="center"/>
          </w:tcPr>
          <w:p w14:paraId="393820D8" w14:textId="7FD27477"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FBI</w:t>
            </w:r>
          </w:p>
        </w:tc>
        <w:tc>
          <w:tcPr>
            <w:tcW w:w="1798" w:type="dxa"/>
            <w:vAlign w:val="center"/>
          </w:tcPr>
          <w:p w14:paraId="3950C6A0" w14:textId="758BB9F0"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4.11</w:t>
            </w:r>
          </w:p>
        </w:tc>
        <w:tc>
          <w:tcPr>
            <w:tcW w:w="1798" w:type="dxa"/>
            <w:vAlign w:val="center"/>
          </w:tcPr>
          <w:p w14:paraId="6AE0BEE4" w14:textId="0F89D63F"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4.38</w:t>
            </w:r>
          </w:p>
        </w:tc>
        <w:tc>
          <w:tcPr>
            <w:tcW w:w="1798" w:type="dxa"/>
            <w:vAlign w:val="center"/>
          </w:tcPr>
          <w:p w14:paraId="4B0817B4" w14:textId="76D3CD1D"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4.69</w:t>
            </w:r>
          </w:p>
        </w:tc>
        <w:tc>
          <w:tcPr>
            <w:tcW w:w="1799" w:type="dxa"/>
            <w:vAlign w:val="center"/>
          </w:tcPr>
          <w:p w14:paraId="10823D5E" w14:textId="43F4EA2E"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4.59</w:t>
            </w:r>
          </w:p>
        </w:tc>
      </w:tr>
    </w:tbl>
    <w:p w14:paraId="5B619143" w14:textId="77777777" w:rsidR="002567A0" w:rsidRDefault="002567A0" w:rsidP="002567A0">
      <w:pPr>
        <w:pStyle w:val="Body"/>
        <w:spacing w:after="0" w:line="276" w:lineRule="auto"/>
        <w:rPr>
          <w:rFonts w:ascii="Arial" w:hAnsi="Arial" w:cs="Arial"/>
          <w:bCs/>
        </w:rPr>
      </w:pPr>
    </w:p>
    <w:p w14:paraId="58C29456" w14:textId="77777777" w:rsidR="007B3EC0" w:rsidRDefault="007B3EC0" w:rsidP="007B3EC0">
      <w:pPr>
        <w:pStyle w:val="Body"/>
        <w:spacing w:after="0" w:line="276" w:lineRule="auto"/>
        <w:rPr>
          <w:rFonts w:ascii="Arial" w:hAnsi="Arial" w:cs="Arial"/>
          <w:bCs/>
        </w:rPr>
      </w:pPr>
    </w:p>
    <w:p w14:paraId="013AC86E" w14:textId="0B378D20" w:rsidR="007B3EC0" w:rsidRDefault="007B3EC0" w:rsidP="007B3EC0">
      <w:pPr>
        <w:pStyle w:val="Body"/>
        <w:spacing w:after="0" w:line="276" w:lineRule="auto"/>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bCs/>
          <w:sz w:val="22"/>
        </w:rPr>
        <w:t>Family Biotic Index (FBI)</w:t>
      </w:r>
    </w:p>
    <w:p w14:paraId="14AB27DF" w14:textId="091D8B23" w:rsidR="007B3EC0" w:rsidRPr="00A16CCB" w:rsidRDefault="007B3EC0" w:rsidP="007B3EC0">
      <w:pPr>
        <w:pStyle w:val="Body"/>
        <w:spacing w:after="0" w:line="276" w:lineRule="auto"/>
        <w:rPr>
          <w:rFonts w:ascii="Arial" w:hAnsi="Arial" w:cs="Arial"/>
          <w:szCs w:val="18"/>
        </w:rPr>
      </w:pPr>
      <w:r>
        <w:rPr>
          <w:rFonts w:ascii="Arial" w:hAnsi="Arial" w:cs="Arial"/>
          <w:b/>
          <w:bCs/>
          <w:sz w:val="22"/>
        </w:rPr>
        <w:tab/>
      </w:r>
      <w:r w:rsidRPr="00A16CCB">
        <w:rPr>
          <w:rFonts w:ascii="Arial" w:hAnsi="Arial" w:cs="Arial"/>
          <w:szCs w:val="18"/>
        </w:rPr>
        <w:t xml:space="preserve">The Family Biotic Index (FBI) values in Situ </w:t>
      </w:r>
      <w:proofErr w:type="spellStart"/>
      <w:r w:rsidRPr="00A16CCB">
        <w:rPr>
          <w:rFonts w:ascii="Arial" w:hAnsi="Arial" w:cs="Arial"/>
          <w:szCs w:val="18"/>
        </w:rPr>
        <w:t>Sipatahunan</w:t>
      </w:r>
      <w:proofErr w:type="spellEnd"/>
      <w:r w:rsidRPr="00A16CCB">
        <w:rPr>
          <w:rFonts w:ascii="Arial" w:hAnsi="Arial" w:cs="Arial"/>
          <w:szCs w:val="18"/>
        </w:rPr>
        <w:t xml:space="preserve"> ranged from 4.11–4.69, indicating water conditions from slightly to moderately polluted by organic matter. The lowest value was recorded at </w:t>
      </w:r>
      <w:r w:rsidR="00D03CF0">
        <w:rPr>
          <w:rFonts w:ascii="Arial" w:hAnsi="Arial" w:cs="Arial"/>
          <w:szCs w:val="18"/>
        </w:rPr>
        <w:t>s</w:t>
      </w:r>
      <w:r w:rsidRPr="00A16CCB">
        <w:rPr>
          <w:rFonts w:ascii="Arial" w:hAnsi="Arial" w:cs="Arial"/>
          <w:szCs w:val="18"/>
        </w:rPr>
        <w:t xml:space="preserve">tation 1 (4.11; lightly polluted), while the highest was at </w:t>
      </w:r>
      <w:r w:rsidR="00D03CF0">
        <w:rPr>
          <w:rFonts w:ascii="Arial" w:hAnsi="Arial" w:cs="Arial"/>
          <w:szCs w:val="18"/>
        </w:rPr>
        <w:t>s</w:t>
      </w:r>
      <w:r w:rsidRPr="00A16CCB">
        <w:rPr>
          <w:rFonts w:ascii="Arial" w:hAnsi="Arial" w:cs="Arial"/>
          <w:szCs w:val="18"/>
        </w:rPr>
        <w:t>tation 3 (4.69; moderately polluted), which also experienced the greatest anthropogenic pressure. Overall, water quality across the four stations was still considered good, although inter-station differences indicated varying levels of organic pollution influenced by domestic activities and local environmental conditions.</w:t>
      </w:r>
    </w:p>
    <w:p w14:paraId="3FA6350D" w14:textId="1B75B5F9" w:rsidR="007B3EC0" w:rsidRPr="007B3EC0" w:rsidRDefault="007B3EC0" w:rsidP="007B3EC0">
      <w:pPr>
        <w:pStyle w:val="Body"/>
        <w:spacing w:after="0" w:line="276" w:lineRule="auto"/>
        <w:ind w:firstLine="720"/>
        <w:rPr>
          <w:rFonts w:ascii="Arial" w:hAnsi="Arial" w:cs="Arial"/>
          <w:sz w:val="22"/>
        </w:rPr>
      </w:pPr>
      <w:r w:rsidRPr="007B3EC0">
        <w:rPr>
          <w:rFonts w:ascii="Arial" w:hAnsi="Arial" w:cs="Arial"/>
          <w:szCs w:val="18"/>
        </w:rPr>
        <w:t xml:space="preserve">The dominance of tolerant species such as </w:t>
      </w:r>
      <w:proofErr w:type="spellStart"/>
      <w:r w:rsidR="00553FBA" w:rsidRPr="00A16CCB">
        <w:rPr>
          <w:rFonts w:ascii="Arial" w:hAnsi="Arial" w:cs="Arial"/>
          <w:i/>
          <w:iCs/>
          <w:szCs w:val="18"/>
        </w:rPr>
        <w:t>Pomacea</w:t>
      </w:r>
      <w:proofErr w:type="spellEnd"/>
      <w:r w:rsidRPr="007B3EC0">
        <w:rPr>
          <w:rFonts w:ascii="Arial" w:hAnsi="Arial" w:cs="Arial"/>
          <w:i/>
          <w:iCs/>
          <w:szCs w:val="18"/>
        </w:rPr>
        <w:t xml:space="preserve"> </w:t>
      </w:r>
      <w:proofErr w:type="spellStart"/>
      <w:r w:rsidRPr="007B3EC0">
        <w:rPr>
          <w:rFonts w:ascii="Arial" w:hAnsi="Arial" w:cs="Arial"/>
          <w:i/>
          <w:iCs/>
          <w:szCs w:val="18"/>
        </w:rPr>
        <w:t>canaliculata</w:t>
      </w:r>
      <w:proofErr w:type="spellEnd"/>
      <w:r w:rsidRPr="007B3EC0">
        <w:rPr>
          <w:rFonts w:ascii="Arial" w:hAnsi="Arial" w:cs="Arial"/>
          <w:szCs w:val="18"/>
        </w:rPr>
        <w:t xml:space="preserve"> (tolerance value 4), </w:t>
      </w:r>
      <w:proofErr w:type="spellStart"/>
      <w:r w:rsidRPr="007B3EC0">
        <w:rPr>
          <w:rFonts w:ascii="Arial" w:hAnsi="Arial" w:cs="Arial"/>
          <w:i/>
          <w:iCs/>
          <w:szCs w:val="18"/>
        </w:rPr>
        <w:t>Filopaludina</w:t>
      </w:r>
      <w:proofErr w:type="spellEnd"/>
      <w:r w:rsidRPr="007B3EC0">
        <w:rPr>
          <w:rFonts w:ascii="Arial" w:hAnsi="Arial" w:cs="Arial"/>
          <w:i/>
          <w:iCs/>
          <w:szCs w:val="18"/>
        </w:rPr>
        <w:t xml:space="preserve"> </w:t>
      </w:r>
      <w:proofErr w:type="spellStart"/>
      <w:r w:rsidRPr="007B3EC0">
        <w:rPr>
          <w:rFonts w:ascii="Arial" w:hAnsi="Arial" w:cs="Arial"/>
          <w:i/>
          <w:iCs/>
          <w:szCs w:val="18"/>
        </w:rPr>
        <w:t>javanica</w:t>
      </w:r>
      <w:proofErr w:type="spellEnd"/>
      <w:r w:rsidRPr="007B3EC0">
        <w:rPr>
          <w:rFonts w:ascii="Arial" w:hAnsi="Arial" w:cs="Arial"/>
          <w:szCs w:val="18"/>
        </w:rPr>
        <w:t xml:space="preserve"> (tolerance value 6), and </w:t>
      </w:r>
      <w:proofErr w:type="spellStart"/>
      <w:r w:rsidRPr="00D03CF0">
        <w:rPr>
          <w:rFonts w:ascii="Arial" w:hAnsi="Arial" w:cs="Arial"/>
          <w:i/>
          <w:iCs/>
          <w:szCs w:val="18"/>
        </w:rPr>
        <w:t>Tarebia</w:t>
      </w:r>
      <w:proofErr w:type="spellEnd"/>
      <w:r w:rsidRPr="00D03CF0">
        <w:rPr>
          <w:rFonts w:ascii="Arial" w:hAnsi="Arial" w:cs="Arial"/>
          <w:i/>
          <w:iCs/>
          <w:szCs w:val="18"/>
        </w:rPr>
        <w:t xml:space="preserve"> </w:t>
      </w:r>
      <w:proofErr w:type="spellStart"/>
      <w:r w:rsidRPr="00D03CF0">
        <w:rPr>
          <w:rFonts w:ascii="Arial" w:hAnsi="Arial" w:cs="Arial"/>
          <w:i/>
          <w:iCs/>
          <w:szCs w:val="18"/>
        </w:rPr>
        <w:t>granifera</w:t>
      </w:r>
      <w:proofErr w:type="spellEnd"/>
      <w:r w:rsidRPr="007B3EC0">
        <w:rPr>
          <w:rFonts w:ascii="Arial" w:hAnsi="Arial" w:cs="Arial"/>
          <w:szCs w:val="18"/>
        </w:rPr>
        <w:t xml:space="preserve"> supports these findings. </w:t>
      </w:r>
      <w:r w:rsidRPr="00D03CF0">
        <w:rPr>
          <w:rFonts w:ascii="Arial" w:hAnsi="Arial" w:cs="Arial"/>
          <w:i/>
          <w:iCs/>
          <w:szCs w:val="18"/>
        </w:rPr>
        <w:t xml:space="preserve">P. </w:t>
      </w:r>
      <w:proofErr w:type="spellStart"/>
      <w:r w:rsidRPr="00D03CF0">
        <w:rPr>
          <w:rFonts w:ascii="Arial" w:hAnsi="Arial" w:cs="Arial"/>
          <w:i/>
          <w:iCs/>
          <w:szCs w:val="18"/>
        </w:rPr>
        <w:t>canaliculata</w:t>
      </w:r>
      <w:proofErr w:type="spellEnd"/>
      <w:r w:rsidRPr="007B3EC0">
        <w:rPr>
          <w:rFonts w:ascii="Arial" w:hAnsi="Arial" w:cs="Arial"/>
          <w:szCs w:val="18"/>
        </w:rPr>
        <w:t xml:space="preserve"> is recognized as a facultative organism capable of surviving in waters ranging from lightly to moderately polluted (</w:t>
      </w:r>
      <w:proofErr w:type="spellStart"/>
      <w:r w:rsidRPr="007B3EC0">
        <w:rPr>
          <w:rFonts w:ascii="Arial" w:hAnsi="Arial" w:cs="Arial"/>
          <w:szCs w:val="18"/>
        </w:rPr>
        <w:t>Sulaeman</w:t>
      </w:r>
      <w:proofErr w:type="spellEnd"/>
      <w:r w:rsidRPr="007B3EC0">
        <w:rPr>
          <w:rFonts w:ascii="Arial" w:hAnsi="Arial" w:cs="Arial"/>
          <w:szCs w:val="18"/>
        </w:rPr>
        <w:t xml:space="preserve"> </w:t>
      </w:r>
      <w:r w:rsidR="00553FBA" w:rsidRPr="00A16CCB">
        <w:rPr>
          <w:rFonts w:ascii="Arial" w:hAnsi="Arial" w:cs="Arial"/>
          <w:szCs w:val="18"/>
        </w:rPr>
        <w:t>et al.</w:t>
      </w:r>
      <w:r w:rsidRPr="007B3EC0">
        <w:rPr>
          <w:rFonts w:ascii="Arial" w:hAnsi="Arial" w:cs="Arial"/>
          <w:szCs w:val="18"/>
        </w:rPr>
        <w:t xml:space="preserve"> 2020). Moreover, </w:t>
      </w:r>
      <w:r w:rsidRPr="007B3EC0">
        <w:rPr>
          <w:rFonts w:ascii="Arial" w:hAnsi="Arial" w:cs="Arial"/>
          <w:i/>
          <w:iCs/>
          <w:szCs w:val="18"/>
        </w:rPr>
        <w:t xml:space="preserve">P. </w:t>
      </w:r>
      <w:proofErr w:type="spellStart"/>
      <w:r w:rsidRPr="007B3EC0">
        <w:rPr>
          <w:rFonts w:ascii="Arial" w:hAnsi="Arial" w:cs="Arial"/>
          <w:i/>
          <w:iCs/>
          <w:szCs w:val="18"/>
        </w:rPr>
        <w:t>canaliculata</w:t>
      </w:r>
      <w:proofErr w:type="spellEnd"/>
      <w:r w:rsidRPr="007B3EC0">
        <w:rPr>
          <w:rFonts w:ascii="Arial" w:hAnsi="Arial" w:cs="Arial"/>
          <w:szCs w:val="18"/>
        </w:rPr>
        <w:t xml:space="preserve">, </w:t>
      </w:r>
      <w:r w:rsidRPr="007B3EC0">
        <w:rPr>
          <w:rFonts w:ascii="Arial" w:hAnsi="Arial" w:cs="Arial"/>
          <w:i/>
          <w:iCs/>
          <w:szCs w:val="18"/>
        </w:rPr>
        <w:t>F. javanica</w:t>
      </w:r>
      <w:r w:rsidRPr="007B3EC0">
        <w:rPr>
          <w:rFonts w:ascii="Arial" w:hAnsi="Arial" w:cs="Arial"/>
          <w:szCs w:val="18"/>
        </w:rPr>
        <w:t xml:space="preserve">, and </w:t>
      </w:r>
      <w:r w:rsidRPr="007B3EC0">
        <w:rPr>
          <w:rFonts w:ascii="Arial" w:hAnsi="Arial" w:cs="Arial"/>
          <w:i/>
          <w:iCs/>
          <w:szCs w:val="18"/>
        </w:rPr>
        <w:t xml:space="preserve">T. </w:t>
      </w:r>
      <w:proofErr w:type="spellStart"/>
      <w:r w:rsidRPr="007B3EC0">
        <w:rPr>
          <w:rFonts w:ascii="Arial" w:hAnsi="Arial" w:cs="Arial"/>
          <w:i/>
          <w:iCs/>
          <w:szCs w:val="18"/>
        </w:rPr>
        <w:t>granifera</w:t>
      </w:r>
      <w:proofErr w:type="spellEnd"/>
      <w:r w:rsidRPr="007B3EC0">
        <w:rPr>
          <w:rFonts w:ascii="Arial" w:hAnsi="Arial" w:cs="Arial"/>
          <w:szCs w:val="18"/>
        </w:rPr>
        <w:t xml:space="preserve"> were found at nearly all stations, demonstrating their high adaptive capacity in both soft (muddy) and hard (gravelly) substrates</w:t>
      </w:r>
      <w:r w:rsidR="009D2F4C">
        <w:rPr>
          <w:rFonts w:ascii="Arial" w:hAnsi="Arial" w:cs="Arial"/>
          <w:sz w:val="22"/>
        </w:rPr>
        <w:t xml:space="preserve"> </w:t>
      </w:r>
      <w:r w:rsidR="009D2F4C" w:rsidRPr="009D2F4C">
        <w:rPr>
          <w:rFonts w:ascii="Arial" w:hAnsi="Arial" w:cs="Arial"/>
        </w:rPr>
        <w:t>(</w:t>
      </w:r>
      <w:proofErr w:type="spellStart"/>
      <w:r w:rsidR="009D2F4C" w:rsidRPr="009D2F4C">
        <w:rPr>
          <w:rFonts w:ascii="Arial" w:hAnsi="Arial" w:cs="Arial"/>
        </w:rPr>
        <w:t>Athifah</w:t>
      </w:r>
      <w:proofErr w:type="spellEnd"/>
      <w:r w:rsidR="009D2F4C">
        <w:rPr>
          <w:rFonts w:ascii="Arial" w:hAnsi="Arial" w:cs="Arial"/>
          <w:szCs w:val="18"/>
        </w:rPr>
        <w:t xml:space="preserve"> et al.</w:t>
      </w:r>
      <w:r w:rsidR="009D2F4C" w:rsidRPr="009D2F4C">
        <w:rPr>
          <w:rFonts w:ascii="Arial" w:hAnsi="Arial" w:cs="Arial"/>
          <w:szCs w:val="18"/>
        </w:rPr>
        <w:t xml:space="preserve"> 2019)</w:t>
      </w:r>
    </w:p>
    <w:p w14:paraId="433F056F" w14:textId="77777777" w:rsidR="00AF0E01" w:rsidRPr="00FB3A86" w:rsidRDefault="00AF0E01" w:rsidP="006022C3">
      <w:pPr>
        <w:pStyle w:val="Body"/>
        <w:spacing w:after="0" w:line="276" w:lineRule="auto"/>
        <w:rPr>
          <w:rFonts w:ascii="Arial" w:hAnsi="Arial" w:cs="Arial"/>
        </w:rPr>
      </w:pPr>
    </w:p>
    <w:p w14:paraId="0F6858D5" w14:textId="1696D735" w:rsidR="00790ADA" w:rsidRPr="00FB3A86" w:rsidRDefault="00000F8F" w:rsidP="006022C3">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7D2F2205" w14:textId="7E2D3404" w:rsidR="0047412E" w:rsidRPr="00FB3A86" w:rsidRDefault="00226B12" w:rsidP="007B3EC0">
      <w:pPr>
        <w:pStyle w:val="Body"/>
        <w:spacing w:after="0" w:line="276" w:lineRule="auto"/>
        <w:rPr>
          <w:rFonts w:ascii="Arial" w:hAnsi="Arial" w:cs="Arial"/>
        </w:rPr>
      </w:pPr>
      <w:r>
        <w:rPr>
          <w:rFonts w:ascii="Arial" w:hAnsi="Arial" w:cs="Arial"/>
        </w:rPr>
        <w:tab/>
      </w:r>
      <w:r w:rsidR="007B3EC0">
        <w:rPr>
          <w:rFonts w:ascii="Arial" w:hAnsi="Arial" w:cs="Arial"/>
        </w:rPr>
        <w:t>T</w:t>
      </w:r>
      <w:r w:rsidR="007B3EC0" w:rsidRPr="007B3EC0">
        <w:rPr>
          <w:rFonts w:ascii="Arial" w:hAnsi="Arial" w:cs="Arial"/>
        </w:rPr>
        <w:t xml:space="preserve">otal of 11 </w:t>
      </w:r>
      <w:proofErr w:type="spellStart"/>
      <w:r w:rsidR="007B3EC0" w:rsidRPr="007B3EC0">
        <w:rPr>
          <w:rFonts w:ascii="Arial" w:hAnsi="Arial" w:cs="Arial"/>
        </w:rPr>
        <w:t>macrozoobenthos</w:t>
      </w:r>
      <w:proofErr w:type="spellEnd"/>
      <w:r w:rsidR="007B3EC0" w:rsidRPr="007B3EC0">
        <w:rPr>
          <w:rFonts w:ascii="Arial" w:hAnsi="Arial" w:cs="Arial"/>
        </w:rPr>
        <w:t xml:space="preserve"> species were </w:t>
      </w:r>
      <w:r w:rsidR="007B3EC0">
        <w:rPr>
          <w:rFonts w:ascii="Arial" w:hAnsi="Arial" w:cs="Arial"/>
        </w:rPr>
        <w:t>identified</w:t>
      </w:r>
      <w:r w:rsidR="007B3EC0" w:rsidRPr="007B3EC0">
        <w:rPr>
          <w:rFonts w:ascii="Arial" w:hAnsi="Arial" w:cs="Arial"/>
        </w:rPr>
        <w:t xml:space="preserve"> in Situ </w:t>
      </w:r>
      <w:proofErr w:type="spellStart"/>
      <w:r w:rsidR="007B3EC0" w:rsidRPr="007B3EC0">
        <w:rPr>
          <w:rFonts w:ascii="Arial" w:hAnsi="Arial" w:cs="Arial"/>
        </w:rPr>
        <w:t>Sipatahunan</w:t>
      </w:r>
      <w:proofErr w:type="spellEnd"/>
      <w:r w:rsidR="007B3EC0" w:rsidRPr="007B3EC0">
        <w:rPr>
          <w:rFonts w:ascii="Arial" w:hAnsi="Arial" w:cs="Arial"/>
        </w:rPr>
        <w:t xml:space="preserve">, dominated by </w:t>
      </w:r>
      <w:proofErr w:type="spellStart"/>
      <w:r w:rsidR="00553FBA" w:rsidRPr="00553FBA">
        <w:rPr>
          <w:rFonts w:ascii="Arial" w:hAnsi="Arial" w:cs="Arial"/>
          <w:i/>
          <w:iCs/>
        </w:rPr>
        <w:t>Pomacea</w:t>
      </w:r>
      <w:proofErr w:type="spellEnd"/>
      <w:r w:rsidR="007B3EC0" w:rsidRPr="007B3EC0">
        <w:rPr>
          <w:rFonts w:ascii="Arial" w:hAnsi="Arial" w:cs="Arial"/>
          <w:i/>
          <w:iCs/>
        </w:rPr>
        <w:t xml:space="preserve"> </w:t>
      </w:r>
      <w:proofErr w:type="spellStart"/>
      <w:r w:rsidR="007B3EC0" w:rsidRPr="007B3EC0">
        <w:rPr>
          <w:rFonts w:ascii="Arial" w:hAnsi="Arial" w:cs="Arial"/>
          <w:i/>
          <w:iCs/>
        </w:rPr>
        <w:t>canaliculata</w:t>
      </w:r>
      <w:proofErr w:type="spellEnd"/>
      <w:r w:rsidR="007B3EC0" w:rsidRPr="007B3EC0">
        <w:rPr>
          <w:rFonts w:ascii="Arial" w:hAnsi="Arial" w:cs="Arial"/>
        </w:rPr>
        <w:t xml:space="preserve">, </w:t>
      </w:r>
      <w:proofErr w:type="spellStart"/>
      <w:r w:rsidR="007B3EC0" w:rsidRPr="007B3EC0">
        <w:rPr>
          <w:rFonts w:ascii="Arial" w:hAnsi="Arial" w:cs="Arial"/>
          <w:i/>
          <w:iCs/>
        </w:rPr>
        <w:t>Tarebia</w:t>
      </w:r>
      <w:proofErr w:type="spellEnd"/>
      <w:r w:rsidR="007B3EC0" w:rsidRPr="007B3EC0">
        <w:rPr>
          <w:rFonts w:ascii="Arial" w:hAnsi="Arial" w:cs="Arial"/>
          <w:i/>
          <w:iCs/>
        </w:rPr>
        <w:t xml:space="preserve"> </w:t>
      </w:r>
      <w:proofErr w:type="spellStart"/>
      <w:r w:rsidR="007B3EC0" w:rsidRPr="007B3EC0">
        <w:rPr>
          <w:rFonts w:ascii="Arial" w:hAnsi="Arial" w:cs="Arial"/>
          <w:i/>
          <w:iCs/>
        </w:rPr>
        <w:t>granifera</w:t>
      </w:r>
      <w:proofErr w:type="spellEnd"/>
      <w:r w:rsidR="007B3EC0" w:rsidRPr="007B3EC0">
        <w:rPr>
          <w:rFonts w:ascii="Arial" w:hAnsi="Arial" w:cs="Arial"/>
        </w:rPr>
        <w:t xml:space="preserve">, and </w:t>
      </w:r>
      <w:proofErr w:type="spellStart"/>
      <w:r w:rsidR="007B3EC0" w:rsidRPr="007B3EC0">
        <w:rPr>
          <w:rFonts w:ascii="Arial" w:hAnsi="Arial" w:cs="Arial"/>
          <w:i/>
          <w:iCs/>
        </w:rPr>
        <w:t>Filopaludina</w:t>
      </w:r>
      <w:proofErr w:type="spellEnd"/>
      <w:r w:rsidR="007B3EC0" w:rsidRPr="007B3EC0">
        <w:rPr>
          <w:rFonts w:ascii="Arial" w:hAnsi="Arial" w:cs="Arial"/>
          <w:i/>
          <w:iCs/>
        </w:rPr>
        <w:t xml:space="preserve"> </w:t>
      </w:r>
      <w:proofErr w:type="spellStart"/>
      <w:r w:rsidR="007B3EC0" w:rsidRPr="007B3EC0">
        <w:rPr>
          <w:rFonts w:ascii="Arial" w:hAnsi="Arial" w:cs="Arial"/>
          <w:i/>
          <w:iCs/>
        </w:rPr>
        <w:t>javanica</w:t>
      </w:r>
      <w:proofErr w:type="spellEnd"/>
      <w:r w:rsidR="007B3EC0" w:rsidRPr="007B3EC0">
        <w:rPr>
          <w:rFonts w:ascii="Arial" w:hAnsi="Arial" w:cs="Arial"/>
        </w:rPr>
        <w:t xml:space="preserve">. Water quality parameters (temperature, pH, DO, and sediment fractions) were generally within the optimum range for </w:t>
      </w:r>
      <w:proofErr w:type="spellStart"/>
      <w:r w:rsidR="007B3EC0" w:rsidRPr="007B3EC0">
        <w:rPr>
          <w:rFonts w:ascii="Arial" w:hAnsi="Arial" w:cs="Arial"/>
        </w:rPr>
        <w:t>macrozoobenthos</w:t>
      </w:r>
      <w:proofErr w:type="spellEnd"/>
      <w:r w:rsidR="007B3EC0" w:rsidRPr="007B3EC0">
        <w:rPr>
          <w:rFonts w:ascii="Arial" w:hAnsi="Arial" w:cs="Arial"/>
        </w:rPr>
        <w:t xml:space="preserve"> survival, although variations were observed due to anthropogenic inputs, particularly at Station 3. Biological indices revealed low to moderate diversity and evenness, with dominance by tolerant species, while the Family Biotic Index (FBI) indicated that the waters were slightly to moderately polluted by organic matter. These findings demonstrate that anthropogenic activities, especially domestic waste, strongly influence water quality and benthic community structure, with gastropods such as </w:t>
      </w:r>
      <w:r w:rsidR="007B3EC0" w:rsidRPr="007B3EC0">
        <w:rPr>
          <w:rFonts w:ascii="Arial" w:hAnsi="Arial" w:cs="Arial"/>
          <w:i/>
          <w:iCs/>
        </w:rPr>
        <w:t xml:space="preserve">P. </w:t>
      </w:r>
      <w:proofErr w:type="spellStart"/>
      <w:r w:rsidR="007B3EC0" w:rsidRPr="007B3EC0">
        <w:rPr>
          <w:rFonts w:ascii="Arial" w:hAnsi="Arial" w:cs="Arial"/>
          <w:i/>
          <w:iCs/>
        </w:rPr>
        <w:t>canaliculata</w:t>
      </w:r>
      <w:proofErr w:type="spellEnd"/>
      <w:r w:rsidR="007B3EC0" w:rsidRPr="007B3EC0">
        <w:rPr>
          <w:rFonts w:ascii="Arial" w:hAnsi="Arial" w:cs="Arial"/>
        </w:rPr>
        <w:t xml:space="preserve"> serving as reliable indicators of organic pollution.</w:t>
      </w:r>
    </w:p>
    <w:p w14:paraId="6B1AF588" w14:textId="77777777" w:rsidR="00860000" w:rsidRDefault="00860000" w:rsidP="006022C3">
      <w:pPr>
        <w:pStyle w:val="ReferHead"/>
        <w:spacing w:after="0" w:line="276" w:lineRule="auto"/>
        <w:jc w:val="both"/>
        <w:rPr>
          <w:rFonts w:ascii="Arial" w:hAnsi="Arial" w:cs="Arial"/>
        </w:rPr>
      </w:pPr>
      <w:bookmarkStart w:id="0" w:name="_GoBack"/>
      <w:bookmarkEnd w:id="0"/>
    </w:p>
    <w:p w14:paraId="1BE57C91" w14:textId="77777777" w:rsidR="00D03CF0" w:rsidRDefault="00D03CF0" w:rsidP="006022C3">
      <w:pPr>
        <w:pStyle w:val="ReferHead"/>
        <w:spacing w:after="0" w:line="276" w:lineRule="auto"/>
        <w:jc w:val="both"/>
        <w:rPr>
          <w:rFonts w:ascii="Arial" w:hAnsi="Arial" w:cs="Arial"/>
        </w:rPr>
      </w:pPr>
    </w:p>
    <w:p w14:paraId="7210238F" w14:textId="77777777" w:rsidR="00D03CF0" w:rsidRDefault="00D03CF0" w:rsidP="006022C3">
      <w:pPr>
        <w:pStyle w:val="ReferHead"/>
        <w:spacing w:after="0" w:line="276" w:lineRule="auto"/>
        <w:jc w:val="both"/>
        <w:rPr>
          <w:rFonts w:ascii="Arial" w:hAnsi="Arial" w:cs="Arial"/>
        </w:rPr>
      </w:pPr>
    </w:p>
    <w:p w14:paraId="044A55BA" w14:textId="77777777" w:rsidR="00B01FCD" w:rsidRPr="00D03CF0" w:rsidRDefault="00B01FCD" w:rsidP="006022C3">
      <w:pPr>
        <w:pStyle w:val="ReferHead"/>
        <w:spacing w:after="0" w:line="276" w:lineRule="auto"/>
        <w:jc w:val="both"/>
        <w:rPr>
          <w:rFonts w:ascii="Arial" w:hAnsi="Arial" w:cs="Arial"/>
          <w:lang w:val="it-IT"/>
        </w:rPr>
      </w:pPr>
      <w:r w:rsidRPr="00D03CF0">
        <w:rPr>
          <w:rFonts w:ascii="Arial" w:hAnsi="Arial" w:cs="Arial"/>
          <w:lang w:val="it-IT"/>
        </w:rPr>
        <w:t>References</w:t>
      </w:r>
    </w:p>
    <w:p w14:paraId="6D77B649" w14:textId="77777777" w:rsidR="00284C4C" w:rsidRPr="00D03CF0" w:rsidRDefault="00284C4C" w:rsidP="006022C3">
      <w:pPr>
        <w:pStyle w:val="Body"/>
        <w:spacing w:after="0" w:line="276" w:lineRule="auto"/>
        <w:rPr>
          <w:rFonts w:ascii="Arial" w:hAnsi="Arial" w:cs="Arial"/>
          <w:iCs/>
          <w:u w:val="single"/>
          <w:lang w:val="it-IT"/>
        </w:rPr>
      </w:pPr>
    </w:p>
    <w:p w14:paraId="07AB223E"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Anggraini, N., Simartmata, H. A., &amp; Sihotang, C. (2015). Dissolved Oxygen Concentration from the Water around the Floating Cage Fish Culture Area and from the Area with No Cage, in the DAM site of the Koto Panjang Reservoir. Doctoral Dissertation, Riau University.</w:t>
      </w:r>
    </w:p>
    <w:p w14:paraId="4B4D56A6"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Athifah, A., Putri, M. N., Wahyudi, S. I., &amp; Rohyani, I. S. (2019). Mollusc Diversity as a Bioindicator of Water Quality in the Kebon Kongok Landfill Area, West Lombok. Journal of Tropical Biology, 19(1), 54–60.</w:t>
      </w:r>
    </w:p>
    <w:p w14:paraId="71020BFF"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lastRenderedPageBreak/>
        <w:t>Azkiya, R. (2023). Analysis of Water Quality Based on Phytoplankton Diversity in Situ Sipatahunan, Baleendah, West Java [UIN Sunan Gunung Djati]. https://digilib.uinsgd.ac.id/73752/.</w:t>
      </w:r>
    </w:p>
    <w:p w14:paraId="769332D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Chusna, R. R. R., Rudiyanti, S., &amp; Suryanti, S. (2017). The Relationship of Dominant Substrate to Gastropods Abundance in the Mangrove Forest of Kulonprogo, Yogyakarta. SAINTEK PERIKANAN: Indonesian Journal of Fisheries Science and Technology, 13(1), 19.</w:t>
      </w:r>
    </w:p>
    <w:p w14:paraId="0812500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Effendi, H. (2003). Water Quality Review. Yogyakarta: PT. Kanisius.</w:t>
      </w:r>
    </w:p>
    <w:p w14:paraId="4194E200"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Gayosia, A., &amp; Basri, H. (2015). Water quality due to human activities in the freshwater lake catchment area of ​​Central Aceh Regency. Journal of Land Resource Management, 4(1), 543.</w:t>
      </w:r>
    </w:p>
    <w:p w14:paraId="07AF0274"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Hilsenhoff, W.L.. (1988). Rapid Field Assessment of Organic Pollution with a Family-Level Biotic Index. Journal of the North American Benthological Society, 7(1): 65-68.</w:t>
      </w:r>
    </w:p>
    <w:p w14:paraId="5FFDD78F"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Lutfi, M., Nurruhwati, I., Hasan, Z., &amp; Herawati, H. (2020). Macrozoobenthos Spatial Distribution as an Indicator of Cikeruh River Pollution in Sumedang Regency, West Java. Asian Journal of Fisheries and Aquatic Research, 6(2), 18–26.</w:t>
      </w:r>
    </w:p>
    <w:p w14:paraId="2843645D"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Mochamad Zaqi S, (2020) The Concept of Utilizing Sipatahunan Lake as a Drinking Water Source in Baleendah District, Bandung Regency. Undergraduate thesis, Universitas Pasundan. Anas, P., Jubaedah, I., &amp; Sudinno, D. (2017). Water Quality and Waste Load of Floating Net Cages in Jatiluhur Reservoir, West Java. Journal of Fisheries and Marine Extension, 11(1), 35-47.</w:t>
      </w:r>
    </w:p>
    <w:p w14:paraId="3C6E0E5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Munandar, A., Ali, M. S., &amp; Karina, S. (2016). Macrozoobenthos Community Structure in the Kuala Rigaih Estuary, Setia Bakti District, Aceh Jaya Regency. Scientific Journal of Marine and Fisheries Students, Unsyiah, 1(3), 331–336.</w:t>
      </w:r>
    </w:p>
    <w:p w14:paraId="6528EF2D"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Odum, E.P. (1993). Fundamentals of Ecology. Translated by Tjahjono Samingan. Third Edition. Yogyakarta: Gadjah Mada University Press.</w:t>
      </w:r>
    </w:p>
    <w:p w14:paraId="6E6C8DCD"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Government Regulation of the Republic of Indonesia Number 22 of 2021.</w:t>
      </w:r>
    </w:p>
    <w:p w14:paraId="5588E65C"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Ratih, I., Prihanta, W., &amp; Susetyarini, R. E. (2016). Inventory of Macrobenthic Diversity in the Brantas River Basin, Ngoro District, Mojokerto as a Learning Resource for Biology for Senior High School Grade X Students. JPBI (Indonesian Journal of Biology Education), 1(2), 158–168</w:t>
      </w:r>
    </w:p>
    <w:p w14:paraId="7FFA3F0B"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Rijaluddin, A. F., Wijayanti, F., &amp; Haryadi, J. (2017). Macrobenthic Community Structure in Situ Gintung, Situ Bungur, and Situ Kuru, East Ciputat. Journal of Environmental Technology, 18(2), 139. https://doi.org/10.29122/jtl.v18i2.1613 Heriyanto, H., Hasan, Z., Yustiati, A., &amp; Nurruhwati, I. (2018). The Impact of Floating Net Cage Cultivation on Primary Productivity in the Darma Reservoir, Kuningan Regency, West Java. Journal of Fisheries and Marine Affairs Vol. IX No. 27, 33.</w:t>
      </w:r>
    </w:p>
    <w:p w14:paraId="3E51913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Rosyadi, H. I., &amp; Ali, M. (2020). Biomonitoring of Macrobenthos as an Indicator of River Water Quality. Jurnal Envirotek, 12(1), 11–18.</w:t>
      </w:r>
    </w:p>
    <w:p w14:paraId="5A3CCD83"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Ruswahyuni, (2010). Population and Diversity of Macrobenthos in Closed and Open Waters in Awur Bay, Jepara. Scientific Journal of Fisheries and Marine Sciences. Vol. 2(1): 11–20.</w:t>
      </w:r>
    </w:p>
    <w:p w14:paraId="69A4EEF5"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Sukmabuana, P. (2016). Absorption of Cs-134 in Water by Catfish (Clarias sp.). Proceedings of the National Seminar on Nuclear Energy Technology, 713–720.</w:t>
      </w:r>
    </w:p>
    <w:p w14:paraId="77701B12"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Sulaeman, D., Nurruhwati, I., Hasan, Z., &amp; Hamdani, H. (2020). Spatial Distribution of Macrozoobenthos as Bioindicators of Organic Material Pollution in the Citanduy River, Cisayong, Tasikmalaya Region, West Java, Indonesia. Asian Journal of Fisheries and Aquatic Research, 9(1), 32–42.</w:t>
      </w:r>
    </w:p>
    <w:p w14:paraId="22CB7B3A"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lastRenderedPageBreak/>
        <w:t>Supriyatna, A. A., Mustahiq Akbar, R. T., &amp; Azizah, A. N. (2023). Zooplankton Diversity as a Bioindicator of Water Quality in Sipatahunan Baleendah Lake, Bandung Regency, West Java. Al-Nafis: Journal of Biology and Biology Education, 3(2), 77. https://doi.org/10.46339/al-nafis.v3i2.1151.</w:t>
      </w:r>
    </w:p>
    <w:p w14:paraId="734312F2"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Susanti, R. (2018). Gastropod Community Structure in the Mangrove Forest of Lalang Village, Sungai Apit District, Siak Regency. University of Riau. Pekanbaru</w:t>
      </w:r>
    </w:p>
    <w:p w14:paraId="6F3AB490"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Ulfah, Y., Widianingsih, &amp; Zainuri, M. (2012). Macrobenthic Community Structure in the Waters of Morosari, Bedono Village, Sayung District, Demak. Journal of Marine Research, 1(2), 188–196.</w:t>
      </w:r>
    </w:p>
    <w:p w14:paraId="27901535" w14:textId="3A2DF2D2" w:rsidR="009D2F4C" w:rsidRPr="00E20239" w:rsidRDefault="00A3125D" w:rsidP="00A3125D">
      <w:pPr>
        <w:pStyle w:val="Body"/>
        <w:spacing w:line="276" w:lineRule="auto"/>
        <w:rPr>
          <w:rFonts w:ascii="Arial" w:hAnsi="Arial" w:cs="Arial"/>
          <w:shd w:val="clear" w:color="auto" w:fill="FFFFFF"/>
          <w:lang w:val="it-IT"/>
        </w:rPr>
      </w:pPr>
      <w:r w:rsidRPr="00A3125D">
        <w:rPr>
          <w:rFonts w:ascii="Arial" w:hAnsi="Arial" w:cs="Arial"/>
          <w:lang w:val="sv-SE"/>
        </w:rPr>
        <w:t>Vinda, G., Pelealu, E., Koneri, R., &amp; Butarbutar, R. R. (2018). Abundance and Diversity of Macrobenthos in the Tunan Waterfall River, Talawaan, North Minahasa, North Sulawesi. Scientific Science, 18(2), 97–102. Ismail, I., Melani, W. R., &amp; Apriadi, T. Water Fertility Level in the Waters of Kampung Madong, Kampung Bugis Subdistrict, Tanjungpinang City. Ju</w:t>
      </w:r>
    </w:p>
    <w:sectPr w:rsidR="009D2F4C" w:rsidRPr="00E20239" w:rsidSect="00D5790B">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9B0F" w14:textId="77777777" w:rsidR="00177351" w:rsidRDefault="00177351" w:rsidP="00C37E61">
      <w:r>
        <w:separator/>
      </w:r>
    </w:p>
  </w:endnote>
  <w:endnote w:type="continuationSeparator" w:id="0">
    <w:p w14:paraId="2605342D" w14:textId="77777777" w:rsidR="00177351" w:rsidRDefault="001773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9421" w14:textId="77777777" w:rsidR="00D5790B" w:rsidRDefault="00D57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CFCA" w14:textId="77777777" w:rsidR="00F4441C" w:rsidRDefault="00F4441C" w:rsidP="00C37E61">
    <w:pPr>
      <w:pStyle w:val="Footer"/>
    </w:pPr>
  </w:p>
  <w:p w14:paraId="4379B43C" w14:textId="77777777" w:rsidR="00F4441C" w:rsidRDefault="00F4441C" w:rsidP="00C37E61">
    <w:pPr>
      <w:pStyle w:val="Footer"/>
    </w:pPr>
  </w:p>
  <w:p w14:paraId="4D92AFE0" w14:textId="78B30CF4" w:rsidR="00C37E61" w:rsidRDefault="00C37E61" w:rsidP="00C37E61">
    <w:pPr>
      <w:pStyle w:val="Footer"/>
    </w:pPr>
  </w:p>
  <w:p w14:paraId="3EF0B85F" w14:textId="77777777" w:rsidR="004F0561" w:rsidRDefault="004F05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C445" w14:textId="77777777" w:rsidR="009E048A" w:rsidRDefault="009E048A">
    <w:pPr>
      <w:pStyle w:val="Footer"/>
      <w:rPr>
        <w:rFonts w:ascii="Arial" w:hAnsi="Arial" w:cs="Arial"/>
        <w:sz w:val="16"/>
      </w:rPr>
    </w:pPr>
  </w:p>
  <w:p w14:paraId="4483611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30508C" w14:textId="77777777" w:rsidR="009E048A" w:rsidRDefault="009E048A">
    <w:pPr>
      <w:pStyle w:val="Footer"/>
      <w:rPr>
        <w:rFonts w:ascii="Arial" w:hAnsi="Arial" w:cs="Arial"/>
        <w:sz w:val="16"/>
      </w:rPr>
    </w:pPr>
  </w:p>
  <w:p w14:paraId="7B8EF69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E0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A1FC4" w14:textId="77777777" w:rsidR="00177351" w:rsidRDefault="00177351" w:rsidP="00C37E61">
      <w:r>
        <w:separator/>
      </w:r>
    </w:p>
  </w:footnote>
  <w:footnote w:type="continuationSeparator" w:id="0">
    <w:p w14:paraId="18FB1AF3" w14:textId="77777777" w:rsidR="00177351" w:rsidRDefault="001773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327F" w14:textId="6D09DFFE" w:rsidR="00D5790B" w:rsidRDefault="00D5790B">
    <w:pPr>
      <w:pStyle w:val="Header"/>
    </w:pPr>
    <w:r>
      <w:rPr>
        <w:noProof/>
      </w:rPr>
      <w:pict w14:anchorId="4FAAF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E816" w14:textId="7CCBEDC9" w:rsidR="00D5790B" w:rsidRDefault="00D5790B">
    <w:pPr>
      <w:pStyle w:val="Header"/>
    </w:pPr>
    <w:r>
      <w:rPr>
        <w:noProof/>
      </w:rPr>
      <w:pict w14:anchorId="2BB29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D217" w14:textId="5C58E0DA" w:rsidR="00296529" w:rsidRPr="00296529" w:rsidRDefault="00D5790B" w:rsidP="00296529">
    <w:pPr>
      <w:ind w:left="2160"/>
      <w:jc w:val="center"/>
      <w:rPr>
        <w:rFonts w:ascii="Times New Roman" w:eastAsia="Calibri" w:hAnsi="Times New Roman"/>
        <w:i/>
        <w:sz w:val="18"/>
        <w:szCs w:val="22"/>
      </w:rPr>
    </w:pPr>
    <w:r>
      <w:rPr>
        <w:noProof/>
      </w:rPr>
      <w:pict w14:anchorId="4AC40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59"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B080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5152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D45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D091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5EF6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13C2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A136" w14:textId="4950ABC9" w:rsidR="00D5790B" w:rsidRDefault="00D5790B">
    <w:pPr>
      <w:pStyle w:val="Header"/>
    </w:pPr>
    <w:r>
      <w:rPr>
        <w:noProof/>
      </w:rPr>
      <w:pict w14:anchorId="11035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3"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5A74" w14:textId="1103E1AA" w:rsidR="00D5790B" w:rsidRDefault="00D5790B">
    <w:pPr>
      <w:pStyle w:val="Header"/>
    </w:pPr>
    <w:r>
      <w:rPr>
        <w:noProof/>
      </w:rPr>
      <w:pict w14:anchorId="2ABF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4"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E42D" w14:textId="375AC694" w:rsidR="00D5790B" w:rsidRDefault="00D5790B">
    <w:pPr>
      <w:pStyle w:val="Header"/>
    </w:pPr>
    <w:r>
      <w:rPr>
        <w:noProof/>
      </w:rPr>
      <w:pict w14:anchorId="2DD3F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2"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427C8"/>
    <w:multiLevelType w:val="hybridMultilevel"/>
    <w:tmpl w:val="B13002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AC674C"/>
    <w:multiLevelType w:val="singleLevel"/>
    <w:tmpl w:val="D722B678"/>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D82B95"/>
    <w:multiLevelType w:val="hybridMultilevel"/>
    <w:tmpl w:val="3968AE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FBA"/>
    <w:rsid w:val="00013AA1"/>
    <w:rsid w:val="00024569"/>
    <w:rsid w:val="00025119"/>
    <w:rsid w:val="00030174"/>
    <w:rsid w:val="0004221A"/>
    <w:rsid w:val="0004579C"/>
    <w:rsid w:val="0004736B"/>
    <w:rsid w:val="00052632"/>
    <w:rsid w:val="0005712A"/>
    <w:rsid w:val="00062039"/>
    <w:rsid w:val="000710BF"/>
    <w:rsid w:val="00080215"/>
    <w:rsid w:val="000870F3"/>
    <w:rsid w:val="000A47FA"/>
    <w:rsid w:val="000A640E"/>
    <w:rsid w:val="000A65D3"/>
    <w:rsid w:val="000B1E33"/>
    <w:rsid w:val="000B3583"/>
    <w:rsid w:val="000C3BCA"/>
    <w:rsid w:val="000D4397"/>
    <w:rsid w:val="000D689F"/>
    <w:rsid w:val="000E7B7B"/>
    <w:rsid w:val="000E7D62"/>
    <w:rsid w:val="000F199A"/>
    <w:rsid w:val="000F5346"/>
    <w:rsid w:val="000F57C1"/>
    <w:rsid w:val="00103357"/>
    <w:rsid w:val="00123C9F"/>
    <w:rsid w:val="00126190"/>
    <w:rsid w:val="001301F7"/>
    <w:rsid w:val="00130F17"/>
    <w:rsid w:val="001320BF"/>
    <w:rsid w:val="00163BC4"/>
    <w:rsid w:val="00177351"/>
    <w:rsid w:val="001908C3"/>
    <w:rsid w:val="00191062"/>
    <w:rsid w:val="00192B72"/>
    <w:rsid w:val="001A29D8"/>
    <w:rsid w:val="001A5CAA"/>
    <w:rsid w:val="001B0427"/>
    <w:rsid w:val="001B771A"/>
    <w:rsid w:val="001D3A51"/>
    <w:rsid w:val="001E10D2"/>
    <w:rsid w:val="001E25B4"/>
    <w:rsid w:val="001E44FE"/>
    <w:rsid w:val="001E5C93"/>
    <w:rsid w:val="00200595"/>
    <w:rsid w:val="00204835"/>
    <w:rsid w:val="00226B12"/>
    <w:rsid w:val="00231920"/>
    <w:rsid w:val="0023195C"/>
    <w:rsid w:val="0024282C"/>
    <w:rsid w:val="002460DC"/>
    <w:rsid w:val="00250985"/>
    <w:rsid w:val="002556F6"/>
    <w:rsid w:val="002567A0"/>
    <w:rsid w:val="00262F32"/>
    <w:rsid w:val="00266E31"/>
    <w:rsid w:val="00283105"/>
    <w:rsid w:val="00284593"/>
    <w:rsid w:val="00284C4C"/>
    <w:rsid w:val="00287E68"/>
    <w:rsid w:val="00296529"/>
    <w:rsid w:val="002B27FB"/>
    <w:rsid w:val="002B685A"/>
    <w:rsid w:val="002C57D2"/>
    <w:rsid w:val="002E0D56"/>
    <w:rsid w:val="002F5B87"/>
    <w:rsid w:val="002F710C"/>
    <w:rsid w:val="0030688C"/>
    <w:rsid w:val="00315186"/>
    <w:rsid w:val="00320778"/>
    <w:rsid w:val="0032559C"/>
    <w:rsid w:val="0033343E"/>
    <w:rsid w:val="00340462"/>
    <w:rsid w:val="00347456"/>
    <w:rsid w:val="003512C2"/>
    <w:rsid w:val="0035371B"/>
    <w:rsid w:val="0036423E"/>
    <w:rsid w:val="00371FB6"/>
    <w:rsid w:val="003763C1"/>
    <w:rsid w:val="00376BBE"/>
    <w:rsid w:val="003855CA"/>
    <w:rsid w:val="003860DC"/>
    <w:rsid w:val="00391E27"/>
    <w:rsid w:val="0039224F"/>
    <w:rsid w:val="003A3F67"/>
    <w:rsid w:val="003A43A4"/>
    <w:rsid w:val="003A7E18"/>
    <w:rsid w:val="003C4C86"/>
    <w:rsid w:val="003C6258"/>
    <w:rsid w:val="003E2904"/>
    <w:rsid w:val="00401927"/>
    <w:rsid w:val="0041027F"/>
    <w:rsid w:val="00412475"/>
    <w:rsid w:val="00423789"/>
    <w:rsid w:val="00440F43"/>
    <w:rsid w:val="00441B6F"/>
    <w:rsid w:val="00442304"/>
    <w:rsid w:val="00446221"/>
    <w:rsid w:val="00450E62"/>
    <w:rsid w:val="004539DB"/>
    <w:rsid w:val="004607BC"/>
    <w:rsid w:val="00467347"/>
    <w:rsid w:val="00471A80"/>
    <w:rsid w:val="0047412E"/>
    <w:rsid w:val="004B7104"/>
    <w:rsid w:val="004C0FCE"/>
    <w:rsid w:val="004D305E"/>
    <w:rsid w:val="004D4277"/>
    <w:rsid w:val="004E1365"/>
    <w:rsid w:val="004F0561"/>
    <w:rsid w:val="00502516"/>
    <w:rsid w:val="00505F06"/>
    <w:rsid w:val="00506828"/>
    <w:rsid w:val="0050714F"/>
    <w:rsid w:val="0053056E"/>
    <w:rsid w:val="00530778"/>
    <w:rsid w:val="005355A9"/>
    <w:rsid w:val="00553FBA"/>
    <w:rsid w:val="00554FDA"/>
    <w:rsid w:val="00586061"/>
    <w:rsid w:val="005B5C71"/>
    <w:rsid w:val="005C784C"/>
    <w:rsid w:val="005D17F6"/>
    <w:rsid w:val="005E5539"/>
    <w:rsid w:val="005F315A"/>
    <w:rsid w:val="005F4663"/>
    <w:rsid w:val="005F47C7"/>
    <w:rsid w:val="005F67E7"/>
    <w:rsid w:val="006022C3"/>
    <w:rsid w:val="00602BF5"/>
    <w:rsid w:val="00604781"/>
    <w:rsid w:val="00612125"/>
    <w:rsid w:val="00617FDD"/>
    <w:rsid w:val="00633614"/>
    <w:rsid w:val="00633F68"/>
    <w:rsid w:val="00636EB2"/>
    <w:rsid w:val="0063739C"/>
    <w:rsid w:val="006375B8"/>
    <w:rsid w:val="00653988"/>
    <w:rsid w:val="0066510A"/>
    <w:rsid w:val="00673F9F"/>
    <w:rsid w:val="00686953"/>
    <w:rsid w:val="00687DEA"/>
    <w:rsid w:val="00687E67"/>
    <w:rsid w:val="00695974"/>
    <w:rsid w:val="006967F7"/>
    <w:rsid w:val="006A250C"/>
    <w:rsid w:val="006B21D3"/>
    <w:rsid w:val="006B57D0"/>
    <w:rsid w:val="006C478E"/>
    <w:rsid w:val="006D30FF"/>
    <w:rsid w:val="006D6940"/>
    <w:rsid w:val="006F11EC"/>
    <w:rsid w:val="006F3055"/>
    <w:rsid w:val="0070082C"/>
    <w:rsid w:val="00707954"/>
    <w:rsid w:val="00724A46"/>
    <w:rsid w:val="007369E6"/>
    <w:rsid w:val="00744EBF"/>
    <w:rsid w:val="00746E59"/>
    <w:rsid w:val="00754C9A"/>
    <w:rsid w:val="0075599A"/>
    <w:rsid w:val="007612DB"/>
    <w:rsid w:val="00761D52"/>
    <w:rsid w:val="00771F49"/>
    <w:rsid w:val="0077749E"/>
    <w:rsid w:val="0079058F"/>
    <w:rsid w:val="00790ADA"/>
    <w:rsid w:val="007B3EC0"/>
    <w:rsid w:val="007D2288"/>
    <w:rsid w:val="007E011C"/>
    <w:rsid w:val="007E063E"/>
    <w:rsid w:val="007E088F"/>
    <w:rsid w:val="007E3FD3"/>
    <w:rsid w:val="007F7B32"/>
    <w:rsid w:val="00804BC2"/>
    <w:rsid w:val="0081431A"/>
    <w:rsid w:val="0083216F"/>
    <w:rsid w:val="00852CC1"/>
    <w:rsid w:val="00860000"/>
    <w:rsid w:val="00863BD3"/>
    <w:rsid w:val="008641ED"/>
    <w:rsid w:val="00866D66"/>
    <w:rsid w:val="008671C6"/>
    <w:rsid w:val="00874446"/>
    <w:rsid w:val="00875803"/>
    <w:rsid w:val="008A2624"/>
    <w:rsid w:val="008A5AE1"/>
    <w:rsid w:val="008A784F"/>
    <w:rsid w:val="008B3843"/>
    <w:rsid w:val="008B459E"/>
    <w:rsid w:val="008E13AE"/>
    <w:rsid w:val="008E1506"/>
    <w:rsid w:val="008E710C"/>
    <w:rsid w:val="008F69D6"/>
    <w:rsid w:val="008F7547"/>
    <w:rsid w:val="00900BFB"/>
    <w:rsid w:val="00902823"/>
    <w:rsid w:val="00915CA6"/>
    <w:rsid w:val="00927834"/>
    <w:rsid w:val="00940BAA"/>
    <w:rsid w:val="009500A6"/>
    <w:rsid w:val="009507DA"/>
    <w:rsid w:val="00953A3A"/>
    <w:rsid w:val="00957C18"/>
    <w:rsid w:val="009659BA"/>
    <w:rsid w:val="00983040"/>
    <w:rsid w:val="00991139"/>
    <w:rsid w:val="009B3FB9"/>
    <w:rsid w:val="009C2465"/>
    <w:rsid w:val="009D0FD9"/>
    <w:rsid w:val="009D2F4C"/>
    <w:rsid w:val="009D35A0"/>
    <w:rsid w:val="009D7EB7"/>
    <w:rsid w:val="009E048A"/>
    <w:rsid w:val="009E08E9"/>
    <w:rsid w:val="009E3DB9"/>
    <w:rsid w:val="009E5E02"/>
    <w:rsid w:val="009E6E35"/>
    <w:rsid w:val="009F0EDA"/>
    <w:rsid w:val="009F1B20"/>
    <w:rsid w:val="00A03B96"/>
    <w:rsid w:val="00A05B19"/>
    <w:rsid w:val="00A1134E"/>
    <w:rsid w:val="00A16CCB"/>
    <w:rsid w:val="00A24E7E"/>
    <w:rsid w:val="00A258C3"/>
    <w:rsid w:val="00A3125D"/>
    <w:rsid w:val="00A32BF4"/>
    <w:rsid w:val="00A347C0"/>
    <w:rsid w:val="00A4148D"/>
    <w:rsid w:val="00A51431"/>
    <w:rsid w:val="00A51C51"/>
    <w:rsid w:val="00A539AD"/>
    <w:rsid w:val="00A63D09"/>
    <w:rsid w:val="00A75118"/>
    <w:rsid w:val="00A77DC3"/>
    <w:rsid w:val="00A94063"/>
    <w:rsid w:val="00AA6219"/>
    <w:rsid w:val="00AA74E0"/>
    <w:rsid w:val="00AB703F"/>
    <w:rsid w:val="00AC6BB8"/>
    <w:rsid w:val="00AE008F"/>
    <w:rsid w:val="00AF0E01"/>
    <w:rsid w:val="00B01FCD"/>
    <w:rsid w:val="00B16F3F"/>
    <w:rsid w:val="00B1776C"/>
    <w:rsid w:val="00B305CD"/>
    <w:rsid w:val="00B52583"/>
    <w:rsid w:val="00B52896"/>
    <w:rsid w:val="00B672E0"/>
    <w:rsid w:val="00B76057"/>
    <w:rsid w:val="00B90F7A"/>
    <w:rsid w:val="00B95236"/>
    <w:rsid w:val="00B96BD9"/>
    <w:rsid w:val="00BA1B01"/>
    <w:rsid w:val="00BA2641"/>
    <w:rsid w:val="00BB37AA"/>
    <w:rsid w:val="00BC53A0"/>
    <w:rsid w:val="00BE62AD"/>
    <w:rsid w:val="00BE6E23"/>
    <w:rsid w:val="00BF121F"/>
    <w:rsid w:val="00BF1F80"/>
    <w:rsid w:val="00BF4921"/>
    <w:rsid w:val="00C166EF"/>
    <w:rsid w:val="00C17148"/>
    <w:rsid w:val="00C17EB0"/>
    <w:rsid w:val="00C27F5F"/>
    <w:rsid w:val="00C30A0F"/>
    <w:rsid w:val="00C37E61"/>
    <w:rsid w:val="00C50D9B"/>
    <w:rsid w:val="00C70F1B"/>
    <w:rsid w:val="00C71A47"/>
    <w:rsid w:val="00C7464C"/>
    <w:rsid w:val="00C84FE1"/>
    <w:rsid w:val="00C85588"/>
    <w:rsid w:val="00CA2BFA"/>
    <w:rsid w:val="00CD6755"/>
    <w:rsid w:val="00CD6856"/>
    <w:rsid w:val="00CE0089"/>
    <w:rsid w:val="00CE793C"/>
    <w:rsid w:val="00CF193C"/>
    <w:rsid w:val="00CF1C46"/>
    <w:rsid w:val="00D03CF0"/>
    <w:rsid w:val="00D173F1"/>
    <w:rsid w:val="00D25AD7"/>
    <w:rsid w:val="00D51CF8"/>
    <w:rsid w:val="00D5790B"/>
    <w:rsid w:val="00D74CB0"/>
    <w:rsid w:val="00D8295D"/>
    <w:rsid w:val="00D9473D"/>
    <w:rsid w:val="00DB4D1F"/>
    <w:rsid w:val="00DC2A65"/>
    <w:rsid w:val="00DD265D"/>
    <w:rsid w:val="00DD5182"/>
    <w:rsid w:val="00DE15F0"/>
    <w:rsid w:val="00DE5663"/>
    <w:rsid w:val="00DE78AA"/>
    <w:rsid w:val="00E053D0"/>
    <w:rsid w:val="00E13D01"/>
    <w:rsid w:val="00E14061"/>
    <w:rsid w:val="00E14F14"/>
    <w:rsid w:val="00E15994"/>
    <w:rsid w:val="00E20239"/>
    <w:rsid w:val="00E2060F"/>
    <w:rsid w:val="00E27FCB"/>
    <w:rsid w:val="00E3114E"/>
    <w:rsid w:val="00E31A70"/>
    <w:rsid w:val="00E32FB1"/>
    <w:rsid w:val="00E35B02"/>
    <w:rsid w:val="00E54E6E"/>
    <w:rsid w:val="00E66496"/>
    <w:rsid w:val="00E66B35"/>
    <w:rsid w:val="00E66E10"/>
    <w:rsid w:val="00E769F6"/>
    <w:rsid w:val="00E8407C"/>
    <w:rsid w:val="00E84F3C"/>
    <w:rsid w:val="00E90313"/>
    <w:rsid w:val="00E95C7F"/>
    <w:rsid w:val="00EA012C"/>
    <w:rsid w:val="00EB1384"/>
    <w:rsid w:val="00EC6A55"/>
    <w:rsid w:val="00ED0288"/>
    <w:rsid w:val="00EE2254"/>
    <w:rsid w:val="00EE52CB"/>
    <w:rsid w:val="00EF581D"/>
    <w:rsid w:val="00EF7FD8"/>
    <w:rsid w:val="00F06F59"/>
    <w:rsid w:val="00F0741B"/>
    <w:rsid w:val="00F17988"/>
    <w:rsid w:val="00F4441C"/>
    <w:rsid w:val="00F469F0"/>
    <w:rsid w:val="00F53273"/>
    <w:rsid w:val="00F6112F"/>
    <w:rsid w:val="00F755E4"/>
    <w:rsid w:val="00F77D02"/>
    <w:rsid w:val="00FB3A86"/>
    <w:rsid w:val="00FD36C8"/>
    <w:rsid w:val="00FE7BB9"/>
    <w:rsid w:val="00FF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F16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A4148D"/>
    <w:pPr>
      <w:spacing w:after="200"/>
    </w:pPr>
    <w:rPr>
      <w:i/>
      <w:iCs/>
      <w:color w:val="1F497D" w:themeColor="text2"/>
      <w:sz w:val="18"/>
      <w:szCs w:val="18"/>
    </w:rPr>
  </w:style>
  <w:style w:type="paragraph" w:styleId="ListBullet">
    <w:name w:val="List Bullet"/>
    <w:basedOn w:val="Normal"/>
    <w:uiPriority w:val="99"/>
    <w:unhideWhenUsed/>
    <w:rsid w:val="00A63D09"/>
    <w:pPr>
      <w:numPr>
        <w:numId w:val="33"/>
      </w:numPr>
      <w:spacing w:after="160" w:line="256" w:lineRule="auto"/>
      <w:ind w:left="720" w:hanging="720"/>
      <w:contextualSpacing/>
    </w:pPr>
    <w:rPr>
      <w:rFonts w:asciiTheme="minorHAnsi" w:eastAsiaTheme="minorHAnsi" w:hAnsiTheme="minorHAnsi" w:cstheme="minorBidi"/>
      <w:kern w:val="2"/>
      <w:sz w:val="22"/>
      <w:szCs w:val="22"/>
    </w:rPr>
  </w:style>
  <w:style w:type="paragraph" w:customStyle="1" w:styleId="selectable-text">
    <w:name w:val="selectable-text"/>
    <w:basedOn w:val="Normal"/>
    <w:rsid w:val="00A63D09"/>
    <w:pPr>
      <w:spacing w:before="100" w:beforeAutospacing="1" w:after="100" w:afterAutospacing="1"/>
    </w:pPr>
    <w:rPr>
      <w:rFonts w:ascii="Times New Roman" w:hAnsi="Times New Roman"/>
      <w:sz w:val="24"/>
      <w:szCs w:val="24"/>
    </w:rPr>
  </w:style>
  <w:style w:type="character" w:customStyle="1" w:styleId="selectable-text1">
    <w:name w:val="selectable-text1"/>
    <w:basedOn w:val="DefaultParagraphFont"/>
    <w:rsid w:val="00A63D09"/>
  </w:style>
  <w:style w:type="paragraph" w:styleId="NormalWeb">
    <w:name w:val="Normal (Web)"/>
    <w:basedOn w:val="Normal"/>
    <w:semiHidden/>
    <w:unhideWhenUsed/>
    <w:rsid w:val="0032077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066507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1937905">
      <w:bodyDiv w:val="1"/>
      <w:marLeft w:val="0"/>
      <w:marRight w:val="0"/>
      <w:marTop w:val="0"/>
      <w:marBottom w:val="0"/>
      <w:divBdr>
        <w:top w:val="none" w:sz="0" w:space="0" w:color="auto"/>
        <w:left w:val="none" w:sz="0" w:space="0" w:color="auto"/>
        <w:bottom w:val="none" w:sz="0" w:space="0" w:color="auto"/>
        <w:right w:val="none" w:sz="0" w:space="0" w:color="auto"/>
      </w:divBdr>
    </w:div>
    <w:div w:id="405499226">
      <w:bodyDiv w:val="1"/>
      <w:marLeft w:val="0"/>
      <w:marRight w:val="0"/>
      <w:marTop w:val="0"/>
      <w:marBottom w:val="0"/>
      <w:divBdr>
        <w:top w:val="none" w:sz="0" w:space="0" w:color="auto"/>
        <w:left w:val="none" w:sz="0" w:space="0" w:color="auto"/>
        <w:bottom w:val="none" w:sz="0" w:space="0" w:color="auto"/>
        <w:right w:val="none" w:sz="0" w:space="0" w:color="auto"/>
      </w:divBdr>
    </w:div>
    <w:div w:id="463961322">
      <w:bodyDiv w:val="1"/>
      <w:marLeft w:val="0"/>
      <w:marRight w:val="0"/>
      <w:marTop w:val="0"/>
      <w:marBottom w:val="0"/>
      <w:divBdr>
        <w:top w:val="none" w:sz="0" w:space="0" w:color="auto"/>
        <w:left w:val="none" w:sz="0" w:space="0" w:color="auto"/>
        <w:bottom w:val="none" w:sz="0" w:space="0" w:color="auto"/>
        <w:right w:val="none" w:sz="0" w:space="0" w:color="auto"/>
      </w:divBdr>
    </w:div>
    <w:div w:id="5804069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6986948">
      <w:bodyDiv w:val="1"/>
      <w:marLeft w:val="0"/>
      <w:marRight w:val="0"/>
      <w:marTop w:val="0"/>
      <w:marBottom w:val="0"/>
      <w:divBdr>
        <w:top w:val="none" w:sz="0" w:space="0" w:color="auto"/>
        <w:left w:val="none" w:sz="0" w:space="0" w:color="auto"/>
        <w:bottom w:val="none" w:sz="0" w:space="0" w:color="auto"/>
        <w:right w:val="none" w:sz="0" w:space="0" w:color="auto"/>
      </w:divBdr>
    </w:div>
    <w:div w:id="903414297">
      <w:bodyDiv w:val="1"/>
      <w:marLeft w:val="0"/>
      <w:marRight w:val="0"/>
      <w:marTop w:val="0"/>
      <w:marBottom w:val="0"/>
      <w:divBdr>
        <w:top w:val="none" w:sz="0" w:space="0" w:color="auto"/>
        <w:left w:val="none" w:sz="0" w:space="0" w:color="auto"/>
        <w:bottom w:val="none" w:sz="0" w:space="0" w:color="auto"/>
        <w:right w:val="none" w:sz="0" w:space="0" w:color="auto"/>
      </w:divBdr>
    </w:div>
    <w:div w:id="90618980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20948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234091">
      <w:bodyDiv w:val="1"/>
      <w:marLeft w:val="0"/>
      <w:marRight w:val="0"/>
      <w:marTop w:val="0"/>
      <w:marBottom w:val="0"/>
      <w:divBdr>
        <w:top w:val="none" w:sz="0" w:space="0" w:color="auto"/>
        <w:left w:val="none" w:sz="0" w:space="0" w:color="auto"/>
        <w:bottom w:val="none" w:sz="0" w:space="0" w:color="auto"/>
        <w:right w:val="none" w:sz="0" w:space="0" w:color="auto"/>
      </w:divBdr>
    </w:div>
    <w:div w:id="1342582309">
      <w:bodyDiv w:val="1"/>
      <w:marLeft w:val="0"/>
      <w:marRight w:val="0"/>
      <w:marTop w:val="0"/>
      <w:marBottom w:val="0"/>
      <w:divBdr>
        <w:top w:val="none" w:sz="0" w:space="0" w:color="auto"/>
        <w:left w:val="none" w:sz="0" w:space="0" w:color="auto"/>
        <w:bottom w:val="none" w:sz="0" w:space="0" w:color="auto"/>
        <w:right w:val="none" w:sz="0" w:space="0" w:color="auto"/>
      </w:divBdr>
    </w:div>
    <w:div w:id="1509710641">
      <w:bodyDiv w:val="1"/>
      <w:marLeft w:val="0"/>
      <w:marRight w:val="0"/>
      <w:marTop w:val="0"/>
      <w:marBottom w:val="0"/>
      <w:divBdr>
        <w:top w:val="none" w:sz="0" w:space="0" w:color="auto"/>
        <w:left w:val="none" w:sz="0" w:space="0" w:color="auto"/>
        <w:bottom w:val="none" w:sz="0" w:space="0" w:color="auto"/>
        <w:right w:val="none" w:sz="0" w:space="0" w:color="auto"/>
      </w:divBdr>
    </w:div>
    <w:div w:id="16896745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7627347">
      <w:bodyDiv w:val="1"/>
      <w:marLeft w:val="0"/>
      <w:marRight w:val="0"/>
      <w:marTop w:val="0"/>
      <w:marBottom w:val="0"/>
      <w:divBdr>
        <w:top w:val="none" w:sz="0" w:space="0" w:color="auto"/>
        <w:left w:val="none" w:sz="0" w:space="0" w:color="auto"/>
        <w:bottom w:val="none" w:sz="0" w:space="0" w:color="auto"/>
        <w:right w:val="none" w:sz="0" w:space="0" w:color="auto"/>
      </w:divBdr>
    </w:div>
    <w:div w:id="18469368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5129159">
      <w:bodyDiv w:val="1"/>
      <w:marLeft w:val="0"/>
      <w:marRight w:val="0"/>
      <w:marTop w:val="0"/>
      <w:marBottom w:val="0"/>
      <w:divBdr>
        <w:top w:val="none" w:sz="0" w:space="0" w:color="auto"/>
        <w:left w:val="none" w:sz="0" w:space="0" w:color="auto"/>
        <w:bottom w:val="none" w:sz="0" w:space="0" w:color="auto"/>
        <w:right w:val="none" w:sz="0" w:space="0" w:color="auto"/>
      </w:divBdr>
    </w:div>
    <w:div w:id="21364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3F79-747A-40C3-BAF4-0FD2AFF0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8</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2025-10-07T01:43:00Z</dcterms:created>
  <dcterms:modified xsi:type="dcterms:W3CDTF">2025-10-07T13:48:00Z</dcterms:modified>
</cp:coreProperties>
</file>