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D8DC5" w14:textId="77777777" w:rsidR="00561911" w:rsidRDefault="004675C3">
      <w:pPr>
        <w:spacing w:after="0" w:line="240" w:lineRule="auto"/>
        <w:jc w:val="center"/>
        <w:rPr>
          <w:rFonts w:ascii="Times New Roman" w:hAnsi="Times New Roman"/>
          <w:b/>
          <w:bCs/>
        </w:rPr>
      </w:pPr>
      <w:r>
        <w:rPr>
          <w:rFonts w:ascii="Times New Roman" w:hAnsi="Times New Roman"/>
          <w:b/>
          <w:bCs/>
        </w:rPr>
        <w:t>Influence of Guardianship on Student Attendance Patterns in Public Secondary School in Morogoro Municipality in Tanzania</w:t>
      </w:r>
    </w:p>
    <w:p w14:paraId="4A64696D" w14:textId="77777777" w:rsidR="00561911" w:rsidRDefault="00561911">
      <w:pPr>
        <w:spacing w:after="0" w:line="240" w:lineRule="auto"/>
        <w:jc w:val="center"/>
        <w:rPr>
          <w:rFonts w:ascii="Times New Roman" w:hAnsi="Times New Roman"/>
          <w:vertAlign w:val="superscript"/>
        </w:rPr>
      </w:pPr>
    </w:p>
    <w:p w14:paraId="00878A99" w14:textId="77777777" w:rsidR="00561911" w:rsidRDefault="00561911">
      <w:pPr>
        <w:spacing w:after="0" w:line="240" w:lineRule="auto"/>
        <w:jc w:val="center"/>
        <w:rPr>
          <w:rFonts w:ascii="Times New Roman" w:hAnsi="Times New Roman"/>
          <w:b/>
          <w:bCs/>
        </w:rPr>
      </w:pPr>
    </w:p>
    <w:p w14:paraId="6ADCB15F" w14:textId="77777777" w:rsidR="00561911" w:rsidRDefault="004675C3">
      <w:pPr>
        <w:spacing w:before="100" w:beforeAutospacing="1" w:after="100" w:afterAutospacing="1" w:line="240" w:lineRule="auto"/>
        <w:jc w:val="both"/>
        <w:rPr>
          <w:rFonts w:ascii="Times New Roman" w:hAnsi="Times New Roman"/>
          <w:i/>
        </w:rPr>
      </w:pPr>
      <w:r>
        <w:rPr>
          <w:rFonts w:ascii="Times New Roman" w:hAnsi="Times New Roman"/>
          <w:b/>
          <w:bCs/>
        </w:rPr>
        <w:t xml:space="preserve">Abstract: </w:t>
      </w:r>
      <w:r>
        <w:rPr>
          <w:rFonts w:ascii="Times New Roman" w:hAnsi="Times New Roman"/>
          <w:i/>
        </w:rPr>
        <w:t>This study investigated the influence of guardianship on student attendance patterns in public secondary schools in Morogoro Municipality, Tanzania. Despite government initiatives such as the Free Basic Education Policy, irregular attendance persists, with</w:t>
      </w:r>
      <w:r>
        <w:rPr>
          <w:rFonts w:ascii="Times New Roman" w:hAnsi="Times New Roman"/>
          <w:i/>
        </w:rPr>
        <w:t xml:space="preserve"> adolescent guardianship emerging as a critical factor. Anchored in Albert Bandura’s Social Learning Theory, the study examined how modeling, observation, and reinforcement by </w:t>
      </w:r>
      <w:proofErr w:type="gramStart"/>
      <w:r>
        <w:rPr>
          <w:rFonts w:ascii="Times New Roman" w:hAnsi="Times New Roman"/>
          <w:i/>
        </w:rPr>
        <w:t>guardians</w:t>
      </w:r>
      <w:proofErr w:type="gramEnd"/>
      <w:r>
        <w:rPr>
          <w:rFonts w:ascii="Times New Roman" w:hAnsi="Times New Roman"/>
          <w:i/>
        </w:rPr>
        <w:t xml:space="preserve"> shape adolescents’ commitment to schooling. A convergent mixed-methods</w:t>
      </w:r>
      <w:r>
        <w:rPr>
          <w:rFonts w:ascii="Times New Roman" w:hAnsi="Times New Roman"/>
          <w:i/>
        </w:rPr>
        <w:t xml:space="preserve"> design was employed, targeting a population of 400, from which a sample of 40 respondents (30 teachers and 10 parents) was drawn using stratified, purposive, and random sampling techniques. Data were collected through questionnaires and interviews, analyz</w:t>
      </w:r>
      <w:r>
        <w:rPr>
          <w:rFonts w:ascii="Times New Roman" w:hAnsi="Times New Roman"/>
          <w:i/>
        </w:rPr>
        <w:t xml:space="preserve">ed using descriptive statistics and thematic analysis, and validated with a Cronbach’s alpha of </w:t>
      </w:r>
      <w:bookmarkStart w:id="0" w:name="_GoBack"/>
      <w:bookmarkEnd w:id="0"/>
      <w:r>
        <w:rPr>
          <w:rFonts w:ascii="Times New Roman" w:hAnsi="Times New Roman"/>
          <w:i/>
        </w:rPr>
        <w:t xml:space="preserve">0.847. Ethical considerations, including informed consent, confidentiality, voluntary participation, and adherence to research ethics guidelines, were strictly </w:t>
      </w:r>
      <w:r>
        <w:rPr>
          <w:rFonts w:ascii="Times New Roman" w:hAnsi="Times New Roman"/>
          <w:i/>
        </w:rPr>
        <w:t>observed. Findings revealed that effective guardian–school communication, provision of basic needs, counseling services, and parental participation positively influence attendance. Conversely, inadequate meals, inconsistent provision of learning materials,</w:t>
      </w:r>
      <w:r>
        <w:rPr>
          <w:rFonts w:ascii="Times New Roman" w:hAnsi="Times New Roman"/>
          <w:i/>
        </w:rPr>
        <w:t xml:space="preserve"> and socio-economic barriers hinder regular attendance. The study concludes that guardianship plays a central role in promoting supportive environments, enhancing student engagement, and reinforcing positive attendance behaviors. Recommendations include st</w:t>
      </w:r>
      <w:r>
        <w:rPr>
          <w:rFonts w:ascii="Times New Roman" w:hAnsi="Times New Roman"/>
          <w:i/>
        </w:rPr>
        <w:t>rengthening school–</w:t>
      </w:r>
      <w:proofErr w:type="spellStart"/>
      <w:r>
        <w:rPr>
          <w:rFonts w:ascii="Times New Roman" w:hAnsi="Times New Roman"/>
          <w:i/>
        </w:rPr>
        <w:t>gardian</w:t>
      </w:r>
      <w:proofErr w:type="spellEnd"/>
      <w:r>
        <w:rPr>
          <w:rFonts w:ascii="Times New Roman" w:hAnsi="Times New Roman"/>
          <w:i/>
        </w:rPr>
        <w:t xml:space="preserve"> partnerships, ensuring consistent provision of meals and learning resources, expanding counseling services, promoting flexible parental engagement, and supporting teacher professional development to enhance student-centered pract</w:t>
      </w:r>
      <w:r>
        <w:rPr>
          <w:rFonts w:ascii="Times New Roman" w:hAnsi="Times New Roman"/>
          <w:i/>
        </w:rPr>
        <w:t>ices.</w:t>
      </w:r>
    </w:p>
    <w:p w14:paraId="2F8D86A5" w14:textId="77777777" w:rsidR="00561911" w:rsidRDefault="004675C3">
      <w:pPr>
        <w:pBdr>
          <w:bottom w:val="single" w:sz="4" w:space="1" w:color="auto"/>
        </w:pBdr>
        <w:spacing w:line="240" w:lineRule="auto"/>
        <w:jc w:val="both"/>
        <w:rPr>
          <w:rFonts w:ascii="Times New Roman" w:hAnsi="Times New Roman"/>
          <w:iCs/>
        </w:rPr>
      </w:pPr>
      <w:r>
        <w:rPr>
          <w:rFonts w:ascii="Times New Roman" w:hAnsi="Times New Roman"/>
          <w:b/>
          <w:iCs/>
        </w:rPr>
        <w:t>KEYWORDS:</w:t>
      </w:r>
      <w:r>
        <w:rPr>
          <w:rFonts w:ascii="Times New Roman" w:hAnsi="Times New Roman"/>
          <w:iCs/>
        </w:rPr>
        <w:t xml:space="preserve"> </w:t>
      </w:r>
      <w:r>
        <w:rPr>
          <w:rFonts w:ascii="Times New Roman" w:hAnsi="Times New Roman"/>
        </w:rPr>
        <w:t>Students' guardianship, Secondary Schools, and Students' attendance pattern.</w:t>
      </w:r>
    </w:p>
    <w:p w14:paraId="637333FE" w14:textId="77777777" w:rsidR="00561911" w:rsidRDefault="00561911">
      <w:pPr>
        <w:spacing w:before="120" w:after="120" w:line="240" w:lineRule="auto"/>
        <w:jc w:val="both"/>
        <w:rPr>
          <w:rFonts w:ascii="Times New Roman" w:hAnsi="Times New Roman"/>
          <w:b/>
          <w:bCs/>
        </w:rPr>
      </w:pPr>
    </w:p>
    <w:p w14:paraId="559E7F20" w14:textId="77777777" w:rsidR="00561911" w:rsidRDefault="004675C3">
      <w:pPr>
        <w:spacing w:after="0" w:line="240" w:lineRule="auto"/>
        <w:jc w:val="both"/>
        <w:rPr>
          <w:rFonts w:ascii="Times New Roman" w:hAnsi="Times New Roman"/>
          <w:b/>
          <w:bCs/>
        </w:rPr>
      </w:pPr>
      <w:r>
        <w:rPr>
          <w:rFonts w:ascii="Times New Roman" w:hAnsi="Times New Roman"/>
          <w:i/>
          <w:iCs/>
        </w:rPr>
        <w:t xml:space="preserve">                        </w:t>
      </w:r>
      <w:r>
        <w:rPr>
          <w:rFonts w:ascii="Times New Roman" w:hAnsi="Times New Roman"/>
          <w:b/>
          <w:bCs/>
        </w:rPr>
        <w:t xml:space="preserve"> 1.0 INTRODUCTION</w:t>
      </w:r>
    </w:p>
    <w:p w14:paraId="3C7FBF06" w14:textId="77777777" w:rsidR="00561911" w:rsidRDefault="004675C3">
      <w:pPr>
        <w:spacing w:before="120" w:after="120" w:line="240" w:lineRule="auto"/>
        <w:jc w:val="both"/>
        <w:rPr>
          <w:rFonts w:ascii="Times New Roman" w:hAnsi="Times New Roman"/>
        </w:rPr>
      </w:pPr>
      <w:r>
        <w:rPr>
          <w:rFonts w:ascii="Times New Roman" w:hAnsi="Times New Roman"/>
        </w:rPr>
        <w:t>Student attendance is a significant determinant of educational consequences, and various factors contribute to school no</w:t>
      </w:r>
      <w:r>
        <w:rPr>
          <w:rFonts w:ascii="Times New Roman" w:hAnsi="Times New Roman"/>
        </w:rPr>
        <w:t>nattendance. Globally, research has consistently shown that a variety of socio-economic, familial, and individual factors influence student attendance rates. One of the prominent influences is the role of guardians in managing school attendance. Family str</w:t>
      </w:r>
      <w:r>
        <w:rPr>
          <w:rFonts w:ascii="Times New Roman" w:hAnsi="Times New Roman"/>
        </w:rPr>
        <w:t xml:space="preserve">ucture, parental involvement, and socio-economic status have all been found to affect students’ school attendance (Koçak et al. 2021). In many instances, guardians play a pivotal role in ensuring that students attend school regularly by providing support, </w:t>
      </w:r>
      <w:r>
        <w:rPr>
          <w:rFonts w:ascii="Times New Roman" w:hAnsi="Times New Roman"/>
        </w:rPr>
        <w:t>reassurance, and the necessary resources.</w:t>
      </w:r>
    </w:p>
    <w:p w14:paraId="0BD01F33" w14:textId="77777777" w:rsidR="00561911" w:rsidRDefault="004675C3">
      <w:pPr>
        <w:spacing w:before="120" w:after="120" w:line="240" w:lineRule="auto"/>
        <w:jc w:val="both"/>
        <w:rPr>
          <w:rFonts w:ascii="Times New Roman" w:hAnsi="Times New Roman"/>
        </w:rPr>
      </w:pPr>
      <w:r>
        <w:rPr>
          <w:rFonts w:ascii="Times New Roman" w:hAnsi="Times New Roman"/>
        </w:rPr>
        <w:t>In Africa, the influence of godparents on student being present rates becomes more pronounced in the context of socio-economic challenges. Many African countries face issues such as poverty, early marriages, and li</w:t>
      </w:r>
      <w:r>
        <w:rPr>
          <w:rFonts w:ascii="Times New Roman" w:hAnsi="Times New Roman"/>
        </w:rPr>
        <w:t xml:space="preserve">mited access to educational resources, which can significantly affect school attendance. A study by </w:t>
      </w:r>
      <w:proofErr w:type="spellStart"/>
      <w:r>
        <w:rPr>
          <w:rFonts w:ascii="Times New Roman" w:hAnsi="Times New Roman"/>
        </w:rPr>
        <w:t>Angwaomaodoko</w:t>
      </w:r>
      <w:proofErr w:type="spellEnd"/>
      <w:r>
        <w:rPr>
          <w:rFonts w:ascii="Times New Roman" w:hAnsi="Times New Roman"/>
        </w:rPr>
        <w:t xml:space="preserve"> (2023) in Nigeria revealed that guardians’ awareness and engagement in school activities were positively correlated with higher attendance rat</w:t>
      </w:r>
      <w:r>
        <w:rPr>
          <w:rFonts w:ascii="Times New Roman" w:hAnsi="Times New Roman"/>
        </w:rPr>
        <w:t>es. In contrast, neglect or lack of parental support often led to higher absenteeism among students. In this context, guardians who were more actively involved in their children’s schooling helped reduce barriers to education, fostering better attendance.</w:t>
      </w:r>
    </w:p>
    <w:p w14:paraId="4A49AF15" w14:textId="77777777" w:rsidR="00561911" w:rsidRDefault="004675C3">
      <w:pPr>
        <w:spacing w:before="120" w:after="120" w:line="240" w:lineRule="auto"/>
        <w:jc w:val="both"/>
        <w:rPr>
          <w:rFonts w:ascii="Times New Roman" w:hAnsi="Times New Roman"/>
        </w:rPr>
      </w:pPr>
      <w:r>
        <w:rPr>
          <w:rFonts w:ascii="Times New Roman" w:hAnsi="Times New Roman"/>
        </w:rPr>
        <w:lastRenderedPageBreak/>
        <w:t>In Sub-Saharan Africa, where socio-economic challenges are more widespread, the role of guardians becomes even more crucial. According to a study by Graham and Mtsweni (2024), guardians in South Africa face many difficulties, including financial constraint</w:t>
      </w:r>
      <w:r>
        <w:rPr>
          <w:rFonts w:ascii="Times New Roman" w:hAnsi="Times New Roman"/>
        </w:rPr>
        <w:t xml:space="preserve">s and limited educational infrastructure. However, their involvement in monitoring and encouraging regular attendance was found to mitigate some of these challenges. In many cases, guardians’ personal educational backgrounds also influenced their approach </w:t>
      </w:r>
      <w:r>
        <w:rPr>
          <w:rFonts w:ascii="Times New Roman" w:hAnsi="Times New Roman"/>
        </w:rPr>
        <w:t>to ensuring their children attended school. In this region, absenteeism is often linked to poverty, poor family structures, and guardians’ educational attainment, all of which interact to influence school attendance rates.</w:t>
      </w:r>
    </w:p>
    <w:p w14:paraId="07CEA461" w14:textId="77777777" w:rsidR="00561911" w:rsidRDefault="004675C3">
      <w:pPr>
        <w:spacing w:before="120" w:after="120" w:line="240" w:lineRule="auto"/>
        <w:jc w:val="both"/>
        <w:rPr>
          <w:rFonts w:ascii="Times New Roman" w:hAnsi="Times New Roman"/>
        </w:rPr>
      </w:pPr>
      <w:r>
        <w:rPr>
          <w:rFonts w:ascii="Times New Roman" w:hAnsi="Times New Roman"/>
        </w:rPr>
        <w:t>In East Africa, including Tanzani</w:t>
      </w:r>
      <w:r>
        <w:rPr>
          <w:rFonts w:ascii="Times New Roman" w:hAnsi="Times New Roman"/>
        </w:rPr>
        <w:t xml:space="preserve">a, research has indicated that the role of guardians significantly impacts student attendance. According to </w:t>
      </w:r>
      <w:proofErr w:type="spellStart"/>
      <w:r>
        <w:rPr>
          <w:rFonts w:ascii="Times New Roman" w:hAnsi="Times New Roman"/>
        </w:rPr>
        <w:t>Wassaaka</w:t>
      </w:r>
      <w:proofErr w:type="spellEnd"/>
      <w:r>
        <w:rPr>
          <w:rFonts w:ascii="Times New Roman" w:hAnsi="Times New Roman"/>
        </w:rPr>
        <w:t xml:space="preserve"> (2019), in countries like Uganda, guardians are key figures in addressing barriers to attendance such as early pregnancies, household respo</w:t>
      </w:r>
      <w:r>
        <w:rPr>
          <w:rFonts w:ascii="Times New Roman" w:hAnsi="Times New Roman"/>
        </w:rPr>
        <w:t xml:space="preserve">nsibilities, and financial instability. Tanzanian studies, such as that by </w:t>
      </w:r>
      <w:proofErr w:type="spellStart"/>
      <w:r>
        <w:rPr>
          <w:rFonts w:ascii="Times New Roman" w:hAnsi="Times New Roman"/>
        </w:rPr>
        <w:t>Senyagwa</w:t>
      </w:r>
      <w:proofErr w:type="spellEnd"/>
      <w:r>
        <w:rPr>
          <w:rFonts w:ascii="Times New Roman" w:hAnsi="Times New Roman"/>
        </w:rPr>
        <w:t xml:space="preserve"> (2021), found that guardians’ involvement in school activities, communication with teachers, and provision of basic educational resources were instrumental in improving att</w:t>
      </w:r>
      <w:r>
        <w:rPr>
          <w:rFonts w:ascii="Times New Roman" w:hAnsi="Times New Roman"/>
        </w:rPr>
        <w:t>endance rates. The social and cultural norms in these societies also shape the role of guardians, especially in rural areas, where gender roles may influence the level of support given to male and female students.</w:t>
      </w:r>
      <w:r>
        <w:rPr>
          <w:rFonts w:ascii="Times New Roman" w:hAnsi="Times New Roman"/>
        </w:rPr>
        <w:br/>
        <w:t xml:space="preserve">In Tanzania, student attendance remains a </w:t>
      </w:r>
      <w:r>
        <w:rPr>
          <w:rFonts w:ascii="Times New Roman" w:hAnsi="Times New Roman"/>
        </w:rPr>
        <w:t>challenge, particularly in government secondary schools. Research conducted by Maro and Omer (2024) found that guardians, especially in rural areas, have a significant influence on whether students attend school regularly. The study highlighted that guardi</w:t>
      </w:r>
      <w:r>
        <w:rPr>
          <w:rFonts w:ascii="Times New Roman" w:hAnsi="Times New Roman"/>
        </w:rPr>
        <w:t>ans who were more engaged with their children’s education; by ensuring they had the necessary resources and moral support, contributed to better attendance rates. In contrast, absenteeism was prevalent in households where guardians were less involved or wh</w:t>
      </w:r>
      <w:r>
        <w:rPr>
          <w:rFonts w:ascii="Times New Roman" w:hAnsi="Times New Roman"/>
        </w:rPr>
        <w:t>ere financial constraints and socio-cultural barriers limited their capacity to support their children’s schooling.</w:t>
      </w:r>
    </w:p>
    <w:p w14:paraId="1D84D85C" w14:textId="77777777" w:rsidR="00561911" w:rsidRDefault="004675C3">
      <w:pPr>
        <w:spacing w:before="120" w:after="120" w:line="240" w:lineRule="auto"/>
        <w:jc w:val="both"/>
        <w:rPr>
          <w:rFonts w:ascii="Times New Roman" w:hAnsi="Times New Roman"/>
        </w:rPr>
      </w:pPr>
      <w:r>
        <w:rPr>
          <w:rFonts w:ascii="Times New Roman" w:hAnsi="Times New Roman"/>
        </w:rPr>
        <w:t xml:space="preserve">Additionally, Tanzania faces challenges such as overcrowded classrooms, inadequate school facilities, and long distances to schools, all of </w:t>
      </w:r>
      <w:r>
        <w:rPr>
          <w:rFonts w:ascii="Times New Roman" w:hAnsi="Times New Roman"/>
        </w:rPr>
        <w:t>which exacerbate the issue of student absenteeism (</w:t>
      </w:r>
      <w:proofErr w:type="spellStart"/>
      <w:r>
        <w:rPr>
          <w:rFonts w:ascii="Times New Roman" w:hAnsi="Times New Roman"/>
        </w:rPr>
        <w:t>Senyagwa</w:t>
      </w:r>
      <w:proofErr w:type="spellEnd"/>
      <w:r>
        <w:rPr>
          <w:rFonts w:ascii="Times New Roman" w:hAnsi="Times New Roman"/>
        </w:rPr>
        <w:t>, 2021). These systemic obstacles often discourage regular attendance, particularly among students from economically disadvantaged backgrounds. Despite these challenges, the involvement of guardian</w:t>
      </w:r>
      <w:r>
        <w:rPr>
          <w:rFonts w:ascii="Times New Roman" w:hAnsi="Times New Roman"/>
        </w:rPr>
        <w:t xml:space="preserve">s plays a pivotal role in mitigating attendance issues. Guardians can provide crucial support, such as arranging transportation, ensuring students have essential items like uniforms and school supplies, and advocating for their children’s education. Their </w:t>
      </w:r>
      <w:r>
        <w:rPr>
          <w:rFonts w:ascii="Times New Roman" w:hAnsi="Times New Roman"/>
        </w:rPr>
        <w:t>active engagement not only reduces absenteeism but also fosters a positive attitude toward schooling among students.</w:t>
      </w:r>
    </w:p>
    <w:p w14:paraId="0C6D00F7" w14:textId="77777777" w:rsidR="00561911" w:rsidRDefault="004675C3">
      <w:pPr>
        <w:spacing w:before="120" w:after="120" w:line="240" w:lineRule="auto"/>
        <w:jc w:val="both"/>
        <w:rPr>
          <w:rFonts w:ascii="Times New Roman" w:hAnsi="Times New Roman"/>
        </w:rPr>
      </w:pPr>
      <w:r>
        <w:rPr>
          <w:rFonts w:ascii="Times New Roman" w:hAnsi="Times New Roman"/>
        </w:rPr>
        <w:t>Recognizing the critical role of guardians in addressing attendance issues, the present study seeks to investigate the influence of adolesc</w:t>
      </w:r>
      <w:r>
        <w:rPr>
          <w:rFonts w:ascii="Times New Roman" w:hAnsi="Times New Roman"/>
        </w:rPr>
        <w:t>ent guardians on student attendance rates in government secondary schools in Morogoro Municipality, Tanzania. This study aims to explore how guardians’ involvement overcome barriers to education impact attendance.</w:t>
      </w:r>
    </w:p>
    <w:p w14:paraId="4CCAB868" w14:textId="77777777" w:rsidR="00561911" w:rsidRDefault="00561911">
      <w:pPr>
        <w:spacing w:before="120" w:after="120" w:line="240" w:lineRule="auto"/>
        <w:jc w:val="both"/>
        <w:rPr>
          <w:rFonts w:ascii="Times New Roman" w:hAnsi="Times New Roman"/>
          <w:b/>
          <w:bCs/>
        </w:rPr>
      </w:pPr>
    </w:p>
    <w:p w14:paraId="18113BDC" w14:textId="77777777" w:rsidR="00561911" w:rsidRDefault="004675C3">
      <w:pPr>
        <w:spacing w:before="120" w:after="120" w:line="240" w:lineRule="auto"/>
        <w:jc w:val="both"/>
        <w:rPr>
          <w:rFonts w:ascii="Times New Roman" w:hAnsi="Times New Roman"/>
          <w:b/>
          <w:bCs/>
        </w:rPr>
      </w:pPr>
      <w:r>
        <w:rPr>
          <w:rFonts w:ascii="Times New Roman" w:hAnsi="Times New Roman"/>
          <w:b/>
          <w:bCs/>
        </w:rPr>
        <w:t>2.0 Statement of the Problem</w:t>
      </w:r>
    </w:p>
    <w:p w14:paraId="683224BC" w14:textId="77777777" w:rsidR="00561911" w:rsidRDefault="004675C3">
      <w:pPr>
        <w:spacing w:before="120" w:after="120" w:line="240" w:lineRule="auto"/>
        <w:jc w:val="both"/>
        <w:rPr>
          <w:rFonts w:ascii="Times New Roman" w:hAnsi="Times New Roman"/>
        </w:rPr>
      </w:pPr>
      <w:r>
        <w:rPr>
          <w:rFonts w:ascii="Times New Roman" w:hAnsi="Times New Roman"/>
        </w:rPr>
        <w:t>The issue of</w:t>
      </w:r>
      <w:r>
        <w:rPr>
          <w:rFonts w:ascii="Times New Roman" w:hAnsi="Times New Roman"/>
        </w:rPr>
        <w:t xml:space="preserve"> study in this research is the influence of guardianship on student attendance patterns in public secondary school in Morogoro Municipality, Tanzania. In Tanzania, government policies such as the Free Basic Education Policy aim to ensure equitable access t</w:t>
      </w:r>
      <w:r>
        <w:rPr>
          <w:rFonts w:ascii="Times New Roman" w:hAnsi="Times New Roman"/>
        </w:rPr>
        <w:t>o secondary education (</w:t>
      </w:r>
      <w:proofErr w:type="spellStart"/>
      <w:r>
        <w:rPr>
          <w:rFonts w:ascii="Times New Roman" w:hAnsi="Times New Roman"/>
        </w:rPr>
        <w:t>Bhuwania</w:t>
      </w:r>
      <w:proofErr w:type="spellEnd"/>
      <w:r>
        <w:rPr>
          <w:rFonts w:ascii="Times New Roman" w:hAnsi="Times New Roman"/>
        </w:rPr>
        <w:t xml:space="preserve"> et al, 2023). However, despite these efforts, many students in government secondary schools in Morogoro Municipality face persistent challenges that hinder regular </w:t>
      </w:r>
      <w:r>
        <w:rPr>
          <w:rFonts w:ascii="Times New Roman" w:hAnsi="Times New Roman"/>
        </w:rPr>
        <w:lastRenderedPageBreak/>
        <w:t xml:space="preserve">school attendance. Among these challenges, the influence of </w:t>
      </w:r>
      <w:r>
        <w:rPr>
          <w:rFonts w:ascii="Times New Roman" w:hAnsi="Times New Roman"/>
        </w:rPr>
        <w:t>adolescent guardianship stands out as a critical issue.</w:t>
      </w:r>
    </w:p>
    <w:p w14:paraId="66B83AE1" w14:textId="77777777" w:rsidR="00561911" w:rsidRDefault="004675C3">
      <w:pPr>
        <w:spacing w:before="120" w:after="120" w:line="240" w:lineRule="auto"/>
        <w:jc w:val="both"/>
        <w:rPr>
          <w:rFonts w:ascii="Times New Roman" w:hAnsi="Times New Roman"/>
        </w:rPr>
      </w:pPr>
      <w:r>
        <w:rPr>
          <w:rFonts w:ascii="Times New Roman" w:hAnsi="Times New Roman"/>
        </w:rPr>
        <w:t>Adolescent guardianship arises when young individuals, often still of school-going age, are compelled to take on caregiving responsibilities for siblings or relatives due to various socio-economic fac</w:t>
      </w:r>
      <w:r>
        <w:rPr>
          <w:rFonts w:ascii="Times New Roman" w:hAnsi="Times New Roman"/>
        </w:rPr>
        <w:t>tors, such as parental absence, illness, or death. These adolescent guardians frequently encounter significant barriers, including financial instability, emotional stress, and competing demands on their time. As a result, their ability to prioritize educat</w:t>
      </w:r>
      <w:r>
        <w:rPr>
          <w:rFonts w:ascii="Times New Roman" w:hAnsi="Times New Roman"/>
        </w:rPr>
        <w:t>ion (both for themselves and the younger dependents they care for) is severely compromised, leading to irregular attendance and, in some cases, dropout.</w:t>
      </w:r>
    </w:p>
    <w:p w14:paraId="44B7A9DF" w14:textId="77777777" w:rsidR="00561911" w:rsidRDefault="004675C3">
      <w:pPr>
        <w:spacing w:before="120" w:after="120" w:line="240" w:lineRule="auto"/>
        <w:jc w:val="both"/>
        <w:rPr>
          <w:rFonts w:ascii="Times New Roman" w:hAnsi="Times New Roman"/>
        </w:rPr>
      </w:pPr>
      <w:r>
        <w:rPr>
          <w:rFonts w:ascii="Times New Roman" w:hAnsi="Times New Roman"/>
        </w:rPr>
        <w:t xml:space="preserve">While existing studies such as Pezzulo et al. (2022) and </w:t>
      </w:r>
      <w:proofErr w:type="spellStart"/>
      <w:r>
        <w:rPr>
          <w:rFonts w:ascii="Times New Roman" w:hAnsi="Times New Roman"/>
          <w:color w:val="343A40"/>
          <w:kern w:val="0"/>
        </w:rPr>
        <w:t>Mwakyoma</w:t>
      </w:r>
      <w:proofErr w:type="spellEnd"/>
      <w:r>
        <w:rPr>
          <w:rFonts w:ascii="Times New Roman" w:hAnsi="Times New Roman"/>
          <w:color w:val="343A40"/>
          <w:kern w:val="0"/>
        </w:rPr>
        <w:t xml:space="preserve"> (2023) </w:t>
      </w:r>
      <w:r>
        <w:rPr>
          <w:rFonts w:ascii="Times New Roman" w:hAnsi="Times New Roman"/>
        </w:rPr>
        <w:t>highlight general factors affe</w:t>
      </w:r>
      <w:r>
        <w:rPr>
          <w:rFonts w:ascii="Times New Roman" w:hAnsi="Times New Roman"/>
        </w:rPr>
        <w:t>cting school attendance, a notable knowledge gap exists regarding the specific role adolescent guardians play in influencing attendance rates in government secondary schools. Society needs a deeper understanding of this phenomenon to design targeted interv</w:t>
      </w:r>
      <w:r>
        <w:rPr>
          <w:rFonts w:ascii="Times New Roman" w:hAnsi="Times New Roman"/>
        </w:rPr>
        <w:t>entions that address the unique struggles faced by adolescent guardians and promote consistent school attendance.</w:t>
      </w:r>
    </w:p>
    <w:p w14:paraId="54FCAB93" w14:textId="77777777" w:rsidR="00561911" w:rsidRDefault="004675C3">
      <w:pPr>
        <w:spacing w:before="120" w:after="120" w:line="240" w:lineRule="auto"/>
        <w:jc w:val="both"/>
        <w:rPr>
          <w:rFonts w:ascii="Times New Roman" w:hAnsi="Times New Roman"/>
        </w:rPr>
      </w:pPr>
      <w:r>
        <w:rPr>
          <w:rFonts w:ascii="Times New Roman" w:hAnsi="Times New Roman"/>
        </w:rPr>
        <w:t xml:space="preserve">This study sought to bridge the knowledge gap by examining the influence of adolescent guardianship on student attendance rates in government </w:t>
      </w:r>
      <w:r>
        <w:rPr>
          <w:rFonts w:ascii="Times New Roman" w:hAnsi="Times New Roman"/>
        </w:rPr>
        <w:t>secondary schools in Morogoro Municipality. By exploring the challenges these young guardians face and their impact on education, the findings will contribute to developing policies and strategies that align with societal needs and ensure no student is lef</w:t>
      </w:r>
      <w:r>
        <w:rPr>
          <w:rFonts w:ascii="Times New Roman" w:hAnsi="Times New Roman"/>
        </w:rPr>
        <w:t>t behind in accessing quality education.</w:t>
      </w:r>
    </w:p>
    <w:p w14:paraId="7C4EFEE4" w14:textId="77777777" w:rsidR="00561911" w:rsidRDefault="00561911">
      <w:pPr>
        <w:spacing w:before="120" w:after="120" w:line="240" w:lineRule="auto"/>
        <w:jc w:val="both"/>
        <w:rPr>
          <w:rFonts w:ascii="Times New Roman" w:hAnsi="Times New Roman"/>
          <w:b/>
          <w:bCs/>
        </w:rPr>
      </w:pPr>
    </w:p>
    <w:p w14:paraId="7D955E85" w14:textId="77777777" w:rsidR="00561911" w:rsidRDefault="004675C3">
      <w:pPr>
        <w:spacing w:before="120" w:after="120" w:line="240" w:lineRule="auto"/>
        <w:jc w:val="both"/>
        <w:rPr>
          <w:rFonts w:ascii="Times New Roman" w:hAnsi="Times New Roman"/>
          <w:b/>
          <w:bCs/>
          <w:color w:val="000000"/>
        </w:rPr>
      </w:pPr>
      <w:r>
        <w:rPr>
          <w:rFonts w:ascii="Times New Roman" w:hAnsi="Times New Roman"/>
          <w:b/>
          <w:bCs/>
          <w:color w:val="000000"/>
        </w:rPr>
        <w:t>3.0 Research Objectives</w:t>
      </w:r>
    </w:p>
    <w:p w14:paraId="66581185" w14:textId="77777777" w:rsidR="00561911" w:rsidRDefault="004675C3">
      <w:pPr>
        <w:spacing w:before="120" w:after="120" w:line="240" w:lineRule="auto"/>
        <w:jc w:val="both"/>
        <w:rPr>
          <w:rFonts w:ascii="Times New Roman" w:hAnsi="Times New Roman"/>
          <w:color w:val="000000"/>
        </w:rPr>
      </w:pPr>
      <w:r>
        <w:rPr>
          <w:rFonts w:ascii="Times New Roman" w:hAnsi="Times New Roman"/>
          <w:color w:val="000000"/>
        </w:rPr>
        <w:t xml:space="preserve">To explore the role of student guardianship to influence attendance patterns in </w:t>
      </w:r>
      <w:r>
        <w:rPr>
          <w:rFonts w:ascii="Times New Roman" w:hAnsi="Times New Roman"/>
          <w:bCs/>
        </w:rPr>
        <w:t>public secondary schools</w:t>
      </w:r>
    </w:p>
    <w:p w14:paraId="5BA5093C" w14:textId="77777777" w:rsidR="00561911" w:rsidRDefault="004675C3">
      <w:pPr>
        <w:spacing w:before="120" w:after="120" w:line="240" w:lineRule="auto"/>
        <w:jc w:val="both"/>
        <w:rPr>
          <w:rFonts w:ascii="Times New Roman" w:hAnsi="Times New Roman"/>
          <w:b/>
          <w:bCs/>
        </w:rPr>
      </w:pPr>
      <w:r>
        <w:rPr>
          <w:rFonts w:ascii="Times New Roman" w:hAnsi="Times New Roman"/>
          <w:b/>
          <w:bCs/>
        </w:rPr>
        <w:t>4.0 Literature Review</w:t>
      </w:r>
    </w:p>
    <w:p w14:paraId="65602E8B" w14:textId="77777777" w:rsidR="00561911" w:rsidRDefault="004675C3">
      <w:pPr>
        <w:spacing w:before="120" w:after="120" w:line="240" w:lineRule="auto"/>
        <w:jc w:val="both"/>
        <w:rPr>
          <w:rFonts w:ascii="Times New Roman" w:hAnsi="Times New Roman"/>
          <w:b/>
          <w:bCs/>
        </w:rPr>
      </w:pPr>
      <w:r>
        <w:rPr>
          <w:rFonts w:ascii="Times New Roman" w:hAnsi="Times New Roman"/>
          <w:b/>
          <w:bCs/>
        </w:rPr>
        <w:t>4.1 Theoretical Literature Review</w:t>
      </w:r>
    </w:p>
    <w:p w14:paraId="35E66BFB" w14:textId="77777777" w:rsidR="00561911" w:rsidRDefault="004675C3">
      <w:pPr>
        <w:spacing w:line="240" w:lineRule="auto"/>
        <w:jc w:val="both"/>
        <w:rPr>
          <w:rFonts w:ascii="Times New Roman" w:hAnsi="Times New Roman"/>
        </w:rPr>
      </w:pPr>
      <w:r>
        <w:rPr>
          <w:rFonts w:ascii="Times New Roman" w:hAnsi="Times New Roman"/>
          <w:kern w:val="0"/>
        </w:rPr>
        <w:t xml:space="preserve">Social Learning Theory (SLT) was developed by </w:t>
      </w:r>
      <w:r>
        <w:rPr>
          <w:rFonts w:ascii="Times New Roman" w:hAnsi="Times New Roman"/>
          <w:bCs/>
          <w:kern w:val="0"/>
        </w:rPr>
        <w:t>Albert Bandura</w:t>
      </w:r>
      <w:r>
        <w:rPr>
          <w:rFonts w:ascii="Times New Roman" w:hAnsi="Times New Roman"/>
          <w:kern w:val="0"/>
        </w:rPr>
        <w:t xml:space="preserve">, a Canadian-American psychologist, in the </w:t>
      </w:r>
      <w:r>
        <w:rPr>
          <w:rFonts w:ascii="Times New Roman" w:hAnsi="Times New Roman"/>
          <w:bCs/>
          <w:kern w:val="0"/>
        </w:rPr>
        <w:t>1960s</w:t>
      </w:r>
      <w:r>
        <w:rPr>
          <w:rFonts w:ascii="Times New Roman" w:hAnsi="Times New Roman"/>
          <w:kern w:val="0"/>
        </w:rPr>
        <w:t xml:space="preserve"> in the United States, where most of his research was conducted (</w:t>
      </w:r>
      <w:r>
        <w:rPr>
          <w:rFonts w:ascii="Times New Roman" w:hAnsi="Times New Roman"/>
          <w:color w:val="222222"/>
          <w:shd w:val="clear" w:color="auto" w:fill="FFFFFF"/>
        </w:rPr>
        <w:t>Blake, 2024</w:t>
      </w:r>
      <w:r>
        <w:rPr>
          <w:rFonts w:ascii="Times New Roman" w:hAnsi="Times New Roman"/>
          <w:kern w:val="0"/>
        </w:rPr>
        <w:t>). The theory emphasizes that learning does not occur only through direc</w:t>
      </w:r>
      <w:r>
        <w:rPr>
          <w:rFonts w:ascii="Times New Roman" w:hAnsi="Times New Roman"/>
          <w:kern w:val="0"/>
        </w:rPr>
        <w:t xml:space="preserve">t experience but also through </w:t>
      </w:r>
      <w:r>
        <w:rPr>
          <w:rFonts w:ascii="Times New Roman" w:hAnsi="Times New Roman"/>
          <w:bCs/>
          <w:kern w:val="0"/>
        </w:rPr>
        <w:t>observation, imitation, and modeling</w:t>
      </w:r>
      <w:r>
        <w:rPr>
          <w:rFonts w:ascii="Times New Roman" w:hAnsi="Times New Roman"/>
          <w:kern w:val="0"/>
        </w:rPr>
        <w:t xml:space="preserve">. According to Bandura, individuals acquire behaviors by watching others and noting the consequences of the actions. The important concepts include </w:t>
      </w:r>
      <w:r>
        <w:rPr>
          <w:rFonts w:ascii="Times New Roman" w:hAnsi="Times New Roman"/>
          <w:bCs/>
          <w:kern w:val="0"/>
        </w:rPr>
        <w:t>observational learning</w:t>
      </w:r>
      <w:r>
        <w:rPr>
          <w:rFonts w:ascii="Times New Roman" w:hAnsi="Times New Roman"/>
          <w:kern w:val="0"/>
        </w:rPr>
        <w:t xml:space="preserve">, where individuals </w:t>
      </w:r>
      <w:r>
        <w:rPr>
          <w:rFonts w:ascii="Times New Roman" w:hAnsi="Times New Roman"/>
          <w:kern w:val="0"/>
        </w:rPr>
        <w:t xml:space="preserve">learn by observing significant others; </w:t>
      </w:r>
      <w:r>
        <w:rPr>
          <w:rFonts w:ascii="Times New Roman" w:hAnsi="Times New Roman"/>
          <w:bCs/>
          <w:kern w:val="0"/>
        </w:rPr>
        <w:t>modeling</w:t>
      </w:r>
      <w:r>
        <w:rPr>
          <w:rFonts w:ascii="Times New Roman" w:hAnsi="Times New Roman"/>
          <w:kern w:val="0"/>
        </w:rPr>
        <w:t xml:space="preserve">, which involves imitating role models such as parents, peers, or teachers; and </w:t>
      </w:r>
      <w:r>
        <w:rPr>
          <w:rFonts w:ascii="Times New Roman" w:hAnsi="Times New Roman"/>
          <w:bCs/>
          <w:kern w:val="0"/>
        </w:rPr>
        <w:t>vicarious reinforcement</w:t>
      </w:r>
      <w:r>
        <w:rPr>
          <w:rFonts w:ascii="Times New Roman" w:hAnsi="Times New Roman"/>
          <w:kern w:val="0"/>
        </w:rPr>
        <w:t>, where learners adopt behaviors after seeing others rewarded or punished (</w:t>
      </w:r>
      <w:r>
        <w:rPr>
          <w:rFonts w:ascii="Times New Roman" w:hAnsi="Times New Roman"/>
          <w:color w:val="222222"/>
          <w:shd w:val="clear" w:color="auto" w:fill="FFFFFF"/>
        </w:rPr>
        <w:t>Rumjaun &amp; Narod, 2025</w:t>
      </w:r>
      <w:r>
        <w:rPr>
          <w:rFonts w:ascii="Times New Roman" w:hAnsi="Times New Roman"/>
          <w:kern w:val="0"/>
        </w:rPr>
        <w:t>). The SLT</w:t>
      </w:r>
      <w:r>
        <w:rPr>
          <w:rFonts w:ascii="Times New Roman" w:hAnsi="Times New Roman"/>
          <w:kern w:val="0"/>
        </w:rPr>
        <w:t xml:space="preserve">’s </w:t>
      </w:r>
      <w:r>
        <w:rPr>
          <w:rFonts w:ascii="Times New Roman" w:hAnsi="Times New Roman"/>
          <w:bCs/>
          <w:kern w:val="0"/>
        </w:rPr>
        <w:t>strengths</w:t>
      </w:r>
      <w:r>
        <w:rPr>
          <w:rFonts w:ascii="Times New Roman" w:hAnsi="Times New Roman"/>
          <w:kern w:val="0"/>
        </w:rPr>
        <w:t xml:space="preserve"> lie in explaining how environmental and social factors influence behavior, highlighting the importance of role models, and accounting for indirect learning. However, the theory also has a </w:t>
      </w:r>
      <w:r>
        <w:rPr>
          <w:rFonts w:ascii="Times New Roman" w:hAnsi="Times New Roman"/>
          <w:bCs/>
          <w:kern w:val="0"/>
        </w:rPr>
        <w:t>weakness</w:t>
      </w:r>
      <w:r>
        <w:rPr>
          <w:rFonts w:ascii="Times New Roman" w:hAnsi="Times New Roman"/>
          <w:kern w:val="0"/>
        </w:rPr>
        <w:t xml:space="preserve"> of overemphasizing external reinforcement whil</w:t>
      </w:r>
      <w:r>
        <w:rPr>
          <w:rFonts w:ascii="Times New Roman" w:hAnsi="Times New Roman"/>
          <w:kern w:val="0"/>
        </w:rPr>
        <w:t xml:space="preserve">e ignoring the individual internal factors. In the </w:t>
      </w:r>
      <w:r>
        <w:rPr>
          <w:rFonts w:ascii="Times New Roman" w:hAnsi="Times New Roman"/>
          <w:bCs/>
          <w:kern w:val="0"/>
        </w:rPr>
        <w:t>education field</w:t>
      </w:r>
      <w:r>
        <w:rPr>
          <w:rFonts w:ascii="Times New Roman" w:hAnsi="Times New Roman"/>
          <w:kern w:val="0"/>
        </w:rPr>
        <w:t>, SLT is widely applied, as teachers and peers serve as role models to influence students’ attitudes and academic practices. Strategies such as classroom demonstrations, peer learning, mento</w:t>
      </w:r>
      <w:r>
        <w:rPr>
          <w:rFonts w:ascii="Times New Roman" w:hAnsi="Times New Roman"/>
          <w:kern w:val="0"/>
        </w:rPr>
        <w:t xml:space="preserve">ring, and reinforcement of positive behaviors reflect Bandura’s principles, showing how social environments shape students’ learning and development. This study used </w:t>
      </w:r>
      <w:r>
        <w:rPr>
          <w:rFonts w:ascii="Times New Roman" w:hAnsi="Times New Roman"/>
          <w:kern w:val="0"/>
        </w:rPr>
        <w:lastRenderedPageBreak/>
        <w:t>SLT to examine how modeling and reinforcement by guardians affect adolescents’ school atte</w:t>
      </w:r>
      <w:r>
        <w:rPr>
          <w:rFonts w:ascii="Times New Roman" w:hAnsi="Times New Roman"/>
          <w:kern w:val="0"/>
        </w:rPr>
        <w:t>ndance in public secondary schools in Morogoro Municipality.</w:t>
      </w:r>
    </w:p>
    <w:p w14:paraId="63C93BB9" w14:textId="77777777" w:rsidR="00561911" w:rsidRDefault="004675C3">
      <w:pPr>
        <w:spacing w:before="120" w:after="120" w:line="240" w:lineRule="auto"/>
        <w:jc w:val="both"/>
        <w:rPr>
          <w:rFonts w:ascii="Times New Roman" w:hAnsi="Times New Roman"/>
          <w:b/>
          <w:bCs/>
        </w:rPr>
      </w:pPr>
      <w:r>
        <w:rPr>
          <w:rFonts w:ascii="Times New Roman" w:hAnsi="Times New Roman"/>
          <w:b/>
          <w:bCs/>
        </w:rPr>
        <w:t>4.2 Empirical Literature Review</w:t>
      </w:r>
    </w:p>
    <w:p w14:paraId="3A05033F"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The study by Xing (2023) examined how family factors affect students’ academic performance. Through reviewing a wide body of literature, the author provided an in-</w:t>
      </w:r>
      <w:r>
        <w:rPr>
          <w:rFonts w:ascii="Times New Roman" w:hAnsi="Times New Roman"/>
        </w:rPr>
        <w:t>depth analysis of how the family environment shapes academic outcomes. The findings revealed that some family factors, such as family income and education investment, have a direct impact on students’ performance. This implies that behaviors like enrolling</w:t>
      </w:r>
      <w:r>
        <w:rPr>
          <w:rFonts w:ascii="Times New Roman" w:hAnsi="Times New Roman"/>
        </w:rPr>
        <w:t xml:space="preserve"> in better schools, hiring tutors, and purchasing learning materials can directly enhance academic achievement. However, the study also emphasized that many other factors, including family structure and relationships, affect performance indirectly by influ</w:t>
      </w:r>
      <w:r>
        <w:rPr>
          <w:rFonts w:ascii="Times New Roman" w:hAnsi="Times New Roman"/>
        </w:rPr>
        <w:t>encing children’s physical and psychological well-being. Consequently, positive or negative outcomes are not shaped by a single element but rather by the interplay of genetics, social environment, and multiple family-related variables. The implication here</w:t>
      </w:r>
      <w:r>
        <w:rPr>
          <w:rFonts w:ascii="Times New Roman" w:hAnsi="Times New Roman"/>
        </w:rPr>
        <w:t xml:space="preserve"> is that interventions aimed at improving academic performance must not only address economic investment but also strengthen family cohesion and support systems (Xing, 2023).</w:t>
      </w:r>
    </w:p>
    <w:p w14:paraId="6D5A55F6"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Building on this, Klein and </w:t>
      </w:r>
      <w:proofErr w:type="spellStart"/>
      <w:r>
        <w:rPr>
          <w:rFonts w:ascii="Times New Roman" w:hAnsi="Times New Roman"/>
        </w:rPr>
        <w:t>Sosu</w:t>
      </w:r>
      <w:proofErr w:type="spellEnd"/>
      <w:r>
        <w:rPr>
          <w:rFonts w:ascii="Times New Roman" w:hAnsi="Times New Roman"/>
        </w:rPr>
        <w:t xml:space="preserve"> (2024) investigated school attendance and academ</w:t>
      </w:r>
      <w:r>
        <w:rPr>
          <w:rFonts w:ascii="Times New Roman" w:hAnsi="Times New Roman"/>
        </w:rPr>
        <w:t>ic achievement by focusing on family socioeconomic status (SES) in Scotland. Using data from the Scottish Longitudinal Study (n = 3,135), they found no significant differences in overall absences and truancy across SES groups. Nevertheless, the findings im</w:t>
      </w:r>
      <w:r>
        <w:rPr>
          <w:rFonts w:ascii="Times New Roman" w:hAnsi="Times New Roman"/>
        </w:rPr>
        <w:t>plied that sickness-related absences were more harmful to the academic achievement of lower SES students than higher SES students. Importantly, differences between the most and least disadvantaged groups emerged across nearly all SES dimensions except pare</w:t>
      </w:r>
      <w:r>
        <w:rPr>
          <w:rFonts w:ascii="Times New Roman" w:hAnsi="Times New Roman"/>
        </w:rPr>
        <w:t xml:space="preserve">ntal education. The implication is that policies designed to reduce absenteeism must particularly prioritize health-related challenges among disadvantaged students, as these absences disproportionately hinder their achievement (Klein &amp; </w:t>
      </w:r>
      <w:proofErr w:type="spellStart"/>
      <w:r>
        <w:rPr>
          <w:rFonts w:ascii="Times New Roman" w:hAnsi="Times New Roman"/>
        </w:rPr>
        <w:t>Sosu</w:t>
      </w:r>
      <w:proofErr w:type="spellEnd"/>
      <w:r>
        <w:rPr>
          <w:rFonts w:ascii="Times New Roman" w:hAnsi="Times New Roman"/>
        </w:rPr>
        <w:t>, 2024).</w:t>
      </w:r>
    </w:p>
    <w:p w14:paraId="3DA0A28C"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In a re</w:t>
      </w:r>
      <w:r>
        <w:rPr>
          <w:rFonts w:ascii="Times New Roman" w:hAnsi="Times New Roman"/>
        </w:rPr>
        <w:t xml:space="preserve">lated context, Al </w:t>
      </w:r>
      <w:proofErr w:type="spellStart"/>
      <w:r>
        <w:rPr>
          <w:rFonts w:ascii="Times New Roman" w:hAnsi="Times New Roman"/>
        </w:rPr>
        <w:t>Hazaa</w:t>
      </w:r>
      <w:proofErr w:type="spellEnd"/>
      <w:r>
        <w:rPr>
          <w:rFonts w:ascii="Times New Roman" w:hAnsi="Times New Roman"/>
        </w:rPr>
        <w:t xml:space="preserve"> et al. (2021) examined the effects of attendance and high school GPA (HSGPA) on first-year undergraduate performance at Qatar University. Drawing from census data of 969 students, the study demonstrated that increased attendance sig</w:t>
      </w:r>
      <w:r>
        <w:rPr>
          <w:rFonts w:ascii="Times New Roman" w:hAnsi="Times New Roman"/>
        </w:rPr>
        <w:t>nificantly reduced the likelihood of receiving low grades (DFW: D, F, or withdrawal). Moreover, the strong negative relationship between HSGPA and the probability of DFW suggested that high school performance is a reliable predictor of later academic succe</w:t>
      </w:r>
      <w:r>
        <w:rPr>
          <w:rFonts w:ascii="Times New Roman" w:hAnsi="Times New Roman"/>
        </w:rPr>
        <w:t xml:space="preserve">ss. The implication is that strengthening attendance habits in secondary school and improving students’ academic preparation are essential strategies for boosting persistence and success in higher education (Al </w:t>
      </w:r>
      <w:proofErr w:type="spellStart"/>
      <w:r>
        <w:rPr>
          <w:rFonts w:ascii="Times New Roman" w:hAnsi="Times New Roman"/>
        </w:rPr>
        <w:t>Hazaa</w:t>
      </w:r>
      <w:proofErr w:type="spellEnd"/>
      <w:r>
        <w:rPr>
          <w:rFonts w:ascii="Times New Roman" w:hAnsi="Times New Roman"/>
        </w:rPr>
        <w:t xml:space="preserve"> et al., 2021).</w:t>
      </w:r>
    </w:p>
    <w:p w14:paraId="5688A927"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Similarly, </w:t>
      </w:r>
      <w:proofErr w:type="spellStart"/>
      <w:r>
        <w:rPr>
          <w:rFonts w:ascii="Times New Roman" w:hAnsi="Times New Roman"/>
        </w:rPr>
        <w:t>Chobphon</w:t>
      </w:r>
      <w:proofErr w:type="spellEnd"/>
      <w:r>
        <w:rPr>
          <w:rFonts w:ascii="Times New Roman" w:hAnsi="Times New Roman"/>
        </w:rPr>
        <w:t xml:space="preserve"> (202</w:t>
      </w:r>
      <w:r>
        <w:rPr>
          <w:rFonts w:ascii="Times New Roman" w:hAnsi="Times New Roman"/>
        </w:rPr>
        <w:t>1) explored factors influencing students’ academic success by analyzing the mediating role of study engagement among 802 undergraduates in northern Thailand. Using Structural Equation Modelling, the results confirmed that purpose in life, peer support, and</w:t>
      </w:r>
      <w:r>
        <w:rPr>
          <w:rFonts w:ascii="Times New Roman" w:hAnsi="Times New Roman"/>
        </w:rPr>
        <w:t xml:space="preserve"> satisfaction with teaching quality positively influenced study engagement. More importantly, the path model showed that study engagement not only had a direct effect on academic success but also fully mediated the impact of those antecedents. The implicat</w:t>
      </w:r>
      <w:r>
        <w:rPr>
          <w:rFonts w:ascii="Times New Roman" w:hAnsi="Times New Roman"/>
        </w:rPr>
        <w:t xml:space="preserve">ion here is that universities should invest in programs that enhance students’ sense of purpose, strengthen </w:t>
      </w:r>
      <w:r>
        <w:rPr>
          <w:rFonts w:ascii="Times New Roman" w:hAnsi="Times New Roman"/>
        </w:rPr>
        <w:lastRenderedPageBreak/>
        <w:t>peer networks, and improve teaching quality in order to indirectly elevate academic performance through heightened engagement (</w:t>
      </w:r>
      <w:proofErr w:type="spellStart"/>
      <w:r>
        <w:rPr>
          <w:rFonts w:ascii="Times New Roman" w:hAnsi="Times New Roman"/>
        </w:rPr>
        <w:t>Chobphon</w:t>
      </w:r>
      <w:proofErr w:type="spellEnd"/>
      <w:r>
        <w:rPr>
          <w:rFonts w:ascii="Times New Roman" w:hAnsi="Times New Roman"/>
        </w:rPr>
        <w:t>, 2021).</w:t>
      </w:r>
    </w:p>
    <w:p w14:paraId="53CE2445"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Expa</w:t>
      </w:r>
      <w:r>
        <w:rPr>
          <w:rFonts w:ascii="Times New Roman" w:hAnsi="Times New Roman"/>
        </w:rPr>
        <w:t>nding the focus to social and emotional factors, Ramoutar and Hampton (2024) explored special guardianship and experiences of school belonging through seven case studies involving young people, guardians, and teachers. Thematic analysis revealed superordin</w:t>
      </w:r>
      <w:r>
        <w:rPr>
          <w:rFonts w:ascii="Times New Roman" w:hAnsi="Times New Roman"/>
        </w:rPr>
        <w:t>ate themes such as identity, fitting in, relationships, school processes, and community connections. These findings emphasize that students’ sense of belonging is shaped by complex interactions between individual traits, peer and staff relationships, home–</w:t>
      </w:r>
      <w:r>
        <w:rPr>
          <w:rFonts w:ascii="Times New Roman" w:hAnsi="Times New Roman"/>
        </w:rPr>
        <w:t>school communication, and broader organizational systems. The implication is that schools must adopt a holistic approach to inclusion by addressing both personal and systemic barriers to belonging, especially for vulnerable learners under guardianship (Ram</w:t>
      </w:r>
      <w:r>
        <w:rPr>
          <w:rFonts w:ascii="Times New Roman" w:hAnsi="Times New Roman"/>
        </w:rPr>
        <w:t>outar &amp; Hampton, 2024).</w:t>
      </w:r>
    </w:p>
    <w:p w14:paraId="26524282"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Finally, Thornberg et al. (2022) conducted a sequential explanatory study on teacher–student relationship quality and student engagement in Sweden. Their longitudinal analysis revealed that positive teacher–student relationships pre</w:t>
      </w:r>
      <w:r>
        <w:rPr>
          <w:rFonts w:ascii="Times New Roman" w:hAnsi="Times New Roman"/>
        </w:rPr>
        <w:t>dicted student engagement one year later, even after controlling for demographic factors and prior engagement. Furthermore, qualitative insights emphasized students’ views of good teaching, categorized into ‘teacher being’ (personal qualities) and ‘teacher</w:t>
      </w:r>
      <w:r>
        <w:rPr>
          <w:rFonts w:ascii="Times New Roman" w:hAnsi="Times New Roman"/>
        </w:rPr>
        <w:t xml:space="preserve"> doing’ (teaching practices). These findings highlight that supportive teacher–student relationships foster both affective and behavioral engagement. The implication is that teacher training programs should emphasize relational skills alongside instruction</w:t>
      </w:r>
      <w:r>
        <w:rPr>
          <w:rFonts w:ascii="Times New Roman" w:hAnsi="Times New Roman"/>
        </w:rPr>
        <w:t>al strategies to sustain student motivation and participation in the long term (Thornberg et al., 2022).</w:t>
      </w:r>
    </w:p>
    <w:p w14:paraId="3CCE4E18" w14:textId="77777777" w:rsidR="00561911" w:rsidRDefault="004675C3">
      <w:pPr>
        <w:spacing w:before="120" w:after="120" w:line="240" w:lineRule="auto"/>
        <w:jc w:val="both"/>
        <w:rPr>
          <w:rFonts w:ascii="Times New Roman" w:hAnsi="Times New Roman"/>
          <w:b/>
          <w:bCs/>
        </w:rPr>
      </w:pPr>
      <w:r>
        <w:rPr>
          <w:rFonts w:ascii="Times New Roman" w:hAnsi="Times New Roman"/>
          <w:b/>
          <w:bCs/>
        </w:rPr>
        <w:t>5.0 Methodology</w:t>
      </w:r>
    </w:p>
    <w:p w14:paraId="5196B287" w14:textId="77777777" w:rsidR="00561911" w:rsidRDefault="004675C3">
      <w:pPr>
        <w:pStyle w:val="NormalWeb"/>
        <w:jc w:val="both"/>
      </w:pPr>
      <w:r>
        <w:t xml:space="preserve">The study was guided by a </w:t>
      </w:r>
      <w:r>
        <w:rPr>
          <w:bCs/>
        </w:rPr>
        <w:t>pragmatic philosophy</w:t>
      </w:r>
      <w:r>
        <w:t>, as a practical approach to addressing real-life issues and understanding diverse social</w:t>
      </w:r>
      <w:r>
        <w:t xml:space="preserve"> perspectives (Creswell &amp; </w:t>
      </w:r>
      <w:r>
        <w:rPr>
          <w:color w:val="222222"/>
          <w:shd w:val="clear" w:color="auto" w:fill="FFFFFF"/>
        </w:rPr>
        <w:t>Inoue</w:t>
      </w:r>
      <w:r>
        <w:t xml:space="preserve">, 2025). A </w:t>
      </w:r>
      <w:r>
        <w:rPr>
          <w:bCs/>
        </w:rPr>
        <w:t>mixed-methods approach</w:t>
      </w:r>
      <w:r>
        <w:t xml:space="preserve"> was used under </w:t>
      </w:r>
      <w:r>
        <w:rPr>
          <w:bCs/>
        </w:rPr>
        <w:t>convergent research design</w:t>
      </w:r>
      <w:r>
        <w:t xml:space="preserve"> to facilitate collection of data for </w:t>
      </w:r>
      <w:r>
        <w:rPr>
          <w:bCs/>
        </w:rPr>
        <w:t>quantitative</w:t>
      </w:r>
      <w:r>
        <w:t xml:space="preserve"> and </w:t>
      </w:r>
      <w:r>
        <w:rPr>
          <w:bCs/>
        </w:rPr>
        <w:t>qualitative</w:t>
      </w:r>
      <w:r>
        <w:t xml:space="preserve"> techniques (Creswell &amp; </w:t>
      </w:r>
      <w:r>
        <w:rPr>
          <w:color w:val="222222"/>
          <w:shd w:val="clear" w:color="auto" w:fill="FFFFFF"/>
        </w:rPr>
        <w:t>Inoue</w:t>
      </w:r>
      <w:r>
        <w:t>, 2025). The study was delimited on Morogoro Municipali</w:t>
      </w:r>
      <w:r>
        <w:t xml:space="preserve">ty, targeting a </w:t>
      </w:r>
      <w:r>
        <w:rPr>
          <w:bCs/>
        </w:rPr>
        <w:t>population of 400</w:t>
      </w:r>
      <w:r>
        <w:t xml:space="preserve"> individuals involved in the study, including teachers, teachers, and parents. A </w:t>
      </w:r>
      <w:r>
        <w:rPr>
          <w:bCs/>
        </w:rPr>
        <w:t>sample size of 40</w:t>
      </w:r>
      <w:r>
        <w:t xml:space="preserve"> respondents (10% of the total population) was drawn using </w:t>
      </w:r>
      <w:r>
        <w:rPr>
          <w:bCs/>
        </w:rPr>
        <w:t>both probability and non-probability sampling techniques</w:t>
      </w:r>
      <w:r>
        <w:t>. Stratifi</w:t>
      </w:r>
      <w:r>
        <w:t>ed and simple random sampling techniques were used to select 10 parents, while purposive sampling technique was used to select 30 teachers to participate in the study.</w:t>
      </w:r>
    </w:p>
    <w:p w14:paraId="1D4BCDA5" w14:textId="77777777" w:rsidR="00561911" w:rsidRDefault="004675C3">
      <w:pPr>
        <w:keepNext/>
        <w:keepLines/>
        <w:tabs>
          <w:tab w:val="left" w:pos="5850"/>
        </w:tabs>
        <w:spacing w:line="240" w:lineRule="auto"/>
        <w:jc w:val="both"/>
        <w:outlineLvl w:val="0"/>
        <w:rPr>
          <w:rFonts w:ascii="Times New Roman" w:eastAsia="SimSun" w:hAnsi="Times New Roman"/>
          <w:b/>
          <w:bCs/>
        </w:rPr>
      </w:pPr>
      <w:bookmarkStart w:id="1" w:name="_Toc188255594"/>
      <w:bookmarkStart w:id="2" w:name="_Toc188277343"/>
      <w:bookmarkStart w:id="3" w:name="_Toc190346764"/>
      <w:bookmarkStart w:id="4" w:name="_Toc196835834"/>
      <w:bookmarkStart w:id="5" w:name="_Toc197100290"/>
      <w:bookmarkStart w:id="6" w:name="_Toc199591857"/>
      <w:bookmarkStart w:id="7" w:name="_Toc199592583"/>
      <w:bookmarkStart w:id="8" w:name="_Toc199938356"/>
      <w:bookmarkStart w:id="9" w:name="_Toc200109122"/>
      <w:bookmarkStart w:id="10" w:name="_Toc200626073"/>
      <w:bookmarkStart w:id="11" w:name="_Toc204169105"/>
      <w:r>
        <w:rPr>
          <w:rFonts w:ascii="Times New Roman" w:eastAsia="SimSun" w:hAnsi="Times New Roman"/>
          <w:b/>
          <w:bCs/>
        </w:rPr>
        <w:t xml:space="preserve">Table 1: Sampling </w:t>
      </w:r>
      <w:bookmarkEnd w:id="1"/>
      <w:bookmarkEnd w:id="2"/>
      <w:bookmarkEnd w:id="3"/>
      <w:bookmarkEnd w:id="4"/>
      <w:bookmarkEnd w:id="5"/>
      <w:bookmarkEnd w:id="6"/>
      <w:bookmarkEnd w:id="7"/>
      <w:bookmarkEnd w:id="8"/>
      <w:bookmarkEnd w:id="9"/>
      <w:bookmarkEnd w:id="10"/>
      <w:bookmarkEnd w:id="11"/>
      <w:r>
        <w:rPr>
          <w:rFonts w:ascii="Times New Roman" w:eastAsia="SimSun" w:hAnsi="Times New Roman"/>
          <w:b/>
          <w:bCs/>
        </w:rPr>
        <w:t>Frame</w:t>
      </w:r>
    </w:p>
    <w:tbl>
      <w:tblPr>
        <w:tblW w:w="4793" w:type="pct"/>
        <w:jc w:val="center"/>
        <w:tblLook w:val="04A0" w:firstRow="1" w:lastRow="0" w:firstColumn="1" w:lastColumn="0" w:noHBand="0" w:noVBand="1"/>
      </w:tblPr>
      <w:tblGrid>
        <w:gridCol w:w="1952"/>
        <w:gridCol w:w="1337"/>
        <w:gridCol w:w="977"/>
        <w:gridCol w:w="1371"/>
        <w:gridCol w:w="3543"/>
      </w:tblGrid>
      <w:tr w:rsidR="00561911" w14:paraId="03A71D02" w14:textId="77777777">
        <w:trPr>
          <w:trHeight w:val="713"/>
          <w:jc w:val="center"/>
        </w:trPr>
        <w:tc>
          <w:tcPr>
            <w:tcW w:w="1063" w:type="pct"/>
            <w:tcBorders>
              <w:top w:val="single" w:sz="18" w:space="0" w:color="auto"/>
              <w:bottom w:val="single" w:sz="18" w:space="0" w:color="auto"/>
            </w:tcBorders>
          </w:tcPr>
          <w:p w14:paraId="001CFC4D" w14:textId="77777777" w:rsidR="00561911" w:rsidRDefault="004675C3">
            <w:pPr>
              <w:spacing w:after="200" w:line="240" w:lineRule="auto"/>
              <w:contextualSpacing/>
              <w:jc w:val="both"/>
              <w:rPr>
                <w:rFonts w:ascii="Times New Roman" w:hAnsi="Times New Roman"/>
                <w:b/>
              </w:rPr>
            </w:pPr>
            <w:r>
              <w:rPr>
                <w:rFonts w:ascii="Times New Roman" w:hAnsi="Times New Roman"/>
                <w:b/>
              </w:rPr>
              <w:t xml:space="preserve">Category </w:t>
            </w:r>
          </w:p>
        </w:tc>
        <w:tc>
          <w:tcPr>
            <w:tcW w:w="728" w:type="pct"/>
            <w:tcBorders>
              <w:top w:val="single" w:sz="18" w:space="0" w:color="auto"/>
              <w:bottom w:val="single" w:sz="18" w:space="0" w:color="auto"/>
            </w:tcBorders>
          </w:tcPr>
          <w:p w14:paraId="7307C2C7" w14:textId="77777777" w:rsidR="00561911" w:rsidRDefault="004675C3">
            <w:pPr>
              <w:spacing w:after="200" w:line="240" w:lineRule="auto"/>
              <w:contextualSpacing/>
              <w:jc w:val="both"/>
              <w:rPr>
                <w:rFonts w:ascii="Times New Roman" w:hAnsi="Times New Roman"/>
                <w:b/>
              </w:rPr>
            </w:pPr>
            <w:r>
              <w:rPr>
                <w:rFonts w:ascii="Times New Roman" w:hAnsi="Times New Roman"/>
                <w:b/>
              </w:rPr>
              <w:t>Target Population</w:t>
            </w:r>
          </w:p>
        </w:tc>
        <w:tc>
          <w:tcPr>
            <w:tcW w:w="532" w:type="pct"/>
            <w:tcBorders>
              <w:top w:val="single" w:sz="18" w:space="0" w:color="auto"/>
              <w:bottom w:val="single" w:sz="18" w:space="0" w:color="auto"/>
            </w:tcBorders>
          </w:tcPr>
          <w:p w14:paraId="0BC83DF7" w14:textId="77777777" w:rsidR="00561911" w:rsidRDefault="004675C3">
            <w:pPr>
              <w:spacing w:after="200" w:line="240" w:lineRule="auto"/>
              <w:contextualSpacing/>
              <w:jc w:val="both"/>
              <w:rPr>
                <w:rFonts w:ascii="Times New Roman" w:hAnsi="Times New Roman"/>
                <w:b/>
              </w:rPr>
            </w:pPr>
            <w:r>
              <w:rPr>
                <w:rFonts w:ascii="Times New Roman" w:hAnsi="Times New Roman"/>
                <w:b/>
              </w:rPr>
              <w:t>Sample size (n)</w:t>
            </w:r>
          </w:p>
        </w:tc>
        <w:tc>
          <w:tcPr>
            <w:tcW w:w="747" w:type="pct"/>
            <w:tcBorders>
              <w:top w:val="single" w:sz="18" w:space="0" w:color="auto"/>
              <w:bottom w:val="single" w:sz="18" w:space="0" w:color="auto"/>
            </w:tcBorders>
          </w:tcPr>
          <w:p w14:paraId="1BFDDD5D" w14:textId="77777777" w:rsidR="00561911" w:rsidRDefault="004675C3">
            <w:pPr>
              <w:spacing w:after="200" w:line="240" w:lineRule="auto"/>
              <w:contextualSpacing/>
              <w:jc w:val="center"/>
              <w:rPr>
                <w:rFonts w:ascii="Times New Roman" w:hAnsi="Times New Roman"/>
                <w:b/>
              </w:rPr>
            </w:pPr>
            <w:r>
              <w:rPr>
                <w:rFonts w:ascii="Times New Roman" w:hAnsi="Times New Roman"/>
                <w:b/>
              </w:rPr>
              <w:t>Percentage</w:t>
            </w:r>
          </w:p>
          <w:p w14:paraId="7521E7D6" w14:textId="77777777" w:rsidR="00561911" w:rsidRDefault="004675C3">
            <w:pPr>
              <w:spacing w:after="200" w:line="240" w:lineRule="auto"/>
              <w:contextualSpacing/>
              <w:jc w:val="center"/>
              <w:rPr>
                <w:rFonts w:ascii="Times New Roman" w:hAnsi="Times New Roman"/>
                <w:b/>
              </w:rPr>
            </w:pPr>
            <w:r>
              <w:rPr>
                <w:rFonts w:ascii="Times New Roman" w:hAnsi="Times New Roman"/>
                <w:b/>
              </w:rPr>
              <w:t>%</w:t>
            </w:r>
          </w:p>
        </w:tc>
        <w:tc>
          <w:tcPr>
            <w:tcW w:w="1930" w:type="pct"/>
            <w:tcBorders>
              <w:top w:val="single" w:sz="18" w:space="0" w:color="auto"/>
              <w:bottom w:val="single" w:sz="18" w:space="0" w:color="auto"/>
            </w:tcBorders>
          </w:tcPr>
          <w:p w14:paraId="30C7FFA5" w14:textId="77777777" w:rsidR="00561911" w:rsidRDefault="004675C3">
            <w:pPr>
              <w:spacing w:after="200" w:line="240" w:lineRule="auto"/>
              <w:contextualSpacing/>
              <w:jc w:val="center"/>
              <w:rPr>
                <w:rFonts w:ascii="Times New Roman" w:hAnsi="Times New Roman"/>
                <w:b/>
              </w:rPr>
            </w:pPr>
            <w:r>
              <w:rPr>
                <w:rFonts w:ascii="Times New Roman" w:hAnsi="Times New Roman"/>
                <w:b/>
              </w:rPr>
              <w:t>Sampling technique</w:t>
            </w:r>
          </w:p>
        </w:tc>
      </w:tr>
      <w:tr w:rsidR="00561911" w14:paraId="55AFACCB" w14:textId="77777777">
        <w:trPr>
          <w:trHeight w:val="509"/>
          <w:jc w:val="center"/>
        </w:trPr>
        <w:tc>
          <w:tcPr>
            <w:tcW w:w="1063" w:type="pct"/>
          </w:tcPr>
          <w:p w14:paraId="3D1094D1" w14:textId="77777777" w:rsidR="00561911" w:rsidRDefault="004675C3">
            <w:pPr>
              <w:spacing w:after="200" w:line="240" w:lineRule="auto"/>
              <w:contextualSpacing/>
              <w:jc w:val="both"/>
              <w:rPr>
                <w:rFonts w:ascii="Times New Roman" w:hAnsi="Times New Roman"/>
              </w:rPr>
            </w:pPr>
            <w:r>
              <w:rPr>
                <w:rFonts w:ascii="Times New Roman" w:hAnsi="Times New Roman"/>
              </w:rPr>
              <w:t>Parents</w:t>
            </w:r>
          </w:p>
        </w:tc>
        <w:tc>
          <w:tcPr>
            <w:tcW w:w="728" w:type="pct"/>
          </w:tcPr>
          <w:p w14:paraId="4029ED84" w14:textId="77777777" w:rsidR="00561911" w:rsidRDefault="004675C3">
            <w:pPr>
              <w:spacing w:after="200" w:line="240" w:lineRule="auto"/>
              <w:contextualSpacing/>
              <w:jc w:val="center"/>
              <w:rPr>
                <w:rFonts w:ascii="Times New Roman" w:hAnsi="Times New Roman"/>
              </w:rPr>
            </w:pPr>
            <w:r>
              <w:rPr>
                <w:rFonts w:ascii="Times New Roman" w:hAnsi="Times New Roman"/>
              </w:rPr>
              <w:t>100</w:t>
            </w:r>
          </w:p>
        </w:tc>
        <w:tc>
          <w:tcPr>
            <w:tcW w:w="532" w:type="pct"/>
          </w:tcPr>
          <w:p w14:paraId="2389C7C2" w14:textId="77777777" w:rsidR="00561911" w:rsidRDefault="004675C3">
            <w:pPr>
              <w:spacing w:after="200" w:line="240" w:lineRule="auto"/>
              <w:contextualSpacing/>
              <w:jc w:val="center"/>
              <w:rPr>
                <w:rFonts w:ascii="Times New Roman" w:hAnsi="Times New Roman"/>
              </w:rPr>
            </w:pPr>
            <w:r>
              <w:rPr>
                <w:rFonts w:ascii="Times New Roman" w:hAnsi="Times New Roman"/>
              </w:rPr>
              <w:t>10</w:t>
            </w:r>
          </w:p>
        </w:tc>
        <w:tc>
          <w:tcPr>
            <w:tcW w:w="747" w:type="pct"/>
          </w:tcPr>
          <w:p w14:paraId="77C1190B" w14:textId="77777777" w:rsidR="00561911" w:rsidRDefault="004675C3">
            <w:pPr>
              <w:spacing w:after="200" w:line="240" w:lineRule="auto"/>
              <w:contextualSpacing/>
              <w:jc w:val="center"/>
              <w:rPr>
                <w:rFonts w:ascii="Times New Roman" w:hAnsi="Times New Roman"/>
              </w:rPr>
            </w:pPr>
            <w:r>
              <w:rPr>
                <w:rFonts w:ascii="Times New Roman" w:hAnsi="Times New Roman"/>
              </w:rPr>
              <w:t>10</w:t>
            </w:r>
          </w:p>
        </w:tc>
        <w:tc>
          <w:tcPr>
            <w:tcW w:w="1930" w:type="pct"/>
          </w:tcPr>
          <w:p w14:paraId="45EAA458" w14:textId="77777777" w:rsidR="00561911" w:rsidRDefault="004675C3">
            <w:pPr>
              <w:spacing w:after="200" w:line="240" w:lineRule="auto"/>
              <w:contextualSpacing/>
              <w:rPr>
                <w:rFonts w:ascii="Times New Roman" w:hAnsi="Times New Roman"/>
              </w:rPr>
            </w:pPr>
            <w:r>
              <w:rPr>
                <w:rFonts w:ascii="Times New Roman" w:hAnsi="Times New Roman"/>
              </w:rPr>
              <w:t>Purposive sampling</w:t>
            </w:r>
          </w:p>
        </w:tc>
      </w:tr>
      <w:tr w:rsidR="00561911" w14:paraId="52F2C080" w14:textId="77777777">
        <w:trPr>
          <w:trHeight w:val="465"/>
          <w:jc w:val="center"/>
        </w:trPr>
        <w:tc>
          <w:tcPr>
            <w:tcW w:w="1063" w:type="pct"/>
            <w:tcBorders>
              <w:bottom w:val="single" w:sz="18" w:space="0" w:color="auto"/>
            </w:tcBorders>
          </w:tcPr>
          <w:p w14:paraId="4F84C601" w14:textId="77777777" w:rsidR="00561911" w:rsidRDefault="004675C3">
            <w:pPr>
              <w:spacing w:after="200" w:line="240" w:lineRule="auto"/>
              <w:contextualSpacing/>
              <w:jc w:val="both"/>
              <w:rPr>
                <w:rFonts w:ascii="Times New Roman" w:hAnsi="Times New Roman"/>
              </w:rPr>
            </w:pPr>
            <w:r>
              <w:rPr>
                <w:rFonts w:ascii="Times New Roman" w:hAnsi="Times New Roman"/>
              </w:rPr>
              <w:t>Teachers</w:t>
            </w:r>
          </w:p>
        </w:tc>
        <w:tc>
          <w:tcPr>
            <w:tcW w:w="728" w:type="pct"/>
            <w:tcBorders>
              <w:bottom w:val="single" w:sz="18" w:space="0" w:color="auto"/>
            </w:tcBorders>
          </w:tcPr>
          <w:p w14:paraId="33AD0189" w14:textId="77777777" w:rsidR="00561911" w:rsidRDefault="004675C3">
            <w:pPr>
              <w:spacing w:after="200" w:line="240" w:lineRule="auto"/>
              <w:contextualSpacing/>
              <w:jc w:val="center"/>
              <w:rPr>
                <w:rFonts w:ascii="Times New Roman" w:hAnsi="Times New Roman"/>
              </w:rPr>
            </w:pPr>
            <w:r>
              <w:rPr>
                <w:rFonts w:ascii="Times New Roman" w:hAnsi="Times New Roman"/>
              </w:rPr>
              <w:t>300</w:t>
            </w:r>
          </w:p>
        </w:tc>
        <w:tc>
          <w:tcPr>
            <w:tcW w:w="532" w:type="pct"/>
            <w:tcBorders>
              <w:bottom w:val="single" w:sz="18" w:space="0" w:color="auto"/>
            </w:tcBorders>
          </w:tcPr>
          <w:p w14:paraId="0F20B133" w14:textId="77777777" w:rsidR="00561911" w:rsidRDefault="004675C3">
            <w:pPr>
              <w:spacing w:after="200" w:line="240" w:lineRule="auto"/>
              <w:contextualSpacing/>
              <w:jc w:val="center"/>
              <w:rPr>
                <w:rFonts w:ascii="Times New Roman" w:hAnsi="Times New Roman"/>
              </w:rPr>
            </w:pPr>
            <w:r>
              <w:rPr>
                <w:rFonts w:ascii="Times New Roman" w:hAnsi="Times New Roman"/>
              </w:rPr>
              <w:t>30</w:t>
            </w:r>
          </w:p>
        </w:tc>
        <w:tc>
          <w:tcPr>
            <w:tcW w:w="747" w:type="pct"/>
            <w:tcBorders>
              <w:bottom w:val="single" w:sz="18" w:space="0" w:color="auto"/>
            </w:tcBorders>
          </w:tcPr>
          <w:p w14:paraId="743AAF7D" w14:textId="77777777" w:rsidR="00561911" w:rsidRDefault="004675C3">
            <w:pPr>
              <w:spacing w:after="200" w:line="240" w:lineRule="auto"/>
              <w:contextualSpacing/>
              <w:jc w:val="center"/>
              <w:rPr>
                <w:rFonts w:ascii="Times New Roman" w:hAnsi="Times New Roman"/>
              </w:rPr>
            </w:pPr>
            <w:r>
              <w:rPr>
                <w:rFonts w:ascii="Times New Roman" w:hAnsi="Times New Roman"/>
              </w:rPr>
              <w:t>10</w:t>
            </w:r>
          </w:p>
        </w:tc>
        <w:tc>
          <w:tcPr>
            <w:tcW w:w="1930" w:type="pct"/>
            <w:tcBorders>
              <w:bottom w:val="single" w:sz="18" w:space="0" w:color="auto"/>
            </w:tcBorders>
          </w:tcPr>
          <w:p w14:paraId="0A6B56EF" w14:textId="77777777" w:rsidR="00561911" w:rsidRDefault="004675C3">
            <w:pPr>
              <w:spacing w:after="200" w:line="240" w:lineRule="auto"/>
              <w:contextualSpacing/>
              <w:rPr>
                <w:rFonts w:ascii="Times New Roman" w:hAnsi="Times New Roman"/>
              </w:rPr>
            </w:pPr>
            <w:r>
              <w:rPr>
                <w:rFonts w:ascii="Times New Roman" w:hAnsi="Times New Roman"/>
              </w:rPr>
              <w:t>Stratified sampling</w:t>
            </w:r>
          </w:p>
        </w:tc>
      </w:tr>
      <w:tr w:rsidR="00561911" w14:paraId="47758E0F" w14:textId="77777777">
        <w:trPr>
          <w:trHeight w:val="308"/>
          <w:jc w:val="center"/>
        </w:trPr>
        <w:tc>
          <w:tcPr>
            <w:tcW w:w="1063" w:type="pct"/>
            <w:tcBorders>
              <w:top w:val="single" w:sz="18" w:space="0" w:color="auto"/>
              <w:bottom w:val="single" w:sz="18" w:space="0" w:color="auto"/>
            </w:tcBorders>
          </w:tcPr>
          <w:p w14:paraId="45CFD8C0" w14:textId="77777777" w:rsidR="00561911" w:rsidRDefault="004675C3">
            <w:pPr>
              <w:spacing w:after="200" w:line="240" w:lineRule="auto"/>
              <w:contextualSpacing/>
              <w:jc w:val="both"/>
              <w:rPr>
                <w:rFonts w:ascii="Times New Roman" w:hAnsi="Times New Roman"/>
                <w:b/>
                <w:bCs/>
              </w:rPr>
            </w:pPr>
            <w:r>
              <w:rPr>
                <w:rFonts w:ascii="Times New Roman" w:hAnsi="Times New Roman"/>
                <w:b/>
                <w:bCs/>
              </w:rPr>
              <w:t xml:space="preserve">TOTAL </w:t>
            </w:r>
          </w:p>
        </w:tc>
        <w:tc>
          <w:tcPr>
            <w:tcW w:w="728" w:type="pct"/>
            <w:tcBorders>
              <w:top w:val="single" w:sz="18" w:space="0" w:color="auto"/>
              <w:bottom w:val="single" w:sz="18" w:space="0" w:color="auto"/>
            </w:tcBorders>
          </w:tcPr>
          <w:p w14:paraId="51BB06F4" w14:textId="77777777" w:rsidR="00561911" w:rsidRDefault="004675C3">
            <w:pPr>
              <w:spacing w:after="200" w:line="240" w:lineRule="auto"/>
              <w:contextualSpacing/>
              <w:jc w:val="center"/>
              <w:rPr>
                <w:rFonts w:ascii="Times New Roman" w:hAnsi="Times New Roman"/>
                <w:b/>
              </w:rPr>
            </w:pPr>
            <w:r>
              <w:rPr>
                <w:rFonts w:ascii="Times New Roman" w:hAnsi="Times New Roman"/>
                <w:b/>
              </w:rPr>
              <w:t>400</w:t>
            </w:r>
          </w:p>
        </w:tc>
        <w:tc>
          <w:tcPr>
            <w:tcW w:w="532" w:type="pct"/>
            <w:tcBorders>
              <w:top w:val="single" w:sz="18" w:space="0" w:color="auto"/>
              <w:bottom w:val="single" w:sz="18" w:space="0" w:color="auto"/>
            </w:tcBorders>
          </w:tcPr>
          <w:p w14:paraId="0F06AA3E" w14:textId="77777777" w:rsidR="00561911" w:rsidRDefault="004675C3">
            <w:pPr>
              <w:spacing w:after="200" w:line="240" w:lineRule="auto"/>
              <w:contextualSpacing/>
              <w:jc w:val="center"/>
              <w:rPr>
                <w:rFonts w:ascii="Times New Roman" w:hAnsi="Times New Roman"/>
                <w:b/>
              </w:rPr>
            </w:pPr>
            <w:r>
              <w:rPr>
                <w:rFonts w:ascii="Times New Roman" w:hAnsi="Times New Roman"/>
                <w:b/>
              </w:rPr>
              <w:t>40</w:t>
            </w:r>
          </w:p>
        </w:tc>
        <w:tc>
          <w:tcPr>
            <w:tcW w:w="747" w:type="pct"/>
            <w:tcBorders>
              <w:top w:val="single" w:sz="18" w:space="0" w:color="auto"/>
              <w:bottom w:val="single" w:sz="18" w:space="0" w:color="auto"/>
            </w:tcBorders>
          </w:tcPr>
          <w:p w14:paraId="0DBDB9B5" w14:textId="77777777" w:rsidR="00561911" w:rsidRDefault="00561911">
            <w:pPr>
              <w:spacing w:after="200" w:line="240" w:lineRule="auto"/>
              <w:contextualSpacing/>
              <w:rPr>
                <w:rFonts w:ascii="Times New Roman" w:hAnsi="Times New Roman"/>
                <w:b/>
              </w:rPr>
            </w:pPr>
          </w:p>
        </w:tc>
        <w:tc>
          <w:tcPr>
            <w:tcW w:w="1930" w:type="pct"/>
            <w:tcBorders>
              <w:top w:val="single" w:sz="18" w:space="0" w:color="auto"/>
              <w:bottom w:val="single" w:sz="18" w:space="0" w:color="auto"/>
            </w:tcBorders>
          </w:tcPr>
          <w:p w14:paraId="428A1C89" w14:textId="77777777" w:rsidR="00561911" w:rsidRDefault="00561911">
            <w:pPr>
              <w:spacing w:after="200" w:line="240" w:lineRule="auto"/>
              <w:contextualSpacing/>
              <w:jc w:val="center"/>
              <w:rPr>
                <w:rFonts w:ascii="Times New Roman" w:hAnsi="Times New Roman"/>
                <w:b/>
              </w:rPr>
            </w:pPr>
          </w:p>
        </w:tc>
      </w:tr>
    </w:tbl>
    <w:p w14:paraId="03D7AA92" w14:textId="77777777" w:rsidR="00561911" w:rsidRDefault="004675C3">
      <w:pPr>
        <w:spacing w:after="200" w:line="240" w:lineRule="auto"/>
        <w:jc w:val="both"/>
        <w:rPr>
          <w:rFonts w:ascii="Times New Roman" w:hAnsi="Times New Roman"/>
        </w:rPr>
      </w:pPr>
      <w:r>
        <w:rPr>
          <w:rFonts w:ascii="Times New Roman" w:hAnsi="Times New Roman"/>
          <w:b/>
        </w:rPr>
        <w:t xml:space="preserve">Source: </w:t>
      </w:r>
      <w:r>
        <w:rPr>
          <w:rFonts w:ascii="Times New Roman" w:hAnsi="Times New Roman"/>
        </w:rPr>
        <w:t>Researcher 2025</w:t>
      </w:r>
    </w:p>
    <w:p w14:paraId="03B763B5" w14:textId="77777777" w:rsidR="00561911" w:rsidRDefault="004675C3">
      <w:pPr>
        <w:spacing w:before="120" w:after="120" w:line="240" w:lineRule="auto"/>
        <w:jc w:val="both"/>
        <w:rPr>
          <w:rFonts w:ascii="Times New Roman" w:hAnsi="Times New Roman"/>
        </w:rPr>
      </w:pPr>
      <w:r>
        <w:rPr>
          <w:rFonts w:ascii="Times New Roman" w:hAnsi="Times New Roman"/>
        </w:rPr>
        <w:lastRenderedPageBreak/>
        <w:t xml:space="preserve">This study adopts a pragmatism philosophy, emphasizing the understanding of social phenomena through subjective </w:t>
      </w:r>
      <w:r>
        <w:rPr>
          <w:rFonts w:ascii="Times New Roman" w:hAnsi="Times New Roman"/>
        </w:rPr>
        <w:t xml:space="preserve">experiences. The study employed a convergent research design under a mixed research approach. The target population includes teachers, and Parents. The research instruments undergo pilot testing to ensure validity and reliability, with multiple sources of </w:t>
      </w:r>
      <w:r>
        <w:rPr>
          <w:rFonts w:ascii="Times New Roman" w:hAnsi="Times New Roman"/>
        </w:rPr>
        <w:t>evidence enhancing the credibility of the findings. The Cronbach alpha was 0.847. Data analysis was conducted by using descriptive statistics (frequency and percentage) and thematic analysis. Ethical considerations such as informed consent, confidentiality</w:t>
      </w:r>
      <w:r>
        <w:rPr>
          <w:rFonts w:ascii="Times New Roman" w:hAnsi="Times New Roman"/>
        </w:rPr>
        <w:t>, and adherence to ethical guidelines were strictly observed throughout the study.</w:t>
      </w:r>
    </w:p>
    <w:p w14:paraId="2D78C0DD" w14:textId="77777777" w:rsidR="00561911" w:rsidRDefault="004675C3">
      <w:pPr>
        <w:spacing w:before="120" w:after="120" w:line="240" w:lineRule="auto"/>
        <w:jc w:val="both"/>
        <w:rPr>
          <w:rFonts w:ascii="Times New Roman" w:hAnsi="Times New Roman"/>
          <w:b/>
          <w:bCs/>
        </w:rPr>
      </w:pPr>
      <w:r>
        <w:rPr>
          <w:rFonts w:ascii="Times New Roman" w:hAnsi="Times New Roman"/>
          <w:b/>
          <w:bCs/>
        </w:rPr>
        <w:t>6.0 Findings and Discussion</w:t>
      </w:r>
    </w:p>
    <w:p w14:paraId="0C8BBB46" w14:textId="77777777" w:rsidR="00561911" w:rsidRDefault="004675C3">
      <w:pPr>
        <w:spacing w:before="120" w:after="120" w:line="240" w:lineRule="auto"/>
        <w:jc w:val="both"/>
        <w:rPr>
          <w:rFonts w:ascii="Times New Roman" w:hAnsi="Times New Roman"/>
          <w:bCs/>
        </w:rPr>
      </w:pPr>
      <w:r>
        <w:rPr>
          <w:rFonts w:ascii="Times New Roman" w:hAnsi="Times New Roman"/>
          <w:bCs/>
        </w:rPr>
        <w:t>This study intended to determine the influence of Guardianship on Student Attendance Pattern in Public Secondary School in Morogoro Municipal, Ta</w:t>
      </w:r>
      <w:r>
        <w:rPr>
          <w:rFonts w:ascii="Times New Roman" w:hAnsi="Times New Roman"/>
          <w:bCs/>
        </w:rPr>
        <w:t>nzania. The study employed interview to obtain information from Parents and Questionnaire for teachers. To determine the extent to which students’ guardians enhance student in attendance patterns.</w:t>
      </w:r>
    </w:p>
    <w:p w14:paraId="679C2FDD" w14:textId="77777777" w:rsidR="00561911" w:rsidRDefault="004675C3">
      <w:pPr>
        <w:spacing w:before="120" w:after="120" w:line="240" w:lineRule="auto"/>
        <w:jc w:val="both"/>
        <w:rPr>
          <w:rFonts w:ascii="Times New Roman" w:hAnsi="Times New Roman"/>
          <w:b/>
          <w:bCs/>
          <w:color w:val="000000"/>
        </w:rPr>
      </w:pPr>
      <w:r>
        <w:rPr>
          <w:rFonts w:ascii="Times New Roman" w:hAnsi="Times New Roman"/>
          <w:b/>
          <w:bCs/>
          <w:color w:val="000000"/>
        </w:rPr>
        <w:t>6.</w:t>
      </w:r>
      <w:bookmarkStart w:id="12" w:name="_Hlk199821060"/>
      <w:r>
        <w:rPr>
          <w:rFonts w:ascii="Times New Roman" w:hAnsi="Times New Roman"/>
          <w:b/>
          <w:bCs/>
          <w:color w:val="000000"/>
        </w:rPr>
        <w:t xml:space="preserve">1 </w:t>
      </w:r>
      <w:bookmarkStart w:id="13" w:name="_Hlk199819844"/>
      <w:r>
        <w:rPr>
          <w:rFonts w:ascii="Times New Roman" w:hAnsi="Times New Roman"/>
          <w:b/>
          <w:bCs/>
          <w:color w:val="000000"/>
        </w:rPr>
        <w:t>Influence of Guardianship on Student Attendance Pattern</w:t>
      </w:r>
      <w:r>
        <w:rPr>
          <w:rFonts w:ascii="Times New Roman" w:hAnsi="Times New Roman"/>
          <w:b/>
          <w:bCs/>
          <w:color w:val="000000"/>
        </w:rPr>
        <w:t xml:space="preserve"> in public Secondary school  </w:t>
      </w:r>
      <w:bookmarkEnd w:id="12"/>
      <w:bookmarkEnd w:id="13"/>
    </w:p>
    <w:p w14:paraId="6DE51D67" w14:textId="77777777" w:rsidR="00561911" w:rsidRDefault="004675C3">
      <w:pPr>
        <w:spacing w:before="120" w:after="120" w:line="240" w:lineRule="auto"/>
        <w:jc w:val="both"/>
        <w:rPr>
          <w:rFonts w:ascii="Times New Roman" w:hAnsi="Times New Roman"/>
        </w:rPr>
      </w:pPr>
      <w:r>
        <w:rPr>
          <w:rFonts w:ascii="Times New Roman" w:hAnsi="Times New Roman"/>
        </w:rPr>
        <w:t>This section presents the survey findings on the Influence of Guardianship on Student Attendance Pattern in public Secondary school in Morogoro Municipalit</w:t>
      </w:r>
      <w:r>
        <w:rPr>
          <w:rFonts w:ascii="Times New Roman" w:hAnsi="Times New Roman"/>
          <w:b/>
          <w:bCs/>
        </w:rPr>
        <w:t>y</w:t>
      </w:r>
      <w:r>
        <w:rPr>
          <w:rFonts w:ascii="Times New Roman" w:hAnsi="Times New Roman"/>
        </w:rPr>
        <w:t xml:space="preserve"> as demonstrated in Table 2. </w:t>
      </w:r>
    </w:p>
    <w:p w14:paraId="09A5FCBF" w14:textId="77777777" w:rsidR="00561911" w:rsidRDefault="004675C3">
      <w:pPr>
        <w:spacing w:before="120" w:after="120" w:line="240" w:lineRule="auto"/>
        <w:jc w:val="both"/>
        <w:rPr>
          <w:rFonts w:ascii="Times New Roman" w:hAnsi="Times New Roman"/>
          <w:b/>
          <w:bCs/>
        </w:rPr>
      </w:pPr>
      <w:r>
        <w:rPr>
          <w:rFonts w:ascii="Times New Roman" w:hAnsi="Times New Roman"/>
          <w:b/>
          <w:bCs/>
        </w:rPr>
        <w:t xml:space="preserve">Table 2: Perception of Teachers on </w:t>
      </w:r>
      <w:r>
        <w:rPr>
          <w:rFonts w:ascii="Times New Roman" w:hAnsi="Times New Roman"/>
          <w:b/>
          <w:bCs/>
        </w:rPr>
        <w:t>Influence of Guardianship on Student Attendance Pattern in public Secondary school (n= 30)</w:t>
      </w:r>
    </w:p>
    <w:p w14:paraId="3FDDD679" w14:textId="77777777" w:rsidR="00561911" w:rsidRDefault="00561911">
      <w:pPr>
        <w:autoSpaceDE w:val="0"/>
        <w:autoSpaceDN w:val="0"/>
        <w:adjustRightInd w:val="0"/>
        <w:spacing w:after="0" w:line="240" w:lineRule="auto"/>
        <w:jc w:val="both"/>
        <w:rPr>
          <w:rFonts w:ascii="Times New Roman" w:hAnsi="Times New Roman"/>
          <w:kern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916"/>
        <w:gridCol w:w="1036"/>
        <w:gridCol w:w="916"/>
        <w:gridCol w:w="916"/>
        <w:gridCol w:w="916"/>
        <w:gridCol w:w="803"/>
      </w:tblGrid>
      <w:tr w:rsidR="00561911" w14:paraId="57E64E14" w14:textId="77777777">
        <w:trPr>
          <w:trHeight w:val="377"/>
        </w:trPr>
        <w:tc>
          <w:tcPr>
            <w:tcW w:w="4166" w:type="dxa"/>
            <w:vMerge w:val="restart"/>
            <w:tcBorders>
              <w:top w:val="single" w:sz="18" w:space="0" w:color="auto"/>
              <w:bottom w:val="single" w:sz="18" w:space="0" w:color="auto"/>
            </w:tcBorders>
          </w:tcPr>
          <w:p w14:paraId="3C79A47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     SN                           Statement</w:t>
            </w:r>
          </w:p>
          <w:p w14:paraId="21A65DA4"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       </w:t>
            </w:r>
          </w:p>
        </w:tc>
        <w:tc>
          <w:tcPr>
            <w:tcW w:w="4400" w:type="dxa"/>
            <w:gridSpan w:val="5"/>
            <w:tcBorders>
              <w:top w:val="single" w:sz="18" w:space="0" w:color="auto"/>
              <w:bottom w:val="single" w:sz="18" w:space="0" w:color="auto"/>
            </w:tcBorders>
          </w:tcPr>
          <w:p w14:paraId="06632736"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RESPONSES IN F (%)</w:t>
            </w:r>
          </w:p>
        </w:tc>
        <w:tc>
          <w:tcPr>
            <w:tcW w:w="784" w:type="dxa"/>
            <w:vMerge w:val="restart"/>
            <w:tcBorders>
              <w:top w:val="single" w:sz="18" w:space="0" w:color="auto"/>
              <w:left w:val="nil"/>
              <w:bottom w:val="single" w:sz="18" w:space="0" w:color="auto"/>
            </w:tcBorders>
          </w:tcPr>
          <w:p w14:paraId="24E3F2CC"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Mean</w:t>
            </w:r>
          </w:p>
        </w:tc>
      </w:tr>
      <w:tr w:rsidR="00561911" w14:paraId="5ECC997A" w14:textId="77777777">
        <w:trPr>
          <w:trHeight w:val="323"/>
        </w:trPr>
        <w:tc>
          <w:tcPr>
            <w:tcW w:w="4166" w:type="dxa"/>
            <w:vMerge/>
            <w:tcBorders>
              <w:top w:val="single" w:sz="18" w:space="0" w:color="auto"/>
              <w:bottom w:val="single" w:sz="18" w:space="0" w:color="auto"/>
            </w:tcBorders>
          </w:tcPr>
          <w:p w14:paraId="394E4A87" w14:textId="77777777" w:rsidR="00561911" w:rsidRDefault="00561911">
            <w:pPr>
              <w:autoSpaceDE w:val="0"/>
              <w:autoSpaceDN w:val="0"/>
              <w:adjustRightInd w:val="0"/>
              <w:jc w:val="both"/>
              <w:rPr>
                <w:rFonts w:ascii="Times New Roman" w:hAnsi="Times New Roman"/>
                <w:sz w:val="24"/>
                <w:szCs w:val="24"/>
              </w:rPr>
            </w:pPr>
          </w:p>
        </w:tc>
        <w:tc>
          <w:tcPr>
            <w:tcW w:w="858" w:type="dxa"/>
            <w:tcBorders>
              <w:top w:val="single" w:sz="18" w:space="0" w:color="auto"/>
              <w:bottom w:val="single" w:sz="18" w:space="0" w:color="auto"/>
            </w:tcBorders>
          </w:tcPr>
          <w:p w14:paraId="0B8E0127"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SA</w:t>
            </w:r>
          </w:p>
        </w:tc>
        <w:tc>
          <w:tcPr>
            <w:tcW w:w="968" w:type="dxa"/>
            <w:tcBorders>
              <w:top w:val="single" w:sz="18" w:space="0" w:color="auto"/>
              <w:bottom w:val="single" w:sz="18" w:space="0" w:color="auto"/>
            </w:tcBorders>
          </w:tcPr>
          <w:p w14:paraId="61CEDC0E"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A</w:t>
            </w:r>
          </w:p>
        </w:tc>
        <w:tc>
          <w:tcPr>
            <w:tcW w:w="858" w:type="dxa"/>
            <w:tcBorders>
              <w:top w:val="single" w:sz="18" w:space="0" w:color="auto"/>
              <w:bottom w:val="single" w:sz="18" w:space="0" w:color="auto"/>
            </w:tcBorders>
          </w:tcPr>
          <w:p w14:paraId="57DCE957"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N</w:t>
            </w:r>
          </w:p>
        </w:tc>
        <w:tc>
          <w:tcPr>
            <w:tcW w:w="858" w:type="dxa"/>
            <w:tcBorders>
              <w:top w:val="single" w:sz="18" w:space="0" w:color="auto"/>
              <w:bottom w:val="single" w:sz="18" w:space="0" w:color="auto"/>
            </w:tcBorders>
          </w:tcPr>
          <w:p w14:paraId="50F089CB"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D</w:t>
            </w:r>
          </w:p>
        </w:tc>
        <w:tc>
          <w:tcPr>
            <w:tcW w:w="858" w:type="dxa"/>
            <w:tcBorders>
              <w:top w:val="single" w:sz="18" w:space="0" w:color="auto"/>
              <w:bottom w:val="single" w:sz="18" w:space="0" w:color="auto"/>
            </w:tcBorders>
          </w:tcPr>
          <w:p w14:paraId="36E30CC2"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SD</w:t>
            </w:r>
          </w:p>
        </w:tc>
        <w:tc>
          <w:tcPr>
            <w:tcW w:w="784" w:type="dxa"/>
            <w:vMerge/>
            <w:tcBorders>
              <w:top w:val="single" w:sz="18" w:space="0" w:color="auto"/>
              <w:bottom w:val="single" w:sz="18" w:space="0" w:color="auto"/>
            </w:tcBorders>
          </w:tcPr>
          <w:p w14:paraId="3F6D4A6A" w14:textId="77777777" w:rsidR="00561911" w:rsidRDefault="00561911">
            <w:pPr>
              <w:autoSpaceDE w:val="0"/>
              <w:autoSpaceDN w:val="0"/>
              <w:adjustRightInd w:val="0"/>
              <w:jc w:val="both"/>
              <w:rPr>
                <w:rFonts w:ascii="Times New Roman" w:hAnsi="Times New Roman"/>
                <w:sz w:val="24"/>
                <w:szCs w:val="24"/>
              </w:rPr>
            </w:pPr>
          </w:p>
        </w:tc>
      </w:tr>
      <w:tr w:rsidR="00561911" w14:paraId="44F6836E" w14:textId="77777777">
        <w:trPr>
          <w:trHeight w:val="395"/>
        </w:trPr>
        <w:tc>
          <w:tcPr>
            <w:tcW w:w="4166" w:type="dxa"/>
            <w:tcBorders>
              <w:top w:val="single" w:sz="18" w:space="0" w:color="auto"/>
            </w:tcBorders>
          </w:tcPr>
          <w:p w14:paraId="6A28B668" w14:textId="77777777" w:rsidR="00561911" w:rsidRDefault="004675C3">
            <w:pPr>
              <w:pStyle w:val="ListParagraph"/>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Presence of communication among the guardians and school</w:t>
            </w:r>
          </w:p>
        </w:tc>
        <w:tc>
          <w:tcPr>
            <w:tcW w:w="858" w:type="dxa"/>
            <w:tcBorders>
              <w:top w:val="single" w:sz="18" w:space="0" w:color="auto"/>
            </w:tcBorders>
          </w:tcPr>
          <w:p w14:paraId="36EAB2DC"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7(23.3)</w:t>
            </w:r>
          </w:p>
        </w:tc>
        <w:tc>
          <w:tcPr>
            <w:tcW w:w="968" w:type="dxa"/>
            <w:tcBorders>
              <w:top w:val="single" w:sz="18" w:space="0" w:color="auto"/>
            </w:tcBorders>
          </w:tcPr>
          <w:p w14:paraId="64DC7E2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17(56.7)</w:t>
            </w:r>
          </w:p>
        </w:tc>
        <w:tc>
          <w:tcPr>
            <w:tcW w:w="858" w:type="dxa"/>
            <w:tcBorders>
              <w:top w:val="single" w:sz="18" w:space="0" w:color="auto"/>
            </w:tcBorders>
          </w:tcPr>
          <w:p w14:paraId="79E0B55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858" w:type="dxa"/>
            <w:tcBorders>
              <w:top w:val="single" w:sz="18" w:space="0" w:color="auto"/>
            </w:tcBorders>
          </w:tcPr>
          <w:p w14:paraId="3C9AEC7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Borders>
              <w:top w:val="single" w:sz="18" w:space="0" w:color="auto"/>
            </w:tcBorders>
          </w:tcPr>
          <w:p w14:paraId="1E6F04F9"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Borders>
              <w:top w:val="single" w:sz="18" w:space="0" w:color="auto"/>
            </w:tcBorders>
          </w:tcPr>
          <w:p w14:paraId="241E9994"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w:t>
            </w:r>
          </w:p>
        </w:tc>
      </w:tr>
      <w:tr w:rsidR="00561911" w14:paraId="1E3B6DD6" w14:textId="77777777">
        <w:tc>
          <w:tcPr>
            <w:tcW w:w="4166" w:type="dxa"/>
          </w:tcPr>
          <w:p w14:paraId="401CE36F"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Availability of conducive school environment</w:t>
            </w:r>
          </w:p>
        </w:tc>
        <w:tc>
          <w:tcPr>
            <w:tcW w:w="858" w:type="dxa"/>
          </w:tcPr>
          <w:p w14:paraId="2F4DF65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9(30.0)</w:t>
            </w:r>
          </w:p>
        </w:tc>
        <w:tc>
          <w:tcPr>
            <w:tcW w:w="968" w:type="dxa"/>
          </w:tcPr>
          <w:p w14:paraId="5CEF1E7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16(53.3)</w:t>
            </w:r>
          </w:p>
        </w:tc>
        <w:tc>
          <w:tcPr>
            <w:tcW w:w="858" w:type="dxa"/>
          </w:tcPr>
          <w:p w14:paraId="5C71DA42"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858" w:type="dxa"/>
          </w:tcPr>
          <w:p w14:paraId="16CEF3F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858" w:type="dxa"/>
          </w:tcPr>
          <w:p w14:paraId="1C710F7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386BE4F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1.87</w:t>
            </w:r>
          </w:p>
        </w:tc>
      </w:tr>
      <w:tr w:rsidR="00561911" w14:paraId="311F2802" w14:textId="77777777">
        <w:tc>
          <w:tcPr>
            <w:tcW w:w="4166" w:type="dxa"/>
          </w:tcPr>
          <w:p w14:paraId="68F1749F"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Supporting students with school-related needs like books, uniforms, and fare</w:t>
            </w:r>
          </w:p>
        </w:tc>
        <w:tc>
          <w:tcPr>
            <w:tcW w:w="858" w:type="dxa"/>
          </w:tcPr>
          <w:p w14:paraId="1213D55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968" w:type="dxa"/>
          </w:tcPr>
          <w:p w14:paraId="1DEC8C27"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13(43.3)</w:t>
            </w:r>
          </w:p>
        </w:tc>
        <w:tc>
          <w:tcPr>
            <w:tcW w:w="858" w:type="dxa"/>
          </w:tcPr>
          <w:p w14:paraId="16C97F53"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8(26.7)</w:t>
            </w:r>
          </w:p>
        </w:tc>
        <w:tc>
          <w:tcPr>
            <w:tcW w:w="858" w:type="dxa"/>
          </w:tcPr>
          <w:p w14:paraId="4B264DB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3(10.0)</w:t>
            </w:r>
          </w:p>
        </w:tc>
        <w:tc>
          <w:tcPr>
            <w:tcW w:w="858" w:type="dxa"/>
          </w:tcPr>
          <w:p w14:paraId="178173E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5C4729E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2.40</w:t>
            </w:r>
          </w:p>
        </w:tc>
      </w:tr>
      <w:tr w:rsidR="00561911" w14:paraId="0701D8C4" w14:textId="77777777">
        <w:tc>
          <w:tcPr>
            <w:tcW w:w="4166" w:type="dxa"/>
          </w:tcPr>
          <w:p w14:paraId="134EAB32"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Provision</w:t>
            </w:r>
            <w:r>
              <w:rPr>
                <w:rFonts w:ascii="Times New Roman" w:hAnsi="Times New Roman"/>
                <w:sz w:val="24"/>
                <w:szCs w:val="24"/>
              </w:rPr>
              <w:t xml:space="preserve"> of food and meal especially breakfast and lunch at school</w:t>
            </w:r>
          </w:p>
        </w:tc>
        <w:tc>
          <w:tcPr>
            <w:tcW w:w="858" w:type="dxa"/>
          </w:tcPr>
          <w:p w14:paraId="4C0A682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968" w:type="dxa"/>
          </w:tcPr>
          <w:p w14:paraId="464B0CA4"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12(40.0)</w:t>
            </w:r>
          </w:p>
        </w:tc>
        <w:tc>
          <w:tcPr>
            <w:tcW w:w="858" w:type="dxa"/>
          </w:tcPr>
          <w:p w14:paraId="4830D34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4(13.3)</w:t>
            </w:r>
          </w:p>
        </w:tc>
        <w:tc>
          <w:tcPr>
            <w:tcW w:w="858" w:type="dxa"/>
          </w:tcPr>
          <w:p w14:paraId="14274E7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858" w:type="dxa"/>
          </w:tcPr>
          <w:p w14:paraId="42FA4A74"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3(10.0)</w:t>
            </w:r>
          </w:p>
        </w:tc>
        <w:tc>
          <w:tcPr>
            <w:tcW w:w="784" w:type="dxa"/>
          </w:tcPr>
          <w:p w14:paraId="17071D7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2.67</w:t>
            </w:r>
          </w:p>
        </w:tc>
      </w:tr>
      <w:tr w:rsidR="00561911" w14:paraId="1CD1ABD1" w14:textId="77777777">
        <w:tc>
          <w:tcPr>
            <w:tcW w:w="4166" w:type="dxa"/>
          </w:tcPr>
          <w:p w14:paraId="6CE580B6"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Availability of guardians and counseling department in school with resources to help those demanding it</w:t>
            </w:r>
          </w:p>
        </w:tc>
        <w:tc>
          <w:tcPr>
            <w:tcW w:w="858" w:type="dxa"/>
          </w:tcPr>
          <w:p w14:paraId="3B87B81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968" w:type="dxa"/>
          </w:tcPr>
          <w:p w14:paraId="60ADE21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17(56.7)</w:t>
            </w:r>
          </w:p>
        </w:tc>
        <w:tc>
          <w:tcPr>
            <w:tcW w:w="858" w:type="dxa"/>
          </w:tcPr>
          <w:p w14:paraId="09C815E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858" w:type="dxa"/>
          </w:tcPr>
          <w:p w14:paraId="5BFD0E9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1624ADB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1829F61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2.07</w:t>
            </w:r>
          </w:p>
        </w:tc>
      </w:tr>
      <w:tr w:rsidR="00561911" w14:paraId="6F8E39FB" w14:textId="77777777">
        <w:tc>
          <w:tcPr>
            <w:tcW w:w="4166" w:type="dxa"/>
          </w:tcPr>
          <w:p w14:paraId="32B928E6"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Provision of religious education at school</w:t>
            </w:r>
          </w:p>
        </w:tc>
        <w:tc>
          <w:tcPr>
            <w:tcW w:w="858" w:type="dxa"/>
          </w:tcPr>
          <w:p w14:paraId="0462CD56"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8(26.7)</w:t>
            </w:r>
          </w:p>
        </w:tc>
        <w:tc>
          <w:tcPr>
            <w:tcW w:w="968" w:type="dxa"/>
          </w:tcPr>
          <w:p w14:paraId="5D6BFE2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18(60.0)</w:t>
            </w:r>
          </w:p>
        </w:tc>
        <w:tc>
          <w:tcPr>
            <w:tcW w:w="858" w:type="dxa"/>
          </w:tcPr>
          <w:p w14:paraId="130335C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7D32F1E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2(6.7)</w:t>
            </w:r>
          </w:p>
        </w:tc>
        <w:tc>
          <w:tcPr>
            <w:tcW w:w="858" w:type="dxa"/>
          </w:tcPr>
          <w:p w14:paraId="2677FAC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63DB4FB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2.00</w:t>
            </w:r>
          </w:p>
        </w:tc>
      </w:tr>
      <w:tr w:rsidR="00561911" w14:paraId="18732CAE" w14:textId="77777777">
        <w:tc>
          <w:tcPr>
            <w:tcW w:w="4166" w:type="dxa"/>
          </w:tcPr>
          <w:p w14:paraId="3E5340DA"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Participation of the parents in school activities</w:t>
            </w:r>
          </w:p>
        </w:tc>
        <w:tc>
          <w:tcPr>
            <w:tcW w:w="858" w:type="dxa"/>
          </w:tcPr>
          <w:p w14:paraId="1AEBCFF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4(13.3)</w:t>
            </w:r>
          </w:p>
        </w:tc>
        <w:tc>
          <w:tcPr>
            <w:tcW w:w="968" w:type="dxa"/>
          </w:tcPr>
          <w:p w14:paraId="6396690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14(46.7)</w:t>
            </w:r>
          </w:p>
        </w:tc>
        <w:tc>
          <w:tcPr>
            <w:tcW w:w="858" w:type="dxa"/>
          </w:tcPr>
          <w:p w14:paraId="1C4949F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9(30.0)</w:t>
            </w:r>
          </w:p>
        </w:tc>
        <w:tc>
          <w:tcPr>
            <w:tcW w:w="858" w:type="dxa"/>
          </w:tcPr>
          <w:p w14:paraId="42A7DA6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2(6.7)</w:t>
            </w:r>
          </w:p>
        </w:tc>
        <w:tc>
          <w:tcPr>
            <w:tcW w:w="858" w:type="dxa"/>
          </w:tcPr>
          <w:p w14:paraId="3C719DE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6DC422A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2.40</w:t>
            </w:r>
          </w:p>
        </w:tc>
      </w:tr>
      <w:tr w:rsidR="00561911" w14:paraId="129C8995" w14:textId="77777777">
        <w:tc>
          <w:tcPr>
            <w:tcW w:w="4166" w:type="dxa"/>
          </w:tcPr>
          <w:p w14:paraId="1585BCFF"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Adolescent students respond better to gradience from teachers who employ their own </w:t>
            </w:r>
            <w:r>
              <w:rPr>
                <w:rFonts w:ascii="Times New Roman" w:hAnsi="Times New Roman"/>
                <w:sz w:val="24"/>
                <w:szCs w:val="24"/>
              </w:rPr>
              <w:lastRenderedPageBreak/>
              <w:t>teaching strategies</w:t>
            </w:r>
          </w:p>
        </w:tc>
        <w:tc>
          <w:tcPr>
            <w:tcW w:w="858" w:type="dxa"/>
          </w:tcPr>
          <w:p w14:paraId="46B0357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6(20.0)</w:t>
            </w:r>
          </w:p>
        </w:tc>
        <w:tc>
          <w:tcPr>
            <w:tcW w:w="968" w:type="dxa"/>
          </w:tcPr>
          <w:p w14:paraId="70FEE95E"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13(43.3)</w:t>
            </w:r>
          </w:p>
        </w:tc>
        <w:tc>
          <w:tcPr>
            <w:tcW w:w="858" w:type="dxa"/>
          </w:tcPr>
          <w:p w14:paraId="7E4BB9A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7(23.3)</w:t>
            </w:r>
          </w:p>
        </w:tc>
        <w:tc>
          <w:tcPr>
            <w:tcW w:w="858" w:type="dxa"/>
          </w:tcPr>
          <w:p w14:paraId="3A1D205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3(10.0)</w:t>
            </w:r>
          </w:p>
        </w:tc>
        <w:tc>
          <w:tcPr>
            <w:tcW w:w="858" w:type="dxa"/>
          </w:tcPr>
          <w:p w14:paraId="0A6E9522"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4F5BDF9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2.33</w:t>
            </w:r>
          </w:p>
        </w:tc>
      </w:tr>
      <w:tr w:rsidR="00561911" w14:paraId="37C557EA" w14:textId="77777777">
        <w:tc>
          <w:tcPr>
            <w:tcW w:w="4166" w:type="dxa"/>
          </w:tcPr>
          <w:p w14:paraId="1A56CCAF"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Need of adolescent’s guardianship support to student</w:t>
            </w:r>
          </w:p>
        </w:tc>
        <w:tc>
          <w:tcPr>
            <w:tcW w:w="858" w:type="dxa"/>
          </w:tcPr>
          <w:p w14:paraId="0EF707D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968" w:type="dxa"/>
          </w:tcPr>
          <w:p w14:paraId="35F50B77"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19(63.3)</w:t>
            </w:r>
          </w:p>
        </w:tc>
        <w:tc>
          <w:tcPr>
            <w:tcW w:w="858" w:type="dxa"/>
          </w:tcPr>
          <w:p w14:paraId="14C5A2D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858" w:type="dxa"/>
          </w:tcPr>
          <w:p w14:paraId="7D048D9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32B97769"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1026B39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2.07</w:t>
            </w:r>
          </w:p>
        </w:tc>
      </w:tr>
      <w:tr w:rsidR="00561911" w14:paraId="6B9890A9" w14:textId="77777777">
        <w:trPr>
          <w:trHeight w:val="870"/>
        </w:trPr>
        <w:tc>
          <w:tcPr>
            <w:tcW w:w="4166" w:type="dxa"/>
          </w:tcPr>
          <w:p w14:paraId="28CA8998"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Discussion about student development in school meeting and </w:t>
            </w:r>
          </w:p>
        </w:tc>
        <w:tc>
          <w:tcPr>
            <w:tcW w:w="858" w:type="dxa"/>
          </w:tcPr>
          <w:p w14:paraId="7D0D6109"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9(30.0)</w:t>
            </w:r>
          </w:p>
        </w:tc>
        <w:tc>
          <w:tcPr>
            <w:tcW w:w="968" w:type="dxa"/>
          </w:tcPr>
          <w:p w14:paraId="055087C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14(46.7)</w:t>
            </w:r>
          </w:p>
        </w:tc>
        <w:tc>
          <w:tcPr>
            <w:tcW w:w="858" w:type="dxa"/>
          </w:tcPr>
          <w:p w14:paraId="7D760B0C"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858" w:type="dxa"/>
          </w:tcPr>
          <w:p w14:paraId="3492D42E"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7FE2B642"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3777021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1.97</w:t>
            </w:r>
          </w:p>
        </w:tc>
      </w:tr>
      <w:tr w:rsidR="00561911" w14:paraId="2B59DD46" w14:textId="77777777">
        <w:trPr>
          <w:trHeight w:val="731"/>
        </w:trPr>
        <w:tc>
          <w:tcPr>
            <w:tcW w:w="4166" w:type="dxa"/>
            <w:tcBorders>
              <w:bottom w:val="single" w:sz="18" w:space="0" w:color="auto"/>
            </w:tcBorders>
          </w:tcPr>
          <w:p w14:paraId="56F28ED7" w14:textId="77777777" w:rsidR="00561911" w:rsidRDefault="004675C3">
            <w:pPr>
              <w:pStyle w:val="ListParagraph"/>
              <w:autoSpaceDE w:val="0"/>
              <w:autoSpaceDN w:val="0"/>
              <w:adjustRightInd w:val="0"/>
              <w:jc w:val="both"/>
              <w:rPr>
                <w:rFonts w:ascii="Times New Roman" w:hAnsi="Times New Roman"/>
                <w:sz w:val="24"/>
                <w:szCs w:val="24"/>
              </w:rPr>
            </w:pPr>
            <w:r>
              <w:rPr>
                <w:rFonts w:ascii="Times New Roman" w:hAnsi="Times New Roman"/>
                <w:sz w:val="24"/>
                <w:szCs w:val="24"/>
              </w:rPr>
              <w:t>events</w:t>
            </w:r>
          </w:p>
          <w:p w14:paraId="325EBA3A" w14:textId="77777777" w:rsidR="00561911" w:rsidRDefault="004675C3">
            <w:pPr>
              <w:pStyle w:val="ListParagraph"/>
              <w:autoSpaceDE w:val="0"/>
              <w:autoSpaceDN w:val="0"/>
              <w:adjustRightInd w:val="0"/>
              <w:jc w:val="both"/>
              <w:rPr>
                <w:rFonts w:ascii="Times New Roman" w:hAnsi="Times New Roman"/>
                <w:sz w:val="24"/>
                <w:szCs w:val="24"/>
              </w:rPr>
            </w:pPr>
            <w:r>
              <w:rPr>
                <w:rFonts w:ascii="Times New Roman" w:hAnsi="Times New Roman"/>
                <w:sz w:val="24"/>
                <w:szCs w:val="24"/>
              </w:rPr>
              <w:t xml:space="preserve">Average mean                                                                                                               </w:t>
            </w:r>
          </w:p>
        </w:tc>
        <w:tc>
          <w:tcPr>
            <w:tcW w:w="858" w:type="dxa"/>
            <w:tcBorders>
              <w:bottom w:val="single" w:sz="18" w:space="0" w:color="auto"/>
            </w:tcBorders>
          </w:tcPr>
          <w:p w14:paraId="771B2107" w14:textId="77777777" w:rsidR="00561911" w:rsidRDefault="00561911">
            <w:pPr>
              <w:autoSpaceDE w:val="0"/>
              <w:autoSpaceDN w:val="0"/>
              <w:adjustRightInd w:val="0"/>
              <w:jc w:val="both"/>
              <w:rPr>
                <w:rFonts w:ascii="Times New Roman" w:hAnsi="Times New Roman"/>
                <w:sz w:val="24"/>
                <w:szCs w:val="24"/>
              </w:rPr>
            </w:pPr>
          </w:p>
        </w:tc>
        <w:tc>
          <w:tcPr>
            <w:tcW w:w="968" w:type="dxa"/>
            <w:tcBorders>
              <w:bottom w:val="single" w:sz="18" w:space="0" w:color="auto"/>
            </w:tcBorders>
          </w:tcPr>
          <w:p w14:paraId="66CF0134" w14:textId="77777777" w:rsidR="00561911" w:rsidRDefault="00561911">
            <w:pPr>
              <w:autoSpaceDE w:val="0"/>
              <w:autoSpaceDN w:val="0"/>
              <w:adjustRightInd w:val="0"/>
              <w:jc w:val="both"/>
              <w:rPr>
                <w:rFonts w:ascii="Times New Roman" w:hAnsi="Times New Roman"/>
                <w:sz w:val="24"/>
                <w:szCs w:val="24"/>
              </w:rPr>
            </w:pPr>
          </w:p>
        </w:tc>
        <w:tc>
          <w:tcPr>
            <w:tcW w:w="858" w:type="dxa"/>
            <w:tcBorders>
              <w:bottom w:val="single" w:sz="18" w:space="0" w:color="auto"/>
            </w:tcBorders>
          </w:tcPr>
          <w:p w14:paraId="2E6E04E1" w14:textId="77777777" w:rsidR="00561911" w:rsidRDefault="00561911">
            <w:pPr>
              <w:autoSpaceDE w:val="0"/>
              <w:autoSpaceDN w:val="0"/>
              <w:adjustRightInd w:val="0"/>
              <w:jc w:val="both"/>
              <w:rPr>
                <w:rFonts w:ascii="Times New Roman" w:hAnsi="Times New Roman"/>
                <w:sz w:val="24"/>
                <w:szCs w:val="24"/>
              </w:rPr>
            </w:pPr>
          </w:p>
        </w:tc>
        <w:tc>
          <w:tcPr>
            <w:tcW w:w="858" w:type="dxa"/>
            <w:tcBorders>
              <w:bottom w:val="single" w:sz="18" w:space="0" w:color="auto"/>
            </w:tcBorders>
          </w:tcPr>
          <w:p w14:paraId="4DBDEF2C" w14:textId="77777777" w:rsidR="00561911" w:rsidRDefault="00561911">
            <w:pPr>
              <w:autoSpaceDE w:val="0"/>
              <w:autoSpaceDN w:val="0"/>
              <w:adjustRightInd w:val="0"/>
              <w:jc w:val="both"/>
              <w:rPr>
                <w:rFonts w:ascii="Times New Roman" w:hAnsi="Times New Roman"/>
                <w:sz w:val="24"/>
                <w:szCs w:val="24"/>
              </w:rPr>
            </w:pPr>
          </w:p>
        </w:tc>
        <w:tc>
          <w:tcPr>
            <w:tcW w:w="858" w:type="dxa"/>
            <w:tcBorders>
              <w:bottom w:val="single" w:sz="18" w:space="0" w:color="auto"/>
            </w:tcBorders>
          </w:tcPr>
          <w:p w14:paraId="0A8D571C" w14:textId="77777777" w:rsidR="00561911" w:rsidRDefault="00561911">
            <w:pPr>
              <w:autoSpaceDE w:val="0"/>
              <w:autoSpaceDN w:val="0"/>
              <w:adjustRightInd w:val="0"/>
              <w:jc w:val="both"/>
              <w:rPr>
                <w:rFonts w:ascii="Times New Roman" w:hAnsi="Times New Roman"/>
                <w:sz w:val="24"/>
                <w:szCs w:val="24"/>
              </w:rPr>
            </w:pPr>
          </w:p>
        </w:tc>
        <w:tc>
          <w:tcPr>
            <w:tcW w:w="784" w:type="dxa"/>
            <w:tcBorders>
              <w:bottom w:val="single" w:sz="18" w:space="0" w:color="auto"/>
            </w:tcBorders>
          </w:tcPr>
          <w:p w14:paraId="6B5384C4" w14:textId="77777777" w:rsidR="00561911" w:rsidRDefault="00561911">
            <w:pPr>
              <w:autoSpaceDE w:val="0"/>
              <w:autoSpaceDN w:val="0"/>
              <w:adjustRightInd w:val="0"/>
              <w:jc w:val="both"/>
              <w:rPr>
                <w:rFonts w:ascii="Times New Roman" w:hAnsi="Times New Roman"/>
                <w:sz w:val="24"/>
                <w:szCs w:val="24"/>
              </w:rPr>
            </w:pPr>
          </w:p>
          <w:p w14:paraId="7E194ADC"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2.18</w:t>
            </w:r>
          </w:p>
        </w:tc>
      </w:tr>
    </w:tbl>
    <w:p w14:paraId="318A89F1" w14:textId="77777777" w:rsidR="00561911" w:rsidRDefault="004675C3">
      <w:pPr>
        <w:spacing w:before="120" w:after="120" w:line="240" w:lineRule="auto"/>
        <w:jc w:val="both"/>
        <w:rPr>
          <w:rFonts w:ascii="Times New Roman" w:hAnsi="Times New Roman"/>
          <w:b/>
          <w:bCs/>
        </w:rPr>
      </w:pPr>
      <w:bookmarkStart w:id="14" w:name="_Hlk199821888"/>
      <w:r>
        <w:rPr>
          <w:rFonts w:ascii="Times New Roman" w:hAnsi="Times New Roman"/>
          <w:b/>
          <w:bCs/>
        </w:rPr>
        <w:t xml:space="preserve">Key: SD </w:t>
      </w:r>
      <w:r>
        <w:rPr>
          <w:rFonts w:ascii="Times New Roman" w:hAnsi="Times New Roman"/>
          <w:b/>
          <w:bCs/>
        </w:rPr>
        <w:t>-Strongly disagree, D-Disagree, N-Neutral, A-Agree, SA- Strongly Agree</w:t>
      </w:r>
    </w:p>
    <w:p w14:paraId="2ADAAF47" w14:textId="77777777" w:rsidR="00561911" w:rsidRDefault="004675C3">
      <w:pPr>
        <w:spacing w:before="120" w:after="120" w:line="240" w:lineRule="auto"/>
        <w:jc w:val="both"/>
        <w:rPr>
          <w:rFonts w:ascii="Times New Roman" w:hAnsi="Times New Roman"/>
        </w:rPr>
      </w:pPr>
      <w:r>
        <w:rPr>
          <w:rFonts w:ascii="Times New Roman" w:hAnsi="Times New Roman"/>
          <w:b/>
          <w:bCs/>
        </w:rPr>
        <w:t xml:space="preserve">Source: </w:t>
      </w:r>
      <w:r>
        <w:rPr>
          <w:rFonts w:ascii="Times New Roman" w:hAnsi="Times New Roman"/>
        </w:rPr>
        <w:t>Field Data (2025)</w:t>
      </w:r>
      <w:bookmarkEnd w:id="14"/>
    </w:p>
    <w:p w14:paraId="228310A2"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Based on the statistics provided in Table 2, the study sought to assess various factors influencing adolescent students' school experience, focusing on the rol</w:t>
      </w:r>
      <w:r>
        <w:rPr>
          <w:rFonts w:ascii="Times New Roman" w:hAnsi="Times New Roman"/>
        </w:rPr>
        <w:t>es of guardianship, school environment, and supportive programs. The findings indicate a usually positive perception of communication between guardians and the school. With 80% of respondents agreeing or strongly agreeing that such communication exists, it</w:t>
      </w:r>
      <w:r>
        <w:rPr>
          <w:rFonts w:ascii="Times New Roman" w:hAnsi="Times New Roman"/>
        </w:rPr>
        <w:t xml:space="preserve"> proposes that there is an active link between home and school, which is crucial for young progress and academic success. The plaintiff in an interview with a parent who pointed out the following: </w:t>
      </w:r>
      <w:r>
        <w:rPr>
          <w:rFonts w:ascii="Times New Roman" w:hAnsi="Times New Roman"/>
          <w:i/>
          <w:iCs/>
        </w:rPr>
        <w:t>“If school provide counsel and guardianship support, commun</w:t>
      </w:r>
      <w:r>
        <w:rPr>
          <w:rFonts w:ascii="Times New Roman" w:hAnsi="Times New Roman"/>
          <w:i/>
          <w:iCs/>
        </w:rPr>
        <w:t>ication exist between school and parents</w:t>
      </w:r>
      <w:r>
        <w:rPr>
          <w:rFonts w:ascii="Times New Roman" w:hAnsi="Times New Roman"/>
        </w:rPr>
        <w:t xml:space="preserve">. </w:t>
      </w:r>
      <w:r>
        <w:rPr>
          <w:rFonts w:ascii="Times New Roman" w:hAnsi="Times New Roman"/>
          <w:i/>
          <w:iCs/>
        </w:rPr>
        <w:t>Effective conditions needed for prosperous academically’’</w:t>
      </w:r>
      <w:r>
        <w:rPr>
          <w:rFonts w:ascii="Times New Roman" w:hAnsi="Times New Roman"/>
        </w:rPr>
        <w:t xml:space="preserve"> (</w:t>
      </w:r>
      <w:r>
        <w:rPr>
          <w:rFonts w:ascii="Times New Roman" w:hAnsi="Times New Roman"/>
          <w:i/>
          <w:iCs/>
        </w:rPr>
        <w:t>personal argument, May 20,2025</w:t>
      </w:r>
      <w:r>
        <w:rPr>
          <w:rFonts w:ascii="Times New Roman" w:hAnsi="Times New Roman"/>
        </w:rPr>
        <w:t>). This implies that assembly supports adolescent academic and personal development. Interview insights more accentuate the v</w:t>
      </w:r>
      <w:r>
        <w:rPr>
          <w:rFonts w:ascii="Times New Roman" w:hAnsi="Times New Roman"/>
        </w:rPr>
        <w:t>alue of counseling and guardianship support in development teamwork. This finding is in-line with Xing (2023) who insisted that interventions are important in improving academic performance; strengthen family cohesion and support systems.</w:t>
      </w:r>
    </w:p>
    <w:p w14:paraId="1921E887" w14:textId="77777777" w:rsidR="00561911" w:rsidRDefault="004675C3">
      <w:pPr>
        <w:spacing w:before="120" w:after="120" w:line="240" w:lineRule="auto"/>
        <w:jc w:val="both"/>
        <w:rPr>
          <w:rFonts w:ascii="Times New Roman" w:hAnsi="Times New Roman"/>
          <w:i/>
          <w:iCs/>
        </w:rPr>
      </w:pPr>
      <w:r>
        <w:rPr>
          <w:rFonts w:ascii="Times New Roman" w:hAnsi="Times New Roman"/>
        </w:rPr>
        <w:t xml:space="preserve">The availability </w:t>
      </w:r>
      <w:r>
        <w:rPr>
          <w:rFonts w:ascii="Times New Roman" w:hAnsi="Times New Roman"/>
        </w:rPr>
        <w:t>of a conducive school environment also received from top to bottom ratings, with over 83% of members agreeing and strongly agreeing. The moderately low mean score of 1.87 advises strong agreement around the idea that the school delivers a setting that chai</w:t>
      </w:r>
      <w:r>
        <w:rPr>
          <w:rFonts w:ascii="Times New Roman" w:hAnsi="Times New Roman"/>
        </w:rPr>
        <w:t>ns knowledge. This probable pays absolutely to students' demonstrative and cognitive development, underpinning the importance of corporeal and social learning settings: “A</w:t>
      </w:r>
      <w:r>
        <w:rPr>
          <w:rFonts w:ascii="Times New Roman" w:hAnsi="Times New Roman"/>
          <w:b/>
          <w:bCs/>
          <w:i/>
          <w:iCs/>
        </w:rPr>
        <w:t xml:space="preserve"> </w:t>
      </w:r>
      <w:r>
        <w:rPr>
          <w:rStyle w:val="Strong"/>
          <w:rFonts w:ascii="Times New Roman" w:eastAsia="SimSun" w:hAnsi="Times New Roman"/>
          <w:b w:val="0"/>
          <w:bCs w:val="0"/>
          <w:i/>
          <w:iCs/>
        </w:rPr>
        <w:t>helpful learning setting lays the substance</w:t>
      </w:r>
      <w:r>
        <w:rPr>
          <w:rFonts w:ascii="Times New Roman" w:hAnsi="Times New Roman"/>
          <w:i/>
          <w:iCs/>
        </w:rPr>
        <w:t xml:space="preserve"> for everything else abstract success, op</w:t>
      </w:r>
      <w:r>
        <w:rPr>
          <w:rFonts w:ascii="Times New Roman" w:hAnsi="Times New Roman"/>
          <w:i/>
          <w:iCs/>
        </w:rPr>
        <w:t>en development, and student self-assurance. Parents obviously recognize this as a major optimistic aspect of the school knowledge</w:t>
      </w:r>
      <w:r>
        <w:rPr>
          <w:rFonts w:ascii="Times New Roman" w:hAnsi="Times New Roman"/>
        </w:rPr>
        <w:t>” (parent idea, May 19 2025). This infers that many members opinion the school setting as helpful to learning, strengthened, re</w:t>
      </w:r>
      <w:r>
        <w:rPr>
          <w:rFonts w:ascii="Times New Roman" w:hAnsi="Times New Roman"/>
        </w:rPr>
        <w:t xml:space="preserve">presentative strong contract. Relevant to </w:t>
      </w:r>
      <w:proofErr w:type="spellStart"/>
      <w:r>
        <w:rPr>
          <w:rFonts w:ascii="Times New Roman" w:hAnsi="Times New Roman"/>
          <w:color w:val="343A40"/>
          <w:kern w:val="0"/>
        </w:rPr>
        <w:t>Mwakyoma</w:t>
      </w:r>
      <w:proofErr w:type="spellEnd"/>
      <w:r>
        <w:rPr>
          <w:rFonts w:ascii="Times New Roman" w:hAnsi="Times New Roman"/>
        </w:rPr>
        <w:t xml:space="preserve"> (2024), a positive school place enhances both open and cognitive growth. Meeting feedback underlines its role in building student sureness and academic success. Parents know it as a key forte of the school</w:t>
      </w:r>
      <w:r>
        <w:rPr>
          <w:rFonts w:ascii="Times New Roman" w:hAnsi="Times New Roman"/>
        </w:rPr>
        <w:t xml:space="preserve"> involvement.</w:t>
      </w:r>
    </w:p>
    <w:p w14:paraId="44E23612" w14:textId="77777777" w:rsidR="00561911" w:rsidRDefault="004675C3">
      <w:pPr>
        <w:pStyle w:val="NormalWeb"/>
        <w:jc w:val="both"/>
      </w:pPr>
      <w:r>
        <w:t xml:space="preserve">However, when it originates to the school’s part in if material provision such as books, uniforms and fare, the insight was mixed. While a mainstream (60%) spoken arrangement, </w:t>
      </w:r>
      <w:proofErr w:type="spellStart"/>
      <w:proofErr w:type="gramStart"/>
      <w:r>
        <w:t>a</w:t>
      </w:r>
      <w:proofErr w:type="spellEnd"/>
      <w:proofErr w:type="gramEnd"/>
      <w:r>
        <w:t xml:space="preserve"> important portion (40%) were neutral or disagreed, representing </w:t>
      </w:r>
      <w:r>
        <w:t xml:space="preserve">that this sustenance may not be reliable or adequate across the panel. The mean score of 2.40 highlights the need for schools or governing bodies to evaluate and possibly expand support agendas for students in need. </w:t>
      </w:r>
    </w:p>
    <w:p w14:paraId="35411EC4" w14:textId="77777777" w:rsidR="00561911" w:rsidRDefault="004675C3">
      <w:pPr>
        <w:pStyle w:val="NormalWeb"/>
        <w:jc w:val="both"/>
        <w:rPr>
          <w:i/>
          <w:iCs/>
        </w:rPr>
      </w:pPr>
      <w:r>
        <w:lastRenderedPageBreak/>
        <w:t xml:space="preserve"> </w:t>
      </w:r>
      <w:r>
        <w:tab/>
        <w:t>“</w:t>
      </w:r>
      <w:r>
        <w:rPr>
          <w:i/>
          <w:iCs/>
        </w:rPr>
        <w:t>There is some greeting that physical</w:t>
      </w:r>
      <w:r>
        <w:rPr>
          <w:i/>
          <w:iCs/>
        </w:rPr>
        <w:t xml:space="preserve"> support happens, the </w:t>
      </w:r>
      <w:r>
        <w:rPr>
          <w:rStyle w:val="Strong"/>
          <w:rFonts w:eastAsia="SimSun"/>
          <w:b w:val="0"/>
          <w:bCs w:val="0"/>
          <w:i/>
          <w:iCs/>
        </w:rPr>
        <w:t xml:space="preserve">mixed replies point to gaps </w:t>
      </w:r>
      <w:r>
        <w:rPr>
          <w:rStyle w:val="Strong"/>
          <w:rFonts w:eastAsia="SimSun"/>
          <w:b w:val="0"/>
          <w:bCs w:val="0"/>
          <w:i/>
          <w:iCs/>
        </w:rPr>
        <w:tab/>
        <w:t>and unmet wants</w:t>
      </w:r>
      <w:r>
        <w:rPr>
          <w:i/>
          <w:iCs/>
        </w:rPr>
        <w:t xml:space="preserve"> that straight affect student learning and contribution. Strengthening this </w:t>
      </w:r>
      <w:r>
        <w:rPr>
          <w:i/>
          <w:iCs/>
        </w:rPr>
        <w:tab/>
        <w:t xml:space="preserve">area would significantly reduce barriers for vulnerable students and promote greater </w:t>
      </w:r>
      <w:r>
        <w:rPr>
          <w:i/>
          <w:iCs/>
        </w:rPr>
        <w:tab/>
        <w:t>fairness and theoretical su</w:t>
      </w:r>
      <w:r>
        <w:rPr>
          <w:i/>
          <w:iCs/>
        </w:rPr>
        <w:t>ccess</w:t>
      </w:r>
      <w:bookmarkStart w:id="15" w:name="_Hlk201116459"/>
      <w:bookmarkStart w:id="16" w:name="_Hlk201116499"/>
      <w:r>
        <w:rPr>
          <w:i/>
          <w:iCs/>
        </w:rPr>
        <w:t>” (Parents idea, May 19,202</w:t>
      </w:r>
      <w:bookmarkEnd w:id="15"/>
      <w:r>
        <w:rPr>
          <w:i/>
          <w:iCs/>
        </w:rPr>
        <w:t>5).</w:t>
      </w:r>
    </w:p>
    <w:p w14:paraId="1E4610F5" w14:textId="77777777" w:rsidR="00561911" w:rsidRDefault="004675C3">
      <w:pPr>
        <w:pStyle w:val="NormalWeb"/>
        <w:jc w:val="both"/>
      </w:pPr>
      <w:r>
        <w:t xml:space="preserve">This demonstrates the mixed insights about physical provision, many participants’ supports, indicating inconsistencies. Parentages highlight that present gaps delay student contribution and learning. Ornamental material </w:t>
      </w:r>
      <w:r>
        <w:t>support could indorse fairness and academic attainment for all learners.</w:t>
      </w:r>
      <w:bookmarkEnd w:id="16"/>
    </w:p>
    <w:p w14:paraId="010552FC" w14:textId="77777777" w:rsidR="00561911" w:rsidRDefault="004675C3">
      <w:pPr>
        <w:pStyle w:val="NormalWeb"/>
        <w:jc w:val="both"/>
      </w:pPr>
      <w:r>
        <w:t>Provision of meals, especially breakfast and lunch, presented the least gratification amid all items evaluated. With 30% of defendants discordant or strongly disagreeing and a mean of</w:t>
      </w:r>
      <w:r>
        <w:t xml:space="preserve"> 2.67, this area stands out as a major concern. Nutritional support leftovers right linked to theoretical presentation and health, especially for adolescents. This indicates a gap in wellbeing support that may be moving pupils' ability to emphasis and flou</w:t>
      </w:r>
      <w:r>
        <w:t>rish in college.</w:t>
      </w:r>
    </w:p>
    <w:p w14:paraId="444D4811" w14:textId="77777777" w:rsidR="00561911" w:rsidRDefault="004675C3">
      <w:pPr>
        <w:pStyle w:val="NormalWeb"/>
        <w:jc w:val="both"/>
        <w:rPr>
          <w:i/>
          <w:iCs/>
        </w:rPr>
      </w:pPr>
      <w:r>
        <w:t xml:space="preserve">    </w:t>
      </w:r>
      <w:r>
        <w:tab/>
        <w:t xml:space="preserve"> “</w:t>
      </w:r>
      <w:r>
        <w:rPr>
          <w:i/>
          <w:iCs/>
        </w:rPr>
        <w:t xml:space="preserve">Malnourishment can lessen attention, memory, and energy, all of which are crucial for </w:t>
      </w:r>
      <w:r>
        <w:rPr>
          <w:i/>
          <w:iCs/>
        </w:rPr>
        <w:tab/>
        <w:t>academic performance especially in teenagers who take higher nutritional needs.</w:t>
      </w:r>
      <w:r>
        <w:t xml:space="preserve"> </w:t>
      </w:r>
      <w:r>
        <w:rPr>
          <w:i/>
          <w:iCs/>
        </w:rPr>
        <w:t xml:space="preserve">Parents </w:t>
      </w:r>
      <w:r>
        <w:rPr>
          <w:i/>
          <w:iCs/>
        </w:rPr>
        <w:tab/>
        <w:t>clearly see the facility of meals as an essential provis</w:t>
      </w:r>
      <w:r>
        <w:rPr>
          <w:i/>
          <w:iCs/>
        </w:rPr>
        <w:t xml:space="preserve">ion that right touches their </w:t>
      </w:r>
      <w:r>
        <w:rPr>
          <w:i/>
          <w:iCs/>
        </w:rPr>
        <w:tab/>
        <w:t xml:space="preserve">youngsters’ ability to study and prosper in school” </w:t>
      </w:r>
      <w:proofErr w:type="gramStart"/>
      <w:r>
        <w:rPr>
          <w:i/>
          <w:iCs/>
        </w:rPr>
        <w:t>( Parents</w:t>
      </w:r>
      <w:proofErr w:type="gramEnd"/>
      <w:r>
        <w:rPr>
          <w:i/>
          <w:iCs/>
        </w:rPr>
        <w:t xml:space="preserve"> idea, May 19,202). </w:t>
      </w:r>
    </w:p>
    <w:p w14:paraId="63D288B2" w14:textId="77777777" w:rsidR="00561911" w:rsidRDefault="004675C3">
      <w:pPr>
        <w:pStyle w:val="NormalWeb"/>
        <w:jc w:val="both"/>
      </w:pPr>
      <w:r>
        <w:t>Meal distribution received the bottommost gratification, with few members of offenders expressing discontented, stress a significant concern. Sc</w:t>
      </w:r>
      <w:r>
        <w:t>arce nourishing food can deter concentration, reminiscence, and energy key issues in teenage learning. Parents view school meals as vital for academic achievement and pupil happiness. Moralizing this gap is crucial for refining overall student performance.</w:t>
      </w:r>
    </w:p>
    <w:p w14:paraId="1ED2F5C6" w14:textId="77777777" w:rsidR="00561911" w:rsidRDefault="004675C3">
      <w:pPr>
        <w:pBdr>
          <w:bottom w:val="single" w:sz="6" w:space="1" w:color="auto"/>
        </w:pBdr>
        <w:spacing w:after="0" w:line="240" w:lineRule="auto"/>
        <w:jc w:val="both"/>
        <w:rPr>
          <w:rFonts w:ascii="Times New Roman" w:hAnsi="Times New Roman"/>
          <w:vanish/>
          <w:kern w:val="0"/>
        </w:rPr>
      </w:pPr>
      <w:r>
        <w:rPr>
          <w:rFonts w:ascii="Times New Roman" w:hAnsi="Times New Roman"/>
          <w:vanish/>
          <w:kern w:val="0"/>
        </w:rPr>
        <w:t>Top of Form</w:t>
      </w:r>
    </w:p>
    <w:p w14:paraId="1E2B6FFE" w14:textId="77777777" w:rsidR="00561911" w:rsidRDefault="004675C3">
      <w:pPr>
        <w:pBdr>
          <w:top w:val="single" w:sz="6" w:space="1" w:color="auto"/>
        </w:pBdr>
        <w:spacing w:after="0" w:line="240" w:lineRule="auto"/>
        <w:jc w:val="both"/>
        <w:rPr>
          <w:rFonts w:ascii="Times New Roman" w:hAnsi="Times New Roman"/>
          <w:vanish/>
          <w:kern w:val="0"/>
        </w:rPr>
      </w:pPr>
      <w:r>
        <w:rPr>
          <w:rFonts w:ascii="Times New Roman" w:hAnsi="Times New Roman"/>
          <w:vanish/>
          <w:kern w:val="0"/>
        </w:rPr>
        <w:t>Bottom of Form</w:t>
      </w:r>
    </w:p>
    <w:p w14:paraId="03742C8F" w14:textId="77777777" w:rsidR="00561911" w:rsidRDefault="004675C3">
      <w:pPr>
        <w:pStyle w:val="NormalWeb"/>
        <w:jc w:val="both"/>
      </w:pPr>
      <w:r>
        <w:t xml:space="preserve">Counseling and guardianship facilities inside the school were comparatively well rated, with 76.7% of defendants approving or strongly agreeing that such capitals are available. The mean score of 2.07 displays that while </w:t>
      </w:r>
      <w:r>
        <w:t>facilities are present, their effectiveness or accessibility may vary. Considering the developmental and emotional needs of teenagers, consolidation the counseling substructure could further improve student results: “</w:t>
      </w:r>
      <w:r>
        <w:rPr>
          <w:i/>
          <w:iCs/>
        </w:rPr>
        <w:t xml:space="preserve">Parents seem to </w:t>
      </w:r>
      <w:r>
        <w:rPr>
          <w:rStyle w:val="Strong"/>
          <w:rFonts w:eastAsia="SimSun"/>
          <w:b w:val="0"/>
          <w:bCs w:val="0"/>
          <w:i/>
          <w:iCs/>
        </w:rPr>
        <w:t>value</w:t>
      </w:r>
      <w:r>
        <w:rPr>
          <w:i/>
          <w:iCs/>
        </w:rPr>
        <w:t xml:space="preserve"> the presence of p</w:t>
      </w:r>
      <w:r>
        <w:rPr>
          <w:i/>
          <w:iCs/>
        </w:rPr>
        <w:t xml:space="preserve">rotection and counseling services in the school, but likely recommend </w:t>
      </w:r>
      <w:r>
        <w:rPr>
          <w:rStyle w:val="Strong"/>
          <w:rFonts w:eastAsia="SimSun"/>
          <w:b w:val="0"/>
          <w:bCs w:val="0"/>
          <w:i/>
          <w:iCs/>
        </w:rPr>
        <w:t>greater</w:t>
      </w:r>
      <w:r>
        <w:rPr>
          <w:rStyle w:val="Strong"/>
          <w:rFonts w:eastAsia="SimSun"/>
          <w:i/>
          <w:iCs/>
        </w:rPr>
        <w:t xml:space="preserve"> </w:t>
      </w:r>
      <w:r>
        <w:rPr>
          <w:rStyle w:val="Strong"/>
          <w:rFonts w:eastAsia="SimSun"/>
          <w:b w:val="0"/>
          <w:bCs w:val="0"/>
          <w:i/>
          <w:iCs/>
        </w:rPr>
        <w:t>visibility</w:t>
      </w:r>
      <w:r>
        <w:rPr>
          <w:rStyle w:val="Strong"/>
          <w:rFonts w:eastAsia="SimSun"/>
          <w:i/>
          <w:iCs/>
        </w:rPr>
        <w:t xml:space="preserve">, </w:t>
      </w:r>
      <w:r>
        <w:rPr>
          <w:rStyle w:val="Strong"/>
          <w:rFonts w:eastAsia="SimSun"/>
          <w:b w:val="0"/>
          <w:bCs w:val="0"/>
          <w:i/>
          <w:iCs/>
        </w:rPr>
        <w:t>convenience</w:t>
      </w:r>
      <w:r>
        <w:rPr>
          <w:rStyle w:val="Strong"/>
          <w:rFonts w:eastAsia="SimSun"/>
          <w:i/>
          <w:iCs/>
        </w:rPr>
        <w:t xml:space="preserve">, </w:t>
      </w:r>
      <w:r>
        <w:rPr>
          <w:rStyle w:val="Strong"/>
          <w:rFonts w:eastAsia="SimSun"/>
          <w:b w:val="0"/>
          <w:bCs w:val="0"/>
          <w:i/>
          <w:iCs/>
        </w:rPr>
        <w:t>and</w:t>
      </w:r>
      <w:r>
        <w:rPr>
          <w:rStyle w:val="Strong"/>
          <w:rFonts w:eastAsia="SimSun"/>
          <w:i/>
          <w:iCs/>
        </w:rPr>
        <w:t xml:space="preserve"> </w:t>
      </w:r>
      <w:r>
        <w:rPr>
          <w:rStyle w:val="Strong"/>
          <w:rFonts w:eastAsia="SimSun"/>
          <w:b w:val="0"/>
          <w:bCs w:val="0"/>
          <w:i/>
          <w:iCs/>
        </w:rPr>
        <w:t>addition</w:t>
      </w:r>
      <w:r>
        <w:rPr>
          <w:i/>
          <w:iCs/>
        </w:rPr>
        <w:t xml:space="preserve"> of these services into average school life” (Parents idea, May 24,2025).</w:t>
      </w:r>
      <w:r>
        <w:t xml:space="preserve"> This implies that teachers and parents value these services but sug</w:t>
      </w:r>
      <w:r>
        <w:t>gest enhancing their visibility and openness. Better mixing into daily school life could care all students, not just those in catastrophe. Firming these amenities can boost open and growing consequences.</w:t>
      </w:r>
    </w:p>
    <w:p w14:paraId="1ADE0FCA" w14:textId="77777777" w:rsidR="00561911" w:rsidRDefault="004675C3">
      <w:pPr>
        <w:pStyle w:val="NormalWeb"/>
        <w:jc w:val="both"/>
        <w:rPr>
          <w:i/>
          <w:iCs/>
        </w:rPr>
      </w:pPr>
      <w:r>
        <w:t>Religious education established sturdy support, with</w:t>
      </w:r>
      <w:r>
        <w:t xml:space="preserve"> 86.7% of defendants choosing its company in the school list. This bring into line with cultural and group outlooks in many regions, where moral and divine schooling is seen as a vigorous part of rounded expansion. The mean score of 2.00 additional stresse</w:t>
      </w:r>
      <w:r>
        <w:t>s the professed value of spiritual teaching in influential performance and beliefs amid students:</w:t>
      </w:r>
      <w:r>
        <w:rPr>
          <w:i/>
          <w:iCs/>
        </w:rPr>
        <w:t xml:space="preserve"> “Parents see it as </w:t>
      </w:r>
      <w:r>
        <w:rPr>
          <w:rStyle w:val="Strong"/>
          <w:rFonts w:eastAsia="SimSun"/>
          <w:b w:val="0"/>
          <w:bCs w:val="0"/>
          <w:i/>
          <w:iCs/>
        </w:rPr>
        <w:t>vital</w:t>
      </w:r>
      <w:r>
        <w:rPr>
          <w:rStyle w:val="Strong"/>
          <w:rFonts w:eastAsia="SimSun"/>
          <w:i/>
          <w:iCs/>
        </w:rPr>
        <w:t xml:space="preserve"> </w:t>
      </w:r>
      <w:r>
        <w:rPr>
          <w:rStyle w:val="Strong"/>
          <w:rFonts w:eastAsia="SimSun"/>
          <w:b w:val="0"/>
          <w:bCs w:val="0"/>
          <w:i/>
          <w:iCs/>
        </w:rPr>
        <w:t>to</w:t>
      </w:r>
      <w:r>
        <w:rPr>
          <w:rStyle w:val="Strong"/>
          <w:rFonts w:eastAsia="SimSun"/>
          <w:i/>
          <w:iCs/>
        </w:rPr>
        <w:t xml:space="preserve"> </w:t>
      </w:r>
      <w:r>
        <w:rPr>
          <w:rStyle w:val="Strong"/>
          <w:rFonts w:eastAsia="SimSun"/>
          <w:b w:val="0"/>
          <w:bCs w:val="0"/>
          <w:i/>
          <w:iCs/>
        </w:rPr>
        <w:t>their</w:t>
      </w:r>
      <w:r>
        <w:rPr>
          <w:rStyle w:val="Strong"/>
          <w:rFonts w:eastAsia="SimSun"/>
          <w:i/>
          <w:iCs/>
        </w:rPr>
        <w:t xml:space="preserve"> </w:t>
      </w:r>
      <w:r>
        <w:rPr>
          <w:rStyle w:val="Strong"/>
          <w:rFonts w:eastAsia="SimSun"/>
          <w:b w:val="0"/>
          <w:bCs w:val="0"/>
          <w:i/>
          <w:iCs/>
        </w:rPr>
        <w:t>child’s</w:t>
      </w:r>
      <w:r>
        <w:rPr>
          <w:rStyle w:val="Strong"/>
          <w:rFonts w:eastAsia="SimSun"/>
          <w:i/>
          <w:iCs/>
        </w:rPr>
        <w:t xml:space="preserve"> </w:t>
      </w:r>
      <w:r>
        <w:rPr>
          <w:rStyle w:val="Strong"/>
          <w:rFonts w:eastAsia="SimSun"/>
          <w:b w:val="0"/>
          <w:bCs w:val="0"/>
          <w:i/>
          <w:iCs/>
        </w:rPr>
        <w:t>general</w:t>
      </w:r>
      <w:r>
        <w:rPr>
          <w:rStyle w:val="Strong"/>
          <w:rFonts w:eastAsia="SimSun"/>
          <w:i/>
          <w:iCs/>
        </w:rPr>
        <w:t xml:space="preserve"> </w:t>
      </w:r>
      <w:r>
        <w:rPr>
          <w:rStyle w:val="Strong"/>
          <w:rFonts w:eastAsia="SimSun"/>
          <w:b w:val="0"/>
          <w:bCs w:val="0"/>
          <w:i/>
          <w:iCs/>
        </w:rPr>
        <w:t>development</w:t>
      </w:r>
      <w:r>
        <w:rPr>
          <w:i/>
          <w:iCs/>
        </w:rPr>
        <w:t>, combination theoretical learning with character formation. Schools should take this strong back</w:t>
      </w:r>
      <w:r>
        <w:rPr>
          <w:i/>
          <w:iCs/>
        </w:rPr>
        <w:t xml:space="preserve">ing into version when planning or rereading their program and pupil support wits” (Parents idea, May 19,2025). </w:t>
      </w:r>
      <w:r>
        <w:t xml:space="preserve">This indicates that religious education established strong support of respondents in </w:t>
      </w:r>
      <w:r>
        <w:lastRenderedPageBreak/>
        <w:t>favor and reflecting its high value in schools. Parents inte</w:t>
      </w:r>
      <w:r>
        <w:t>rpretation it as essential to both good growth and abstract growth. They see it as key to influential student conduct and ethics. Schools are encouraged to consider this support when shaping curricula and pupil plans.</w:t>
      </w:r>
    </w:p>
    <w:p w14:paraId="541087CE" w14:textId="77777777" w:rsidR="00561911" w:rsidRDefault="004675C3">
      <w:pPr>
        <w:pStyle w:val="NormalWeb"/>
        <w:jc w:val="both"/>
        <w:rPr>
          <w:i/>
          <w:iCs/>
        </w:rPr>
      </w:pPr>
      <w:r>
        <w:t>Parental participation in school actio</w:t>
      </w:r>
      <w:r>
        <w:t xml:space="preserve">ns had </w:t>
      </w:r>
      <w:proofErr w:type="spellStart"/>
      <w:proofErr w:type="gramStart"/>
      <w:r>
        <w:t>a</w:t>
      </w:r>
      <w:proofErr w:type="spellEnd"/>
      <w:proofErr w:type="gramEnd"/>
      <w:r>
        <w:t xml:space="preserve"> additional varied reply. While 60% maintained the idea, </w:t>
      </w:r>
      <w:proofErr w:type="spellStart"/>
      <w:proofErr w:type="gramStart"/>
      <w:r>
        <w:t>a</w:t>
      </w:r>
      <w:proofErr w:type="spellEnd"/>
      <w:proofErr w:type="gramEnd"/>
      <w:r>
        <w:t xml:space="preserve"> important marginal (40%) were unbiased or undesirable. The mean score of 2.40 proposes that paternal meeting may be limited or varying. This could trunk from several barricades, such as wor</w:t>
      </w:r>
      <w:r>
        <w:t>k timetables, lack of awareness, or artistic discernments about the role of paternities in education. Talking these walls could knowingly boost student results:</w:t>
      </w:r>
      <w:r>
        <w:rPr>
          <w:i/>
          <w:iCs/>
        </w:rPr>
        <w:t xml:space="preserve"> “Parents recognize some input but don't see it as general, consistent, or impactful enough. Thi</w:t>
      </w:r>
      <w:r>
        <w:rPr>
          <w:i/>
          <w:iCs/>
        </w:rPr>
        <w:t xml:space="preserve">s opens up openings for the school to fortify its maternal meeting strategies such as forming inclusive events, educating message about chances” (Parents idea, May 20, 2025). </w:t>
      </w:r>
      <w:r>
        <w:t>This implies that parental participation in school activities had a more varied r</w:t>
      </w:r>
      <w:r>
        <w:t>eply. Parental appointment may be imperfect or varying. This could shoot from many walls, Such as work agendas, lack of mindfulness, or cultural judgments about the role of parents in schooling. Lecturing these fences could significantly boost scholar cons</w:t>
      </w:r>
      <w:r>
        <w:t>equences.</w:t>
      </w:r>
    </w:p>
    <w:p w14:paraId="1936D85C" w14:textId="77777777" w:rsidR="00561911" w:rsidRDefault="004675C3">
      <w:pPr>
        <w:pBdr>
          <w:bottom w:val="single" w:sz="6" w:space="1" w:color="auto"/>
        </w:pBdr>
        <w:spacing w:after="0" w:line="240" w:lineRule="auto"/>
        <w:jc w:val="both"/>
        <w:rPr>
          <w:rFonts w:ascii="Times New Roman" w:hAnsi="Times New Roman"/>
          <w:vanish/>
          <w:kern w:val="0"/>
        </w:rPr>
      </w:pPr>
      <w:r>
        <w:rPr>
          <w:rFonts w:ascii="Times New Roman" w:hAnsi="Times New Roman"/>
          <w:vanish/>
          <w:kern w:val="0"/>
        </w:rPr>
        <w:t>Top of Form</w:t>
      </w:r>
    </w:p>
    <w:p w14:paraId="6816F1D3" w14:textId="77777777" w:rsidR="00561911" w:rsidRDefault="004675C3">
      <w:pPr>
        <w:pBdr>
          <w:top w:val="single" w:sz="6" w:space="1" w:color="auto"/>
        </w:pBdr>
        <w:spacing w:after="0" w:line="240" w:lineRule="auto"/>
        <w:jc w:val="both"/>
        <w:rPr>
          <w:rFonts w:ascii="Times New Roman" w:hAnsi="Times New Roman"/>
          <w:vanish/>
          <w:kern w:val="0"/>
        </w:rPr>
      </w:pPr>
      <w:r>
        <w:rPr>
          <w:rFonts w:ascii="Times New Roman" w:hAnsi="Times New Roman"/>
          <w:vanish/>
          <w:kern w:val="0"/>
        </w:rPr>
        <w:t>Bottom of Form</w:t>
      </w:r>
    </w:p>
    <w:p w14:paraId="53481287" w14:textId="77777777" w:rsidR="00561911" w:rsidRDefault="004675C3">
      <w:pPr>
        <w:pStyle w:val="NormalWeb"/>
        <w:jc w:val="both"/>
        <w:rPr>
          <w:rStyle w:val="Heading1Char"/>
          <w:rFonts w:ascii="Times New Roman" w:hAnsi="Times New Roman"/>
          <w:i/>
          <w:iCs/>
          <w:sz w:val="24"/>
          <w:szCs w:val="24"/>
        </w:rPr>
      </w:pPr>
      <w:r>
        <w:t xml:space="preserve">Replies about the efficiency of tutors using their own instruction plans suggest </w:t>
      </w:r>
      <w:proofErr w:type="spellStart"/>
      <w:proofErr w:type="gramStart"/>
      <w:r>
        <w:t>a</w:t>
      </w:r>
      <w:proofErr w:type="spellEnd"/>
      <w:proofErr w:type="gramEnd"/>
      <w:r>
        <w:t xml:space="preserve"> optimistic trend, with 63.3% in arrangement. The mean score of 2.33 implies that students are responsive to varied instructional approac</w:t>
      </w:r>
      <w:r>
        <w:t>hes. This chains the idea that teacher independence and invention in teaching can improve student meeting and learning, especially among youngsters who often require more personalized methods</w:t>
      </w:r>
      <w:r>
        <w:rPr>
          <w:i/>
          <w:iCs/>
        </w:rPr>
        <w:t>.</w:t>
      </w:r>
      <w:r>
        <w:rPr>
          <w:rStyle w:val="Heading1Char"/>
          <w:rFonts w:ascii="Times New Roman" w:hAnsi="Times New Roman"/>
          <w:i/>
          <w:iCs/>
          <w:sz w:val="24"/>
          <w:szCs w:val="24"/>
        </w:rPr>
        <w:t xml:space="preserve"> </w:t>
      </w:r>
    </w:p>
    <w:p w14:paraId="0EFBADF2" w14:textId="77777777" w:rsidR="00561911" w:rsidRDefault="004675C3">
      <w:pPr>
        <w:pStyle w:val="NormalWeb"/>
        <w:jc w:val="both"/>
        <w:rPr>
          <w:i/>
          <w:iCs/>
        </w:rPr>
      </w:pPr>
      <w:r>
        <w:rPr>
          <w:rStyle w:val="Strong"/>
          <w:rFonts w:eastAsia="SimSun"/>
          <w:b w:val="0"/>
          <w:bCs w:val="0"/>
          <w:i/>
          <w:iCs/>
        </w:rPr>
        <w:t>“Parents agreeing</w:t>
      </w:r>
      <w:r>
        <w:rPr>
          <w:rStyle w:val="Strong"/>
          <w:rFonts w:eastAsia="SimSun"/>
          <w:i/>
          <w:iCs/>
        </w:rPr>
        <w:t xml:space="preserve">, </w:t>
      </w:r>
      <w:r>
        <w:rPr>
          <w:i/>
          <w:iCs/>
        </w:rPr>
        <w:t xml:space="preserve">there is clear credit that </w:t>
      </w:r>
      <w:r>
        <w:rPr>
          <w:rStyle w:val="Strong"/>
          <w:rFonts w:eastAsia="SimSun"/>
          <w:b w:val="0"/>
          <w:bCs w:val="0"/>
          <w:i/>
          <w:iCs/>
        </w:rPr>
        <w:t>teacher inventio</w:t>
      </w:r>
      <w:r>
        <w:rPr>
          <w:rStyle w:val="Strong"/>
          <w:rFonts w:eastAsia="SimSun"/>
          <w:b w:val="0"/>
          <w:bCs w:val="0"/>
          <w:i/>
          <w:iCs/>
        </w:rPr>
        <w:t>n and litheness positively influence adolescent knowledge</w:t>
      </w:r>
      <w:r>
        <w:rPr>
          <w:i/>
          <w:iCs/>
        </w:rPr>
        <w:t>. But, a notable some of</w:t>
      </w:r>
      <w:r>
        <w:rPr>
          <w:rStyle w:val="Strong"/>
          <w:rFonts w:eastAsia="SimSun"/>
          <w:i/>
          <w:iCs/>
        </w:rPr>
        <w:t xml:space="preserve"> </w:t>
      </w:r>
      <w:r>
        <w:rPr>
          <w:rStyle w:val="Strong"/>
          <w:rFonts w:eastAsia="SimSun"/>
          <w:b w:val="0"/>
          <w:bCs w:val="0"/>
          <w:i/>
          <w:iCs/>
        </w:rPr>
        <w:t>paternities expressed difference</w:t>
      </w:r>
      <w:r>
        <w:rPr>
          <w:i/>
          <w:iCs/>
        </w:rPr>
        <w:t xml:space="preserve">, showing that </w:t>
      </w:r>
      <w:r>
        <w:rPr>
          <w:rStyle w:val="Strong"/>
          <w:rFonts w:eastAsia="SimSun"/>
          <w:b w:val="0"/>
          <w:bCs w:val="0"/>
          <w:i/>
          <w:iCs/>
        </w:rPr>
        <w:t>some parentages are</w:t>
      </w:r>
      <w:r>
        <w:rPr>
          <w:rStyle w:val="Strong"/>
          <w:rFonts w:eastAsia="SimSun"/>
          <w:i/>
          <w:iCs/>
        </w:rPr>
        <w:t xml:space="preserve"> </w:t>
      </w:r>
      <w:r>
        <w:rPr>
          <w:rStyle w:val="Strong"/>
          <w:rFonts w:eastAsia="SimSun"/>
          <w:b w:val="0"/>
          <w:bCs w:val="0"/>
          <w:i/>
          <w:iCs/>
        </w:rPr>
        <w:t>either unsure or worried</w:t>
      </w:r>
      <w:r>
        <w:rPr>
          <w:i/>
          <w:iCs/>
        </w:rPr>
        <w:t xml:space="preserve"> about the efficacy or consistency of these adapted approaches” (Parents idea, May 19, 2025).</w:t>
      </w:r>
    </w:p>
    <w:p w14:paraId="684CDBC7" w14:textId="77777777" w:rsidR="00561911" w:rsidRDefault="004675C3">
      <w:pPr>
        <w:pStyle w:val="NormalWeb"/>
        <w:jc w:val="both"/>
      </w:pPr>
      <w:r>
        <w:t>This implies that the need for protection support for teenagers was stressed strongly in the conclusion. This is against the SLT which insist the conducive learni</w:t>
      </w:r>
      <w:r>
        <w:t>ng environments for students through social interactions (</w:t>
      </w:r>
      <w:r>
        <w:rPr>
          <w:color w:val="222222"/>
          <w:shd w:val="clear" w:color="auto" w:fill="FFFFFF"/>
        </w:rPr>
        <w:t>Blake, 2024</w:t>
      </w:r>
      <w:r>
        <w:t xml:space="preserve">). Consequently, an extensive gratitude of the dangerous role protectors plays in teenage expansion, both intellectually and fervently. Teenagers, being at </w:t>
      </w:r>
      <w:proofErr w:type="spellStart"/>
      <w:proofErr w:type="gramStart"/>
      <w:r>
        <w:t>a</w:t>
      </w:r>
      <w:proofErr w:type="spellEnd"/>
      <w:proofErr w:type="gramEnd"/>
      <w:r>
        <w:t xml:space="preserve"> intermediate stage, benefit i</w:t>
      </w:r>
      <w:r>
        <w:t>mportantly from steady adult sustenance, construction, and help. The answers imply that school agendas and plans should include family meeting as a calculated constituent in student provision agendas. The findings highlight a sturdy need for guardianship s</w:t>
      </w:r>
      <w:r>
        <w:t>ustenance, with 80% arrangement and a mean score of 2.07, shimmering its position in teenage growth. Parents identify that active guardian connection boosts theoretical and emotional expansion. Youngsters benefit from dependable adult sustenance through th</w:t>
      </w:r>
      <w:r>
        <w:t>is critical period. Schools would insert family appointment into their pupil support schemes.</w:t>
      </w:r>
    </w:p>
    <w:p w14:paraId="67984A57" w14:textId="77777777" w:rsidR="00561911" w:rsidRDefault="004675C3">
      <w:pPr>
        <w:pBdr>
          <w:bottom w:val="single" w:sz="6" w:space="1" w:color="auto"/>
        </w:pBdr>
        <w:spacing w:after="0" w:line="240" w:lineRule="auto"/>
        <w:jc w:val="both"/>
        <w:rPr>
          <w:rFonts w:ascii="Times New Roman" w:hAnsi="Times New Roman"/>
          <w:vanish/>
          <w:kern w:val="0"/>
        </w:rPr>
      </w:pPr>
      <w:r>
        <w:rPr>
          <w:rFonts w:ascii="Times New Roman" w:hAnsi="Times New Roman"/>
          <w:vanish/>
          <w:kern w:val="0"/>
        </w:rPr>
        <w:t>Top of Form</w:t>
      </w:r>
    </w:p>
    <w:p w14:paraId="5868DEC5" w14:textId="77777777" w:rsidR="00561911" w:rsidRDefault="004675C3">
      <w:pPr>
        <w:pBdr>
          <w:top w:val="single" w:sz="6" w:space="1" w:color="auto"/>
        </w:pBdr>
        <w:spacing w:after="0" w:line="240" w:lineRule="auto"/>
        <w:jc w:val="both"/>
        <w:rPr>
          <w:rFonts w:ascii="Times New Roman" w:hAnsi="Times New Roman"/>
          <w:vanish/>
          <w:kern w:val="0"/>
        </w:rPr>
      </w:pPr>
      <w:r>
        <w:rPr>
          <w:rFonts w:ascii="Times New Roman" w:hAnsi="Times New Roman"/>
          <w:vanish/>
          <w:kern w:val="0"/>
        </w:rPr>
        <w:t>Bottom of Form</w:t>
      </w:r>
    </w:p>
    <w:p w14:paraId="4A370C60" w14:textId="77777777" w:rsidR="00561911" w:rsidRDefault="004675C3">
      <w:pPr>
        <w:pStyle w:val="NormalWeb"/>
        <w:jc w:val="both"/>
        <w:rPr>
          <w:i/>
          <w:iCs/>
        </w:rPr>
      </w:pPr>
      <w:r>
        <w:t>Finally, the deliberations close student growth during school conferences and proceedings were also rated definitely, with 76.7% in arr</w:t>
      </w:r>
      <w:r>
        <w:t>angement and a mean of 1.97. This recommends that the school morals full student growth and encourages public dialogue. Such deliberations may foster a shared sympathetic between tutors and parents about students’ needs, progress, and challenges. It also p</w:t>
      </w:r>
      <w:r>
        <w:t xml:space="preserve">oints to an inclusive culture where students’ development is a joint obligation. However, </w:t>
      </w:r>
      <w:r>
        <w:lastRenderedPageBreak/>
        <w:t>the data also infers that such applies could be made further frequent or more involved to exploit influence.</w:t>
      </w:r>
    </w:p>
    <w:p w14:paraId="3CE28C6D" w14:textId="77777777" w:rsidR="00561911" w:rsidRDefault="004675C3">
      <w:pPr>
        <w:pStyle w:val="NormalWeb"/>
        <w:jc w:val="both"/>
        <w:rPr>
          <w:i/>
          <w:iCs/>
        </w:rPr>
      </w:pPr>
      <w:r>
        <w:t xml:space="preserve">  “</w:t>
      </w:r>
      <w:r>
        <w:rPr>
          <w:i/>
          <w:iCs/>
        </w:rPr>
        <w:t xml:space="preserve">Parents touch that the school is </w:t>
      </w:r>
      <w:r>
        <w:rPr>
          <w:rStyle w:val="Strong"/>
          <w:rFonts w:eastAsia="SimSun"/>
          <w:b w:val="0"/>
          <w:bCs w:val="0"/>
          <w:i/>
          <w:iCs/>
        </w:rPr>
        <w:t>liability well in imp</w:t>
      </w:r>
      <w:r>
        <w:rPr>
          <w:rStyle w:val="Strong"/>
          <w:rFonts w:eastAsia="SimSun"/>
          <w:b w:val="0"/>
          <w:bCs w:val="0"/>
          <w:i/>
          <w:iCs/>
        </w:rPr>
        <w:t>ortance student progress during school functions</w:t>
      </w:r>
      <w:r>
        <w:rPr>
          <w:b/>
          <w:bCs/>
          <w:i/>
          <w:iCs/>
        </w:rPr>
        <w:t xml:space="preserve">, </w:t>
      </w:r>
      <w:r>
        <w:rPr>
          <w:i/>
          <w:iCs/>
        </w:rPr>
        <w:t xml:space="preserve">which reflects a healthy and student-centered school philosophy. To improve further, the school could effort on </w:t>
      </w:r>
      <w:r>
        <w:rPr>
          <w:rStyle w:val="Strong"/>
          <w:rFonts w:eastAsia="SimSun"/>
          <w:b w:val="0"/>
          <w:bCs w:val="0"/>
          <w:i/>
          <w:iCs/>
        </w:rPr>
        <w:t>thickening these negotiations</w:t>
      </w:r>
      <w:r>
        <w:rPr>
          <w:i/>
          <w:iCs/>
        </w:rPr>
        <w:t xml:space="preserve">, guaranteeing more paternities participate, and manufacture the </w:t>
      </w:r>
      <w:r>
        <w:rPr>
          <w:i/>
          <w:iCs/>
        </w:rPr>
        <w:t>content of these meetings. This will help align paternal support with the school’s goals for teenage growing” (Parents idea, May 21,2025).</w:t>
      </w:r>
    </w:p>
    <w:p w14:paraId="5A320B5C" w14:textId="77777777" w:rsidR="00561911" w:rsidRDefault="004675C3">
      <w:pPr>
        <w:spacing w:line="240" w:lineRule="auto"/>
        <w:jc w:val="both"/>
        <w:rPr>
          <w:rFonts w:ascii="Times New Roman" w:hAnsi="Times New Roman"/>
        </w:rPr>
      </w:pPr>
      <w:r>
        <w:rPr>
          <w:rFonts w:ascii="Times New Roman" w:hAnsi="Times New Roman"/>
        </w:rPr>
        <w:t>The finding implies that while schools already emphasize student progress through meetings and functions, strengtheni</w:t>
      </w:r>
      <w:r>
        <w:rPr>
          <w:rFonts w:ascii="Times New Roman" w:hAnsi="Times New Roman"/>
        </w:rPr>
        <w:t xml:space="preserve">ng the depth and inclusiveness of these discussions can yield greater impact. This concept is relevant to the application of SLT where social interactions such as meeting and discussion within social contexts help learners learn from others through </w:t>
      </w:r>
      <w:r>
        <w:rPr>
          <w:rFonts w:ascii="Times New Roman" w:hAnsi="Times New Roman"/>
          <w:bCs/>
          <w:kern w:val="0"/>
        </w:rPr>
        <w:t>observa</w:t>
      </w:r>
      <w:r>
        <w:rPr>
          <w:rFonts w:ascii="Times New Roman" w:hAnsi="Times New Roman"/>
          <w:bCs/>
          <w:kern w:val="0"/>
        </w:rPr>
        <w:t>tio</w:t>
      </w:r>
      <w:r>
        <w:rPr>
          <w:rFonts w:ascii="Times New Roman" w:hAnsi="Times New Roman"/>
          <w:bCs/>
        </w:rPr>
        <w:t>nal</w:t>
      </w:r>
      <w:r>
        <w:rPr>
          <w:rFonts w:ascii="Times New Roman" w:hAnsi="Times New Roman"/>
          <w:kern w:val="0"/>
        </w:rPr>
        <w:t xml:space="preserve">, </w:t>
      </w:r>
      <w:r>
        <w:rPr>
          <w:rFonts w:ascii="Times New Roman" w:hAnsi="Times New Roman"/>
          <w:bCs/>
          <w:kern w:val="0"/>
        </w:rPr>
        <w:t>modeling</w:t>
      </w:r>
      <w:r>
        <w:rPr>
          <w:rFonts w:ascii="Times New Roman" w:hAnsi="Times New Roman"/>
          <w:kern w:val="0"/>
        </w:rPr>
        <w:t xml:space="preserve">, imitating role models such as parents, peers, </w:t>
      </w:r>
      <w:r>
        <w:rPr>
          <w:rFonts w:ascii="Times New Roman" w:hAnsi="Times New Roman"/>
        </w:rPr>
        <w:t xml:space="preserve">and teachers </w:t>
      </w:r>
      <w:r>
        <w:rPr>
          <w:rFonts w:ascii="Times New Roman" w:hAnsi="Times New Roman"/>
          <w:kern w:val="0"/>
        </w:rPr>
        <w:t>(</w:t>
      </w:r>
      <w:r>
        <w:rPr>
          <w:rFonts w:ascii="Times New Roman" w:hAnsi="Times New Roman"/>
          <w:color w:val="222222"/>
          <w:shd w:val="clear" w:color="auto" w:fill="FFFFFF"/>
        </w:rPr>
        <w:t>Rumjaun &amp; Narod, 2025</w:t>
      </w:r>
      <w:r>
        <w:rPr>
          <w:rFonts w:ascii="Times New Roman" w:hAnsi="Times New Roman"/>
          <w:kern w:val="0"/>
        </w:rPr>
        <w:t xml:space="preserve">). </w:t>
      </w:r>
      <w:r>
        <w:rPr>
          <w:rFonts w:ascii="Times New Roman" w:hAnsi="Times New Roman"/>
        </w:rPr>
        <w:t>By ensuring wider parental participation and enhancing the content of such engagements, schools can foster stronger collaboration between teachers and fam</w:t>
      </w:r>
      <w:r>
        <w:rPr>
          <w:rFonts w:ascii="Times New Roman" w:hAnsi="Times New Roman"/>
        </w:rPr>
        <w:t>ilies. This alignment would not only reinforce parental support but also create a shared responsibility for adolescent development. Ultimately, deepening these interactions can promote consistent attendance, improved academic performance, and holistic grow</w:t>
      </w:r>
      <w:r>
        <w:rPr>
          <w:rFonts w:ascii="Times New Roman" w:hAnsi="Times New Roman"/>
        </w:rPr>
        <w:t>th, reflecting a more student-centered and community-driven school culture.</w:t>
      </w:r>
    </w:p>
    <w:p w14:paraId="4CEAB97D" w14:textId="77777777" w:rsidR="00561911" w:rsidRDefault="004675C3">
      <w:pPr>
        <w:pStyle w:val="NormalWeb"/>
        <w:jc w:val="both"/>
        <w:rPr>
          <w:b/>
          <w:bCs/>
        </w:rPr>
      </w:pPr>
      <w:r>
        <w:rPr>
          <w:b/>
          <w:bCs/>
        </w:rPr>
        <w:t>7.0 Conclusion and Recommendations</w:t>
      </w:r>
    </w:p>
    <w:p w14:paraId="63DACDEB" w14:textId="77777777" w:rsidR="00561911" w:rsidRDefault="004675C3">
      <w:pPr>
        <w:pStyle w:val="NormalWeb"/>
        <w:jc w:val="both"/>
        <w:rPr>
          <w:b/>
          <w:bCs/>
        </w:rPr>
      </w:pPr>
      <w:r>
        <w:rPr>
          <w:b/>
          <w:bCs/>
        </w:rPr>
        <w:t>7.1 Conclusion</w:t>
      </w:r>
    </w:p>
    <w:p w14:paraId="5C1AA495" w14:textId="77777777" w:rsidR="00561911" w:rsidRDefault="004675C3">
      <w:pPr>
        <w:spacing w:before="100" w:beforeAutospacing="1" w:after="100" w:afterAutospacing="1" w:line="240" w:lineRule="auto"/>
        <w:jc w:val="both"/>
        <w:rPr>
          <w:rFonts w:ascii="Times New Roman" w:hAnsi="Times New Roman"/>
          <w:kern w:val="0"/>
        </w:rPr>
      </w:pPr>
      <w:r>
        <w:rPr>
          <w:rFonts w:ascii="Times New Roman" w:hAnsi="Times New Roman"/>
          <w:bCs/>
          <w:kern w:val="0"/>
        </w:rPr>
        <w:t>Based on the findings, the study concluded that</w:t>
      </w:r>
      <w:r>
        <w:rPr>
          <w:rFonts w:ascii="Times New Roman" w:hAnsi="Times New Roman"/>
          <w:kern w:val="0"/>
        </w:rPr>
        <w:t xml:space="preserve"> while the school is largely fruitful in fostering a supportive environment intende</w:t>
      </w:r>
      <w:r>
        <w:rPr>
          <w:rFonts w:ascii="Times New Roman" w:hAnsi="Times New Roman"/>
          <w:kern w:val="0"/>
        </w:rPr>
        <w:t>d for adolescent growth through effective communication, moral education, counseling, and inclusive debates on student development, there remain noteworthy areas in need of attention. Parents strongly value guardianship support and recognize the benefits o</w:t>
      </w:r>
      <w:r>
        <w:rPr>
          <w:rFonts w:ascii="Times New Roman" w:hAnsi="Times New Roman"/>
          <w:kern w:val="0"/>
        </w:rPr>
        <w:t>f teacher autonomy and a conducive learning environment. However, practical challenges such as unreliable provision of meals and limited physical support in the form of books, uniforms, and transport fare continue to act as barriers to student achievement.</w:t>
      </w:r>
      <w:r>
        <w:rPr>
          <w:rFonts w:ascii="Times New Roman" w:hAnsi="Times New Roman"/>
          <w:kern w:val="0"/>
        </w:rPr>
        <w:t xml:space="preserve"> To fully support adolescents’ academic and personal growth, the school should build on its strengths while addressing gaps in basic student well-being and resource accessibility. Strengthening these areas will help establish a more balanced, equitable, an</w:t>
      </w:r>
      <w:r>
        <w:rPr>
          <w:rFonts w:ascii="Times New Roman" w:hAnsi="Times New Roman"/>
          <w:kern w:val="0"/>
        </w:rPr>
        <w:t>d impactful learning experience for all students.</w:t>
      </w:r>
    </w:p>
    <w:p w14:paraId="0528DDC5" w14:textId="77777777" w:rsidR="00561911" w:rsidRDefault="004675C3">
      <w:pPr>
        <w:pStyle w:val="NormalWeb"/>
        <w:jc w:val="both"/>
        <w:rPr>
          <w:b/>
          <w:bCs/>
        </w:rPr>
      </w:pPr>
      <w:r>
        <w:rPr>
          <w:b/>
          <w:bCs/>
        </w:rPr>
        <w:t>7.2 Recommendations</w:t>
      </w:r>
    </w:p>
    <w:p w14:paraId="0BD088CA" w14:textId="77777777" w:rsidR="00561911" w:rsidRDefault="004675C3">
      <w:pPr>
        <w:spacing w:before="100" w:beforeAutospacing="1" w:after="100" w:afterAutospacing="1" w:line="240" w:lineRule="auto"/>
        <w:jc w:val="both"/>
        <w:rPr>
          <w:rFonts w:ascii="Times New Roman" w:hAnsi="Times New Roman"/>
          <w:kern w:val="0"/>
        </w:rPr>
      </w:pPr>
      <w:r>
        <w:rPr>
          <w:rFonts w:ascii="Times New Roman" w:hAnsi="Times New Roman"/>
          <w:bCs/>
          <w:kern w:val="0"/>
        </w:rPr>
        <w:t>Based on the conclusion, the study recommended that</w:t>
      </w:r>
      <w:r>
        <w:rPr>
          <w:rFonts w:ascii="Times New Roman" w:hAnsi="Times New Roman"/>
          <w:kern w:val="0"/>
        </w:rPr>
        <w:t xml:space="preserve"> the school strengthen its existing support by ensuring consistent access to books, uniforms, and transportation fare, while also impro</w:t>
      </w:r>
      <w:r>
        <w:rPr>
          <w:rFonts w:ascii="Times New Roman" w:hAnsi="Times New Roman"/>
          <w:kern w:val="0"/>
        </w:rPr>
        <w:t>ving the reliability and nutritional quality of school meals, particularly breakfast and lunch. In addition, regular discussions on student growth during school activities should be sustained, and religious as well as moral education should remain prioriti</w:t>
      </w:r>
      <w:r>
        <w:rPr>
          <w:rFonts w:ascii="Times New Roman" w:hAnsi="Times New Roman"/>
          <w:kern w:val="0"/>
        </w:rPr>
        <w:t>zed, reflecting the strong parental support for holistic student development.</w:t>
      </w:r>
    </w:p>
    <w:p w14:paraId="5A1C6607"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7C2E5CE6"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19AED693"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636A71FC"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05A3AD50" w14:textId="77777777" w:rsidR="00561911" w:rsidRDefault="004675C3">
      <w:pPr>
        <w:pStyle w:val="ListParagraph"/>
        <w:spacing w:before="100" w:beforeAutospacing="1" w:after="100" w:afterAutospacing="1" w:line="240" w:lineRule="auto"/>
        <w:ind w:left="0"/>
        <w:rPr>
          <w:rFonts w:ascii="Times New Roman" w:hAnsi="Times New Roman"/>
          <w:b/>
          <w:kern w:val="0"/>
        </w:rPr>
      </w:pPr>
      <w:r>
        <w:rPr>
          <w:rFonts w:ascii="Times New Roman" w:hAnsi="Times New Roman"/>
          <w:b/>
          <w:kern w:val="0"/>
        </w:rPr>
        <w:t>References</w:t>
      </w:r>
    </w:p>
    <w:p w14:paraId="733C8497" w14:textId="77777777" w:rsidR="00561911" w:rsidRDefault="004675C3">
      <w:pPr>
        <w:spacing w:before="120" w:after="120" w:line="240" w:lineRule="auto"/>
        <w:ind w:left="720" w:hanging="720"/>
        <w:jc w:val="both"/>
        <w:rPr>
          <w:rFonts w:ascii="Times New Roman" w:hAnsi="Times New Roman"/>
        </w:rPr>
      </w:pPr>
      <w:r>
        <w:rPr>
          <w:rFonts w:ascii="Times New Roman" w:hAnsi="Times New Roman"/>
          <w:lang w:val="es-ES"/>
        </w:rPr>
        <w:t xml:space="preserve">Al </w:t>
      </w:r>
      <w:proofErr w:type="spellStart"/>
      <w:r>
        <w:rPr>
          <w:rFonts w:ascii="Times New Roman" w:hAnsi="Times New Roman"/>
          <w:lang w:val="es-ES"/>
        </w:rPr>
        <w:t>Hazaa</w:t>
      </w:r>
      <w:proofErr w:type="spellEnd"/>
      <w:r>
        <w:rPr>
          <w:rFonts w:ascii="Times New Roman" w:hAnsi="Times New Roman"/>
          <w:lang w:val="es-ES"/>
        </w:rPr>
        <w:t>, K., Abdel-</w:t>
      </w:r>
      <w:proofErr w:type="spellStart"/>
      <w:r>
        <w:rPr>
          <w:rFonts w:ascii="Times New Roman" w:hAnsi="Times New Roman"/>
          <w:lang w:val="es-ES"/>
        </w:rPr>
        <w:t>Salam</w:t>
      </w:r>
      <w:proofErr w:type="spellEnd"/>
      <w:r>
        <w:rPr>
          <w:rFonts w:ascii="Times New Roman" w:hAnsi="Times New Roman"/>
          <w:lang w:val="es-ES"/>
        </w:rPr>
        <w:t>, A. S. G., Ismail, R., Johnson, C., Al-</w:t>
      </w:r>
      <w:proofErr w:type="spellStart"/>
      <w:r>
        <w:rPr>
          <w:rFonts w:ascii="Times New Roman" w:hAnsi="Times New Roman"/>
          <w:lang w:val="es-ES"/>
        </w:rPr>
        <w:t>Tameemi</w:t>
      </w:r>
      <w:proofErr w:type="spellEnd"/>
      <w:r>
        <w:rPr>
          <w:rFonts w:ascii="Times New Roman" w:hAnsi="Times New Roman"/>
          <w:lang w:val="es-ES"/>
        </w:rPr>
        <w:t xml:space="preserve">, R. A. N., </w:t>
      </w:r>
      <w:proofErr w:type="spellStart"/>
      <w:r>
        <w:rPr>
          <w:rFonts w:ascii="Times New Roman" w:hAnsi="Times New Roman"/>
          <w:lang w:val="es-ES"/>
        </w:rPr>
        <w:t>Romanowski</w:t>
      </w:r>
      <w:proofErr w:type="spellEnd"/>
      <w:r>
        <w:rPr>
          <w:rFonts w:ascii="Times New Roman" w:hAnsi="Times New Roman"/>
          <w:lang w:val="es-ES"/>
        </w:rPr>
        <w:t xml:space="preserve">, M. H., ... </w:t>
      </w:r>
      <w:r>
        <w:rPr>
          <w:rFonts w:ascii="Times New Roman" w:hAnsi="Times New Roman"/>
        </w:rPr>
        <w:t xml:space="preserve">&amp; </w:t>
      </w:r>
      <w:proofErr w:type="spellStart"/>
      <w:r>
        <w:rPr>
          <w:rFonts w:ascii="Times New Roman" w:hAnsi="Times New Roman"/>
        </w:rPr>
        <w:t>Elatawneh</w:t>
      </w:r>
      <w:proofErr w:type="spellEnd"/>
      <w:r>
        <w:rPr>
          <w:rFonts w:ascii="Times New Roman" w:hAnsi="Times New Roman"/>
        </w:rPr>
        <w:t xml:space="preserve">, A. (2021). The effects of attendance and high school GPA </w:t>
      </w:r>
      <w:r>
        <w:rPr>
          <w:rFonts w:ascii="Times New Roman" w:hAnsi="Times New Roman"/>
        </w:rPr>
        <w:t>on student performance in first-year undergraduate courses. </w:t>
      </w:r>
      <w:r>
        <w:rPr>
          <w:rFonts w:ascii="Times New Roman" w:hAnsi="Times New Roman"/>
          <w:i/>
          <w:iCs/>
        </w:rPr>
        <w:t>Cogent Education</w:t>
      </w:r>
      <w:r>
        <w:rPr>
          <w:rFonts w:ascii="Times New Roman" w:hAnsi="Times New Roman"/>
        </w:rPr>
        <w:t>, </w:t>
      </w:r>
      <w:r>
        <w:rPr>
          <w:rFonts w:ascii="Times New Roman" w:hAnsi="Times New Roman"/>
          <w:i/>
          <w:iCs/>
        </w:rPr>
        <w:t>8</w:t>
      </w:r>
      <w:r>
        <w:rPr>
          <w:rFonts w:ascii="Times New Roman" w:hAnsi="Times New Roman"/>
        </w:rPr>
        <w:t>(1), 1956857.</w:t>
      </w:r>
    </w:p>
    <w:p w14:paraId="73B78D56" w14:textId="77777777" w:rsidR="00561911" w:rsidRDefault="004675C3">
      <w:pPr>
        <w:spacing w:before="120" w:after="120" w:line="240" w:lineRule="auto"/>
        <w:ind w:left="720" w:hanging="720"/>
        <w:jc w:val="both"/>
        <w:rPr>
          <w:rFonts w:ascii="Times New Roman" w:hAnsi="Times New Roman"/>
        </w:rPr>
      </w:pPr>
      <w:proofErr w:type="spellStart"/>
      <w:r>
        <w:rPr>
          <w:rFonts w:ascii="Times New Roman" w:hAnsi="Times New Roman"/>
        </w:rPr>
        <w:t>Angwaomaodoko</w:t>
      </w:r>
      <w:proofErr w:type="spellEnd"/>
      <w:r>
        <w:rPr>
          <w:rFonts w:ascii="Times New Roman" w:hAnsi="Times New Roman"/>
        </w:rPr>
        <w:t>, E. A. (2023). The Impact of Parental Involvement on Students’ Academic Achievement in Nigeria: A Case Study of Parents in Asaba, Delta State. </w:t>
      </w:r>
      <w:r>
        <w:rPr>
          <w:rFonts w:ascii="Times New Roman" w:hAnsi="Times New Roman"/>
          <w:i/>
          <w:iCs/>
        </w:rPr>
        <w:t>Intern</w:t>
      </w:r>
      <w:r>
        <w:rPr>
          <w:rFonts w:ascii="Times New Roman" w:hAnsi="Times New Roman"/>
          <w:i/>
          <w:iCs/>
        </w:rPr>
        <w:t>ational Journal of Education</w:t>
      </w:r>
      <w:r>
        <w:rPr>
          <w:rFonts w:ascii="Times New Roman" w:hAnsi="Times New Roman"/>
        </w:rPr>
        <w:t>, </w:t>
      </w:r>
      <w:r>
        <w:rPr>
          <w:rFonts w:ascii="Times New Roman" w:hAnsi="Times New Roman"/>
          <w:i/>
          <w:iCs/>
        </w:rPr>
        <w:t>15</w:t>
      </w:r>
      <w:r>
        <w:rPr>
          <w:rFonts w:ascii="Times New Roman" w:hAnsi="Times New Roman"/>
        </w:rPr>
        <w:t>(4), 10-5296.</w:t>
      </w:r>
    </w:p>
    <w:p w14:paraId="63B61F71" w14:textId="77777777" w:rsidR="00561911" w:rsidRDefault="004675C3">
      <w:pPr>
        <w:spacing w:before="120" w:after="120" w:line="240" w:lineRule="auto"/>
        <w:ind w:left="720" w:hanging="720"/>
        <w:jc w:val="both"/>
        <w:rPr>
          <w:rFonts w:ascii="Times New Roman" w:hAnsi="Times New Roman"/>
        </w:rPr>
      </w:pPr>
      <w:proofErr w:type="spellStart"/>
      <w:r>
        <w:rPr>
          <w:rFonts w:ascii="Times New Roman" w:hAnsi="Times New Roman"/>
        </w:rPr>
        <w:t>Bhuwania</w:t>
      </w:r>
      <w:proofErr w:type="spellEnd"/>
      <w:r>
        <w:rPr>
          <w:rFonts w:ascii="Times New Roman" w:hAnsi="Times New Roman"/>
        </w:rPr>
        <w:t xml:space="preserve">, P., Huh, K., &amp; Heymann, J. (2023). Impact of tuition‐free education policy on child marriage and early childbearing: Does secondary matter </w:t>
      </w:r>
      <w:proofErr w:type="gramStart"/>
      <w:r>
        <w:rPr>
          <w:rFonts w:ascii="Times New Roman" w:hAnsi="Times New Roman"/>
        </w:rPr>
        <w:t>more?.</w:t>
      </w:r>
      <w:proofErr w:type="gramEnd"/>
      <w:r>
        <w:rPr>
          <w:rFonts w:ascii="Times New Roman" w:hAnsi="Times New Roman"/>
        </w:rPr>
        <w:t> </w:t>
      </w:r>
      <w:r>
        <w:rPr>
          <w:rFonts w:ascii="Times New Roman" w:hAnsi="Times New Roman"/>
          <w:i/>
          <w:iCs/>
        </w:rPr>
        <w:t>Population and Development Review</w:t>
      </w:r>
      <w:r>
        <w:rPr>
          <w:rFonts w:ascii="Times New Roman" w:hAnsi="Times New Roman"/>
        </w:rPr>
        <w:t>, </w:t>
      </w:r>
      <w:r>
        <w:rPr>
          <w:rFonts w:ascii="Times New Roman" w:hAnsi="Times New Roman"/>
          <w:i/>
          <w:iCs/>
        </w:rPr>
        <w:t>49</w:t>
      </w:r>
      <w:r>
        <w:rPr>
          <w:rFonts w:ascii="Times New Roman" w:hAnsi="Times New Roman"/>
        </w:rPr>
        <w:t>(1), 43-70.</w:t>
      </w:r>
    </w:p>
    <w:p w14:paraId="5CE10DFD"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Blake</w:t>
      </w:r>
      <w:r>
        <w:rPr>
          <w:rFonts w:ascii="Times New Roman" w:hAnsi="Times New Roman"/>
        </w:rPr>
        <w:t>, S. (2024). </w:t>
      </w:r>
      <w:r>
        <w:rPr>
          <w:rFonts w:ascii="Times New Roman" w:hAnsi="Times New Roman"/>
          <w:i/>
          <w:iCs/>
        </w:rPr>
        <w:t>Examining Professional Development Practices in Early Childhood Settings Using Albert Bandura's Social Learning Theory</w:t>
      </w:r>
      <w:r>
        <w:rPr>
          <w:rFonts w:ascii="Times New Roman" w:hAnsi="Times New Roman"/>
        </w:rPr>
        <w:t xml:space="preserve">. The Ohio State University. </w:t>
      </w:r>
    </w:p>
    <w:p w14:paraId="40E277E1"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color w:val="222222"/>
          <w:shd w:val="clear" w:color="auto" w:fill="FFFFFF"/>
        </w:rPr>
        <w:t>Chobphon</w:t>
      </w:r>
      <w:proofErr w:type="spellEnd"/>
      <w:r>
        <w:rPr>
          <w:rFonts w:ascii="Times New Roman" w:hAnsi="Times New Roman"/>
          <w:color w:val="222222"/>
          <w:shd w:val="clear" w:color="auto" w:fill="FFFFFF"/>
        </w:rPr>
        <w:t xml:space="preserve">, P. (2021). Factors Influencing Academic Achievement of Economically Disadvantaged </w:t>
      </w:r>
      <w:r>
        <w:rPr>
          <w:rFonts w:ascii="Times New Roman" w:hAnsi="Times New Roman"/>
          <w:color w:val="222222"/>
          <w:shd w:val="clear" w:color="auto" w:fill="FFFFFF"/>
        </w:rPr>
        <w:t>Children in Remote Areas of Thailand: A Phenomenology Study. </w:t>
      </w:r>
      <w:proofErr w:type="spellStart"/>
      <w:r>
        <w:rPr>
          <w:rFonts w:ascii="Times New Roman" w:hAnsi="Times New Roman"/>
          <w:i/>
          <w:iCs/>
          <w:color w:val="222222"/>
          <w:shd w:val="clear" w:color="auto" w:fill="FFFFFF"/>
        </w:rPr>
        <w:t>Sripatum</w:t>
      </w:r>
      <w:proofErr w:type="spellEnd"/>
      <w:r>
        <w:rPr>
          <w:rFonts w:ascii="Times New Roman" w:hAnsi="Times New Roman"/>
          <w:i/>
          <w:iCs/>
          <w:color w:val="222222"/>
          <w:shd w:val="clear" w:color="auto" w:fill="FFFFFF"/>
        </w:rPr>
        <w:t xml:space="preserve"> Review of Humanities and Social Sciences</w:t>
      </w:r>
      <w:r>
        <w:rPr>
          <w:rFonts w:ascii="Times New Roman" w:hAnsi="Times New Roman"/>
          <w:color w:val="222222"/>
          <w:shd w:val="clear" w:color="auto" w:fill="FFFFFF"/>
        </w:rPr>
        <w:t>, </w:t>
      </w:r>
      <w:r>
        <w:rPr>
          <w:rFonts w:ascii="Times New Roman" w:hAnsi="Times New Roman"/>
          <w:i/>
          <w:iCs/>
          <w:color w:val="222222"/>
          <w:shd w:val="clear" w:color="auto" w:fill="FFFFFF"/>
        </w:rPr>
        <w:t>21</w:t>
      </w:r>
      <w:r>
        <w:rPr>
          <w:rFonts w:ascii="Times New Roman" w:hAnsi="Times New Roman"/>
          <w:color w:val="222222"/>
          <w:shd w:val="clear" w:color="auto" w:fill="FFFFFF"/>
        </w:rPr>
        <w:t xml:space="preserve">(2), 34-43. </w:t>
      </w:r>
    </w:p>
    <w:p w14:paraId="4B1DCBD4" w14:textId="77777777" w:rsidR="00561911" w:rsidRDefault="004675C3">
      <w:pPr>
        <w:spacing w:line="240" w:lineRule="auto"/>
        <w:rPr>
          <w:rFonts w:ascii="Times New Roman" w:hAnsi="Times New Roman"/>
          <w:color w:val="222222"/>
          <w:shd w:val="clear" w:color="auto" w:fill="FFFFFF"/>
        </w:rPr>
      </w:pPr>
      <w:r>
        <w:rPr>
          <w:rFonts w:ascii="Times New Roman" w:hAnsi="Times New Roman"/>
          <w:color w:val="222222"/>
          <w:shd w:val="clear" w:color="auto" w:fill="FFFFFF"/>
        </w:rPr>
        <w:t>Creswell, J. W., &amp; Inoue, M. (2025). A process for conducting mixed methods data analysis. </w:t>
      </w:r>
      <w:r>
        <w:rPr>
          <w:rFonts w:ascii="Times New Roman" w:hAnsi="Times New Roman"/>
          <w:i/>
          <w:iCs/>
          <w:color w:val="222222"/>
          <w:shd w:val="clear" w:color="auto" w:fill="FFFFFF"/>
        </w:rPr>
        <w:t>Journal of General and Family Medicine</w:t>
      </w:r>
      <w:r>
        <w:rPr>
          <w:rFonts w:ascii="Times New Roman" w:hAnsi="Times New Roman"/>
          <w:color w:val="222222"/>
          <w:shd w:val="clear" w:color="auto" w:fill="FFFFFF"/>
        </w:rPr>
        <w:t>, </w:t>
      </w:r>
      <w:r>
        <w:rPr>
          <w:rFonts w:ascii="Times New Roman" w:hAnsi="Times New Roman"/>
          <w:i/>
          <w:iCs/>
          <w:color w:val="222222"/>
          <w:shd w:val="clear" w:color="auto" w:fill="FFFFFF"/>
        </w:rPr>
        <w:t>26</w:t>
      </w:r>
      <w:r>
        <w:rPr>
          <w:rFonts w:ascii="Times New Roman" w:hAnsi="Times New Roman"/>
          <w:color w:val="222222"/>
          <w:shd w:val="clear" w:color="auto" w:fill="FFFFFF"/>
        </w:rPr>
        <w:t>(1), 4-11.</w:t>
      </w:r>
    </w:p>
    <w:p w14:paraId="51215CBB"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lang w:val="pt-PT"/>
        </w:rPr>
        <w:t xml:space="preserve">Graham, M. A., &amp; Mtsweni, M. U. (2024). </w:t>
      </w:r>
      <w:r>
        <w:rPr>
          <w:rFonts w:ascii="Times New Roman" w:hAnsi="Times New Roman"/>
        </w:rPr>
        <w:t>Parental involvement predicts Grade 4 learners’ reading literacy: an analysis of PIRLS data for students in Mpumalanga, South Africa. </w:t>
      </w:r>
      <w:r>
        <w:rPr>
          <w:rFonts w:ascii="Times New Roman" w:hAnsi="Times New Roman"/>
          <w:i/>
          <w:iCs/>
        </w:rPr>
        <w:t>Educational Review</w:t>
      </w:r>
      <w:r>
        <w:rPr>
          <w:rFonts w:ascii="Times New Roman" w:hAnsi="Times New Roman"/>
        </w:rPr>
        <w:t>, 1-23.</w:t>
      </w:r>
    </w:p>
    <w:p w14:paraId="07EF4E2D" w14:textId="77777777" w:rsidR="00561911" w:rsidRDefault="004675C3">
      <w:pPr>
        <w:pStyle w:val="ListParagraph"/>
        <w:spacing w:before="120" w:after="120" w:line="240" w:lineRule="auto"/>
        <w:ind w:hanging="720"/>
        <w:jc w:val="both"/>
        <w:rPr>
          <w:rFonts w:ascii="Times New Roman" w:hAnsi="Times New Roman"/>
          <w:color w:val="222222"/>
          <w:shd w:val="clear" w:color="auto" w:fill="FFFFFF"/>
        </w:rPr>
      </w:pPr>
      <w:r>
        <w:rPr>
          <w:rFonts w:ascii="Times New Roman" w:hAnsi="Times New Roman"/>
          <w:color w:val="222222"/>
          <w:shd w:val="clear" w:color="auto" w:fill="FFFFFF"/>
        </w:rPr>
        <w:t xml:space="preserve">Klein, M., &amp; </w:t>
      </w:r>
      <w:proofErr w:type="spellStart"/>
      <w:r>
        <w:rPr>
          <w:rFonts w:ascii="Times New Roman" w:hAnsi="Times New Roman"/>
          <w:color w:val="222222"/>
          <w:shd w:val="clear" w:color="auto" w:fill="FFFFFF"/>
        </w:rPr>
        <w:t>Sosu</w:t>
      </w:r>
      <w:proofErr w:type="spellEnd"/>
      <w:r>
        <w:rPr>
          <w:rFonts w:ascii="Times New Roman" w:hAnsi="Times New Roman"/>
          <w:color w:val="222222"/>
          <w:shd w:val="clear" w:color="auto" w:fill="FFFFFF"/>
        </w:rPr>
        <w:t>, E. M. (2024). School a</w:t>
      </w:r>
      <w:r>
        <w:rPr>
          <w:rFonts w:ascii="Times New Roman" w:hAnsi="Times New Roman"/>
          <w:color w:val="222222"/>
          <w:shd w:val="clear" w:color="auto" w:fill="FFFFFF"/>
        </w:rPr>
        <w:t>ttendance and academic achievement: Understanding variation across family socioeconomic status. </w:t>
      </w:r>
      <w:r>
        <w:rPr>
          <w:rFonts w:ascii="Times New Roman" w:hAnsi="Times New Roman"/>
          <w:i/>
          <w:iCs/>
          <w:color w:val="222222"/>
          <w:shd w:val="clear" w:color="auto" w:fill="FFFFFF"/>
        </w:rPr>
        <w:t>Sociology of Education</w:t>
      </w:r>
      <w:r>
        <w:rPr>
          <w:rFonts w:ascii="Times New Roman" w:hAnsi="Times New Roman"/>
          <w:color w:val="222222"/>
          <w:shd w:val="clear" w:color="auto" w:fill="FFFFFF"/>
        </w:rPr>
        <w:t>, </w:t>
      </w:r>
      <w:r>
        <w:rPr>
          <w:rFonts w:ascii="Times New Roman" w:hAnsi="Times New Roman"/>
          <w:i/>
          <w:iCs/>
          <w:color w:val="222222"/>
          <w:shd w:val="clear" w:color="auto" w:fill="FFFFFF"/>
        </w:rPr>
        <w:t>97</w:t>
      </w:r>
      <w:r>
        <w:rPr>
          <w:rFonts w:ascii="Times New Roman" w:hAnsi="Times New Roman"/>
          <w:color w:val="222222"/>
          <w:shd w:val="clear" w:color="auto" w:fill="FFFFFF"/>
        </w:rPr>
        <w:t>(1), 58-75.</w:t>
      </w:r>
    </w:p>
    <w:p w14:paraId="0296B878"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 xml:space="preserve">Koçak, Ö., Göksu, İ., &amp; </w:t>
      </w:r>
      <w:proofErr w:type="spellStart"/>
      <w:r>
        <w:rPr>
          <w:rFonts w:ascii="Times New Roman" w:hAnsi="Times New Roman"/>
        </w:rPr>
        <w:t>Göktas</w:t>
      </w:r>
      <w:proofErr w:type="spellEnd"/>
      <w:r>
        <w:rPr>
          <w:rFonts w:ascii="Times New Roman" w:hAnsi="Times New Roman"/>
        </w:rPr>
        <w:t>, Y. (2021). The Factors Affecting Academic Achievement: A Systematic Review of Meta Analyse</w:t>
      </w:r>
      <w:r>
        <w:rPr>
          <w:rFonts w:ascii="Times New Roman" w:hAnsi="Times New Roman"/>
        </w:rPr>
        <w:t>s. </w:t>
      </w:r>
      <w:r>
        <w:rPr>
          <w:rFonts w:ascii="Times New Roman" w:hAnsi="Times New Roman"/>
          <w:i/>
          <w:iCs/>
        </w:rPr>
        <w:t>International Online Journal of Education and Teaching</w:t>
      </w:r>
      <w:r>
        <w:rPr>
          <w:rFonts w:ascii="Times New Roman" w:hAnsi="Times New Roman"/>
        </w:rPr>
        <w:t>, </w:t>
      </w:r>
      <w:r>
        <w:rPr>
          <w:rFonts w:ascii="Times New Roman" w:hAnsi="Times New Roman"/>
          <w:i/>
          <w:iCs/>
        </w:rPr>
        <w:t>8</w:t>
      </w:r>
      <w:r>
        <w:rPr>
          <w:rFonts w:ascii="Times New Roman" w:hAnsi="Times New Roman"/>
        </w:rPr>
        <w:t>(1), 454-484.</w:t>
      </w:r>
    </w:p>
    <w:p w14:paraId="6B2F75D5"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lang w:val="es-ES"/>
        </w:rPr>
        <w:t xml:space="preserve">Maro, S. O., &amp; Omer, S. W. (2024). </w:t>
      </w:r>
      <w:r>
        <w:rPr>
          <w:rFonts w:ascii="Times New Roman" w:hAnsi="Times New Roman"/>
        </w:rPr>
        <w:t>Influence of Parental Attitudes Towards Girls Regular School Attendance in Public Secondary Schools in Morogoro Municipality, Tanzania. </w:t>
      </w:r>
      <w:r>
        <w:rPr>
          <w:rFonts w:ascii="Times New Roman" w:hAnsi="Times New Roman"/>
          <w:i/>
          <w:iCs/>
        </w:rPr>
        <w:t>East Africa</w:t>
      </w:r>
      <w:r>
        <w:rPr>
          <w:rFonts w:ascii="Times New Roman" w:hAnsi="Times New Roman"/>
          <w:i/>
          <w:iCs/>
        </w:rPr>
        <w:t>n Journal of Education Studies</w:t>
      </w:r>
      <w:r>
        <w:rPr>
          <w:rFonts w:ascii="Times New Roman" w:hAnsi="Times New Roman"/>
        </w:rPr>
        <w:t>, </w:t>
      </w:r>
      <w:r>
        <w:rPr>
          <w:rFonts w:ascii="Times New Roman" w:hAnsi="Times New Roman"/>
          <w:i/>
          <w:iCs/>
        </w:rPr>
        <w:t>7</w:t>
      </w:r>
      <w:r>
        <w:rPr>
          <w:rFonts w:ascii="Times New Roman" w:hAnsi="Times New Roman"/>
        </w:rPr>
        <w:t>(4), 204-216.</w:t>
      </w:r>
    </w:p>
    <w:p w14:paraId="16C86CF6" w14:textId="77777777" w:rsidR="00561911" w:rsidRDefault="004675C3">
      <w:pPr>
        <w:pStyle w:val="ListParagraph"/>
        <w:spacing w:before="120" w:after="120" w:line="240" w:lineRule="auto"/>
        <w:ind w:hanging="720"/>
        <w:jc w:val="both"/>
        <w:rPr>
          <w:rFonts w:ascii="Times New Roman" w:hAnsi="Times New Roman"/>
          <w:color w:val="343A40"/>
          <w:kern w:val="0"/>
        </w:rPr>
      </w:pPr>
      <w:proofErr w:type="spellStart"/>
      <w:r>
        <w:rPr>
          <w:rFonts w:ascii="Times New Roman" w:hAnsi="Times New Roman"/>
          <w:color w:val="343A40"/>
          <w:kern w:val="0"/>
        </w:rPr>
        <w:t>Mwakyoma</w:t>
      </w:r>
      <w:proofErr w:type="spellEnd"/>
      <w:r>
        <w:rPr>
          <w:rFonts w:ascii="Times New Roman" w:hAnsi="Times New Roman"/>
          <w:color w:val="343A40"/>
          <w:kern w:val="0"/>
        </w:rPr>
        <w:t xml:space="preserve">, S.J. (2024). </w:t>
      </w:r>
      <w:r>
        <w:rPr>
          <w:rFonts w:ascii="Times New Roman" w:hAnsi="Times New Roman"/>
        </w:rPr>
        <w:t>Influence of safe learning environment on pupils’ attendance in public primary schools in Tanzania. (Master dissertation, University of Dodoma).</w:t>
      </w:r>
    </w:p>
    <w:p w14:paraId="2208D83C"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 xml:space="preserve">Pezzulo, C., </w:t>
      </w:r>
      <w:proofErr w:type="spellStart"/>
      <w:r>
        <w:rPr>
          <w:rFonts w:ascii="Times New Roman" w:hAnsi="Times New Roman"/>
        </w:rPr>
        <w:t>Alegana</w:t>
      </w:r>
      <w:proofErr w:type="spellEnd"/>
      <w:r>
        <w:rPr>
          <w:rFonts w:ascii="Times New Roman" w:hAnsi="Times New Roman"/>
        </w:rPr>
        <w:t>, V. A., Christensen,</w:t>
      </w:r>
      <w:r>
        <w:rPr>
          <w:rFonts w:ascii="Times New Roman" w:hAnsi="Times New Roman"/>
        </w:rPr>
        <w:t xml:space="preserve"> A., Bakari, O., &amp; Tatem, A. J. (2022). Understanding factors associated with attending secondary school in Tanzania using household survey data. </w:t>
      </w:r>
      <w:proofErr w:type="spellStart"/>
      <w:r>
        <w:rPr>
          <w:rFonts w:ascii="Times New Roman" w:hAnsi="Times New Roman"/>
          <w:i/>
          <w:iCs/>
        </w:rPr>
        <w:t>Plos</w:t>
      </w:r>
      <w:proofErr w:type="spellEnd"/>
      <w:r>
        <w:rPr>
          <w:rFonts w:ascii="Times New Roman" w:hAnsi="Times New Roman"/>
          <w:i/>
          <w:iCs/>
        </w:rPr>
        <w:t xml:space="preserve"> one</w:t>
      </w:r>
      <w:r>
        <w:rPr>
          <w:rFonts w:ascii="Times New Roman" w:hAnsi="Times New Roman"/>
        </w:rPr>
        <w:t>, </w:t>
      </w:r>
      <w:r>
        <w:rPr>
          <w:rFonts w:ascii="Times New Roman" w:hAnsi="Times New Roman"/>
          <w:i/>
          <w:iCs/>
        </w:rPr>
        <w:t>17</w:t>
      </w:r>
      <w:r>
        <w:rPr>
          <w:rFonts w:ascii="Times New Roman" w:hAnsi="Times New Roman"/>
        </w:rPr>
        <w:t>(2), e0263734.</w:t>
      </w:r>
    </w:p>
    <w:p w14:paraId="485C387C" w14:textId="77777777" w:rsidR="00561911" w:rsidRDefault="004675C3">
      <w:pPr>
        <w:pStyle w:val="ListParagraph"/>
        <w:spacing w:before="120" w:after="120" w:line="240" w:lineRule="auto"/>
        <w:ind w:hanging="720"/>
        <w:jc w:val="both"/>
        <w:rPr>
          <w:rFonts w:ascii="Times New Roman" w:hAnsi="Times New Roman"/>
          <w:color w:val="222222"/>
          <w:shd w:val="clear" w:color="auto" w:fill="FFFFFF"/>
        </w:rPr>
      </w:pPr>
      <w:r>
        <w:rPr>
          <w:rFonts w:ascii="Times New Roman" w:hAnsi="Times New Roman"/>
          <w:color w:val="222222"/>
          <w:shd w:val="clear" w:color="auto" w:fill="FFFFFF"/>
        </w:rPr>
        <w:t xml:space="preserve">Ramoutar, L., &amp; Hampton, L. (2024). Exploring special guardianship: experiences of </w:t>
      </w:r>
      <w:r>
        <w:rPr>
          <w:rFonts w:ascii="Times New Roman" w:hAnsi="Times New Roman"/>
          <w:color w:val="222222"/>
          <w:shd w:val="clear" w:color="auto" w:fill="FFFFFF"/>
        </w:rPr>
        <w:t>school belonging from the perspectives of the young people, guardians, and designated teachers. </w:t>
      </w:r>
      <w:r>
        <w:rPr>
          <w:rFonts w:ascii="Times New Roman" w:hAnsi="Times New Roman"/>
          <w:i/>
          <w:iCs/>
          <w:color w:val="222222"/>
          <w:shd w:val="clear" w:color="auto" w:fill="FFFFFF"/>
        </w:rPr>
        <w:t>Educational Psychology in Practice</w:t>
      </w:r>
      <w:r>
        <w:rPr>
          <w:rFonts w:ascii="Times New Roman" w:hAnsi="Times New Roman"/>
          <w:color w:val="222222"/>
          <w:shd w:val="clear" w:color="auto" w:fill="FFFFFF"/>
        </w:rPr>
        <w:t>, </w:t>
      </w:r>
      <w:r>
        <w:rPr>
          <w:rFonts w:ascii="Times New Roman" w:hAnsi="Times New Roman"/>
          <w:i/>
          <w:iCs/>
          <w:color w:val="222222"/>
          <w:shd w:val="clear" w:color="auto" w:fill="FFFFFF"/>
        </w:rPr>
        <w:t>40</w:t>
      </w:r>
      <w:r>
        <w:rPr>
          <w:rFonts w:ascii="Times New Roman" w:hAnsi="Times New Roman"/>
          <w:color w:val="222222"/>
          <w:shd w:val="clear" w:color="auto" w:fill="FFFFFF"/>
        </w:rPr>
        <w:t>(3), 279-302.</w:t>
      </w:r>
    </w:p>
    <w:p w14:paraId="14EFB9DA" w14:textId="77777777" w:rsidR="00561911" w:rsidRDefault="004675C3">
      <w:pPr>
        <w:pStyle w:val="ListParagraph"/>
        <w:spacing w:before="120" w:after="120" w:line="240" w:lineRule="auto"/>
        <w:ind w:hanging="720"/>
        <w:jc w:val="both"/>
        <w:rPr>
          <w:rFonts w:ascii="Times New Roman" w:hAnsi="Times New Roman"/>
          <w:color w:val="222222"/>
          <w:shd w:val="clear" w:color="auto" w:fill="FFFFFF"/>
        </w:rPr>
      </w:pPr>
      <w:r>
        <w:rPr>
          <w:rFonts w:ascii="Times New Roman" w:hAnsi="Times New Roman"/>
          <w:color w:val="222222"/>
          <w:shd w:val="clear" w:color="auto" w:fill="FFFFFF"/>
        </w:rPr>
        <w:t>Rumjaun, A., &amp; Narod, F. (2025). Social learning theory—albert bandura. In </w:t>
      </w:r>
      <w:r>
        <w:rPr>
          <w:rFonts w:ascii="Times New Roman" w:hAnsi="Times New Roman"/>
          <w:i/>
          <w:iCs/>
          <w:color w:val="222222"/>
          <w:shd w:val="clear" w:color="auto" w:fill="FFFFFF"/>
        </w:rPr>
        <w:t>Science education in theory and p</w:t>
      </w:r>
      <w:r>
        <w:rPr>
          <w:rFonts w:ascii="Times New Roman" w:hAnsi="Times New Roman"/>
          <w:i/>
          <w:iCs/>
          <w:color w:val="222222"/>
          <w:shd w:val="clear" w:color="auto" w:fill="FFFFFF"/>
        </w:rPr>
        <w:t>ractice: An introductory guide to learning theory</w:t>
      </w:r>
      <w:r>
        <w:rPr>
          <w:rFonts w:ascii="Times New Roman" w:hAnsi="Times New Roman"/>
          <w:color w:val="222222"/>
          <w:shd w:val="clear" w:color="auto" w:fill="FFFFFF"/>
        </w:rPr>
        <w:t> (pp. 65-82). Cham: Springer Nature Switzerland.</w:t>
      </w:r>
    </w:p>
    <w:p w14:paraId="4BB99AA4"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lastRenderedPageBreak/>
        <w:t>Rumjaun, A., &amp; Narod, F. (2025). Social learning theory—albert bandura. In </w:t>
      </w:r>
      <w:r>
        <w:rPr>
          <w:rFonts w:ascii="Times New Roman" w:hAnsi="Times New Roman"/>
          <w:i/>
          <w:iCs/>
        </w:rPr>
        <w:t>Science education in theory and practice: An introductory guide to learning theory</w:t>
      </w:r>
      <w:r>
        <w:rPr>
          <w:rFonts w:ascii="Times New Roman" w:hAnsi="Times New Roman"/>
        </w:rPr>
        <w:t> (pp. 65-82). Cham: Springer Nature Switzerland.</w:t>
      </w:r>
    </w:p>
    <w:p w14:paraId="2A6E5321"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Senyagwa</w:t>
      </w:r>
      <w:proofErr w:type="spellEnd"/>
      <w:r>
        <w:rPr>
          <w:rFonts w:ascii="Times New Roman" w:hAnsi="Times New Roman"/>
        </w:rPr>
        <w:t>, N. A. (2021). </w:t>
      </w:r>
      <w:r>
        <w:rPr>
          <w:rFonts w:ascii="Times New Roman" w:hAnsi="Times New Roman"/>
          <w:i/>
          <w:iCs/>
        </w:rPr>
        <w:t>The Challenges of Teaching, and Learning in Large Class Size in Public Primary Schools: The Case of Ilala Municipality-Tanzania</w:t>
      </w:r>
      <w:r>
        <w:rPr>
          <w:rFonts w:ascii="Times New Roman" w:hAnsi="Times New Roman"/>
        </w:rPr>
        <w:t> (Doctoral dissertation, The Open University of Tanzania</w:t>
      </w:r>
      <w:r>
        <w:rPr>
          <w:rFonts w:ascii="Times New Roman" w:hAnsi="Times New Roman"/>
        </w:rPr>
        <w:t>).</w:t>
      </w:r>
    </w:p>
    <w:p w14:paraId="6577F2C0"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 xml:space="preserve">Thornberg, R., Forsberg, C., Hammar Chiriac, E., &amp; </w:t>
      </w:r>
      <w:proofErr w:type="spellStart"/>
      <w:r>
        <w:rPr>
          <w:rFonts w:ascii="Times New Roman" w:hAnsi="Times New Roman"/>
        </w:rPr>
        <w:t>Bjereld</w:t>
      </w:r>
      <w:proofErr w:type="spellEnd"/>
      <w:r>
        <w:rPr>
          <w:rFonts w:ascii="Times New Roman" w:hAnsi="Times New Roman"/>
        </w:rPr>
        <w:t>, Y. (2022). Teacher–student relationship quality and student engagement: A sequential explanatory mixed-methods study. </w:t>
      </w:r>
      <w:r>
        <w:rPr>
          <w:rFonts w:ascii="Times New Roman" w:hAnsi="Times New Roman"/>
          <w:i/>
          <w:iCs/>
        </w:rPr>
        <w:t>Research papers in education</w:t>
      </w:r>
      <w:r>
        <w:rPr>
          <w:rFonts w:ascii="Times New Roman" w:hAnsi="Times New Roman"/>
        </w:rPr>
        <w:t>, </w:t>
      </w:r>
      <w:r>
        <w:rPr>
          <w:rFonts w:ascii="Times New Roman" w:hAnsi="Times New Roman"/>
          <w:i/>
          <w:iCs/>
        </w:rPr>
        <w:t>37</w:t>
      </w:r>
      <w:r>
        <w:rPr>
          <w:rFonts w:ascii="Times New Roman" w:hAnsi="Times New Roman"/>
        </w:rPr>
        <w:t>(6), 840-859.</w:t>
      </w:r>
    </w:p>
    <w:p w14:paraId="45A8A0D1"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Wassaaka</w:t>
      </w:r>
      <w:proofErr w:type="spellEnd"/>
      <w:r>
        <w:rPr>
          <w:rFonts w:ascii="Times New Roman" w:hAnsi="Times New Roman"/>
        </w:rPr>
        <w:t>, Y. (2019). </w:t>
      </w:r>
      <w:r>
        <w:rPr>
          <w:rFonts w:ascii="Times New Roman" w:hAnsi="Times New Roman"/>
          <w:i/>
          <w:iCs/>
        </w:rPr>
        <w:t>Parental</w:t>
      </w:r>
      <w:r>
        <w:rPr>
          <w:rFonts w:ascii="Times New Roman" w:hAnsi="Times New Roman"/>
          <w:i/>
          <w:iCs/>
        </w:rPr>
        <w:t xml:space="preserve"> involvement and secondary school students’ academic performance in </w:t>
      </w:r>
      <w:proofErr w:type="spellStart"/>
      <w:r>
        <w:rPr>
          <w:rFonts w:ascii="Times New Roman" w:hAnsi="Times New Roman"/>
          <w:i/>
          <w:iCs/>
        </w:rPr>
        <w:t>Mpigi</w:t>
      </w:r>
      <w:proofErr w:type="spellEnd"/>
      <w:r>
        <w:rPr>
          <w:rFonts w:ascii="Times New Roman" w:hAnsi="Times New Roman"/>
          <w:i/>
          <w:iCs/>
        </w:rPr>
        <w:t xml:space="preserve"> town council, </w:t>
      </w:r>
      <w:proofErr w:type="spellStart"/>
      <w:r>
        <w:rPr>
          <w:rFonts w:ascii="Times New Roman" w:hAnsi="Times New Roman"/>
          <w:i/>
          <w:iCs/>
        </w:rPr>
        <w:t>Mpigi</w:t>
      </w:r>
      <w:proofErr w:type="spellEnd"/>
      <w:r>
        <w:rPr>
          <w:rFonts w:ascii="Times New Roman" w:hAnsi="Times New Roman"/>
          <w:i/>
          <w:iCs/>
        </w:rPr>
        <w:t xml:space="preserve"> district, Uganda</w:t>
      </w:r>
      <w:r>
        <w:rPr>
          <w:rFonts w:ascii="Times New Roman" w:hAnsi="Times New Roman"/>
        </w:rPr>
        <w:t> (Doctoral dissertation, Kampala International University).</w:t>
      </w:r>
    </w:p>
    <w:p w14:paraId="712E4F6F"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Xing, Z. (2023). Explore How Family Factors Affect Students’ Academic Performance-Base</w:t>
      </w:r>
      <w:r>
        <w:rPr>
          <w:rFonts w:ascii="Times New Roman" w:hAnsi="Times New Roman"/>
        </w:rPr>
        <w:t>d on Literature Analysis. </w:t>
      </w:r>
      <w:r>
        <w:rPr>
          <w:rFonts w:ascii="Times New Roman" w:hAnsi="Times New Roman"/>
          <w:i/>
          <w:iCs/>
        </w:rPr>
        <w:t>Journal of Education, Humanities and Social Sciences</w:t>
      </w:r>
      <w:r>
        <w:rPr>
          <w:rFonts w:ascii="Times New Roman" w:hAnsi="Times New Roman"/>
        </w:rPr>
        <w:t>, </w:t>
      </w:r>
      <w:r>
        <w:rPr>
          <w:rFonts w:ascii="Times New Roman" w:hAnsi="Times New Roman"/>
          <w:i/>
          <w:iCs/>
        </w:rPr>
        <w:t>10</w:t>
      </w:r>
      <w:r>
        <w:rPr>
          <w:rFonts w:ascii="Times New Roman" w:hAnsi="Times New Roman"/>
        </w:rPr>
        <w:t>, 91-98.</w:t>
      </w:r>
    </w:p>
    <w:sectPr w:rsidR="005619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2589C" w14:textId="77777777" w:rsidR="004675C3" w:rsidRDefault="004675C3">
      <w:pPr>
        <w:spacing w:after="0" w:line="240" w:lineRule="auto"/>
      </w:pPr>
      <w:r>
        <w:separator/>
      </w:r>
    </w:p>
  </w:endnote>
  <w:endnote w:type="continuationSeparator" w:id="0">
    <w:p w14:paraId="23476681" w14:textId="77777777" w:rsidR="004675C3" w:rsidRDefault="0046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0D1D" w14:textId="77777777" w:rsidR="00D14E93" w:rsidRDefault="00D1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C010" w14:textId="77777777" w:rsidR="00561911" w:rsidRDefault="004675C3">
    <w:pPr>
      <w:pStyle w:val="Footer"/>
      <w:jc w:val="center"/>
    </w:pPr>
    <w:r>
      <w:fldChar w:fldCharType="begin"/>
    </w:r>
    <w:r>
      <w:instrText xml:space="preserve"> PAGE   \* MERGEFORMAT </w:instrText>
    </w:r>
    <w:r>
      <w:fldChar w:fldCharType="separate"/>
    </w:r>
    <w:r>
      <w:rPr>
        <w:noProof/>
      </w:rPr>
      <w:t>11</w:t>
    </w:r>
    <w:r>
      <w:rPr>
        <w:noProof/>
      </w:rPr>
      <w:fldChar w:fldCharType="end"/>
    </w:r>
  </w:p>
  <w:p w14:paraId="3F60CF66" w14:textId="77777777" w:rsidR="00561911" w:rsidRDefault="00561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A6FB" w14:textId="77777777" w:rsidR="00D14E93" w:rsidRDefault="00D1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36E22" w14:textId="77777777" w:rsidR="004675C3" w:rsidRDefault="004675C3">
      <w:pPr>
        <w:spacing w:after="0" w:line="240" w:lineRule="auto"/>
      </w:pPr>
      <w:r>
        <w:separator/>
      </w:r>
    </w:p>
  </w:footnote>
  <w:footnote w:type="continuationSeparator" w:id="0">
    <w:p w14:paraId="72FA0FE1" w14:textId="77777777" w:rsidR="004675C3" w:rsidRDefault="00467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FD3F" w14:textId="37C15CD1" w:rsidR="00D14E93" w:rsidRDefault="00D14E93">
    <w:pPr>
      <w:pStyle w:val="Header"/>
    </w:pPr>
    <w:r>
      <w:rPr>
        <w:noProof/>
      </w:rPr>
      <w:pict w14:anchorId="6494B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27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1A05" w14:textId="30C905B6" w:rsidR="00D14E93" w:rsidRDefault="00D14E93">
    <w:pPr>
      <w:pStyle w:val="Header"/>
    </w:pPr>
    <w:r>
      <w:rPr>
        <w:noProof/>
      </w:rPr>
      <w:pict w14:anchorId="6F913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27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5963" w14:textId="04DA1101" w:rsidR="00D14E93" w:rsidRDefault="00D14E93">
    <w:pPr>
      <w:pStyle w:val="Header"/>
    </w:pPr>
    <w:r>
      <w:rPr>
        <w:noProof/>
      </w:rPr>
      <w:pict w14:anchorId="5B707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27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FFFFFFFF"/>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0000006"/>
    <w:multiLevelType w:val="multilevel"/>
    <w:tmpl w:val="FFFFFFFF"/>
    <w:lvl w:ilvl="0">
      <w:start w:val="7"/>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0000000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0000008"/>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0000009"/>
    <w:multiLevelType w:val="multilevel"/>
    <w:tmpl w:val="F0C086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FFFFFFFF"/>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6D0D60B5"/>
    <w:multiLevelType w:val="multilevel"/>
    <w:tmpl w:val="FFFFFFFF"/>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0"/>
  </w:num>
  <w:num w:numId="3">
    <w:abstractNumId w:val="10"/>
  </w:num>
  <w:num w:numId="4">
    <w:abstractNumId w:val="9"/>
  </w:num>
  <w:num w:numId="5">
    <w:abstractNumId w:val="7"/>
  </w:num>
  <w:num w:numId="6">
    <w:abstractNumId w:val="5"/>
  </w:num>
  <w:num w:numId="7">
    <w:abstractNumId w:val="3"/>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911"/>
    <w:rsid w:val="000C4EE8"/>
    <w:rsid w:val="00172E37"/>
    <w:rsid w:val="0017681B"/>
    <w:rsid w:val="00371111"/>
    <w:rsid w:val="00396E26"/>
    <w:rsid w:val="004675C3"/>
    <w:rsid w:val="00473E16"/>
    <w:rsid w:val="00561911"/>
    <w:rsid w:val="005662DF"/>
    <w:rsid w:val="005A4204"/>
    <w:rsid w:val="006A1FFD"/>
    <w:rsid w:val="007D5574"/>
    <w:rsid w:val="008A41C9"/>
    <w:rsid w:val="00A10D4A"/>
    <w:rsid w:val="00A8553C"/>
    <w:rsid w:val="00AD2808"/>
    <w:rsid w:val="00B3396F"/>
    <w:rsid w:val="00D14E93"/>
    <w:rsid w:val="00E462B0"/>
    <w:rsid w:val="00F5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13CBEF0"/>
  <w15:docId w15:val="{9511F2C4-B09C-44B1-A758-26C2B63E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rFonts w:cs="Times New Roman"/>
      <w:i/>
      <w:iCs/>
      <w:color w:val="404040"/>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rFonts w:cs="Times New Roman"/>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rFonts w:cs="Times New Roman"/>
      <w:i/>
      <w:iCs/>
      <w:color w:val="2F5496"/>
    </w:rPr>
  </w:style>
  <w:style w:type="character" w:styleId="IntenseReference">
    <w:name w:val="Intense Reference"/>
    <w:basedOn w:val="DefaultParagraphFont"/>
    <w:uiPriority w:val="32"/>
    <w:qFormat/>
    <w:rPr>
      <w:rFonts w:cs="Times New Roman"/>
      <w:b/>
      <w:bCs/>
      <w:smallCaps/>
      <w:color w:val="2F5496"/>
      <w:spacing w:val="5"/>
    </w:rPr>
  </w:style>
  <w:style w:type="character" w:styleId="Hyperlink">
    <w:name w:val="Hyperlink"/>
    <w:basedOn w:val="DefaultParagraphFont"/>
    <w:uiPriority w:val="99"/>
    <w:rPr>
      <w:rFonts w:cs="Times New Roman"/>
      <w:color w:val="0000FF"/>
      <w:u w:val="single"/>
    </w:rPr>
  </w:style>
  <w:style w:type="character" w:customStyle="1" w:styleId="ListParagraphChar">
    <w:name w:val="List Paragraph Char"/>
    <w:link w:val="ListParagraph"/>
    <w:uiPriority w:val="34"/>
    <w:qFormat/>
  </w:style>
  <w:style w:type="character" w:customStyle="1" w:styleId="UnresolvedMention1">
    <w:name w:val="Unresolved Mention1"/>
    <w:basedOn w:val="DefaultParagraphFont"/>
    <w:uiPriority w:val="99"/>
    <w:rPr>
      <w:rFonts w:cs="Times New Roman"/>
      <w:color w:val="605E5C"/>
      <w:shd w:val="clear" w:color="auto" w:fill="E1DFDD"/>
    </w:rPr>
  </w:style>
  <w:style w:type="table" w:styleId="TableGrid">
    <w:name w:val="Table Grid"/>
    <w:basedOn w:val="TableNormal"/>
    <w:uiPriority w:val="39"/>
    <w:pPr>
      <w:spacing w:after="0" w:line="240" w:lineRule="auto"/>
    </w:pPr>
    <w:rPr>
      <w:rFonts w:cs="Arial"/>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Pr>
      <w:rFonts w:cs="Times New Roman"/>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Revision">
    <w:name w:val="Revision"/>
    <w:hidden/>
    <w:uiPriority w:val="99"/>
    <w:semiHidden/>
    <w:rsid w:val="005A4204"/>
    <w:pPr>
      <w:spacing w:after="0" w:line="240" w:lineRule="auto"/>
    </w:pPr>
    <w:rPr>
      <w:rFonts w:cs="Times New Roman"/>
    </w:rPr>
  </w:style>
  <w:style w:type="character" w:styleId="UnresolvedMention">
    <w:name w:val="Unresolved Mention"/>
    <w:basedOn w:val="DefaultParagraphFont"/>
    <w:uiPriority w:val="99"/>
    <w:semiHidden/>
    <w:unhideWhenUsed/>
    <w:rsid w:val="005A4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2962</TotalTime>
  <Pages>12</Pages>
  <Words>5464</Words>
  <Characters>31151</Characters>
  <Application>Microsoft Office Word</Application>
  <DocSecurity>0</DocSecurity>
  <Lines>259</Lines>
  <Paragraphs>73</Paragraphs>
  <ScaleCrop>false</ScaleCrop>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SDI 1084</cp:lastModifiedBy>
  <cp:revision>55</cp:revision>
  <dcterms:created xsi:type="dcterms:W3CDTF">2025-07-30T06:54:00Z</dcterms:created>
  <dcterms:modified xsi:type="dcterms:W3CDTF">2025-10-21T05:46:00Z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2562a1f7-de4f-4f01-b3e1-de1c9d9a8758</vt:lpwstr>
  </property>
  <property fmtid="{D5CDD505-2E9C-101B-9397-08002B2CF9AE}" pid="3" name="ICV">
    <vt:lpwstr>07ecc1b049a143b68a136a1d1d81e333</vt:lpwstr>
  </property>
</Properties>
</file>