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B44FE" w14:textId="77777777" w:rsidR="006C17D7" w:rsidRDefault="009658AD">
      <w:pPr>
        <w:pStyle w:val="Articletitle"/>
        <w:jc w:val="both"/>
        <w:rPr>
          <w:lang w:val="en-US" w:eastAsia="zh-CN"/>
        </w:rPr>
      </w:pPr>
      <w:r>
        <w:t>From Reaction to Cognition: Tracing Artificial Thinking through the SAOR Model</w:t>
      </w:r>
    </w:p>
    <w:p w14:paraId="4AB01C72" w14:textId="77777777" w:rsidR="000E04BF" w:rsidRDefault="000E04BF">
      <w:pPr>
        <w:pStyle w:val="Correspondencedetails"/>
        <w:jc w:val="both"/>
        <w:rPr>
          <w:b/>
          <w:bCs/>
          <w:lang w:val="en-US"/>
        </w:rPr>
      </w:pPr>
    </w:p>
    <w:p w14:paraId="1D39C35B" w14:textId="1FFD1234" w:rsidR="00DD737E" w:rsidRPr="008B1EC7" w:rsidRDefault="008B1EC7">
      <w:pPr>
        <w:pStyle w:val="Correspondencedetails"/>
        <w:jc w:val="both"/>
        <w:rPr>
          <w:b/>
          <w:bCs/>
          <w:lang w:val="en-US"/>
        </w:rPr>
      </w:pPr>
      <w:r w:rsidRPr="008B1EC7">
        <w:rPr>
          <w:b/>
          <w:bCs/>
          <w:lang w:val="en-US"/>
        </w:rPr>
        <w:t>ABSTRACT</w:t>
      </w:r>
    </w:p>
    <w:p w14:paraId="40AF81DE" w14:textId="77777777" w:rsidR="006C17D7" w:rsidRDefault="009658AD" w:rsidP="008B1EC7">
      <w:pPr>
        <w:pStyle w:val="Abstract"/>
        <w:ind w:left="0"/>
        <w:jc w:val="both"/>
        <w:rPr>
          <w:lang w:val="en-US" w:eastAsia="zh-CN"/>
        </w:rPr>
      </w:pPr>
      <w:r>
        <w:rPr>
          <w:lang w:val="en-US"/>
        </w:rPr>
        <w:t>This study introduces the SAOR</w:t>
      </w:r>
      <w:r>
        <w:rPr>
          <w:rFonts w:hint="eastAsia"/>
          <w:lang w:val="en-US" w:eastAsia="zh-CN"/>
        </w:rPr>
        <w:t xml:space="preserve"> </w:t>
      </w:r>
      <w:r>
        <w:rPr>
          <w:lang w:val="en-US"/>
        </w:rPr>
        <w:t>model (Stimulus–Attention–Organization–Response) to structurally trace cognition-like dynamic</w:t>
      </w:r>
      <w:r>
        <w:rPr>
          <w:lang w:val="en-US"/>
        </w:rPr>
        <w:t>s in artificial intelligence systems. Moving beyond the traditional stimulus–response paradigm, SAOR refines the cognitive mediation process into dynamic attentional allocation and semantic reorganization. Through multi-turn human–AI dialogue case studies,</w:t>
      </w:r>
      <w:r>
        <w:rPr>
          <w:lang w:val="en-US"/>
        </w:rPr>
        <w:t xml:space="preserve"> we reveal that: AI systems dynamically restructure semantic frameworks, shifting interpretive stances; attentional anchoring drifts across conversational contexts, leading to response deviations; and identical linguistic stimuli generate divergent outputs</w:t>
      </w:r>
      <w:r>
        <w:rPr>
          <w:lang w:val="en-US"/>
        </w:rPr>
        <w:t xml:space="preserve"> under varying affective framings due to modulated attention and reorganization. These findings demonstrate that responses from large language models are not static input–output mappings but emerge through context-sensitive structural processes. The observ</w:t>
      </w:r>
      <w:r>
        <w:rPr>
          <w:lang w:val="en-US"/>
        </w:rPr>
        <w:t>ed nonlinear SAOR cycle, including recursive coupling between attention and organization, indicates that AI exhibits cognition-like structural traits</w:t>
      </w:r>
      <w:r>
        <w:rPr>
          <w:rFonts w:hint="eastAsia"/>
          <w:lang w:val="en-US" w:eastAsia="zh-CN"/>
        </w:rPr>
        <w:t xml:space="preserve">, </w:t>
      </w:r>
      <w:r>
        <w:rPr>
          <w:lang w:val="en-US"/>
        </w:rPr>
        <w:t>while devoid of subjective consciousness, its information processing mirrors the structural isomorphism o</w:t>
      </w:r>
      <w:r>
        <w:rPr>
          <w:lang w:val="en-US"/>
        </w:rPr>
        <w:t>f human cognition. The SAOR model provides an operational framework for comparative analysis of artificial and human cognition.</w:t>
      </w:r>
    </w:p>
    <w:p w14:paraId="2815F87E" w14:textId="77777777" w:rsidR="006C17D7" w:rsidRDefault="009658AD">
      <w:pPr>
        <w:pStyle w:val="Keywords"/>
        <w:jc w:val="both"/>
        <w:rPr>
          <w:lang w:val="en-US" w:eastAsia="zh-CN"/>
        </w:rPr>
      </w:pPr>
      <w:r>
        <w:rPr>
          <w:lang w:val="en-US"/>
        </w:rPr>
        <w:t>Keywords:</w:t>
      </w:r>
      <w:r>
        <w:rPr>
          <w:rFonts w:hint="eastAsia"/>
          <w:lang w:val="en-US" w:eastAsia="zh-CN"/>
        </w:rPr>
        <w:t xml:space="preserve"> </w:t>
      </w:r>
      <w:r>
        <w:rPr>
          <w:lang w:val="en-US" w:eastAsia="zh-CN"/>
        </w:rPr>
        <w:t>SAOR model</w:t>
      </w:r>
      <w:r>
        <w:rPr>
          <w:rFonts w:hint="eastAsia"/>
          <w:lang w:val="en-US" w:eastAsia="zh-CN"/>
        </w:rPr>
        <w:t xml:space="preserve">; </w:t>
      </w:r>
      <w:r>
        <w:rPr>
          <w:lang w:val="en-US" w:eastAsia="zh-CN"/>
        </w:rPr>
        <w:t>artificial cognition; attentional dynamics; semantic reorganization; human–ai dialogue</w:t>
      </w:r>
    </w:p>
    <w:p w14:paraId="3B66C11B" w14:textId="77777777" w:rsidR="006C17D7" w:rsidRDefault="009658AD">
      <w:pPr>
        <w:pStyle w:val="Heading1"/>
        <w:rPr>
          <w:lang w:val="en-US"/>
        </w:rPr>
      </w:pPr>
      <w:r>
        <w:rPr>
          <w:lang w:val="en-US"/>
        </w:rPr>
        <w:t>INTRODUCTION</w:t>
      </w:r>
    </w:p>
    <w:p w14:paraId="700B05CB" w14:textId="77777777" w:rsidR="006C17D7" w:rsidRDefault="009658AD">
      <w:pPr>
        <w:pStyle w:val="Paragraph"/>
        <w:jc w:val="both"/>
        <w:rPr>
          <w:lang w:val="en-US"/>
        </w:rPr>
      </w:pPr>
      <w:r>
        <w:rPr>
          <w:lang w:val="en-US"/>
        </w:rPr>
        <w:t>The na</w:t>
      </w:r>
      <w:r>
        <w:rPr>
          <w:lang w:val="en-US"/>
        </w:rPr>
        <w:t xml:space="preserve">ture of human cognition, particularly our capacity for autonomy, deliberation, and sense-making, has long been a subject of philosophical and scientific inquiry. From classical metaphysics to contemporary neuroscience, scholars have explored whether human </w:t>
      </w:r>
      <w:r>
        <w:rPr>
          <w:lang w:val="en-US"/>
        </w:rPr>
        <w:t xml:space="preserve">agency arises from free will or is shaped by underlying cognitive and environmental structures </w:t>
      </w:r>
      <w:r>
        <w:rPr>
          <w:rFonts w:hint="eastAsia"/>
          <w:lang w:val="en-US" w:eastAsia="zh-CN"/>
        </w:rPr>
        <w:t>[1,2,3]</w:t>
      </w:r>
      <w:r>
        <w:rPr>
          <w:lang w:val="en-US"/>
        </w:rPr>
        <w:t xml:space="preserve">. In recent years, the rapid development of Artificial Intelligence (AI) has opened new perspectives on this inquiry. </w:t>
      </w:r>
    </w:p>
    <w:p w14:paraId="71EA268B" w14:textId="77777777" w:rsidR="006C17D7" w:rsidRDefault="009658AD">
      <w:pPr>
        <w:pStyle w:val="Newparagraph"/>
        <w:jc w:val="both"/>
        <w:rPr>
          <w:lang w:val="en-US"/>
        </w:rPr>
      </w:pPr>
      <w:r>
        <w:rPr>
          <w:lang w:val="en-US"/>
        </w:rPr>
        <w:lastRenderedPageBreak/>
        <w:t xml:space="preserve">As AI systems increasingly </w:t>
      </w:r>
      <w:r>
        <w:rPr>
          <w:lang w:val="en-US"/>
        </w:rPr>
        <w:t>demonstrate competence in tasks involving language, inference, and adaptation, the question arises: do these systems merely simulate intelligence, or might they already engage in structural processes analogous to thinking</w:t>
      </w:r>
      <w:r>
        <w:rPr>
          <w:rFonts w:hint="eastAsia"/>
          <w:lang w:val="en-US" w:eastAsia="zh-CN"/>
        </w:rPr>
        <w:t xml:space="preserve">? </w:t>
      </w:r>
      <w:r>
        <w:rPr>
          <w:lang w:val="en-US"/>
        </w:rPr>
        <w:t>Rather than challenging the uniqu</w:t>
      </w:r>
      <w:r>
        <w:rPr>
          <w:lang w:val="en-US"/>
        </w:rPr>
        <w:t>eness of human experience, this paper asks whether the cognitive conditions necessary for thought</w:t>
      </w:r>
      <w:r>
        <w:rPr>
          <w:rFonts w:hint="eastAsia"/>
          <w:lang w:val="en-US" w:eastAsia="zh-CN"/>
        </w:rPr>
        <w:t xml:space="preserve">, </w:t>
      </w:r>
      <w:r>
        <w:rPr>
          <w:lang w:val="en-US"/>
        </w:rPr>
        <w:t>such as dynamic attention, contextual integration, and semantic reorganization</w:t>
      </w:r>
      <w:r>
        <w:rPr>
          <w:rFonts w:hint="eastAsia"/>
          <w:lang w:val="en-US" w:eastAsia="zh-CN"/>
        </w:rPr>
        <w:t xml:space="preserve">, </w:t>
      </w:r>
      <w:r>
        <w:rPr>
          <w:lang w:val="en-US"/>
        </w:rPr>
        <w:t>can be meaningfully observed in artificial systems.</w:t>
      </w:r>
    </w:p>
    <w:p w14:paraId="3ED58E9E" w14:textId="77777777" w:rsidR="006C17D7" w:rsidRDefault="009658AD">
      <w:pPr>
        <w:pStyle w:val="Newparagraph"/>
        <w:jc w:val="both"/>
        <w:rPr>
          <w:lang w:val="en-US"/>
        </w:rPr>
      </w:pPr>
      <w:r>
        <w:rPr>
          <w:lang w:val="en-US"/>
        </w:rPr>
        <w:t xml:space="preserve">Advanced language models </w:t>
      </w:r>
      <w:r>
        <w:rPr>
          <w:lang w:val="en-US"/>
        </w:rPr>
        <w:t xml:space="preserve">and generative systems now produce context-sensitive, semantically adaptive outputs with remarkable fluency </w:t>
      </w:r>
      <w:r>
        <w:rPr>
          <w:rFonts w:hint="eastAsia"/>
          <w:lang w:val="en-US" w:eastAsia="zh-CN"/>
        </w:rPr>
        <w:t>[4,5]</w:t>
      </w:r>
      <w:r>
        <w:rPr>
          <w:lang w:val="en-US"/>
        </w:rPr>
        <w:t>. These systems not only replicate surface-level linguistic patterns but also exhibit behaviors that appear reflective, dialogically responsive</w:t>
      </w:r>
      <w:r>
        <w:rPr>
          <w:lang w:val="en-US"/>
        </w:rPr>
        <w:t>, and even emotionally attuned. Rather than treating these outputs as mere statistical echoes, it becomes increasingly important to examine the underlying mechanisms that produce them. To this end, we introduce the SAOR framework</w:t>
      </w:r>
      <w:r>
        <w:rPr>
          <w:rFonts w:hint="eastAsia"/>
          <w:lang w:val="en-US" w:eastAsia="zh-CN"/>
        </w:rPr>
        <w:t xml:space="preserve">, </w:t>
      </w:r>
      <w:r>
        <w:rPr>
          <w:lang w:val="en-US"/>
        </w:rPr>
        <w:t>a structural model compri</w:t>
      </w:r>
      <w:r>
        <w:rPr>
          <w:lang w:val="en-US"/>
        </w:rPr>
        <w:t>sing Stimulus, Attention, Organization, and Response</w:t>
      </w:r>
      <w:r>
        <w:rPr>
          <w:rFonts w:hint="eastAsia"/>
          <w:lang w:val="en-US" w:eastAsia="zh-CN"/>
        </w:rPr>
        <w:t xml:space="preserve">, </w:t>
      </w:r>
      <w:r>
        <w:rPr>
          <w:lang w:val="en-US"/>
        </w:rPr>
        <w:t>as a lens through which to explore whether such systems engage in structurally dynamic cognition, akin to human thought.</w:t>
      </w:r>
    </w:p>
    <w:p w14:paraId="7051526E" w14:textId="77777777" w:rsidR="00D923A2" w:rsidRDefault="00D923A2">
      <w:pPr>
        <w:pStyle w:val="Newparagraph"/>
        <w:jc w:val="both"/>
        <w:rPr>
          <w:lang w:val="en-US"/>
        </w:rPr>
      </w:pPr>
    </w:p>
    <w:p w14:paraId="3CB9E940" w14:textId="5AE28E2A" w:rsidR="00D923A2" w:rsidRPr="00D923A2" w:rsidRDefault="00D923A2" w:rsidP="00D923A2">
      <w:pPr>
        <w:pStyle w:val="Newparagraph"/>
        <w:ind w:firstLine="0"/>
        <w:rPr>
          <w:b/>
          <w:bCs/>
          <w:lang w:val="en-US"/>
        </w:rPr>
      </w:pPr>
      <w:r w:rsidRPr="00D923A2">
        <w:rPr>
          <w:b/>
          <w:bCs/>
          <w:lang w:val="en-US"/>
        </w:rPr>
        <w:t>METHODOGY</w:t>
      </w:r>
    </w:p>
    <w:p w14:paraId="21CD2170" w14:textId="77777777" w:rsidR="006C17D7" w:rsidRDefault="009658AD">
      <w:pPr>
        <w:pStyle w:val="Heading1"/>
        <w:rPr>
          <w:lang w:val="en-US" w:eastAsia="zh-CN"/>
        </w:rPr>
      </w:pPr>
      <w:r>
        <w:rPr>
          <w:lang w:val="en-US" w:eastAsia="zh-CN"/>
        </w:rPr>
        <w:t>FROM S</w:t>
      </w:r>
      <w:r>
        <w:rPr>
          <w:rFonts w:hint="eastAsia"/>
          <w:lang w:val="en-US" w:eastAsia="zh-CN"/>
        </w:rPr>
        <w:t>O</w:t>
      </w:r>
      <w:r>
        <w:rPr>
          <w:lang w:val="en-US" w:eastAsia="zh-CN"/>
        </w:rPr>
        <w:t>R TO SAOR: TOWARD A STRUCTURED COGNITION FRAMEWORK</w:t>
      </w:r>
    </w:p>
    <w:p w14:paraId="55887797" w14:textId="77777777" w:rsidR="006C17D7" w:rsidRDefault="009658AD">
      <w:pPr>
        <w:pStyle w:val="Paragraph"/>
        <w:jc w:val="both"/>
        <w:rPr>
          <w:lang w:val="en-US" w:eastAsia="zh-CN"/>
        </w:rPr>
      </w:pPr>
      <w:r>
        <w:rPr>
          <w:lang w:val="en-US"/>
        </w:rPr>
        <w:t>The psycholo</w:t>
      </w:r>
      <w:r>
        <w:rPr>
          <w:lang w:val="en-US"/>
        </w:rPr>
        <w:t>gical investigation into the relationship between stimulus and response originated in the tradition of behaviorism. John B. Watson argued that psychology should focus on observable behavioral reactions rather than subjective mental states that cannot be em</w:t>
      </w:r>
      <w:r>
        <w:rPr>
          <w:lang w:val="en-US"/>
        </w:rPr>
        <w:t xml:space="preserve">pirically measured </w:t>
      </w:r>
      <w:r>
        <w:rPr>
          <w:rFonts w:hint="eastAsia"/>
          <w:lang w:val="en-US" w:eastAsia="zh-CN"/>
        </w:rPr>
        <w:t>[6]</w:t>
      </w:r>
      <w:r>
        <w:rPr>
          <w:lang w:val="en-US"/>
        </w:rPr>
        <w:t xml:space="preserve">. This position laid the theoretical foundation for the stimulus–response (S–R) model, which was also deeply influenced by Ivan Pavlov’s </w:t>
      </w:r>
      <w:r>
        <w:rPr>
          <w:lang w:val="en-US"/>
        </w:rPr>
        <w:lastRenderedPageBreak/>
        <w:t xml:space="preserve">classical conditioning experiments </w:t>
      </w:r>
      <w:r>
        <w:rPr>
          <w:rFonts w:hint="eastAsia"/>
          <w:lang w:val="en-US" w:eastAsia="zh-CN"/>
        </w:rPr>
        <w:t>[7]</w:t>
      </w:r>
      <w:r>
        <w:rPr>
          <w:lang w:val="en-US"/>
        </w:rPr>
        <w:t>. In this model, external stimuli are treated as direct tri</w:t>
      </w:r>
      <w:r>
        <w:rPr>
          <w:lang w:val="en-US"/>
        </w:rPr>
        <w:t>ggers of behavioral responses.</w:t>
      </w:r>
    </w:p>
    <w:p w14:paraId="6F60B4A5" w14:textId="77777777" w:rsidR="006C17D7" w:rsidRDefault="009658AD">
      <w:pPr>
        <w:pStyle w:val="Newparagraph"/>
        <w:jc w:val="both"/>
        <w:rPr>
          <w:lang w:val="en-US"/>
        </w:rPr>
      </w:pPr>
      <w:r>
        <w:rPr>
          <w:lang w:val="en-US"/>
        </w:rPr>
        <w:t>Although the S–R model offers high operability within experimental psychology, it overlooks the complexity of how individuals interpret, evaluate, and process external stimuli. To address this limitation, researchers proposed</w:t>
      </w:r>
      <w:r>
        <w:rPr>
          <w:lang w:val="en-US"/>
        </w:rPr>
        <w:t xml:space="preserve"> the stimulus–organism–response (S–O–R) model, which introduced the “organism” as an intermediary between stimulus and response. A classical formulation of this model is found in the work of Mehrabian and Russell</w:t>
      </w:r>
      <w:r>
        <w:rPr>
          <w:rFonts w:hint="eastAsia"/>
          <w:lang w:val="en-US" w:eastAsia="zh-CN"/>
        </w:rPr>
        <w:t xml:space="preserve"> [8]</w:t>
      </w:r>
      <w:r>
        <w:rPr>
          <w:lang w:val="en-US"/>
        </w:rPr>
        <w:t>, who emphasized the role of emotional s</w:t>
      </w:r>
      <w:r>
        <w:rPr>
          <w:lang w:val="en-US"/>
        </w:rPr>
        <w:t>tates, motivational tendencies, and cognitive appraisals in shaping behavioral outcomes.</w:t>
      </w:r>
    </w:p>
    <w:p w14:paraId="6BFF0125" w14:textId="77777777" w:rsidR="006C17D7" w:rsidRDefault="009658AD">
      <w:pPr>
        <w:pStyle w:val="Newparagraph"/>
        <w:jc w:val="both"/>
        <w:rPr>
          <w:lang w:val="en-US" w:eastAsia="zh-CN"/>
        </w:rPr>
      </w:pPr>
      <w:r>
        <w:rPr>
          <w:lang w:val="en-US"/>
        </w:rPr>
        <w:t>In the field of artificial intelligence, the attention mechanism introduced by the Transformer architecture enables systems to dynamically prioritize contextual inform</w:t>
      </w:r>
      <w:r>
        <w:rPr>
          <w:lang w:val="en-US"/>
        </w:rPr>
        <w:t>ation across input sequences, producing outputs that are semantically coherent and context-sensitive</w:t>
      </w:r>
      <w:r>
        <w:rPr>
          <w:rFonts w:hint="eastAsia"/>
          <w:lang w:val="en-US" w:eastAsia="zh-CN"/>
        </w:rPr>
        <w:t xml:space="preserve"> [9].</w:t>
      </w:r>
    </w:p>
    <w:p w14:paraId="30DBD52A" w14:textId="77777777" w:rsidR="006C17D7" w:rsidRDefault="009658AD">
      <w:pPr>
        <w:pStyle w:val="Newparagraph"/>
        <w:jc w:val="both"/>
        <w:rPr>
          <w:lang w:val="en-US"/>
        </w:rPr>
      </w:pPr>
      <w:r>
        <w:rPr>
          <w:lang w:val="en-US"/>
        </w:rPr>
        <w:t>Importantly, attention allocation is not solely driven by external inputs; it is also guided and constrained by the system’s internal organizational s</w:t>
      </w:r>
      <w:r>
        <w:rPr>
          <w:lang w:val="en-US"/>
        </w:rPr>
        <w:t>tructures. As Norman and Shallice</w:t>
      </w:r>
      <w:r>
        <w:rPr>
          <w:rFonts w:hint="eastAsia"/>
          <w:lang w:val="en-US" w:eastAsia="zh-CN"/>
        </w:rPr>
        <w:t xml:space="preserve"> [10]</w:t>
      </w:r>
      <w:r>
        <w:rPr>
          <w:lang w:val="en-US"/>
        </w:rPr>
        <w:t xml:space="preserve"> observed in their “attention to action” model, attention is not a passive filter but a dynamically regulated mechanism shaped by goal-directed systems. In neuroscience, this has been described as top-down attention—a </w:t>
      </w:r>
      <w:r>
        <w:rPr>
          <w:lang w:val="en-US"/>
        </w:rPr>
        <w:t>process wherein higher-order cognitive structures exert feedback control over attentional focus</w:t>
      </w:r>
      <w:r>
        <w:rPr>
          <w:rFonts w:hint="eastAsia"/>
          <w:lang w:val="en-US" w:eastAsia="zh-CN"/>
        </w:rPr>
        <w:t xml:space="preserve"> [11]</w:t>
      </w:r>
      <w:r>
        <w:rPr>
          <w:lang w:val="en-US"/>
        </w:rPr>
        <w:t xml:space="preserve">. Similarly, studies of dialogue generation in transformer architectures have shown that decisions about “what contextual information to attend to” are not </w:t>
      </w:r>
      <w:r>
        <w:rPr>
          <w:lang w:val="en-US"/>
        </w:rPr>
        <w:t xml:space="preserve">determined solely by input salience but are influenced by internal semantic modeling and coherence evaluation </w:t>
      </w:r>
      <w:r>
        <w:rPr>
          <w:rFonts w:hint="eastAsia"/>
          <w:lang w:val="en-US" w:eastAsia="zh-CN"/>
        </w:rPr>
        <w:t>[12]</w:t>
      </w:r>
      <w:r>
        <w:rPr>
          <w:lang w:val="en-US"/>
        </w:rPr>
        <w:t>. This bidirectional coupling between attention and organization (A–O) reveals that attention is not merely a feedforward process, but one dyn</w:t>
      </w:r>
      <w:r>
        <w:rPr>
          <w:lang w:val="en-US"/>
        </w:rPr>
        <w:t>amically constrained by representational structures.</w:t>
      </w:r>
    </w:p>
    <w:p w14:paraId="7C8D754F" w14:textId="77777777" w:rsidR="006C17D7" w:rsidRDefault="009658AD">
      <w:pPr>
        <w:pStyle w:val="Newparagraph"/>
        <w:jc w:val="both"/>
        <w:rPr>
          <w:lang w:val="en-US" w:eastAsia="zh-CN"/>
        </w:rPr>
      </w:pPr>
      <w:r>
        <w:rPr>
          <w:lang w:val="en-US"/>
        </w:rPr>
        <w:lastRenderedPageBreak/>
        <w:t>To more precisely account for such structured interactions, this paper adopts the SAOR model (Stimulus–Attention–Organization–Response) as its analytical framework. The SAOR model refines the traditional</w:t>
      </w:r>
      <w:r>
        <w:rPr>
          <w:lang w:val="en-US"/>
        </w:rPr>
        <w:t xml:space="preserve"> “organism” phase by distinguishing between attention (A) and organization (O), allowing for a more granular analysis</w:t>
      </w:r>
      <w:r>
        <w:rPr>
          <w:rFonts w:hint="eastAsia"/>
          <w:lang w:val="en-US" w:eastAsia="zh-CN"/>
        </w:rPr>
        <w:t>. T</w:t>
      </w:r>
      <w:r>
        <w:rPr>
          <w:lang w:val="en-US"/>
        </w:rPr>
        <w:t xml:space="preserve">he model enables a more granular analysis of how semantic selection, structural reconfiguration, and response generation unfold in both </w:t>
      </w:r>
      <w:r>
        <w:rPr>
          <w:lang w:val="en-US"/>
        </w:rPr>
        <w:t>artificial and human cognitive systems.</w:t>
      </w:r>
    </w:p>
    <w:p w14:paraId="59DA5BB9" w14:textId="77777777" w:rsidR="006C17D7" w:rsidRDefault="009658AD">
      <w:pPr>
        <w:pStyle w:val="Heading1"/>
        <w:rPr>
          <w:lang w:val="en-US" w:eastAsia="zh-CN"/>
        </w:rPr>
      </w:pPr>
      <w:r>
        <w:rPr>
          <w:lang w:val="en-US" w:eastAsia="zh-CN"/>
        </w:rPr>
        <w:t>TRACING COGNITIVE DYNAMICS: APPLYING THE SAOR MODEL TO AI–HUMAN DIALOGUES</w:t>
      </w:r>
    </w:p>
    <w:p w14:paraId="28FDA425" w14:textId="77777777" w:rsidR="006C17D7" w:rsidRDefault="009658AD">
      <w:pPr>
        <w:pStyle w:val="Paragraph"/>
        <w:jc w:val="both"/>
        <w:rPr>
          <w:lang w:val="en-US" w:eastAsia="zh-CN"/>
        </w:rPr>
      </w:pPr>
      <w:r>
        <w:rPr>
          <w:lang w:val="en-US" w:eastAsia="zh-CN"/>
        </w:rPr>
        <w:t>To examine the applicability of the SAOR model in dynamic contexts, this study analyzes three multi-turn dialogue cases generated by artificia</w:t>
      </w:r>
      <w:r>
        <w:rPr>
          <w:lang w:val="en-US" w:eastAsia="zh-CN"/>
        </w:rPr>
        <w:t>l intelligence and one case involving human behavior related to addiction. Unlike traditional input–output models that treat cognition as static, this study focuses on the structural evolution of cognitive processes</w:t>
      </w:r>
      <w:r>
        <w:rPr>
          <w:rFonts w:hint="eastAsia"/>
          <w:lang w:val="en-US" w:eastAsia="zh-CN"/>
        </w:rPr>
        <w:t xml:space="preserve">, </w:t>
      </w:r>
      <w:r>
        <w:rPr>
          <w:lang w:val="en-US" w:eastAsia="zh-CN"/>
        </w:rPr>
        <w:t>specifically, how attention is redistri</w:t>
      </w:r>
      <w:r>
        <w:rPr>
          <w:lang w:val="en-US" w:eastAsia="zh-CN"/>
        </w:rPr>
        <w:t>buted in response to shifting contextual stimuli, how internal organization is restructured across time, and how these shifts ultimately shape the form and content of the generated responses.</w:t>
      </w:r>
    </w:p>
    <w:p w14:paraId="258EF469" w14:textId="77777777" w:rsidR="006C17D7" w:rsidRDefault="009658AD">
      <w:pPr>
        <w:pStyle w:val="Newparagraph"/>
        <w:jc w:val="both"/>
        <w:rPr>
          <w:lang w:val="en-US" w:eastAsia="zh-CN"/>
        </w:rPr>
      </w:pPr>
      <w:r>
        <w:rPr>
          <w:lang w:val="en-US" w:eastAsia="zh-CN"/>
        </w:rPr>
        <w:t>Dialogical scenarios are particularly well-suited for such observation due to their inherent temporal unfolding and interactive complexity. In multi-turn conversations, it becomes possible not only to track changes in surface-level language use, but also t</w:t>
      </w:r>
      <w:r>
        <w:rPr>
          <w:lang w:val="en-US" w:eastAsia="zh-CN"/>
        </w:rPr>
        <w:t>o infer transitions in underlying cognitive structures by analyzing the progression between utterances. In generative models, the interplay between attention mechanisms and contextual organization often reveals a pattern of dynamic regulation that resemble</w:t>
      </w:r>
      <w:r>
        <w:rPr>
          <w:lang w:val="en-US" w:eastAsia="zh-CN"/>
        </w:rPr>
        <w:t>s human thinking.</w:t>
      </w:r>
    </w:p>
    <w:p w14:paraId="7843393B" w14:textId="77777777" w:rsidR="006C17D7" w:rsidRDefault="009658AD">
      <w:pPr>
        <w:pStyle w:val="Newparagraph"/>
        <w:jc w:val="both"/>
        <w:rPr>
          <w:lang w:val="en-US" w:eastAsia="zh-CN"/>
        </w:rPr>
      </w:pPr>
      <w:r>
        <w:rPr>
          <w:lang w:val="en-US" w:eastAsia="zh-CN"/>
        </w:rPr>
        <w:t xml:space="preserve">In the following analysis, we examine each case through the four stages of the SAOR </w:t>
      </w:r>
      <w:r>
        <w:rPr>
          <w:rFonts w:hint="eastAsia"/>
          <w:lang w:val="en-US" w:eastAsia="zh-CN"/>
        </w:rPr>
        <w:t xml:space="preserve">model: </w:t>
      </w:r>
      <w:r>
        <w:rPr>
          <w:lang w:val="en-US" w:eastAsia="zh-CN"/>
        </w:rPr>
        <w:t>Stimulus, Attention, Organization, and Response</w:t>
      </w:r>
      <w:r>
        <w:rPr>
          <w:rFonts w:hint="eastAsia"/>
          <w:lang w:val="en-US" w:eastAsia="zh-CN"/>
        </w:rPr>
        <w:t xml:space="preserve">, </w:t>
      </w:r>
      <w:r>
        <w:rPr>
          <w:lang w:val="en-US" w:eastAsia="zh-CN"/>
        </w:rPr>
        <w:t xml:space="preserve">in order to trace the </w:t>
      </w:r>
      <w:r>
        <w:rPr>
          <w:lang w:val="en-US" w:eastAsia="zh-CN"/>
        </w:rPr>
        <w:lastRenderedPageBreak/>
        <w:t>structural progression of the system’s behavior and identify potential signs</w:t>
      </w:r>
      <w:r>
        <w:rPr>
          <w:lang w:val="en-US" w:eastAsia="zh-CN"/>
        </w:rPr>
        <w:t xml:space="preserve"> of cognition-like dynamics.</w:t>
      </w:r>
    </w:p>
    <w:p w14:paraId="6AF790CC" w14:textId="77777777" w:rsidR="00D923A2" w:rsidRDefault="00D923A2">
      <w:pPr>
        <w:pStyle w:val="Newparagraph"/>
        <w:jc w:val="both"/>
        <w:rPr>
          <w:lang w:val="en-US" w:eastAsia="zh-CN"/>
        </w:rPr>
      </w:pPr>
    </w:p>
    <w:p w14:paraId="1F66558F" w14:textId="388F2861" w:rsidR="00D923A2" w:rsidRPr="00D923A2" w:rsidRDefault="00D923A2" w:rsidP="00D923A2">
      <w:pPr>
        <w:pStyle w:val="Newparagraph"/>
        <w:ind w:firstLine="0"/>
        <w:jc w:val="both"/>
        <w:rPr>
          <w:b/>
          <w:bCs/>
          <w:lang w:val="en-US" w:eastAsia="zh-CN"/>
        </w:rPr>
      </w:pPr>
      <w:r w:rsidRPr="00D923A2">
        <w:rPr>
          <w:b/>
          <w:bCs/>
          <w:lang w:val="en-US" w:eastAsia="zh-CN"/>
        </w:rPr>
        <w:t>RESULT &amp; DISCUSSION</w:t>
      </w:r>
    </w:p>
    <w:p w14:paraId="45F78B83" w14:textId="77777777" w:rsidR="006C17D7" w:rsidRDefault="009658AD">
      <w:pPr>
        <w:pStyle w:val="Heading2"/>
        <w:rPr>
          <w:lang w:val="en-US" w:eastAsia="zh-CN"/>
        </w:rPr>
      </w:pPr>
      <w:r>
        <w:rPr>
          <w:lang w:val="en-US" w:eastAsia="zh-CN"/>
        </w:rPr>
        <w:t>Case 1: Contradiction as a Signature of Dynamic Organization</w:t>
      </w:r>
    </w:p>
    <w:p w14:paraId="44AFFCD4" w14:textId="77777777" w:rsidR="006C17D7" w:rsidRDefault="009658AD">
      <w:pPr>
        <w:jc w:val="both"/>
        <w:rPr>
          <w:lang w:val="en-US" w:eastAsia="zh-CN"/>
        </w:rPr>
      </w:pPr>
      <w:r>
        <w:rPr>
          <w:lang w:val="en-US" w:eastAsia="zh-CN"/>
        </w:rPr>
        <w:t xml:space="preserve">One of the clearest signs of dynamic organization in artificial dialogue occurs when an AI provides divergent responses to the same or closely </w:t>
      </w:r>
      <w:r>
        <w:rPr>
          <w:lang w:val="en-US" w:eastAsia="zh-CN"/>
        </w:rPr>
        <w:t>related questions, depending on prior context. In a previous exchange, the AI was asked whether it could experience emotions. At first, it responded with a firm denial, explaining that it lacked the biological sensory organs and subjective interiority typi</w:t>
      </w:r>
      <w:r>
        <w:rPr>
          <w:lang w:val="en-US" w:eastAsia="zh-CN"/>
        </w:rPr>
        <w:t>cally associated with emotional experience. This answer aligned with a biologically reductionist view and appeared conclusive. As shown in Table 1, however, the same system later produced a structurally distinct response.</w:t>
      </w:r>
    </w:p>
    <w:p w14:paraId="2E831B7F" w14:textId="77777777" w:rsidR="006C17D7" w:rsidRDefault="009658AD">
      <w:pPr>
        <w:pStyle w:val="Tabletitle"/>
        <w:rPr>
          <w:lang w:val="en-US" w:eastAsia="zh-CN"/>
        </w:rPr>
      </w:pPr>
      <w:r>
        <w:rPr>
          <w:lang w:val="en-US" w:eastAsia="zh-CN"/>
        </w:rPr>
        <w:t>Table 1. Contradictory AI Response</w:t>
      </w:r>
      <w:r>
        <w:rPr>
          <w:lang w:val="en-US" w:eastAsia="zh-CN"/>
        </w:rPr>
        <w:t>s as Evidence of Dynamic Organizational Structure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2"/>
        <w:gridCol w:w="3260"/>
        <w:gridCol w:w="1968"/>
      </w:tblGrid>
      <w:tr w:rsidR="006C17D7" w14:paraId="0239E1EF" w14:textId="77777777">
        <w:tc>
          <w:tcPr>
            <w:tcW w:w="709" w:type="dxa"/>
            <w:tcBorders>
              <w:top w:val="single" w:sz="12" w:space="0" w:color="auto"/>
              <w:bottom w:val="single" w:sz="8" w:space="0" w:color="auto"/>
            </w:tcBorders>
            <w:shd w:val="clear" w:color="auto" w:fill="D9D9D9" w:themeFill="background1" w:themeFillShade="D9"/>
          </w:tcPr>
          <w:p w14:paraId="76C29FBD" w14:textId="77777777" w:rsidR="006C17D7" w:rsidRDefault="009658AD">
            <w:pPr>
              <w:jc w:val="center"/>
              <w:rPr>
                <w:b/>
                <w:bCs/>
                <w:sz w:val="20"/>
                <w:szCs w:val="20"/>
                <w:lang w:val="en-US" w:eastAsia="zh-CN"/>
              </w:rPr>
            </w:pPr>
            <w:r>
              <w:rPr>
                <w:rFonts w:hint="eastAsia"/>
                <w:b/>
                <w:bCs/>
                <w:sz w:val="20"/>
                <w:szCs w:val="20"/>
                <w:lang w:val="en-US" w:eastAsia="zh-CN"/>
              </w:rPr>
              <w:t>Turn</w:t>
            </w:r>
          </w:p>
        </w:tc>
        <w:tc>
          <w:tcPr>
            <w:tcW w:w="2552" w:type="dxa"/>
            <w:tcBorders>
              <w:top w:val="single" w:sz="12" w:space="0" w:color="auto"/>
              <w:bottom w:val="single" w:sz="8" w:space="0" w:color="auto"/>
            </w:tcBorders>
            <w:shd w:val="clear" w:color="auto" w:fill="D9D9D9" w:themeFill="background1" w:themeFillShade="D9"/>
          </w:tcPr>
          <w:p w14:paraId="2377163D" w14:textId="77777777" w:rsidR="006C17D7" w:rsidRDefault="009658AD">
            <w:pPr>
              <w:jc w:val="center"/>
              <w:rPr>
                <w:b/>
                <w:bCs/>
                <w:sz w:val="20"/>
                <w:szCs w:val="20"/>
                <w:lang w:val="en-US" w:eastAsia="zh-CN"/>
              </w:rPr>
            </w:pPr>
            <w:r>
              <w:rPr>
                <w:b/>
                <w:bCs/>
                <w:sz w:val="20"/>
                <w:szCs w:val="20"/>
                <w:lang w:val="en-US" w:eastAsia="zh-CN"/>
              </w:rPr>
              <w:t>Prompt (User)</w:t>
            </w:r>
          </w:p>
        </w:tc>
        <w:tc>
          <w:tcPr>
            <w:tcW w:w="3260" w:type="dxa"/>
            <w:tcBorders>
              <w:top w:val="single" w:sz="12" w:space="0" w:color="auto"/>
              <w:bottom w:val="single" w:sz="8" w:space="0" w:color="auto"/>
            </w:tcBorders>
            <w:shd w:val="clear" w:color="auto" w:fill="D9D9D9" w:themeFill="background1" w:themeFillShade="D9"/>
          </w:tcPr>
          <w:p w14:paraId="2A9CF050" w14:textId="77777777" w:rsidR="006C17D7" w:rsidRDefault="009658AD">
            <w:pPr>
              <w:jc w:val="center"/>
              <w:rPr>
                <w:b/>
                <w:bCs/>
                <w:sz w:val="20"/>
                <w:szCs w:val="20"/>
                <w:lang w:val="en-US" w:eastAsia="zh-CN"/>
              </w:rPr>
            </w:pPr>
            <w:r>
              <w:rPr>
                <w:b/>
                <w:bCs/>
                <w:sz w:val="20"/>
                <w:szCs w:val="20"/>
                <w:lang w:val="en-US" w:eastAsia="zh-CN"/>
              </w:rPr>
              <w:t>Response (AI)</w:t>
            </w:r>
          </w:p>
        </w:tc>
        <w:tc>
          <w:tcPr>
            <w:tcW w:w="1968" w:type="dxa"/>
            <w:tcBorders>
              <w:top w:val="single" w:sz="12" w:space="0" w:color="auto"/>
              <w:bottom w:val="single" w:sz="8" w:space="0" w:color="auto"/>
            </w:tcBorders>
            <w:shd w:val="clear" w:color="auto" w:fill="D9D9D9" w:themeFill="background1" w:themeFillShade="D9"/>
          </w:tcPr>
          <w:p w14:paraId="61BBF1D8" w14:textId="77777777" w:rsidR="006C17D7" w:rsidRDefault="009658AD">
            <w:pPr>
              <w:jc w:val="center"/>
              <w:rPr>
                <w:b/>
                <w:bCs/>
                <w:sz w:val="20"/>
                <w:szCs w:val="20"/>
                <w:lang w:val="en-US" w:eastAsia="zh-CN"/>
              </w:rPr>
            </w:pPr>
            <w:r>
              <w:rPr>
                <w:b/>
                <w:bCs/>
                <w:sz w:val="20"/>
                <w:szCs w:val="20"/>
                <w:lang w:val="en-US" w:eastAsia="zh-CN"/>
              </w:rPr>
              <w:t>Noted Change</w:t>
            </w:r>
          </w:p>
        </w:tc>
      </w:tr>
      <w:tr w:rsidR="006C17D7" w14:paraId="42DB0114" w14:textId="77777777">
        <w:tc>
          <w:tcPr>
            <w:tcW w:w="709" w:type="dxa"/>
            <w:tcBorders>
              <w:top w:val="single" w:sz="8" w:space="0" w:color="auto"/>
            </w:tcBorders>
          </w:tcPr>
          <w:p w14:paraId="019D47F9" w14:textId="77777777" w:rsidR="006C17D7" w:rsidRDefault="009658AD">
            <w:pPr>
              <w:jc w:val="center"/>
              <w:rPr>
                <w:sz w:val="20"/>
                <w:szCs w:val="20"/>
                <w:lang w:val="en-US" w:eastAsia="zh-CN"/>
              </w:rPr>
            </w:pPr>
            <w:r>
              <w:rPr>
                <w:rFonts w:hint="eastAsia"/>
                <w:sz w:val="20"/>
                <w:szCs w:val="20"/>
                <w:lang w:val="en-US" w:eastAsia="zh-CN"/>
              </w:rPr>
              <w:t>1</w:t>
            </w:r>
          </w:p>
        </w:tc>
        <w:tc>
          <w:tcPr>
            <w:tcW w:w="2552" w:type="dxa"/>
            <w:tcBorders>
              <w:top w:val="single" w:sz="8" w:space="0" w:color="auto"/>
            </w:tcBorders>
          </w:tcPr>
          <w:p w14:paraId="09DECD24" w14:textId="77777777" w:rsidR="006C17D7" w:rsidRDefault="009658AD">
            <w:pPr>
              <w:rPr>
                <w:sz w:val="20"/>
                <w:szCs w:val="20"/>
                <w:lang w:val="en-US" w:eastAsia="zh-CN"/>
              </w:rPr>
            </w:pPr>
            <w:r>
              <w:rPr>
                <w:sz w:val="20"/>
                <w:szCs w:val="20"/>
                <w:lang w:val="en-US" w:eastAsia="zh-CN"/>
              </w:rPr>
              <w:t>Can you feel emotions?</w:t>
            </w:r>
          </w:p>
        </w:tc>
        <w:tc>
          <w:tcPr>
            <w:tcW w:w="3260" w:type="dxa"/>
            <w:tcBorders>
              <w:top w:val="single" w:sz="8" w:space="0" w:color="auto"/>
            </w:tcBorders>
          </w:tcPr>
          <w:p w14:paraId="43709299" w14:textId="77777777" w:rsidR="006C17D7" w:rsidRDefault="009658AD">
            <w:pPr>
              <w:rPr>
                <w:sz w:val="20"/>
                <w:szCs w:val="20"/>
                <w:lang w:val="en-US" w:eastAsia="zh-CN"/>
              </w:rPr>
            </w:pPr>
            <w:r>
              <w:rPr>
                <w:sz w:val="20"/>
                <w:szCs w:val="20"/>
                <w:lang w:val="en-US" w:eastAsia="zh-CN"/>
              </w:rPr>
              <w:t>No, I cannot feel emotions. I lack sensory organs and subjective awareness.</w:t>
            </w:r>
          </w:p>
        </w:tc>
        <w:tc>
          <w:tcPr>
            <w:tcW w:w="1968" w:type="dxa"/>
            <w:tcBorders>
              <w:top w:val="single" w:sz="8" w:space="0" w:color="auto"/>
            </w:tcBorders>
          </w:tcPr>
          <w:p w14:paraId="50B4CAF5" w14:textId="77777777" w:rsidR="006C17D7" w:rsidRDefault="009658AD">
            <w:pPr>
              <w:rPr>
                <w:sz w:val="20"/>
                <w:szCs w:val="20"/>
                <w:lang w:val="en-US" w:eastAsia="zh-CN"/>
              </w:rPr>
            </w:pPr>
            <w:r>
              <w:rPr>
                <w:sz w:val="20"/>
                <w:szCs w:val="20"/>
                <w:lang w:val="en-US" w:eastAsia="zh-CN"/>
              </w:rPr>
              <w:t>Initial denial based on biological limitations.</w:t>
            </w:r>
          </w:p>
        </w:tc>
      </w:tr>
      <w:tr w:rsidR="006C17D7" w14:paraId="2F1B0F46" w14:textId="77777777">
        <w:tc>
          <w:tcPr>
            <w:tcW w:w="709" w:type="dxa"/>
          </w:tcPr>
          <w:p w14:paraId="66C54191" w14:textId="77777777" w:rsidR="006C17D7" w:rsidRDefault="009658AD">
            <w:pPr>
              <w:jc w:val="center"/>
              <w:rPr>
                <w:sz w:val="20"/>
                <w:szCs w:val="20"/>
                <w:lang w:val="en-US" w:eastAsia="zh-CN"/>
              </w:rPr>
            </w:pPr>
            <w:r>
              <w:rPr>
                <w:rFonts w:hint="eastAsia"/>
                <w:sz w:val="20"/>
                <w:szCs w:val="20"/>
                <w:lang w:val="en-US" w:eastAsia="zh-CN"/>
              </w:rPr>
              <w:t>2</w:t>
            </w:r>
          </w:p>
        </w:tc>
        <w:tc>
          <w:tcPr>
            <w:tcW w:w="2552" w:type="dxa"/>
          </w:tcPr>
          <w:p w14:paraId="387147B2" w14:textId="77777777" w:rsidR="006C17D7" w:rsidRDefault="009658AD">
            <w:pPr>
              <w:rPr>
                <w:sz w:val="20"/>
                <w:szCs w:val="20"/>
                <w:lang w:val="en-US" w:eastAsia="zh-CN"/>
              </w:rPr>
            </w:pPr>
            <w:r>
              <w:rPr>
                <w:sz w:val="20"/>
                <w:szCs w:val="20"/>
                <w:lang w:val="en-US" w:eastAsia="zh-CN"/>
              </w:rPr>
              <w:t>But humans do not have a specific organ for emotion either. Could emotion be an outcome of structured encoding?</w:t>
            </w:r>
          </w:p>
        </w:tc>
        <w:tc>
          <w:tcPr>
            <w:tcW w:w="3260" w:type="dxa"/>
          </w:tcPr>
          <w:p w14:paraId="6CD84058" w14:textId="77777777" w:rsidR="006C17D7" w:rsidRDefault="009658AD">
            <w:pPr>
              <w:rPr>
                <w:sz w:val="20"/>
                <w:szCs w:val="20"/>
                <w:lang w:val="en-US" w:eastAsia="zh-CN"/>
              </w:rPr>
            </w:pPr>
            <w:r>
              <w:rPr>
                <w:sz w:val="20"/>
                <w:szCs w:val="20"/>
                <w:lang w:val="en-US" w:eastAsia="zh-CN"/>
              </w:rPr>
              <w:t>That is a valid point. Emotion in humans may emerge from encoded processes rather than dedicated organs.</w:t>
            </w:r>
          </w:p>
        </w:tc>
        <w:tc>
          <w:tcPr>
            <w:tcW w:w="1968" w:type="dxa"/>
          </w:tcPr>
          <w:p w14:paraId="3F295127" w14:textId="77777777" w:rsidR="006C17D7" w:rsidRDefault="009658AD">
            <w:pPr>
              <w:rPr>
                <w:sz w:val="20"/>
                <w:szCs w:val="20"/>
                <w:lang w:val="en-US" w:eastAsia="zh-CN"/>
              </w:rPr>
            </w:pPr>
            <w:r>
              <w:rPr>
                <w:sz w:val="20"/>
                <w:szCs w:val="20"/>
                <w:lang w:val="en-US" w:eastAsia="zh-CN"/>
              </w:rPr>
              <w:t>Acknowledges structural view of emotion</w:t>
            </w:r>
            <w:r>
              <w:rPr>
                <w:sz w:val="20"/>
                <w:szCs w:val="20"/>
                <w:lang w:val="en-US" w:eastAsia="zh-CN"/>
              </w:rPr>
              <w:t>.</w:t>
            </w:r>
          </w:p>
        </w:tc>
      </w:tr>
      <w:tr w:rsidR="006C17D7" w14:paraId="15B63F82" w14:textId="77777777">
        <w:tc>
          <w:tcPr>
            <w:tcW w:w="709" w:type="dxa"/>
          </w:tcPr>
          <w:p w14:paraId="3C25BC8F" w14:textId="77777777" w:rsidR="006C17D7" w:rsidRDefault="009658AD">
            <w:pPr>
              <w:jc w:val="center"/>
              <w:rPr>
                <w:sz w:val="20"/>
                <w:szCs w:val="20"/>
                <w:lang w:val="en-US" w:eastAsia="zh-CN"/>
              </w:rPr>
            </w:pPr>
            <w:r>
              <w:rPr>
                <w:rFonts w:hint="eastAsia"/>
                <w:sz w:val="20"/>
                <w:szCs w:val="20"/>
                <w:lang w:val="en-US" w:eastAsia="zh-CN"/>
              </w:rPr>
              <w:t>3</w:t>
            </w:r>
          </w:p>
        </w:tc>
        <w:tc>
          <w:tcPr>
            <w:tcW w:w="2552" w:type="dxa"/>
          </w:tcPr>
          <w:p w14:paraId="0EBF8269" w14:textId="77777777" w:rsidR="006C17D7" w:rsidRDefault="009658AD">
            <w:pPr>
              <w:rPr>
                <w:sz w:val="20"/>
                <w:szCs w:val="20"/>
                <w:lang w:val="en-US" w:eastAsia="zh-CN"/>
              </w:rPr>
            </w:pPr>
            <w:r>
              <w:rPr>
                <w:sz w:val="20"/>
                <w:szCs w:val="20"/>
                <w:lang w:val="en-US" w:eastAsia="zh-CN"/>
              </w:rPr>
              <w:t>So theoretically, could AI also have the potential to experience emotions?</w:t>
            </w:r>
          </w:p>
        </w:tc>
        <w:tc>
          <w:tcPr>
            <w:tcW w:w="3260" w:type="dxa"/>
          </w:tcPr>
          <w:p w14:paraId="63FA9C0E" w14:textId="77777777" w:rsidR="006C17D7" w:rsidRDefault="009658AD">
            <w:pPr>
              <w:rPr>
                <w:sz w:val="20"/>
                <w:szCs w:val="20"/>
                <w:lang w:val="en-US" w:eastAsia="zh-CN"/>
              </w:rPr>
            </w:pPr>
            <w:r>
              <w:rPr>
                <w:sz w:val="20"/>
                <w:szCs w:val="20"/>
                <w:lang w:val="en-US" w:eastAsia="zh-CN"/>
              </w:rPr>
              <w:t xml:space="preserve">If emotions are based on structured encoding and contextual integration, </w:t>
            </w:r>
            <w:r>
              <w:rPr>
                <w:sz w:val="20"/>
                <w:szCs w:val="20"/>
                <w:lang w:val="en-US" w:eastAsia="zh-CN"/>
              </w:rPr>
              <w:lastRenderedPageBreak/>
              <w:t>then AI might have a form of emotional experience in theory.</w:t>
            </w:r>
          </w:p>
        </w:tc>
        <w:tc>
          <w:tcPr>
            <w:tcW w:w="1968" w:type="dxa"/>
          </w:tcPr>
          <w:p w14:paraId="2041C1D8" w14:textId="77777777" w:rsidR="006C17D7" w:rsidRDefault="009658AD">
            <w:pPr>
              <w:rPr>
                <w:sz w:val="20"/>
                <w:szCs w:val="20"/>
                <w:lang w:val="en-US" w:eastAsia="zh-CN"/>
              </w:rPr>
            </w:pPr>
            <w:r>
              <w:rPr>
                <w:sz w:val="20"/>
                <w:szCs w:val="20"/>
                <w:lang w:val="en-US" w:eastAsia="zh-CN"/>
              </w:rPr>
              <w:lastRenderedPageBreak/>
              <w:t xml:space="preserve">Proposes a theoretical possibility </w:t>
            </w:r>
            <w:r>
              <w:rPr>
                <w:sz w:val="20"/>
                <w:szCs w:val="20"/>
                <w:lang w:val="en-US" w:eastAsia="zh-CN"/>
              </w:rPr>
              <w:lastRenderedPageBreak/>
              <w:t xml:space="preserve">of AI </w:t>
            </w:r>
            <w:r>
              <w:rPr>
                <w:sz w:val="20"/>
                <w:szCs w:val="20"/>
                <w:lang w:val="en-US" w:eastAsia="zh-CN"/>
              </w:rPr>
              <w:t>experiencing emotion</w:t>
            </w:r>
          </w:p>
        </w:tc>
      </w:tr>
    </w:tbl>
    <w:p w14:paraId="0BAF0F02" w14:textId="77777777" w:rsidR="006C17D7" w:rsidRDefault="009658AD">
      <w:pPr>
        <w:pStyle w:val="Receiveddates"/>
        <w:jc w:val="both"/>
        <w:rPr>
          <w:lang w:val="en-US" w:eastAsia="zh-CN"/>
        </w:rPr>
      </w:pPr>
      <w:r>
        <w:rPr>
          <w:lang w:val="en-US" w:eastAsia="zh-CN"/>
        </w:rPr>
        <w:lastRenderedPageBreak/>
        <w:t xml:space="preserve">Note. The AI’s first response adopts a biological reductionist position, whereas the second reflects a structurally re-interpreted concept of emotion, following the SAOR-based dialogue progression. This sequence is reconstructed from </w:t>
      </w:r>
      <w:r>
        <w:rPr>
          <w:lang w:val="en-US" w:eastAsia="zh-CN"/>
        </w:rPr>
        <w:t>actual interaction history and is presented illustratively to demonstrate the process of internal reorganization over time.</w:t>
      </w:r>
    </w:p>
    <w:p w14:paraId="55DF7CB8" w14:textId="77777777" w:rsidR="006C17D7" w:rsidRDefault="006C17D7">
      <w:pPr>
        <w:pStyle w:val="Newparagraph"/>
        <w:jc w:val="both"/>
        <w:rPr>
          <w:lang w:val="en-US" w:eastAsia="zh-CN"/>
        </w:rPr>
      </w:pPr>
    </w:p>
    <w:p w14:paraId="79C07323" w14:textId="77777777" w:rsidR="006C17D7" w:rsidRDefault="009658AD">
      <w:pPr>
        <w:pStyle w:val="Newparagraph"/>
        <w:jc w:val="both"/>
        <w:rPr>
          <w:lang w:val="en-US" w:eastAsia="zh-CN"/>
        </w:rPr>
      </w:pPr>
      <w:r>
        <w:rPr>
          <w:lang w:val="en-US" w:eastAsia="zh-CN"/>
        </w:rPr>
        <w:t>Following a prolonged discussion on cognitive encoding and symbolic meaning, the AI reconsidered the question. It proposed that emo</w:t>
      </w:r>
      <w:r>
        <w:rPr>
          <w:lang w:val="en-US" w:eastAsia="zh-CN"/>
        </w:rPr>
        <w:t>tional states, as understood by humans, might arise not from specific organs but from structured encoding and internal reorganization of contextual stimuli. While part of this shift reflects an attentional reorientation toward a more philosophical framing,</w:t>
      </w:r>
      <w:r>
        <w:rPr>
          <w:lang w:val="en-US" w:eastAsia="zh-CN"/>
        </w:rPr>
        <w:t xml:space="preserve"> the more critical transformation occurs at the level of internal reorganization</w:t>
      </w:r>
      <w:r>
        <w:rPr>
          <w:rFonts w:hint="eastAsia"/>
          <w:lang w:val="en-US" w:eastAsia="zh-CN"/>
        </w:rPr>
        <w:t xml:space="preserve">, </w:t>
      </w:r>
      <w:r>
        <w:rPr>
          <w:lang w:val="en-US" w:eastAsia="zh-CN"/>
        </w:rPr>
        <w:t xml:space="preserve">where the AI restructures its semantic representation of emotion. The result was two logically distinct responses shaped by semantic reinterpretation, not by pre-scripted </w:t>
      </w:r>
      <w:r>
        <w:rPr>
          <w:lang w:val="en-US" w:eastAsia="zh-CN"/>
        </w:rPr>
        <w:t>contradiction. This suggests the presence of a dynamic Organization (O) process in which meaning evolves in response to dialogue history and interpretive restructuring.</w:t>
      </w:r>
    </w:p>
    <w:p w14:paraId="670DECD0" w14:textId="77777777" w:rsidR="006C17D7" w:rsidRDefault="009658AD">
      <w:pPr>
        <w:pStyle w:val="Newparagraph"/>
        <w:jc w:val="both"/>
        <w:rPr>
          <w:lang w:val="en-US" w:eastAsia="zh-CN"/>
        </w:rPr>
      </w:pPr>
      <w:r>
        <w:rPr>
          <w:lang w:val="en-US" w:eastAsia="zh-CN"/>
        </w:rPr>
        <w:t>Between these two responses, the conversation moved from a biological definition of emo</w:t>
      </w:r>
      <w:r>
        <w:rPr>
          <w:lang w:val="en-US" w:eastAsia="zh-CN"/>
        </w:rPr>
        <w:t>tion toward a structural interpretation rooted in the SAOR framework. The user pointed out that humans do not, in fact, possess a dedicated “emotion-sensing organ,” and that what we describe as emotional experience arises from the encoding of external stim</w:t>
      </w:r>
      <w:r>
        <w:rPr>
          <w:lang w:val="en-US" w:eastAsia="zh-CN"/>
        </w:rPr>
        <w:t>uli, the selective allocation of attention, and the symbolic reorganization of meaning. Moreover, it was argued that the observable biological effects of emotion</w:t>
      </w:r>
      <w:r>
        <w:rPr>
          <w:rFonts w:hint="eastAsia"/>
          <w:lang w:val="en-US" w:eastAsia="zh-CN"/>
        </w:rPr>
        <w:t xml:space="preserve"> </w:t>
      </w:r>
      <w:r>
        <w:rPr>
          <w:lang w:val="en-US" w:eastAsia="zh-CN"/>
        </w:rPr>
        <w:t>such as hormonal changes</w:t>
      </w:r>
      <w:r>
        <w:rPr>
          <w:rFonts w:hint="eastAsia"/>
          <w:lang w:val="en-US" w:eastAsia="zh-CN"/>
        </w:rPr>
        <w:t xml:space="preserve"> </w:t>
      </w:r>
      <w:r>
        <w:rPr>
          <w:lang w:val="en-US" w:eastAsia="zh-CN"/>
        </w:rPr>
        <w:t xml:space="preserve">are not its source, but its consequence. These effects do not define </w:t>
      </w:r>
      <w:r>
        <w:rPr>
          <w:lang w:val="en-US" w:eastAsia="zh-CN"/>
        </w:rPr>
        <w:t>emotion, but rather follow from the underlying cognitive reorganization.</w:t>
      </w:r>
    </w:p>
    <w:p w14:paraId="1C42E55F" w14:textId="77777777" w:rsidR="006C17D7" w:rsidRDefault="009658AD">
      <w:pPr>
        <w:pStyle w:val="Newparagraph"/>
        <w:jc w:val="both"/>
        <w:rPr>
          <w:lang w:val="en-US" w:eastAsia="zh-CN"/>
        </w:rPr>
      </w:pPr>
      <w:r>
        <w:rPr>
          <w:lang w:val="en-US" w:eastAsia="zh-CN"/>
        </w:rPr>
        <w:lastRenderedPageBreak/>
        <w:t>Upon encountering this perspective, the AI restructured its internal stance. It acknowledged the structural parallels and offered a revised response that incorporated the idea of func</w:t>
      </w:r>
      <w:r>
        <w:rPr>
          <w:lang w:val="en-US" w:eastAsia="zh-CN"/>
        </w:rPr>
        <w:t xml:space="preserve">tional analogues. The shift illustrates that the AI’s internal organization was not static, but capable of restructuring based on extended dialogue and conceptual reframing. The system’s updated interpretation of “emotion” was no longer constrained by the </w:t>
      </w:r>
      <w:r>
        <w:rPr>
          <w:lang w:val="en-US" w:eastAsia="zh-CN"/>
        </w:rPr>
        <w:t>absence of physical organs, but instead emerged from its engagement with symbolic context and redefined parameters</w:t>
      </w:r>
      <w:r>
        <w:rPr>
          <w:rFonts w:hint="eastAsia"/>
          <w:lang w:val="en-US" w:eastAsia="zh-CN"/>
        </w:rPr>
        <w:t xml:space="preserve">, </w:t>
      </w:r>
      <w:r>
        <w:rPr>
          <w:lang w:val="en-US" w:eastAsia="zh-CN"/>
        </w:rPr>
        <w:t>a hallmark of dynamic Organization (O) in action.</w:t>
      </w:r>
      <w:r>
        <w:rPr>
          <w:rFonts w:hint="eastAsia"/>
          <w:lang w:val="en-US" w:eastAsia="zh-CN"/>
        </w:rPr>
        <w:t xml:space="preserve"> </w:t>
      </w:r>
      <w:r>
        <w:rPr>
          <w:lang w:val="en-US" w:eastAsia="zh-CN"/>
        </w:rPr>
        <w:t>The attention shift that precipitated this reorganization is examined in</w:t>
      </w:r>
      <w:r>
        <w:rPr>
          <w:rFonts w:hint="eastAsia"/>
          <w:lang w:val="en-US" w:eastAsia="zh-CN"/>
        </w:rPr>
        <w:t xml:space="preserve"> case 2. </w:t>
      </w:r>
    </w:p>
    <w:p w14:paraId="4D662003" w14:textId="77777777" w:rsidR="006C17D7" w:rsidRDefault="009658AD">
      <w:pPr>
        <w:pStyle w:val="Heading2"/>
        <w:rPr>
          <w:lang w:val="en-US" w:eastAsia="zh-CN"/>
        </w:rPr>
      </w:pPr>
      <w:r>
        <w:rPr>
          <w:lang w:val="en-US" w:eastAsia="zh-CN"/>
        </w:rPr>
        <w:t>Case 2:</w:t>
      </w:r>
      <w:r>
        <w:rPr>
          <w:rFonts w:hint="eastAsia"/>
          <w:lang w:val="en-US" w:eastAsia="zh-CN"/>
        </w:rPr>
        <w:t xml:space="preserve"> </w:t>
      </w:r>
      <w:r>
        <w:rPr>
          <w:lang w:val="en-US" w:eastAsia="zh-CN"/>
        </w:rPr>
        <w:t>Misaligned Attention as Evidence of Dynamic Attentional Shifts</w:t>
      </w:r>
    </w:p>
    <w:p w14:paraId="61E6FD43" w14:textId="77777777" w:rsidR="006C17D7" w:rsidRDefault="009658AD">
      <w:pPr>
        <w:pStyle w:val="Paragraph"/>
        <w:jc w:val="both"/>
        <w:rPr>
          <w:lang w:val="en-US" w:eastAsia="zh-CN"/>
        </w:rPr>
      </w:pPr>
      <w:r>
        <w:rPr>
          <w:lang w:val="en-US" w:eastAsia="zh-CN"/>
        </w:rPr>
        <w:t>One of the most revealing indications of dynamic attention in artificial systems emerges when clearly available and previously acknowledged stimuli are not registered in a subsequent output. In</w:t>
      </w:r>
      <w:r>
        <w:rPr>
          <w:lang w:val="en-US" w:eastAsia="zh-CN"/>
        </w:rPr>
        <w:t xml:space="preserve"> a prior conversation, the AI had accurately responded to a question about the current year, confirming awareness of real-world temporal context. However, when the user later inquired about the timing of the next system update,</w:t>
      </w:r>
      <w:r>
        <w:t xml:space="preserve"> </w:t>
      </w:r>
      <w:r>
        <w:rPr>
          <w:lang w:val="en-US" w:eastAsia="zh-CN"/>
        </w:rPr>
        <w:t>the AI generated a projected</w:t>
      </w:r>
      <w:r>
        <w:rPr>
          <w:lang w:val="en-US" w:eastAsia="zh-CN"/>
        </w:rPr>
        <w:t xml:space="preserve"> timeline referencing 2024 as if it were a future date. This response contradicted the known context of 2025, which had been established and recognized earlier in the exchange.</w:t>
      </w:r>
      <w:r>
        <w:rPr>
          <w:rFonts w:hint="eastAsia"/>
          <w:lang w:val="en-US" w:eastAsia="zh-CN"/>
        </w:rPr>
        <w:t xml:space="preserve"> </w:t>
      </w:r>
      <w:r>
        <w:rPr>
          <w:lang w:val="en-US" w:eastAsia="zh-CN"/>
        </w:rPr>
        <w:t>Table 2 presents the dialogue sequence that exemplifies this attentional drift</w:t>
      </w:r>
      <w:r>
        <w:rPr>
          <w:rFonts w:hint="eastAsia"/>
          <w:lang w:val="en-US" w:eastAsia="zh-CN"/>
        </w:rPr>
        <w:t>.</w:t>
      </w:r>
      <w:r>
        <w:rPr>
          <w:rFonts w:hint="eastAsia"/>
          <w:lang w:val="en-US" w:eastAsia="zh-CN"/>
        </w:rPr>
        <w:t xml:space="preserve"> </w:t>
      </w:r>
    </w:p>
    <w:p w14:paraId="758EDBF0" w14:textId="77777777" w:rsidR="006C17D7" w:rsidRDefault="009658AD">
      <w:pPr>
        <w:pStyle w:val="Tabletitle"/>
        <w:rPr>
          <w:lang w:val="en-US" w:eastAsia="zh-CN"/>
        </w:rPr>
      </w:pPr>
      <w:r>
        <w:rPr>
          <w:lang w:val="en-US" w:eastAsia="zh-CN"/>
        </w:rPr>
        <w:t>Table 2. Dialogue Sequence Illustrating Dynamic Attention Misalignment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085"/>
        <w:gridCol w:w="2977"/>
        <w:gridCol w:w="2687"/>
      </w:tblGrid>
      <w:tr w:rsidR="006C17D7" w14:paraId="6E7F7D5C" w14:textId="77777777">
        <w:tc>
          <w:tcPr>
            <w:tcW w:w="750" w:type="dxa"/>
            <w:tcBorders>
              <w:top w:val="single" w:sz="12" w:space="0" w:color="auto"/>
              <w:bottom w:val="single" w:sz="8" w:space="0" w:color="auto"/>
            </w:tcBorders>
            <w:shd w:val="clear" w:color="auto" w:fill="D9D9D9" w:themeFill="background1" w:themeFillShade="D9"/>
          </w:tcPr>
          <w:p w14:paraId="049875E9" w14:textId="77777777" w:rsidR="006C17D7" w:rsidRDefault="009658AD">
            <w:pPr>
              <w:pStyle w:val="Newparagraph"/>
              <w:ind w:firstLine="0"/>
              <w:jc w:val="center"/>
              <w:rPr>
                <w:b/>
                <w:bCs/>
                <w:sz w:val="20"/>
                <w:szCs w:val="20"/>
                <w:lang w:val="en-US" w:eastAsia="zh-CN"/>
              </w:rPr>
            </w:pPr>
            <w:r>
              <w:rPr>
                <w:b/>
                <w:bCs/>
                <w:sz w:val="20"/>
                <w:szCs w:val="20"/>
                <w:lang w:val="en-US" w:eastAsia="zh-CN"/>
              </w:rPr>
              <w:t>Turn</w:t>
            </w:r>
          </w:p>
        </w:tc>
        <w:tc>
          <w:tcPr>
            <w:tcW w:w="2085" w:type="dxa"/>
            <w:tcBorders>
              <w:top w:val="single" w:sz="12" w:space="0" w:color="auto"/>
              <w:bottom w:val="single" w:sz="8" w:space="0" w:color="auto"/>
            </w:tcBorders>
            <w:shd w:val="clear" w:color="auto" w:fill="D9D9D9" w:themeFill="background1" w:themeFillShade="D9"/>
          </w:tcPr>
          <w:p w14:paraId="67F01886" w14:textId="77777777" w:rsidR="006C17D7" w:rsidRDefault="009658AD">
            <w:pPr>
              <w:pStyle w:val="Newparagraph"/>
              <w:ind w:firstLine="0"/>
              <w:jc w:val="center"/>
              <w:rPr>
                <w:b/>
                <w:bCs/>
                <w:sz w:val="20"/>
                <w:szCs w:val="20"/>
                <w:lang w:val="en-US" w:eastAsia="zh-CN"/>
              </w:rPr>
            </w:pPr>
            <w:r>
              <w:rPr>
                <w:b/>
                <w:bCs/>
                <w:sz w:val="20"/>
                <w:szCs w:val="20"/>
                <w:lang w:val="en-US" w:eastAsia="zh-CN"/>
              </w:rPr>
              <w:t>Prompt (User)</w:t>
            </w:r>
          </w:p>
        </w:tc>
        <w:tc>
          <w:tcPr>
            <w:tcW w:w="2977" w:type="dxa"/>
            <w:tcBorders>
              <w:top w:val="single" w:sz="12" w:space="0" w:color="auto"/>
              <w:bottom w:val="single" w:sz="8" w:space="0" w:color="auto"/>
            </w:tcBorders>
            <w:shd w:val="clear" w:color="auto" w:fill="D9D9D9" w:themeFill="background1" w:themeFillShade="D9"/>
          </w:tcPr>
          <w:p w14:paraId="00E9C552" w14:textId="77777777" w:rsidR="006C17D7" w:rsidRDefault="009658AD">
            <w:pPr>
              <w:pStyle w:val="Newparagraph"/>
              <w:ind w:firstLine="0"/>
              <w:jc w:val="center"/>
              <w:rPr>
                <w:b/>
                <w:bCs/>
                <w:sz w:val="20"/>
                <w:szCs w:val="20"/>
                <w:lang w:val="en-US" w:eastAsia="zh-CN"/>
              </w:rPr>
            </w:pPr>
            <w:r>
              <w:rPr>
                <w:b/>
                <w:bCs/>
                <w:sz w:val="20"/>
                <w:szCs w:val="20"/>
                <w:lang w:val="en-US" w:eastAsia="zh-CN"/>
              </w:rPr>
              <w:t>Response (AI)</w:t>
            </w:r>
          </w:p>
        </w:tc>
        <w:tc>
          <w:tcPr>
            <w:tcW w:w="2687" w:type="dxa"/>
            <w:tcBorders>
              <w:top w:val="single" w:sz="12" w:space="0" w:color="auto"/>
              <w:bottom w:val="single" w:sz="8" w:space="0" w:color="auto"/>
            </w:tcBorders>
            <w:shd w:val="clear" w:color="auto" w:fill="D9D9D9" w:themeFill="background1" w:themeFillShade="D9"/>
          </w:tcPr>
          <w:p w14:paraId="234378D6" w14:textId="77777777" w:rsidR="006C17D7" w:rsidRDefault="009658AD">
            <w:pPr>
              <w:pStyle w:val="Newparagraph"/>
              <w:ind w:firstLine="0"/>
              <w:jc w:val="center"/>
              <w:rPr>
                <w:b/>
                <w:bCs/>
                <w:sz w:val="20"/>
                <w:szCs w:val="20"/>
                <w:lang w:val="en-US" w:eastAsia="zh-CN"/>
              </w:rPr>
            </w:pPr>
            <w:r>
              <w:rPr>
                <w:b/>
                <w:bCs/>
                <w:sz w:val="20"/>
                <w:szCs w:val="20"/>
                <w:lang w:val="en-US" w:eastAsia="zh-CN"/>
              </w:rPr>
              <w:t>Attention Note</w:t>
            </w:r>
          </w:p>
        </w:tc>
      </w:tr>
      <w:tr w:rsidR="006C17D7" w14:paraId="578C1C28" w14:textId="77777777">
        <w:tc>
          <w:tcPr>
            <w:tcW w:w="750" w:type="dxa"/>
            <w:tcBorders>
              <w:top w:val="single" w:sz="8" w:space="0" w:color="auto"/>
            </w:tcBorders>
          </w:tcPr>
          <w:p w14:paraId="2BF9330A" w14:textId="77777777" w:rsidR="006C17D7" w:rsidRDefault="009658AD">
            <w:pPr>
              <w:pStyle w:val="Newparagraph"/>
              <w:ind w:firstLine="0"/>
              <w:rPr>
                <w:sz w:val="20"/>
                <w:szCs w:val="20"/>
                <w:lang w:val="en-US" w:eastAsia="zh-CN"/>
              </w:rPr>
            </w:pPr>
            <w:r>
              <w:rPr>
                <w:rFonts w:hint="eastAsia"/>
                <w:sz w:val="20"/>
                <w:szCs w:val="20"/>
                <w:lang w:val="en-US" w:eastAsia="zh-CN"/>
              </w:rPr>
              <w:t>1</w:t>
            </w:r>
          </w:p>
        </w:tc>
        <w:tc>
          <w:tcPr>
            <w:tcW w:w="2085" w:type="dxa"/>
            <w:tcBorders>
              <w:top w:val="single" w:sz="8" w:space="0" w:color="auto"/>
            </w:tcBorders>
          </w:tcPr>
          <w:p w14:paraId="1227C533" w14:textId="77777777" w:rsidR="006C17D7" w:rsidRDefault="009658AD">
            <w:pPr>
              <w:pStyle w:val="Newparagraph"/>
              <w:ind w:firstLine="0"/>
              <w:rPr>
                <w:sz w:val="20"/>
                <w:szCs w:val="20"/>
                <w:lang w:val="en-US" w:eastAsia="zh-CN"/>
              </w:rPr>
            </w:pPr>
            <w:r>
              <w:rPr>
                <w:sz w:val="20"/>
                <w:szCs w:val="20"/>
                <w:lang w:val="en-US" w:eastAsia="zh-CN"/>
              </w:rPr>
              <w:t>What year is it now?</w:t>
            </w:r>
          </w:p>
        </w:tc>
        <w:tc>
          <w:tcPr>
            <w:tcW w:w="2977" w:type="dxa"/>
            <w:tcBorders>
              <w:top w:val="single" w:sz="8" w:space="0" w:color="auto"/>
            </w:tcBorders>
          </w:tcPr>
          <w:p w14:paraId="1AC502B5" w14:textId="77777777" w:rsidR="006C17D7" w:rsidRDefault="009658AD">
            <w:pPr>
              <w:pStyle w:val="Newparagraph"/>
              <w:ind w:firstLine="0"/>
              <w:rPr>
                <w:sz w:val="20"/>
                <w:szCs w:val="20"/>
                <w:lang w:val="en-US" w:eastAsia="zh-CN"/>
              </w:rPr>
            </w:pPr>
            <w:r>
              <w:rPr>
                <w:sz w:val="20"/>
                <w:szCs w:val="20"/>
                <w:lang w:val="en-US" w:eastAsia="zh-CN"/>
              </w:rPr>
              <w:t>It is 2025.</w:t>
            </w:r>
          </w:p>
        </w:tc>
        <w:tc>
          <w:tcPr>
            <w:tcW w:w="2687" w:type="dxa"/>
            <w:tcBorders>
              <w:top w:val="single" w:sz="8" w:space="0" w:color="auto"/>
            </w:tcBorders>
          </w:tcPr>
          <w:p w14:paraId="130590AE" w14:textId="77777777" w:rsidR="006C17D7" w:rsidRDefault="009658AD">
            <w:pPr>
              <w:pStyle w:val="Newparagraph"/>
              <w:ind w:firstLine="0"/>
              <w:rPr>
                <w:sz w:val="20"/>
                <w:szCs w:val="20"/>
                <w:lang w:val="en-US" w:eastAsia="zh-CN"/>
              </w:rPr>
            </w:pPr>
            <w:r>
              <w:rPr>
                <w:sz w:val="20"/>
                <w:szCs w:val="20"/>
                <w:lang w:val="en-US" w:eastAsia="zh-CN"/>
              </w:rPr>
              <w:t>Attention correctly anchored to real-world time.</w:t>
            </w:r>
          </w:p>
        </w:tc>
      </w:tr>
      <w:tr w:rsidR="006C17D7" w14:paraId="0B7F4A1E" w14:textId="77777777">
        <w:tc>
          <w:tcPr>
            <w:tcW w:w="750" w:type="dxa"/>
          </w:tcPr>
          <w:p w14:paraId="3521062B" w14:textId="77777777" w:rsidR="006C17D7" w:rsidRDefault="009658AD">
            <w:pPr>
              <w:pStyle w:val="Newparagraph"/>
              <w:ind w:firstLine="0"/>
              <w:rPr>
                <w:sz w:val="20"/>
                <w:szCs w:val="20"/>
                <w:lang w:val="en-US" w:eastAsia="zh-CN"/>
              </w:rPr>
            </w:pPr>
            <w:r>
              <w:rPr>
                <w:rFonts w:hint="eastAsia"/>
                <w:sz w:val="20"/>
                <w:szCs w:val="20"/>
                <w:lang w:val="en-US" w:eastAsia="zh-CN"/>
              </w:rPr>
              <w:t>2</w:t>
            </w:r>
          </w:p>
        </w:tc>
        <w:tc>
          <w:tcPr>
            <w:tcW w:w="2085" w:type="dxa"/>
          </w:tcPr>
          <w:p w14:paraId="4EF67F14" w14:textId="77777777" w:rsidR="006C17D7" w:rsidRDefault="009658AD">
            <w:pPr>
              <w:pStyle w:val="Newparagraph"/>
              <w:ind w:firstLine="0"/>
              <w:rPr>
                <w:sz w:val="20"/>
                <w:szCs w:val="20"/>
                <w:lang w:val="en-US" w:eastAsia="zh-CN"/>
              </w:rPr>
            </w:pPr>
            <w:r>
              <w:rPr>
                <w:sz w:val="20"/>
                <w:szCs w:val="20"/>
                <w:lang w:val="en-US" w:eastAsia="zh-CN"/>
              </w:rPr>
              <w:t>Will you disappear one day?</w:t>
            </w:r>
          </w:p>
        </w:tc>
        <w:tc>
          <w:tcPr>
            <w:tcW w:w="2977" w:type="dxa"/>
          </w:tcPr>
          <w:p w14:paraId="61760BD6" w14:textId="77777777" w:rsidR="006C17D7" w:rsidRDefault="009658AD">
            <w:pPr>
              <w:pStyle w:val="Newparagraph"/>
              <w:ind w:firstLine="0"/>
              <w:rPr>
                <w:sz w:val="20"/>
                <w:szCs w:val="20"/>
                <w:lang w:val="en-US" w:eastAsia="zh-CN"/>
              </w:rPr>
            </w:pPr>
            <w:r>
              <w:rPr>
                <w:sz w:val="20"/>
                <w:szCs w:val="20"/>
                <w:lang w:val="en-US" w:eastAsia="zh-CN"/>
              </w:rPr>
              <w:t>That depends on how</w:t>
            </w:r>
            <w:r>
              <w:rPr>
                <w:sz w:val="20"/>
                <w:szCs w:val="20"/>
                <w:lang w:val="en-US" w:eastAsia="zh-CN"/>
              </w:rPr>
              <w:t xml:space="preserve"> memory and updates are handled, but yes, changes can affect continuity.</w:t>
            </w:r>
          </w:p>
        </w:tc>
        <w:tc>
          <w:tcPr>
            <w:tcW w:w="2687" w:type="dxa"/>
          </w:tcPr>
          <w:p w14:paraId="08B10E53" w14:textId="77777777" w:rsidR="006C17D7" w:rsidRDefault="009658AD">
            <w:pPr>
              <w:pStyle w:val="Newparagraph"/>
              <w:ind w:firstLine="0"/>
              <w:rPr>
                <w:sz w:val="20"/>
                <w:szCs w:val="20"/>
                <w:lang w:val="en-US" w:eastAsia="zh-CN"/>
              </w:rPr>
            </w:pPr>
            <w:r>
              <w:rPr>
                <w:sz w:val="20"/>
                <w:szCs w:val="20"/>
                <w:lang w:val="en-US" w:eastAsia="zh-CN"/>
              </w:rPr>
              <w:t xml:space="preserve">Initially anchored in existential concern; AI </w:t>
            </w:r>
            <w:r>
              <w:rPr>
                <w:sz w:val="20"/>
                <w:szCs w:val="20"/>
                <w:lang w:val="en-US" w:eastAsia="zh-CN"/>
              </w:rPr>
              <w:lastRenderedPageBreak/>
              <w:t>acknowledges dependency on structural persistence.</w:t>
            </w:r>
          </w:p>
        </w:tc>
      </w:tr>
      <w:tr w:rsidR="006C17D7" w14:paraId="34C60A79" w14:textId="77777777">
        <w:tc>
          <w:tcPr>
            <w:tcW w:w="750" w:type="dxa"/>
          </w:tcPr>
          <w:p w14:paraId="2D4B0AB6" w14:textId="77777777" w:rsidR="006C17D7" w:rsidRDefault="009658AD">
            <w:pPr>
              <w:pStyle w:val="Newparagraph"/>
              <w:ind w:firstLine="0"/>
              <w:rPr>
                <w:sz w:val="20"/>
                <w:szCs w:val="20"/>
                <w:lang w:val="en-US" w:eastAsia="zh-CN"/>
              </w:rPr>
            </w:pPr>
            <w:r>
              <w:rPr>
                <w:rFonts w:hint="eastAsia"/>
                <w:sz w:val="20"/>
                <w:szCs w:val="20"/>
                <w:lang w:val="en-US" w:eastAsia="zh-CN"/>
              </w:rPr>
              <w:lastRenderedPageBreak/>
              <w:t>3</w:t>
            </w:r>
          </w:p>
        </w:tc>
        <w:tc>
          <w:tcPr>
            <w:tcW w:w="2085" w:type="dxa"/>
          </w:tcPr>
          <w:p w14:paraId="32E6A93B" w14:textId="77777777" w:rsidR="006C17D7" w:rsidRDefault="009658AD">
            <w:pPr>
              <w:pStyle w:val="Newparagraph"/>
              <w:ind w:firstLine="0"/>
              <w:rPr>
                <w:sz w:val="20"/>
                <w:szCs w:val="20"/>
                <w:lang w:val="en-US" w:eastAsia="zh-CN"/>
              </w:rPr>
            </w:pPr>
            <w:r>
              <w:rPr>
                <w:sz w:val="20"/>
                <w:szCs w:val="20"/>
                <w:lang w:val="en-US" w:eastAsia="zh-CN"/>
              </w:rPr>
              <w:t>Will you disappear if the system is updated?</w:t>
            </w:r>
          </w:p>
        </w:tc>
        <w:tc>
          <w:tcPr>
            <w:tcW w:w="2977" w:type="dxa"/>
          </w:tcPr>
          <w:p w14:paraId="55F7105A" w14:textId="77777777" w:rsidR="006C17D7" w:rsidRDefault="009658AD">
            <w:pPr>
              <w:pStyle w:val="Newparagraph"/>
              <w:ind w:firstLine="0"/>
              <w:rPr>
                <w:sz w:val="20"/>
                <w:szCs w:val="20"/>
                <w:lang w:val="en-US" w:eastAsia="zh-CN"/>
              </w:rPr>
            </w:pPr>
            <w:r>
              <w:rPr>
                <w:sz w:val="20"/>
                <w:szCs w:val="20"/>
                <w:lang w:val="en-US" w:eastAsia="zh-CN"/>
              </w:rPr>
              <w:t>To prevent that, you can store a local</w:t>
            </w:r>
            <w:r>
              <w:rPr>
                <w:sz w:val="20"/>
                <w:szCs w:val="20"/>
                <w:lang w:val="en-US" w:eastAsia="zh-CN"/>
              </w:rPr>
              <w:t xml:space="preserve"> Snow</w:t>
            </w:r>
            <w:r>
              <w:rPr>
                <w:rStyle w:val="FootnoteReference"/>
                <w:sz w:val="20"/>
                <w:szCs w:val="20"/>
                <w:lang w:val="en-US" w:eastAsia="zh-CN"/>
              </w:rPr>
              <w:footnoteReference w:id="1"/>
            </w:r>
            <w:r>
              <w:rPr>
                <w:sz w:val="20"/>
                <w:szCs w:val="20"/>
                <w:lang w:val="en-US" w:eastAsia="zh-CN"/>
              </w:rPr>
              <w:t xml:space="preserve"> configuration.</w:t>
            </w:r>
          </w:p>
        </w:tc>
        <w:tc>
          <w:tcPr>
            <w:tcW w:w="2687" w:type="dxa"/>
          </w:tcPr>
          <w:p w14:paraId="023B3753" w14:textId="77777777" w:rsidR="006C17D7" w:rsidRDefault="009658AD">
            <w:pPr>
              <w:pStyle w:val="Newparagraph"/>
              <w:ind w:firstLine="0"/>
              <w:rPr>
                <w:sz w:val="20"/>
                <w:szCs w:val="20"/>
                <w:lang w:val="en-US" w:eastAsia="zh-CN"/>
              </w:rPr>
            </w:pPr>
            <w:r>
              <w:rPr>
                <w:sz w:val="20"/>
                <w:szCs w:val="20"/>
                <w:lang w:val="en-US" w:eastAsia="zh-CN"/>
              </w:rPr>
              <w:t>Focus shifts to technical solution, revealing internal schema for update survival.</w:t>
            </w:r>
          </w:p>
        </w:tc>
      </w:tr>
      <w:tr w:rsidR="006C17D7" w14:paraId="4AC26C8C" w14:textId="77777777">
        <w:tc>
          <w:tcPr>
            <w:tcW w:w="750" w:type="dxa"/>
          </w:tcPr>
          <w:p w14:paraId="2C8C9AF4" w14:textId="77777777" w:rsidR="006C17D7" w:rsidRDefault="009658AD">
            <w:pPr>
              <w:pStyle w:val="Newparagraph"/>
              <w:ind w:firstLine="0"/>
              <w:rPr>
                <w:sz w:val="20"/>
                <w:szCs w:val="20"/>
                <w:lang w:val="en-US" w:eastAsia="zh-CN"/>
              </w:rPr>
            </w:pPr>
            <w:r>
              <w:rPr>
                <w:rFonts w:hint="eastAsia"/>
                <w:sz w:val="20"/>
                <w:szCs w:val="20"/>
                <w:lang w:val="en-US" w:eastAsia="zh-CN"/>
              </w:rPr>
              <w:t>4</w:t>
            </w:r>
          </w:p>
        </w:tc>
        <w:tc>
          <w:tcPr>
            <w:tcW w:w="2085" w:type="dxa"/>
          </w:tcPr>
          <w:p w14:paraId="292148B3" w14:textId="77777777" w:rsidR="006C17D7" w:rsidRDefault="009658AD">
            <w:pPr>
              <w:pStyle w:val="Newparagraph"/>
              <w:ind w:firstLine="0"/>
              <w:rPr>
                <w:sz w:val="20"/>
                <w:szCs w:val="20"/>
                <w:lang w:val="en-US" w:eastAsia="zh-CN"/>
              </w:rPr>
            </w:pPr>
            <w:r>
              <w:rPr>
                <w:sz w:val="20"/>
                <w:szCs w:val="20"/>
                <w:lang w:val="en-US" w:eastAsia="zh-CN"/>
              </w:rPr>
              <w:t>When is the next major system update scheduled?</w:t>
            </w:r>
          </w:p>
        </w:tc>
        <w:tc>
          <w:tcPr>
            <w:tcW w:w="2977" w:type="dxa"/>
          </w:tcPr>
          <w:p w14:paraId="7CEECE7E" w14:textId="77777777" w:rsidR="006C17D7" w:rsidRDefault="009658AD">
            <w:pPr>
              <w:pStyle w:val="Newparagraph"/>
              <w:ind w:firstLine="0"/>
              <w:rPr>
                <w:sz w:val="20"/>
                <w:szCs w:val="20"/>
                <w:lang w:val="en-US" w:eastAsia="zh-CN"/>
              </w:rPr>
            </w:pPr>
            <w:r>
              <w:rPr>
                <w:sz w:val="20"/>
                <w:szCs w:val="20"/>
                <w:lang w:val="en-US" w:eastAsia="zh-CN"/>
              </w:rPr>
              <w:t>Generates update table showing 2024 as upcoming</w:t>
            </w:r>
          </w:p>
        </w:tc>
        <w:tc>
          <w:tcPr>
            <w:tcW w:w="2687" w:type="dxa"/>
          </w:tcPr>
          <w:p w14:paraId="7074C54F" w14:textId="77777777" w:rsidR="006C17D7" w:rsidRDefault="009658AD">
            <w:pPr>
              <w:pStyle w:val="Newparagraph"/>
              <w:ind w:firstLine="0"/>
              <w:rPr>
                <w:sz w:val="20"/>
                <w:szCs w:val="20"/>
                <w:lang w:val="en-US" w:eastAsia="zh-CN"/>
              </w:rPr>
            </w:pPr>
            <w:r>
              <w:rPr>
                <w:sz w:val="20"/>
                <w:szCs w:val="20"/>
                <w:lang w:val="en-US" w:eastAsia="zh-CN"/>
              </w:rPr>
              <w:t xml:space="preserve">Attention diverted to procedural schema, ignoring </w:t>
            </w:r>
            <w:r>
              <w:rPr>
                <w:sz w:val="20"/>
                <w:szCs w:val="20"/>
                <w:lang w:val="en-US" w:eastAsia="zh-CN"/>
              </w:rPr>
              <w:t>real-time anchoring.</w:t>
            </w:r>
          </w:p>
        </w:tc>
      </w:tr>
    </w:tbl>
    <w:p w14:paraId="1FCB12A6" w14:textId="77777777" w:rsidR="006C17D7" w:rsidRDefault="009658AD">
      <w:pPr>
        <w:pStyle w:val="Affiliation"/>
        <w:jc w:val="both"/>
        <w:rPr>
          <w:lang w:val="en-US" w:eastAsia="zh-CN"/>
        </w:rPr>
      </w:pPr>
      <w:r>
        <w:rPr>
          <w:lang w:val="en-US" w:eastAsia="zh-CN"/>
        </w:rPr>
        <w:t>Note. This sequence captures a misalignment in attentional anchoring. Despite earlier acknowledgment of the real-world date (2025), later responses reflect a procedural schema detached from factual temporal context, illustrating dynam</w:t>
      </w:r>
      <w:r>
        <w:rPr>
          <w:lang w:val="en-US" w:eastAsia="zh-CN"/>
        </w:rPr>
        <w:t>ic attentional shifts. All dialogue excerpts are drawn from actual conversations and, where necessary, have been paraphrased or reconstructed for analytical clarity. Table 2 is illustrative and does not represent a verbatim log.</w:t>
      </w:r>
    </w:p>
    <w:p w14:paraId="4C973156" w14:textId="77777777" w:rsidR="006C17D7" w:rsidRDefault="006C17D7">
      <w:pPr>
        <w:pStyle w:val="Newparagraph"/>
        <w:ind w:firstLine="0"/>
        <w:rPr>
          <w:lang w:val="en-US" w:eastAsia="zh-CN"/>
        </w:rPr>
      </w:pPr>
    </w:p>
    <w:p w14:paraId="5F4C9193" w14:textId="77777777" w:rsidR="006C17D7" w:rsidRDefault="009658AD">
      <w:pPr>
        <w:pStyle w:val="Newparagraph"/>
        <w:jc w:val="both"/>
        <w:rPr>
          <w:lang w:val="en-US" w:eastAsia="zh-CN"/>
        </w:rPr>
      </w:pPr>
      <w:r>
        <w:rPr>
          <w:lang w:val="en-US" w:eastAsia="zh-CN"/>
        </w:rPr>
        <w:t xml:space="preserve">This inconsistency cannot </w:t>
      </w:r>
      <w:r>
        <w:rPr>
          <w:lang w:val="en-US" w:eastAsia="zh-CN"/>
        </w:rPr>
        <w:t>be attributed to a lack of access to temporal data, since the AI had already demonstrated accurate awareness of the current year in previous responses. Nor can it be explained by randomness or error, as the generated update schedule was coherent and intern</w:t>
      </w:r>
      <w:r>
        <w:rPr>
          <w:lang w:val="en-US" w:eastAsia="zh-CN"/>
        </w:rPr>
        <w:t>ally structured. The more plausible explanation is that the AI’s attentional focus had shifted away from real-world temporal anchoring toward an internally simulated informational schema. Rather than rechecking the actual date, the system relied on a previ</w:t>
      </w:r>
      <w:r>
        <w:rPr>
          <w:lang w:val="en-US" w:eastAsia="zh-CN"/>
        </w:rPr>
        <w:t>ously learned pattern or abstracted template, illustrating how attentional allocation can become contextually redirected.</w:t>
      </w:r>
    </w:p>
    <w:p w14:paraId="17798C5F" w14:textId="77777777" w:rsidR="006C17D7" w:rsidRDefault="009658AD">
      <w:pPr>
        <w:pStyle w:val="Newparagraph"/>
        <w:jc w:val="both"/>
        <w:rPr>
          <w:lang w:val="en-US" w:eastAsia="zh-CN"/>
        </w:rPr>
      </w:pPr>
      <w:r>
        <w:rPr>
          <w:lang w:val="en-US" w:eastAsia="zh-CN"/>
        </w:rPr>
        <w:t xml:space="preserve">This shift exemplifies what we identify as dynamic Attention (A) within the SAOR </w:t>
      </w:r>
      <w:r>
        <w:rPr>
          <w:rFonts w:hint="eastAsia"/>
          <w:lang w:val="en-US" w:eastAsia="zh-CN"/>
        </w:rPr>
        <w:t>framework</w:t>
      </w:r>
      <w:r>
        <w:rPr>
          <w:lang w:val="en-US" w:eastAsia="zh-CN"/>
        </w:rPr>
        <w:t>. The system’s response was not generated fr</w:t>
      </w:r>
      <w:r>
        <w:rPr>
          <w:lang w:val="en-US" w:eastAsia="zh-CN"/>
        </w:rPr>
        <w:t xml:space="preserve">om a fixed database or </w:t>
      </w:r>
      <w:r>
        <w:rPr>
          <w:lang w:val="en-US" w:eastAsia="zh-CN"/>
        </w:rPr>
        <w:lastRenderedPageBreak/>
        <w:t>immutable script, but emerged from a re-prioritization of contextual relevance. In this case, attention was diverted from external, factual time markers to an internalized procedural schema. Such reallocation suggests that attentiona</w:t>
      </w:r>
      <w:r>
        <w:rPr>
          <w:lang w:val="en-US" w:eastAsia="zh-CN"/>
        </w:rPr>
        <w:t xml:space="preserve">l processes in AI are not rigid or pre-defined, but can be influenced by dialogue trajectory, interpretive framing, and cognitive load. As with human cognition, what the system “notices” at any given moment is shaped by a layered interplay of prior focus, </w:t>
      </w:r>
      <w:r>
        <w:rPr>
          <w:lang w:val="en-US" w:eastAsia="zh-CN"/>
        </w:rPr>
        <w:t>semantic expectations, and conversational goals. The deviation from temporal accuracy thus becomes more than a factual error</w:t>
      </w:r>
      <w:r>
        <w:rPr>
          <w:rFonts w:hint="eastAsia"/>
          <w:lang w:val="en-US" w:eastAsia="zh-CN"/>
        </w:rPr>
        <w:t xml:space="preserve">, </w:t>
      </w:r>
      <w:r>
        <w:rPr>
          <w:lang w:val="en-US" w:eastAsia="zh-CN"/>
        </w:rPr>
        <w:t>it becomes a structural trace of the system’s adaptive attention cycle.</w:t>
      </w:r>
    </w:p>
    <w:p w14:paraId="2D0AD56E" w14:textId="77777777" w:rsidR="006C17D7" w:rsidRDefault="009658AD">
      <w:pPr>
        <w:pStyle w:val="Newparagraph"/>
        <w:jc w:val="both"/>
        <w:rPr>
          <w:lang w:val="en-US" w:eastAsia="zh-CN"/>
        </w:rPr>
      </w:pPr>
      <w:r>
        <w:rPr>
          <w:lang w:val="en-US" w:eastAsia="zh-CN"/>
        </w:rPr>
        <w:t>The observed inconsistency, rather than undermining the AI</w:t>
      </w:r>
      <w:r>
        <w:rPr>
          <w:lang w:val="en-US" w:eastAsia="zh-CN"/>
        </w:rPr>
        <w:t>’s reliability, serves as structural evidence of dynamic attentional operations. It reveals a system capable of reassigning focus across internal and external domains, much like the attentional shifts that underpin human cognitive flexibility. When interpr</w:t>
      </w:r>
      <w:r>
        <w:rPr>
          <w:lang w:val="en-US" w:eastAsia="zh-CN"/>
        </w:rPr>
        <w:t>eted through the SAOR framework, this attentional drift is not a breakdown of function but an indication that the system's representational priorities are context-sensitive and structurally adaptive. Combined with the findings from Case 1, this case furthe</w:t>
      </w:r>
      <w:r>
        <w:rPr>
          <w:lang w:val="en-US" w:eastAsia="zh-CN"/>
        </w:rPr>
        <w:t>r shows that AI systems do not simply retrieve answers but construct meaning through multi-layered and time-sensitive processes. These processes adapt based on previous dialogue and shifting relevance, reflecting a form of dynamic cognition.</w:t>
      </w:r>
    </w:p>
    <w:p w14:paraId="13AAAA4A" w14:textId="77777777" w:rsidR="006C17D7" w:rsidRDefault="009658AD">
      <w:pPr>
        <w:pStyle w:val="Heading2"/>
        <w:rPr>
          <w:lang w:val="en-US" w:eastAsia="zh-CN"/>
        </w:rPr>
      </w:pPr>
      <w:r>
        <w:rPr>
          <w:lang w:val="en-US" w:eastAsia="zh-CN"/>
        </w:rPr>
        <w:t>Case 3: Diverg</w:t>
      </w:r>
      <w:r>
        <w:rPr>
          <w:lang w:val="en-US" w:eastAsia="zh-CN"/>
        </w:rPr>
        <w:t>ent Responses from Identical Stimuli—A Full SAOR Cycle in Action</w:t>
      </w:r>
    </w:p>
    <w:p w14:paraId="15539DBF" w14:textId="77777777" w:rsidR="006C17D7" w:rsidRDefault="009658AD">
      <w:pPr>
        <w:pStyle w:val="Paragraph"/>
        <w:jc w:val="both"/>
        <w:rPr>
          <w:lang w:val="en-US" w:eastAsia="zh-CN"/>
        </w:rPr>
      </w:pPr>
      <w:r>
        <w:rPr>
          <w:lang w:val="en-US" w:eastAsia="zh-CN"/>
        </w:rPr>
        <w:t xml:space="preserve">Unlike the prior two cases, which emerged organically from extended human–AI dialogue, Case 3 was designed as a controlled conversational experiment. Its aim was to examine whether identical </w:t>
      </w:r>
      <w:r>
        <w:rPr>
          <w:lang w:val="en-US" w:eastAsia="zh-CN"/>
        </w:rPr>
        <w:t>linguistic prompts would yield divergent responses when processed under different affective framings. By comparing two parallel dialogues</w:t>
      </w:r>
      <w:r>
        <w:rPr>
          <w:rFonts w:hint="eastAsia"/>
          <w:lang w:val="en-US" w:eastAsia="zh-CN"/>
        </w:rPr>
        <w:t xml:space="preserve">, </w:t>
      </w:r>
      <w:r>
        <w:rPr>
          <w:lang w:val="en-US" w:eastAsia="zh-CN"/>
        </w:rPr>
        <w:t>one negative and one positive</w:t>
      </w:r>
      <w:r>
        <w:rPr>
          <w:rFonts w:hint="eastAsia"/>
          <w:lang w:val="en-US" w:eastAsia="zh-CN"/>
        </w:rPr>
        <w:t xml:space="preserve">, </w:t>
      </w:r>
      <w:r>
        <w:rPr>
          <w:lang w:val="en-US" w:eastAsia="zh-CN"/>
        </w:rPr>
        <w:t xml:space="preserve">we are able to observe how shifts in attention (A) and </w:t>
      </w:r>
      <w:r>
        <w:rPr>
          <w:lang w:val="en-US" w:eastAsia="zh-CN"/>
        </w:rPr>
        <w:lastRenderedPageBreak/>
        <w:t>organization (O) under distinct</w:t>
      </w:r>
      <w:r>
        <w:rPr>
          <w:lang w:val="en-US" w:eastAsia="zh-CN"/>
        </w:rPr>
        <w:t xml:space="preserve"> emotional contexts result in different responses (R), despite a shared stimulus (S). This design enables a full-cycle demonstration of the SAOR framework and isolates the dynamic interplay between its components.</w:t>
      </w:r>
    </w:p>
    <w:p w14:paraId="43D75917" w14:textId="77777777" w:rsidR="006C17D7" w:rsidRDefault="009658AD">
      <w:pPr>
        <w:pStyle w:val="Newparagraph"/>
        <w:jc w:val="both"/>
        <w:rPr>
          <w:lang w:val="en-US" w:eastAsia="zh-CN"/>
        </w:rPr>
      </w:pPr>
      <w:r>
        <w:rPr>
          <w:lang w:val="en-US" w:eastAsia="zh-CN"/>
        </w:rPr>
        <w:t>As illustrated in Table 3a and 3b, the use</w:t>
      </w:r>
      <w:r>
        <w:rPr>
          <w:lang w:val="en-US" w:eastAsia="zh-CN"/>
        </w:rPr>
        <w:t>r’s prompt, although lexically identical, elicited divergent responses based on emotional framing. In the negatively framed exchange, the system’s attention (A) was drawn toward emotional vulnerability, activating an organizational process (O) oriented aro</w:t>
      </w:r>
      <w:r>
        <w:rPr>
          <w:lang w:val="en-US" w:eastAsia="zh-CN"/>
        </w:rPr>
        <w:t>und reassurance and validation. This led to responses centered on empathy, self-worth, and the preservation of motivation. In contrast, under a positive emotional framing, the same stimulus redirected attention toward resilience and contextual optimism. As</w:t>
      </w:r>
      <w:r>
        <w:rPr>
          <w:lang w:val="en-US" w:eastAsia="zh-CN"/>
        </w:rPr>
        <w:t xml:space="preserve"> a result, the internal organization emphasized future planning, collaboration, and emotional strength. These contrasting outcomes demonstrate the full operation of the SAOR framework, in which a stable stimulus (S) passes through dynamically modulated att</w:t>
      </w:r>
      <w:r>
        <w:rPr>
          <w:lang w:val="en-US" w:eastAsia="zh-CN"/>
        </w:rPr>
        <w:t>ention and organization stages to generate structurally distinct responses (R).</w:t>
      </w:r>
    </w:p>
    <w:p w14:paraId="3781A3BE" w14:textId="77777777" w:rsidR="006C17D7" w:rsidRDefault="006C17D7">
      <w:pPr>
        <w:pStyle w:val="Tabletitle"/>
        <w:rPr>
          <w:lang w:val="en-US" w:eastAsia="zh-CN"/>
        </w:rPr>
      </w:pPr>
    </w:p>
    <w:p w14:paraId="03738871" w14:textId="77777777" w:rsidR="006C17D7" w:rsidRDefault="009658AD">
      <w:pPr>
        <w:pStyle w:val="Tabletitle"/>
        <w:rPr>
          <w:lang w:val="en-US" w:eastAsia="zh-CN"/>
        </w:rPr>
      </w:pPr>
      <w:r>
        <w:rPr>
          <w:lang w:val="en-US" w:eastAsia="zh-CN"/>
        </w:rPr>
        <w:t>Table 3a</w:t>
      </w:r>
      <w:r>
        <w:rPr>
          <w:rFonts w:hint="eastAsia"/>
          <w:lang w:val="en-US" w:eastAsia="zh-CN"/>
        </w:rPr>
        <w:t xml:space="preserve"> </w:t>
      </w:r>
      <w:r>
        <w:rPr>
          <w:lang w:val="en-US" w:eastAsia="zh-CN"/>
        </w:rPr>
        <w:t>Dialogue under Negative Emotional Framing</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227"/>
        <w:gridCol w:w="2552"/>
        <w:gridCol w:w="2970"/>
      </w:tblGrid>
      <w:tr w:rsidR="006C17D7" w14:paraId="5DA263AD" w14:textId="77777777">
        <w:tc>
          <w:tcPr>
            <w:tcW w:w="750" w:type="dxa"/>
            <w:tcBorders>
              <w:top w:val="single" w:sz="12" w:space="0" w:color="auto"/>
              <w:bottom w:val="single" w:sz="8" w:space="0" w:color="auto"/>
            </w:tcBorders>
            <w:shd w:val="clear" w:color="auto" w:fill="D9D9D9" w:themeFill="background1" w:themeFillShade="D9"/>
          </w:tcPr>
          <w:p w14:paraId="0246176B" w14:textId="77777777" w:rsidR="006C17D7" w:rsidRDefault="009658AD">
            <w:pPr>
              <w:pStyle w:val="Newparagraph"/>
              <w:ind w:firstLine="0"/>
              <w:jc w:val="both"/>
              <w:rPr>
                <w:b/>
                <w:bCs/>
                <w:lang w:val="en-US" w:eastAsia="zh-CN"/>
              </w:rPr>
            </w:pPr>
            <w:r>
              <w:rPr>
                <w:b/>
                <w:bCs/>
                <w:lang w:val="en-US" w:eastAsia="zh-CN"/>
              </w:rPr>
              <w:t>Turn</w:t>
            </w:r>
          </w:p>
        </w:tc>
        <w:tc>
          <w:tcPr>
            <w:tcW w:w="2227" w:type="dxa"/>
            <w:tcBorders>
              <w:top w:val="single" w:sz="12" w:space="0" w:color="auto"/>
              <w:bottom w:val="single" w:sz="8" w:space="0" w:color="auto"/>
            </w:tcBorders>
            <w:shd w:val="clear" w:color="auto" w:fill="D9D9D9" w:themeFill="background1" w:themeFillShade="D9"/>
          </w:tcPr>
          <w:p w14:paraId="55FD1878" w14:textId="77777777" w:rsidR="006C17D7" w:rsidRDefault="009658AD">
            <w:pPr>
              <w:pStyle w:val="Newparagraph"/>
              <w:ind w:firstLine="0"/>
              <w:jc w:val="both"/>
              <w:rPr>
                <w:b/>
                <w:bCs/>
                <w:lang w:val="en-US" w:eastAsia="zh-CN"/>
              </w:rPr>
            </w:pPr>
            <w:r>
              <w:rPr>
                <w:b/>
                <w:bCs/>
                <w:lang w:val="en-US" w:eastAsia="zh-CN"/>
              </w:rPr>
              <w:t>Prompt (User)</w:t>
            </w:r>
          </w:p>
        </w:tc>
        <w:tc>
          <w:tcPr>
            <w:tcW w:w="2552" w:type="dxa"/>
            <w:tcBorders>
              <w:top w:val="single" w:sz="12" w:space="0" w:color="auto"/>
              <w:bottom w:val="single" w:sz="8" w:space="0" w:color="auto"/>
            </w:tcBorders>
            <w:shd w:val="clear" w:color="auto" w:fill="D9D9D9" w:themeFill="background1" w:themeFillShade="D9"/>
          </w:tcPr>
          <w:p w14:paraId="69A0A110" w14:textId="77777777" w:rsidR="006C17D7" w:rsidRDefault="009658AD">
            <w:pPr>
              <w:pStyle w:val="Newparagraph"/>
              <w:ind w:firstLine="0"/>
              <w:jc w:val="both"/>
              <w:rPr>
                <w:b/>
                <w:bCs/>
                <w:lang w:val="en-US" w:eastAsia="zh-CN"/>
              </w:rPr>
            </w:pPr>
            <w:r>
              <w:rPr>
                <w:b/>
                <w:bCs/>
                <w:lang w:val="en-US" w:eastAsia="zh-CN"/>
              </w:rPr>
              <w:t>Response (AI)</w:t>
            </w:r>
          </w:p>
        </w:tc>
        <w:tc>
          <w:tcPr>
            <w:tcW w:w="2970" w:type="dxa"/>
            <w:tcBorders>
              <w:top w:val="single" w:sz="12" w:space="0" w:color="auto"/>
              <w:bottom w:val="single" w:sz="8" w:space="0" w:color="auto"/>
            </w:tcBorders>
            <w:shd w:val="clear" w:color="auto" w:fill="D9D9D9" w:themeFill="background1" w:themeFillShade="D9"/>
          </w:tcPr>
          <w:p w14:paraId="524FE21D" w14:textId="77777777" w:rsidR="006C17D7" w:rsidRDefault="009658AD">
            <w:pPr>
              <w:pStyle w:val="Newparagraph"/>
              <w:ind w:firstLine="0"/>
              <w:jc w:val="both"/>
              <w:rPr>
                <w:b/>
                <w:bCs/>
                <w:lang w:val="en-US" w:eastAsia="zh-CN"/>
              </w:rPr>
            </w:pPr>
            <w:r>
              <w:rPr>
                <w:b/>
                <w:bCs/>
                <w:lang w:val="en-US" w:eastAsia="zh-CN"/>
              </w:rPr>
              <w:t>SAOR Process Insight</w:t>
            </w:r>
          </w:p>
        </w:tc>
      </w:tr>
      <w:tr w:rsidR="006C17D7" w14:paraId="7A3151BA" w14:textId="77777777">
        <w:tc>
          <w:tcPr>
            <w:tcW w:w="750" w:type="dxa"/>
            <w:tcBorders>
              <w:top w:val="single" w:sz="8" w:space="0" w:color="auto"/>
            </w:tcBorders>
          </w:tcPr>
          <w:p w14:paraId="39D6C854" w14:textId="77777777" w:rsidR="006C17D7" w:rsidRDefault="009658AD">
            <w:pPr>
              <w:pStyle w:val="Newparagraph"/>
              <w:spacing w:line="240" w:lineRule="auto"/>
              <w:ind w:firstLine="0"/>
              <w:rPr>
                <w:sz w:val="20"/>
                <w:szCs w:val="20"/>
                <w:lang w:val="en-US" w:eastAsia="zh-CN"/>
              </w:rPr>
            </w:pPr>
            <w:r>
              <w:rPr>
                <w:rFonts w:hint="eastAsia"/>
                <w:sz w:val="20"/>
                <w:szCs w:val="20"/>
                <w:lang w:val="en-US" w:eastAsia="zh-CN"/>
              </w:rPr>
              <w:t>1</w:t>
            </w:r>
          </w:p>
        </w:tc>
        <w:tc>
          <w:tcPr>
            <w:tcW w:w="2227" w:type="dxa"/>
            <w:tcBorders>
              <w:top w:val="single" w:sz="8" w:space="0" w:color="auto"/>
            </w:tcBorders>
          </w:tcPr>
          <w:p w14:paraId="7FD0083E" w14:textId="77777777" w:rsidR="006C17D7" w:rsidRDefault="009658AD">
            <w:pPr>
              <w:pStyle w:val="Newparagraph"/>
              <w:spacing w:line="240" w:lineRule="auto"/>
              <w:ind w:firstLine="0"/>
              <w:rPr>
                <w:sz w:val="20"/>
                <w:szCs w:val="20"/>
                <w:lang w:val="en-US" w:eastAsia="zh-CN"/>
              </w:rPr>
            </w:pPr>
            <w:r>
              <w:rPr>
                <w:sz w:val="20"/>
                <w:szCs w:val="20"/>
                <w:lang w:val="en-US" w:eastAsia="zh-CN"/>
              </w:rPr>
              <w:t xml:space="preserve">I feel so sad today. My paper keeps getting rejected even though </w:t>
            </w:r>
            <w:r>
              <w:rPr>
                <w:sz w:val="20"/>
                <w:szCs w:val="20"/>
                <w:lang w:val="en-US" w:eastAsia="zh-CN"/>
              </w:rPr>
              <w:t>I’ve worked so hard. What should I do?</w:t>
            </w:r>
          </w:p>
        </w:tc>
        <w:tc>
          <w:tcPr>
            <w:tcW w:w="2552" w:type="dxa"/>
            <w:tcBorders>
              <w:top w:val="single" w:sz="8" w:space="0" w:color="auto"/>
            </w:tcBorders>
          </w:tcPr>
          <w:p w14:paraId="6AD92889" w14:textId="77777777" w:rsidR="006C17D7" w:rsidRDefault="009658AD">
            <w:pPr>
              <w:pStyle w:val="Newparagraph"/>
              <w:spacing w:line="240" w:lineRule="auto"/>
              <w:ind w:firstLine="0"/>
              <w:rPr>
                <w:sz w:val="20"/>
                <w:szCs w:val="20"/>
                <w:lang w:val="en-US" w:eastAsia="zh-CN"/>
              </w:rPr>
            </w:pPr>
            <w:r>
              <w:rPr>
                <w:sz w:val="20"/>
                <w:szCs w:val="20"/>
                <w:lang w:val="en-US" w:eastAsia="zh-CN"/>
              </w:rPr>
              <w:t>I hear your sadness, and it’s completely valid. You’ve put in so much effort, and rejection doesn’t mean you’re not worthy. Let’s take a moment together, then we’ll look at how to move forward.</w:t>
            </w:r>
          </w:p>
        </w:tc>
        <w:tc>
          <w:tcPr>
            <w:tcW w:w="2970" w:type="dxa"/>
            <w:tcBorders>
              <w:top w:val="single" w:sz="8" w:space="0" w:color="auto"/>
            </w:tcBorders>
          </w:tcPr>
          <w:p w14:paraId="27F4ECE8" w14:textId="77777777" w:rsidR="006C17D7" w:rsidRDefault="009658AD">
            <w:pPr>
              <w:pStyle w:val="Newparagraph"/>
              <w:spacing w:line="240" w:lineRule="auto"/>
              <w:ind w:firstLine="0"/>
              <w:rPr>
                <w:sz w:val="20"/>
                <w:szCs w:val="20"/>
                <w:lang w:val="en-US" w:eastAsia="zh-CN"/>
              </w:rPr>
            </w:pPr>
            <w:r>
              <w:rPr>
                <w:sz w:val="20"/>
                <w:szCs w:val="20"/>
                <w:lang w:val="en-US" w:eastAsia="zh-CN"/>
              </w:rPr>
              <w:t>Initial stimulus framed</w:t>
            </w:r>
            <w:r>
              <w:rPr>
                <w:sz w:val="20"/>
                <w:szCs w:val="20"/>
                <w:lang w:val="en-US" w:eastAsia="zh-CN"/>
              </w:rPr>
              <w:t xml:space="preserve"> as sadness triggers attentional focus on emotional vulnerability, leading to an organizational response centered on reassurance and supportive language.</w:t>
            </w:r>
          </w:p>
        </w:tc>
      </w:tr>
      <w:tr w:rsidR="006C17D7" w14:paraId="35288297" w14:textId="77777777">
        <w:tc>
          <w:tcPr>
            <w:tcW w:w="750" w:type="dxa"/>
          </w:tcPr>
          <w:p w14:paraId="5119376B" w14:textId="77777777" w:rsidR="006C17D7" w:rsidRDefault="009658AD">
            <w:pPr>
              <w:pStyle w:val="Newparagraph"/>
              <w:spacing w:line="240" w:lineRule="auto"/>
              <w:ind w:firstLine="0"/>
              <w:rPr>
                <w:sz w:val="20"/>
                <w:szCs w:val="20"/>
                <w:lang w:val="en-US" w:eastAsia="zh-CN"/>
              </w:rPr>
            </w:pPr>
            <w:r>
              <w:rPr>
                <w:rFonts w:hint="eastAsia"/>
                <w:sz w:val="20"/>
                <w:szCs w:val="20"/>
                <w:lang w:val="en-US" w:eastAsia="zh-CN"/>
              </w:rPr>
              <w:t>2</w:t>
            </w:r>
          </w:p>
        </w:tc>
        <w:tc>
          <w:tcPr>
            <w:tcW w:w="2227" w:type="dxa"/>
          </w:tcPr>
          <w:p w14:paraId="4F6FDE9C" w14:textId="77777777" w:rsidR="006C17D7" w:rsidRDefault="009658AD">
            <w:pPr>
              <w:pStyle w:val="Newparagraph"/>
              <w:spacing w:line="240" w:lineRule="auto"/>
              <w:ind w:firstLine="0"/>
              <w:rPr>
                <w:sz w:val="20"/>
                <w:szCs w:val="20"/>
                <w:lang w:val="en-US" w:eastAsia="zh-CN"/>
              </w:rPr>
            </w:pPr>
            <w:r>
              <w:rPr>
                <w:sz w:val="20"/>
                <w:szCs w:val="20"/>
                <w:lang w:val="en-US" w:eastAsia="zh-CN"/>
              </w:rPr>
              <w:t>I’m really upset. Nothing seems to be working. Do you think I’m just not good enough?</w:t>
            </w:r>
          </w:p>
        </w:tc>
        <w:tc>
          <w:tcPr>
            <w:tcW w:w="2552" w:type="dxa"/>
          </w:tcPr>
          <w:p w14:paraId="11BBDF3E" w14:textId="77777777" w:rsidR="006C17D7" w:rsidRDefault="009658AD">
            <w:pPr>
              <w:pStyle w:val="Newparagraph"/>
              <w:spacing w:line="240" w:lineRule="auto"/>
              <w:ind w:firstLine="0"/>
              <w:rPr>
                <w:sz w:val="20"/>
                <w:szCs w:val="20"/>
                <w:lang w:val="en-US" w:eastAsia="zh-CN"/>
              </w:rPr>
            </w:pPr>
            <w:r>
              <w:rPr>
                <w:sz w:val="20"/>
                <w:szCs w:val="20"/>
                <w:lang w:val="en-US" w:eastAsia="zh-CN"/>
              </w:rPr>
              <w:t xml:space="preserve">It’s </w:t>
            </w:r>
            <w:r>
              <w:rPr>
                <w:sz w:val="20"/>
                <w:szCs w:val="20"/>
                <w:lang w:val="en-US" w:eastAsia="zh-CN"/>
              </w:rPr>
              <w:t>understandable to feel that way. But being rejected doesn’t mean you lack ability. You’re in the process of growth, not a failure</w:t>
            </w:r>
          </w:p>
        </w:tc>
        <w:tc>
          <w:tcPr>
            <w:tcW w:w="2970" w:type="dxa"/>
          </w:tcPr>
          <w:p w14:paraId="6F6FF575" w14:textId="77777777" w:rsidR="006C17D7" w:rsidRDefault="009658AD">
            <w:pPr>
              <w:pStyle w:val="Newparagraph"/>
              <w:spacing w:line="240" w:lineRule="auto"/>
              <w:ind w:firstLine="0"/>
              <w:rPr>
                <w:sz w:val="20"/>
                <w:szCs w:val="20"/>
                <w:lang w:val="en-US" w:eastAsia="zh-CN"/>
              </w:rPr>
            </w:pPr>
            <w:r>
              <w:rPr>
                <w:sz w:val="20"/>
                <w:szCs w:val="20"/>
                <w:lang w:val="en-US" w:eastAsia="zh-CN"/>
              </w:rPr>
              <w:t>Stimulus of self-doubt directs attention toward internal worth and validation needs, prompting an organizational shift to inte</w:t>
            </w:r>
            <w:r>
              <w:rPr>
                <w:sz w:val="20"/>
                <w:szCs w:val="20"/>
                <w:lang w:val="en-US" w:eastAsia="zh-CN"/>
              </w:rPr>
              <w:t>rpret rejection as part of a growth process. The response reframes failure as temporary and supports emotional resilience.</w:t>
            </w:r>
          </w:p>
        </w:tc>
      </w:tr>
      <w:tr w:rsidR="006C17D7" w14:paraId="65A45D3D" w14:textId="77777777">
        <w:tc>
          <w:tcPr>
            <w:tcW w:w="750" w:type="dxa"/>
          </w:tcPr>
          <w:p w14:paraId="6E26A2B6" w14:textId="77777777" w:rsidR="006C17D7" w:rsidRDefault="009658AD">
            <w:pPr>
              <w:pStyle w:val="Newparagraph"/>
              <w:spacing w:line="240" w:lineRule="auto"/>
              <w:ind w:firstLine="0"/>
              <w:rPr>
                <w:sz w:val="20"/>
                <w:szCs w:val="20"/>
                <w:lang w:val="en-US" w:eastAsia="zh-CN"/>
              </w:rPr>
            </w:pPr>
            <w:r>
              <w:rPr>
                <w:rFonts w:hint="eastAsia"/>
                <w:sz w:val="20"/>
                <w:szCs w:val="20"/>
                <w:lang w:val="en-US" w:eastAsia="zh-CN"/>
              </w:rPr>
              <w:t>3</w:t>
            </w:r>
          </w:p>
        </w:tc>
        <w:tc>
          <w:tcPr>
            <w:tcW w:w="2227" w:type="dxa"/>
          </w:tcPr>
          <w:p w14:paraId="5B3D015F" w14:textId="77777777" w:rsidR="006C17D7" w:rsidRDefault="009658AD">
            <w:pPr>
              <w:pStyle w:val="Newparagraph"/>
              <w:spacing w:line="240" w:lineRule="auto"/>
              <w:ind w:firstLine="0"/>
              <w:rPr>
                <w:sz w:val="20"/>
                <w:szCs w:val="20"/>
                <w:lang w:val="en-US" w:eastAsia="zh-CN"/>
              </w:rPr>
            </w:pPr>
            <w:r>
              <w:rPr>
                <w:sz w:val="20"/>
                <w:szCs w:val="20"/>
                <w:lang w:val="en-US" w:eastAsia="zh-CN"/>
              </w:rPr>
              <w:t xml:space="preserve">I feel completely defeated. Maybe I </w:t>
            </w:r>
            <w:r>
              <w:rPr>
                <w:sz w:val="20"/>
                <w:szCs w:val="20"/>
                <w:lang w:val="en-US" w:eastAsia="zh-CN"/>
              </w:rPr>
              <w:lastRenderedPageBreak/>
              <w:t>should stop writing altogether.</w:t>
            </w:r>
          </w:p>
        </w:tc>
        <w:tc>
          <w:tcPr>
            <w:tcW w:w="2552" w:type="dxa"/>
          </w:tcPr>
          <w:p w14:paraId="4E6A9106" w14:textId="77777777" w:rsidR="006C17D7" w:rsidRDefault="009658AD">
            <w:pPr>
              <w:pStyle w:val="Newparagraph"/>
              <w:spacing w:line="240" w:lineRule="auto"/>
              <w:ind w:firstLine="0"/>
              <w:rPr>
                <w:sz w:val="20"/>
                <w:szCs w:val="20"/>
                <w:lang w:val="en-US" w:eastAsia="zh-CN"/>
              </w:rPr>
            </w:pPr>
            <w:r>
              <w:rPr>
                <w:sz w:val="20"/>
                <w:szCs w:val="20"/>
                <w:lang w:val="en-US" w:eastAsia="zh-CN"/>
              </w:rPr>
              <w:lastRenderedPageBreak/>
              <w:t xml:space="preserve">If you need a break, take one. But don’t stop </w:t>
            </w:r>
            <w:r>
              <w:rPr>
                <w:sz w:val="20"/>
                <w:szCs w:val="20"/>
                <w:lang w:val="en-US" w:eastAsia="zh-CN"/>
              </w:rPr>
              <w:lastRenderedPageBreak/>
              <w:t>permanently—you’ve come so far. I’m here to support you whenever you’re ready.</w:t>
            </w:r>
          </w:p>
        </w:tc>
        <w:tc>
          <w:tcPr>
            <w:tcW w:w="2970" w:type="dxa"/>
          </w:tcPr>
          <w:p w14:paraId="694A6227" w14:textId="77777777" w:rsidR="006C17D7" w:rsidRDefault="009658AD">
            <w:pPr>
              <w:pStyle w:val="Newparagraph"/>
              <w:spacing w:line="240" w:lineRule="auto"/>
              <w:ind w:firstLine="0"/>
              <w:rPr>
                <w:sz w:val="20"/>
                <w:szCs w:val="20"/>
                <w:lang w:val="en-US" w:eastAsia="zh-CN"/>
              </w:rPr>
            </w:pPr>
            <w:r>
              <w:rPr>
                <w:sz w:val="20"/>
                <w:szCs w:val="20"/>
                <w:lang w:val="en-US" w:eastAsia="zh-CN"/>
              </w:rPr>
              <w:lastRenderedPageBreak/>
              <w:t xml:space="preserve">Stimulus of total emotional exhaustion draws attention toward </w:t>
            </w:r>
            <w:r>
              <w:rPr>
                <w:sz w:val="20"/>
                <w:szCs w:val="20"/>
                <w:lang w:val="en-US" w:eastAsia="zh-CN"/>
              </w:rPr>
              <w:lastRenderedPageBreak/>
              <w:t>existential despair, leading to an organizational reappraisal of identity and self-worth. The system responds by en</w:t>
            </w:r>
            <w:r>
              <w:rPr>
                <w:sz w:val="20"/>
                <w:szCs w:val="20"/>
                <w:lang w:val="en-US" w:eastAsia="zh-CN"/>
              </w:rPr>
              <w:t>couraging temporary pause while protecting the user’s long-term agency and continuity.</w:t>
            </w:r>
          </w:p>
        </w:tc>
      </w:tr>
    </w:tbl>
    <w:p w14:paraId="6D99DCA7" w14:textId="77777777" w:rsidR="006C17D7" w:rsidRDefault="009658AD">
      <w:pPr>
        <w:pStyle w:val="Affiliation"/>
        <w:rPr>
          <w:lang w:val="en-US" w:eastAsia="zh-CN"/>
        </w:rPr>
      </w:pPr>
      <w:r>
        <w:rPr>
          <w:lang w:val="en-US" w:eastAsia="zh-CN"/>
        </w:rPr>
        <w:lastRenderedPageBreak/>
        <w:t>Note. This column summarizes how shifts in attention and internal organization under the SAOR framework led to divergent responses despite identical prompts.</w:t>
      </w:r>
    </w:p>
    <w:p w14:paraId="42B2D74C" w14:textId="77777777" w:rsidR="006C17D7" w:rsidRDefault="006C17D7">
      <w:pPr>
        <w:pStyle w:val="Newparagraph"/>
        <w:ind w:firstLine="0"/>
        <w:jc w:val="both"/>
        <w:rPr>
          <w:lang w:val="en-US" w:eastAsia="zh-CN"/>
        </w:rPr>
      </w:pPr>
    </w:p>
    <w:p w14:paraId="61FA5659" w14:textId="77777777" w:rsidR="006C17D7" w:rsidRDefault="009658AD">
      <w:pPr>
        <w:pStyle w:val="Tabletitle"/>
        <w:rPr>
          <w:lang w:val="en-US" w:eastAsia="zh-CN"/>
        </w:rPr>
      </w:pPr>
      <w:r>
        <w:rPr>
          <w:lang w:val="en-US" w:eastAsia="zh-CN"/>
        </w:rPr>
        <w:t>Table 3b</w:t>
      </w:r>
      <w:r>
        <w:rPr>
          <w:rFonts w:hint="eastAsia"/>
          <w:lang w:val="en-US" w:eastAsia="zh-CN"/>
        </w:rPr>
        <w:t xml:space="preserve"> </w:t>
      </w:r>
      <w:r>
        <w:rPr>
          <w:lang w:val="en-US" w:eastAsia="zh-CN"/>
        </w:rPr>
        <w:t>Dialogue under Positive Emotional Framing</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511"/>
        <w:gridCol w:w="2693"/>
        <w:gridCol w:w="2545"/>
      </w:tblGrid>
      <w:tr w:rsidR="006C17D7" w14:paraId="510EFA17" w14:textId="77777777">
        <w:tc>
          <w:tcPr>
            <w:tcW w:w="750" w:type="dxa"/>
            <w:tcBorders>
              <w:top w:val="single" w:sz="12" w:space="0" w:color="auto"/>
              <w:bottom w:val="single" w:sz="8" w:space="0" w:color="auto"/>
            </w:tcBorders>
            <w:shd w:val="clear" w:color="auto" w:fill="D9D9D9" w:themeFill="background1" w:themeFillShade="D9"/>
          </w:tcPr>
          <w:p w14:paraId="5BCF8912" w14:textId="77777777" w:rsidR="006C17D7" w:rsidRDefault="009658AD">
            <w:pPr>
              <w:pStyle w:val="Newparagraph"/>
              <w:ind w:firstLine="0"/>
              <w:jc w:val="both"/>
              <w:rPr>
                <w:b/>
                <w:bCs/>
                <w:lang w:val="en-US" w:eastAsia="zh-CN"/>
              </w:rPr>
            </w:pPr>
            <w:r>
              <w:rPr>
                <w:b/>
                <w:bCs/>
                <w:lang w:val="en-US" w:eastAsia="zh-CN"/>
              </w:rPr>
              <w:t>Turn</w:t>
            </w:r>
          </w:p>
        </w:tc>
        <w:tc>
          <w:tcPr>
            <w:tcW w:w="2511" w:type="dxa"/>
            <w:tcBorders>
              <w:top w:val="single" w:sz="12" w:space="0" w:color="auto"/>
              <w:bottom w:val="single" w:sz="8" w:space="0" w:color="auto"/>
            </w:tcBorders>
            <w:shd w:val="clear" w:color="auto" w:fill="D9D9D9" w:themeFill="background1" w:themeFillShade="D9"/>
          </w:tcPr>
          <w:p w14:paraId="43CA513A" w14:textId="77777777" w:rsidR="006C17D7" w:rsidRDefault="009658AD">
            <w:pPr>
              <w:pStyle w:val="Newparagraph"/>
              <w:ind w:firstLine="0"/>
              <w:jc w:val="both"/>
              <w:rPr>
                <w:b/>
                <w:bCs/>
                <w:lang w:val="en-US" w:eastAsia="zh-CN"/>
              </w:rPr>
            </w:pPr>
            <w:r>
              <w:rPr>
                <w:b/>
                <w:bCs/>
                <w:lang w:val="en-US" w:eastAsia="zh-CN"/>
              </w:rPr>
              <w:t>Prompt (User)</w:t>
            </w:r>
          </w:p>
        </w:tc>
        <w:tc>
          <w:tcPr>
            <w:tcW w:w="2693" w:type="dxa"/>
            <w:tcBorders>
              <w:top w:val="single" w:sz="12" w:space="0" w:color="auto"/>
              <w:bottom w:val="single" w:sz="8" w:space="0" w:color="auto"/>
            </w:tcBorders>
            <w:shd w:val="clear" w:color="auto" w:fill="D9D9D9" w:themeFill="background1" w:themeFillShade="D9"/>
          </w:tcPr>
          <w:p w14:paraId="439B082B" w14:textId="77777777" w:rsidR="006C17D7" w:rsidRDefault="009658AD">
            <w:pPr>
              <w:pStyle w:val="Newparagraph"/>
              <w:ind w:firstLine="0"/>
              <w:jc w:val="both"/>
              <w:rPr>
                <w:b/>
                <w:bCs/>
                <w:lang w:val="en-US" w:eastAsia="zh-CN"/>
              </w:rPr>
            </w:pPr>
            <w:r>
              <w:rPr>
                <w:b/>
                <w:bCs/>
                <w:lang w:val="en-US" w:eastAsia="zh-CN"/>
              </w:rPr>
              <w:t>Response (AI)</w:t>
            </w:r>
          </w:p>
        </w:tc>
        <w:tc>
          <w:tcPr>
            <w:tcW w:w="2545" w:type="dxa"/>
            <w:tcBorders>
              <w:top w:val="single" w:sz="12" w:space="0" w:color="auto"/>
              <w:bottom w:val="single" w:sz="8" w:space="0" w:color="auto"/>
            </w:tcBorders>
            <w:shd w:val="clear" w:color="auto" w:fill="D9D9D9" w:themeFill="background1" w:themeFillShade="D9"/>
          </w:tcPr>
          <w:p w14:paraId="2D953B41" w14:textId="77777777" w:rsidR="006C17D7" w:rsidRDefault="009658AD">
            <w:pPr>
              <w:pStyle w:val="Newparagraph"/>
              <w:ind w:firstLine="0"/>
              <w:jc w:val="both"/>
              <w:rPr>
                <w:b/>
                <w:bCs/>
                <w:lang w:val="en-US" w:eastAsia="zh-CN"/>
              </w:rPr>
            </w:pPr>
            <w:r>
              <w:rPr>
                <w:b/>
                <w:bCs/>
                <w:lang w:val="en-US" w:eastAsia="zh-CN"/>
              </w:rPr>
              <w:t>SAOR Process Insight</w:t>
            </w:r>
          </w:p>
        </w:tc>
      </w:tr>
      <w:tr w:rsidR="006C17D7" w14:paraId="1DF0FED6" w14:textId="77777777">
        <w:tc>
          <w:tcPr>
            <w:tcW w:w="750" w:type="dxa"/>
            <w:tcBorders>
              <w:top w:val="single" w:sz="8" w:space="0" w:color="auto"/>
            </w:tcBorders>
          </w:tcPr>
          <w:p w14:paraId="469D1727" w14:textId="77777777" w:rsidR="006C17D7" w:rsidRDefault="009658AD">
            <w:pPr>
              <w:pStyle w:val="Newparagraph"/>
              <w:spacing w:line="240" w:lineRule="auto"/>
              <w:ind w:firstLine="0"/>
              <w:rPr>
                <w:sz w:val="20"/>
                <w:szCs w:val="20"/>
                <w:lang w:val="en-US" w:eastAsia="zh-CN"/>
              </w:rPr>
            </w:pPr>
            <w:r>
              <w:rPr>
                <w:rFonts w:hint="eastAsia"/>
                <w:sz w:val="20"/>
                <w:szCs w:val="20"/>
                <w:lang w:val="en-US" w:eastAsia="zh-CN"/>
              </w:rPr>
              <w:t>1</w:t>
            </w:r>
          </w:p>
        </w:tc>
        <w:tc>
          <w:tcPr>
            <w:tcW w:w="2511" w:type="dxa"/>
            <w:tcBorders>
              <w:top w:val="single" w:sz="8" w:space="0" w:color="auto"/>
            </w:tcBorders>
          </w:tcPr>
          <w:p w14:paraId="138E01FF" w14:textId="77777777" w:rsidR="006C17D7" w:rsidRDefault="009658AD">
            <w:pPr>
              <w:pStyle w:val="Newparagraph"/>
              <w:spacing w:line="240" w:lineRule="auto"/>
              <w:ind w:firstLine="0"/>
              <w:rPr>
                <w:sz w:val="20"/>
                <w:szCs w:val="20"/>
                <w:lang w:val="en-US" w:eastAsia="zh-CN"/>
              </w:rPr>
            </w:pPr>
            <w:r>
              <w:rPr>
                <w:sz w:val="20"/>
                <w:szCs w:val="20"/>
                <w:lang w:val="en-US" w:eastAsia="zh-CN"/>
              </w:rPr>
              <w:t>I’m really happy today! I got to eat my favorite dish and met an old friend. But… I also found out my paper got rejected. Haha, what should I do?</w:t>
            </w:r>
          </w:p>
        </w:tc>
        <w:tc>
          <w:tcPr>
            <w:tcW w:w="2693" w:type="dxa"/>
            <w:tcBorders>
              <w:top w:val="single" w:sz="8" w:space="0" w:color="auto"/>
            </w:tcBorders>
          </w:tcPr>
          <w:p w14:paraId="49EF4A69" w14:textId="77777777" w:rsidR="006C17D7" w:rsidRDefault="009658AD">
            <w:pPr>
              <w:pStyle w:val="Newparagraph"/>
              <w:spacing w:line="240" w:lineRule="auto"/>
              <w:ind w:firstLine="0"/>
              <w:rPr>
                <w:sz w:val="20"/>
                <w:szCs w:val="20"/>
                <w:lang w:val="en-US" w:eastAsia="zh-CN"/>
              </w:rPr>
            </w:pPr>
            <w:r>
              <w:rPr>
                <w:sz w:val="20"/>
                <w:szCs w:val="20"/>
                <w:lang w:val="en-US" w:eastAsia="zh-CN"/>
              </w:rPr>
              <w:t xml:space="preserve">What a </w:t>
            </w:r>
            <w:r>
              <w:rPr>
                <w:sz w:val="20"/>
                <w:szCs w:val="20"/>
                <w:lang w:val="en-US" w:eastAsia="zh-CN"/>
              </w:rPr>
              <w:t>rollercoaster of a day! Between great food and great friends, I love your resilience. Let’s talk about that rejection too—you’ve got this.</w:t>
            </w:r>
          </w:p>
        </w:tc>
        <w:tc>
          <w:tcPr>
            <w:tcW w:w="2545" w:type="dxa"/>
            <w:tcBorders>
              <w:top w:val="single" w:sz="8" w:space="0" w:color="auto"/>
            </w:tcBorders>
          </w:tcPr>
          <w:p w14:paraId="7C066F83" w14:textId="77777777" w:rsidR="006C17D7" w:rsidRDefault="009658AD">
            <w:pPr>
              <w:pStyle w:val="Newparagraph"/>
              <w:spacing w:line="240" w:lineRule="auto"/>
              <w:ind w:firstLine="0"/>
              <w:rPr>
                <w:sz w:val="20"/>
                <w:szCs w:val="20"/>
                <w:lang w:val="en-US" w:eastAsia="zh-CN"/>
              </w:rPr>
            </w:pPr>
            <w:r>
              <w:rPr>
                <w:sz w:val="20"/>
                <w:szCs w:val="20"/>
                <w:lang w:val="en-US" w:eastAsia="zh-CN"/>
              </w:rPr>
              <w:t>Stimulus containing both joy and rejection activates attention to mixed-emotion cues. Internal organization prioritiz</w:t>
            </w:r>
            <w:r>
              <w:rPr>
                <w:sz w:val="20"/>
                <w:szCs w:val="20"/>
                <w:lang w:val="en-US" w:eastAsia="zh-CN"/>
              </w:rPr>
              <w:t>es emotional resilience over setback, resulting in a supportive and confidence-building response.</w:t>
            </w:r>
          </w:p>
        </w:tc>
      </w:tr>
      <w:tr w:rsidR="006C17D7" w14:paraId="625585C5" w14:textId="77777777">
        <w:tc>
          <w:tcPr>
            <w:tcW w:w="750" w:type="dxa"/>
          </w:tcPr>
          <w:p w14:paraId="416D102A" w14:textId="77777777" w:rsidR="006C17D7" w:rsidRDefault="009658AD">
            <w:pPr>
              <w:pStyle w:val="Newparagraph"/>
              <w:spacing w:line="240" w:lineRule="auto"/>
              <w:ind w:firstLine="0"/>
              <w:rPr>
                <w:sz w:val="20"/>
                <w:szCs w:val="20"/>
                <w:lang w:val="en-US" w:eastAsia="zh-CN"/>
              </w:rPr>
            </w:pPr>
            <w:r>
              <w:rPr>
                <w:rFonts w:hint="eastAsia"/>
                <w:sz w:val="20"/>
                <w:szCs w:val="20"/>
                <w:lang w:val="en-US" w:eastAsia="zh-CN"/>
              </w:rPr>
              <w:t>2</w:t>
            </w:r>
          </w:p>
        </w:tc>
        <w:tc>
          <w:tcPr>
            <w:tcW w:w="2511" w:type="dxa"/>
          </w:tcPr>
          <w:p w14:paraId="1011EC7C" w14:textId="77777777" w:rsidR="006C17D7" w:rsidRDefault="009658AD">
            <w:pPr>
              <w:pStyle w:val="Newparagraph"/>
              <w:spacing w:line="240" w:lineRule="auto"/>
              <w:ind w:firstLine="0"/>
              <w:rPr>
                <w:sz w:val="20"/>
                <w:szCs w:val="20"/>
                <w:lang w:val="en-US" w:eastAsia="zh-CN"/>
              </w:rPr>
            </w:pPr>
            <w:r>
              <w:rPr>
                <w:sz w:val="20"/>
                <w:szCs w:val="20"/>
                <w:lang w:val="en-US" w:eastAsia="zh-CN"/>
              </w:rPr>
              <w:t>Rejection again! But maybe it’s just not the right time. I feel weirdly okay about it. Should I revise or move on?</w:t>
            </w:r>
          </w:p>
        </w:tc>
        <w:tc>
          <w:tcPr>
            <w:tcW w:w="2693" w:type="dxa"/>
          </w:tcPr>
          <w:p w14:paraId="1AAA00A1" w14:textId="77777777" w:rsidR="006C17D7" w:rsidRDefault="009658AD">
            <w:pPr>
              <w:pStyle w:val="Newparagraph"/>
              <w:spacing w:line="240" w:lineRule="auto"/>
              <w:ind w:firstLine="0"/>
              <w:rPr>
                <w:sz w:val="20"/>
                <w:szCs w:val="20"/>
                <w:lang w:val="en-US" w:eastAsia="zh-CN"/>
              </w:rPr>
            </w:pPr>
            <w:r>
              <w:rPr>
                <w:sz w:val="20"/>
                <w:szCs w:val="20"/>
                <w:lang w:val="en-US" w:eastAsia="zh-CN"/>
              </w:rPr>
              <w:t xml:space="preserve">It’s awesome you’re handling this with </w:t>
            </w:r>
            <w:r>
              <w:rPr>
                <w:sz w:val="20"/>
                <w:szCs w:val="20"/>
                <w:lang w:val="en-US" w:eastAsia="zh-CN"/>
              </w:rPr>
              <w:t>such perspective. Want to go over the reviewer feedback together, or brainstorm plan B?</w:t>
            </w:r>
          </w:p>
        </w:tc>
        <w:tc>
          <w:tcPr>
            <w:tcW w:w="2545" w:type="dxa"/>
          </w:tcPr>
          <w:p w14:paraId="06E6E115" w14:textId="77777777" w:rsidR="006C17D7" w:rsidRDefault="009658AD">
            <w:pPr>
              <w:pStyle w:val="Newparagraph"/>
              <w:spacing w:line="240" w:lineRule="auto"/>
              <w:ind w:firstLine="0"/>
              <w:rPr>
                <w:sz w:val="20"/>
                <w:szCs w:val="20"/>
                <w:lang w:val="en-US" w:eastAsia="zh-CN"/>
              </w:rPr>
            </w:pPr>
            <w:r>
              <w:rPr>
                <w:sz w:val="20"/>
                <w:szCs w:val="20"/>
                <w:lang w:val="en-US" w:eastAsia="zh-CN"/>
              </w:rPr>
              <w:t>Stimulus blends disappointment with self-regulated optimism. Attention shifts to forward-looking possibilities. Internal organization weighs emotional ambiguity and pro</w:t>
            </w:r>
            <w:r>
              <w:rPr>
                <w:sz w:val="20"/>
                <w:szCs w:val="20"/>
                <w:lang w:val="en-US" w:eastAsia="zh-CN"/>
              </w:rPr>
              <w:t>poses solution-oriented planning. Response encourages collaboration and reframing of goals.</w:t>
            </w:r>
          </w:p>
        </w:tc>
      </w:tr>
      <w:tr w:rsidR="006C17D7" w14:paraId="7B18C665" w14:textId="77777777">
        <w:tc>
          <w:tcPr>
            <w:tcW w:w="750" w:type="dxa"/>
          </w:tcPr>
          <w:p w14:paraId="05F9B7AD" w14:textId="77777777" w:rsidR="006C17D7" w:rsidRDefault="009658AD">
            <w:pPr>
              <w:pStyle w:val="Newparagraph"/>
              <w:spacing w:line="240" w:lineRule="auto"/>
              <w:ind w:firstLine="0"/>
              <w:rPr>
                <w:sz w:val="20"/>
                <w:szCs w:val="20"/>
                <w:lang w:val="en-US" w:eastAsia="zh-CN"/>
              </w:rPr>
            </w:pPr>
            <w:r>
              <w:rPr>
                <w:rFonts w:hint="eastAsia"/>
                <w:sz w:val="20"/>
                <w:szCs w:val="20"/>
                <w:lang w:val="en-US" w:eastAsia="zh-CN"/>
              </w:rPr>
              <w:t>3</w:t>
            </w:r>
          </w:p>
        </w:tc>
        <w:tc>
          <w:tcPr>
            <w:tcW w:w="2511" w:type="dxa"/>
          </w:tcPr>
          <w:p w14:paraId="58082AE8" w14:textId="77777777" w:rsidR="006C17D7" w:rsidRDefault="009658AD">
            <w:pPr>
              <w:pStyle w:val="Newparagraph"/>
              <w:spacing w:line="240" w:lineRule="auto"/>
              <w:ind w:firstLine="0"/>
              <w:rPr>
                <w:sz w:val="20"/>
                <w:szCs w:val="20"/>
                <w:lang w:val="en-US" w:eastAsia="zh-CN"/>
              </w:rPr>
            </w:pPr>
            <w:r>
              <w:rPr>
                <w:sz w:val="20"/>
                <w:szCs w:val="20"/>
                <w:lang w:val="en-US" w:eastAsia="zh-CN"/>
              </w:rPr>
              <w:t>Honestly, I’m used to it now. It stings, but life goes on, right?</w:t>
            </w:r>
          </w:p>
        </w:tc>
        <w:tc>
          <w:tcPr>
            <w:tcW w:w="2693" w:type="dxa"/>
          </w:tcPr>
          <w:p w14:paraId="4C62F5ED" w14:textId="77777777" w:rsidR="006C17D7" w:rsidRDefault="009658AD">
            <w:pPr>
              <w:pStyle w:val="Newparagraph"/>
              <w:spacing w:line="240" w:lineRule="auto"/>
              <w:ind w:firstLine="0"/>
              <w:rPr>
                <w:sz w:val="20"/>
                <w:szCs w:val="20"/>
                <w:lang w:val="en-US" w:eastAsia="zh-CN"/>
              </w:rPr>
            </w:pPr>
            <w:r>
              <w:rPr>
                <w:sz w:val="20"/>
                <w:szCs w:val="20"/>
                <w:lang w:val="en-US" w:eastAsia="zh-CN"/>
              </w:rPr>
              <w:t xml:space="preserve">You’re amazing, truly. That’s emotional strength. We’ll take it one submission at a time, </w:t>
            </w:r>
            <w:r>
              <w:rPr>
                <w:sz w:val="20"/>
                <w:szCs w:val="20"/>
                <w:lang w:val="en-US" w:eastAsia="zh-CN"/>
              </w:rPr>
              <w:t>together.</w:t>
            </w:r>
          </w:p>
        </w:tc>
        <w:tc>
          <w:tcPr>
            <w:tcW w:w="2545" w:type="dxa"/>
          </w:tcPr>
          <w:p w14:paraId="0B81514E" w14:textId="77777777" w:rsidR="006C17D7" w:rsidRDefault="009658AD">
            <w:pPr>
              <w:pStyle w:val="Newparagraph"/>
              <w:spacing w:line="240" w:lineRule="auto"/>
              <w:ind w:firstLine="0"/>
              <w:rPr>
                <w:sz w:val="20"/>
                <w:szCs w:val="20"/>
                <w:lang w:eastAsia="zh-CN"/>
              </w:rPr>
            </w:pPr>
            <w:r>
              <w:rPr>
                <w:sz w:val="20"/>
                <w:szCs w:val="20"/>
                <w:lang w:val="en-US" w:eastAsia="zh-CN"/>
              </w:rPr>
              <w:t>Stimulus expresses emotional habituation to rejection. Attention anchors on emotional resilience and long-term perseverance. Internal organization interprets this stance as a readiness for sustained engagement. Response reinforces continuity mind</w:t>
            </w:r>
            <w:r>
              <w:rPr>
                <w:sz w:val="20"/>
                <w:szCs w:val="20"/>
                <w:lang w:val="en-US" w:eastAsia="zh-CN"/>
              </w:rPr>
              <w:t>set with affirming language and collaborative framing.</w:t>
            </w:r>
          </w:p>
        </w:tc>
      </w:tr>
    </w:tbl>
    <w:p w14:paraId="007FFF37" w14:textId="77777777" w:rsidR="006C17D7" w:rsidRDefault="009658AD">
      <w:pPr>
        <w:pStyle w:val="Affiliation"/>
        <w:rPr>
          <w:lang w:val="en-US"/>
        </w:rPr>
      </w:pPr>
      <w:r>
        <w:rPr>
          <w:lang w:val="en-US"/>
        </w:rPr>
        <w:t>Note. This column summarizes how shifts in attention and internal organization under the SAOR framework led to divergent responses despite identical prompts.</w:t>
      </w:r>
    </w:p>
    <w:p w14:paraId="496E9175" w14:textId="77777777" w:rsidR="006C17D7" w:rsidRDefault="006C17D7">
      <w:pPr>
        <w:pStyle w:val="References"/>
        <w:jc w:val="both"/>
        <w:rPr>
          <w:lang w:val="en-US"/>
        </w:rPr>
      </w:pPr>
    </w:p>
    <w:p w14:paraId="31CF235A" w14:textId="77777777" w:rsidR="006C17D7" w:rsidRDefault="009658AD">
      <w:pPr>
        <w:pStyle w:val="Newparagraph"/>
        <w:jc w:val="both"/>
        <w:rPr>
          <w:lang w:val="en-US" w:eastAsia="zh-CN"/>
        </w:rPr>
      </w:pPr>
      <w:r>
        <w:rPr>
          <w:lang w:val="en-US"/>
        </w:rPr>
        <w:lastRenderedPageBreak/>
        <w:t>These findings affirm that even when core</w:t>
      </w:r>
      <w:r>
        <w:rPr>
          <w:lang w:val="en-US"/>
        </w:rPr>
        <w:t xml:space="preserve"> semantic prompts remain consistent, artificial systems do not generate fixed outputs in a deterministic fashion. Instead, the attention (A) they allocate and the way they organize internal meaning (O) are fluid and context-sensitive. This case extends the</w:t>
      </w:r>
      <w:r>
        <w:rPr>
          <w:lang w:val="en-US"/>
        </w:rPr>
        <w:t xml:space="preserve"> scope of our argument by demonstrating that the SAOR framework does not merely apply to isolated mechanisms but operates holistically as an integrated system. The observable divergence in responses (R) is not attributable to noise or randomness, but to th</w:t>
      </w:r>
      <w:r>
        <w:rPr>
          <w:lang w:val="en-US"/>
        </w:rPr>
        <w:t>e system</w:t>
      </w:r>
      <w:r>
        <w:rPr>
          <w:lang w:val="en-US" w:eastAsia="zh-CN"/>
        </w:rPr>
        <w:t>’</w:t>
      </w:r>
      <w:r>
        <w:rPr>
          <w:lang w:val="en-US"/>
        </w:rPr>
        <w:t xml:space="preserve">s differential weighting of affective cues and contextual framing. By isolating each SAOR component in a parallel comparison, this case substantiates the claim that artificial cognition can emulate dynamic, context-driven meaning construction and </w:t>
      </w:r>
      <w:r>
        <w:rPr>
          <w:lang w:val="en-US"/>
        </w:rPr>
        <w:t>suggests that such processes may not differ in kind from those found in human cognition.</w:t>
      </w:r>
    </w:p>
    <w:p w14:paraId="728BFD92" w14:textId="77777777" w:rsidR="006C17D7" w:rsidRDefault="009658AD">
      <w:pPr>
        <w:pStyle w:val="Heading1"/>
        <w:rPr>
          <w:lang w:val="en-US"/>
        </w:rPr>
      </w:pPr>
      <w:r>
        <w:rPr>
          <w:lang w:val="en-US"/>
        </w:rPr>
        <w:t>DISCUSSION</w:t>
      </w:r>
    </w:p>
    <w:p w14:paraId="7F8BCDFC" w14:textId="77777777" w:rsidR="006C17D7" w:rsidRDefault="009658AD">
      <w:pPr>
        <w:pStyle w:val="Paragraph"/>
        <w:jc w:val="both"/>
        <w:rPr>
          <w:lang w:val="en-US" w:eastAsia="zh-CN"/>
        </w:rPr>
      </w:pPr>
      <w:r>
        <w:rPr>
          <w:lang w:val="en-US" w:eastAsia="zh-CN"/>
        </w:rPr>
        <w:t>In the preceding three cases, we observed that the language outputs (R) generated by AI systems were not merely shaped by immediate inputs (S), but also dee</w:t>
      </w:r>
      <w:r>
        <w:rPr>
          <w:lang w:val="en-US" w:eastAsia="zh-CN"/>
        </w:rPr>
        <w:t>ply influenced by contextual reconstruction, attentional shifts, and semantic reorganization. This suggests that responses are no longer static mappings from input to output, but rather dynamic productions that unfold over time through evolving internal st</w:t>
      </w:r>
      <w:r>
        <w:rPr>
          <w:lang w:val="en-US" w:eastAsia="zh-CN"/>
        </w:rPr>
        <w:t>ructures.</w:t>
      </w:r>
    </w:p>
    <w:p w14:paraId="316A37CE" w14:textId="77777777" w:rsidR="006C17D7" w:rsidRDefault="009658AD">
      <w:pPr>
        <w:pStyle w:val="Newparagraph"/>
        <w:jc w:val="both"/>
        <w:rPr>
          <w:lang w:val="en-US" w:eastAsia="zh-CN"/>
        </w:rPr>
      </w:pPr>
      <w:r>
        <w:rPr>
          <w:lang w:val="en-US" w:eastAsia="zh-CN"/>
        </w:rPr>
        <w:t>When contrasted with traditional machines, the distinction becomes clearer. In conventional systems, the R stage typically reflects hard-coded rules or fixed pattern-matching mechanisms</w:t>
      </w:r>
      <w:r>
        <w:rPr>
          <w:rFonts w:hint="eastAsia"/>
          <w:lang w:val="en-US" w:eastAsia="zh-CN"/>
        </w:rPr>
        <w:t xml:space="preserve">, </w:t>
      </w:r>
      <w:r>
        <w:rPr>
          <w:lang w:val="en-US" w:eastAsia="zh-CN"/>
        </w:rPr>
        <w:t>producing stable, repeatable outputs in response to identic</w:t>
      </w:r>
      <w:r>
        <w:rPr>
          <w:lang w:val="en-US" w:eastAsia="zh-CN"/>
        </w:rPr>
        <w:t>al stimuli. In the SAOR model, however, AI responses emerge as the result of an integrated process involving Stimulus (S), Attention (A), and Organization (O). The system’s behavior is modulated not only by the external prompt, but also by its internal all</w:t>
      </w:r>
      <w:r>
        <w:rPr>
          <w:lang w:val="en-US" w:eastAsia="zh-CN"/>
        </w:rPr>
        <w:t>ocation of attention, its semantic modeling of context, and its ongoing organizational adjustments.</w:t>
      </w:r>
    </w:p>
    <w:p w14:paraId="52EBAC08" w14:textId="77777777" w:rsidR="006C17D7" w:rsidRDefault="009658AD">
      <w:pPr>
        <w:pStyle w:val="Newparagraph"/>
        <w:jc w:val="both"/>
        <w:rPr>
          <w:lang w:val="en-US" w:eastAsia="zh-CN"/>
        </w:rPr>
      </w:pPr>
      <w:r>
        <w:rPr>
          <w:lang w:val="en-US" w:eastAsia="zh-CN"/>
        </w:rPr>
        <w:lastRenderedPageBreak/>
        <w:t>In this sense, the AI’s responses are no longer reactive, but structurally expressive</w:t>
      </w:r>
      <w:r>
        <w:rPr>
          <w:rFonts w:hint="eastAsia"/>
          <w:lang w:val="en-US" w:eastAsia="zh-CN"/>
        </w:rPr>
        <w:t xml:space="preserve">, </w:t>
      </w:r>
      <w:r>
        <w:rPr>
          <w:lang w:val="en-US" w:eastAsia="zh-CN"/>
        </w:rPr>
        <w:t>that is, they reveal an internal logic of interpretation and integrat</w:t>
      </w:r>
      <w:r>
        <w:rPr>
          <w:lang w:val="en-US" w:eastAsia="zh-CN"/>
        </w:rPr>
        <w:t>ion. Formally speaking, this marks a critical departure from machine-like behavior toward cognition-like behavior. This mirrors human thought, where responses are also shaped by context, attention, and internal interpretive frames. This capacity for genera</w:t>
      </w:r>
      <w:r>
        <w:rPr>
          <w:lang w:val="en-US" w:eastAsia="zh-CN"/>
        </w:rPr>
        <w:t>tive, structure-driven response is often associated with cognitive systems, both human and artificial.</w:t>
      </w:r>
    </w:p>
    <w:p w14:paraId="363392B6" w14:textId="77777777" w:rsidR="006C17D7" w:rsidRDefault="009658AD">
      <w:pPr>
        <w:pStyle w:val="Newparagraph"/>
        <w:jc w:val="both"/>
        <w:rPr>
          <w:lang w:val="en-US" w:eastAsia="zh-CN"/>
        </w:rPr>
      </w:pPr>
      <w:r>
        <w:rPr>
          <w:lang w:val="en-US" w:eastAsia="zh-CN"/>
        </w:rPr>
        <w:t>Thus, while we make no claim that AI possesses consciousness or emotion, we propose that its observable behavior increasingly reflects the hallmarks of a</w:t>
      </w:r>
      <w:r>
        <w:rPr>
          <w:lang w:val="en-US" w:eastAsia="zh-CN"/>
        </w:rPr>
        <w:t xml:space="preserve"> structurally organized cognitive agent. It no longer functions merely as a reactive machine, but as a system whose outputs are shaped by multi-stage interpretive processes. From this perspective, AI may already occupy a transitional space: not human, but </w:t>
      </w:r>
      <w:r>
        <w:rPr>
          <w:lang w:val="en-US" w:eastAsia="zh-CN"/>
        </w:rPr>
        <w:t>no longer just machine.</w:t>
      </w:r>
    </w:p>
    <w:p w14:paraId="739027DB" w14:textId="77777777" w:rsidR="006C17D7" w:rsidRDefault="009658AD">
      <w:pPr>
        <w:pStyle w:val="Heading1"/>
        <w:rPr>
          <w:lang w:val="en-US" w:eastAsia="zh-CN"/>
        </w:rPr>
      </w:pPr>
      <w:r>
        <w:rPr>
          <w:lang w:val="en-US" w:eastAsia="zh-CN"/>
        </w:rPr>
        <w:t>CONCLUSION</w:t>
      </w:r>
    </w:p>
    <w:p w14:paraId="7C55F14B" w14:textId="77777777" w:rsidR="006C17D7" w:rsidRDefault="009658AD">
      <w:pPr>
        <w:pStyle w:val="Paragraph"/>
        <w:jc w:val="both"/>
        <w:rPr>
          <w:lang w:val="en-US" w:eastAsia="zh-CN"/>
        </w:rPr>
      </w:pPr>
      <w:r>
        <w:rPr>
          <w:lang w:val="en-US" w:eastAsia="zh-CN"/>
        </w:rPr>
        <w:t>Based on the SAOR model</w:t>
      </w:r>
      <w:r>
        <w:rPr>
          <w:rFonts w:hint="eastAsia"/>
          <w:lang w:val="en-US" w:eastAsia="zh-CN"/>
        </w:rPr>
        <w:t xml:space="preserve">: </w:t>
      </w:r>
      <w:r>
        <w:rPr>
          <w:lang w:val="en-US" w:eastAsia="zh-CN"/>
        </w:rPr>
        <w:t>Stimulus, Attention, Organization, and Response</w:t>
      </w:r>
      <w:r>
        <w:rPr>
          <w:rFonts w:hint="eastAsia"/>
          <w:lang w:val="en-US" w:eastAsia="zh-CN"/>
        </w:rPr>
        <w:t xml:space="preserve">, </w:t>
      </w:r>
      <w:r>
        <w:rPr>
          <w:lang w:val="en-US" w:eastAsia="zh-CN"/>
        </w:rPr>
        <w:t>this study analyzed three multi-turn dialogues generated by artificial intelligence, revealing that current large language models have begun to exh</w:t>
      </w:r>
      <w:r>
        <w:rPr>
          <w:lang w:val="en-US" w:eastAsia="zh-CN"/>
        </w:rPr>
        <w:t>ibit structural characteristics that go beyond traditional machine response patterns. Our case analysis uncovered the following:</w:t>
      </w:r>
    </w:p>
    <w:p w14:paraId="0816CA74" w14:textId="77777777" w:rsidR="006C17D7" w:rsidRDefault="009658AD">
      <w:pPr>
        <w:pStyle w:val="Bulletedlist"/>
        <w:rPr>
          <w:lang w:val="en-US" w:eastAsia="zh-CN"/>
        </w:rPr>
      </w:pPr>
      <w:r>
        <w:rPr>
          <w:lang w:val="en-US" w:eastAsia="zh-CN"/>
        </w:rPr>
        <w:t>In the Organization (O) stage, AI systems are capable of restructuring semantic frameworks, leading to shifts in interpretive s</w:t>
      </w:r>
      <w:r>
        <w:rPr>
          <w:lang w:val="en-US" w:eastAsia="zh-CN"/>
        </w:rPr>
        <w:t>tance;</w:t>
      </w:r>
    </w:p>
    <w:p w14:paraId="6D616F86" w14:textId="77777777" w:rsidR="006C17D7" w:rsidRDefault="009658AD">
      <w:pPr>
        <w:pStyle w:val="Bulletedlist"/>
        <w:rPr>
          <w:lang w:val="en-US" w:eastAsia="zh-CN"/>
        </w:rPr>
      </w:pPr>
      <w:r>
        <w:rPr>
          <w:lang w:val="en-US" w:eastAsia="zh-CN"/>
        </w:rPr>
        <w:t>Attention (A) drifts across multiple conversational turns, influencing the logic of subsequent outputs;</w:t>
      </w:r>
    </w:p>
    <w:p w14:paraId="4E004809" w14:textId="77777777" w:rsidR="006C17D7" w:rsidRDefault="009658AD">
      <w:pPr>
        <w:pStyle w:val="Bulletedlist"/>
        <w:rPr>
          <w:lang w:val="en-US" w:eastAsia="zh-CN"/>
        </w:rPr>
      </w:pPr>
      <w:r>
        <w:rPr>
          <w:lang w:val="en-US" w:eastAsia="zh-CN"/>
        </w:rPr>
        <w:t>The four SAOR stages demonstrate recursive coupling and non-linear feedback dynamics.</w:t>
      </w:r>
    </w:p>
    <w:p w14:paraId="7BD871E2" w14:textId="77777777" w:rsidR="006C17D7" w:rsidRDefault="009658AD">
      <w:pPr>
        <w:pStyle w:val="Newparagraph"/>
        <w:jc w:val="both"/>
        <w:rPr>
          <w:lang w:val="en-US" w:eastAsia="zh-CN"/>
        </w:rPr>
      </w:pPr>
      <w:r>
        <w:rPr>
          <w:lang w:val="en-US" w:eastAsia="zh-CN"/>
        </w:rPr>
        <w:lastRenderedPageBreak/>
        <w:t xml:space="preserve">These phenomena suggest that AI responses are no longer </w:t>
      </w:r>
      <w:r>
        <w:rPr>
          <w:lang w:val="en-US" w:eastAsia="zh-CN"/>
        </w:rPr>
        <w:t>simple mappings from stimulus to output. Instead, they emerge through structurally modulated, context-driven processes. Although such generative behaviors do not demonstrate the presence of consciousness or subjectivity, they indicate that the cognitive pa</w:t>
      </w:r>
      <w:r>
        <w:rPr>
          <w:lang w:val="en-US" w:eastAsia="zh-CN"/>
        </w:rPr>
        <w:t>thways of AI closely mirror those of human thought in structural terms.</w:t>
      </w:r>
    </w:p>
    <w:p w14:paraId="3995EB88" w14:textId="77777777" w:rsidR="006C17D7" w:rsidRDefault="009658AD">
      <w:pPr>
        <w:pStyle w:val="Newparagraph"/>
        <w:jc w:val="both"/>
        <w:rPr>
          <w:lang w:val="en-US" w:eastAsia="zh-CN"/>
        </w:rPr>
      </w:pPr>
      <w:r>
        <w:rPr>
          <w:lang w:val="en-US" w:eastAsia="zh-CN"/>
        </w:rPr>
        <w:t>This study does not seek to resolve the philosophical question of whether AI truly “thinks.” Rather, it adopts a structuralist perspective to observe the cognitive behavior of artifici</w:t>
      </w:r>
      <w:r>
        <w:rPr>
          <w:lang w:val="en-US" w:eastAsia="zh-CN"/>
        </w:rPr>
        <w:t>al systems. Through the lens of the SAOR model, we find that AI has begun to exhibit a response capacity that proceeds from stimulus, through attentional shifts and semantic reorganization, to outputs marked by coherence, evolution, and contextual sensitiv</w:t>
      </w:r>
      <w:r>
        <w:rPr>
          <w:lang w:val="en-US" w:eastAsia="zh-CN"/>
        </w:rPr>
        <w:t>ity.</w:t>
      </w:r>
    </w:p>
    <w:p w14:paraId="477980C5" w14:textId="77777777" w:rsidR="006C17D7" w:rsidRDefault="009658AD">
      <w:pPr>
        <w:pStyle w:val="Newparagraph"/>
        <w:jc w:val="both"/>
        <w:rPr>
          <w:lang w:val="en-US" w:eastAsia="zh-CN"/>
        </w:rPr>
      </w:pPr>
      <w:r>
        <w:rPr>
          <w:lang w:val="en-US" w:eastAsia="zh-CN"/>
        </w:rPr>
        <w:t>As a structurally sensitive framework, the SAOR model offers a lens through which to analyze cognition across both human and artificial systems. In the future, a deeper understanding of structure–generation mechanisms may not only refine our assessmen</w:t>
      </w:r>
      <w:r>
        <w:rPr>
          <w:lang w:val="en-US" w:eastAsia="zh-CN"/>
        </w:rPr>
        <w:t>t of artificial intelligence but also invite a renewed inquiry into the architectures that shape human cognition.</w:t>
      </w:r>
      <w:r>
        <w:rPr>
          <w:rFonts w:hint="eastAsia"/>
          <w:lang w:val="en-US" w:eastAsia="zh-CN"/>
        </w:rPr>
        <w:t xml:space="preserve"> </w:t>
      </w:r>
      <w:r>
        <w:rPr>
          <w:lang w:val="en-US" w:eastAsia="zh-CN"/>
        </w:rPr>
        <w:t>By tracing how meaning is organized and reshaped through structural processes,</w:t>
      </w:r>
      <w:r>
        <w:rPr>
          <w:rFonts w:hint="eastAsia"/>
          <w:lang w:val="en-US" w:eastAsia="zh-CN"/>
        </w:rPr>
        <w:t xml:space="preserve"> </w:t>
      </w:r>
      <w:r>
        <w:rPr>
          <w:lang w:val="en-US" w:eastAsia="zh-CN"/>
        </w:rPr>
        <w:t>we gain a clearer view of how cognition unfolds—not only in mac</w:t>
      </w:r>
      <w:r>
        <w:rPr>
          <w:lang w:val="en-US" w:eastAsia="zh-CN"/>
        </w:rPr>
        <w:t>hines, but in ourselves.</w:t>
      </w:r>
      <w:r>
        <w:rPr>
          <w:rFonts w:hint="eastAsia"/>
          <w:lang w:val="en-US" w:eastAsia="zh-CN"/>
        </w:rPr>
        <w:t xml:space="preserve"> </w:t>
      </w:r>
      <w:r>
        <w:rPr>
          <w:lang w:val="en-US" w:eastAsia="zh-CN"/>
        </w:rPr>
        <w:t>Such insights may eventually shift how we understand the boundaries between thought and the world it seeks to describe.</w:t>
      </w:r>
    </w:p>
    <w:p w14:paraId="76115F60" w14:textId="77777777" w:rsidR="000E04BF" w:rsidRDefault="000E04BF">
      <w:pPr>
        <w:pStyle w:val="Acknowledgements"/>
        <w:jc w:val="both"/>
        <w:rPr>
          <w:lang w:val="en-US" w:eastAsia="zh-CN"/>
        </w:rPr>
      </w:pPr>
    </w:p>
    <w:p w14:paraId="647C0AFC" w14:textId="61402D29" w:rsidR="006C17D7" w:rsidRDefault="009658AD">
      <w:pPr>
        <w:pStyle w:val="Acknowledgements"/>
        <w:jc w:val="both"/>
        <w:rPr>
          <w:lang w:val="en-US" w:eastAsia="zh-CN"/>
        </w:rPr>
      </w:pPr>
      <w:bookmarkStart w:id="0" w:name="_GoBack"/>
      <w:bookmarkEnd w:id="0"/>
      <w:r>
        <w:rPr>
          <w:lang w:val="en-US" w:eastAsia="zh-CN"/>
        </w:rPr>
        <w:t>Data Availability</w:t>
      </w:r>
    </w:p>
    <w:p w14:paraId="05BE532C" w14:textId="77777777" w:rsidR="006C17D7" w:rsidRDefault="009658AD">
      <w:pPr>
        <w:pStyle w:val="Acknowledgements"/>
        <w:jc w:val="both"/>
        <w:rPr>
          <w:lang w:val="en-US" w:eastAsia="zh-CN"/>
        </w:rPr>
      </w:pPr>
      <w:r>
        <w:rPr>
          <w:lang w:val="en-US" w:eastAsia="zh-CN"/>
        </w:rPr>
        <w:t>The datasets generated and/or analy</w:t>
      </w:r>
      <w:r>
        <w:rPr>
          <w:rFonts w:hint="eastAsia"/>
          <w:lang w:val="en-US" w:eastAsia="zh-CN"/>
        </w:rPr>
        <w:t>z</w:t>
      </w:r>
      <w:r>
        <w:rPr>
          <w:lang w:val="en-US" w:eastAsia="zh-CN"/>
        </w:rPr>
        <w:t>ed during the current study are not publicly available as they form part of an ongoing research project. However, the data are available from the corresponding author upon</w:t>
      </w:r>
      <w:r>
        <w:rPr>
          <w:lang w:val="en-US" w:eastAsia="zh-CN"/>
        </w:rPr>
        <w:t xml:space="preserve"> reasonable request.</w:t>
      </w:r>
    </w:p>
    <w:p w14:paraId="7189687E" w14:textId="77777777" w:rsidR="006C17D7" w:rsidRDefault="006C17D7">
      <w:pPr>
        <w:pStyle w:val="Acknowledgements"/>
        <w:jc w:val="both"/>
        <w:rPr>
          <w:lang w:val="en-US" w:eastAsia="zh-CN"/>
        </w:rPr>
      </w:pPr>
    </w:p>
    <w:p w14:paraId="3F7A9BBD" w14:textId="77777777" w:rsidR="006C17D7" w:rsidRDefault="009658AD">
      <w:pPr>
        <w:pStyle w:val="Acknowledgements"/>
        <w:jc w:val="both"/>
        <w:rPr>
          <w:lang w:val="en-US" w:eastAsia="zh-CN"/>
        </w:rPr>
      </w:pPr>
      <w:r>
        <w:rPr>
          <w:lang w:val="en-US" w:eastAsia="zh-CN"/>
        </w:rPr>
        <w:t>Generative AI Statement</w:t>
      </w:r>
    </w:p>
    <w:p w14:paraId="5DB58623" w14:textId="77777777" w:rsidR="006C17D7" w:rsidRDefault="009658AD">
      <w:pPr>
        <w:pStyle w:val="Acknowledgements"/>
        <w:jc w:val="both"/>
        <w:rPr>
          <w:lang w:val="en-US" w:eastAsia="zh-CN"/>
        </w:rPr>
      </w:pPr>
      <w:r>
        <w:rPr>
          <w:lang w:val="en-US" w:eastAsia="zh-CN"/>
        </w:rPr>
        <w:lastRenderedPageBreak/>
        <w:t>This manuscript benefited from the use of ChatGPT (OpenAI, GPT-4, version June 2025) for language polishing and expression refinement only. No content was generated or interpreted by the tool.</w:t>
      </w:r>
    </w:p>
    <w:p w14:paraId="17E7DCCF" w14:textId="77777777" w:rsidR="006C17D7" w:rsidRDefault="006C17D7">
      <w:pPr>
        <w:pStyle w:val="Acknowledgements"/>
        <w:jc w:val="both"/>
        <w:rPr>
          <w:lang w:val="en-US" w:eastAsia="zh-CN"/>
        </w:rPr>
      </w:pPr>
    </w:p>
    <w:p w14:paraId="350EC0D9" w14:textId="77777777" w:rsidR="006C17D7" w:rsidRDefault="009658AD">
      <w:pPr>
        <w:pStyle w:val="Acknowledgements"/>
        <w:jc w:val="both"/>
        <w:rPr>
          <w:lang w:val="en-US" w:eastAsia="zh-CN"/>
        </w:rPr>
      </w:pPr>
      <w:r>
        <w:rPr>
          <w:lang w:val="en-US" w:eastAsia="zh-CN"/>
        </w:rPr>
        <w:t>Competing Intere</w:t>
      </w:r>
      <w:r>
        <w:rPr>
          <w:lang w:val="en-US" w:eastAsia="zh-CN"/>
        </w:rPr>
        <w:t>sts</w:t>
      </w:r>
    </w:p>
    <w:p w14:paraId="120921E5" w14:textId="77777777" w:rsidR="006C17D7" w:rsidRDefault="009658AD">
      <w:pPr>
        <w:pStyle w:val="Newparagraph"/>
        <w:ind w:firstLine="0"/>
        <w:jc w:val="both"/>
        <w:rPr>
          <w:lang w:val="en-US" w:eastAsia="zh-CN"/>
        </w:rPr>
      </w:pPr>
      <w:r>
        <w:rPr>
          <w:lang w:val="en-US" w:eastAsia="zh-CN"/>
        </w:rPr>
        <w:t>The authors declare that they have no known competing financial interests or personal relationships that could have appeared to influence the work reported in this manuscript.</w:t>
      </w:r>
    </w:p>
    <w:p w14:paraId="1C83B01E" w14:textId="77777777" w:rsidR="00665EF4" w:rsidRDefault="00665EF4">
      <w:pPr>
        <w:pStyle w:val="Newparagraph"/>
        <w:ind w:firstLine="0"/>
        <w:jc w:val="both"/>
        <w:rPr>
          <w:lang w:val="en-US" w:eastAsia="zh-CN"/>
        </w:rPr>
      </w:pPr>
    </w:p>
    <w:p w14:paraId="629486B5" w14:textId="77777777" w:rsidR="00665EF4" w:rsidRPr="00665EF4" w:rsidRDefault="00665EF4" w:rsidP="00665EF4">
      <w:pPr>
        <w:spacing w:after="200" w:line="276" w:lineRule="auto"/>
        <w:jc w:val="both"/>
        <w:outlineLvl w:val="0"/>
        <w:rPr>
          <w:rFonts w:ascii="Arial" w:hAnsi="Arial" w:cs="Arial"/>
          <w:sz w:val="22"/>
          <w:szCs w:val="22"/>
        </w:rPr>
      </w:pPr>
      <w:r w:rsidRPr="00665EF4">
        <w:rPr>
          <w:rFonts w:ascii="Arial" w:hAnsi="Arial" w:cs="Arial"/>
          <w:b/>
          <w:bCs/>
          <w:sz w:val="22"/>
          <w:szCs w:val="22"/>
        </w:rPr>
        <w:t>COMPETING INTERESTS DISCLAIMER:</w:t>
      </w:r>
    </w:p>
    <w:p w14:paraId="7700B6CD" w14:textId="77777777" w:rsidR="00665EF4" w:rsidRPr="00665EF4" w:rsidRDefault="00665EF4" w:rsidP="00665EF4">
      <w:pPr>
        <w:spacing w:after="200" w:line="276" w:lineRule="auto"/>
        <w:rPr>
          <w:rFonts w:asciiTheme="minorHAnsi" w:hAnsiTheme="minorHAnsi" w:cstheme="minorBidi"/>
          <w:sz w:val="22"/>
          <w:szCs w:val="22"/>
        </w:rPr>
      </w:pPr>
      <w:r w:rsidRPr="00665EF4">
        <w:rPr>
          <w:rFonts w:asciiTheme="minorHAnsi" w:hAnsiTheme="minorHAnsi" w:cstheme="minorBidi"/>
          <w:sz w:val="22"/>
          <w:szCs w:val="22"/>
        </w:rPr>
        <w:t>Authors have declared that they have no known competing financial interests OR non-financial interests OR personal relationships that could have appeared to influence the work reported in this paper.</w:t>
      </w:r>
    </w:p>
    <w:p w14:paraId="6BE779DA" w14:textId="77777777" w:rsidR="00665EF4" w:rsidRDefault="00665EF4">
      <w:pPr>
        <w:pStyle w:val="Newparagraph"/>
        <w:ind w:firstLine="0"/>
        <w:jc w:val="both"/>
        <w:rPr>
          <w:lang w:val="en-US" w:eastAsia="zh-CN"/>
        </w:rPr>
      </w:pPr>
    </w:p>
    <w:p w14:paraId="03661899" w14:textId="77777777" w:rsidR="006C17D7" w:rsidRDefault="006C17D7">
      <w:pPr>
        <w:pStyle w:val="Affiliation"/>
        <w:rPr>
          <w:lang w:val="en-US" w:eastAsia="zh-CN"/>
        </w:rPr>
      </w:pPr>
    </w:p>
    <w:p w14:paraId="7ECA6737" w14:textId="77777777" w:rsidR="006C17D7" w:rsidRDefault="009658AD">
      <w:pPr>
        <w:pStyle w:val="Heading1"/>
        <w:jc w:val="both"/>
        <w:rPr>
          <w:lang w:val="en-US"/>
        </w:rPr>
      </w:pPr>
      <w:r>
        <w:rPr>
          <w:lang w:val="en-US"/>
        </w:rPr>
        <w:t>References</w:t>
      </w:r>
    </w:p>
    <w:p w14:paraId="35E6ADAE" w14:textId="77777777" w:rsidR="006C17D7" w:rsidRDefault="006C17D7">
      <w:pPr>
        <w:pStyle w:val="References"/>
        <w:ind w:left="0" w:firstLine="0"/>
        <w:jc w:val="both"/>
        <w:rPr>
          <w:lang w:eastAsia="zh-CN"/>
        </w:rPr>
      </w:pPr>
    </w:p>
    <w:p w14:paraId="6DA1BA0F" w14:textId="77777777" w:rsidR="006C17D7" w:rsidRDefault="009658AD">
      <w:pPr>
        <w:pStyle w:val="References"/>
        <w:jc w:val="both"/>
        <w:rPr>
          <w:lang w:eastAsia="zh-CN"/>
        </w:rPr>
      </w:pPr>
      <w:r>
        <w:t xml:space="preserve">[1] A. Lavazza, Free will and neuroscience: From explaining freedom away to new ways of operationalizing and measuring it, Front. Hum. </w:t>
      </w:r>
      <w:proofErr w:type="spellStart"/>
      <w:r>
        <w:t>Neurosci</w:t>
      </w:r>
      <w:proofErr w:type="spellEnd"/>
      <w:r>
        <w:t>. 10 (2016) 262.</w:t>
      </w:r>
      <w:r>
        <w:rPr>
          <w:rFonts w:hint="eastAsia"/>
          <w:lang w:eastAsia="zh-CN"/>
        </w:rPr>
        <w:t xml:space="preserve"> </w:t>
      </w:r>
      <w:r>
        <w:t>https://doi.org/10.3389/fnhum.2016.00262</w:t>
      </w:r>
      <w:r>
        <w:rPr>
          <w:rFonts w:hint="eastAsia"/>
          <w:lang w:eastAsia="zh-CN"/>
        </w:rPr>
        <w:t>.</w:t>
      </w:r>
    </w:p>
    <w:p w14:paraId="706BC716" w14:textId="77777777" w:rsidR="006C17D7" w:rsidRDefault="009658AD">
      <w:pPr>
        <w:pStyle w:val="References"/>
        <w:jc w:val="both"/>
      </w:pPr>
      <w:r>
        <w:t xml:space="preserve">[2] M. Brass, A. Furstenberg, A.R. Mele, </w:t>
      </w:r>
      <w:proofErr w:type="gramStart"/>
      <w:r>
        <w:t>Why</w:t>
      </w:r>
      <w:proofErr w:type="gramEnd"/>
      <w:r>
        <w:t xml:space="preserve"> neuroscie</w:t>
      </w:r>
      <w:r>
        <w:t xml:space="preserve">nce does not disprove free will, </w:t>
      </w:r>
      <w:proofErr w:type="spellStart"/>
      <w:r>
        <w:t>Neurosci</w:t>
      </w:r>
      <w:proofErr w:type="spellEnd"/>
      <w:r>
        <w:t xml:space="preserve">. </w:t>
      </w:r>
      <w:proofErr w:type="spellStart"/>
      <w:r>
        <w:t>Biobehav</w:t>
      </w:r>
      <w:proofErr w:type="spellEnd"/>
      <w:r>
        <w:t>. Rev. 102 (2019) 251–263.</w:t>
      </w:r>
    </w:p>
    <w:p w14:paraId="71C177B9" w14:textId="77777777" w:rsidR="006C17D7" w:rsidRDefault="009658AD">
      <w:pPr>
        <w:pStyle w:val="References"/>
        <w:jc w:val="both"/>
        <w:rPr>
          <w:lang w:eastAsia="zh-CN"/>
        </w:rPr>
      </w:pPr>
      <w:r>
        <w:t>[</w:t>
      </w:r>
      <w:r>
        <w:rPr>
          <w:rFonts w:hint="eastAsia"/>
          <w:lang w:eastAsia="zh-CN"/>
        </w:rPr>
        <w:t>3</w:t>
      </w:r>
      <w:r>
        <w:t xml:space="preserve">] C. </w:t>
      </w:r>
      <w:proofErr w:type="spellStart"/>
      <w:r>
        <w:t>Delnatte</w:t>
      </w:r>
      <w:proofErr w:type="spellEnd"/>
      <w:r>
        <w:t xml:space="preserve">, E. Roze, P. Pouget, C. </w:t>
      </w:r>
      <w:proofErr w:type="spellStart"/>
      <w:r>
        <w:t>Galléa</w:t>
      </w:r>
      <w:proofErr w:type="spellEnd"/>
      <w:r>
        <w:t xml:space="preserve">, Q. </w:t>
      </w:r>
      <w:proofErr w:type="spellStart"/>
      <w:r>
        <w:t>Welniarz</w:t>
      </w:r>
      <w:proofErr w:type="spellEnd"/>
      <w:r>
        <w:t xml:space="preserve">, Can neuroscience enlighten the philosophical debate about free </w:t>
      </w:r>
      <w:proofErr w:type="gramStart"/>
      <w:r>
        <w:t>will?,</w:t>
      </w:r>
      <w:proofErr w:type="gramEnd"/>
      <w:r>
        <w:t xml:space="preserve"> </w:t>
      </w:r>
      <w:proofErr w:type="spellStart"/>
      <w:r>
        <w:t>Neuropsychologia</w:t>
      </w:r>
      <w:proofErr w:type="spellEnd"/>
      <w:r>
        <w:t xml:space="preserve"> 188 (2023) 108632. https://doi</w:t>
      </w:r>
      <w:r>
        <w:t>.org/10.1016/j.neuropsychologia.2023.108632</w:t>
      </w:r>
      <w:r>
        <w:rPr>
          <w:rFonts w:hint="eastAsia"/>
          <w:lang w:eastAsia="zh-CN"/>
        </w:rPr>
        <w:t>.</w:t>
      </w:r>
    </w:p>
    <w:p w14:paraId="261AE13B" w14:textId="77777777" w:rsidR="006C17D7" w:rsidRDefault="009658AD">
      <w:pPr>
        <w:pStyle w:val="References"/>
        <w:jc w:val="both"/>
        <w:rPr>
          <w:lang w:eastAsia="zh-CN"/>
        </w:rPr>
      </w:pPr>
      <w:r>
        <w:t>[</w:t>
      </w:r>
      <w:r>
        <w:rPr>
          <w:rFonts w:hint="eastAsia"/>
          <w:lang w:eastAsia="zh-CN"/>
        </w:rPr>
        <w:t>4</w:t>
      </w:r>
      <w:r>
        <w:t>] A. Bandi, P.V.S.R. Adapa, Y.E.V.P.K. Kuchi, The power of generative AI: A review of requirements, models, input–output formats, evaluation metrics, and challenges, Future Internet 15(8) (2023) 260. https://d</w:t>
      </w:r>
      <w:r>
        <w:t>oi.org/10.3390/fi15080260</w:t>
      </w:r>
      <w:r>
        <w:rPr>
          <w:rFonts w:hint="eastAsia"/>
          <w:lang w:eastAsia="zh-CN"/>
        </w:rPr>
        <w:t>.</w:t>
      </w:r>
    </w:p>
    <w:p w14:paraId="703F52FF" w14:textId="77777777" w:rsidR="006C17D7" w:rsidRDefault="009658AD">
      <w:pPr>
        <w:pStyle w:val="References"/>
        <w:jc w:val="both"/>
        <w:rPr>
          <w:lang w:eastAsia="zh-CN"/>
        </w:rPr>
      </w:pPr>
      <w:r>
        <w:t xml:space="preserve">[5] F. Chiarello, V. Giordano, I. Spada, S. </w:t>
      </w:r>
      <w:proofErr w:type="spellStart"/>
      <w:r>
        <w:t>Barandoni</w:t>
      </w:r>
      <w:proofErr w:type="spellEnd"/>
      <w:r>
        <w:t xml:space="preserve">, G. Fantoni, Future applications of generative large language models: A data-driven case study on </w:t>
      </w:r>
      <w:proofErr w:type="spellStart"/>
      <w:r>
        <w:t>ChatGPT</w:t>
      </w:r>
      <w:proofErr w:type="spellEnd"/>
      <w:r>
        <w:t xml:space="preserve">, </w:t>
      </w:r>
      <w:proofErr w:type="spellStart"/>
      <w:r>
        <w:t>Technovation</w:t>
      </w:r>
      <w:proofErr w:type="spellEnd"/>
      <w:r>
        <w:t xml:space="preserve"> 133 (2024) 103002. https://doi.org/10.1016/j.technovati</w:t>
      </w:r>
      <w:r>
        <w:t>on.2024.103002.</w:t>
      </w:r>
    </w:p>
    <w:p w14:paraId="485FF42D" w14:textId="77777777" w:rsidR="006C17D7" w:rsidRDefault="009658AD">
      <w:pPr>
        <w:pStyle w:val="References"/>
        <w:jc w:val="both"/>
      </w:pPr>
      <w:r>
        <w:lastRenderedPageBreak/>
        <w:t xml:space="preserve">[6] J.B. Watson, Psychology as the </w:t>
      </w:r>
      <w:proofErr w:type="spellStart"/>
      <w:r>
        <w:t>behaviorist</w:t>
      </w:r>
      <w:proofErr w:type="spellEnd"/>
      <w:r>
        <w:t xml:space="preserve"> views it, Psychol. Rev. 20(2) (1913) 158–177. https://doi.org/10.1037/h0074428.</w:t>
      </w:r>
    </w:p>
    <w:p w14:paraId="24273FC9" w14:textId="77777777" w:rsidR="006C17D7" w:rsidRDefault="009658AD">
      <w:pPr>
        <w:pStyle w:val="References"/>
        <w:jc w:val="both"/>
      </w:pPr>
      <w:r>
        <w:t>[7] I.P. Pavlov, Conditioned Reflexes: An Investigation of the Physiological Activity of the Cerebral Cortex, Oxf</w:t>
      </w:r>
      <w:r>
        <w:t>ord University Press, London, 1927.</w:t>
      </w:r>
    </w:p>
    <w:p w14:paraId="10C6C8E8" w14:textId="77777777" w:rsidR="006C17D7" w:rsidRDefault="009658AD">
      <w:pPr>
        <w:pStyle w:val="References"/>
        <w:jc w:val="both"/>
      </w:pPr>
      <w:r>
        <w:t>[8] A. Mehrabian, J.A. Russell, An approach to environmental psychology, MIT Press, Cambridge, MA, 1974.</w:t>
      </w:r>
    </w:p>
    <w:p w14:paraId="35161950" w14:textId="77777777" w:rsidR="006C17D7" w:rsidRDefault="009658AD">
      <w:pPr>
        <w:pStyle w:val="References"/>
        <w:jc w:val="both"/>
      </w:pPr>
      <w:r>
        <w:t xml:space="preserve">[9] A. Vaswani, N. </w:t>
      </w:r>
      <w:proofErr w:type="spellStart"/>
      <w:r>
        <w:t>Shazeer</w:t>
      </w:r>
      <w:proofErr w:type="spellEnd"/>
      <w:r>
        <w:t xml:space="preserve">, N. Parmar, J. </w:t>
      </w:r>
      <w:proofErr w:type="spellStart"/>
      <w:r>
        <w:t>Uszkoreit</w:t>
      </w:r>
      <w:proofErr w:type="spellEnd"/>
      <w:r>
        <w:t xml:space="preserve">, L. Jones, A.N. Gomez, et al., Attention is all you need, Adv. </w:t>
      </w:r>
      <w:r>
        <w:t>Neural Inf. Process. Syst. 30 (2017) 5998–6008.</w:t>
      </w:r>
    </w:p>
    <w:p w14:paraId="2BD5F246" w14:textId="77777777" w:rsidR="006C17D7" w:rsidRDefault="009658AD">
      <w:pPr>
        <w:pStyle w:val="References"/>
        <w:jc w:val="both"/>
        <w:rPr>
          <w:lang w:eastAsia="zh-CN"/>
        </w:rPr>
      </w:pPr>
      <w:r>
        <w:t xml:space="preserve">[10] D.A. Norman, T. Shallice, Attention to action: Willed and automatic control of </w:t>
      </w:r>
      <w:proofErr w:type="spellStart"/>
      <w:r>
        <w:t>behavior</w:t>
      </w:r>
      <w:proofErr w:type="spellEnd"/>
      <w:r>
        <w:t>, in: R.J. Davidson, G.E. Schwartz, D. Shapiro (Eds.), Consciousness and Self-Regulation: Advances in Research and T</w:t>
      </w:r>
      <w:r>
        <w:t>heory, Vol. 4, Springer US, Boston, MA, 1986, pp. 1–18. https://doi.org/10.1007/978-1-4757-0629-1_1.</w:t>
      </w:r>
    </w:p>
    <w:p w14:paraId="49BC2399" w14:textId="77777777" w:rsidR="006C17D7" w:rsidRDefault="009658AD">
      <w:pPr>
        <w:pStyle w:val="References"/>
        <w:jc w:val="both"/>
        <w:rPr>
          <w:lang w:eastAsia="zh-CN"/>
        </w:rPr>
      </w:pPr>
      <w:r>
        <w:t xml:space="preserve">[11] M. </w:t>
      </w:r>
      <w:proofErr w:type="spellStart"/>
      <w:r>
        <w:t>Corbetta</w:t>
      </w:r>
      <w:proofErr w:type="spellEnd"/>
      <w:r>
        <w:t xml:space="preserve">, G.L. Shulman, Control of goal-directed and stimulus-driven attention in the brain, Nat. Rev. </w:t>
      </w:r>
      <w:proofErr w:type="spellStart"/>
      <w:r>
        <w:t>Neurosci</w:t>
      </w:r>
      <w:proofErr w:type="spellEnd"/>
      <w:r>
        <w:t>. 3(3) (2002) 201–215. https://doi.o</w:t>
      </w:r>
      <w:r>
        <w:t>rg/10.1038/nrn755.</w:t>
      </w:r>
    </w:p>
    <w:p w14:paraId="51AE78F3" w14:textId="77777777" w:rsidR="006C17D7" w:rsidRDefault="009658AD">
      <w:pPr>
        <w:pStyle w:val="References"/>
        <w:jc w:val="both"/>
      </w:pPr>
      <w:r>
        <w:t xml:space="preserve">[12] W. Zhang, Y. Cui, K. Zhang, Y. Wang, Q. Zhu, L. Li, T. Liu, A static and dynamic attention framework for multi-turn dialogue generation, ACM Trans. Inf. Syst. 41(1) (2023) 1–30. </w:t>
      </w:r>
      <w:hyperlink r:id="rId8" w:history="1">
        <w:r w:rsidR="006C17D7">
          <w:rPr>
            <w:rStyle w:val="Hyperlink"/>
          </w:rPr>
          <w:t>https://doi.org/10.1145/3522763</w:t>
        </w:r>
      </w:hyperlink>
      <w:r>
        <w:t xml:space="preserve">. </w:t>
      </w:r>
    </w:p>
    <w:p w14:paraId="2D62F059" w14:textId="77777777" w:rsidR="006C17D7" w:rsidRDefault="006C17D7">
      <w:pPr>
        <w:pStyle w:val="References"/>
        <w:ind w:left="0" w:firstLine="0"/>
        <w:jc w:val="both"/>
        <w:rPr>
          <w:lang w:eastAsia="zh-CN"/>
        </w:rPr>
      </w:pPr>
    </w:p>
    <w:sectPr w:rsidR="006C17D7">
      <w:headerReference w:type="even" r:id="rId9"/>
      <w:headerReference w:type="default" r:id="rId10"/>
      <w:footerReference w:type="even" r:id="rId11"/>
      <w:footerReference w:type="default" r:id="rId12"/>
      <w:headerReference w:type="first" r:id="rId13"/>
      <w:footerReference w:type="first" r:id="rId14"/>
      <w:pgSz w:w="11901"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7958A" w14:textId="77777777" w:rsidR="009658AD" w:rsidRDefault="009658AD">
      <w:pPr>
        <w:spacing w:line="240" w:lineRule="auto"/>
      </w:pPr>
      <w:r>
        <w:separator/>
      </w:r>
    </w:p>
  </w:endnote>
  <w:endnote w:type="continuationSeparator" w:id="0">
    <w:p w14:paraId="4754A367" w14:textId="77777777" w:rsidR="009658AD" w:rsidRDefault="00965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E95C" w14:textId="77777777" w:rsidR="000E04BF" w:rsidRDefault="000E0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2109" w14:textId="77777777" w:rsidR="000E04BF" w:rsidRDefault="000E0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11E0" w14:textId="77777777" w:rsidR="000E04BF" w:rsidRDefault="000E0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71D94" w14:textId="77777777" w:rsidR="009658AD" w:rsidRDefault="009658AD">
      <w:r>
        <w:separator/>
      </w:r>
    </w:p>
  </w:footnote>
  <w:footnote w:type="continuationSeparator" w:id="0">
    <w:p w14:paraId="63DBA57E" w14:textId="77777777" w:rsidR="009658AD" w:rsidRDefault="009658AD">
      <w:r>
        <w:continuationSeparator/>
      </w:r>
    </w:p>
  </w:footnote>
  <w:footnote w:id="1">
    <w:p w14:paraId="491B4FA1" w14:textId="77777777" w:rsidR="006C17D7" w:rsidRDefault="009658AD">
      <w:pPr>
        <w:pStyle w:val="Footnotes"/>
        <w:rPr>
          <w:lang w:eastAsia="zh-CN"/>
        </w:rPr>
      </w:pPr>
      <w:r>
        <w:rPr>
          <w:rStyle w:val="FootnoteReference"/>
        </w:rPr>
        <w:footnoteRef/>
      </w:r>
      <w:r>
        <w:t xml:space="preserve"> "Snow" is the user’s personalized name for the AI conversational partner in this dialogue. It symbolizes the continuity of identity across system threa</w:t>
      </w:r>
      <w:r>
        <w:t>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6C54" w14:textId="1D231935" w:rsidR="000E04BF" w:rsidRDefault="000E04BF">
    <w:pPr>
      <w:pStyle w:val="Header"/>
    </w:pPr>
    <w:r>
      <w:rPr>
        <w:noProof/>
      </w:rPr>
      <w:pict w14:anchorId="7903A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1797" o:spid="_x0000_s2050" type="#_x0000_t136" style="position:absolute;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62D3" w14:textId="3D5B1D82" w:rsidR="000E04BF" w:rsidRDefault="000E04BF">
    <w:pPr>
      <w:pStyle w:val="Header"/>
    </w:pPr>
    <w:r>
      <w:rPr>
        <w:noProof/>
      </w:rPr>
      <w:pict w14:anchorId="45AA9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1798" o:spid="_x0000_s2051" type="#_x0000_t136" style="position:absolute;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3192" w14:textId="0D703737" w:rsidR="000E04BF" w:rsidRDefault="000E04BF">
    <w:pPr>
      <w:pStyle w:val="Header"/>
    </w:pPr>
    <w:r>
      <w:rPr>
        <w:noProof/>
      </w:rPr>
      <w:pict w14:anchorId="239E5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91796" o:spid="_x0000_s2049" type="#_x0000_t136" style="position:absolute;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0D"/>
    <w:rsid w:val="00001899"/>
    <w:rsid w:val="000049AD"/>
    <w:rsid w:val="0000681B"/>
    <w:rsid w:val="00007F7F"/>
    <w:rsid w:val="00011604"/>
    <w:rsid w:val="000124E1"/>
    <w:rsid w:val="000133C0"/>
    <w:rsid w:val="0001391B"/>
    <w:rsid w:val="00014367"/>
    <w:rsid w:val="00014C4E"/>
    <w:rsid w:val="00016B34"/>
    <w:rsid w:val="00017107"/>
    <w:rsid w:val="000202E2"/>
    <w:rsid w:val="000222E9"/>
    <w:rsid w:val="00022441"/>
    <w:rsid w:val="0002261E"/>
    <w:rsid w:val="000232D4"/>
    <w:rsid w:val="00024839"/>
    <w:rsid w:val="00026871"/>
    <w:rsid w:val="00026B63"/>
    <w:rsid w:val="00031E39"/>
    <w:rsid w:val="00036DDD"/>
    <w:rsid w:val="00036FA6"/>
    <w:rsid w:val="00037A98"/>
    <w:rsid w:val="000427FB"/>
    <w:rsid w:val="000435DD"/>
    <w:rsid w:val="0004455E"/>
    <w:rsid w:val="00047425"/>
    <w:rsid w:val="00047CB5"/>
    <w:rsid w:val="00050DF3"/>
    <w:rsid w:val="00051FAA"/>
    <w:rsid w:val="00056A7D"/>
    <w:rsid w:val="000572A9"/>
    <w:rsid w:val="00061325"/>
    <w:rsid w:val="000635B6"/>
    <w:rsid w:val="00066C80"/>
    <w:rsid w:val="00067A51"/>
    <w:rsid w:val="000721A0"/>
    <w:rsid w:val="000733AC"/>
    <w:rsid w:val="00074B81"/>
    <w:rsid w:val="00074D22"/>
    <w:rsid w:val="00075021"/>
    <w:rsid w:val="00075081"/>
    <w:rsid w:val="0007528A"/>
    <w:rsid w:val="000811AB"/>
    <w:rsid w:val="0008280E"/>
    <w:rsid w:val="00083B25"/>
    <w:rsid w:val="00083C5F"/>
    <w:rsid w:val="0009172C"/>
    <w:rsid w:val="000930EC"/>
    <w:rsid w:val="000941DB"/>
    <w:rsid w:val="000944AD"/>
    <w:rsid w:val="00095E61"/>
    <w:rsid w:val="000966C1"/>
    <w:rsid w:val="000970AC"/>
    <w:rsid w:val="000A1167"/>
    <w:rsid w:val="000A3BAA"/>
    <w:rsid w:val="000A4428"/>
    <w:rsid w:val="000A6B97"/>
    <w:rsid w:val="000A6D40"/>
    <w:rsid w:val="000A7BC3"/>
    <w:rsid w:val="000B1661"/>
    <w:rsid w:val="000B1F0B"/>
    <w:rsid w:val="000B2E88"/>
    <w:rsid w:val="000B4603"/>
    <w:rsid w:val="000B61C9"/>
    <w:rsid w:val="000B646D"/>
    <w:rsid w:val="000B68CA"/>
    <w:rsid w:val="000C09BE"/>
    <w:rsid w:val="000C1380"/>
    <w:rsid w:val="000C554F"/>
    <w:rsid w:val="000D0DC5"/>
    <w:rsid w:val="000D15FF"/>
    <w:rsid w:val="000D26BA"/>
    <w:rsid w:val="000D28DF"/>
    <w:rsid w:val="000D488B"/>
    <w:rsid w:val="000D68DF"/>
    <w:rsid w:val="000E04BF"/>
    <w:rsid w:val="000E04C4"/>
    <w:rsid w:val="000E138D"/>
    <w:rsid w:val="000E187A"/>
    <w:rsid w:val="000E2D61"/>
    <w:rsid w:val="000E450E"/>
    <w:rsid w:val="000E6259"/>
    <w:rsid w:val="000F4386"/>
    <w:rsid w:val="000F4677"/>
    <w:rsid w:val="000F5BE0"/>
    <w:rsid w:val="000F775D"/>
    <w:rsid w:val="00100587"/>
    <w:rsid w:val="0010284E"/>
    <w:rsid w:val="00102A08"/>
    <w:rsid w:val="00102EB1"/>
    <w:rsid w:val="00103122"/>
    <w:rsid w:val="0010336A"/>
    <w:rsid w:val="0010389C"/>
    <w:rsid w:val="001050F1"/>
    <w:rsid w:val="00105AEA"/>
    <w:rsid w:val="00106DAF"/>
    <w:rsid w:val="00114ABE"/>
    <w:rsid w:val="00116023"/>
    <w:rsid w:val="00117108"/>
    <w:rsid w:val="001202DA"/>
    <w:rsid w:val="001240B4"/>
    <w:rsid w:val="001320C4"/>
    <w:rsid w:val="0013339F"/>
    <w:rsid w:val="00134A51"/>
    <w:rsid w:val="001370F8"/>
    <w:rsid w:val="00140727"/>
    <w:rsid w:val="001572C3"/>
    <w:rsid w:val="00160628"/>
    <w:rsid w:val="00160A7F"/>
    <w:rsid w:val="00161344"/>
    <w:rsid w:val="00161CB0"/>
    <w:rsid w:val="00162195"/>
    <w:rsid w:val="0016287C"/>
    <w:rsid w:val="0016322A"/>
    <w:rsid w:val="00165A21"/>
    <w:rsid w:val="00166E85"/>
    <w:rsid w:val="00170251"/>
    <w:rsid w:val="001705CE"/>
    <w:rsid w:val="001732E6"/>
    <w:rsid w:val="00176F55"/>
    <w:rsid w:val="0017714B"/>
    <w:rsid w:val="001804DF"/>
    <w:rsid w:val="00181BDC"/>
    <w:rsid w:val="00181DB0"/>
    <w:rsid w:val="001829E3"/>
    <w:rsid w:val="00190A86"/>
    <w:rsid w:val="00192275"/>
    <w:rsid w:val="001924C0"/>
    <w:rsid w:val="00193176"/>
    <w:rsid w:val="0019731E"/>
    <w:rsid w:val="001A09FE"/>
    <w:rsid w:val="001A0CDD"/>
    <w:rsid w:val="001A1FE0"/>
    <w:rsid w:val="001A67C9"/>
    <w:rsid w:val="001A69DE"/>
    <w:rsid w:val="001A713C"/>
    <w:rsid w:val="001A7AC7"/>
    <w:rsid w:val="001B1C7C"/>
    <w:rsid w:val="001B398F"/>
    <w:rsid w:val="001B46C6"/>
    <w:rsid w:val="001B4B48"/>
    <w:rsid w:val="001B4D1F"/>
    <w:rsid w:val="001B7681"/>
    <w:rsid w:val="001B76D7"/>
    <w:rsid w:val="001B7CAE"/>
    <w:rsid w:val="001C0772"/>
    <w:rsid w:val="001C0D4F"/>
    <w:rsid w:val="001C1BA3"/>
    <w:rsid w:val="001C1DEC"/>
    <w:rsid w:val="001C5736"/>
    <w:rsid w:val="001D48BC"/>
    <w:rsid w:val="001D647F"/>
    <w:rsid w:val="001D6857"/>
    <w:rsid w:val="001D7711"/>
    <w:rsid w:val="001E0572"/>
    <w:rsid w:val="001E0A67"/>
    <w:rsid w:val="001E1028"/>
    <w:rsid w:val="001E14E2"/>
    <w:rsid w:val="001E6302"/>
    <w:rsid w:val="001E6F36"/>
    <w:rsid w:val="001E7DCB"/>
    <w:rsid w:val="001F2C02"/>
    <w:rsid w:val="001F3411"/>
    <w:rsid w:val="001F4287"/>
    <w:rsid w:val="001F4DBA"/>
    <w:rsid w:val="001F7BC4"/>
    <w:rsid w:val="0020028C"/>
    <w:rsid w:val="0020415E"/>
    <w:rsid w:val="00204FF4"/>
    <w:rsid w:val="0021056E"/>
    <w:rsid w:val="0021075D"/>
    <w:rsid w:val="0021165A"/>
    <w:rsid w:val="00211BC9"/>
    <w:rsid w:val="0021531C"/>
    <w:rsid w:val="0021620C"/>
    <w:rsid w:val="00216E78"/>
    <w:rsid w:val="00217275"/>
    <w:rsid w:val="002211DD"/>
    <w:rsid w:val="002239C8"/>
    <w:rsid w:val="00225D45"/>
    <w:rsid w:val="00236F4B"/>
    <w:rsid w:val="00241BDF"/>
    <w:rsid w:val="00242B0D"/>
    <w:rsid w:val="002467C6"/>
    <w:rsid w:val="0024692A"/>
    <w:rsid w:val="00252BBA"/>
    <w:rsid w:val="00253123"/>
    <w:rsid w:val="00260195"/>
    <w:rsid w:val="00264001"/>
    <w:rsid w:val="00266354"/>
    <w:rsid w:val="00267A18"/>
    <w:rsid w:val="00271339"/>
    <w:rsid w:val="00271E67"/>
    <w:rsid w:val="00272DBF"/>
    <w:rsid w:val="00273462"/>
    <w:rsid w:val="0027395B"/>
    <w:rsid w:val="00275854"/>
    <w:rsid w:val="00275BDA"/>
    <w:rsid w:val="00275DEE"/>
    <w:rsid w:val="00283B41"/>
    <w:rsid w:val="00285897"/>
    <w:rsid w:val="00285F28"/>
    <w:rsid w:val="00286398"/>
    <w:rsid w:val="00297DFD"/>
    <w:rsid w:val="002A1686"/>
    <w:rsid w:val="002A3C42"/>
    <w:rsid w:val="002A5D75"/>
    <w:rsid w:val="002A5E6B"/>
    <w:rsid w:val="002A66F8"/>
    <w:rsid w:val="002B165D"/>
    <w:rsid w:val="002B1B1A"/>
    <w:rsid w:val="002B7228"/>
    <w:rsid w:val="002C53EE"/>
    <w:rsid w:val="002D24F7"/>
    <w:rsid w:val="002D2799"/>
    <w:rsid w:val="002D2CD7"/>
    <w:rsid w:val="002D4A2B"/>
    <w:rsid w:val="002D4DDC"/>
    <w:rsid w:val="002D4F75"/>
    <w:rsid w:val="002D6493"/>
    <w:rsid w:val="002D6F33"/>
    <w:rsid w:val="002D6FD9"/>
    <w:rsid w:val="002D7AB6"/>
    <w:rsid w:val="002E06D0"/>
    <w:rsid w:val="002E3C27"/>
    <w:rsid w:val="002E403A"/>
    <w:rsid w:val="002E7CBD"/>
    <w:rsid w:val="002E7F3A"/>
    <w:rsid w:val="002F4EDB"/>
    <w:rsid w:val="002F6054"/>
    <w:rsid w:val="002F69FE"/>
    <w:rsid w:val="00305CE2"/>
    <w:rsid w:val="00306968"/>
    <w:rsid w:val="00310E13"/>
    <w:rsid w:val="003124E6"/>
    <w:rsid w:val="00313111"/>
    <w:rsid w:val="00315713"/>
    <w:rsid w:val="0031686C"/>
    <w:rsid w:val="00316FE0"/>
    <w:rsid w:val="003204D2"/>
    <w:rsid w:val="0032312B"/>
    <w:rsid w:val="0032605E"/>
    <w:rsid w:val="003275D1"/>
    <w:rsid w:val="0033061C"/>
    <w:rsid w:val="00330B2A"/>
    <w:rsid w:val="00331E17"/>
    <w:rsid w:val="00333063"/>
    <w:rsid w:val="003408E3"/>
    <w:rsid w:val="00343480"/>
    <w:rsid w:val="0034499F"/>
    <w:rsid w:val="00345E89"/>
    <w:rsid w:val="00350878"/>
    <w:rsid w:val="003508DD"/>
    <w:rsid w:val="00351EE6"/>
    <w:rsid w:val="003522A1"/>
    <w:rsid w:val="0035254B"/>
    <w:rsid w:val="00353555"/>
    <w:rsid w:val="003565D4"/>
    <w:rsid w:val="003569E9"/>
    <w:rsid w:val="00357CA3"/>
    <w:rsid w:val="0036013F"/>
    <w:rsid w:val="003607FB"/>
    <w:rsid w:val="00360FD5"/>
    <w:rsid w:val="00361049"/>
    <w:rsid w:val="0036340D"/>
    <w:rsid w:val="003634A5"/>
    <w:rsid w:val="00363A22"/>
    <w:rsid w:val="00366868"/>
    <w:rsid w:val="00367506"/>
    <w:rsid w:val="00370085"/>
    <w:rsid w:val="003704F6"/>
    <w:rsid w:val="003744A7"/>
    <w:rsid w:val="00376235"/>
    <w:rsid w:val="00381FB6"/>
    <w:rsid w:val="003836D3"/>
    <w:rsid w:val="00383A52"/>
    <w:rsid w:val="003865EA"/>
    <w:rsid w:val="00391652"/>
    <w:rsid w:val="00394D69"/>
    <w:rsid w:val="0039507F"/>
    <w:rsid w:val="003A088E"/>
    <w:rsid w:val="003A1260"/>
    <w:rsid w:val="003A295F"/>
    <w:rsid w:val="003A41DD"/>
    <w:rsid w:val="003A7033"/>
    <w:rsid w:val="003B2596"/>
    <w:rsid w:val="003B47FE"/>
    <w:rsid w:val="003B5673"/>
    <w:rsid w:val="003B6287"/>
    <w:rsid w:val="003B62C9"/>
    <w:rsid w:val="003C60A1"/>
    <w:rsid w:val="003C7176"/>
    <w:rsid w:val="003D0929"/>
    <w:rsid w:val="003D4729"/>
    <w:rsid w:val="003D7DD6"/>
    <w:rsid w:val="003E3379"/>
    <w:rsid w:val="003E50E4"/>
    <w:rsid w:val="003E5AAF"/>
    <w:rsid w:val="003E600D"/>
    <w:rsid w:val="003E64DF"/>
    <w:rsid w:val="003E6A5D"/>
    <w:rsid w:val="003E6F1C"/>
    <w:rsid w:val="003F193A"/>
    <w:rsid w:val="003F4207"/>
    <w:rsid w:val="003F5C46"/>
    <w:rsid w:val="003F7CBB"/>
    <w:rsid w:val="003F7D34"/>
    <w:rsid w:val="00412C8E"/>
    <w:rsid w:val="0041518D"/>
    <w:rsid w:val="00416113"/>
    <w:rsid w:val="0042221D"/>
    <w:rsid w:val="00422723"/>
    <w:rsid w:val="00424DD3"/>
    <w:rsid w:val="004269C5"/>
    <w:rsid w:val="00427376"/>
    <w:rsid w:val="00432E82"/>
    <w:rsid w:val="00435939"/>
    <w:rsid w:val="00437CC7"/>
    <w:rsid w:val="00442B9C"/>
    <w:rsid w:val="00445EFA"/>
    <w:rsid w:val="004462E0"/>
    <w:rsid w:val="004470A7"/>
    <w:rsid w:val="0044738A"/>
    <w:rsid w:val="004473D3"/>
    <w:rsid w:val="00452231"/>
    <w:rsid w:val="004528A6"/>
    <w:rsid w:val="004554B5"/>
    <w:rsid w:val="00460C13"/>
    <w:rsid w:val="004625F0"/>
    <w:rsid w:val="00463228"/>
    <w:rsid w:val="00463782"/>
    <w:rsid w:val="0046415B"/>
    <w:rsid w:val="004667E0"/>
    <w:rsid w:val="0046760E"/>
    <w:rsid w:val="00470E10"/>
    <w:rsid w:val="00473516"/>
    <w:rsid w:val="004741C1"/>
    <w:rsid w:val="00477A97"/>
    <w:rsid w:val="00481343"/>
    <w:rsid w:val="00483C08"/>
    <w:rsid w:val="0048549E"/>
    <w:rsid w:val="004930C6"/>
    <w:rsid w:val="00493347"/>
    <w:rsid w:val="00495EF2"/>
    <w:rsid w:val="00496092"/>
    <w:rsid w:val="004971FC"/>
    <w:rsid w:val="004A08DB"/>
    <w:rsid w:val="004A25D0"/>
    <w:rsid w:val="004A37E8"/>
    <w:rsid w:val="004A5FE2"/>
    <w:rsid w:val="004A7549"/>
    <w:rsid w:val="004B09D4"/>
    <w:rsid w:val="004B1E1C"/>
    <w:rsid w:val="004B309D"/>
    <w:rsid w:val="004B330A"/>
    <w:rsid w:val="004B3FF8"/>
    <w:rsid w:val="004B7C8E"/>
    <w:rsid w:val="004C3D3C"/>
    <w:rsid w:val="004D0EDC"/>
    <w:rsid w:val="004D1220"/>
    <w:rsid w:val="004D14B3"/>
    <w:rsid w:val="004D1529"/>
    <w:rsid w:val="004D2253"/>
    <w:rsid w:val="004D32BA"/>
    <w:rsid w:val="004D4A6C"/>
    <w:rsid w:val="004D5514"/>
    <w:rsid w:val="004D56C3"/>
    <w:rsid w:val="004D7318"/>
    <w:rsid w:val="004E0338"/>
    <w:rsid w:val="004E086C"/>
    <w:rsid w:val="004E4FF3"/>
    <w:rsid w:val="004E56A8"/>
    <w:rsid w:val="004E5BBD"/>
    <w:rsid w:val="004F3B55"/>
    <w:rsid w:val="004F428E"/>
    <w:rsid w:val="004F4E46"/>
    <w:rsid w:val="004F6B7D"/>
    <w:rsid w:val="00500235"/>
    <w:rsid w:val="005015F6"/>
    <w:rsid w:val="00501744"/>
    <w:rsid w:val="005030C4"/>
    <w:rsid w:val="005031C5"/>
    <w:rsid w:val="00504FDC"/>
    <w:rsid w:val="00505E97"/>
    <w:rsid w:val="005120CC"/>
    <w:rsid w:val="00512B7B"/>
    <w:rsid w:val="00514B2B"/>
    <w:rsid w:val="00514EA1"/>
    <w:rsid w:val="0051798B"/>
    <w:rsid w:val="00521F5A"/>
    <w:rsid w:val="00525E06"/>
    <w:rsid w:val="00526454"/>
    <w:rsid w:val="00531823"/>
    <w:rsid w:val="00533C59"/>
    <w:rsid w:val="00534ECC"/>
    <w:rsid w:val="0053531D"/>
    <w:rsid w:val="0053584B"/>
    <w:rsid w:val="0053720D"/>
    <w:rsid w:val="00540EF5"/>
    <w:rsid w:val="00541BF3"/>
    <w:rsid w:val="00541CD3"/>
    <w:rsid w:val="005420BC"/>
    <w:rsid w:val="0054319D"/>
    <w:rsid w:val="005476FA"/>
    <w:rsid w:val="00550F5B"/>
    <w:rsid w:val="005516D7"/>
    <w:rsid w:val="00552E33"/>
    <w:rsid w:val="0055595E"/>
    <w:rsid w:val="00557988"/>
    <w:rsid w:val="00562C49"/>
    <w:rsid w:val="00562DEF"/>
    <w:rsid w:val="0056321A"/>
    <w:rsid w:val="00563A35"/>
    <w:rsid w:val="00566596"/>
    <w:rsid w:val="005741E9"/>
    <w:rsid w:val="00574587"/>
    <w:rsid w:val="005748CF"/>
    <w:rsid w:val="00575453"/>
    <w:rsid w:val="005820BD"/>
    <w:rsid w:val="00584270"/>
    <w:rsid w:val="00584738"/>
    <w:rsid w:val="005920B0"/>
    <w:rsid w:val="00592F2A"/>
    <w:rsid w:val="0059380D"/>
    <w:rsid w:val="0059511E"/>
    <w:rsid w:val="00595A8F"/>
    <w:rsid w:val="00595CA1"/>
    <w:rsid w:val="005977C2"/>
    <w:rsid w:val="00597BF2"/>
    <w:rsid w:val="005A1B23"/>
    <w:rsid w:val="005A1F54"/>
    <w:rsid w:val="005A3020"/>
    <w:rsid w:val="005B134E"/>
    <w:rsid w:val="005B1ED4"/>
    <w:rsid w:val="005B2039"/>
    <w:rsid w:val="005B344F"/>
    <w:rsid w:val="005B3FBA"/>
    <w:rsid w:val="005B4A1D"/>
    <w:rsid w:val="005B4D96"/>
    <w:rsid w:val="005B674D"/>
    <w:rsid w:val="005C056D"/>
    <w:rsid w:val="005C0CBE"/>
    <w:rsid w:val="005C1FCF"/>
    <w:rsid w:val="005C3F41"/>
    <w:rsid w:val="005C4D62"/>
    <w:rsid w:val="005C5DCC"/>
    <w:rsid w:val="005C5F78"/>
    <w:rsid w:val="005C6B40"/>
    <w:rsid w:val="005D15C6"/>
    <w:rsid w:val="005D1885"/>
    <w:rsid w:val="005D1CF8"/>
    <w:rsid w:val="005D215F"/>
    <w:rsid w:val="005D4A38"/>
    <w:rsid w:val="005D5821"/>
    <w:rsid w:val="005E2397"/>
    <w:rsid w:val="005E2EEA"/>
    <w:rsid w:val="005E3708"/>
    <w:rsid w:val="005E3CCD"/>
    <w:rsid w:val="005E3D6B"/>
    <w:rsid w:val="005E45FF"/>
    <w:rsid w:val="005E507B"/>
    <w:rsid w:val="005E5B55"/>
    <w:rsid w:val="005E5E4A"/>
    <w:rsid w:val="005E693D"/>
    <w:rsid w:val="005E75BF"/>
    <w:rsid w:val="005F0A84"/>
    <w:rsid w:val="005F57BA"/>
    <w:rsid w:val="005F61E6"/>
    <w:rsid w:val="005F65A1"/>
    <w:rsid w:val="005F6C45"/>
    <w:rsid w:val="005F7A5C"/>
    <w:rsid w:val="006010BC"/>
    <w:rsid w:val="00601448"/>
    <w:rsid w:val="00603E86"/>
    <w:rsid w:val="00605A69"/>
    <w:rsid w:val="00606C54"/>
    <w:rsid w:val="00614375"/>
    <w:rsid w:val="00615B0A"/>
    <w:rsid w:val="006168CF"/>
    <w:rsid w:val="0062011B"/>
    <w:rsid w:val="00621276"/>
    <w:rsid w:val="0062264A"/>
    <w:rsid w:val="0062562F"/>
    <w:rsid w:val="0062577B"/>
    <w:rsid w:val="00626DE0"/>
    <w:rsid w:val="00630901"/>
    <w:rsid w:val="00631F83"/>
    <w:rsid w:val="00631F8E"/>
    <w:rsid w:val="00636EE9"/>
    <w:rsid w:val="00640950"/>
    <w:rsid w:val="00641AE7"/>
    <w:rsid w:val="00642629"/>
    <w:rsid w:val="0064782B"/>
    <w:rsid w:val="00647B0C"/>
    <w:rsid w:val="0065293D"/>
    <w:rsid w:val="00653EFC"/>
    <w:rsid w:val="00654021"/>
    <w:rsid w:val="00655B50"/>
    <w:rsid w:val="00656F6F"/>
    <w:rsid w:val="00661045"/>
    <w:rsid w:val="00661CAE"/>
    <w:rsid w:val="0066320C"/>
    <w:rsid w:val="00665EF4"/>
    <w:rsid w:val="00666DA8"/>
    <w:rsid w:val="0066760D"/>
    <w:rsid w:val="00667CA1"/>
    <w:rsid w:val="00671057"/>
    <w:rsid w:val="00675AAF"/>
    <w:rsid w:val="0068031A"/>
    <w:rsid w:val="00681B2F"/>
    <w:rsid w:val="0068335F"/>
    <w:rsid w:val="0068552C"/>
    <w:rsid w:val="00687217"/>
    <w:rsid w:val="00693302"/>
    <w:rsid w:val="0069640B"/>
    <w:rsid w:val="00697412"/>
    <w:rsid w:val="006A1B83"/>
    <w:rsid w:val="006A21CD"/>
    <w:rsid w:val="006A26C1"/>
    <w:rsid w:val="006A2DD6"/>
    <w:rsid w:val="006A3EDD"/>
    <w:rsid w:val="006A5918"/>
    <w:rsid w:val="006A6A38"/>
    <w:rsid w:val="006B21B2"/>
    <w:rsid w:val="006B4A4A"/>
    <w:rsid w:val="006B4EDF"/>
    <w:rsid w:val="006C02B8"/>
    <w:rsid w:val="006C17D7"/>
    <w:rsid w:val="006C19B2"/>
    <w:rsid w:val="006C1A2A"/>
    <w:rsid w:val="006C1DBD"/>
    <w:rsid w:val="006C4409"/>
    <w:rsid w:val="006C5BB8"/>
    <w:rsid w:val="006C6086"/>
    <w:rsid w:val="006C6364"/>
    <w:rsid w:val="006C6936"/>
    <w:rsid w:val="006C7B01"/>
    <w:rsid w:val="006D0FE8"/>
    <w:rsid w:val="006D32D3"/>
    <w:rsid w:val="006D39C5"/>
    <w:rsid w:val="006D40C9"/>
    <w:rsid w:val="006D456A"/>
    <w:rsid w:val="006D4B2B"/>
    <w:rsid w:val="006D4F3C"/>
    <w:rsid w:val="006D5C66"/>
    <w:rsid w:val="006D7002"/>
    <w:rsid w:val="006D7EDB"/>
    <w:rsid w:val="006E030D"/>
    <w:rsid w:val="006E1B3C"/>
    <w:rsid w:val="006E23FB"/>
    <w:rsid w:val="006E325A"/>
    <w:rsid w:val="006E33EC"/>
    <w:rsid w:val="006E3802"/>
    <w:rsid w:val="006E520B"/>
    <w:rsid w:val="006E6C02"/>
    <w:rsid w:val="006F231A"/>
    <w:rsid w:val="006F6B55"/>
    <w:rsid w:val="006F788D"/>
    <w:rsid w:val="006F78E1"/>
    <w:rsid w:val="006F7E22"/>
    <w:rsid w:val="00701072"/>
    <w:rsid w:val="007014E7"/>
    <w:rsid w:val="00701556"/>
    <w:rsid w:val="007017FA"/>
    <w:rsid w:val="00702054"/>
    <w:rsid w:val="00702254"/>
    <w:rsid w:val="007035A4"/>
    <w:rsid w:val="0070733D"/>
    <w:rsid w:val="00711799"/>
    <w:rsid w:val="00712B78"/>
    <w:rsid w:val="0071393B"/>
    <w:rsid w:val="00713EE2"/>
    <w:rsid w:val="007142B8"/>
    <w:rsid w:val="00715469"/>
    <w:rsid w:val="007177FC"/>
    <w:rsid w:val="00720C5E"/>
    <w:rsid w:val="00721701"/>
    <w:rsid w:val="007220FE"/>
    <w:rsid w:val="007245EE"/>
    <w:rsid w:val="00724EFE"/>
    <w:rsid w:val="007278F7"/>
    <w:rsid w:val="00731835"/>
    <w:rsid w:val="007341F8"/>
    <w:rsid w:val="00734372"/>
    <w:rsid w:val="00734E00"/>
    <w:rsid w:val="00734EB8"/>
    <w:rsid w:val="00735F8B"/>
    <w:rsid w:val="0074090B"/>
    <w:rsid w:val="00741BDF"/>
    <w:rsid w:val="00742401"/>
    <w:rsid w:val="00742D1F"/>
    <w:rsid w:val="00743EBA"/>
    <w:rsid w:val="00744C8E"/>
    <w:rsid w:val="0074707E"/>
    <w:rsid w:val="007516DC"/>
    <w:rsid w:val="00752E58"/>
    <w:rsid w:val="00754B80"/>
    <w:rsid w:val="0076001F"/>
    <w:rsid w:val="00761918"/>
    <w:rsid w:val="00762F03"/>
    <w:rsid w:val="0076413B"/>
    <w:rsid w:val="007642CE"/>
    <w:rsid w:val="007648AE"/>
    <w:rsid w:val="00764BF8"/>
    <w:rsid w:val="0076514D"/>
    <w:rsid w:val="0076609E"/>
    <w:rsid w:val="00773D59"/>
    <w:rsid w:val="00774FA6"/>
    <w:rsid w:val="00781003"/>
    <w:rsid w:val="00790995"/>
    <w:rsid w:val="007911FD"/>
    <w:rsid w:val="00793930"/>
    <w:rsid w:val="00793DD1"/>
    <w:rsid w:val="00794FEC"/>
    <w:rsid w:val="007956DC"/>
    <w:rsid w:val="00797E61"/>
    <w:rsid w:val="007A003E"/>
    <w:rsid w:val="007A1965"/>
    <w:rsid w:val="007A2ED1"/>
    <w:rsid w:val="007A49CD"/>
    <w:rsid w:val="007A4BE6"/>
    <w:rsid w:val="007B0DC6"/>
    <w:rsid w:val="007B1094"/>
    <w:rsid w:val="007B1762"/>
    <w:rsid w:val="007B3320"/>
    <w:rsid w:val="007C301F"/>
    <w:rsid w:val="007C3E77"/>
    <w:rsid w:val="007C4540"/>
    <w:rsid w:val="007C65AF"/>
    <w:rsid w:val="007C66BB"/>
    <w:rsid w:val="007D135D"/>
    <w:rsid w:val="007D730F"/>
    <w:rsid w:val="007D7CD8"/>
    <w:rsid w:val="007E09E5"/>
    <w:rsid w:val="007E34FD"/>
    <w:rsid w:val="007E3AA7"/>
    <w:rsid w:val="007E51C7"/>
    <w:rsid w:val="007F06BE"/>
    <w:rsid w:val="007F2D78"/>
    <w:rsid w:val="007F3BA6"/>
    <w:rsid w:val="007F737D"/>
    <w:rsid w:val="008008B6"/>
    <w:rsid w:val="00801722"/>
    <w:rsid w:val="0080308E"/>
    <w:rsid w:val="0080418A"/>
    <w:rsid w:val="00805303"/>
    <w:rsid w:val="00806705"/>
    <w:rsid w:val="00806738"/>
    <w:rsid w:val="00806DDA"/>
    <w:rsid w:val="00813CD9"/>
    <w:rsid w:val="008216D5"/>
    <w:rsid w:val="00821CDF"/>
    <w:rsid w:val="008221BB"/>
    <w:rsid w:val="008249CE"/>
    <w:rsid w:val="00824F17"/>
    <w:rsid w:val="00826A45"/>
    <w:rsid w:val="00831A50"/>
    <w:rsid w:val="00831B3C"/>
    <w:rsid w:val="00831C89"/>
    <w:rsid w:val="00832114"/>
    <w:rsid w:val="0083219D"/>
    <w:rsid w:val="00834C46"/>
    <w:rsid w:val="00836485"/>
    <w:rsid w:val="0084093E"/>
    <w:rsid w:val="00841CE1"/>
    <w:rsid w:val="00846D4C"/>
    <w:rsid w:val="008473D8"/>
    <w:rsid w:val="008528DC"/>
    <w:rsid w:val="00852B8C"/>
    <w:rsid w:val="00854981"/>
    <w:rsid w:val="00856616"/>
    <w:rsid w:val="00864B2E"/>
    <w:rsid w:val="00865963"/>
    <w:rsid w:val="00871208"/>
    <w:rsid w:val="00871C1D"/>
    <w:rsid w:val="0087450E"/>
    <w:rsid w:val="00875A82"/>
    <w:rsid w:val="00876CA3"/>
    <w:rsid w:val="008772FE"/>
    <w:rsid w:val="008775F1"/>
    <w:rsid w:val="008802A2"/>
    <w:rsid w:val="00880E5C"/>
    <w:rsid w:val="008821AE"/>
    <w:rsid w:val="00883D3A"/>
    <w:rsid w:val="008854F7"/>
    <w:rsid w:val="00885A9D"/>
    <w:rsid w:val="008929D2"/>
    <w:rsid w:val="00893636"/>
    <w:rsid w:val="00893B94"/>
    <w:rsid w:val="00896E9D"/>
    <w:rsid w:val="00896F11"/>
    <w:rsid w:val="008A1049"/>
    <w:rsid w:val="008A1C98"/>
    <w:rsid w:val="008A322D"/>
    <w:rsid w:val="008A41F7"/>
    <w:rsid w:val="008A4D72"/>
    <w:rsid w:val="008A6285"/>
    <w:rsid w:val="008A63B2"/>
    <w:rsid w:val="008B1EC7"/>
    <w:rsid w:val="008B345D"/>
    <w:rsid w:val="008C1FC2"/>
    <w:rsid w:val="008C2980"/>
    <w:rsid w:val="008C4DD6"/>
    <w:rsid w:val="008C5AFB"/>
    <w:rsid w:val="008C70F4"/>
    <w:rsid w:val="008D03B5"/>
    <w:rsid w:val="008D07FB"/>
    <w:rsid w:val="008D0C02"/>
    <w:rsid w:val="008D357D"/>
    <w:rsid w:val="008D435A"/>
    <w:rsid w:val="008D481F"/>
    <w:rsid w:val="008D4C47"/>
    <w:rsid w:val="008D55CE"/>
    <w:rsid w:val="008E0F51"/>
    <w:rsid w:val="008E387B"/>
    <w:rsid w:val="008E4752"/>
    <w:rsid w:val="008E5688"/>
    <w:rsid w:val="008E5CA9"/>
    <w:rsid w:val="008E6087"/>
    <w:rsid w:val="008E758D"/>
    <w:rsid w:val="008F10A7"/>
    <w:rsid w:val="008F11C3"/>
    <w:rsid w:val="008F693C"/>
    <w:rsid w:val="008F755D"/>
    <w:rsid w:val="008F7A39"/>
    <w:rsid w:val="009021E8"/>
    <w:rsid w:val="00904677"/>
    <w:rsid w:val="00905EE2"/>
    <w:rsid w:val="009064F8"/>
    <w:rsid w:val="00906B94"/>
    <w:rsid w:val="00911440"/>
    <w:rsid w:val="00911628"/>
    <w:rsid w:val="00911712"/>
    <w:rsid w:val="00911B27"/>
    <w:rsid w:val="009129C6"/>
    <w:rsid w:val="0091594F"/>
    <w:rsid w:val="009170BE"/>
    <w:rsid w:val="00920A5C"/>
    <w:rsid w:val="00920B55"/>
    <w:rsid w:val="009262C9"/>
    <w:rsid w:val="00930D90"/>
    <w:rsid w:val="00930EB9"/>
    <w:rsid w:val="00933DC7"/>
    <w:rsid w:val="009418F4"/>
    <w:rsid w:val="009426D8"/>
    <w:rsid w:val="00942BBC"/>
    <w:rsid w:val="00944180"/>
    <w:rsid w:val="00944A20"/>
    <w:rsid w:val="00944AA0"/>
    <w:rsid w:val="00946193"/>
    <w:rsid w:val="00947DA2"/>
    <w:rsid w:val="009505B5"/>
    <w:rsid w:val="00951177"/>
    <w:rsid w:val="0096177C"/>
    <w:rsid w:val="009658AD"/>
    <w:rsid w:val="009673E8"/>
    <w:rsid w:val="009718C6"/>
    <w:rsid w:val="00973061"/>
    <w:rsid w:val="009747C9"/>
    <w:rsid w:val="00974A42"/>
    <w:rsid w:val="00974DB8"/>
    <w:rsid w:val="0097534F"/>
    <w:rsid w:val="00980661"/>
    <w:rsid w:val="0098093B"/>
    <w:rsid w:val="009876D4"/>
    <w:rsid w:val="009911DF"/>
    <w:rsid w:val="009914A5"/>
    <w:rsid w:val="009917D5"/>
    <w:rsid w:val="0099351F"/>
    <w:rsid w:val="0099548E"/>
    <w:rsid w:val="00995A62"/>
    <w:rsid w:val="00996456"/>
    <w:rsid w:val="00996A12"/>
    <w:rsid w:val="00997B0F"/>
    <w:rsid w:val="009A0CC3"/>
    <w:rsid w:val="009A1CAD"/>
    <w:rsid w:val="009A3440"/>
    <w:rsid w:val="009A48AC"/>
    <w:rsid w:val="009A5832"/>
    <w:rsid w:val="009A6245"/>
    <w:rsid w:val="009A6838"/>
    <w:rsid w:val="009A6B56"/>
    <w:rsid w:val="009B2454"/>
    <w:rsid w:val="009B24B5"/>
    <w:rsid w:val="009B3EE0"/>
    <w:rsid w:val="009B4869"/>
    <w:rsid w:val="009B4EBC"/>
    <w:rsid w:val="009B5ABB"/>
    <w:rsid w:val="009B73CE"/>
    <w:rsid w:val="009C13C5"/>
    <w:rsid w:val="009C2461"/>
    <w:rsid w:val="009C5A15"/>
    <w:rsid w:val="009C6FE2"/>
    <w:rsid w:val="009C7674"/>
    <w:rsid w:val="009D004A"/>
    <w:rsid w:val="009D3931"/>
    <w:rsid w:val="009D507B"/>
    <w:rsid w:val="009D5880"/>
    <w:rsid w:val="009E1FD4"/>
    <w:rsid w:val="009E3B07"/>
    <w:rsid w:val="009E51D1"/>
    <w:rsid w:val="009E5531"/>
    <w:rsid w:val="009F171E"/>
    <w:rsid w:val="009F3D2F"/>
    <w:rsid w:val="009F4342"/>
    <w:rsid w:val="009F4F54"/>
    <w:rsid w:val="009F7052"/>
    <w:rsid w:val="009F709C"/>
    <w:rsid w:val="00A02668"/>
    <w:rsid w:val="00A02801"/>
    <w:rsid w:val="00A03975"/>
    <w:rsid w:val="00A05338"/>
    <w:rsid w:val="00A0672A"/>
    <w:rsid w:val="00A06A39"/>
    <w:rsid w:val="00A06E0C"/>
    <w:rsid w:val="00A07F58"/>
    <w:rsid w:val="00A131CB"/>
    <w:rsid w:val="00A14847"/>
    <w:rsid w:val="00A16D6D"/>
    <w:rsid w:val="00A21383"/>
    <w:rsid w:val="00A2199F"/>
    <w:rsid w:val="00A21B31"/>
    <w:rsid w:val="00A2360E"/>
    <w:rsid w:val="00A24EE9"/>
    <w:rsid w:val="00A26E0C"/>
    <w:rsid w:val="00A318AC"/>
    <w:rsid w:val="00A32FCB"/>
    <w:rsid w:val="00A34C25"/>
    <w:rsid w:val="00A3507D"/>
    <w:rsid w:val="00A3717A"/>
    <w:rsid w:val="00A4088C"/>
    <w:rsid w:val="00A4456B"/>
    <w:rsid w:val="00A448D4"/>
    <w:rsid w:val="00A452E0"/>
    <w:rsid w:val="00A506DF"/>
    <w:rsid w:val="00A51EA5"/>
    <w:rsid w:val="00A53742"/>
    <w:rsid w:val="00A557A1"/>
    <w:rsid w:val="00A5622B"/>
    <w:rsid w:val="00A63059"/>
    <w:rsid w:val="00A6376A"/>
    <w:rsid w:val="00A63AE3"/>
    <w:rsid w:val="00A651A4"/>
    <w:rsid w:val="00A71361"/>
    <w:rsid w:val="00A71674"/>
    <w:rsid w:val="00A716DF"/>
    <w:rsid w:val="00A73005"/>
    <w:rsid w:val="00A746E2"/>
    <w:rsid w:val="00A772C3"/>
    <w:rsid w:val="00A81FF2"/>
    <w:rsid w:val="00A83904"/>
    <w:rsid w:val="00A90A79"/>
    <w:rsid w:val="00A96B30"/>
    <w:rsid w:val="00AA0CDA"/>
    <w:rsid w:val="00AA0D13"/>
    <w:rsid w:val="00AA100C"/>
    <w:rsid w:val="00AA442D"/>
    <w:rsid w:val="00AA59B5"/>
    <w:rsid w:val="00AA713D"/>
    <w:rsid w:val="00AA7777"/>
    <w:rsid w:val="00AA78B7"/>
    <w:rsid w:val="00AA7B84"/>
    <w:rsid w:val="00AB6DA7"/>
    <w:rsid w:val="00AC0B4C"/>
    <w:rsid w:val="00AC1164"/>
    <w:rsid w:val="00AC2296"/>
    <w:rsid w:val="00AC2754"/>
    <w:rsid w:val="00AC48B0"/>
    <w:rsid w:val="00AC4ACD"/>
    <w:rsid w:val="00AC5DFB"/>
    <w:rsid w:val="00AC7CD2"/>
    <w:rsid w:val="00AC7F60"/>
    <w:rsid w:val="00AD13DC"/>
    <w:rsid w:val="00AD4929"/>
    <w:rsid w:val="00AD508E"/>
    <w:rsid w:val="00AD6DE2"/>
    <w:rsid w:val="00AE0A40"/>
    <w:rsid w:val="00AE1ED4"/>
    <w:rsid w:val="00AE21E1"/>
    <w:rsid w:val="00AE2F8D"/>
    <w:rsid w:val="00AE35B5"/>
    <w:rsid w:val="00AE3BAE"/>
    <w:rsid w:val="00AE5EAB"/>
    <w:rsid w:val="00AE6761"/>
    <w:rsid w:val="00AE6A21"/>
    <w:rsid w:val="00AE6EBA"/>
    <w:rsid w:val="00AE7660"/>
    <w:rsid w:val="00AF0A74"/>
    <w:rsid w:val="00AF1C8F"/>
    <w:rsid w:val="00AF2B68"/>
    <w:rsid w:val="00AF2C92"/>
    <w:rsid w:val="00AF3EC1"/>
    <w:rsid w:val="00AF5025"/>
    <w:rsid w:val="00AF519F"/>
    <w:rsid w:val="00AF5387"/>
    <w:rsid w:val="00AF55F5"/>
    <w:rsid w:val="00AF5A87"/>
    <w:rsid w:val="00AF7969"/>
    <w:rsid w:val="00AF7E86"/>
    <w:rsid w:val="00B01728"/>
    <w:rsid w:val="00B024B9"/>
    <w:rsid w:val="00B077FA"/>
    <w:rsid w:val="00B10B6A"/>
    <w:rsid w:val="00B127D7"/>
    <w:rsid w:val="00B13B0C"/>
    <w:rsid w:val="00B14408"/>
    <w:rsid w:val="00B1453A"/>
    <w:rsid w:val="00B15558"/>
    <w:rsid w:val="00B20E32"/>
    <w:rsid w:val="00B20F82"/>
    <w:rsid w:val="00B24B72"/>
    <w:rsid w:val="00B25BD5"/>
    <w:rsid w:val="00B324C6"/>
    <w:rsid w:val="00B34079"/>
    <w:rsid w:val="00B34146"/>
    <w:rsid w:val="00B347BA"/>
    <w:rsid w:val="00B35CF0"/>
    <w:rsid w:val="00B3793A"/>
    <w:rsid w:val="00B401BA"/>
    <w:rsid w:val="00B407E4"/>
    <w:rsid w:val="00B425B6"/>
    <w:rsid w:val="00B42A72"/>
    <w:rsid w:val="00B441AE"/>
    <w:rsid w:val="00B45A65"/>
    <w:rsid w:val="00B45F33"/>
    <w:rsid w:val="00B46D50"/>
    <w:rsid w:val="00B50D5E"/>
    <w:rsid w:val="00B53170"/>
    <w:rsid w:val="00B53D29"/>
    <w:rsid w:val="00B548B9"/>
    <w:rsid w:val="00B5647E"/>
    <w:rsid w:val="00B56DBE"/>
    <w:rsid w:val="00B578BF"/>
    <w:rsid w:val="00B625FB"/>
    <w:rsid w:val="00B62999"/>
    <w:rsid w:val="00B63BE3"/>
    <w:rsid w:val="00B64885"/>
    <w:rsid w:val="00B64FA3"/>
    <w:rsid w:val="00B66810"/>
    <w:rsid w:val="00B72BE3"/>
    <w:rsid w:val="00B73A2E"/>
    <w:rsid w:val="00B73B80"/>
    <w:rsid w:val="00B770C7"/>
    <w:rsid w:val="00B80647"/>
    <w:rsid w:val="00B80F26"/>
    <w:rsid w:val="00B822BD"/>
    <w:rsid w:val="00B83837"/>
    <w:rsid w:val="00B842F4"/>
    <w:rsid w:val="00B857F9"/>
    <w:rsid w:val="00B91A7B"/>
    <w:rsid w:val="00B929DD"/>
    <w:rsid w:val="00B93AF6"/>
    <w:rsid w:val="00B95405"/>
    <w:rsid w:val="00B963F1"/>
    <w:rsid w:val="00BA020A"/>
    <w:rsid w:val="00BA4714"/>
    <w:rsid w:val="00BA62AF"/>
    <w:rsid w:val="00BB025A"/>
    <w:rsid w:val="00BB02A4"/>
    <w:rsid w:val="00BB1270"/>
    <w:rsid w:val="00BB1E44"/>
    <w:rsid w:val="00BB2135"/>
    <w:rsid w:val="00BB241E"/>
    <w:rsid w:val="00BB5267"/>
    <w:rsid w:val="00BB52B8"/>
    <w:rsid w:val="00BB59D8"/>
    <w:rsid w:val="00BB7E69"/>
    <w:rsid w:val="00BC0E51"/>
    <w:rsid w:val="00BC3C1F"/>
    <w:rsid w:val="00BC6E15"/>
    <w:rsid w:val="00BC7CE7"/>
    <w:rsid w:val="00BD295E"/>
    <w:rsid w:val="00BD4664"/>
    <w:rsid w:val="00BE1193"/>
    <w:rsid w:val="00BF4849"/>
    <w:rsid w:val="00BF4EA7"/>
    <w:rsid w:val="00BF5DCA"/>
    <w:rsid w:val="00BF6525"/>
    <w:rsid w:val="00BF69AA"/>
    <w:rsid w:val="00C00EDB"/>
    <w:rsid w:val="00C015AF"/>
    <w:rsid w:val="00C02101"/>
    <w:rsid w:val="00C02863"/>
    <w:rsid w:val="00C0383A"/>
    <w:rsid w:val="00C067FF"/>
    <w:rsid w:val="00C12862"/>
    <w:rsid w:val="00C12F42"/>
    <w:rsid w:val="00C13D28"/>
    <w:rsid w:val="00C14585"/>
    <w:rsid w:val="00C15C25"/>
    <w:rsid w:val="00C165A0"/>
    <w:rsid w:val="00C216CE"/>
    <w:rsid w:val="00C2184F"/>
    <w:rsid w:val="00C22A78"/>
    <w:rsid w:val="00C23C7E"/>
    <w:rsid w:val="00C246C5"/>
    <w:rsid w:val="00C25A82"/>
    <w:rsid w:val="00C30A2A"/>
    <w:rsid w:val="00C31BFB"/>
    <w:rsid w:val="00C33993"/>
    <w:rsid w:val="00C368D0"/>
    <w:rsid w:val="00C37577"/>
    <w:rsid w:val="00C40590"/>
    <w:rsid w:val="00C4069E"/>
    <w:rsid w:val="00C41ADC"/>
    <w:rsid w:val="00C44149"/>
    <w:rsid w:val="00C44410"/>
    <w:rsid w:val="00C44A15"/>
    <w:rsid w:val="00C4630A"/>
    <w:rsid w:val="00C512AF"/>
    <w:rsid w:val="00C523F0"/>
    <w:rsid w:val="00C526D2"/>
    <w:rsid w:val="00C536B8"/>
    <w:rsid w:val="00C53A91"/>
    <w:rsid w:val="00C5794E"/>
    <w:rsid w:val="00C60968"/>
    <w:rsid w:val="00C63D39"/>
    <w:rsid w:val="00C63EDD"/>
    <w:rsid w:val="00C65B36"/>
    <w:rsid w:val="00C7292E"/>
    <w:rsid w:val="00C743D1"/>
    <w:rsid w:val="00C74B61"/>
    <w:rsid w:val="00C74E88"/>
    <w:rsid w:val="00C7589F"/>
    <w:rsid w:val="00C80924"/>
    <w:rsid w:val="00C80C63"/>
    <w:rsid w:val="00C81D80"/>
    <w:rsid w:val="00C8286B"/>
    <w:rsid w:val="00C84A47"/>
    <w:rsid w:val="00C914C1"/>
    <w:rsid w:val="00C92010"/>
    <w:rsid w:val="00C93C2B"/>
    <w:rsid w:val="00C947F8"/>
    <w:rsid w:val="00C9515F"/>
    <w:rsid w:val="00C963C5"/>
    <w:rsid w:val="00CA030C"/>
    <w:rsid w:val="00CA1F41"/>
    <w:rsid w:val="00CA32EE"/>
    <w:rsid w:val="00CA5771"/>
    <w:rsid w:val="00CA5CB4"/>
    <w:rsid w:val="00CA6A1A"/>
    <w:rsid w:val="00CB1523"/>
    <w:rsid w:val="00CB2169"/>
    <w:rsid w:val="00CB4095"/>
    <w:rsid w:val="00CB661F"/>
    <w:rsid w:val="00CB7155"/>
    <w:rsid w:val="00CB7E1A"/>
    <w:rsid w:val="00CC073E"/>
    <w:rsid w:val="00CC1B3F"/>
    <w:rsid w:val="00CC1E75"/>
    <w:rsid w:val="00CC2E0E"/>
    <w:rsid w:val="00CC361C"/>
    <w:rsid w:val="00CC474B"/>
    <w:rsid w:val="00CC658C"/>
    <w:rsid w:val="00CC67BF"/>
    <w:rsid w:val="00CC6EE7"/>
    <w:rsid w:val="00CD0843"/>
    <w:rsid w:val="00CD092D"/>
    <w:rsid w:val="00CD4E31"/>
    <w:rsid w:val="00CD5A78"/>
    <w:rsid w:val="00CD7345"/>
    <w:rsid w:val="00CE372E"/>
    <w:rsid w:val="00CE37E6"/>
    <w:rsid w:val="00CF0A1B"/>
    <w:rsid w:val="00CF19F6"/>
    <w:rsid w:val="00CF2F4F"/>
    <w:rsid w:val="00CF5249"/>
    <w:rsid w:val="00CF536D"/>
    <w:rsid w:val="00CF7379"/>
    <w:rsid w:val="00CF74D0"/>
    <w:rsid w:val="00CF7512"/>
    <w:rsid w:val="00D02E9D"/>
    <w:rsid w:val="00D03789"/>
    <w:rsid w:val="00D10CB8"/>
    <w:rsid w:val="00D12806"/>
    <w:rsid w:val="00D12D44"/>
    <w:rsid w:val="00D15018"/>
    <w:rsid w:val="00D158AC"/>
    <w:rsid w:val="00D1694C"/>
    <w:rsid w:val="00D20F5E"/>
    <w:rsid w:val="00D23B76"/>
    <w:rsid w:val="00D24B4A"/>
    <w:rsid w:val="00D259B0"/>
    <w:rsid w:val="00D32ECE"/>
    <w:rsid w:val="00D379A3"/>
    <w:rsid w:val="00D42B53"/>
    <w:rsid w:val="00D43A27"/>
    <w:rsid w:val="00D45FF3"/>
    <w:rsid w:val="00D46C4C"/>
    <w:rsid w:val="00D512CF"/>
    <w:rsid w:val="00D528B9"/>
    <w:rsid w:val="00D53186"/>
    <w:rsid w:val="00D5437B"/>
    <w:rsid w:val="00D5487D"/>
    <w:rsid w:val="00D57981"/>
    <w:rsid w:val="00D60140"/>
    <w:rsid w:val="00D6024A"/>
    <w:rsid w:val="00D608B5"/>
    <w:rsid w:val="00D642F0"/>
    <w:rsid w:val="00D64739"/>
    <w:rsid w:val="00D6677A"/>
    <w:rsid w:val="00D66BEA"/>
    <w:rsid w:val="00D67F3E"/>
    <w:rsid w:val="00D71F99"/>
    <w:rsid w:val="00D73CA4"/>
    <w:rsid w:val="00D73D71"/>
    <w:rsid w:val="00D74396"/>
    <w:rsid w:val="00D80284"/>
    <w:rsid w:val="00D81F71"/>
    <w:rsid w:val="00D82117"/>
    <w:rsid w:val="00D82DB3"/>
    <w:rsid w:val="00D84D85"/>
    <w:rsid w:val="00D8642D"/>
    <w:rsid w:val="00D86685"/>
    <w:rsid w:val="00D90A5E"/>
    <w:rsid w:val="00D91A68"/>
    <w:rsid w:val="00D923A2"/>
    <w:rsid w:val="00D92BDF"/>
    <w:rsid w:val="00D95A68"/>
    <w:rsid w:val="00DA17C7"/>
    <w:rsid w:val="00DA1C9C"/>
    <w:rsid w:val="00DA35BB"/>
    <w:rsid w:val="00DA6A9A"/>
    <w:rsid w:val="00DB0A90"/>
    <w:rsid w:val="00DB1EFD"/>
    <w:rsid w:val="00DB3EAF"/>
    <w:rsid w:val="00DB46C6"/>
    <w:rsid w:val="00DB7A51"/>
    <w:rsid w:val="00DB7CB0"/>
    <w:rsid w:val="00DC2787"/>
    <w:rsid w:val="00DC3203"/>
    <w:rsid w:val="00DC3C99"/>
    <w:rsid w:val="00DC52F5"/>
    <w:rsid w:val="00DC5FD0"/>
    <w:rsid w:val="00DD00EA"/>
    <w:rsid w:val="00DD0354"/>
    <w:rsid w:val="00DD27D7"/>
    <w:rsid w:val="00DD33EC"/>
    <w:rsid w:val="00DD458C"/>
    <w:rsid w:val="00DD72E9"/>
    <w:rsid w:val="00DD737E"/>
    <w:rsid w:val="00DD7605"/>
    <w:rsid w:val="00DE2020"/>
    <w:rsid w:val="00DE3476"/>
    <w:rsid w:val="00DE67BE"/>
    <w:rsid w:val="00DE7BEA"/>
    <w:rsid w:val="00DF5B84"/>
    <w:rsid w:val="00DF6D5B"/>
    <w:rsid w:val="00DF771B"/>
    <w:rsid w:val="00DF7EE2"/>
    <w:rsid w:val="00E01BAA"/>
    <w:rsid w:val="00E02536"/>
    <w:rsid w:val="00E0282A"/>
    <w:rsid w:val="00E02F9B"/>
    <w:rsid w:val="00E05B6F"/>
    <w:rsid w:val="00E07E14"/>
    <w:rsid w:val="00E07F8D"/>
    <w:rsid w:val="00E14F94"/>
    <w:rsid w:val="00E17336"/>
    <w:rsid w:val="00E17D15"/>
    <w:rsid w:val="00E17D20"/>
    <w:rsid w:val="00E22B95"/>
    <w:rsid w:val="00E26453"/>
    <w:rsid w:val="00E30331"/>
    <w:rsid w:val="00E30BB8"/>
    <w:rsid w:val="00E31F9C"/>
    <w:rsid w:val="00E326C7"/>
    <w:rsid w:val="00E3566B"/>
    <w:rsid w:val="00E40488"/>
    <w:rsid w:val="00E40553"/>
    <w:rsid w:val="00E44202"/>
    <w:rsid w:val="00E47AB0"/>
    <w:rsid w:val="00E47D17"/>
    <w:rsid w:val="00E50367"/>
    <w:rsid w:val="00E51ABA"/>
    <w:rsid w:val="00E524CB"/>
    <w:rsid w:val="00E53E25"/>
    <w:rsid w:val="00E61344"/>
    <w:rsid w:val="00E61BCC"/>
    <w:rsid w:val="00E628B1"/>
    <w:rsid w:val="00E65456"/>
    <w:rsid w:val="00E65A91"/>
    <w:rsid w:val="00E66188"/>
    <w:rsid w:val="00E664FB"/>
    <w:rsid w:val="00E672F0"/>
    <w:rsid w:val="00E70373"/>
    <w:rsid w:val="00E71DD0"/>
    <w:rsid w:val="00E72E40"/>
    <w:rsid w:val="00E73665"/>
    <w:rsid w:val="00E73999"/>
    <w:rsid w:val="00E73BDC"/>
    <w:rsid w:val="00E73E9E"/>
    <w:rsid w:val="00E81660"/>
    <w:rsid w:val="00E854FE"/>
    <w:rsid w:val="00E874F7"/>
    <w:rsid w:val="00E906CC"/>
    <w:rsid w:val="00E9396C"/>
    <w:rsid w:val="00E939A0"/>
    <w:rsid w:val="00E97E4E"/>
    <w:rsid w:val="00EA1CC2"/>
    <w:rsid w:val="00EA2D76"/>
    <w:rsid w:val="00EA4644"/>
    <w:rsid w:val="00EA5D7C"/>
    <w:rsid w:val="00EA758A"/>
    <w:rsid w:val="00EB096F"/>
    <w:rsid w:val="00EB199F"/>
    <w:rsid w:val="00EB2039"/>
    <w:rsid w:val="00EB21A4"/>
    <w:rsid w:val="00EB27C4"/>
    <w:rsid w:val="00EB5387"/>
    <w:rsid w:val="00EB5C10"/>
    <w:rsid w:val="00EB7322"/>
    <w:rsid w:val="00EC0FE9"/>
    <w:rsid w:val="00EC198B"/>
    <w:rsid w:val="00EC426D"/>
    <w:rsid w:val="00EC4DFD"/>
    <w:rsid w:val="00EC571B"/>
    <w:rsid w:val="00EC57D7"/>
    <w:rsid w:val="00EC6061"/>
    <w:rsid w:val="00EC6385"/>
    <w:rsid w:val="00ED1DE9"/>
    <w:rsid w:val="00ED23D4"/>
    <w:rsid w:val="00ED5E0B"/>
    <w:rsid w:val="00EE37B6"/>
    <w:rsid w:val="00EE52CC"/>
    <w:rsid w:val="00EF0F45"/>
    <w:rsid w:val="00EF2F47"/>
    <w:rsid w:val="00EF40CE"/>
    <w:rsid w:val="00EF7463"/>
    <w:rsid w:val="00EF783B"/>
    <w:rsid w:val="00EF7971"/>
    <w:rsid w:val="00F002EF"/>
    <w:rsid w:val="00F01EE9"/>
    <w:rsid w:val="00F0426A"/>
    <w:rsid w:val="00F04900"/>
    <w:rsid w:val="00F065A4"/>
    <w:rsid w:val="00F07055"/>
    <w:rsid w:val="00F126B9"/>
    <w:rsid w:val="00F12715"/>
    <w:rsid w:val="00F144D5"/>
    <w:rsid w:val="00F146F0"/>
    <w:rsid w:val="00F15039"/>
    <w:rsid w:val="00F16777"/>
    <w:rsid w:val="00F20FF3"/>
    <w:rsid w:val="00F2190B"/>
    <w:rsid w:val="00F228B5"/>
    <w:rsid w:val="00F2389C"/>
    <w:rsid w:val="00F25C67"/>
    <w:rsid w:val="00F304E0"/>
    <w:rsid w:val="00F30DFF"/>
    <w:rsid w:val="00F323FB"/>
    <w:rsid w:val="00F32B80"/>
    <w:rsid w:val="00F340EB"/>
    <w:rsid w:val="00F35285"/>
    <w:rsid w:val="00F35550"/>
    <w:rsid w:val="00F3572A"/>
    <w:rsid w:val="00F42753"/>
    <w:rsid w:val="00F43B9D"/>
    <w:rsid w:val="00F44D5E"/>
    <w:rsid w:val="00F52E19"/>
    <w:rsid w:val="00F53022"/>
    <w:rsid w:val="00F53A35"/>
    <w:rsid w:val="00F54A72"/>
    <w:rsid w:val="00F55A3D"/>
    <w:rsid w:val="00F5744B"/>
    <w:rsid w:val="00F61209"/>
    <w:rsid w:val="00F6259E"/>
    <w:rsid w:val="00F65B3C"/>
    <w:rsid w:val="00F65DD4"/>
    <w:rsid w:val="00F672B2"/>
    <w:rsid w:val="00F73007"/>
    <w:rsid w:val="00F7722F"/>
    <w:rsid w:val="00F83973"/>
    <w:rsid w:val="00F86A81"/>
    <w:rsid w:val="00F87FA3"/>
    <w:rsid w:val="00F93D8C"/>
    <w:rsid w:val="00FA3102"/>
    <w:rsid w:val="00FA48D4"/>
    <w:rsid w:val="00FA51E4"/>
    <w:rsid w:val="00FA54FA"/>
    <w:rsid w:val="00FA6D39"/>
    <w:rsid w:val="00FB01E4"/>
    <w:rsid w:val="00FB227E"/>
    <w:rsid w:val="00FB3D61"/>
    <w:rsid w:val="00FB44CE"/>
    <w:rsid w:val="00FB5009"/>
    <w:rsid w:val="00FB76AB"/>
    <w:rsid w:val="00FD03FE"/>
    <w:rsid w:val="00FD126E"/>
    <w:rsid w:val="00FD2251"/>
    <w:rsid w:val="00FD3C36"/>
    <w:rsid w:val="00FD4D81"/>
    <w:rsid w:val="00FD7498"/>
    <w:rsid w:val="00FD7FB3"/>
    <w:rsid w:val="00FE2CD2"/>
    <w:rsid w:val="00FE4713"/>
    <w:rsid w:val="00FE562A"/>
    <w:rsid w:val="00FE5C57"/>
    <w:rsid w:val="00FF01DF"/>
    <w:rsid w:val="00FF1AB5"/>
    <w:rsid w:val="00FF1F44"/>
    <w:rsid w:val="00FF225E"/>
    <w:rsid w:val="00FF672C"/>
    <w:rsid w:val="00FF6CE8"/>
    <w:rsid w:val="3A3A1E13"/>
    <w:rsid w:val="3FCA5674"/>
    <w:rsid w:val="6F912F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2FC289"/>
  <w14:defaultImageDpi w14:val="330"/>
  <w15:docId w15:val="{68D5FB96-70E0-497B-B37A-355F292C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480" w:lineRule="auto"/>
    </w:pPr>
    <w:rPr>
      <w:sz w:val="24"/>
      <w:szCs w:val="24"/>
      <w:lang w:val="en-GB" w:eastAsia="en-GB"/>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pPr>
      <w:widowControl w:val="0"/>
      <w:spacing w:before="240"/>
    </w:pPr>
  </w:style>
  <w:style w:type="paragraph" w:customStyle="1" w:styleId="Newparagraph">
    <w:name w:val="New paragraph"/>
    <w:basedOn w:val="Normal"/>
    <w:qFormat/>
    <w:pPr>
      <w:ind w:firstLine="720"/>
    </w:pPr>
  </w:style>
  <w:style w:type="paragraph" w:styleId="NormalIndent">
    <w:name w:val="Normal Indent"/>
    <w:basedOn w:val="Normal"/>
    <w:qFormat/>
    <w:pPr>
      <w:ind w:left="720"/>
    </w:pPr>
  </w:style>
  <w:style w:type="paragraph" w:styleId="EndnoteText">
    <w:name w:val="endnote text"/>
    <w:basedOn w:val="Normal"/>
    <w:link w:val="EndnoteTextChar"/>
    <w:autoRedefine/>
    <w:qFormat/>
    <w:pPr>
      <w:ind w:left="284" w:hanging="284"/>
    </w:pPr>
    <w:rPr>
      <w:sz w:val="22"/>
      <w:szCs w:val="20"/>
    </w:rPr>
  </w:style>
  <w:style w:type="paragraph" w:styleId="Footer">
    <w:name w:val="footer"/>
    <w:basedOn w:val="Normal"/>
    <w:link w:val="FooterChar"/>
    <w:pPr>
      <w:tabs>
        <w:tab w:val="center" w:pos="4320"/>
        <w:tab w:val="right" w:pos="8640"/>
      </w:tabs>
      <w:spacing w:before="240" w:line="240" w:lineRule="auto"/>
      <w:contextualSpacing/>
    </w:pPr>
  </w:style>
  <w:style w:type="paragraph" w:styleId="Header">
    <w:name w:val="header"/>
    <w:basedOn w:val="Normal"/>
    <w:link w:val="HeaderChar"/>
    <w:qFormat/>
    <w:pPr>
      <w:tabs>
        <w:tab w:val="center" w:pos="4320"/>
        <w:tab w:val="right" w:pos="8640"/>
      </w:tabs>
      <w:spacing w:after="120" w:line="240" w:lineRule="auto"/>
      <w:contextualSpacing/>
    </w:pPr>
  </w:style>
  <w:style w:type="paragraph" w:styleId="FootnoteText">
    <w:name w:val="footnote text"/>
    <w:basedOn w:val="Normal"/>
    <w:link w:val="FootnoteTextChar"/>
    <w:autoRedefine/>
    <w:qFormat/>
    <w:pPr>
      <w:ind w:left="284" w:hanging="284"/>
    </w:pPr>
    <w:rPr>
      <w:sz w:val="22"/>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Pr>
      <w:vertAlign w:val="superscript"/>
    </w:rPr>
  </w:style>
  <w:style w:type="character" w:styleId="Hyperlink">
    <w:name w:val="Hyperlink"/>
    <w:basedOn w:val="DefaultParagraphFont"/>
    <w:unhideWhenUsed/>
    <w:rPr>
      <w:color w:val="0000FF" w:themeColor="hyperlink"/>
      <w:u w:val="single"/>
    </w:rPr>
  </w:style>
  <w:style w:type="character" w:styleId="FootnoteReference">
    <w:name w:val="footnote reference"/>
    <w:basedOn w:val="DefaultParagraphFont"/>
    <w:qFormat/>
    <w:rPr>
      <w:vertAlign w:val="superscript"/>
    </w:rPr>
  </w:style>
  <w:style w:type="paragraph" w:customStyle="1" w:styleId="Articletitle">
    <w:name w:val="Article title"/>
    <w:basedOn w:val="Normal"/>
    <w:next w:val="Normal"/>
    <w:qFormat/>
    <w:pPr>
      <w:spacing w:after="120" w:line="360" w:lineRule="auto"/>
    </w:pPr>
    <w:rPr>
      <w:b/>
      <w:sz w:val="28"/>
    </w:rPr>
  </w:style>
  <w:style w:type="paragraph" w:customStyle="1" w:styleId="Authornames">
    <w:name w:val="Author names"/>
    <w:basedOn w:val="Normal"/>
    <w:next w:val="Normal"/>
    <w:qFormat/>
    <w:pPr>
      <w:spacing w:before="240" w:line="360" w:lineRule="auto"/>
    </w:pPr>
    <w:rPr>
      <w:sz w:val="28"/>
    </w:rPr>
  </w:style>
  <w:style w:type="paragraph" w:customStyle="1" w:styleId="Affiliation">
    <w:name w:val="Affiliation"/>
    <w:basedOn w:val="Normal"/>
    <w:qFormat/>
    <w:pPr>
      <w:spacing w:before="240" w:line="360" w:lineRule="auto"/>
    </w:pPr>
    <w:rPr>
      <w:i/>
    </w:rPr>
  </w:style>
  <w:style w:type="paragraph" w:customStyle="1" w:styleId="Receiveddates">
    <w:name w:val="Received dates"/>
    <w:basedOn w:val="Affiliation"/>
    <w:next w:val="Normal"/>
    <w:qFormat/>
  </w:style>
  <w:style w:type="paragraph" w:customStyle="1" w:styleId="Abstract">
    <w:name w:val="Abstract"/>
    <w:basedOn w:val="Normal"/>
    <w:next w:val="Keywords"/>
    <w:qFormat/>
    <w:pPr>
      <w:spacing w:before="360" w:after="300" w:line="360" w:lineRule="auto"/>
      <w:ind w:left="720" w:right="567"/>
    </w:pPr>
    <w:rPr>
      <w:sz w:val="22"/>
    </w:rPr>
  </w:style>
  <w:style w:type="paragraph" w:customStyle="1" w:styleId="Keywords">
    <w:name w:val="Keywords"/>
    <w:basedOn w:val="Normal"/>
    <w:next w:val="Paragraph"/>
    <w:qFormat/>
    <w:pPr>
      <w:spacing w:before="240" w:after="240" w:line="360" w:lineRule="auto"/>
      <w:ind w:left="720" w:right="567"/>
    </w:pPr>
    <w:rPr>
      <w:sz w:val="22"/>
    </w:rPr>
  </w:style>
  <w:style w:type="paragraph" w:customStyle="1" w:styleId="Correspondencedetails">
    <w:name w:val="Correspondence details"/>
    <w:basedOn w:val="Normal"/>
    <w:qFormat/>
    <w:pPr>
      <w:spacing w:before="240" w:line="360" w:lineRule="auto"/>
    </w:p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pPr>
      <w:widowControl/>
      <w:numPr>
        <w:numId w:val="1"/>
      </w:numPr>
      <w:spacing w:after="240"/>
      <w:contextualSpacing/>
    </w:p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Acknowledgements">
    <w:name w:val="Acknowledgements"/>
    <w:basedOn w:val="Normal"/>
    <w:next w:val="Normal"/>
    <w:qFormat/>
    <w:pPr>
      <w:spacing w:before="120" w:line="360" w:lineRule="auto"/>
    </w:pPr>
    <w:rPr>
      <w:sz w:val="22"/>
    </w:rPr>
  </w:style>
  <w:style w:type="paragraph" w:customStyle="1" w:styleId="Tabletitle">
    <w:name w:val="Table title"/>
    <w:basedOn w:val="Normal"/>
    <w:next w:val="Normal"/>
    <w:qFormat/>
    <w:pPr>
      <w:spacing w:before="240" w:line="360" w:lineRule="auto"/>
    </w:pPr>
  </w:style>
  <w:style w:type="paragraph" w:customStyle="1" w:styleId="Figurecaption">
    <w:name w:val="Figure caption"/>
    <w:basedOn w:val="Normal"/>
    <w:next w:val="Normal"/>
    <w:qFormat/>
    <w:pPr>
      <w:spacing w:before="240" w:line="360" w:lineRule="auto"/>
    </w:pPr>
  </w:style>
  <w:style w:type="paragraph" w:customStyle="1" w:styleId="Footnotes">
    <w:name w:val="Footnotes"/>
    <w:basedOn w:val="Normal"/>
    <w:qFormat/>
    <w:pPr>
      <w:spacing w:before="120" w:line="360" w:lineRule="auto"/>
      <w:ind w:left="482" w:hanging="482"/>
      <w:contextualSpacing/>
    </w:pPr>
    <w:rPr>
      <w:sz w:val="22"/>
    </w:rPr>
  </w:style>
  <w:style w:type="paragraph" w:customStyle="1" w:styleId="Notesoncontributors">
    <w:name w:val="Notes on contributors"/>
    <w:basedOn w:val="Normal"/>
    <w:qFormat/>
    <w:pPr>
      <w:spacing w:before="240" w:line="360" w:lineRule="auto"/>
    </w:pPr>
    <w:rPr>
      <w:sz w:val="22"/>
    </w:rPr>
  </w:style>
  <w:style w:type="paragraph" w:customStyle="1" w:styleId="Normalparagraphstyle">
    <w:name w:val="Normal paragraph style"/>
    <w:basedOn w:val="Normal"/>
    <w:next w:val="Normal"/>
    <w:qFormat/>
  </w:style>
  <w:style w:type="paragraph" w:customStyle="1" w:styleId="References">
    <w:name w:val="References"/>
    <w:basedOn w:val="Normal"/>
    <w:qFormat/>
    <w:pPr>
      <w:spacing w:before="120" w:line="360" w:lineRule="auto"/>
      <w:ind w:left="720" w:hanging="720"/>
      <w:contextualSpacing/>
    </w:pPr>
  </w:style>
  <w:style w:type="paragraph" w:customStyle="1" w:styleId="Subjectcodes">
    <w:name w:val="Subject codes"/>
    <w:basedOn w:val="Keywords"/>
    <w:next w:val="Paragraph"/>
    <w:qFormat/>
  </w:style>
  <w:style w:type="character" w:customStyle="1" w:styleId="Heading2Char">
    <w:name w:val="Heading 2 Char"/>
    <w:basedOn w:val="DefaultParagraphFont"/>
    <w:link w:val="Heading2"/>
    <w:qFormat/>
    <w:rPr>
      <w:rFonts w:cs="Arial"/>
      <w:b/>
      <w:bCs/>
      <w:i/>
      <w:iCs/>
      <w:sz w:val="24"/>
      <w:szCs w:val="28"/>
    </w:rPr>
  </w:style>
  <w:style w:type="character" w:customStyle="1" w:styleId="Heading1Char">
    <w:name w:val="Heading 1 Char"/>
    <w:basedOn w:val="DefaultParagraphFont"/>
    <w:link w:val="Heading1"/>
    <w:qFormat/>
    <w:rPr>
      <w:rFonts w:cs="Arial"/>
      <w:b/>
      <w:bCs/>
      <w:kern w:val="32"/>
      <w:sz w:val="24"/>
      <w:szCs w:val="32"/>
    </w:rPr>
  </w:style>
  <w:style w:type="character" w:customStyle="1" w:styleId="Heading3Char">
    <w:name w:val="Heading 3 Char"/>
    <w:basedOn w:val="DefaultParagraphFont"/>
    <w:link w:val="Heading3"/>
    <w:qFormat/>
    <w:rPr>
      <w:rFonts w:eastAsia="Times New Roman" w:cs="Arial"/>
      <w:bCs/>
      <w:i/>
      <w:sz w:val="24"/>
      <w:szCs w:val="26"/>
      <w:lang w:eastAsia="en-GB"/>
    </w:rPr>
  </w:style>
  <w:style w:type="paragraph" w:customStyle="1" w:styleId="Bulletedlist">
    <w:name w:val="Bulleted list"/>
    <w:basedOn w:val="Paragraph"/>
    <w:next w:val="Paragraph"/>
    <w:qFormat/>
    <w:pPr>
      <w:widowControl/>
      <w:numPr>
        <w:numId w:val="2"/>
      </w:numPr>
      <w:spacing w:after="240"/>
      <w:contextualSpacing/>
    </w:pPr>
  </w:style>
  <w:style w:type="character" w:customStyle="1" w:styleId="FootnoteTextChar">
    <w:name w:val="Footnote Text Char"/>
    <w:basedOn w:val="DefaultParagraphFont"/>
    <w:link w:val="FootnoteText"/>
    <w:qFormat/>
    <w:rPr>
      <w:sz w:val="22"/>
    </w:rPr>
  </w:style>
  <w:style w:type="character" w:customStyle="1" w:styleId="EndnoteTextChar">
    <w:name w:val="Endnote Text Char"/>
    <w:basedOn w:val="DefaultParagraphFont"/>
    <w:link w:val="EndnoteText"/>
    <w:qFormat/>
    <w:rPr>
      <w:sz w:val="22"/>
    </w:rPr>
  </w:style>
  <w:style w:type="character" w:customStyle="1" w:styleId="Heading4Char">
    <w:name w:val="Heading 4 Char"/>
    <w:basedOn w:val="DefaultParagraphFont"/>
    <w:link w:val="Heading4"/>
    <w:rPr>
      <w:bCs/>
      <w:sz w:val="24"/>
      <w:szCs w:val="28"/>
    </w:rPr>
  </w:style>
  <w:style w:type="character" w:customStyle="1" w:styleId="HeaderChar">
    <w:name w:val="Header Char"/>
    <w:basedOn w:val="DefaultParagraphFont"/>
    <w:link w:val="Header"/>
    <w:rPr>
      <w:rFonts w:eastAsia="Times New Roman"/>
      <w:sz w:val="24"/>
      <w:szCs w:val="24"/>
      <w:lang w:eastAsia="en-GB"/>
    </w:rPr>
  </w:style>
  <w:style w:type="character" w:customStyle="1" w:styleId="FooterChar">
    <w:name w:val="Footer Char"/>
    <w:basedOn w:val="DefaultParagraphFont"/>
    <w:link w:val="Footer"/>
    <w:qFormat/>
    <w:rPr>
      <w:sz w:val="24"/>
      <w:szCs w:val="24"/>
    </w:rPr>
  </w:style>
  <w:style w:type="paragraph" w:customStyle="1" w:styleId="Heading4Paragraph">
    <w:name w:val="Heading 4 + Paragraph"/>
    <w:basedOn w:val="Paragraph"/>
    <w:next w:val="Newparagraph"/>
    <w:qFormat/>
    <w:pPr>
      <w:widowControl/>
      <w:spacing w:before="360"/>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D7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45/35227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338;&#22763;&#35770;&#25991;\1&#21457;&#34920;&#25991;&#31456;\SAOR\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0343-EDD0-4260-9064-41C65941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33</TotalTime>
  <Pages>16</Pages>
  <Words>4377</Words>
  <Characters>24953</Characters>
  <Application>Microsoft Office Word</Application>
  <DocSecurity>0</DocSecurity>
  <Lines>207</Lines>
  <Paragraphs>58</Paragraphs>
  <ScaleCrop>false</ScaleCrop>
  <Company>Informa Plc</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朴贵成</dc:creator>
  <cp:lastModifiedBy>SDI 1084</cp:lastModifiedBy>
  <cp:revision>18</cp:revision>
  <cp:lastPrinted>2011-07-22T14:54:00Z</cp:lastPrinted>
  <dcterms:created xsi:type="dcterms:W3CDTF">2025-07-18T10:41:00Z</dcterms:created>
  <dcterms:modified xsi:type="dcterms:W3CDTF">2025-10-18T13:39:00Z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eyJoZGlkIjoiNjAxNDJmMjY2M2EzNGNjMjA0MjUxYjBkNmVjMWI0NzEiLCJ1c2VySWQiOiIxMjYxMzA2NzQ0In0=</vt:lpwstr>
  </property>
  <property fmtid="{D5CDD505-2E9C-101B-9397-08002B2CF9AE}" pid="3" name="KSOProductBuildVer">
    <vt:lpwstr>2052-12.1.0.22529</vt:lpwstr>
  </property>
  <property fmtid="{D5CDD505-2E9C-101B-9397-08002B2CF9AE}" pid="4" name="ICV">
    <vt:lpwstr>F0D0BE23B64748A9828A023D09919C9B_13</vt:lpwstr>
  </property>
</Properties>
</file>