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F2B" w:rsidRPr="005838E8" w:rsidRDefault="0027215D">
      <w:pPr>
        <w:spacing w:after="0"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Integrating Eco-Schools Programme Approach in Addressing Curriculum Gaps: A Critical Review of Education for Sustainable Development in Public Primary Schools in Mvomero District, Tanzania</w:t>
      </w:r>
    </w:p>
    <w:p w:rsidR="00E77F2B" w:rsidRPr="005838E8" w:rsidRDefault="00E77F2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E77F2B" w:rsidRDefault="00E77F2B">
      <w:pPr>
        <w:spacing w:line="240" w:lineRule="auto"/>
        <w:jc w:val="both"/>
        <w:rPr>
          <w:rFonts w:ascii="Times New Roman" w:eastAsia="Times New Roman" w:hAnsi="Times New Roman" w:cs="Times New Roman"/>
          <w:b/>
          <w:sz w:val="24"/>
          <w:szCs w:val="24"/>
        </w:rPr>
      </w:pPr>
      <w:bookmarkStart w:id="0" w:name="_dermgyqk9eyh" w:colFirst="0" w:colLast="0"/>
      <w:bookmarkEnd w:id="0"/>
    </w:p>
    <w:p w:rsidR="008B44B2" w:rsidRPr="005838E8" w:rsidRDefault="008B44B2">
      <w:pPr>
        <w:spacing w:line="240" w:lineRule="auto"/>
        <w:jc w:val="both"/>
        <w:rPr>
          <w:rFonts w:ascii="Times New Roman" w:eastAsia="Times New Roman" w:hAnsi="Times New Roman" w:cs="Times New Roman"/>
          <w:b/>
          <w:sz w:val="24"/>
          <w:szCs w:val="24"/>
        </w:rPr>
      </w:pPr>
      <w:bookmarkStart w:id="1" w:name="_GoBack"/>
      <w:bookmarkEnd w:id="1"/>
    </w:p>
    <w:p w:rsidR="00E77F2B" w:rsidRPr="005838E8" w:rsidRDefault="0027215D">
      <w:pPr>
        <w:spacing w:line="240" w:lineRule="auto"/>
        <w:jc w:val="both"/>
        <w:rPr>
          <w:rFonts w:ascii="Times New Roman" w:eastAsia="Times New Roman" w:hAnsi="Times New Roman" w:cs="Times New Roman"/>
          <w:i/>
          <w:sz w:val="24"/>
          <w:szCs w:val="24"/>
        </w:rPr>
      </w:pPr>
      <w:r w:rsidRPr="005838E8">
        <w:rPr>
          <w:rFonts w:ascii="Times New Roman" w:eastAsia="Times New Roman" w:hAnsi="Times New Roman" w:cs="Times New Roman"/>
          <w:b/>
          <w:sz w:val="24"/>
          <w:szCs w:val="24"/>
        </w:rPr>
        <w:t>ABSTRACT:</w:t>
      </w:r>
      <w:r w:rsidRPr="005838E8">
        <w:rPr>
          <w:rFonts w:ascii="Times New Roman" w:eastAsia="Times New Roman" w:hAnsi="Times New Roman" w:cs="Times New Roman"/>
          <w:i/>
          <w:sz w:val="24"/>
          <w:szCs w:val="24"/>
        </w:rPr>
        <w:t xml:space="preserve"> This study focused on integrating eco-schools programme approach in addressing curriculum gaps - with a critical review of education for sustainable development in public primary schools in Mvomero district, Tanzania. The study deployed a pragmatic philosophy with a convergent research design under a mixed research approach guided by the Social Learning Theory. The study further collected data from one hundred and forty-five (145) informants using purposive sampling technique, simple random sampling technique, and stratified sampling technique. Descriptive statistical tests were employed for quantitative data, and thematic analysis procedures were used to analyze qualitative information. The study revealed the strength in curriculum planning and content, existence of gaps in curriculum implementation and hands-on learning processes under government supervision, while the accomplishment of hands-on learning experiences under eco-schools programme demonstrated the best results. Nevertheless, the study found that there is underutilization of technology caused by the education leaders at different educational administrative levels due to the rigidity and lack of professional development. This study concluded that at Mvomero district, there are curriculum gaps in terms of implementation for both theory and hands-on learning activities practices under government supervision, while there is a strong emphasis for hands-on learning activities preparation and implementation under eco-schools programme. Subsequently, the study recommended to the responsible organs to set clear policies for the public primary schools in Tanzania to adopt eco-schools programmes for effective acquisition of sustainable development skills as outlined by United Nations in Education for sustainable development goal number 4 (SDG 4) which advocates for decent education for all children. </w:t>
      </w:r>
    </w:p>
    <w:p w:rsidR="00E77F2B" w:rsidRPr="005838E8" w:rsidRDefault="0027215D">
      <w:pPr>
        <w:pBdr>
          <w:bottom w:val="single" w:sz="4" w:space="1" w:color="000000"/>
        </w:pBdr>
        <w:spacing w:line="240" w:lineRule="auto"/>
        <w:jc w:val="both"/>
        <w:rPr>
          <w:rFonts w:ascii="Times New Roman" w:eastAsia="Times New Roman" w:hAnsi="Times New Roman" w:cs="Times New Roman"/>
          <w:i/>
          <w:sz w:val="24"/>
          <w:szCs w:val="24"/>
        </w:rPr>
      </w:pPr>
      <w:r w:rsidRPr="005838E8">
        <w:rPr>
          <w:rFonts w:ascii="Times New Roman" w:eastAsia="Times New Roman" w:hAnsi="Times New Roman" w:cs="Times New Roman"/>
          <w:i/>
          <w:sz w:val="24"/>
          <w:szCs w:val="24"/>
        </w:rPr>
        <w:t xml:space="preserve">KEYWORDS: Cascade Model, Curriculum Gaps, Eco-Schools Programme, </w:t>
      </w:r>
      <w:r w:rsidRPr="005838E8">
        <w:rPr>
          <w:rFonts w:ascii="Times New Roman" w:eastAsia="Times New Roman" w:hAnsi="Times New Roman" w:cs="Times New Roman"/>
          <w:i/>
          <w:sz w:val="24"/>
          <w:szCs w:val="24"/>
        </w:rPr>
        <w:tab/>
      </w:r>
      <w:r w:rsidRPr="005838E8">
        <w:rPr>
          <w:rFonts w:ascii="Times New Roman" w:eastAsia="Times New Roman" w:hAnsi="Times New Roman" w:cs="Times New Roman"/>
          <w:i/>
          <w:sz w:val="24"/>
          <w:szCs w:val="24"/>
        </w:rPr>
        <w:tab/>
      </w:r>
      <w:r w:rsidRPr="005838E8">
        <w:rPr>
          <w:rFonts w:ascii="Times New Roman" w:eastAsia="Times New Roman" w:hAnsi="Times New Roman" w:cs="Times New Roman"/>
          <w:i/>
          <w:sz w:val="24"/>
          <w:szCs w:val="24"/>
        </w:rPr>
        <w:tab/>
        <w:t xml:space="preserve">       </w:t>
      </w:r>
      <w:r w:rsidRPr="005838E8">
        <w:rPr>
          <w:rFonts w:ascii="Times New Roman" w:eastAsia="Times New Roman" w:hAnsi="Times New Roman" w:cs="Times New Roman"/>
          <w:i/>
          <w:sz w:val="24"/>
          <w:szCs w:val="24"/>
        </w:rPr>
        <w:tab/>
      </w:r>
      <w:r w:rsidRPr="005838E8">
        <w:rPr>
          <w:rFonts w:ascii="Times New Roman" w:eastAsia="Times New Roman" w:hAnsi="Times New Roman" w:cs="Times New Roman"/>
          <w:i/>
          <w:sz w:val="24"/>
          <w:szCs w:val="24"/>
        </w:rPr>
        <w:tab/>
        <w:t>Education for Sustainable Development, Sustainable Development</w:t>
      </w:r>
    </w:p>
    <w:p w:rsidR="00E77F2B" w:rsidRPr="005838E8" w:rsidRDefault="00E77F2B">
      <w:pPr>
        <w:spacing w:after="0" w:line="240" w:lineRule="auto"/>
        <w:jc w:val="both"/>
        <w:rPr>
          <w:rFonts w:ascii="Times New Roman" w:eastAsia="Times New Roman" w:hAnsi="Times New Roman" w:cs="Times New Roman"/>
          <w:b/>
          <w:sz w:val="24"/>
          <w:szCs w:val="24"/>
        </w:rPr>
      </w:pPr>
    </w:p>
    <w:p w:rsidR="00E77F2B" w:rsidRPr="005838E8" w:rsidRDefault="00E77F2B">
      <w:pPr>
        <w:spacing w:after="0" w:line="240" w:lineRule="auto"/>
        <w:jc w:val="center"/>
        <w:rPr>
          <w:rFonts w:ascii="Times New Roman" w:eastAsia="Times New Roman" w:hAnsi="Times New Roman" w:cs="Times New Roman"/>
          <w:b/>
          <w:sz w:val="24"/>
          <w:szCs w:val="24"/>
        </w:rPr>
      </w:pPr>
    </w:p>
    <w:p w:rsidR="00E77F2B" w:rsidRPr="005838E8" w:rsidRDefault="00E77F2B">
      <w:pPr>
        <w:spacing w:after="0" w:line="240" w:lineRule="auto"/>
        <w:jc w:val="both"/>
        <w:rPr>
          <w:rFonts w:ascii="Times New Roman" w:eastAsia="Times New Roman" w:hAnsi="Times New Roman" w:cs="Times New Roman"/>
          <w:b/>
          <w:sz w:val="24"/>
          <w:szCs w:val="24"/>
        </w:rPr>
      </w:pPr>
    </w:p>
    <w:p w:rsidR="00E77F2B" w:rsidRPr="005838E8" w:rsidRDefault="0027215D">
      <w:pPr>
        <w:spacing w:after="0" w:line="240" w:lineRule="auto"/>
        <w:rPr>
          <w:rFonts w:ascii="Times New Roman" w:eastAsia="Times New Roman" w:hAnsi="Times New Roman" w:cs="Times New Roman"/>
          <w:b/>
          <w:sz w:val="24"/>
          <w:szCs w:val="24"/>
        </w:rPr>
      </w:pPr>
      <w:r w:rsidRPr="005838E8">
        <w:br w:type="page"/>
      </w:r>
    </w:p>
    <w:p w:rsidR="00E77F2B" w:rsidRPr="005838E8" w:rsidRDefault="0027215D">
      <w:pPr>
        <w:numPr>
          <w:ilvl w:val="0"/>
          <w:numId w:val="1"/>
        </w:num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lastRenderedPageBreak/>
        <w:t>Introduction</w:t>
      </w:r>
    </w:p>
    <w:p w:rsidR="00B144C0" w:rsidRPr="005838E8" w:rsidRDefault="0027215D" w:rsidP="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educational curriculum plays a pivotal role in the 21st century, equipping learners with skills such as critical thinking, creativity, collaboration, adaptability, and global citizenship. Scholars describe curriculum as a structured framework of programs and resources guiding teaching and learning, shaped by teachers and students as primary agents (</w:t>
      </w: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et al., 2024). A good curriculum enhances real-world skills, digital literacy, personalized learning, global citizenship, and lifelong l</w:t>
      </w:r>
      <w:r w:rsidR="00B144C0" w:rsidRPr="005838E8">
        <w:rPr>
          <w:rFonts w:ascii="Times New Roman" w:eastAsia="Times New Roman" w:hAnsi="Times New Roman" w:cs="Times New Roman"/>
          <w:sz w:val="24"/>
          <w:szCs w:val="24"/>
        </w:rPr>
        <w:t>earning (Al-</w:t>
      </w:r>
      <w:proofErr w:type="spellStart"/>
      <w:r w:rsidR="00B144C0" w:rsidRPr="005838E8">
        <w:rPr>
          <w:rFonts w:ascii="Times New Roman" w:eastAsia="Times New Roman" w:hAnsi="Times New Roman" w:cs="Times New Roman"/>
          <w:sz w:val="24"/>
          <w:szCs w:val="24"/>
        </w:rPr>
        <w:t>Haimi</w:t>
      </w:r>
      <w:proofErr w:type="spellEnd"/>
      <w:r w:rsidR="00B144C0" w:rsidRPr="005838E8">
        <w:rPr>
          <w:rFonts w:ascii="Times New Roman" w:eastAsia="Times New Roman" w:hAnsi="Times New Roman" w:cs="Times New Roman"/>
          <w:sz w:val="24"/>
          <w:szCs w:val="24"/>
        </w:rPr>
        <w:t xml:space="preserve"> et al., 2024). Still, there remain curriculum planning, content, and implementation gaps (</w:t>
      </w:r>
      <w:proofErr w:type="spellStart"/>
      <w:r w:rsidR="00B144C0" w:rsidRPr="005838E8">
        <w:rPr>
          <w:rFonts w:ascii="Times New Roman" w:eastAsia="Times New Roman" w:hAnsi="Times New Roman" w:cs="Times New Roman"/>
          <w:sz w:val="24"/>
          <w:szCs w:val="24"/>
        </w:rPr>
        <w:t>Mwaikokesya</w:t>
      </w:r>
      <w:proofErr w:type="spellEnd"/>
      <w:r w:rsidR="00B144C0" w:rsidRPr="005838E8">
        <w:rPr>
          <w:rFonts w:ascii="Times New Roman" w:eastAsia="Times New Roman" w:hAnsi="Times New Roman" w:cs="Times New Roman"/>
          <w:sz w:val="24"/>
          <w:szCs w:val="24"/>
        </w:rPr>
        <w:t>, 2024). In Tanzania, the use of the Cascade Model to distribute the curriculum tries to address these, but there are still challenges (</w:t>
      </w:r>
      <w:proofErr w:type="spellStart"/>
      <w:r w:rsidR="00B144C0" w:rsidRPr="005838E8">
        <w:rPr>
          <w:rFonts w:ascii="Times New Roman" w:eastAsia="Times New Roman" w:hAnsi="Times New Roman" w:cs="Times New Roman"/>
          <w:sz w:val="24"/>
          <w:szCs w:val="24"/>
        </w:rPr>
        <w:t>Ngeze</w:t>
      </w:r>
      <w:proofErr w:type="spellEnd"/>
      <w:r w:rsidR="00B144C0" w:rsidRPr="005838E8">
        <w:rPr>
          <w:rFonts w:ascii="Times New Roman" w:eastAsia="Times New Roman" w:hAnsi="Times New Roman" w:cs="Times New Roman"/>
          <w:sz w:val="24"/>
          <w:szCs w:val="24"/>
        </w:rPr>
        <w:t xml:space="preserve"> &amp; </w:t>
      </w:r>
      <w:proofErr w:type="spellStart"/>
      <w:r w:rsidR="00B144C0" w:rsidRPr="005838E8">
        <w:rPr>
          <w:rFonts w:ascii="Times New Roman" w:eastAsia="Times New Roman" w:hAnsi="Times New Roman" w:cs="Times New Roman"/>
          <w:sz w:val="24"/>
          <w:szCs w:val="24"/>
        </w:rPr>
        <w:t>Iyer</w:t>
      </w:r>
      <w:proofErr w:type="spellEnd"/>
      <w:r w:rsidR="00B144C0" w:rsidRPr="005838E8">
        <w:rPr>
          <w:rFonts w:ascii="Times New Roman" w:eastAsia="Times New Roman" w:hAnsi="Times New Roman" w:cs="Times New Roman"/>
          <w:sz w:val="24"/>
          <w:szCs w:val="24"/>
        </w:rPr>
        <w:t>, 2023).</w:t>
      </w:r>
    </w:p>
    <w:p w:rsidR="00B144C0" w:rsidRPr="005838E8" w:rsidRDefault="00B144C0" w:rsidP="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Globally, curriculum mismatches look different: content ordering discrepancies in Brazil (Da Silva &amp; Da Ponte, 2025), teacher-centric instruction in Australia (Garrard et al., 2024), planning mismatches in Pakistan and Ghana (</w:t>
      </w:r>
      <w:proofErr w:type="spellStart"/>
      <w:r w:rsidRPr="005838E8">
        <w:rPr>
          <w:rFonts w:ascii="Times New Roman" w:eastAsia="Times New Roman" w:hAnsi="Times New Roman" w:cs="Times New Roman"/>
          <w:sz w:val="24"/>
          <w:szCs w:val="24"/>
        </w:rPr>
        <w:t>Amusuglo</w:t>
      </w:r>
      <w:proofErr w:type="spellEnd"/>
      <w:r w:rsidRPr="005838E8">
        <w:rPr>
          <w:rFonts w:ascii="Times New Roman" w:eastAsia="Times New Roman" w:hAnsi="Times New Roman" w:cs="Times New Roman"/>
          <w:sz w:val="24"/>
          <w:szCs w:val="24"/>
        </w:rPr>
        <w:t xml:space="preserve"> &amp; </w:t>
      </w:r>
      <w:proofErr w:type="spellStart"/>
      <w:r w:rsidRPr="005838E8">
        <w:rPr>
          <w:rFonts w:ascii="Times New Roman" w:eastAsia="Times New Roman" w:hAnsi="Times New Roman" w:cs="Times New Roman"/>
          <w:sz w:val="24"/>
          <w:szCs w:val="24"/>
        </w:rPr>
        <w:t>Jancarik</w:t>
      </w:r>
      <w:proofErr w:type="spellEnd"/>
      <w:r w:rsidRPr="005838E8">
        <w:rPr>
          <w:rFonts w:ascii="Times New Roman" w:eastAsia="Times New Roman" w:hAnsi="Times New Roman" w:cs="Times New Roman"/>
          <w:sz w:val="24"/>
          <w:szCs w:val="24"/>
        </w:rPr>
        <w:t>, 2024), and thematic content problems in Uganda (</w:t>
      </w:r>
      <w:proofErr w:type="spellStart"/>
      <w:r w:rsidRPr="005838E8">
        <w:rPr>
          <w:rFonts w:ascii="Times New Roman" w:eastAsia="Times New Roman" w:hAnsi="Times New Roman" w:cs="Times New Roman"/>
          <w:sz w:val="24"/>
          <w:szCs w:val="24"/>
        </w:rPr>
        <w:t>Ssenkande</w:t>
      </w:r>
      <w:proofErr w:type="spellEnd"/>
      <w:r w:rsidRPr="005838E8">
        <w:rPr>
          <w:rFonts w:ascii="Times New Roman" w:eastAsia="Times New Roman" w:hAnsi="Times New Roman" w:cs="Times New Roman"/>
          <w:sz w:val="24"/>
          <w:szCs w:val="24"/>
        </w:rPr>
        <w:t xml:space="preserve"> et al., 2024). Infrastructure and resource deficiencies in Tanzania slow down effective implementation (Graves, 2023). As a result, these imbalances between curriculum planners and implementers risk producing under-qualified graduates and perpetuating socio-economic problems (Graves, 2023).Scholars suggest interventions to limit such disparities, like professional development, integration of local pedagogies, and culturally responsive teaching (Funk &amp; Woodroffe, 2024), use of technology tools for experiential learning (Akers et al., 2024), peer teaching and mentoring (</w:t>
      </w:r>
      <w:proofErr w:type="spellStart"/>
      <w:r w:rsidRPr="005838E8">
        <w:rPr>
          <w:rFonts w:ascii="Times New Roman" w:eastAsia="Times New Roman" w:hAnsi="Times New Roman" w:cs="Times New Roman"/>
          <w:sz w:val="24"/>
          <w:szCs w:val="24"/>
        </w:rPr>
        <w:t>Mandyata</w:t>
      </w:r>
      <w:proofErr w:type="spellEnd"/>
      <w:r w:rsidRPr="005838E8">
        <w:rPr>
          <w:rFonts w:ascii="Times New Roman" w:eastAsia="Times New Roman" w:hAnsi="Times New Roman" w:cs="Times New Roman"/>
          <w:sz w:val="24"/>
          <w:szCs w:val="24"/>
        </w:rPr>
        <w:t xml:space="preserve"> et al., 2024), and competence-based English curriculum teaching (Issa et al., 2024). These are established in conjunction with responsive, student-centered, and experiential learning pedagogies to ensure sustainable development skills (Bayley, 2024).</w:t>
      </w:r>
    </w:p>
    <w:p w:rsidR="00B144C0" w:rsidRPr="005838E8" w:rsidRDefault="00B144C0" w:rsidP="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Eco-Schools Programme (ESP), founded in Denmark in 1994, facilitates curriculum reforms through environmental awareness, sustainability, and 21st century skills via experiential learning (</w:t>
      </w: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2020). Gardening, recycling, and agribusiness are examples of activities that cultivate experiential sustainable development competencies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The ESP was initiated in Tanzania in 2016 and initially looked for rural schools in Mvomero to safeguard the Eastern Arc Mountains (Copsey, 2020).</w:t>
      </w:r>
    </w:p>
    <w:p w:rsidR="00E77F2B" w:rsidRPr="005838E8" w:rsidRDefault="00B144C0">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Environmental education (EE) is the basis of ESP, emphasizing moral human–nature relations (Hsu, 2025). In Tanzania, integrating EE in the curriculum increases climate resilience and sustainable development (</w:t>
      </w:r>
      <w:proofErr w:type="spellStart"/>
      <w:r w:rsidR="00F258B7" w:rsidRPr="005838E8">
        <w:rPr>
          <w:rFonts w:ascii="Times New Roman" w:eastAsia="Times New Roman" w:hAnsi="Times New Roman" w:cs="Times New Roman"/>
          <w:sz w:val="24"/>
          <w:szCs w:val="24"/>
        </w:rPr>
        <w:t>Gebrekidan</w:t>
      </w:r>
      <w:proofErr w:type="spellEnd"/>
      <w:r w:rsidR="00F258B7" w:rsidRPr="005838E8">
        <w:rPr>
          <w:rFonts w:ascii="Times New Roman" w:eastAsia="Times New Roman" w:hAnsi="Times New Roman" w:cs="Times New Roman"/>
          <w:sz w:val="24"/>
          <w:szCs w:val="24"/>
        </w:rPr>
        <w:t xml:space="preserve"> &amp; Gebremedhin, 2024). </w:t>
      </w:r>
      <w:r w:rsidR="0027215D" w:rsidRPr="005838E8">
        <w:rPr>
          <w:rFonts w:ascii="Times New Roman" w:eastAsia="Times New Roman" w:hAnsi="Times New Roman" w:cs="Times New Roman"/>
          <w:sz w:val="24"/>
          <w:szCs w:val="24"/>
        </w:rPr>
        <w:t>These efforts align with the UN’s 2030 SDGs, particularly SDG 4 on education (</w:t>
      </w:r>
      <w:proofErr w:type="spellStart"/>
      <w:r w:rsidR="0027215D" w:rsidRPr="005838E8">
        <w:rPr>
          <w:rFonts w:ascii="Times New Roman" w:eastAsia="Times New Roman" w:hAnsi="Times New Roman" w:cs="Times New Roman"/>
          <w:sz w:val="24"/>
          <w:szCs w:val="24"/>
        </w:rPr>
        <w:t>Abulibdeh</w:t>
      </w:r>
      <w:proofErr w:type="spellEnd"/>
      <w:r w:rsidR="0027215D" w:rsidRPr="005838E8">
        <w:rPr>
          <w:rFonts w:ascii="Times New Roman" w:eastAsia="Times New Roman" w:hAnsi="Times New Roman" w:cs="Times New Roman"/>
          <w:sz w:val="24"/>
          <w:szCs w:val="24"/>
        </w:rPr>
        <w:t xml:space="preserve"> et al., 2024; </w:t>
      </w:r>
      <w:proofErr w:type="spellStart"/>
      <w:r w:rsidR="0027215D" w:rsidRPr="005838E8">
        <w:rPr>
          <w:rFonts w:ascii="Times New Roman" w:eastAsia="Times New Roman" w:hAnsi="Times New Roman" w:cs="Times New Roman"/>
          <w:sz w:val="24"/>
          <w:szCs w:val="24"/>
        </w:rPr>
        <w:t>Kamphambale</w:t>
      </w:r>
      <w:proofErr w:type="spellEnd"/>
      <w:r w:rsidR="0027215D" w:rsidRPr="005838E8">
        <w:rPr>
          <w:rFonts w:ascii="Times New Roman" w:eastAsia="Times New Roman" w:hAnsi="Times New Roman" w:cs="Times New Roman"/>
          <w:sz w:val="24"/>
          <w:szCs w:val="24"/>
        </w:rPr>
        <w:t xml:space="preserve"> et al., 2024). In Tanzania, competency-based curricula introduced in 2014 and revised in 2023 embody ESD principles and national visions, fostering technological adoption and 21st century skills (</w:t>
      </w:r>
      <w:proofErr w:type="spellStart"/>
      <w:r w:rsidR="0027215D" w:rsidRPr="005838E8">
        <w:rPr>
          <w:rFonts w:ascii="Times New Roman" w:eastAsia="Times New Roman" w:hAnsi="Times New Roman" w:cs="Times New Roman"/>
          <w:sz w:val="24"/>
          <w:szCs w:val="24"/>
        </w:rPr>
        <w:t>Kambona</w:t>
      </w:r>
      <w:proofErr w:type="spellEnd"/>
      <w:r w:rsidR="0027215D" w:rsidRPr="005838E8">
        <w:rPr>
          <w:rFonts w:ascii="Times New Roman" w:eastAsia="Times New Roman" w:hAnsi="Times New Roman" w:cs="Times New Roman"/>
          <w:sz w:val="24"/>
          <w:szCs w:val="24"/>
        </w:rPr>
        <w:t xml:space="preserve"> &amp; </w:t>
      </w:r>
      <w:proofErr w:type="spellStart"/>
      <w:r w:rsidR="0027215D" w:rsidRPr="005838E8">
        <w:rPr>
          <w:rFonts w:ascii="Times New Roman" w:eastAsia="Times New Roman" w:hAnsi="Times New Roman" w:cs="Times New Roman"/>
          <w:sz w:val="24"/>
          <w:szCs w:val="24"/>
        </w:rPr>
        <w:t>Ndibalema</w:t>
      </w:r>
      <w:proofErr w:type="spellEnd"/>
      <w:r w:rsidR="0027215D" w:rsidRPr="005838E8">
        <w:rPr>
          <w:rFonts w:ascii="Times New Roman" w:eastAsia="Times New Roman" w:hAnsi="Times New Roman" w:cs="Times New Roman"/>
          <w:sz w:val="24"/>
          <w:szCs w:val="24"/>
        </w:rPr>
        <w:t xml:space="preserve">, 2025).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2.0 Research Specific Objectives</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 To assess the current curriculum gaps which hinder the acquisition of accomplishment skills to public primary schools’ students.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ii. To evaluate the academic impacts of the Eco-Schools Programme to public primary schools’ students</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3.0 Literature Review</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3.1 Theoretical Framework</w:t>
      </w:r>
    </w:p>
    <w:p w:rsidR="00E77F2B" w:rsidRPr="005838E8" w:rsidRDefault="0027215D">
      <w:pPr>
        <w:spacing w:after="0" w:line="240" w:lineRule="auto"/>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Sokime</w:t>
      </w:r>
      <w:proofErr w:type="spellEnd"/>
      <w:r w:rsidRPr="005838E8">
        <w:rPr>
          <w:rFonts w:ascii="Times New Roman" w:eastAsia="Times New Roman" w:hAnsi="Times New Roman" w:cs="Times New Roman"/>
          <w:sz w:val="24"/>
          <w:szCs w:val="24"/>
        </w:rPr>
        <w:t xml:space="preserve"> and Amos (2024) defined a theoretical framework as a structured set of concepts and ideas that aids in research, explaining phenomena, analyzing data, and drawing conclusions. The study used Social Learning Theory (SLT) to guide and limit the study. The theory was established in the United States of America by Albert Bandura in the 1960s focusing on the learning process through observational learning, modeling, reinforcement, and punishment (</w:t>
      </w: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et al., 2024; Culver et al., 2024). Strengths of SLT rely on real-world applicability in education related to how individuals acquire new behaviors through observation and modeling (</w:t>
      </w: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et al., 2024; and Da Silva-Jean &amp; </w:t>
      </w:r>
      <w:proofErr w:type="spellStart"/>
      <w:r w:rsidRPr="005838E8">
        <w:rPr>
          <w:rFonts w:ascii="Times New Roman" w:eastAsia="Times New Roman" w:hAnsi="Times New Roman" w:cs="Times New Roman"/>
          <w:sz w:val="24"/>
          <w:szCs w:val="24"/>
        </w:rPr>
        <w:t>Kneippb</w:t>
      </w:r>
      <w:proofErr w:type="spellEnd"/>
      <w:r w:rsidRPr="005838E8">
        <w:rPr>
          <w:rFonts w:ascii="Times New Roman" w:eastAsia="Times New Roman" w:hAnsi="Times New Roman" w:cs="Times New Roman"/>
          <w:sz w:val="24"/>
          <w:szCs w:val="24"/>
        </w:rPr>
        <w:t>, 2024). Notable SLT’s weaknesses are inherent with the environmental factors, and ethical concerns, particularly when modeling aggressive features are used (</w:t>
      </w:r>
      <w:proofErr w:type="spellStart"/>
      <w:r w:rsidRPr="005838E8">
        <w:rPr>
          <w:rFonts w:ascii="Times New Roman" w:eastAsia="Times New Roman" w:hAnsi="Times New Roman" w:cs="Times New Roman"/>
          <w:sz w:val="24"/>
          <w:szCs w:val="24"/>
        </w:rPr>
        <w:t>Rasulbek</w:t>
      </w:r>
      <w:proofErr w:type="spellEnd"/>
      <w:r w:rsidRPr="005838E8">
        <w:rPr>
          <w:rFonts w:ascii="Times New Roman" w:eastAsia="Times New Roman" w:hAnsi="Times New Roman" w:cs="Times New Roman"/>
          <w:sz w:val="24"/>
          <w:szCs w:val="24"/>
        </w:rPr>
        <w:t xml:space="preserve">, 2024). SLT is relevant to this research by shed - lighting how students and teachers within school settings adopt eco-friendly behaviors through observation, modeling, and reinforcement to promote sustainable development skills among students through eco-schools programmes.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3.2 Empirical Literature Review</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literature review of this study assessed curriculum gaps that hinder sustainable development skills promotion, and evaluated academic impacts of the eco-schools programme to students, through integrating sustainable practices into curriculum, extracurricular activities, and school culture in general with the aim of promoting sustainable development skills to learners. </w:t>
      </w:r>
    </w:p>
    <w:p w:rsidR="00E77F2B" w:rsidRPr="005838E8" w:rsidRDefault="00E77F2B">
      <w:pPr>
        <w:spacing w:after="0" w:line="240" w:lineRule="auto"/>
        <w:jc w:val="both"/>
        <w:rPr>
          <w:rFonts w:ascii="Times New Roman" w:eastAsia="Times New Roman" w:hAnsi="Times New Roman" w:cs="Times New Roman"/>
          <w:b/>
          <w:sz w:val="24"/>
          <w:szCs w:val="24"/>
        </w:rPr>
      </w:pP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 Assessment of the current curriculum gaps which hinder the acquisition of accomplishment skills to public primary schools’ students.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review of empirical studies in this specific objective sought to evaluate curriculum gaps which hinder the acquisition of sustainable development skills among students and examine how eco-schools programmes could address planning, content and process gaps.</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3.2.1.1 Curriculum planning gaps</w:t>
      </w:r>
    </w:p>
    <w:p w:rsidR="00E77F2B" w:rsidRPr="005838E8" w:rsidRDefault="00E77F2B">
      <w:pPr>
        <w:spacing w:after="0" w:line="240" w:lineRule="auto"/>
        <w:rPr>
          <w:rFonts w:ascii="Times New Roman" w:eastAsia="Times New Roman" w:hAnsi="Times New Roman" w:cs="Times New Roman"/>
          <w:b/>
          <w:sz w:val="24"/>
          <w:szCs w:val="24"/>
        </w:rPr>
      </w:pPr>
    </w:p>
    <w:p w:rsidR="00E77F2B" w:rsidRPr="005838E8" w:rsidRDefault="0027215D">
      <w:p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sz w:val="24"/>
          <w:szCs w:val="24"/>
        </w:rPr>
        <w:t>Curriculum planning gaps arise from several factors, including lack of alignment between curricula and educational goals, insufficient needs assessment, outdated content that ignores current knowledge and technologies, inadequate teacher training, and limited teaching resources (</w:t>
      </w:r>
      <w:proofErr w:type="spellStart"/>
      <w:r w:rsidRPr="005838E8">
        <w:rPr>
          <w:rFonts w:ascii="Times New Roman" w:eastAsia="Times New Roman" w:hAnsi="Times New Roman" w:cs="Times New Roman"/>
          <w:sz w:val="24"/>
          <w:szCs w:val="24"/>
        </w:rPr>
        <w:t>Isaeva</w:t>
      </w:r>
      <w:proofErr w:type="spellEnd"/>
      <w:r w:rsidRPr="005838E8">
        <w:rPr>
          <w:rFonts w:ascii="Times New Roman" w:eastAsia="Times New Roman" w:hAnsi="Times New Roman" w:cs="Times New Roman"/>
          <w:sz w:val="24"/>
          <w:szCs w:val="24"/>
        </w:rPr>
        <w:t xml:space="preserve"> et al., 2025). This implies that planning gaps weaken curriculum implementation and necessitate policy reviews to ensure alignment with societal needs and real-life experiences for sustainable development skills.</w:t>
      </w:r>
    </w:p>
    <w:p w:rsidR="00F258B7" w:rsidRPr="005838E8" w:rsidRDefault="0027215D">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Yang and Dong (2024) in China and </w:t>
      </w:r>
      <w:proofErr w:type="spellStart"/>
      <w:r w:rsidRPr="005838E8">
        <w:rPr>
          <w:rFonts w:ascii="Times New Roman" w:eastAsia="Times New Roman" w:hAnsi="Times New Roman" w:cs="Times New Roman"/>
          <w:sz w:val="24"/>
          <w:szCs w:val="24"/>
        </w:rPr>
        <w:t>Mandyata</w:t>
      </w:r>
      <w:proofErr w:type="spellEnd"/>
      <w:r w:rsidRPr="005838E8">
        <w:rPr>
          <w:rFonts w:ascii="Times New Roman" w:eastAsia="Times New Roman" w:hAnsi="Times New Roman" w:cs="Times New Roman"/>
          <w:sz w:val="24"/>
          <w:szCs w:val="24"/>
        </w:rPr>
        <w:t xml:space="preserve"> et al. (2024) in Zambia emphasized gaps between curriculum content and practical job-market skills, implying that curricula should promote self-employment and economic liberation. However, these studies focused on vocational training, unlike the present study on eco-sch</w:t>
      </w:r>
      <w:r w:rsidR="00F258B7" w:rsidRPr="005838E8">
        <w:rPr>
          <w:rFonts w:ascii="Times New Roman" w:eastAsia="Times New Roman" w:hAnsi="Times New Roman" w:cs="Times New Roman"/>
          <w:sz w:val="24"/>
          <w:szCs w:val="24"/>
        </w:rPr>
        <w:t xml:space="preserve">ools in public primary schools. Tanzania is where Adamson </w:t>
      </w:r>
      <w:r w:rsidR="00F258B7" w:rsidRPr="005838E8">
        <w:rPr>
          <w:rFonts w:ascii="Times New Roman" w:eastAsia="Times New Roman" w:hAnsi="Times New Roman" w:cs="Times New Roman"/>
          <w:sz w:val="24"/>
          <w:szCs w:val="24"/>
        </w:rPr>
        <w:lastRenderedPageBreak/>
        <w:t>and Brown (2024) revealed inconsistencies in concealed curriculum and pedagogy that de-emphasize experiential learning and foster fear of failure. Corporal punishment and a stringent focus on correctness discouraged exploration, as recitation instruction ingrained teachers as the sole keepers of knowledge. Students thus concentrated on exams rather than imagination. This indicates a need for student-centered, experiential, and conversational pedagogies.</w:t>
      </w:r>
    </w:p>
    <w:p w:rsidR="00E77F2B" w:rsidRPr="005838E8" w:rsidRDefault="0027215D">
      <w:pPr>
        <w:spacing w:after="0" w:line="240" w:lineRule="auto"/>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3.2.1.2 Curriculum content gaps</w:t>
      </w:r>
    </w:p>
    <w:p w:rsidR="00F258B7" w:rsidRPr="005838E8" w:rsidRDefault="00F258B7">
      <w:pPr>
        <w:spacing w:after="0" w:line="240" w:lineRule="auto"/>
        <w:rPr>
          <w:rFonts w:ascii="Times New Roman" w:eastAsia="Times New Roman" w:hAnsi="Times New Roman" w:cs="Times New Roman"/>
          <w:b/>
          <w:sz w:val="24"/>
          <w:szCs w:val="24"/>
        </w:rPr>
      </w:pPr>
    </w:p>
    <w:p w:rsidR="00F258B7" w:rsidRPr="005838E8" w:rsidRDefault="00F258B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5838E8">
        <w:rPr>
          <w:rFonts w:ascii="Times New Roman" w:eastAsia="Times New Roman" w:hAnsi="Times New Roman" w:cs="Times New Roman"/>
          <w:color w:val="000000"/>
          <w:sz w:val="24"/>
          <w:szCs w:val="24"/>
        </w:rPr>
        <w:t>Curriculum content gaps occur when indispensable subjects like climate change, digital literacy, and experiential learning are lacking (</w:t>
      </w:r>
      <w:proofErr w:type="spellStart"/>
      <w:r w:rsidRPr="005838E8">
        <w:rPr>
          <w:rFonts w:ascii="Times New Roman" w:eastAsia="Times New Roman" w:hAnsi="Times New Roman" w:cs="Times New Roman"/>
          <w:color w:val="000000"/>
          <w:sz w:val="24"/>
          <w:szCs w:val="24"/>
        </w:rPr>
        <w:t>Tisoglu</w:t>
      </w:r>
      <w:proofErr w:type="spellEnd"/>
      <w:r w:rsidRPr="005838E8">
        <w:rPr>
          <w:rFonts w:ascii="Times New Roman" w:eastAsia="Times New Roman" w:hAnsi="Times New Roman" w:cs="Times New Roman"/>
          <w:color w:val="000000"/>
          <w:sz w:val="24"/>
          <w:szCs w:val="24"/>
        </w:rPr>
        <w:t xml:space="preserve"> et al., 2025). The lack of application of life skills, critical thinking, and problem-solving content (</w:t>
      </w:r>
      <w:proofErr w:type="spellStart"/>
      <w:r w:rsidRPr="005838E8">
        <w:rPr>
          <w:rFonts w:ascii="Times New Roman" w:eastAsia="Times New Roman" w:hAnsi="Times New Roman" w:cs="Times New Roman"/>
          <w:color w:val="000000"/>
          <w:sz w:val="24"/>
          <w:szCs w:val="24"/>
        </w:rPr>
        <w:t>Ishaque</w:t>
      </w:r>
      <w:proofErr w:type="spellEnd"/>
      <w:r w:rsidRPr="005838E8">
        <w:rPr>
          <w:rFonts w:ascii="Times New Roman" w:eastAsia="Times New Roman" w:hAnsi="Times New Roman" w:cs="Times New Roman"/>
          <w:color w:val="000000"/>
          <w:sz w:val="24"/>
          <w:szCs w:val="24"/>
        </w:rPr>
        <w:t xml:space="preserve"> et al., 2025) leads to a failure to represent culture, gender equity, and diversity. Da Silva and Da Ponte (2025) revealed math content gaps in Brazilian textbooks, whereas Philip (2024) created inclusive and game-based content gaps in Tanzania, limiting numeracy and sustainability knowledge. These loopholes have effects on students' lifetime economic, social, technological, and environmental advocacy (</w:t>
      </w:r>
      <w:proofErr w:type="spellStart"/>
      <w:r w:rsidRPr="005838E8">
        <w:rPr>
          <w:rFonts w:ascii="Times New Roman" w:eastAsia="Times New Roman" w:hAnsi="Times New Roman" w:cs="Times New Roman"/>
          <w:color w:val="000000"/>
          <w:sz w:val="24"/>
          <w:szCs w:val="24"/>
        </w:rPr>
        <w:t>Kidega</w:t>
      </w:r>
      <w:proofErr w:type="spellEnd"/>
      <w:r w:rsidRPr="005838E8">
        <w:rPr>
          <w:rFonts w:ascii="Times New Roman" w:eastAsia="Times New Roman" w:hAnsi="Times New Roman" w:cs="Times New Roman"/>
          <w:color w:val="000000"/>
          <w:sz w:val="24"/>
          <w:szCs w:val="24"/>
        </w:rPr>
        <w:t xml:space="preserve"> et al., 2024). To reverse this, Dlamini &amp; Zulu (2024) suggested content checks, instructor training, and curricula alignment with competencies through experiential, hands-on activities. Research indicates gaps cannot be prevented but technical mitigation strategies and early warning are needed to revitalize curricula and integrate sustainable development skills.</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3.2.1.3 Curriculum implementation gaps</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Process gaps in the Curriculum arise due to limitations in planning, executing, monitoring, and evaluating educational curricula (</w:t>
      </w:r>
      <w:proofErr w:type="spellStart"/>
      <w:r w:rsidRPr="005838E8">
        <w:rPr>
          <w:rFonts w:ascii="Times New Roman" w:eastAsia="Times New Roman" w:hAnsi="Times New Roman" w:cs="Times New Roman"/>
          <w:sz w:val="24"/>
          <w:szCs w:val="24"/>
        </w:rPr>
        <w:t>Shaoan</w:t>
      </w:r>
      <w:proofErr w:type="spellEnd"/>
      <w:r w:rsidRPr="005838E8">
        <w:rPr>
          <w:rFonts w:ascii="Times New Roman" w:eastAsia="Times New Roman" w:hAnsi="Times New Roman" w:cs="Times New Roman"/>
          <w:sz w:val="24"/>
          <w:szCs w:val="24"/>
        </w:rPr>
        <w:t xml:space="preserve"> et al., 2025). The gaps largely originate from inadequate stakeholder involvement, where key implementers like teachers, learners, and local community members are either partially involved or not involved at all in decision-making. Specific gaps involve a failure to involve teachers in planning and a failure to critically analyze learner needs, leading to irrelevance in content (Sharma et al., 2025). This implies that unfettered curriculum procedure loopholes encourage bad pedagogical practices, complicating the improvement of sustainable development skills. Mitigation requires tough stakeholder work, particularly among teachers, learners, and communities in cross-disciplinary sectors.</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Dissemination of curriculum also leads to such gaps, according to the models used for the dissemination of curriculum information to teachers, parents, and students (Hoang et al., 2025). Dissemination models explain how material is shared and applied in schools (Ndlovu &amp; Gina, 2025). Notable models are top-down, where content is pushed down from powers with little input from grass roots (Ndlovu &amp; Gina, 2025); bottom-up, where teachers interpret the curricula (Leek, 2025); horizontal, where peer cooperation is encouraged (</w:t>
      </w:r>
      <w:proofErr w:type="spellStart"/>
      <w:r w:rsidRPr="005838E8">
        <w:rPr>
          <w:rFonts w:ascii="Times New Roman" w:eastAsia="Times New Roman" w:hAnsi="Times New Roman" w:cs="Times New Roman"/>
          <w:sz w:val="24"/>
          <w:szCs w:val="24"/>
        </w:rPr>
        <w:t>Chilvers</w:t>
      </w:r>
      <w:proofErr w:type="spellEnd"/>
      <w:r w:rsidRPr="005838E8">
        <w:rPr>
          <w:rFonts w:ascii="Times New Roman" w:eastAsia="Times New Roman" w:hAnsi="Times New Roman" w:cs="Times New Roman"/>
          <w:sz w:val="24"/>
          <w:szCs w:val="24"/>
        </w:rPr>
        <w:t>, 2025); vertical, to maintain alignment in tiers (Zhou &amp; Hu, 2025); and interactive, which encourages two-way communication (</w:t>
      </w:r>
      <w:proofErr w:type="spellStart"/>
      <w:r w:rsidRPr="005838E8">
        <w:rPr>
          <w:rFonts w:ascii="Times New Roman" w:eastAsia="Times New Roman" w:hAnsi="Times New Roman" w:cs="Times New Roman"/>
          <w:sz w:val="24"/>
          <w:szCs w:val="24"/>
        </w:rPr>
        <w:t>Zhongqin</w:t>
      </w:r>
      <w:proofErr w:type="spellEnd"/>
      <w:r w:rsidRPr="005838E8">
        <w:rPr>
          <w:rFonts w:ascii="Times New Roman" w:eastAsia="Times New Roman" w:hAnsi="Times New Roman" w:cs="Times New Roman"/>
          <w:sz w:val="24"/>
          <w:szCs w:val="24"/>
        </w:rPr>
        <w:t xml:space="preserve"> &amp; </w:t>
      </w:r>
      <w:proofErr w:type="spellStart"/>
      <w:r w:rsidRPr="005838E8">
        <w:rPr>
          <w:rFonts w:ascii="Times New Roman" w:eastAsia="Times New Roman" w:hAnsi="Times New Roman" w:cs="Times New Roman"/>
          <w:sz w:val="24"/>
          <w:szCs w:val="24"/>
        </w:rPr>
        <w:t>Khamcharoen</w:t>
      </w:r>
      <w:proofErr w:type="spellEnd"/>
      <w:r w:rsidRPr="005838E8">
        <w:rPr>
          <w:rFonts w:ascii="Times New Roman" w:eastAsia="Times New Roman" w:hAnsi="Times New Roman" w:cs="Times New Roman"/>
          <w:sz w:val="24"/>
          <w:szCs w:val="24"/>
        </w:rPr>
        <w:t>, 2025).</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In Tanzania, curriculum distribution depends substantially on the cascade top-down model. Promoters mention its strengths in involvement, planning access, recall of knowledge, innovation, and Teacher Continuous Professional Development (</w:t>
      </w:r>
      <w:proofErr w:type="spellStart"/>
      <w:r w:rsidRPr="005838E8">
        <w:rPr>
          <w:rFonts w:ascii="Times New Roman" w:eastAsia="Times New Roman" w:hAnsi="Times New Roman" w:cs="Times New Roman"/>
          <w:sz w:val="24"/>
          <w:szCs w:val="24"/>
        </w:rPr>
        <w:t>Michaelides</w:t>
      </w:r>
      <w:proofErr w:type="spellEnd"/>
      <w:r w:rsidRPr="005838E8">
        <w:rPr>
          <w:rFonts w:ascii="Times New Roman" w:eastAsia="Times New Roman" w:hAnsi="Times New Roman" w:cs="Times New Roman"/>
          <w:sz w:val="24"/>
          <w:szCs w:val="24"/>
        </w:rPr>
        <w:t xml:space="preserve"> &amp; </w:t>
      </w:r>
      <w:proofErr w:type="spellStart"/>
      <w:r w:rsidRPr="005838E8">
        <w:rPr>
          <w:rFonts w:ascii="Times New Roman" w:eastAsia="Times New Roman" w:hAnsi="Times New Roman" w:cs="Times New Roman"/>
          <w:sz w:val="24"/>
          <w:szCs w:val="24"/>
        </w:rPr>
        <w:t>Laouris</w:t>
      </w:r>
      <w:proofErr w:type="spellEnd"/>
      <w:r w:rsidRPr="005838E8">
        <w:rPr>
          <w:rFonts w:ascii="Times New Roman" w:eastAsia="Times New Roman" w:hAnsi="Times New Roman" w:cs="Times New Roman"/>
          <w:sz w:val="24"/>
          <w:szCs w:val="24"/>
        </w:rPr>
        <w:t xml:space="preserve">, 2024). Critics point to weaknesses such as information dilution, unidirectional communication, and </w:t>
      </w:r>
      <w:r w:rsidRPr="005838E8">
        <w:rPr>
          <w:rFonts w:ascii="Times New Roman" w:eastAsia="Times New Roman" w:hAnsi="Times New Roman" w:cs="Times New Roman"/>
          <w:sz w:val="24"/>
          <w:szCs w:val="24"/>
        </w:rPr>
        <w:lastRenderedPageBreak/>
        <w:t>absence of lower-level involvement (</w:t>
      </w:r>
      <w:proofErr w:type="spellStart"/>
      <w:r w:rsidRPr="005838E8">
        <w:rPr>
          <w:rFonts w:ascii="Times New Roman" w:eastAsia="Times New Roman" w:hAnsi="Times New Roman" w:cs="Times New Roman"/>
          <w:sz w:val="24"/>
          <w:szCs w:val="24"/>
        </w:rPr>
        <w:t>Nsengimana</w:t>
      </w:r>
      <w:proofErr w:type="spellEnd"/>
      <w:r w:rsidRPr="005838E8">
        <w:rPr>
          <w:rFonts w:ascii="Times New Roman" w:eastAsia="Times New Roman" w:hAnsi="Times New Roman" w:cs="Times New Roman"/>
          <w:sz w:val="24"/>
          <w:szCs w:val="24"/>
        </w:rPr>
        <w:t xml:space="preserve"> et al., 2024). This means dependency on the cascade model only generates curriculum process gaps, requiring incorporation of other models.</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3.3 Evaluating the academic impacts of the Eco-Schools Programme to students</w:t>
      </w:r>
    </w:p>
    <w:p w:rsidR="00647AF2" w:rsidRPr="005838E8" w:rsidRDefault="00647AF2" w:rsidP="00647AF2">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present study assessed the functional composure organs within schools that lead the Eco-Schools Programme (ESP) and its scholarly impacts on the students. </w:t>
      </w:r>
      <w:proofErr w:type="spellStart"/>
      <w:r w:rsidRPr="005838E8">
        <w:rPr>
          <w:rFonts w:ascii="Times New Roman" w:eastAsia="Times New Roman" w:hAnsi="Times New Roman" w:cs="Times New Roman"/>
          <w:sz w:val="24"/>
          <w:szCs w:val="24"/>
        </w:rPr>
        <w:t>Rahmaulana</w:t>
      </w:r>
      <w:proofErr w:type="spellEnd"/>
      <w:r w:rsidRPr="005838E8">
        <w:rPr>
          <w:rFonts w:ascii="Times New Roman" w:eastAsia="Times New Roman" w:hAnsi="Times New Roman" w:cs="Times New Roman"/>
          <w:sz w:val="24"/>
          <w:szCs w:val="24"/>
        </w:rPr>
        <w:t xml:space="preserve"> and </w:t>
      </w:r>
      <w:proofErr w:type="spellStart"/>
      <w:r w:rsidRPr="005838E8">
        <w:rPr>
          <w:rFonts w:ascii="Times New Roman" w:eastAsia="Times New Roman" w:hAnsi="Times New Roman" w:cs="Times New Roman"/>
          <w:sz w:val="24"/>
          <w:szCs w:val="24"/>
        </w:rPr>
        <w:t>Sueb</w:t>
      </w:r>
      <w:proofErr w:type="spellEnd"/>
      <w:r w:rsidRPr="005838E8">
        <w:rPr>
          <w:rFonts w:ascii="Times New Roman" w:eastAsia="Times New Roman" w:hAnsi="Times New Roman" w:cs="Times New Roman"/>
          <w:sz w:val="24"/>
          <w:szCs w:val="24"/>
        </w:rPr>
        <w:t xml:space="preserve"> (2024) in Indonesia took into account the establishment of an eco-committee as ESP's initial step, while </w:t>
      </w:r>
      <w:proofErr w:type="spellStart"/>
      <w:r w:rsidRPr="005838E8">
        <w:rPr>
          <w:rFonts w:ascii="Times New Roman" w:eastAsia="Times New Roman" w:hAnsi="Times New Roman" w:cs="Times New Roman"/>
          <w:sz w:val="24"/>
          <w:szCs w:val="24"/>
        </w:rPr>
        <w:t>Torsdottir</w:t>
      </w:r>
      <w:proofErr w:type="spellEnd"/>
      <w:r w:rsidRPr="005838E8">
        <w:rPr>
          <w:rFonts w:ascii="Times New Roman" w:eastAsia="Times New Roman" w:hAnsi="Times New Roman" w:cs="Times New Roman"/>
          <w:sz w:val="24"/>
          <w:szCs w:val="24"/>
        </w:rPr>
        <w:t xml:space="preserve"> et al. (2024) in Norway emphasized cooperation among students, teachers, and stakeholders. This indicates that ESP committees promote sustainability by equipping students with sustainable development skills. However, since these studies were conducted in primary schools outside the public sector, they offer a window of opportunity for conducting the same in public primary schools. Mathur (2022) in India found ESP's systematic operation on the basis of principles set out, which </w:t>
      </w: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xml:space="preserve"> (2020) and Kruger (2020) in South Africa observed as 21st-century skills imparted through experiential activities. Similarly,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established ESP to entail activities of action, indicative of alignment with experiential learning in cultivating sustainable development competencies. In Tanzania, students were observed actively participating in tree planting work by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thereby proving ESP's collective endorsement of sustainable skills through daily practices. </w:t>
      </w:r>
    </w:p>
    <w:p w:rsidR="00E77F2B" w:rsidRPr="005838E8" w:rsidRDefault="00647AF2">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On educational effects, scholars are in disagreement. </w:t>
      </w:r>
      <w:proofErr w:type="spellStart"/>
      <w:r w:rsidRPr="005838E8">
        <w:rPr>
          <w:rFonts w:ascii="Times New Roman" w:eastAsia="Times New Roman" w:hAnsi="Times New Roman" w:cs="Times New Roman"/>
          <w:sz w:val="24"/>
          <w:szCs w:val="24"/>
        </w:rPr>
        <w:t>Batbayar</w:t>
      </w:r>
      <w:proofErr w:type="spellEnd"/>
      <w:r w:rsidRPr="005838E8">
        <w:rPr>
          <w:rFonts w:ascii="Times New Roman" w:eastAsia="Times New Roman" w:hAnsi="Times New Roman" w:cs="Times New Roman"/>
          <w:sz w:val="24"/>
          <w:szCs w:val="24"/>
        </w:rPr>
        <w:t xml:space="preserve"> (2024) perceived ESP as covering technology, redefining teachers to facilitators and students to active learners. </w:t>
      </w:r>
      <w:proofErr w:type="spellStart"/>
      <w:r w:rsidRPr="005838E8">
        <w:rPr>
          <w:rFonts w:ascii="Times New Roman" w:eastAsia="Times New Roman" w:hAnsi="Times New Roman" w:cs="Times New Roman"/>
          <w:sz w:val="24"/>
          <w:szCs w:val="24"/>
        </w:rPr>
        <w:t>Schröder</w:t>
      </w:r>
      <w:proofErr w:type="spellEnd"/>
      <w:r w:rsidRPr="005838E8">
        <w:rPr>
          <w:rFonts w:ascii="Times New Roman" w:eastAsia="Times New Roman" w:hAnsi="Times New Roman" w:cs="Times New Roman"/>
          <w:sz w:val="24"/>
          <w:szCs w:val="24"/>
        </w:rPr>
        <w:t xml:space="preserve"> et al. (2020) from Spain and the Netherlands demonstrated ESP's evolution from achievement to accomplishment through activity-based learning. Sousa (2022) from Portugal emphasized societal sustainability, while </w:t>
      </w: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xml:space="preserve"> (2020) from South Africa said active learning and environmental engagement through eco-schools' 16 ESD indicators. </w:t>
      </w:r>
      <w:proofErr w:type="spellStart"/>
      <w:r w:rsidRPr="005838E8">
        <w:rPr>
          <w:rFonts w:ascii="Times New Roman" w:eastAsia="Times New Roman" w:hAnsi="Times New Roman" w:cs="Times New Roman"/>
          <w:sz w:val="24"/>
          <w:szCs w:val="24"/>
        </w:rPr>
        <w:t>Eustance</w:t>
      </w:r>
      <w:proofErr w:type="spellEnd"/>
      <w:r w:rsidRPr="005838E8">
        <w:rPr>
          <w:rFonts w:ascii="Times New Roman" w:eastAsia="Times New Roman" w:hAnsi="Times New Roman" w:cs="Times New Roman"/>
          <w:sz w:val="24"/>
          <w:szCs w:val="24"/>
        </w:rPr>
        <w:t xml:space="preserve"> et al. (2022) in Kenya prioritized experiential hands-on learning, and Copsey (2020) in Tanzania reported improved attendance and performance. This indicates ESP aligns with policy and curriculum to build the required student skills.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4.0 Methodology</w:t>
      </w:r>
    </w:p>
    <w:p w:rsidR="00E77F2B" w:rsidRPr="005838E8" w:rsidRDefault="00D20515">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study applied convergent design under a mixed-methods design based on pragmatic research philosophy in gathering quantitative and qualitative data from seven government primary schools in </w:t>
      </w:r>
      <w:proofErr w:type="spellStart"/>
      <w:r w:rsidRPr="005838E8">
        <w:rPr>
          <w:rFonts w:ascii="Times New Roman" w:eastAsia="Times New Roman" w:hAnsi="Times New Roman" w:cs="Times New Roman"/>
          <w:sz w:val="24"/>
          <w:szCs w:val="24"/>
        </w:rPr>
        <w:t>Mvomero</w:t>
      </w:r>
      <w:proofErr w:type="spellEnd"/>
      <w:r w:rsidRPr="005838E8">
        <w:rPr>
          <w:rFonts w:ascii="Times New Roman" w:eastAsia="Times New Roman" w:hAnsi="Times New Roman" w:cs="Times New Roman"/>
          <w:sz w:val="24"/>
          <w:szCs w:val="24"/>
        </w:rPr>
        <w:t xml:space="preserve"> district, Morogoro region. Pragmatic philosophy provides rule-like guidelines for research aimed at practical application, problem-solving, and practical usefulness (</w:t>
      </w:r>
      <w:proofErr w:type="spellStart"/>
      <w:r w:rsidRPr="005838E8">
        <w:rPr>
          <w:rFonts w:ascii="Times New Roman" w:eastAsia="Times New Roman" w:hAnsi="Times New Roman" w:cs="Times New Roman"/>
          <w:sz w:val="24"/>
          <w:szCs w:val="24"/>
        </w:rPr>
        <w:t>Sokime</w:t>
      </w:r>
      <w:proofErr w:type="spellEnd"/>
      <w:r w:rsidRPr="005838E8">
        <w:rPr>
          <w:rFonts w:ascii="Times New Roman" w:eastAsia="Times New Roman" w:hAnsi="Times New Roman" w:cs="Times New Roman"/>
          <w:sz w:val="24"/>
          <w:szCs w:val="24"/>
        </w:rPr>
        <w:t xml:space="preserve"> and Amos, 2024). The study sample consisted of 7 schools with a sample size of 145 that comprised 7 head teachers (HTs), 1 district focal point person, 90 teachers, and 48 students. HTs and the district focal point person were selected through purposive sampling, whereas students were selected through simple random, stratified, and purposive sampling. Table 1 illustrates a summary of a study sampling frame. </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 </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pStyle w:val="Heading1"/>
        <w:tabs>
          <w:tab w:val="left" w:pos="5850"/>
        </w:tabs>
        <w:spacing w:before="0" w:line="240" w:lineRule="auto"/>
        <w:jc w:val="both"/>
        <w:rPr>
          <w:rFonts w:ascii="Times New Roman" w:eastAsia="Times New Roman" w:hAnsi="Times New Roman" w:cs="Times New Roman"/>
          <w:b w:val="0"/>
          <w:color w:val="000000"/>
          <w:sz w:val="24"/>
          <w:szCs w:val="24"/>
        </w:rPr>
      </w:pPr>
      <w:bookmarkStart w:id="2" w:name="_l4hkr8e5i2x5" w:colFirst="0" w:colLast="0"/>
      <w:bookmarkEnd w:id="2"/>
      <w:r w:rsidRPr="005838E8">
        <w:rPr>
          <w:rFonts w:ascii="Times New Roman" w:eastAsia="Times New Roman" w:hAnsi="Times New Roman" w:cs="Times New Roman"/>
          <w:color w:val="000000"/>
          <w:sz w:val="24"/>
          <w:szCs w:val="24"/>
        </w:rPr>
        <w:lastRenderedPageBreak/>
        <w:t>Table 1</w:t>
      </w:r>
      <w:r w:rsidR="005838E8" w:rsidRPr="005838E8">
        <w:rPr>
          <w:rFonts w:ascii="Times New Roman" w:eastAsia="Times New Roman" w:hAnsi="Times New Roman" w:cs="Times New Roman"/>
          <w:color w:val="000000"/>
          <w:sz w:val="24"/>
          <w:szCs w:val="24"/>
        </w:rPr>
        <w:t>.</w:t>
      </w:r>
      <w:r w:rsidRPr="005838E8">
        <w:rPr>
          <w:rFonts w:ascii="Times New Roman" w:eastAsia="Times New Roman" w:hAnsi="Times New Roman" w:cs="Times New Roman"/>
          <w:color w:val="000000"/>
          <w:sz w:val="24"/>
          <w:szCs w:val="24"/>
        </w:rPr>
        <w:t xml:space="preserve"> Sampling Frame</w:t>
      </w:r>
    </w:p>
    <w:tbl>
      <w:tblPr>
        <w:tblStyle w:val="a"/>
        <w:tblpPr w:leftFromText="180" w:rightFromText="180" w:vertAnchor="text" w:tblpY="429"/>
        <w:tblW w:w="9576" w:type="dxa"/>
        <w:tblInd w:w="0" w:type="dxa"/>
        <w:tblLayout w:type="fixed"/>
        <w:tblLook w:val="0400" w:firstRow="0" w:lastRow="0" w:firstColumn="0" w:lastColumn="0" w:noHBand="0" w:noVBand="1"/>
      </w:tblPr>
      <w:tblGrid>
        <w:gridCol w:w="2943"/>
        <w:gridCol w:w="2111"/>
        <w:gridCol w:w="2992"/>
        <w:gridCol w:w="1530"/>
      </w:tblGrid>
      <w:tr w:rsidR="00E77F2B" w:rsidRPr="005838E8">
        <w:trPr>
          <w:trHeight w:val="500"/>
        </w:trPr>
        <w:tc>
          <w:tcPr>
            <w:tcW w:w="2943" w:type="dxa"/>
            <w:tcBorders>
              <w:top w:val="single" w:sz="24" w:space="0" w:color="000000"/>
              <w:bottom w:val="single" w:sz="24" w:space="0" w:color="000000"/>
            </w:tcBorders>
            <w:shd w:val="clear" w:color="auto" w:fill="auto"/>
          </w:tcPr>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 xml:space="preserve">Category </w:t>
            </w:r>
          </w:p>
        </w:tc>
        <w:tc>
          <w:tcPr>
            <w:tcW w:w="2111"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Target Population</w:t>
            </w:r>
          </w:p>
        </w:tc>
        <w:tc>
          <w:tcPr>
            <w:tcW w:w="2992"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Sampling technique</w:t>
            </w:r>
          </w:p>
        </w:tc>
        <w:tc>
          <w:tcPr>
            <w:tcW w:w="1530"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Sample size</w:t>
            </w:r>
          </w:p>
        </w:tc>
      </w:tr>
      <w:tr w:rsidR="00E77F2B" w:rsidRPr="005838E8">
        <w:trPr>
          <w:trHeight w:val="500"/>
        </w:trPr>
        <w:tc>
          <w:tcPr>
            <w:tcW w:w="2943" w:type="dxa"/>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Head teachers</w:t>
            </w:r>
          </w:p>
        </w:tc>
        <w:tc>
          <w:tcPr>
            <w:tcW w:w="2111"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53</w:t>
            </w:r>
          </w:p>
        </w:tc>
        <w:tc>
          <w:tcPr>
            <w:tcW w:w="2992" w:type="dxa"/>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Purposive</w:t>
            </w:r>
          </w:p>
        </w:tc>
        <w:tc>
          <w:tcPr>
            <w:tcW w:w="1530"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7</w:t>
            </w:r>
          </w:p>
        </w:tc>
      </w:tr>
      <w:tr w:rsidR="00E77F2B" w:rsidRPr="005838E8">
        <w:trPr>
          <w:trHeight w:val="387"/>
        </w:trPr>
        <w:tc>
          <w:tcPr>
            <w:tcW w:w="2943" w:type="dxa"/>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Teachers</w:t>
            </w:r>
          </w:p>
        </w:tc>
        <w:tc>
          <w:tcPr>
            <w:tcW w:w="2111"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850</w:t>
            </w:r>
          </w:p>
        </w:tc>
        <w:tc>
          <w:tcPr>
            <w:tcW w:w="2992" w:type="dxa"/>
            <w:shd w:val="clear" w:color="auto" w:fill="auto"/>
          </w:tcPr>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Stratified/simple random</w:t>
            </w:r>
          </w:p>
        </w:tc>
        <w:tc>
          <w:tcPr>
            <w:tcW w:w="1530" w:type="dxa"/>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90</w:t>
            </w:r>
          </w:p>
        </w:tc>
      </w:tr>
      <w:tr w:rsidR="00E77F2B" w:rsidRPr="005838E8">
        <w:trPr>
          <w:trHeight w:val="506"/>
        </w:trPr>
        <w:tc>
          <w:tcPr>
            <w:tcW w:w="2943"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District Focal Point Person</w:t>
            </w:r>
          </w:p>
        </w:tc>
        <w:tc>
          <w:tcPr>
            <w:tcW w:w="2111"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1</w:t>
            </w:r>
          </w:p>
        </w:tc>
        <w:tc>
          <w:tcPr>
            <w:tcW w:w="2992"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Purposive</w:t>
            </w:r>
          </w:p>
        </w:tc>
        <w:tc>
          <w:tcPr>
            <w:tcW w:w="1530"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1</w:t>
            </w:r>
          </w:p>
        </w:tc>
      </w:tr>
      <w:tr w:rsidR="00E77F2B" w:rsidRPr="005838E8">
        <w:trPr>
          <w:trHeight w:val="506"/>
        </w:trPr>
        <w:tc>
          <w:tcPr>
            <w:tcW w:w="2943"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Students</w:t>
            </w:r>
          </w:p>
        </w:tc>
        <w:tc>
          <w:tcPr>
            <w:tcW w:w="2111"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742</w:t>
            </w:r>
          </w:p>
        </w:tc>
        <w:tc>
          <w:tcPr>
            <w:tcW w:w="2992" w:type="dxa"/>
            <w:tcBorders>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Purposive/Stratified</w:t>
            </w:r>
          </w:p>
        </w:tc>
        <w:tc>
          <w:tcPr>
            <w:tcW w:w="1530" w:type="dxa"/>
            <w:tcBorders>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47</w:t>
            </w:r>
          </w:p>
        </w:tc>
      </w:tr>
      <w:tr w:rsidR="00E77F2B" w:rsidRPr="005838E8">
        <w:trPr>
          <w:trHeight w:val="415"/>
        </w:trPr>
        <w:tc>
          <w:tcPr>
            <w:tcW w:w="2943" w:type="dxa"/>
            <w:tcBorders>
              <w:top w:val="single" w:sz="24" w:space="0" w:color="000000"/>
              <w:bottom w:val="single" w:sz="24" w:space="0" w:color="000000"/>
            </w:tcBorders>
            <w:shd w:val="clear" w:color="auto" w:fill="auto"/>
          </w:tcPr>
          <w:p w:rsidR="00E77F2B" w:rsidRPr="005838E8" w:rsidRDefault="0027215D">
            <w:pPr>
              <w:spacing w:line="240" w:lineRule="auto"/>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TOTAL</w:t>
            </w:r>
          </w:p>
        </w:tc>
        <w:tc>
          <w:tcPr>
            <w:tcW w:w="2111"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1646</w:t>
            </w:r>
          </w:p>
        </w:tc>
        <w:tc>
          <w:tcPr>
            <w:tcW w:w="2992" w:type="dxa"/>
            <w:tcBorders>
              <w:top w:val="single" w:sz="24" w:space="0" w:color="000000"/>
              <w:bottom w:val="single" w:sz="24" w:space="0" w:color="000000"/>
            </w:tcBorders>
            <w:shd w:val="clear" w:color="auto" w:fill="auto"/>
          </w:tcPr>
          <w:p w:rsidR="00E77F2B" w:rsidRPr="005838E8" w:rsidRDefault="00E77F2B">
            <w:pPr>
              <w:spacing w:line="240" w:lineRule="auto"/>
              <w:jc w:val="both"/>
              <w:rPr>
                <w:rFonts w:ascii="Times New Roman" w:eastAsia="Times New Roman" w:hAnsi="Times New Roman" w:cs="Times New Roman"/>
                <w:sz w:val="24"/>
                <w:szCs w:val="24"/>
              </w:rPr>
            </w:pPr>
          </w:p>
        </w:tc>
        <w:tc>
          <w:tcPr>
            <w:tcW w:w="1530" w:type="dxa"/>
            <w:tcBorders>
              <w:top w:val="single" w:sz="24" w:space="0" w:color="000000"/>
              <w:bottom w:val="single" w:sz="24" w:space="0" w:color="000000"/>
            </w:tcBorders>
            <w:shd w:val="clear" w:color="auto" w:fill="auto"/>
          </w:tcPr>
          <w:p w:rsidR="00E77F2B" w:rsidRPr="005838E8" w:rsidRDefault="0027215D">
            <w:pPr>
              <w:spacing w:line="240" w:lineRule="auto"/>
              <w:jc w:val="center"/>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145</w:t>
            </w:r>
          </w:p>
        </w:tc>
      </w:tr>
    </w:tbl>
    <w:p w:rsidR="00E77F2B" w:rsidRPr="005838E8" w:rsidRDefault="0027215D">
      <w:pPr>
        <w:spacing w:line="36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Data collection instruments included questionnaires for teachers, interview guides for HTs and the district focal point person, and focus group discussions (FGDs) for students. Validity was ensured through expert review and a pilot study, while reliability was confirmed using Cronbach’s Alpha with the statistical unit of 0.896 (Lees et al., 2022). Quantitative data were analyzed with SPSS version 20 and descriptive statistics, while qualitative data underwent thematic analysis to identify patterns related to curriculum reduction. Ethical considerations included informed consent, confidentiality, and approval from the Jordan University College ethical review board.</w:t>
      </w:r>
    </w:p>
    <w:p w:rsidR="00E77F2B" w:rsidRPr="005838E8" w:rsidRDefault="00E77F2B">
      <w:pPr>
        <w:spacing w:after="0" w:line="240" w:lineRule="auto"/>
        <w:rPr>
          <w:rFonts w:ascii="Times New Roman" w:eastAsia="Times New Roman" w:hAnsi="Times New Roman" w:cs="Times New Roman"/>
          <w:sz w:val="24"/>
          <w:szCs w:val="24"/>
        </w:rPr>
      </w:pPr>
    </w:p>
    <w:p w:rsidR="00E77F2B" w:rsidRPr="005838E8" w:rsidRDefault="0027215D">
      <w:pPr>
        <w:spacing w:after="0" w:line="240" w:lineRule="auto"/>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5.0 Findings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part of study deals with findings related with the assessment of the current curriculum gaps which hinder the acquisition of sustainable development skills to students through hands-on learning activities, and evaluating the academic impacts of the ESP to students as a leading agent to promoting sustainable development skills to students through experiential learning activities conducted at school.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5.1</w:t>
      </w:r>
      <w:r w:rsidRPr="005838E8">
        <w:rPr>
          <w:rFonts w:ascii="Times New Roman" w:eastAsia="Times New Roman" w:hAnsi="Times New Roman" w:cs="Times New Roman"/>
          <w:color w:val="000000"/>
          <w:sz w:val="24"/>
          <w:szCs w:val="24"/>
        </w:rPr>
        <w:t xml:space="preserve"> </w:t>
      </w:r>
      <w:r w:rsidRPr="005838E8">
        <w:rPr>
          <w:rFonts w:ascii="Times New Roman" w:eastAsia="Times New Roman" w:hAnsi="Times New Roman" w:cs="Times New Roman"/>
          <w:b/>
          <w:color w:val="000000"/>
          <w:sz w:val="24"/>
          <w:szCs w:val="24"/>
        </w:rPr>
        <w:t>Assessment of the current curriculum gaps which hinder the acquisition of sustainable development skills to students</w:t>
      </w:r>
    </w:p>
    <w:p w:rsidR="00E77F2B" w:rsidRPr="005838E8" w:rsidRDefault="0027215D">
      <w:p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sz w:val="24"/>
          <w:szCs w:val="24"/>
        </w:rPr>
        <w:t>This specific objective of the study sought the existence of the current curriculum gaps related with curriculum planning gaps, curriculum content gaps, and curriculum implementation gaps</w:t>
      </w:r>
      <w:r w:rsidRPr="005838E8">
        <w:rPr>
          <w:rFonts w:ascii="Times New Roman" w:eastAsia="Times New Roman" w:hAnsi="Times New Roman" w:cs="Times New Roman"/>
          <w:b/>
          <w:sz w:val="24"/>
          <w:szCs w:val="24"/>
        </w:rPr>
        <w:t xml:space="preserve"> </w:t>
      </w:r>
      <w:r w:rsidRPr="005838E8">
        <w:rPr>
          <w:rFonts w:ascii="Times New Roman" w:eastAsia="Times New Roman" w:hAnsi="Times New Roman" w:cs="Times New Roman"/>
          <w:sz w:val="24"/>
          <w:szCs w:val="24"/>
        </w:rPr>
        <w:t xml:space="preserve">which hinder the acquisition of sustainable development skills to students. </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5.1.1 Assessment of curriculum planning gaps</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sub-section of the first specific objective of the study sought to assess the existence of the current curriculum planning gaps which hinder the acquisition of sustainable development skills to students. The notable curriculum planning gaps were assessed through questionnaires administered to teachers as shown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w:t>
      </w:r>
    </w:p>
    <w:p w:rsidR="005838E8" w:rsidRPr="005838E8" w:rsidRDefault="005838E8">
      <w:pPr>
        <w:spacing w:after="0" w:line="240" w:lineRule="auto"/>
        <w:jc w:val="both"/>
        <w:rPr>
          <w:rFonts w:ascii="Times New Roman" w:eastAsia="Times New Roman" w:hAnsi="Times New Roman" w:cs="Times New Roman"/>
          <w:sz w:val="24"/>
          <w:szCs w:val="24"/>
        </w:rPr>
      </w:pP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lastRenderedPageBreak/>
        <w:t xml:space="preserve">Table </w:t>
      </w:r>
      <w:r w:rsidR="005838E8" w:rsidRPr="005838E8">
        <w:rPr>
          <w:rFonts w:ascii="Times New Roman" w:eastAsia="Times New Roman" w:hAnsi="Times New Roman" w:cs="Times New Roman"/>
          <w:b/>
          <w:color w:val="000000"/>
          <w:sz w:val="24"/>
          <w:szCs w:val="24"/>
        </w:rPr>
        <w:t>2</w:t>
      </w:r>
      <w:r w:rsidRPr="005838E8">
        <w:rPr>
          <w:rFonts w:ascii="Times New Roman" w:eastAsia="Times New Roman" w:hAnsi="Times New Roman" w:cs="Times New Roman"/>
          <w:b/>
          <w:color w:val="000000"/>
          <w:sz w:val="24"/>
          <w:szCs w:val="24"/>
        </w:rPr>
        <w:t>: Curriculum planning gaps (n=90)</w:t>
      </w:r>
    </w:p>
    <w:tbl>
      <w:tblPr>
        <w:tblStyle w:val="a0"/>
        <w:tblW w:w="9751" w:type="dxa"/>
        <w:jc w:val="center"/>
        <w:tblInd w:w="0" w:type="dxa"/>
        <w:tblLayout w:type="fixed"/>
        <w:tblLook w:val="0400" w:firstRow="0" w:lastRow="0" w:firstColumn="0" w:lastColumn="0" w:noHBand="0" w:noVBand="1"/>
      </w:tblPr>
      <w:tblGrid>
        <w:gridCol w:w="3010"/>
        <w:gridCol w:w="425"/>
        <w:gridCol w:w="567"/>
        <w:gridCol w:w="589"/>
        <w:gridCol w:w="567"/>
        <w:gridCol w:w="567"/>
        <w:gridCol w:w="708"/>
        <w:gridCol w:w="567"/>
        <w:gridCol w:w="709"/>
        <w:gridCol w:w="567"/>
        <w:gridCol w:w="709"/>
        <w:gridCol w:w="766"/>
      </w:tblGrid>
      <w:tr w:rsidR="00E77F2B" w:rsidRPr="005838E8">
        <w:trPr>
          <w:trHeight w:val="168"/>
          <w:jc w:val="center"/>
        </w:trPr>
        <w:tc>
          <w:tcPr>
            <w:tcW w:w="3010"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Statements</w:t>
            </w:r>
          </w:p>
        </w:tc>
        <w:tc>
          <w:tcPr>
            <w:tcW w:w="5975" w:type="dxa"/>
            <w:gridSpan w:val="10"/>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rPr>
            </w:pPr>
            <w:r w:rsidRPr="005838E8">
              <w:rPr>
                <w:rFonts w:ascii="Times New Roman" w:eastAsia="Times New Roman" w:hAnsi="Times New Roman" w:cs="Times New Roman"/>
              </w:rPr>
              <w:t>Response in Frequencies and Percentages</w:t>
            </w:r>
          </w:p>
        </w:tc>
        <w:tc>
          <w:tcPr>
            <w:tcW w:w="766"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MEAN</w:t>
            </w:r>
          </w:p>
        </w:tc>
      </w:tr>
      <w:tr w:rsidR="00E77F2B" w:rsidRPr="005838E8">
        <w:trPr>
          <w:trHeight w:val="168"/>
          <w:jc w:val="center"/>
        </w:trPr>
        <w:tc>
          <w:tcPr>
            <w:tcW w:w="301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992"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SD</w:t>
            </w:r>
          </w:p>
        </w:tc>
        <w:tc>
          <w:tcPr>
            <w:tcW w:w="115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D</w:t>
            </w:r>
          </w:p>
        </w:tc>
        <w:tc>
          <w:tcPr>
            <w:tcW w:w="1275"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U</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A</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SA</w:t>
            </w:r>
          </w:p>
        </w:tc>
        <w:tc>
          <w:tcPr>
            <w:tcW w:w="766"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r>
      <w:tr w:rsidR="00E77F2B" w:rsidRPr="005838E8">
        <w:trPr>
          <w:trHeight w:val="168"/>
          <w:jc w:val="center"/>
        </w:trPr>
        <w:tc>
          <w:tcPr>
            <w:tcW w:w="301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425"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8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8"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 xml:space="preserve">f </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 xml:space="preserve">f </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766"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rPr>
            </w:pPr>
          </w:p>
        </w:tc>
      </w:tr>
      <w:tr w:rsidR="00E77F2B" w:rsidRPr="005838E8">
        <w:trPr>
          <w:jc w:val="center"/>
        </w:trPr>
        <w:tc>
          <w:tcPr>
            <w:tcW w:w="3010" w:type="dxa"/>
            <w:tcBorders>
              <w:top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Curriculum emphasize on environmental conservation through all subjects </w:t>
            </w:r>
          </w:p>
        </w:tc>
        <w:tc>
          <w:tcPr>
            <w:tcW w:w="425"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766"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4.12</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There are specific topics which deal with the interconnectedness of environmental, social, and economic factors for all subjects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62.2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33.3</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4.20</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There are ethical guidelines on how to use land in sustainable development across all subject contents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3.40</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All textbooks from pre-standard one up to seven describe how to conserve environment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4.03</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Professional development for integration real-world activities for all subjects such as projects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24.4</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3.76</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Curriculum allow teachers to integrate technology in teaching and learning processes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47</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52.2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4.12</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Environmental conservation stories across all subjects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17.8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3.81</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Topics on inclusive education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54</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3.87</w:t>
            </w:r>
          </w:p>
        </w:tc>
      </w:tr>
      <w:tr w:rsidR="00E77F2B" w:rsidRPr="005838E8">
        <w:trPr>
          <w:jc w:val="center"/>
        </w:trPr>
        <w:tc>
          <w:tcPr>
            <w:tcW w:w="301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Environmental subject </w:t>
            </w:r>
          </w:p>
        </w:tc>
        <w:tc>
          <w:tcPr>
            <w:tcW w:w="425"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766"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3.90</w:t>
            </w:r>
          </w:p>
        </w:tc>
      </w:tr>
      <w:tr w:rsidR="00E77F2B" w:rsidRPr="005838E8">
        <w:trPr>
          <w:jc w:val="center"/>
        </w:trPr>
        <w:tc>
          <w:tcPr>
            <w:tcW w:w="3010"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Description of students’ portfolio for all subjects to integrate environmental conservation to provide a holistic understanding of sustainable development </w:t>
            </w:r>
          </w:p>
        </w:tc>
        <w:tc>
          <w:tcPr>
            <w:tcW w:w="425"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w:t>
            </w:r>
          </w:p>
        </w:tc>
        <w:tc>
          <w:tcPr>
            <w:tcW w:w="58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w:t>
            </w:r>
          </w:p>
        </w:tc>
        <w:tc>
          <w:tcPr>
            <w:tcW w:w="708"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17.8</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47</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52.2</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766"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3.68</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E77F2B">
      <w:pPr>
        <w:spacing w:after="0"/>
        <w:rPr>
          <w:rFonts w:ascii="Times New Roman" w:eastAsia="Times New Roman" w:hAnsi="Times New Roman" w:cs="Times New Roman"/>
          <w:sz w:val="24"/>
          <w:szCs w:val="24"/>
        </w:rPr>
      </w:pP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indicates that many teachers, 51 (56.7%) agreed and 31 (34.4%) strongly agreed with the statement that the curriculum emphasizes environmental conservation through all </w:t>
      </w:r>
      <w:r w:rsidRPr="005838E8">
        <w:rPr>
          <w:rFonts w:ascii="Times New Roman" w:eastAsia="Times New Roman" w:hAnsi="Times New Roman" w:cs="Times New Roman"/>
          <w:sz w:val="24"/>
          <w:szCs w:val="24"/>
        </w:rPr>
        <w:lastRenderedPageBreak/>
        <w:t xml:space="preserve">subjects at a mean score of 4.12. Concurrently, the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shows that the majority of respondents, 51 (56.7%) agreed, and 27 (30%) strongly agreed with a mean score of 4.03 that all textbooks from pre-standard one up to seven describe how to conserve the environment. Simultaneously,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about professional development for integration real-world activities for all subjects such as projects scored a mean score of 3.76 with 48 (53.3%) agreement and 22 (24.4%) as strong agreement. Additionally, facts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many respondents, 35 (38.9%) agreed, and 31 (34.4%) strongly agreed at mean score of 3.81 that there are environmental conservation stories across all subjects; and </w:t>
      </w:r>
      <w:proofErr w:type="gramStart"/>
      <w:r w:rsidRPr="005838E8">
        <w:rPr>
          <w:rFonts w:ascii="Times New Roman" w:eastAsia="Times New Roman" w:hAnsi="Times New Roman" w:cs="Times New Roman"/>
          <w:sz w:val="24"/>
          <w:szCs w:val="24"/>
        </w:rPr>
        <w:t>again</w:t>
      </w:r>
      <w:proofErr w:type="gramEnd"/>
      <w:r w:rsidRPr="005838E8">
        <w:rPr>
          <w:rFonts w:ascii="Times New Roman" w:eastAsia="Times New Roman" w:hAnsi="Times New Roman" w:cs="Times New Roman"/>
          <w:sz w:val="24"/>
          <w:szCs w:val="24"/>
        </w:rPr>
        <w:t xml:space="preserve">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the data demonstrates the majority of respondents, 31 (34.4%) agreed, and 35 (38.9%) strongly agreed at mean score of 3.90 with the statement that there is an environmental subject taught in schools. These facts imply that the environmental factors in a newly launched curriculum of 2023 are highly considered in the education system. The main reasons that led to a strong emphasis on environmental issues in the education curriculum are due to the climatic change crisis caused by environmental damage, especially illegal cutting of trees. This focus on the environment advocacy has been introduced into the education curriculum to raise children on the principles of the environmental ethics for sustainable development. These facts were further supported by one HT who said that: </w:t>
      </w:r>
      <w:r w:rsidRPr="005838E8">
        <w:rPr>
          <w:rFonts w:ascii="Times New Roman" w:eastAsia="Times New Roman" w:hAnsi="Times New Roman" w:cs="Times New Roman"/>
          <w:i/>
          <w:sz w:val="24"/>
          <w:szCs w:val="24"/>
        </w:rPr>
        <w:t>“The new curriculum has focused on environmental issues; there is a specific subject for environmental protection that is taught in our public primary schools from kindergarten to sixth grade”</w:t>
      </w:r>
      <w:r w:rsidRPr="005838E8">
        <w:rPr>
          <w:rFonts w:ascii="Times New Roman" w:eastAsia="Times New Roman" w:hAnsi="Times New Roman" w:cs="Times New Roman"/>
          <w:sz w:val="24"/>
          <w:szCs w:val="24"/>
        </w:rPr>
        <w:t xml:space="preserve"> (Interview, HT B, 17/03/2025). This finding from HT indicates that there was a curriculum gap regarding environmental advocacy, and the main reason is the reality of the increase in environmental destruction in communities where survival takes place in every day environmental transactions. This finding is also in line with the study by </w:t>
      </w:r>
      <w:proofErr w:type="spellStart"/>
      <w:r w:rsidRPr="005838E8">
        <w:rPr>
          <w:rFonts w:ascii="Times New Roman" w:eastAsia="Times New Roman" w:hAnsi="Times New Roman" w:cs="Times New Roman"/>
          <w:sz w:val="24"/>
          <w:szCs w:val="24"/>
        </w:rPr>
        <w:t>Abulibdeh</w:t>
      </w:r>
      <w:proofErr w:type="spellEnd"/>
      <w:r w:rsidRPr="005838E8">
        <w:rPr>
          <w:rFonts w:ascii="Times New Roman" w:eastAsia="Times New Roman" w:hAnsi="Times New Roman" w:cs="Times New Roman"/>
          <w:sz w:val="24"/>
          <w:szCs w:val="24"/>
        </w:rPr>
        <w:t xml:space="preserve"> et al. (2024) which emphasized environmental education to be included in the curriculum so that students get the skills to advocate for the environment for sustainable development.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Furthermore, the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indicate that the majority of teachers, 56 (62.2%) agreed, and 30 (33.3%) strongly agreed with a mean score of 4.20 that there are specific topics which deal with the interconnectedness of environmental, social, and economic factors for all subjects. Similarly,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signposts that the majority of respondents, 60 (66.7%) agreed at a mean score of 3.40 that there are ethical guidelines on how to use land in sustainable development across all subject contents. These facts imply that the new curriculum is focused on connecting the student with basic skills about economy, society, technology and environmental care. The reason behind these skills’ connectivity is the endeavors of the educational curriculum to align with the students’ daily life in a holistic approach. Additionally, the idea is aligned with the SDG 4 goals United Nations (Souza et al., 2024); and promotes critical thinking, global citizenship, and sustainability through a well-structured curriculum to emphasize the importance of a decent education for students (</w:t>
      </w:r>
      <w:proofErr w:type="spellStart"/>
      <w:r w:rsidRPr="005838E8">
        <w:rPr>
          <w:rFonts w:ascii="Times New Roman" w:eastAsia="Times New Roman" w:hAnsi="Times New Roman" w:cs="Times New Roman"/>
          <w:sz w:val="24"/>
          <w:szCs w:val="24"/>
        </w:rPr>
        <w:t>Kamphambale</w:t>
      </w:r>
      <w:proofErr w:type="spellEnd"/>
      <w:r w:rsidRPr="005838E8">
        <w:rPr>
          <w:rFonts w:ascii="Times New Roman" w:eastAsia="Times New Roman" w:hAnsi="Times New Roman" w:cs="Times New Roman"/>
          <w:sz w:val="24"/>
          <w:szCs w:val="24"/>
        </w:rPr>
        <w:t xml:space="preserve"> et al., 2024). In supporting this idea, one student insisted that: </w:t>
      </w:r>
      <w:r w:rsidRPr="005838E8">
        <w:rPr>
          <w:rFonts w:ascii="Times New Roman" w:eastAsia="Times New Roman" w:hAnsi="Times New Roman" w:cs="Times New Roman"/>
          <w:i/>
          <w:sz w:val="24"/>
          <w:szCs w:val="24"/>
        </w:rPr>
        <w:t>“The questions we are asked in the exam are to use the experience of our everyday environment, it is not necessary to memorize the content but to understand what you learn and apply it to real everyday life”</w:t>
      </w:r>
      <w:r w:rsidRPr="005838E8">
        <w:rPr>
          <w:rFonts w:ascii="Times New Roman" w:eastAsia="Times New Roman" w:hAnsi="Times New Roman" w:cs="Times New Roman"/>
          <w:sz w:val="24"/>
          <w:szCs w:val="24"/>
        </w:rPr>
        <w:t xml:space="preserve"> (FGD, Student A, 17/03/2025). This statement from the student implies that there are major changes in the education curriculum to develop life skills for the student. These curriculum major changes are triggered by the movements of some politicians and </w:t>
      </w:r>
      <w:r w:rsidRPr="005838E8">
        <w:rPr>
          <w:rFonts w:ascii="Times New Roman" w:eastAsia="Times New Roman" w:hAnsi="Times New Roman" w:cs="Times New Roman"/>
          <w:sz w:val="24"/>
          <w:szCs w:val="24"/>
        </w:rPr>
        <w:lastRenderedPageBreak/>
        <w:t xml:space="preserve">education activists who wanted education to reflect the real life of the student. The finding is further actualized by Maltby (2024) in emphasizing the interconnectedness between individuals and the real world experiences. This implies that the education curriculum should be designed to sustain and cater for the needs of a student in one’s locality. The reason for this is that, in contemporary and modern curriculum design, a central reflection is a student, not content, as described in competency-based curriculum elements.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data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shows that most respondents, 47 (52.2%) agreed, and 31 (34.4%) strongly agreed at a mean score of 4.12 that curriculum allows teachers to integrate technology in teaching and learning processes. Likewise, the fact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xml:space="preserve"> indicates that the majority of respondents, 54 (60%) agreed at a mean score of 3.87 that there are topics on inclusive education taught in public primary </w:t>
      </w:r>
      <w:proofErr w:type="gramStart"/>
      <w:r w:rsidRPr="005838E8">
        <w:rPr>
          <w:rFonts w:ascii="Times New Roman" w:eastAsia="Times New Roman" w:hAnsi="Times New Roman" w:cs="Times New Roman"/>
          <w:sz w:val="24"/>
          <w:szCs w:val="24"/>
        </w:rPr>
        <w:t>schools</w:t>
      </w:r>
      <w:proofErr w:type="gramEnd"/>
      <w:r w:rsidRPr="005838E8">
        <w:rPr>
          <w:rFonts w:ascii="Times New Roman" w:eastAsia="Times New Roman" w:hAnsi="Times New Roman" w:cs="Times New Roman"/>
          <w:sz w:val="24"/>
          <w:szCs w:val="24"/>
        </w:rPr>
        <w:t xml:space="preserve"> curriculum. Moreover, in Table </w:t>
      </w:r>
      <w:r w:rsidR="005838E8" w:rsidRPr="005838E8">
        <w:rPr>
          <w:rFonts w:ascii="Times New Roman" w:eastAsia="Times New Roman" w:hAnsi="Times New Roman" w:cs="Times New Roman"/>
          <w:sz w:val="24"/>
          <w:szCs w:val="24"/>
        </w:rPr>
        <w:t>2</w:t>
      </w:r>
      <w:r w:rsidRPr="005838E8">
        <w:rPr>
          <w:rFonts w:ascii="Times New Roman" w:eastAsia="Times New Roman" w:hAnsi="Times New Roman" w:cs="Times New Roman"/>
          <w:sz w:val="24"/>
          <w:szCs w:val="24"/>
        </w:rPr>
        <w:t>, the majority of respondents, 47 (52.2%) agreed with the statement that there is a description of students’ portfolio for all subjects to integrate environmental conservation to provide a holistic understanding of sustainable development with a mean score of 3.68. Data from this Table implies that technology is emphasized on the use of the educational curriculum, and sometimes technology is used to enable inclusive education in school settings, and even enable students to save the portfolio's activities online via Google Drive. The major reason for application of technology in education matters is reflected and strengthened by National ICT policy (</w:t>
      </w:r>
      <w:proofErr w:type="spellStart"/>
      <w:r w:rsidRPr="005838E8">
        <w:rPr>
          <w:rFonts w:ascii="Times New Roman" w:eastAsia="Times New Roman" w:hAnsi="Times New Roman" w:cs="Times New Roman"/>
          <w:sz w:val="24"/>
          <w:szCs w:val="24"/>
        </w:rPr>
        <w:t>Nzilano</w:t>
      </w:r>
      <w:proofErr w:type="spellEnd"/>
      <w:r w:rsidRPr="005838E8">
        <w:rPr>
          <w:rFonts w:ascii="Times New Roman" w:eastAsia="Times New Roman" w:hAnsi="Times New Roman" w:cs="Times New Roman"/>
          <w:sz w:val="24"/>
          <w:szCs w:val="24"/>
        </w:rPr>
        <w:t xml:space="preserve">, 2025). In supporting the idea about technology adoption in newly introduced competence-based curriculum, one HT added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“Through the new curriculum, the Ministry of Education, Science and Technology have launched an application called Jolly Phonics. This application is used for the pre-standard one class to the third-grade classes. It has sounds that are helpful for students with hearing problems, and is used as an inclusive resource for students with special needs, especially the deaf”</w:t>
      </w:r>
      <w:r w:rsidRPr="005838E8">
        <w:rPr>
          <w:rFonts w:ascii="Times New Roman" w:eastAsia="Times New Roman" w:hAnsi="Times New Roman" w:cs="Times New Roman"/>
          <w:sz w:val="24"/>
          <w:szCs w:val="24"/>
        </w:rPr>
        <w:t xml:space="preserve"> (Interview, HT G, 20/03/2025).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finding from HT denotes that there was a content gap regarding the use of technology in the education sector, and now the use has started to appear in the teaching and learning process in the classroom settings. Contrarily, although the education policy of 2023 emphasizes the use of technology in teaching and learning processes at all levels of education, including primary schools, the reality still shows that education officials have little willingness to allow teachers to use technology. This reality about lacking willingness to deploy technology in educational matters for teachers was further exposed by one of the HTs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“The readiness is there, but those in charge of education at the ward, district and regional levels are preventing the use of technology (computers and tablets), force teachers to prepare the scheme of works by hand in real handwriting, not typing”</w:t>
      </w:r>
      <w:r w:rsidRPr="005838E8">
        <w:rPr>
          <w:rFonts w:ascii="Times New Roman" w:eastAsia="Times New Roman" w:hAnsi="Times New Roman" w:cs="Times New Roman"/>
          <w:sz w:val="24"/>
          <w:szCs w:val="24"/>
        </w:rPr>
        <w:t xml:space="preserve"> (Interview, HT D, 17/03/2025).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finding from HT implies that technology is not used properly as directed in the 2023 curriculum and education policy due to a negative attitude from education officials at the relevant levels. The lack of readiness of these education officials is probably lack of awareness about the Tanzania ICT policy, lack of skills in the use of technology in education, and even failure to connect the benefits of technology application due to lack of mind exposure about the meta-technology application in the education field. This fact of deteriorating technology </w:t>
      </w:r>
      <w:r w:rsidRPr="005838E8">
        <w:rPr>
          <w:rFonts w:ascii="Times New Roman" w:eastAsia="Times New Roman" w:hAnsi="Times New Roman" w:cs="Times New Roman"/>
          <w:sz w:val="24"/>
          <w:szCs w:val="24"/>
        </w:rPr>
        <w:lastRenderedPageBreak/>
        <w:t>application in education contradicts the social learning theory which emphasizes the drilling of desired skills, such as digital skills (</w:t>
      </w: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et al., 2024). This calls the important and rigorous professional development to education officials at respective levels. At this stage the educational administrators require seminars on how to use technology and leave autonomy for teachers to apply technology to build students' digital skills in this digital world as part of addressing content gaps to maximize the relevance of education among students. </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5.1.2 Assessment of</w:t>
      </w:r>
      <w:r w:rsidRPr="005838E8">
        <w:rPr>
          <w:rFonts w:ascii="Times New Roman" w:eastAsia="Times New Roman" w:hAnsi="Times New Roman" w:cs="Times New Roman"/>
          <w:sz w:val="24"/>
          <w:szCs w:val="24"/>
        </w:rPr>
        <w:t xml:space="preserve"> </w:t>
      </w:r>
      <w:r w:rsidRPr="005838E8">
        <w:rPr>
          <w:rFonts w:ascii="Times New Roman" w:eastAsia="Times New Roman" w:hAnsi="Times New Roman" w:cs="Times New Roman"/>
          <w:b/>
          <w:sz w:val="24"/>
          <w:szCs w:val="24"/>
        </w:rPr>
        <w:t>curriculum content gaps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sub-section of the first specific objective of the study assessed the existence of the curriculum content gaps which hinder the promotion of sustainable development skills to students. The prominent curriculum content gaps were assessed through questionnaires administered to teachers as shown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w:t>
      </w:r>
    </w:p>
    <w:p w:rsidR="00E77F2B" w:rsidRPr="005838E8" w:rsidRDefault="00E77F2B">
      <w:pPr>
        <w:spacing w:line="240" w:lineRule="auto"/>
        <w:jc w:val="both"/>
        <w:rPr>
          <w:rFonts w:ascii="Times New Roman" w:eastAsia="Times New Roman" w:hAnsi="Times New Roman" w:cs="Times New Roman"/>
          <w:sz w:val="24"/>
          <w:szCs w:val="24"/>
        </w:rPr>
      </w:pPr>
    </w:p>
    <w:p w:rsidR="00E77F2B" w:rsidRPr="005838E8" w:rsidRDefault="0027215D">
      <w:pPr>
        <w:spacing w:after="0"/>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 xml:space="preserve">Table </w:t>
      </w:r>
      <w:r w:rsidR="005838E8" w:rsidRPr="005838E8">
        <w:rPr>
          <w:rFonts w:ascii="Times New Roman" w:eastAsia="Times New Roman" w:hAnsi="Times New Roman" w:cs="Times New Roman"/>
          <w:b/>
          <w:sz w:val="24"/>
          <w:szCs w:val="24"/>
        </w:rPr>
        <w:t>3</w:t>
      </w:r>
      <w:r w:rsidRPr="005838E8">
        <w:rPr>
          <w:rFonts w:ascii="Times New Roman" w:eastAsia="Times New Roman" w:hAnsi="Times New Roman" w:cs="Times New Roman"/>
          <w:b/>
          <w:sz w:val="24"/>
          <w:szCs w:val="24"/>
        </w:rPr>
        <w:t>: Curriculum implementation gaps (n=90)</w:t>
      </w:r>
    </w:p>
    <w:p w:rsidR="00E77F2B" w:rsidRPr="005838E8" w:rsidRDefault="00E77F2B">
      <w:pPr>
        <w:spacing w:after="0"/>
        <w:rPr>
          <w:rFonts w:ascii="Times New Roman" w:eastAsia="Times New Roman" w:hAnsi="Times New Roman" w:cs="Times New Roman"/>
          <w:b/>
        </w:rPr>
      </w:pPr>
    </w:p>
    <w:tbl>
      <w:tblPr>
        <w:tblStyle w:val="a1"/>
        <w:tblW w:w="9861" w:type="dxa"/>
        <w:jc w:val="center"/>
        <w:tblInd w:w="0" w:type="dxa"/>
        <w:tblLayout w:type="fixed"/>
        <w:tblLook w:val="0400" w:firstRow="0" w:lastRow="0" w:firstColumn="0" w:lastColumn="0" w:noHBand="0" w:noVBand="1"/>
      </w:tblPr>
      <w:tblGrid>
        <w:gridCol w:w="2774"/>
        <w:gridCol w:w="709"/>
        <w:gridCol w:w="708"/>
        <w:gridCol w:w="567"/>
        <w:gridCol w:w="709"/>
        <w:gridCol w:w="567"/>
        <w:gridCol w:w="709"/>
        <w:gridCol w:w="567"/>
        <w:gridCol w:w="709"/>
        <w:gridCol w:w="567"/>
        <w:gridCol w:w="651"/>
        <w:gridCol w:w="624"/>
      </w:tblGrid>
      <w:tr w:rsidR="00E77F2B" w:rsidRPr="005838E8">
        <w:trPr>
          <w:trHeight w:val="168"/>
          <w:jc w:val="center"/>
        </w:trPr>
        <w:tc>
          <w:tcPr>
            <w:tcW w:w="2774"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Statements</w:t>
            </w:r>
          </w:p>
        </w:tc>
        <w:tc>
          <w:tcPr>
            <w:tcW w:w="6463" w:type="dxa"/>
            <w:gridSpan w:val="10"/>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rPr>
            </w:pPr>
            <w:r w:rsidRPr="005838E8">
              <w:rPr>
                <w:rFonts w:ascii="Times New Roman" w:eastAsia="Times New Roman" w:hAnsi="Times New Roman" w:cs="Times New Roman"/>
                <w:sz w:val="24"/>
                <w:szCs w:val="24"/>
              </w:rPr>
              <w:t>Response in Frequencies and Percentages</w:t>
            </w:r>
          </w:p>
        </w:tc>
        <w:tc>
          <w:tcPr>
            <w:tcW w:w="624" w:type="dxa"/>
            <w:vMerge w:val="restart"/>
            <w:tcBorders>
              <w:top w:val="single" w:sz="18" w:space="0" w:color="000000"/>
            </w:tcBorders>
          </w:tcPr>
          <w:p w:rsidR="00E77F2B" w:rsidRPr="005838E8" w:rsidRDefault="0027215D">
            <w:pPr>
              <w:spacing w:after="0"/>
              <w:jc w:val="both"/>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MEAN</w:t>
            </w:r>
          </w:p>
        </w:tc>
      </w:tr>
      <w:tr w:rsidR="00E77F2B" w:rsidRPr="005838E8">
        <w:trPr>
          <w:trHeight w:val="168"/>
          <w:jc w:val="center"/>
        </w:trPr>
        <w:tc>
          <w:tcPr>
            <w:tcW w:w="2774"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17"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SD</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D</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U</w:t>
            </w:r>
          </w:p>
        </w:tc>
        <w:tc>
          <w:tcPr>
            <w:tcW w:w="1276"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A</w:t>
            </w:r>
          </w:p>
        </w:tc>
        <w:tc>
          <w:tcPr>
            <w:tcW w:w="1218"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SA</w:t>
            </w:r>
          </w:p>
        </w:tc>
        <w:tc>
          <w:tcPr>
            <w:tcW w:w="624"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r>
      <w:tr w:rsidR="00E77F2B" w:rsidRPr="005838E8">
        <w:trPr>
          <w:trHeight w:val="168"/>
          <w:jc w:val="center"/>
        </w:trPr>
        <w:tc>
          <w:tcPr>
            <w:tcW w:w="2774"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8"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651" w:type="dxa"/>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624"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rPr>
            </w:pPr>
          </w:p>
        </w:tc>
      </w:tr>
      <w:tr w:rsidR="00E77F2B" w:rsidRPr="005838E8">
        <w:trPr>
          <w:jc w:val="center"/>
        </w:trPr>
        <w:tc>
          <w:tcPr>
            <w:tcW w:w="2774" w:type="dxa"/>
            <w:tcBorders>
              <w:top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Availability of curriculum which insist competency-based learning activities </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8"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60</w:t>
            </w:r>
          </w:p>
        </w:tc>
        <w:tc>
          <w:tcPr>
            <w:tcW w:w="651"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66.7</w:t>
            </w:r>
          </w:p>
        </w:tc>
        <w:tc>
          <w:tcPr>
            <w:tcW w:w="624"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3.83</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consider teaching students interconnectedness of environmental, social, and economic factors for all subjects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3.90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participate on professional development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24</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Students create educational portfolios</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integrate technology in teaching and learning process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2.97</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Peer learning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3.87</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Students make discussion in learning process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4.10</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Students get time to practice hands-on projects such as bee keeping, vegetable gardens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39</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24</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2.83</w:t>
            </w:r>
          </w:p>
        </w:tc>
      </w:tr>
      <w:tr w:rsidR="00E77F2B" w:rsidRPr="005838E8">
        <w:trPr>
          <w:jc w:val="center"/>
        </w:trPr>
        <w:tc>
          <w:tcPr>
            <w:tcW w:w="2774"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prepare lesson schemes of work by using computers </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708"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651"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624"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2.63</w:t>
            </w:r>
          </w:p>
        </w:tc>
      </w:tr>
      <w:tr w:rsidR="00E77F2B" w:rsidRPr="005838E8">
        <w:trPr>
          <w:jc w:val="center"/>
        </w:trPr>
        <w:tc>
          <w:tcPr>
            <w:tcW w:w="2774"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Teachers integrate components of technology </w:t>
            </w:r>
            <w:r w:rsidRPr="005838E8">
              <w:rPr>
                <w:rFonts w:ascii="Times New Roman" w:eastAsia="Times New Roman" w:hAnsi="Times New Roman" w:cs="Times New Roman"/>
              </w:rPr>
              <w:lastRenderedPageBreak/>
              <w:t xml:space="preserve">application, social activities and environmental aspects in subject schemes of work, and subject lesson plans </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lastRenderedPageBreak/>
              <w:t>39</w:t>
            </w:r>
          </w:p>
        </w:tc>
        <w:tc>
          <w:tcPr>
            <w:tcW w:w="708"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43.3</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9</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51"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24"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3.70</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The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the majority of respondents, 45 (50%) agreed, and 24 (26.7%) strongly agreed at a score mean of 3.83 with the statement that availability of curriculum which insist competency-based learning activities. Furthermore, regarding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revealed that the majority of teachers, 45 (50%) agreed and 27 (30%) strongly agreed with the statement that teachers consider teaching students interconnectedness of environmental, social, and economic factors for all subjects at a mean score of 3.90. Likewise,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many teachers, 45 (50%) agreed, and 24 (26.7%) strongly agreed with the statement that teachers participate in professional development while scoring a mean of 3.80. Moreover,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the data demonstrate that the majority of respondents, 42 (46.7%) agreed, and 27 (30%) strongly agreed at 3.80 as the mean score that a new curriculum insists students to create educational portfolios.  These data imply that there is a competency – based curriculum that emphasizes that teachers should embed content that reflects the student's life in the realms of society, economy, use of technology and environmental advocacy to promote several skills of the 21st century including critical thinking through students' reflective programs. This is made possible by the reality of the needs of the modern world that wants everyone to have mixed knowledge to enable them to compete in the modern world by learning holistically. The study by </w:t>
      </w:r>
      <w:proofErr w:type="spellStart"/>
      <w:r w:rsidRPr="005838E8">
        <w:rPr>
          <w:rFonts w:ascii="Times New Roman" w:eastAsia="Times New Roman" w:hAnsi="Times New Roman" w:cs="Times New Roman"/>
          <w:sz w:val="24"/>
          <w:szCs w:val="24"/>
        </w:rPr>
        <w:t>Mwaikokesya</w:t>
      </w:r>
      <w:proofErr w:type="spellEnd"/>
      <w:r w:rsidRPr="005838E8">
        <w:rPr>
          <w:rFonts w:ascii="Times New Roman" w:eastAsia="Times New Roman" w:hAnsi="Times New Roman" w:cs="Times New Roman"/>
          <w:sz w:val="24"/>
          <w:szCs w:val="24"/>
        </w:rPr>
        <w:t xml:space="preserve"> (2024) insists on the importance of adopting a flexible curriculum to meet the needs of the student in all aspects of the student's life. This infers that the curriculum must facilitate a learner with life-long skills to the learners to align with sustainable goals. When commenting on the existence of a curriculum that aligns with technology, district focal point person stated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"The new curriculum is very much based on competence and technology. If you look closely at the revised curriculum of 2023, you will see that it aims to prepare the student to be independent in all areas of life, hence, it is very helpful in promoting sustainable skills</w:t>
      </w:r>
      <w:r w:rsidRPr="005838E8">
        <w:rPr>
          <w:rFonts w:ascii="Times New Roman" w:eastAsia="Times New Roman" w:hAnsi="Times New Roman" w:cs="Times New Roman"/>
          <w:sz w:val="24"/>
          <w:szCs w:val="24"/>
        </w:rPr>
        <w:t>" (Interview, D-ESP-FPP, 17/03/2025).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From the finding of D-ESP-FPP it is obvious that there was a gap in the implementation process of the learning activities of the curriculum. This gap was probably caused by the lack of a curriculum that was supposed to reflect the general student's life. This fact is further aligned with the study by Bray et al. (2024) that, in order to meet the needs of diverse learners, the Universal Design for Learning (UDL) curriculum is important. This implies that the best curriculum focuses on the design of flexible and accessible learning experiences for all students, regardless of learner characteristics. This is because the curriculum must reflect and meet students’ long and short-term life needs.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Furthermore, in observation from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the data shows that many respondents, 51 (56.7%) agreed, and 21 (23.3%) strongly agreed at a point of 3.87 as a mean score that the new curriculum insists on peer learning among students. Correspondingly, the data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w:t>
      </w:r>
      <w:r w:rsidRPr="005838E8">
        <w:rPr>
          <w:rFonts w:ascii="Times New Roman" w:eastAsia="Times New Roman" w:hAnsi="Times New Roman" w:cs="Times New Roman"/>
          <w:sz w:val="24"/>
          <w:szCs w:val="24"/>
        </w:rPr>
        <w:lastRenderedPageBreak/>
        <w:t>demonstrates that many respondents, 30 (33.3%) agreed and, 42</w:t>
      </w:r>
      <w:r w:rsidRPr="005838E8">
        <w:rPr>
          <w:rFonts w:ascii="Times New Roman" w:eastAsia="Times New Roman" w:hAnsi="Times New Roman" w:cs="Times New Roman"/>
          <w:sz w:val="24"/>
          <w:szCs w:val="24"/>
        </w:rPr>
        <w:tab/>
        <w:t xml:space="preserve">(46.7%) strongly agreed with the statement at a mean score of 4.10 that students make discussion in the learning process. Likewise, the information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indicates that majority of respondents, 60</w:t>
      </w:r>
      <w:r w:rsidRPr="005838E8">
        <w:rPr>
          <w:rFonts w:ascii="Times New Roman" w:eastAsia="Times New Roman" w:hAnsi="Times New Roman" w:cs="Times New Roman"/>
          <w:sz w:val="24"/>
          <w:szCs w:val="24"/>
        </w:rPr>
        <w:tab/>
        <w:t xml:space="preserve">(66.7%) at a mean score of 3.83 strongly agreed that there is availability of curriculum which insist competency-based learning activities. Additionally, information displayed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many respondents, 39 (43.3%) strongly disagreed, and 24 (26.7%) with the contention that students get time to practice hands-on projects such as bee keeping, vegetable gardens at the lowest mean score of 2.83. The implied meaning in information from respondents displayed indicates that the Tanzania new curriculum of 2023 allows peer learning and discussion strategies among students, although the obstacle relating to the lack of creativity to allocate time to carry out hands-on activities that students have discussed and learned theoretically. This challenge is probably due to the scarcity of expertise in using the competency-based curriculum and/or lack of creative implementation, and sometimes it is the lack of materials to implement those experiential learning activities embedded in revised curriculum. In supporting the argument about teaching and learning strategies for the competency – based curriculum, Al-</w:t>
      </w:r>
      <w:proofErr w:type="spellStart"/>
      <w:r w:rsidRPr="005838E8">
        <w:rPr>
          <w:rFonts w:ascii="Times New Roman" w:eastAsia="Times New Roman" w:hAnsi="Times New Roman" w:cs="Times New Roman"/>
          <w:sz w:val="24"/>
          <w:szCs w:val="24"/>
        </w:rPr>
        <w:t>Haimi</w:t>
      </w:r>
      <w:proofErr w:type="spellEnd"/>
      <w:r w:rsidRPr="005838E8">
        <w:rPr>
          <w:rFonts w:ascii="Times New Roman" w:eastAsia="Times New Roman" w:hAnsi="Times New Roman" w:cs="Times New Roman"/>
          <w:sz w:val="24"/>
          <w:szCs w:val="24"/>
        </w:rPr>
        <w:t xml:space="preserve"> et al. (2024) noted that discussion, peer learning and flipped classroom are commonly used strategies to enable students to acquire the right skills for the world of sustainable development. One student in FGD witnessed this: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"In the new curriculum, the teachers teach us with real examples, they take us outside the classrooms to look at examples of scientific issues, but the time to do scientific study is limited, and we are often given a lot of writing tasks instead of doing actions. In our school we don't have scientific equipment, we study a lot of theories"</w:t>
      </w:r>
      <w:r w:rsidRPr="005838E8">
        <w:rPr>
          <w:rFonts w:ascii="Times New Roman" w:eastAsia="Times New Roman" w:hAnsi="Times New Roman" w:cs="Times New Roman"/>
          <w:sz w:val="24"/>
          <w:szCs w:val="24"/>
        </w:rPr>
        <w:t xml:space="preserve"> (FGD, Student D, 17/03/2025).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With this finding from the student, it shows that the time for practical study is limited. The prevalent reason for studying activities in a short time is the lack of equipment to carry out hands-on activities in real-world settings that intend to build skills for sustainable development such creativeness among students. </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To comment on the quality of the curriculum, one head teacher also claimed that: </w:t>
      </w:r>
    </w:p>
    <w:p w:rsidR="00E77F2B" w:rsidRPr="005838E8" w:rsidRDefault="0027215D">
      <w:pPr>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"The curriculum is well improved, students need to study practically, the problem is that teachers do not get training in practical teaching skills, lack of a sufficient time schedule (the session is only 40 minutes), lack of money and equipment to facilitate the practical exercise for students"</w:t>
      </w:r>
      <w:r w:rsidRPr="005838E8">
        <w:rPr>
          <w:rFonts w:ascii="Times New Roman" w:eastAsia="Times New Roman" w:hAnsi="Times New Roman" w:cs="Times New Roman"/>
          <w:sz w:val="24"/>
          <w:szCs w:val="24"/>
        </w:rPr>
        <w:t xml:space="preserve"> (Interview, HT B, 17/03/2025).</w:t>
      </w:r>
    </w:p>
    <w:p w:rsidR="00E77F2B" w:rsidRPr="005838E8" w:rsidRDefault="0027215D">
      <w:pPr>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finding from the HT reminds that this new education curriculum of 2023 requires careful investment in terms of finance, human resources and intensive training for teachers to achieve the goal of providing students with the target skills in complete packages. The main reason for the delay and setbacks in the implementation of the new curriculum is probably because it is the initial stages of implementation at a time when the government continues to expand the scope of </w:t>
      </w:r>
      <w:r w:rsidRPr="005838E8">
        <w:rPr>
          <w:rFonts w:ascii="Times New Roman" w:eastAsia="Times New Roman" w:hAnsi="Times New Roman" w:cs="Times New Roman"/>
          <w:sz w:val="24"/>
          <w:szCs w:val="24"/>
        </w:rPr>
        <w:lastRenderedPageBreak/>
        <w:t xml:space="preserve">resources to implement this competency – based curriculum. Additionally, the SLT in confirming the importance of considering time, calls on education practitioners that in order to accomplish any package of complete skills for a student, it is necessary to invest in time and collaborative ventures as motivation factors (Da Silva-Jean &amp; </w:t>
      </w:r>
      <w:proofErr w:type="spellStart"/>
      <w:r w:rsidRPr="005838E8">
        <w:rPr>
          <w:rFonts w:ascii="Times New Roman" w:eastAsia="Times New Roman" w:hAnsi="Times New Roman" w:cs="Times New Roman"/>
          <w:sz w:val="24"/>
          <w:szCs w:val="24"/>
        </w:rPr>
        <w:t>Kneippb</w:t>
      </w:r>
      <w:proofErr w:type="spellEnd"/>
      <w:r w:rsidRPr="005838E8">
        <w:rPr>
          <w:rFonts w:ascii="Times New Roman" w:eastAsia="Times New Roman" w:hAnsi="Times New Roman" w:cs="Times New Roman"/>
          <w:sz w:val="24"/>
          <w:szCs w:val="24"/>
        </w:rPr>
        <w:t xml:space="preserve">, 2024).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From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the statistics indicates that many respondents, 33 (36.7%) strongly disagreed, and 21 (23.3%) disagreed at a lower mean score of 2.97 with the statement that teachers integrate technology in teaching and learning process. Similarly, the statistics from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indicate that several respondents, 33 (36.7%) strongly disagreed, and 21 (23.3%) disagreed with the statement that teachers prepare lesson schemes of work by using computers with a low mean score of 2.63. Moreover, records in Table </w:t>
      </w:r>
      <w:r w:rsidR="005838E8" w:rsidRPr="005838E8">
        <w:rPr>
          <w:rFonts w:ascii="Times New Roman" w:eastAsia="Times New Roman" w:hAnsi="Times New Roman" w:cs="Times New Roman"/>
          <w:sz w:val="24"/>
          <w:szCs w:val="24"/>
        </w:rPr>
        <w:t>3</w:t>
      </w:r>
      <w:r w:rsidRPr="005838E8">
        <w:rPr>
          <w:rFonts w:ascii="Times New Roman" w:eastAsia="Times New Roman" w:hAnsi="Times New Roman" w:cs="Times New Roman"/>
          <w:sz w:val="24"/>
          <w:szCs w:val="24"/>
        </w:rPr>
        <w:t xml:space="preserve"> confirm that many respondents, 39 (43.3%) strongly disagreed, and 27 (30%) disagreed with the statement about teachers to integrate components of technology application, social activities and environmental aspects in subject schemes of work, and subject lesson plans at the moderate score mean of 3.70. The displayed information from Table demonstrates that technology is not used much in educational matters, and is further noted that technology is not a priority in implementing the education curriculum apart from the fact that there are several policies and guidelines for the use of technology in the education sector. Technology brings out the best education practices when precisely integrated (Akers et al., 2024). This suggests that the presence of technological tools such as laptops, tablets, projectors, digital cameras, and other relevant scientific instruments, makes education transactions live in the real-world of digitalization. This is the fact that technology improves learning experiences, filling in curriculum gaps, thus improving accessibility and engagement with course materials. To reveal underutilization of technology in classroom settings, one HT claimed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i/>
          <w:sz w:val="24"/>
          <w:szCs w:val="24"/>
        </w:rPr>
        <w:t>“Our education leaders in charge of education forbid the use of technology in the preparation of teaching documents. If they find that you have prepared resolutions and lesson preparations through the computer, they consider you to be unprepared to teach, and they give you a short time to prepare a copy with pen and paper"</w:t>
      </w:r>
      <w:r w:rsidRPr="005838E8">
        <w:rPr>
          <w:rFonts w:ascii="Times New Roman" w:eastAsia="Times New Roman" w:hAnsi="Times New Roman" w:cs="Times New Roman"/>
          <w:sz w:val="24"/>
          <w:szCs w:val="24"/>
        </w:rPr>
        <w:t xml:space="preserve"> (Interview, HT E, 17/03/2025).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With the light from the HT’s finding there is a clear sign that technology is prohibited by education administrators of several levels in the region contrary to the ICT policy and guidelines of Tanzania. The reason for the prohibition of using technology in the teaching and learning process is based on the information that teachers have to download materials online and use them in school. Moreover, these authorities claim that the teachers copy and paste from the internet. This is a sign of the lack of professional instruction of the leaders in using technology in education, and there is no professional development from the leaders of education even though all the teachers have tablets distributed by the government of the United Republic of Tanzania in 2023.</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5.1.3 Assessment of</w:t>
      </w:r>
      <w:r w:rsidRPr="005838E8">
        <w:rPr>
          <w:rFonts w:ascii="Times New Roman" w:eastAsia="Times New Roman" w:hAnsi="Times New Roman" w:cs="Times New Roman"/>
          <w:sz w:val="24"/>
          <w:szCs w:val="24"/>
        </w:rPr>
        <w:t xml:space="preserve"> </w:t>
      </w:r>
      <w:r w:rsidRPr="005838E8">
        <w:rPr>
          <w:rFonts w:ascii="Times New Roman" w:eastAsia="Times New Roman" w:hAnsi="Times New Roman" w:cs="Times New Roman"/>
          <w:b/>
          <w:sz w:val="24"/>
          <w:szCs w:val="24"/>
        </w:rPr>
        <w:t>curriculum implementation gaps</w:t>
      </w:r>
    </w:p>
    <w:p w:rsidR="00E77F2B" w:rsidRPr="005838E8" w:rsidRDefault="0027215D">
      <w:pPr>
        <w:spacing w:after="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This sub-section of the first specific objective of the study examined the existence of the curriculum implementation gaps which hinder the promotion of sustainable development skills to students. The remarkable curriculum implementation gaps under the government organization </w:t>
      </w:r>
      <w:r w:rsidRPr="005838E8">
        <w:rPr>
          <w:rFonts w:ascii="Times New Roman" w:eastAsia="Times New Roman" w:hAnsi="Times New Roman" w:cs="Times New Roman"/>
          <w:sz w:val="24"/>
          <w:szCs w:val="24"/>
        </w:rPr>
        <w:lastRenderedPageBreak/>
        <w:t xml:space="preserve">and supervision were assessed through questionnaires administered to teachers. The results are shown in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w:t>
      </w:r>
    </w:p>
    <w:p w:rsidR="00E77F2B" w:rsidRPr="005838E8" w:rsidRDefault="00E77F2B">
      <w:pPr>
        <w:spacing w:after="0"/>
        <w:rPr>
          <w:rFonts w:ascii="Times New Roman" w:eastAsia="Times New Roman" w:hAnsi="Times New Roman" w:cs="Times New Roman"/>
          <w:b/>
          <w:sz w:val="24"/>
          <w:szCs w:val="24"/>
        </w:rPr>
      </w:pPr>
    </w:p>
    <w:p w:rsidR="00E77F2B" w:rsidRPr="005838E8" w:rsidRDefault="0027215D">
      <w:pPr>
        <w:spacing w:after="0"/>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 xml:space="preserve">Table </w:t>
      </w:r>
      <w:r w:rsidR="005838E8" w:rsidRPr="005838E8">
        <w:rPr>
          <w:rFonts w:ascii="Times New Roman" w:eastAsia="Times New Roman" w:hAnsi="Times New Roman" w:cs="Times New Roman"/>
          <w:b/>
          <w:sz w:val="24"/>
          <w:szCs w:val="24"/>
        </w:rPr>
        <w:t>4</w:t>
      </w:r>
      <w:r w:rsidRPr="005838E8">
        <w:rPr>
          <w:rFonts w:ascii="Times New Roman" w:eastAsia="Times New Roman" w:hAnsi="Times New Roman" w:cs="Times New Roman"/>
          <w:b/>
          <w:sz w:val="24"/>
          <w:szCs w:val="24"/>
        </w:rPr>
        <w:t>: Curriculum implementation gaps - Hands –on learning experience under government supervision (n=90)</w:t>
      </w:r>
    </w:p>
    <w:tbl>
      <w:tblPr>
        <w:tblStyle w:val="a2"/>
        <w:tblW w:w="9795" w:type="dxa"/>
        <w:tblInd w:w="-367" w:type="dxa"/>
        <w:tblLayout w:type="fixed"/>
        <w:tblLook w:val="0400" w:firstRow="0" w:lastRow="0" w:firstColumn="0" w:lastColumn="0" w:noHBand="0" w:noVBand="1"/>
      </w:tblPr>
      <w:tblGrid>
        <w:gridCol w:w="2770"/>
        <w:gridCol w:w="567"/>
        <w:gridCol w:w="709"/>
        <w:gridCol w:w="567"/>
        <w:gridCol w:w="709"/>
        <w:gridCol w:w="567"/>
        <w:gridCol w:w="708"/>
        <w:gridCol w:w="567"/>
        <w:gridCol w:w="709"/>
        <w:gridCol w:w="567"/>
        <w:gridCol w:w="709"/>
        <w:gridCol w:w="646"/>
      </w:tblGrid>
      <w:tr w:rsidR="00E77F2B" w:rsidRPr="005838E8">
        <w:trPr>
          <w:trHeight w:val="168"/>
        </w:trPr>
        <w:tc>
          <w:tcPr>
            <w:tcW w:w="2770" w:type="dxa"/>
            <w:vMerge w:val="restart"/>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Statements</w:t>
            </w:r>
          </w:p>
        </w:tc>
        <w:tc>
          <w:tcPr>
            <w:tcW w:w="6379" w:type="dxa"/>
            <w:gridSpan w:val="10"/>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rPr>
            </w:pPr>
            <w:r w:rsidRPr="005838E8">
              <w:rPr>
                <w:rFonts w:ascii="Times New Roman" w:eastAsia="Times New Roman" w:hAnsi="Times New Roman" w:cs="Times New Roman"/>
              </w:rPr>
              <w:t>Response in Frequencies and Percentages</w:t>
            </w:r>
          </w:p>
        </w:tc>
        <w:tc>
          <w:tcPr>
            <w:tcW w:w="646" w:type="dxa"/>
            <w:vMerge w:val="restart"/>
            <w:tcBorders>
              <w:top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MEAN</w:t>
            </w:r>
          </w:p>
        </w:tc>
      </w:tr>
      <w:tr w:rsidR="00E77F2B" w:rsidRPr="005838E8">
        <w:trPr>
          <w:trHeight w:val="168"/>
        </w:trPr>
        <w:tc>
          <w:tcPr>
            <w:tcW w:w="277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SD</w:t>
            </w:r>
          </w:p>
        </w:tc>
        <w:tc>
          <w:tcPr>
            <w:tcW w:w="1276"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D</w:t>
            </w:r>
          </w:p>
        </w:tc>
        <w:tc>
          <w:tcPr>
            <w:tcW w:w="1275" w:type="dxa"/>
            <w:gridSpan w:val="2"/>
            <w:tcBorders>
              <w:top w:val="single" w:sz="18" w:space="0" w:color="000000"/>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U</w:t>
            </w:r>
          </w:p>
        </w:tc>
        <w:tc>
          <w:tcPr>
            <w:tcW w:w="1276"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A</w:t>
            </w:r>
          </w:p>
        </w:tc>
        <w:tc>
          <w:tcPr>
            <w:tcW w:w="1276" w:type="dxa"/>
            <w:gridSpan w:val="2"/>
            <w:tcBorders>
              <w:top w:val="single" w:sz="18" w:space="0" w:color="000000"/>
              <w:bottom w:val="single" w:sz="18" w:space="0" w:color="000000"/>
            </w:tcBorders>
          </w:tcPr>
          <w:p w:rsidR="00E77F2B" w:rsidRPr="005838E8" w:rsidRDefault="0027215D">
            <w:pPr>
              <w:spacing w:after="0"/>
              <w:jc w:val="both"/>
              <w:rPr>
                <w:rFonts w:ascii="Times New Roman" w:eastAsia="Times New Roman" w:hAnsi="Times New Roman" w:cs="Times New Roman"/>
                <w:b/>
              </w:rPr>
            </w:pPr>
            <w:r w:rsidRPr="005838E8">
              <w:rPr>
                <w:rFonts w:ascii="Times New Roman" w:eastAsia="Times New Roman" w:hAnsi="Times New Roman" w:cs="Times New Roman"/>
                <w:b/>
              </w:rPr>
              <w:t>SA</w:t>
            </w:r>
          </w:p>
        </w:tc>
        <w:tc>
          <w:tcPr>
            <w:tcW w:w="646"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r>
      <w:tr w:rsidR="00E77F2B" w:rsidRPr="005838E8">
        <w:trPr>
          <w:trHeight w:val="168"/>
        </w:trPr>
        <w:tc>
          <w:tcPr>
            <w:tcW w:w="2770"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rPr>
            </w:pPr>
          </w:p>
        </w:tc>
        <w:tc>
          <w:tcPr>
            <w:tcW w:w="567"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8"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567"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f</w:t>
            </w:r>
          </w:p>
        </w:tc>
        <w:tc>
          <w:tcPr>
            <w:tcW w:w="709" w:type="dxa"/>
            <w:tcBorders>
              <w:top w:val="single" w:sz="18" w:space="0" w:color="000000"/>
              <w:bottom w:val="single" w:sz="18" w:space="0" w:color="000000"/>
            </w:tcBorders>
          </w:tcPr>
          <w:p w:rsidR="00E77F2B" w:rsidRPr="005838E8" w:rsidRDefault="0027215D">
            <w:pPr>
              <w:spacing w:after="0"/>
              <w:jc w:val="center"/>
              <w:rPr>
                <w:rFonts w:ascii="Times New Roman" w:eastAsia="Times New Roman" w:hAnsi="Times New Roman" w:cs="Times New Roman"/>
                <w:b/>
                <w:i/>
              </w:rPr>
            </w:pPr>
            <w:r w:rsidRPr="005838E8">
              <w:rPr>
                <w:rFonts w:ascii="Times New Roman" w:eastAsia="Times New Roman" w:hAnsi="Times New Roman" w:cs="Times New Roman"/>
                <w:b/>
                <w:i/>
              </w:rPr>
              <w:t>%</w:t>
            </w:r>
          </w:p>
        </w:tc>
        <w:tc>
          <w:tcPr>
            <w:tcW w:w="646"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rPr>
            </w:pP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Students learn bee keeping in fields</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51.1</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9"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567" w:type="dxa"/>
            <w:tcBorders>
              <w:top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708"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22.2</w:t>
            </w:r>
          </w:p>
        </w:tc>
        <w:tc>
          <w:tcPr>
            <w:tcW w:w="567"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7</w:t>
            </w:r>
          </w:p>
        </w:tc>
        <w:tc>
          <w:tcPr>
            <w:tcW w:w="709"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7.8</w:t>
            </w:r>
          </w:p>
        </w:tc>
        <w:tc>
          <w:tcPr>
            <w:tcW w:w="567"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w:t>
            </w:r>
          </w:p>
        </w:tc>
        <w:tc>
          <w:tcPr>
            <w:tcW w:w="709"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w:t>
            </w:r>
          </w:p>
        </w:tc>
        <w:tc>
          <w:tcPr>
            <w:tcW w:w="646" w:type="dxa"/>
            <w:tcBorders>
              <w:top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1.93</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Teachers plan for tour learning</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2.2</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2.34</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Students work for vegetable projects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4.26</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In-house workshops for teachers, parents and students for school development</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45.6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12.2</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12</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13.3</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3.14</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Education officers make follow-ups for project-based learning</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40</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6.7</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2.94</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Scientific application of school lands for school developments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34.4</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31.1</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Planting food crops under government projects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27.8</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23.3</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8.9</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3.18</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Fish keeping projects at school under government supervision</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38</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42.2</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25.6</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16.7</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0</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2.06</w:t>
            </w:r>
          </w:p>
        </w:tc>
      </w:tr>
      <w:tr w:rsidR="00E77F2B" w:rsidRPr="005838E8">
        <w:tc>
          <w:tcPr>
            <w:tcW w:w="2770" w:type="dxa"/>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School committee for government projects such as fish and bee keeping, and school farms and gardens</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36.7</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26</w:t>
            </w:r>
          </w:p>
        </w:tc>
        <w:tc>
          <w:tcPr>
            <w:tcW w:w="709"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28.9</w:t>
            </w:r>
          </w:p>
        </w:tc>
        <w:tc>
          <w:tcPr>
            <w:tcW w:w="567" w:type="dxa"/>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w:t>
            </w:r>
          </w:p>
        </w:tc>
        <w:tc>
          <w:tcPr>
            <w:tcW w:w="708"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5.6</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646" w:type="dxa"/>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3.59</w:t>
            </w:r>
          </w:p>
        </w:tc>
      </w:tr>
      <w:tr w:rsidR="00E77F2B" w:rsidRPr="005838E8">
        <w:tc>
          <w:tcPr>
            <w:tcW w:w="2770"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rPr>
            </w:pPr>
            <w:r w:rsidRPr="005838E8">
              <w:rPr>
                <w:rFonts w:ascii="Times New Roman" w:eastAsia="Times New Roman" w:hAnsi="Times New Roman" w:cs="Times New Roman"/>
              </w:rPr>
              <w:t xml:space="preserve">Students’ engagement for government school’ projects such as building classes and toilets </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30</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33.3</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19</w:t>
            </w:r>
          </w:p>
        </w:tc>
        <w:tc>
          <w:tcPr>
            <w:tcW w:w="709"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21.1</w:t>
            </w:r>
          </w:p>
        </w:tc>
        <w:tc>
          <w:tcPr>
            <w:tcW w:w="567" w:type="dxa"/>
            <w:tcBorders>
              <w:bottom w:val="single" w:sz="18" w:space="0" w:color="000000"/>
            </w:tcBorders>
            <w:shd w:val="clear" w:color="auto" w:fill="auto"/>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18</w:t>
            </w:r>
          </w:p>
        </w:tc>
        <w:tc>
          <w:tcPr>
            <w:tcW w:w="708"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20</w:t>
            </w:r>
          </w:p>
        </w:tc>
        <w:tc>
          <w:tcPr>
            <w:tcW w:w="567"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13</w:t>
            </w:r>
          </w:p>
        </w:tc>
        <w:tc>
          <w:tcPr>
            <w:tcW w:w="709"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14.4</w:t>
            </w:r>
          </w:p>
        </w:tc>
        <w:tc>
          <w:tcPr>
            <w:tcW w:w="567"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10</w:t>
            </w:r>
          </w:p>
        </w:tc>
        <w:tc>
          <w:tcPr>
            <w:tcW w:w="709"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11.1</w:t>
            </w:r>
          </w:p>
        </w:tc>
        <w:tc>
          <w:tcPr>
            <w:tcW w:w="646" w:type="dxa"/>
            <w:tcBorders>
              <w:bottom w:val="single" w:sz="18" w:space="0" w:color="000000"/>
            </w:tcBorders>
          </w:tcPr>
          <w:p w:rsidR="00E77F2B" w:rsidRPr="005838E8" w:rsidRDefault="0027215D">
            <w:pPr>
              <w:spacing w:after="0"/>
              <w:jc w:val="both"/>
              <w:rPr>
                <w:rFonts w:ascii="Times New Roman" w:eastAsia="Times New Roman" w:hAnsi="Times New Roman" w:cs="Times New Roman"/>
              </w:rPr>
            </w:pPr>
            <w:r w:rsidRPr="005838E8">
              <w:rPr>
                <w:rFonts w:ascii="Times New Roman" w:eastAsia="Times New Roman" w:hAnsi="Times New Roman" w:cs="Times New Roman"/>
              </w:rPr>
              <w:t>2.54</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In regard with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statistics demonstrate that the majority of respondents, 46 (51.1%) strongly disagreed at the lowest mean score of 1.93 with the statement that students learn bee keeping in fields. Likewise, in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many respondents, 35 (38.9%) strongly disagreed, and 25(27.8%) disagreed with the statement that teachers plan for tour learning at the low mean score of 2.34. Similarly, regarding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information establishes the fact that a large number of </w:t>
      </w:r>
      <w:r w:rsidRPr="005838E8">
        <w:rPr>
          <w:rFonts w:ascii="Times New Roman" w:eastAsia="Times New Roman" w:hAnsi="Times New Roman" w:cs="Times New Roman"/>
          <w:sz w:val="24"/>
          <w:szCs w:val="24"/>
        </w:rPr>
        <w:lastRenderedPageBreak/>
        <w:t xml:space="preserve">respondents, 42 (46.7%) strongly disagreed, and 35 (38.9%) disagreed with the proclamation that students work for vegetable projects at the mean score of 4.26. Concurrently, the data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indicates that the majority of respondents, 40 (44.4%) strongly disagreed, and 26 (28.9%) disagreed with a low mean score of 2.94 with the statement that education officers make follow-ups for </w:t>
      </w:r>
      <w:proofErr w:type="gramStart"/>
      <w:r w:rsidRPr="005838E8">
        <w:rPr>
          <w:rFonts w:ascii="Times New Roman" w:eastAsia="Times New Roman" w:hAnsi="Times New Roman" w:cs="Times New Roman"/>
          <w:sz w:val="24"/>
          <w:szCs w:val="24"/>
        </w:rPr>
        <w:t>project based</w:t>
      </w:r>
      <w:proofErr w:type="gramEnd"/>
      <w:r w:rsidRPr="005838E8">
        <w:rPr>
          <w:rFonts w:ascii="Times New Roman" w:eastAsia="Times New Roman" w:hAnsi="Times New Roman" w:cs="Times New Roman"/>
          <w:sz w:val="24"/>
          <w:szCs w:val="24"/>
        </w:rPr>
        <w:t xml:space="preserve"> learning. Simultaneously, the data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specifies that many respondents, 25 (27.8%) strongly disagreed, 23 (25.6%) disagreed, and 21 (23.3%) remained undecided with a mean score of 3.18 with the quotation that there are planting food crops under government projects. Moreover, the data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designates that a large number of respondents, 38 (42.2%) strongly disagreed, and 23 (25.6%) disagreed at a low mean score point of 2.06, that there were fish keeping projects at school under government supervision. These statistics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imply that hands-on learning activities under government schemes are not performing well. The reason for under performance of these hands-on activities may be due to the insufficient funds from government agencies investment and lack of expertise among teachers - the key implementers of curriculum. Additionally, this finding was further supported by </w:t>
      </w: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et al. (2024) that completing learning activities of the curriculum requires intensive and rigorous investment in funds, time and professional development for the education practitioners – mainly the teachers. This implies that hands-on learning activities are a relevant curriculum, characterized by global citizenship education that is implemented in a holistic nature, and is reflected in 21st century skills. This finding was also supported by one HT that: </w:t>
      </w:r>
      <w:r w:rsidRPr="005838E8">
        <w:rPr>
          <w:rFonts w:ascii="Times New Roman" w:eastAsia="Times New Roman" w:hAnsi="Times New Roman" w:cs="Times New Roman"/>
          <w:i/>
          <w:sz w:val="24"/>
          <w:szCs w:val="24"/>
        </w:rPr>
        <w:t>“Many government projects are focused on the construction and improvement of infrastructure such as classrooms, student toilets, teachers' houses and special classrooms for kindergarten students”</w:t>
      </w:r>
      <w:r w:rsidRPr="005838E8">
        <w:rPr>
          <w:rFonts w:ascii="Times New Roman" w:eastAsia="Times New Roman" w:hAnsi="Times New Roman" w:cs="Times New Roman"/>
          <w:sz w:val="24"/>
          <w:szCs w:val="24"/>
        </w:rPr>
        <w:t xml:space="preserve"> (Interview, HT F, 17/03/2025). Additionally, in FGD, a student explained that: “</w:t>
      </w:r>
      <w:r w:rsidRPr="005838E8">
        <w:rPr>
          <w:rFonts w:ascii="Times New Roman" w:eastAsia="Times New Roman" w:hAnsi="Times New Roman" w:cs="Times New Roman"/>
          <w:i/>
          <w:sz w:val="24"/>
          <w:szCs w:val="24"/>
        </w:rPr>
        <w:t>Here at the school, only the eco-schools projects provide us with opportunities to learn various life skills such as fish keeping, beekeeping and vegetable farming”</w:t>
      </w:r>
      <w:r w:rsidRPr="005838E8">
        <w:rPr>
          <w:rFonts w:ascii="Times New Roman" w:eastAsia="Times New Roman" w:hAnsi="Times New Roman" w:cs="Times New Roman"/>
          <w:sz w:val="24"/>
          <w:szCs w:val="24"/>
        </w:rPr>
        <w:t xml:space="preserve"> (FGD, Student G, 17/03/2025). These findings from HT and students denote that government projects rely majorly on supporting materials for implementing a curriculum, not other social and economic sustainable projects such as fish and beekeeping. The possible reason for not conducting development projects in public primary schools may fall under legal aspects, as there are no clear education acts supporting the development projects investment in schools.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Information in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indicate that many respondents, 41 (45.6%) strongly disagreed, and 26</w:t>
      </w:r>
      <w:r w:rsidRPr="005838E8">
        <w:rPr>
          <w:rFonts w:ascii="Times New Roman" w:eastAsia="Times New Roman" w:hAnsi="Times New Roman" w:cs="Times New Roman"/>
          <w:sz w:val="24"/>
          <w:szCs w:val="24"/>
        </w:rPr>
        <w:tab/>
        <w:t xml:space="preserve"> (28.9%) disagreed with the statement that schools conduct in-house workshops for teachers, parents and students for school development, hence scoring a mean of 3.14 points. Furthermore, the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statistics reveal that many teachers as respondents, 31 (34.4%) strongly disagreed, 28 (31.1%) disagreed, and 26 (28.9%) remained undecided in agreement status with the statement that there is a scientific application of school lands for school developments. Likewise,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statistics won a mean score of 3.59 with the 33 (36.7%) strongly in disagreement and 26 (28.9%) disagreement from respondents to the school committee for government projects such as fish and bee keeping, and school farms and gardens. Finally, a low score mean of 2.54 resulted from 30 (33.3%) strong disagreement from respondents with the assertion that there were student engagements for government school’ projects such as building classes and toilets. This information from Table </w:t>
      </w:r>
      <w:r w:rsidR="005838E8" w:rsidRPr="005838E8">
        <w:rPr>
          <w:rFonts w:ascii="Times New Roman" w:eastAsia="Times New Roman" w:hAnsi="Times New Roman" w:cs="Times New Roman"/>
          <w:sz w:val="24"/>
          <w:szCs w:val="24"/>
        </w:rPr>
        <w:t>4</w:t>
      </w:r>
      <w:r w:rsidRPr="005838E8">
        <w:rPr>
          <w:rFonts w:ascii="Times New Roman" w:eastAsia="Times New Roman" w:hAnsi="Times New Roman" w:cs="Times New Roman"/>
          <w:sz w:val="24"/>
          <w:szCs w:val="24"/>
        </w:rPr>
        <w:t xml:space="preserve"> describes less professional development and collaborative strategies for both students and other education development stakeholders for government projects. This finding may be a result of policy gaps about holistic and rigor measures of including students in government projects. Contrary to reality from these findings, the study by </w:t>
      </w:r>
      <w:proofErr w:type="spellStart"/>
      <w:r w:rsidRPr="005838E8">
        <w:rPr>
          <w:rFonts w:ascii="Times New Roman" w:eastAsia="Times New Roman" w:hAnsi="Times New Roman" w:cs="Times New Roman"/>
          <w:sz w:val="24"/>
          <w:szCs w:val="24"/>
        </w:rPr>
        <w:t>Ngeze</w:t>
      </w:r>
      <w:proofErr w:type="spellEnd"/>
      <w:r w:rsidRPr="005838E8">
        <w:rPr>
          <w:rFonts w:ascii="Times New Roman" w:eastAsia="Times New Roman" w:hAnsi="Times New Roman" w:cs="Times New Roman"/>
          <w:sz w:val="24"/>
          <w:szCs w:val="24"/>
        </w:rPr>
        <w:t xml:space="preserve"> and </w:t>
      </w:r>
      <w:proofErr w:type="spellStart"/>
      <w:r w:rsidRPr="005838E8">
        <w:rPr>
          <w:rFonts w:ascii="Times New Roman" w:eastAsia="Times New Roman" w:hAnsi="Times New Roman" w:cs="Times New Roman"/>
          <w:sz w:val="24"/>
          <w:szCs w:val="24"/>
        </w:rPr>
        <w:t>Iyer</w:t>
      </w:r>
      <w:proofErr w:type="spellEnd"/>
      <w:r w:rsidRPr="005838E8">
        <w:rPr>
          <w:rFonts w:ascii="Times New Roman" w:eastAsia="Times New Roman" w:hAnsi="Times New Roman" w:cs="Times New Roman"/>
          <w:sz w:val="24"/>
          <w:szCs w:val="24"/>
        </w:rPr>
        <w:t xml:space="preserve">, (2023) suggested to the school management to adopt the cascade model as a whole-school </w:t>
      </w:r>
      <w:r w:rsidRPr="005838E8">
        <w:rPr>
          <w:rFonts w:ascii="Times New Roman" w:eastAsia="Times New Roman" w:hAnsi="Times New Roman" w:cs="Times New Roman"/>
          <w:sz w:val="24"/>
          <w:szCs w:val="24"/>
        </w:rPr>
        <w:lastRenderedPageBreak/>
        <w:t xml:space="preserve">approach to expand the wide range of participation, including students as key stakeholders as for this case. In confirming the students’ exclusion in most government projects, one HT pinpointed that: </w:t>
      </w:r>
    </w:p>
    <w:p w:rsidR="00E77F2B" w:rsidRPr="005838E8" w:rsidRDefault="0027215D">
      <w:pPr>
        <w:spacing w:line="240" w:lineRule="auto"/>
        <w:ind w:left="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w:t>
      </w:r>
      <w:r w:rsidRPr="005838E8">
        <w:rPr>
          <w:rFonts w:ascii="Times New Roman" w:eastAsia="Times New Roman" w:hAnsi="Times New Roman" w:cs="Times New Roman"/>
          <w:i/>
          <w:sz w:val="24"/>
          <w:szCs w:val="24"/>
        </w:rPr>
        <w:t>In government projects, that are mostly concerned with the construction of infrastructure, the student is not mentioned anywhere in the groups to participate in the projects. Stakeholders involved in projects, such as construction, are the head teacher, finance teacher, building engineer from the district, and members from the village government where the school is located</w:t>
      </w:r>
      <w:r w:rsidRPr="005838E8">
        <w:rPr>
          <w:rFonts w:ascii="Times New Roman" w:eastAsia="Times New Roman" w:hAnsi="Times New Roman" w:cs="Times New Roman"/>
          <w:sz w:val="24"/>
          <w:szCs w:val="24"/>
        </w:rPr>
        <w:t xml:space="preserve"> (Interview, HT F, 17/03/2025).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This finding from HT shows that in government projects, the students do not participate in any developmental decisions – making process other than being considered a direct beneficiary of the projects. However, this government strategy of excluding learners in project implementation contradicts the requirements of Social Learning Theory which requires the student to collaborate with other education stakeholders so that he can build appropriate 21</w:t>
      </w:r>
      <w:r w:rsidRPr="005838E8">
        <w:rPr>
          <w:rFonts w:ascii="Times New Roman" w:eastAsia="Times New Roman" w:hAnsi="Times New Roman" w:cs="Times New Roman"/>
          <w:sz w:val="24"/>
          <w:szCs w:val="24"/>
          <w:vertAlign w:val="superscript"/>
        </w:rPr>
        <w:t>st</w:t>
      </w:r>
      <w:r w:rsidRPr="005838E8">
        <w:rPr>
          <w:rFonts w:ascii="Times New Roman" w:eastAsia="Times New Roman" w:hAnsi="Times New Roman" w:cs="Times New Roman"/>
          <w:sz w:val="24"/>
          <w:szCs w:val="24"/>
        </w:rPr>
        <w:t xml:space="preserve"> century skills and other related experiences through direct participation (Culver et al., 2024). </w:t>
      </w:r>
    </w:p>
    <w:p w:rsidR="00E77F2B" w:rsidRPr="005838E8" w:rsidRDefault="0027215D">
      <w:pPr>
        <w:spacing w:line="240" w:lineRule="auto"/>
        <w:jc w:val="both"/>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5.2 Evaluating the academic impacts of the Eco-Schools Programme to students</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Under this second specific objective of the study, the hands-on learning activities under ESP are closely observed. The objective examines how the competency-based curriculum is supplemented through ESP, how the program involves students as the whole-school approach, and evaluates the strategies used by the programme to enrich students’ academic achievements through hands-on activities to promote sustainable development skills among students. </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 xml:space="preserve">Table </w:t>
      </w:r>
      <w:r w:rsidR="005838E8" w:rsidRPr="005838E8">
        <w:rPr>
          <w:rFonts w:ascii="Times New Roman" w:eastAsia="Times New Roman" w:hAnsi="Times New Roman" w:cs="Times New Roman"/>
          <w:b/>
          <w:sz w:val="24"/>
          <w:szCs w:val="24"/>
        </w:rPr>
        <w:t>5</w:t>
      </w:r>
      <w:r w:rsidRPr="005838E8">
        <w:rPr>
          <w:rFonts w:ascii="Times New Roman" w:eastAsia="Times New Roman" w:hAnsi="Times New Roman" w:cs="Times New Roman"/>
          <w:b/>
          <w:sz w:val="24"/>
          <w:szCs w:val="24"/>
        </w:rPr>
        <w:t>: Hands-on Learning Experience under ESP supervision (n=90)</w:t>
      </w:r>
    </w:p>
    <w:tbl>
      <w:tblPr>
        <w:tblStyle w:val="a3"/>
        <w:tblW w:w="9923" w:type="dxa"/>
        <w:tblInd w:w="-367" w:type="dxa"/>
        <w:tblLayout w:type="fixed"/>
        <w:tblLook w:val="0400" w:firstRow="0" w:lastRow="0" w:firstColumn="0" w:lastColumn="0" w:noHBand="0" w:noVBand="1"/>
      </w:tblPr>
      <w:tblGrid>
        <w:gridCol w:w="3402"/>
        <w:gridCol w:w="425"/>
        <w:gridCol w:w="567"/>
        <w:gridCol w:w="567"/>
        <w:gridCol w:w="567"/>
        <w:gridCol w:w="426"/>
        <w:gridCol w:w="567"/>
        <w:gridCol w:w="567"/>
        <w:gridCol w:w="708"/>
        <w:gridCol w:w="567"/>
        <w:gridCol w:w="709"/>
        <w:gridCol w:w="851"/>
      </w:tblGrid>
      <w:tr w:rsidR="00E77F2B" w:rsidRPr="005838E8">
        <w:trPr>
          <w:trHeight w:val="168"/>
        </w:trPr>
        <w:tc>
          <w:tcPr>
            <w:tcW w:w="3402" w:type="dxa"/>
            <w:vMerge w:val="restart"/>
            <w:tcBorders>
              <w:top w:val="single" w:sz="18" w:space="0" w:color="000000"/>
            </w:tcBorders>
            <w:shd w:val="clear" w:color="auto" w:fill="auto"/>
          </w:tcPr>
          <w:p w:rsidR="00E77F2B" w:rsidRPr="005838E8" w:rsidRDefault="00E77F2B">
            <w:pPr>
              <w:spacing w:after="0" w:line="240" w:lineRule="auto"/>
              <w:jc w:val="both"/>
              <w:rPr>
                <w:rFonts w:ascii="Times New Roman" w:eastAsia="Times New Roman" w:hAnsi="Times New Roman" w:cs="Times New Roman"/>
                <w:b/>
                <w:sz w:val="20"/>
                <w:szCs w:val="20"/>
              </w:rPr>
            </w:pPr>
          </w:p>
          <w:p w:rsidR="00E77F2B" w:rsidRPr="005838E8" w:rsidRDefault="0027215D">
            <w:pPr>
              <w:spacing w:after="0" w:line="240" w:lineRule="auto"/>
              <w:jc w:val="both"/>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Statements</w:t>
            </w:r>
          </w:p>
        </w:tc>
        <w:tc>
          <w:tcPr>
            <w:tcW w:w="5670" w:type="dxa"/>
            <w:gridSpan w:val="10"/>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sz w:val="20"/>
                <w:szCs w:val="20"/>
              </w:rPr>
              <w:t>Response in Frequencies and Percentages</w:t>
            </w:r>
          </w:p>
        </w:tc>
        <w:tc>
          <w:tcPr>
            <w:tcW w:w="851" w:type="dxa"/>
            <w:vMerge w:val="restart"/>
            <w:tcBorders>
              <w:top w:val="single" w:sz="18" w:space="0" w:color="000000"/>
            </w:tcBorders>
          </w:tcPr>
          <w:p w:rsidR="00E77F2B" w:rsidRPr="005838E8" w:rsidRDefault="00E77F2B">
            <w:pPr>
              <w:spacing w:after="0" w:line="240" w:lineRule="auto"/>
              <w:jc w:val="center"/>
              <w:rPr>
                <w:rFonts w:ascii="Times New Roman" w:eastAsia="Times New Roman" w:hAnsi="Times New Roman" w:cs="Times New Roman"/>
                <w:b/>
                <w:sz w:val="20"/>
                <w:szCs w:val="20"/>
              </w:rPr>
            </w:pPr>
          </w:p>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Mean</w:t>
            </w:r>
          </w:p>
        </w:tc>
      </w:tr>
      <w:tr w:rsidR="00E77F2B" w:rsidRPr="005838E8">
        <w:trPr>
          <w:trHeight w:val="168"/>
        </w:trPr>
        <w:tc>
          <w:tcPr>
            <w:tcW w:w="3402"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992" w:type="dxa"/>
            <w:gridSpan w:val="2"/>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SD</w:t>
            </w:r>
          </w:p>
        </w:tc>
        <w:tc>
          <w:tcPr>
            <w:tcW w:w="1134" w:type="dxa"/>
            <w:gridSpan w:val="2"/>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D</w:t>
            </w:r>
          </w:p>
        </w:tc>
        <w:tc>
          <w:tcPr>
            <w:tcW w:w="993" w:type="dxa"/>
            <w:gridSpan w:val="2"/>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U</w:t>
            </w:r>
          </w:p>
        </w:tc>
        <w:tc>
          <w:tcPr>
            <w:tcW w:w="1275" w:type="dxa"/>
            <w:gridSpan w:val="2"/>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A</w:t>
            </w:r>
          </w:p>
        </w:tc>
        <w:tc>
          <w:tcPr>
            <w:tcW w:w="1276" w:type="dxa"/>
            <w:gridSpan w:val="2"/>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sz w:val="20"/>
                <w:szCs w:val="20"/>
              </w:rPr>
            </w:pPr>
            <w:r w:rsidRPr="005838E8">
              <w:rPr>
                <w:rFonts w:ascii="Times New Roman" w:eastAsia="Times New Roman" w:hAnsi="Times New Roman" w:cs="Times New Roman"/>
                <w:b/>
                <w:sz w:val="20"/>
                <w:szCs w:val="20"/>
              </w:rPr>
              <w:t>SA</w:t>
            </w:r>
          </w:p>
        </w:tc>
        <w:tc>
          <w:tcPr>
            <w:tcW w:w="851"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E77F2B" w:rsidRPr="005838E8">
        <w:trPr>
          <w:trHeight w:val="168"/>
        </w:trPr>
        <w:tc>
          <w:tcPr>
            <w:tcW w:w="3402" w:type="dxa"/>
            <w:vMerge/>
            <w:tcBorders>
              <w:top w:val="single" w:sz="18" w:space="0" w:color="000000"/>
            </w:tcBorders>
            <w:shd w:val="clear" w:color="auto" w:fill="auto"/>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25"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567"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567"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426" w:type="dxa"/>
            <w:tcBorders>
              <w:top w:val="single" w:sz="18" w:space="0" w:color="000000"/>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567"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567"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708"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567"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f</w:t>
            </w:r>
          </w:p>
        </w:tc>
        <w:tc>
          <w:tcPr>
            <w:tcW w:w="709" w:type="dxa"/>
            <w:tcBorders>
              <w:top w:val="single" w:sz="18" w:space="0" w:color="000000"/>
              <w:bottom w:val="single" w:sz="18" w:space="0" w:color="000000"/>
            </w:tcBorders>
          </w:tcPr>
          <w:p w:rsidR="00E77F2B" w:rsidRPr="005838E8" w:rsidRDefault="0027215D">
            <w:pPr>
              <w:spacing w:after="0" w:line="240" w:lineRule="auto"/>
              <w:jc w:val="center"/>
              <w:rPr>
                <w:rFonts w:ascii="Times New Roman" w:eastAsia="Times New Roman" w:hAnsi="Times New Roman" w:cs="Times New Roman"/>
                <w:b/>
                <w:i/>
                <w:sz w:val="20"/>
                <w:szCs w:val="20"/>
              </w:rPr>
            </w:pPr>
            <w:r w:rsidRPr="005838E8">
              <w:rPr>
                <w:rFonts w:ascii="Times New Roman" w:eastAsia="Times New Roman" w:hAnsi="Times New Roman" w:cs="Times New Roman"/>
                <w:b/>
                <w:i/>
                <w:sz w:val="20"/>
                <w:szCs w:val="20"/>
              </w:rPr>
              <w:t>%</w:t>
            </w:r>
          </w:p>
        </w:tc>
        <w:tc>
          <w:tcPr>
            <w:tcW w:w="851" w:type="dxa"/>
            <w:vMerge/>
            <w:tcBorders>
              <w:top w:val="single" w:sz="18" w:space="0" w:color="000000"/>
            </w:tcBorders>
          </w:tcPr>
          <w:p w:rsidR="00E77F2B" w:rsidRPr="005838E8" w:rsidRDefault="00E77F2B">
            <w:pPr>
              <w:widowControl w:val="0"/>
              <w:pBdr>
                <w:top w:val="nil"/>
                <w:left w:val="nil"/>
                <w:bottom w:val="nil"/>
                <w:right w:val="nil"/>
                <w:between w:val="nil"/>
              </w:pBdr>
              <w:spacing w:after="0"/>
              <w:rPr>
                <w:rFonts w:ascii="Times New Roman" w:eastAsia="Times New Roman" w:hAnsi="Times New Roman" w:cs="Times New Roman"/>
                <w:b/>
                <w:i/>
                <w:sz w:val="20"/>
                <w:szCs w:val="20"/>
              </w:rPr>
            </w:pPr>
          </w:p>
        </w:tc>
      </w:tr>
      <w:tr w:rsidR="00E77F2B" w:rsidRPr="005838E8">
        <w:tc>
          <w:tcPr>
            <w:tcW w:w="3402" w:type="dxa"/>
            <w:tcBorders>
              <w:top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Students learn by integrating theories in classroom and work practically in the fields such as work for vegetable projects, bee and fish keeping</w:t>
            </w:r>
          </w:p>
        </w:tc>
        <w:tc>
          <w:tcPr>
            <w:tcW w:w="425"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426"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w:t>
            </w:r>
          </w:p>
        </w:tc>
        <w:tc>
          <w:tcPr>
            <w:tcW w:w="708"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41.1</w:t>
            </w:r>
          </w:p>
        </w:tc>
        <w:tc>
          <w:tcPr>
            <w:tcW w:w="567"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43</w:t>
            </w:r>
          </w:p>
        </w:tc>
        <w:tc>
          <w:tcPr>
            <w:tcW w:w="709"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47.8</w:t>
            </w:r>
          </w:p>
        </w:tc>
        <w:tc>
          <w:tcPr>
            <w:tcW w:w="851" w:type="dxa"/>
            <w:tcBorders>
              <w:top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Teachers, students and Eco-Committee plan for nutrition in school Programs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7.8</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2.2</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25</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27.8</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53</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3.96</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Students prepare portfolios for Eco-Schools Program learning activities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9</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10</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19</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4.04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Eco-Schools conduct in-house workshops for teachers, parents and students for school development</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7.8</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36.7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45.6</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4.18</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Eco-Schools coordinators and Education officers make follow-ups for project-based learning in schools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45.6</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4.18</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Scientific application of school lands for school developments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12.2</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15.6</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41.1</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23</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25.6</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3.69</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Students apply Eco-Schools Program approach at home for their own projects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57</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26</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4.14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Keeping fish at school under Eco-</w:t>
            </w:r>
            <w:r w:rsidRPr="005838E8">
              <w:rPr>
                <w:rFonts w:ascii="Times New Roman" w:eastAsia="Times New Roman" w:hAnsi="Times New Roman" w:cs="Times New Roman"/>
                <w:sz w:val="20"/>
                <w:szCs w:val="20"/>
              </w:rPr>
              <w:lastRenderedPageBreak/>
              <w:t>School program supervision</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lastRenderedPageBreak/>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0</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48</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35</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38.9</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4.24</w:t>
            </w:r>
          </w:p>
        </w:tc>
      </w:tr>
      <w:tr w:rsidR="00E77F2B" w:rsidRPr="005838E8">
        <w:tc>
          <w:tcPr>
            <w:tcW w:w="3402" w:type="dxa"/>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Eco-School committee for projects such as fish and bee keeping, and school farms and gardens</w:t>
            </w:r>
          </w:p>
        </w:tc>
        <w:tc>
          <w:tcPr>
            <w:tcW w:w="425"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3.3</w:t>
            </w:r>
          </w:p>
        </w:tc>
        <w:tc>
          <w:tcPr>
            <w:tcW w:w="426"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34</w:t>
            </w:r>
          </w:p>
        </w:tc>
        <w:tc>
          <w:tcPr>
            <w:tcW w:w="708"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37.8</w:t>
            </w:r>
          </w:p>
        </w:tc>
        <w:tc>
          <w:tcPr>
            <w:tcW w:w="567"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46</w:t>
            </w:r>
          </w:p>
        </w:tc>
        <w:tc>
          <w:tcPr>
            <w:tcW w:w="709"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51.1</w:t>
            </w:r>
          </w:p>
        </w:tc>
        <w:tc>
          <w:tcPr>
            <w:tcW w:w="851" w:type="dxa"/>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4.30</w:t>
            </w:r>
          </w:p>
        </w:tc>
      </w:tr>
      <w:tr w:rsidR="00E77F2B" w:rsidRPr="005838E8">
        <w:tc>
          <w:tcPr>
            <w:tcW w:w="3402"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 xml:space="preserve">Students engagement for Eco-Schools’ projects such as building classes and toilets </w:t>
            </w:r>
          </w:p>
        </w:tc>
        <w:tc>
          <w:tcPr>
            <w:tcW w:w="425"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10</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11.1</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12</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13.3</w:t>
            </w:r>
          </w:p>
        </w:tc>
        <w:tc>
          <w:tcPr>
            <w:tcW w:w="426" w:type="dxa"/>
            <w:tcBorders>
              <w:bottom w:val="single" w:sz="18" w:space="0" w:color="000000"/>
            </w:tcBorders>
            <w:shd w:val="clear" w:color="auto" w:fill="auto"/>
          </w:tcPr>
          <w:p w:rsidR="00E77F2B" w:rsidRPr="005838E8" w:rsidRDefault="0027215D">
            <w:pPr>
              <w:spacing w:after="0" w:line="240" w:lineRule="auto"/>
              <w:jc w:val="center"/>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6.7</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22</w:t>
            </w:r>
          </w:p>
        </w:tc>
        <w:tc>
          <w:tcPr>
            <w:tcW w:w="708"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24.4</w:t>
            </w:r>
          </w:p>
        </w:tc>
        <w:tc>
          <w:tcPr>
            <w:tcW w:w="567"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40</w:t>
            </w:r>
          </w:p>
        </w:tc>
        <w:tc>
          <w:tcPr>
            <w:tcW w:w="709"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44.4</w:t>
            </w:r>
          </w:p>
        </w:tc>
        <w:tc>
          <w:tcPr>
            <w:tcW w:w="851" w:type="dxa"/>
            <w:tcBorders>
              <w:bottom w:val="single" w:sz="18" w:space="0" w:color="000000"/>
            </w:tcBorders>
            <w:shd w:val="clear" w:color="auto" w:fill="auto"/>
          </w:tcPr>
          <w:p w:rsidR="00E77F2B" w:rsidRPr="005838E8" w:rsidRDefault="0027215D">
            <w:pPr>
              <w:spacing w:after="0" w:line="240" w:lineRule="auto"/>
              <w:jc w:val="both"/>
              <w:rPr>
                <w:rFonts w:ascii="Times New Roman" w:eastAsia="Times New Roman" w:hAnsi="Times New Roman" w:cs="Times New Roman"/>
                <w:sz w:val="20"/>
                <w:szCs w:val="20"/>
              </w:rPr>
            </w:pPr>
            <w:r w:rsidRPr="005838E8">
              <w:rPr>
                <w:rFonts w:ascii="Times New Roman" w:eastAsia="Times New Roman" w:hAnsi="Times New Roman" w:cs="Times New Roman"/>
                <w:sz w:val="20"/>
                <w:szCs w:val="20"/>
              </w:rPr>
              <w:t>3.58</w:t>
            </w:r>
          </w:p>
        </w:tc>
      </w:tr>
    </w:tbl>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Key:</w:t>
      </w:r>
      <w:r w:rsidRPr="005838E8">
        <w:rPr>
          <w:rFonts w:ascii="Times New Roman" w:eastAsia="Times New Roman" w:hAnsi="Times New Roman" w:cs="Times New Roman"/>
          <w:sz w:val="24"/>
          <w:szCs w:val="24"/>
        </w:rPr>
        <w:tab/>
        <w:t>1. SD – Strongly Disagree</w:t>
      </w:r>
      <w:r w:rsidRPr="005838E8">
        <w:rPr>
          <w:rFonts w:ascii="Times New Roman" w:eastAsia="Times New Roman" w:hAnsi="Times New Roman" w:cs="Times New Roman"/>
          <w:sz w:val="24"/>
          <w:szCs w:val="24"/>
        </w:rPr>
        <w:tab/>
        <w:t xml:space="preserve">2. D – Disagree </w:t>
      </w:r>
      <w:r w:rsidRPr="005838E8">
        <w:rPr>
          <w:rFonts w:ascii="Times New Roman" w:eastAsia="Times New Roman" w:hAnsi="Times New Roman" w:cs="Times New Roman"/>
          <w:sz w:val="24"/>
          <w:szCs w:val="24"/>
        </w:rPr>
        <w:tab/>
        <w:t>3. U – Undecided</w:t>
      </w:r>
      <w:r w:rsidRPr="005838E8">
        <w:rPr>
          <w:rFonts w:ascii="Times New Roman" w:eastAsia="Times New Roman" w:hAnsi="Times New Roman" w:cs="Times New Roman"/>
          <w:sz w:val="24"/>
          <w:szCs w:val="24"/>
        </w:rPr>
        <w:tab/>
        <w:t xml:space="preserve"> 4. A - Agree </w:t>
      </w:r>
      <w:r w:rsidRPr="005838E8">
        <w:rPr>
          <w:rFonts w:ascii="Times New Roman" w:eastAsia="Times New Roman" w:hAnsi="Times New Roman" w:cs="Times New Roman"/>
          <w:sz w:val="24"/>
          <w:szCs w:val="24"/>
        </w:rPr>
        <w:tab/>
        <w:t>5. SA – Strongly Agree, F – Frequency, % - Percentage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b/>
          <w:sz w:val="24"/>
          <w:szCs w:val="24"/>
        </w:rPr>
        <w:t>Source: Field Data, 2025</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By considering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the mean score fell under 4.14 points whereby many respondents, 37 (41.1%) agreed and,</w:t>
      </w:r>
      <w:r w:rsidRPr="005838E8">
        <w:rPr>
          <w:rFonts w:ascii="Times New Roman" w:eastAsia="Times New Roman" w:hAnsi="Times New Roman" w:cs="Times New Roman"/>
          <w:sz w:val="24"/>
          <w:szCs w:val="24"/>
        </w:rPr>
        <w:tab/>
        <w:t xml:space="preserve"> 43 (47.8%) strongly agreed that students learn by integrating theories in the classroom and work practically in the fields such </w:t>
      </w:r>
      <w:proofErr w:type="gramStart"/>
      <w:r w:rsidRPr="005838E8">
        <w:rPr>
          <w:rFonts w:ascii="Times New Roman" w:eastAsia="Times New Roman" w:hAnsi="Times New Roman" w:cs="Times New Roman"/>
          <w:sz w:val="24"/>
          <w:szCs w:val="24"/>
        </w:rPr>
        <w:t>as  work</w:t>
      </w:r>
      <w:proofErr w:type="gramEnd"/>
      <w:r w:rsidRPr="005838E8">
        <w:rPr>
          <w:rFonts w:ascii="Times New Roman" w:eastAsia="Times New Roman" w:hAnsi="Times New Roman" w:cs="Times New Roman"/>
          <w:sz w:val="24"/>
          <w:szCs w:val="24"/>
        </w:rPr>
        <w:t xml:space="preserve"> for vegetable projects, bee and fish keeping. In addition, with reference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the statement that; students prepare portfolios for Eco-Schools Program learning activities scored a high mean of 4.04 points in which there were 19 (21.1%) agreement and 44 (48.9%) strong agreement from respondents. Furthermore, in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the statement about scientific application of school lands for school developments, received a mean score of 3.69 as reflected in responses, 37 (41.1%) agreements and 23 (25.6%) strong agreements from respondents. Similarly,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statistics got 4.14 points of a mean score embedded in responses, 57 (63.3%) agreements and 26 (28.9%) strong agreement from teachers as respondents that students apply Eco-Schools Program approach at home for their own projects. Moreover, the last contention of theory and practice about keeping fish at school under Eco-School program supervision, in Table with a scored mean at 4.24 points as reflected in records from respondents that, 48 (53.3%) agreed and, 35 (38.9%) strongly agreed with the statement. The implied meaning of these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is that, through the ESP program there is a relationship between theory and practice for students in classroom settings. This has been possible to undertake both theory and practical for students because ESP policies prioritize the student to be the center of teaching and learning processes. As a result, the relevant sustainable development skills are promoted among students in a holistic and rigorous manner. This finding is relevant to SLT which emphasizes the modeling of skills among students to be reinforced in real-world application (Maltby, 2024). This implies that human beings are the product of the environment, and depend on the same environment for survival and develop decent livelihood economically and in other aspects of life.</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Additionally, to support the idea embedded in theory and practice, one female student in FGD insisted that: </w:t>
      </w:r>
      <w:r w:rsidRPr="005838E8">
        <w:rPr>
          <w:rFonts w:ascii="Times New Roman" w:eastAsia="Times New Roman" w:hAnsi="Times New Roman" w:cs="Times New Roman"/>
          <w:i/>
          <w:sz w:val="24"/>
          <w:szCs w:val="24"/>
        </w:rPr>
        <w:t>“In eco-schools we learn in theory and then we go to practice in real actions such as gardening, recycling of waste materials, using the knowledge of professional land use in school and home environments”</w:t>
      </w:r>
      <w:r w:rsidRPr="005838E8">
        <w:rPr>
          <w:rFonts w:ascii="Times New Roman" w:eastAsia="Times New Roman" w:hAnsi="Times New Roman" w:cs="Times New Roman"/>
          <w:sz w:val="24"/>
          <w:szCs w:val="24"/>
        </w:rPr>
        <w:t xml:space="preserve"> (FGD, Student F, 17/03/2025). With this finding from the student, we get a real picture that the eco-schools program helps to implement the competency – based curriculum holistically.</w:t>
      </w:r>
    </w:p>
    <w:p w:rsidR="00E77F2B" w:rsidRPr="005838E8" w:rsidRDefault="0027215D">
      <w:pPr>
        <w:spacing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Moreover, focusing on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many respondents, 25 (27.8%) agreed and, 53 (58.9%) strongly agreed at a mean score of 3.96 that teachers, students and eco-school committee plan for nutrition in school Programs. Furthermore, in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information revealed that many respondents, 33 (36.7%) agreed and 41 (45.6%) strongly agreed with the statement that eco-</w:t>
      </w:r>
      <w:r w:rsidRPr="005838E8">
        <w:rPr>
          <w:rFonts w:ascii="Times New Roman" w:eastAsia="Times New Roman" w:hAnsi="Times New Roman" w:cs="Times New Roman"/>
          <w:sz w:val="24"/>
          <w:szCs w:val="24"/>
        </w:rPr>
        <w:lastRenderedPageBreak/>
        <w:t xml:space="preserve">schools conduct in-house workshops for teachers, parents and students for school development, scoring a high mean of 4.18 points. Likewise, statistics in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scored a mean point of 4.18, being reflected in majority responses, 37 (41.1%) agreement and, 41 (45.6%) strongly in agreement with the statement that eco-</w:t>
      </w:r>
      <w:proofErr w:type="gramStart"/>
      <w:r w:rsidRPr="005838E8">
        <w:rPr>
          <w:rFonts w:ascii="Times New Roman" w:eastAsia="Times New Roman" w:hAnsi="Times New Roman" w:cs="Times New Roman"/>
          <w:sz w:val="24"/>
          <w:szCs w:val="24"/>
        </w:rPr>
        <w:t>schools</w:t>
      </w:r>
      <w:proofErr w:type="gramEnd"/>
      <w:r w:rsidRPr="005838E8">
        <w:rPr>
          <w:rFonts w:ascii="Times New Roman" w:eastAsia="Times New Roman" w:hAnsi="Times New Roman" w:cs="Times New Roman"/>
          <w:sz w:val="24"/>
          <w:szCs w:val="24"/>
        </w:rPr>
        <w:t xml:space="preserve"> coordinators and education officers make follow-ups for project based learning in schools. Correspondingly,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with a mean score of 4.30, many respondents, 34 (37.8%) agreed and 46 (51.1%) strongly agreed that there is an eco-school committee for projects such as fish and bee keeping, and school farms and gardens. Finally, statistics from Table </w:t>
      </w:r>
      <w:r w:rsidR="005838E8" w:rsidRPr="005838E8">
        <w:rPr>
          <w:rFonts w:ascii="Times New Roman" w:eastAsia="Times New Roman" w:hAnsi="Times New Roman" w:cs="Times New Roman"/>
          <w:sz w:val="24"/>
          <w:szCs w:val="24"/>
        </w:rPr>
        <w:t>5</w:t>
      </w:r>
      <w:r w:rsidRPr="005838E8">
        <w:rPr>
          <w:rFonts w:ascii="Times New Roman" w:eastAsia="Times New Roman" w:hAnsi="Times New Roman" w:cs="Times New Roman"/>
          <w:sz w:val="24"/>
          <w:szCs w:val="24"/>
        </w:rPr>
        <w:t xml:space="preserve"> indicate that many teachers as respondents, 22 (24.4%) agreed and, 40 (44.4%) strongly agreed at a mean score of3.58 that there were student engagements for Eco-Schools’ projects such as building classes and toilets. This implies that there is collaboration and inclusion among ESP stakeholders, there are collective decision-making processes within a programme, there are professional development for students, teachers, and other ESP stakeholders, and there are hands-on learning activities for students to get real-world experiences for students. This is possible because the ESP has the strong policy inherent with professional development, collaborative nature for programme activities, and inclusive for both girls and boys in carrying out different activities.  This finding is in line with the study by </w:t>
      </w:r>
      <w:proofErr w:type="spellStart"/>
      <w:r w:rsidRPr="005838E8">
        <w:rPr>
          <w:rFonts w:ascii="Times New Roman" w:eastAsia="Times New Roman" w:hAnsi="Times New Roman" w:cs="Times New Roman"/>
          <w:sz w:val="24"/>
          <w:szCs w:val="24"/>
        </w:rPr>
        <w:t>Addae</w:t>
      </w:r>
      <w:proofErr w:type="spellEnd"/>
      <w:r w:rsidRPr="005838E8">
        <w:rPr>
          <w:rFonts w:ascii="Times New Roman" w:eastAsia="Times New Roman" w:hAnsi="Times New Roman" w:cs="Times New Roman"/>
          <w:sz w:val="24"/>
          <w:szCs w:val="24"/>
        </w:rPr>
        <w:t xml:space="preserve"> et al. (2020) that the sustainability of the programme depends on the professional development and collaborative strategies among the participants. This signifies the sustainability generative power inherent with collaboration strengthened with capacity building for programme participants.  Furthermore, one HT, in affirming the existence of professional development claimed that: </w:t>
      </w:r>
      <w:r w:rsidRPr="005838E8">
        <w:rPr>
          <w:rFonts w:ascii="Times New Roman" w:eastAsia="Times New Roman" w:hAnsi="Times New Roman" w:cs="Times New Roman"/>
          <w:i/>
          <w:sz w:val="24"/>
          <w:szCs w:val="24"/>
        </w:rPr>
        <w:t>“An important thing in the eco-schools program is the running of seminars that are followed by the implementation of action plans”</w:t>
      </w:r>
      <w:r w:rsidRPr="005838E8">
        <w:rPr>
          <w:rFonts w:ascii="Times New Roman" w:eastAsia="Times New Roman" w:hAnsi="Times New Roman" w:cs="Times New Roman"/>
          <w:sz w:val="24"/>
          <w:szCs w:val="24"/>
        </w:rPr>
        <w:t xml:space="preserve"> (Interview, HT F, 17/03/2025). Also, a female student in FGD added that: </w:t>
      </w:r>
      <w:r w:rsidRPr="005838E8">
        <w:rPr>
          <w:rFonts w:ascii="Times New Roman" w:eastAsia="Times New Roman" w:hAnsi="Times New Roman" w:cs="Times New Roman"/>
          <w:i/>
          <w:sz w:val="24"/>
          <w:szCs w:val="24"/>
        </w:rPr>
        <w:t xml:space="preserve">“we participate in seminars with the eco-schools committee every year, we are instructed how to implement the project” (FGD, Student C, 17/03/2025). </w:t>
      </w:r>
      <w:r w:rsidRPr="005838E8">
        <w:rPr>
          <w:rFonts w:ascii="Times New Roman" w:eastAsia="Times New Roman" w:hAnsi="Times New Roman" w:cs="Times New Roman"/>
          <w:sz w:val="24"/>
          <w:szCs w:val="24"/>
        </w:rPr>
        <w:t xml:space="preserve">Both statements from HT and a student verify the existence of professional development carried out collaboratively in an inclusive manner. The reason for this due course is due to the nature of the programme and the readily availability of participants of the programme. As a result, students are inhabited with sustainable development skills required for decent life actualization. </w:t>
      </w:r>
    </w:p>
    <w:p w:rsidR="00E77F2B" w:rsidRPr="005838E8" w:rsidRDefault="0027215D">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color w:val="000000"/>
          <w:sz w:val="24"/>
          <w:szCs w:val="24"/>
        </w:rPr>
      </w:pPr>
      <w:r w:rsidRPr="005838E8">
        <w:rPr>
          <w:rFonts w:ascii="Times New Roman" w:eastAsia="Times New Roman" w:hAnsi="Times New Roman" w:cs="Times New Roman"/>
          <w:b/>
          <w:color w:val="000000"/>
          <w:sz w:val="24"/>
          <w:szCs w:val="24"/>
        </w:rPr>
        <w:t>6.0 Conclusion and Discussion</w:t>
      </w:r>
    </w:p>
    <w:p w:rsidR="00E77F2B" w:rsidRPr="005838E8" w:rsidRDefault="0027215D">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study revealed that despite the 2023 curriculum in Tanzania emphasizing environmental conservation, inclusivity, technology integration, and competency-based learning, major gaps hinder the acquisition of 21st-century sustainable development skills. These gaps stem from weak educational leadership, inadequate professional development, inconsistent use of technology, and resistance from officials to digital innovations. As a result, students miss opportunities to acquire vital skills such as coding, e-commerce, and problem-solving, affecting their long-term self-reliance.</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Content gaps in the curriculum were noted, where teachers were aware of competency-based approaches but were restricted from the use of electronic tools, contrary to the national ICT policies. Implementation challenges are noting very limited experiential learning exercises, minimal hands-on, and insufficient training for teachers, culminating in static skill promotion in sustainable development, which is contrary to the tenets of social learning theory, which emphasize team-based, real-world learning.</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On the other hand, the Eco-Schools Programme (ESP) was positively impacted through practices involving theory and practice, such as gardening, fishkeeping, and beekeeping. These improved student collaboration, academic achievement, and acquisition of sustainable development skills, all buttressing the need for experiential learning in the curriculum.</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The study recommends that the Ministry of Education, Science, and Technology (</w:t>
      </w:r>
      <w:proofErr w:type="spellStart"/>
      <w:r w:rsidRPr="005838E8">
        <w:rPr>
          <w:rFonts w:ascii="Times New Roman" w:eastAsia="Times New Roman" w:hAnsi="Times New Roman" w:cs="Times New Roman"/>
          <w:sz w:val="24"/>
          <w:szCs w:val="24"/>
        </w:rPr>
        <w:t>MoEST</w:t>
      </w:r>
      <w:proofErr w:type="spellEnd"/>
      <w:r w:rsidRPr="005838E8">
        <w:rPr>
          <w:rFonts w:ascii="Times New Roman" w:eastAsia="Times New Roman" w:hAnsi="Times New Roman" w:cs="Times New Roman"/>
          <w:sz w:val="24"/>
          <w:szCs w:val="24"/>
        </w:rPr>
        <w:t>) revisit recruitment policies to make leaders technologically savvy and support competency-based education. Administrators and teachers must be mandated to receive professional training in sustainable development as well as digital literacy. Furthermore, education leaders need to remove the prohibition on the application of digital tools within classrooms so that government-provided devices can be effectively applied in teaching and testing.</w:t>
      </w:r>
    </w:p>
    <w:p w:rsidR="00F258B7" w:rsidRPr="005838E8" w:rsidRDefault="00F258B7" w:rsidP="00F258B7">
      <w:pPr>
        <w:spacing w:before="280" w:after="280" w:line="240" w:lineRule="auto"/>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Finally, there is a need for additional research to assess ESP's long-term impact on self-employment readiness and sustainability, explore how to scale experiential learning, and examine the impact of leadership mindsets on policy execution and education innovation</w:t>
      </w:r>
    </w:p>
    <w:p w:rsidR="00A132A0" w:rsidRPr="005838E8" w:rsidRDefault="00A132A0" w:rsidP="00A132A0">
      <w:pPr>
        <w:jc w:val="both"/>
        <w:rPr>
          <w:rFonts w:ascii="Times New Roman" w:hAnsi="Times New Roman" w:cs="Times New Roman"/>
          <w:b/>
          <w:sz w:val="24"/>
          <w:szCs w:val="24"/>
          <w:shd w:val="clear" w:color="auto" w:fill="FFFFFF"/>
        </w:rPr>
      </w:pPr>
      <w:r w:rsidRPr="005838E8">
        <w:rPr>
          <w:rFonts w:ascii="Times New Roman" w:hAnsi="Times New Roman" w:cs="Times New Roman"/>
          <w:b/>
          <w:sz w:val="24"/>
          <w:szCs w:val="24"/>
          <w:shd w:val="clear" w:color="auto" w:fill="FFFFFF"/>
        </w:rPr>
        <w:t>DISCLAIMER (ARTIFICIAL INTELLIGENCE)</w:t>
      </w:r>
    </w:p>
    <w:p w:rsidR="00A132A0" w:rsidRPr="005838E8" w:rsidRDefault="00A132A0" w:rsidP="00A132A0">
      <w:pPr>
        <w:jc w:val="both"/>
        <w:rPr>
          <w:rFonts w:ascii="Times New Roman" w:hAnsi="Times New Roman" w:cs="Times New Roman"/>
          <w:sz w:val="24"/>
          <w:szCs w:val="24"/>
          <w:shd w:val="clear" w:color="auto" w:fill="FFFFFF"/>
        </w:rPr>
      </w:pPr>
      <w:r w:rsidRPr="005838E8">
        <w:rPr>
          <w:rFonts w:ascii="Times New Roman" w:hAnsi="Times New Roman" w:cs="Times New Roman"/>
          <w:sz w:val="24"/>
          <w:szCs w:val="24"/>
          <w:shd w:val="clear" w:color="auto" w:fill="FFFFFF"/>
        </w:rPr>
        <w:t xml:space="preserve">We, Philemon </w:t>
      </w:r>
      <w:proofErr w:type="spellStart"/>
      <w:r w:rsidRPr="005838E8">
        <w:rPr>
          <w:rFonts w:ascii="Times New Roman" w:hAnsi="Times New Roman" w:cs="Times New Roman"/>
          <w:sz w:val="24"/>
          <w:szCs w:val="24"/>
          <w:shd w:val="clear" w:color="auto" w:fill="FFFFFF"/>
        </w:rPr>
        <w:t>Sokime</w:t>
      </w:r>
      <w:proofErr w:type="spellEnd"/>
      <w:r w:rsidRPr="005838E8">
        <w:rPr>
          <w:rFonts w:ascii="Times New Roman" w:hAnsi="Times New Roman" w:cs="Times New Roman"/>
          <w:sz w:val="24"/>
          <w:szCs w:val="24"/>
          <w:shd w:val="clear" w:color="auto" w:fill="FFFFFF"/>
        </w:rPr>
        <w:t xml:space="preserve"> and </w:t>
      </w:r>
      <w:proofErr w:type="spellStart"/>
      <w:r w:rsidRPr="005838E8">
        <w:rPr>
          <w:rFonts w:ascii="Times New Roman" w:hAnsi="Times New Roman" w:cs="Times New Roman"/>
          <w:sz w:val="24"/>
          <w:szCs w:val="24"/>
          <w:shd w:val="clear" w:color="auto" w:fill="FFFFFF"/>
        </w:rPr>
        <w:t>Onesmo</w:t>
      </w:r>
      <w:proofErr w:type="spellEnd"/>
      <w:r w:rsidRPr="005838E8">
        <w:rPr>
          <w:rFonts w:ascii="Times New Roman" w:hAnsi="Times New Roman" w:cs="Times New Roman"/>
          <w:sz w:val="24"/>
          <w:szCs w:val="24"/>
          <w:shd w:val="clear" w:color="auto" w:fill="FFFFFF"/>
        </w:rPr>
        <w:t xml:space="preserve"> Amos declare that no generative AI technologies such as Large Language Models (</w:t>
      </w:r>
      <w:proofErr w:type="spellStart"/>
      <w:r w:rsidRPr="005838E8">
        <w:rPr>
          <w:rFonts w:ascii="Times New Roman" w:hAnsi="Times New Roman" w:cs="Times New Roman"/>
          <w:sz w:val="24"/>
          <w:szCs w:val="24"/>
          <w:shd w:val="clear" w:color="auto" w:fill="FFFFFF"/>
        </w:rPr>
        <w:t>ChatGPT</w:t>
      </w:r>
      <w:proofErr w:type="spellEnd"/>
      <w:r w:rsidRPr="005838E8">
        <w:rPr>
          <w:rFonts w:ascii="Times New Roman" w:hAnsi="Times New Roman" w:cs="Times New Roman"/>
          <w:sz w:val="24"/>
          <w:szCs w:val="24"/>
          <w:shd w:val="clear" w:color="auto" w:fill="FFFFFF"/>
        </w:rPr>
        <w:t xml:space="preserve">, COPILOT, </w:t>
      </w:r>
      <w:proofErr w:type="spellStart"/>
      <w:r w:rsidRPr="005838E8">
        <w:rPr>
          <w:rFonts w:ascii="Times New Roman" w:hAnsi="Times New Roman" w:cs="Times New Roman"/>
          <w:sz w:val="24"/>
          <w:szCs w:val="24"/>
          <w:shd w:val="clear" w:color="auto" w:fill="FFFFFF"/>
        </w:rPr>
        <w:t>etc</w:t>
      </w:r>
      <w:proofErr w:type="spellEnd"/>
      <w:r w:rsidRPr="005838E8">
        <w:rPr>
          <w:rFonts w:ascii="Times New Roman" w:hAnsi="Times New Roman" w:cs="Times New Roman"/>
          <w:sz w:val="24"/>
          <w:szCs w:val="24"/>
          <w:shd w:val="clear" w:color="auto" w:fill="FFFFFF"/>
        </w:rPr>
        <w:t>) and text-to-image generators have been used during writing or edition of this manuscript.</w:t>
      </w:r>
    </w:p>
    <w:p w:rsidR="00A132A0" w:rsidRPr="005838E8" w:rsidRDefault="00A132A0" w:rsidP="00A132A0">
      <w:pPr>
        <w:jc w:val="both"/>
        <w:rPr>
          <w:rFonts w:ascii="Times New Roman" w:hAnsi="Times New Roman" w:cs="Times New Roman"/>
          <w:b/>
          <w:sz w:val="24"/>
          <w:szCs w:val="24"/>
          <w:shd w:val="clear" w:color="auto" w:fill="FFFFFF"/>
        </w:rPr>
      </w:pPr>
      <w:r w:rsidRPr="005838E8">
        <w:rPr>
          <w:rFonts w:ascii="Times New Roman" w:hAnsi="Times New Roman" w:cs="Times New Roman"/>
          <w:b/>
          <w:sz w:val="24"/>
          <w:szCs w:val="24"/>
          <w:shd w:val="clear" w:color="auto" w:fill="FFFFFF"/>
        </w:rPr>
        <w:t>CONSENT AND ETHICAL APPROVAL</w:t>
      </w:r>
    </w:p>
    <w:p w:rsidR="00A132A0" w:rsidRPr="005838E8" w:rsidRDefault="00A132A0" w:rsidP="00A132A0">
      <w:pPr>
        <w:jc w:val="both"/>
        <w:rPr>
          <w:rFonts w:ascii="Times New Roman" w:hAnsi="Times New Roman" w:cs="Times New Roman"/>
          <w:sz w:val="24"/>
          <w:szCs w:val="24"/>
          <w:shd w:val="clear" w:color="auto" w:fill="FFFFFF"/>
        </w:rPr>
      </w:pPr>
      <w:r w:rsidRPr="005838E8">
        <w:rPr>
          <w:rFonts w:ascii="Times New Roman" w:hAnsi="Times New Roman" w:cs="Times New Roman"/>
          <w:sz w:val="24"/>
          <w:szCs w:val="24"/>
          <w:shd w:val="clear" w:color="auto" w:fill="FFFFFF"/>
        </w:rPr>
        <w:t>Ethical considerations in this study were strictly considered through obtaining informed consent from all the  participants of the study before collecting data, giving confidence and anonymity  when reporting and storing data, following ethics, and getting authorization from Jordan University College (</w:t>
      </w:r>
      <w:proofErr w:type="spellStart"/>
      <w:r w:rsidRPr="005838E8">
        <w:rPr>
          <w:rFonts w:ascii="Times New Roman" w:hAnsi="Times New Roman" w:cs="Times New Roman"/>
          <w:sz w:val="24"/>
          <w:szCs w:val="24"/>
          <w:shd w:val="clear" w:color="auto" w:fill="FFFFFF"/>
        </w:rPr>
        <w:t>JUCo</w:t>
      </w:r>
      <w:proofErr w:type="spellEnd"/>
      <w:r w:rsidRPr="005838E8">
        <w:rPr>
          <w:rFonts w:ascii="Times New Roman" w:hAnsi="Times New Roman" w:cs="Times New Roman"/>
          <w:sz w:val="24"/>
          <w:szCs w:val="24"/>
          <w:shd w:val="clear" w:color="auto" w:fill="FFFFFF"/>
        </w:rPr>
        <w:t>) ethical review board.</w:t>
      </w:r>
    </w:p>
    <w:p w:rsidR="00A132A0" w:rsidRPr="005838E8" w:rsidRDefault="00A132A0" w:rsidP="00A132A0">
      <w:pPr>
        <w:jc w:val="both"/>
        <w:rPr>
          <w:rFonts w:ascii="Times New Roman" w:hAnsi="Times New Roman" w:cs="Times New Roman"/>
          <w:b/>
          <w:sz w:val="24"/>
          <w:szCs w:val="24"/>
          <w:shd w:val="clear" w:color="auto" w:fill="FFFFFF"/>
        </w:rPr>
      </w:pPr>
      <w:r w:rsidRPr="005838E8">
        <w:rPr>
          <w:rFonts w:ascii="Times New Roman" w:hAnsi="Times New Roman" w:cs="Times New Roman"/>
          <w:b/>
          <w:sz w:val="24"/>
          <w:szCs w:val="24"/>
          <w:shd w:val="clear" w:color="auto" w:fill="FFFFFF"/>
        </w:rPr>
        <w:t>COMPETING INTERESTS</w:t>
      </w:r>
    </w:p>
    <w:p w:rsidR="00A132A0" w:rsidRPr="005838E8" w:rsidRDefault="00A132A0" w:rsidP="00A132A0">
      <w:pPr>
        <w:jc w:val="both"/>
        <w:rPr>
          <w:rFonts w:ascii="Times New Roman" w:hAnsi="Times New Roman" w:cs="Times New Roman"/>
          <w:sz w:val="24"/>
          <w:szCs w:val="24"/>
        </w:rPr>
      </w:pPr>
      <w:r w:rsidRPr="005838E8">
        <w:rPr>
          <w:rFonts w:ascii="Times New Roman" w:hAnsi="Times New Roman" w:cs="Times New Roman"/>
          <w:sz w:val="24"/>
          <w:szCs w:val="24"/>
          <w:shd w:val="clear" w:color="auto" w:fill="FFFFFF"/>
        </w:rPr>
        <w:t>Authors have declared that no competing interests exist.</w:t>
      </w:r>
    </w:p>
    <w:p w:rsidR="00E77F2B" w:rsidRPr="005838E8" w:rsidRDefault="00E77F2B">
      <w:pPr>
        <w:spacing w:after="0" w:line="240" w:lineRule="auto"/>
        <w:jc w:val="center"/>
        <w:rPr>
          <w:rFonts w:ascii="Times New Roman" w:eastAsia="Times New Roman" w:hAnsi="Times New Roman" w:cs="Times New Roman"/>
          <w:b/>
          <w:sz w:val="24"/>
          <w:szCs w:val="24"/>
        </w:rPr>
      </w:pPr>
    </w:p>
    <w:p w:rsidR="00E77F2B" w:rsidRPr="005838E8" w:rsidRDefault="0027215D">
      <w:pPr>
        <w:spacing w:after="0" w:line="240" w:lineRule="auto"/>
        <w:jc w:val="center"/>
        <w:rPr>
          <w:rFonts w:ascii="Times New Roman" w:eastAsia="Times New Roman" w:hAnsi="Times New Roman" w:cs="Times New Roman"/>
          <w:b/>
          <w:sz w:val="24"/>
          <w:szCs w:val="24"/>
        </w:rPr>
      </w:pPr>
      <w:r w:rsidRPr="005838E8">
        <w:rPr>
          <w:rFonts w:ascii="Times New Roman" w:eastAsia="Times New Roman" w:hAnsi="Times New Roman" w:cs="Times New Roman"/>
          <w:b/>
          <w:sz w:val="24"/>
          <w:szCs w:val="24"/>
        </w:rPr>
        <w:t>References</w:t>
      </w:r>
    </w:p>
    <w:p w:rsidR="00E77F2B" w:rsidRPr="005838E8" w:rsidRDefault="00E77F2B">
      <w:pPr>
        <w:spacing w:after="0" w:line="240" w:lineRule="auto"/>
        <w:jc w:val="both"/>
        <w:rPr>
          <w:rFonts w:ascii="Times New Roman" w:eastAsia="Times New Roman" w:hAnsi="Times New Roman" w:cs="Times New Roman"/>
          <w:sz w:val="24"/>
          <w:szCs w:val="24"/>
        </w:rPr>
      </w:pP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Abulibdeh</w:t>
      </w:r>
      <w:proofErr w:type="spellEnd"/>
      <w:r w:rsidRPr="005838E8">
        <w:rPr>
          <w:rFonts w:ascii="Times New Roman" w:eastAsia="Times New Roman" w:hAnsi="Times New Roman" w:cs="Times New Roman"/>
          <w:sz w:val="24"/>
          <w:szCs w:val="24"/>
        </w:rPr>
        <w:t xml:space="preserve">, A., </w:t>
      </w:r>
      <w:proofErr w:type="spellStart"/>
      <w:r w:rsidRPr="005838E8">
        <w:rPr>
          <w:rFonts w:ascii="Times New Roman" w:eastAsia="Times New Roman" w:hAnsi="Times New Roman" w:cs="Times New Roman"/>
          <w:sz w:val="24"/>
          <w:szCs w:val="24"/>
        </w:rPr>
        <w:t>Zaidan</w:t>
      </w:r>
      <w:proofErr w:type="spellEnd"/>
      <w:r w:rsidRPr="005838E8">
        <w:rPr>
          <w:rFonts w:ascii="Times New Roman" w:eastAsia="Times New Roman" w:hAnsi="Times New Roman" w:cs="Times New Roman"/>
          <w:sz w:val="24"/>
          <w:szCs w:val="24"/>
        </w:rPr>
        <w:t xml:space="preserve">, E., &amp; </w:t>
      </w:r>
      <w:proofErr w:type="spellStart"/>
      <w:r w:rsidRPr="005838E8">
        <w:rPr>
          <w:rFonts w:ascii="Times New Roman" w:eastAsia="Times New Roman" w:hAnsi="Times New Roman" w:cs="Times New Roman"/>
          <w:sz w:val="24"/>
          <w:szCs w:val="24"/>
        </w:rPr>
        <w:t>Abulibdeh</w:t>
      </w:r>
      <w:proofErr w:type="spellEnd"/>
      <w:r w:rsidRPr="005838E8">
        <w:rPr>
          <w:rFonts w:ascii="Times New Roman" w:eastAsia="Times New Roman" w:hAnsi="Times New Roman" w:cs="Times New Roman"/>
          <w:sz w:val="24"/>
          <w:szCs w:val="24"/>
        </w:rPr>
        <w:t>, R. (2024). Navigating the confluence of artificial intelligence and education for sustainable development in the era of industry 4.0: Challenges, opportunities, and ethical dimensions. </w:t>
      </w:r>
      <w:r w:rsidRPr="005838E8">
        <w:rPr>
          <w:rFonts w:ascii="Times New Roman" w:eastAsia="Times New Roman" w:hAnsi="Times New Roman" w:cs="Times New Roman"/>
          <w:i/>
          <w:sz w:val="24"/>
          <w:szCs w:val="24"/>
        </w:rPr>
        <w:t>Journal of Cleaner Production</w:t>
      </w:r>
      <w:r w:rsidRPr="005838E8">
        <w:rPr>
          <w:rFonts w:ascii="Times New Roman" w:eastAsia="Times New Roman" w:hAnsi="Times New Roman" w:cs="Times New Roman"/>
          <w:sz w:val="24"/>
          <w:szCs w:val="24"/>
        </w:rPr>
        <w:t>, 140527.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Adamson, L., &amp; Brown, R. (2024). Exploring children's experiences of schooling in Tanzania: How the ‘hidden </w:t>
      </w:r>
      <w:proofErr w:type="spellStart"/>
      <w:r w:rsidRPr="005838E8">
        <w:rPr>
          <w:rFonts w:ascii="Times New Roman" w:eastAsia="Times New Roman" w:hAnsi="Times New Roman" w:cs="Times New Roman"/>
          <w:sz w:val="24"/>
          <w:szCs w:val="24"/>
        </w:rPr>
        <w:t>curriculum’undermines</w:t>
      </w:r>
      <w:proofErr w:type="spellEnd"/>
      <w:r w:rsidRPr="005838E8">
        <w:rPr>
          <w:rFonts w:ascii="Times New Roman" w:eastAsia="Times New Roman" w:hAnsi="Times New Roman" w:cs="Times New Roman"/>
          <w:sz w:val="24"/>
          <w:szCs w:val="24"/>
        </w:rPr>
        <w:t xml:space="preserve"> aspirations for sustainable development. </w:t>
      </w:r>
      <w:r w:rsidRPr="005838E8">
        <w:rPr>
          <w:rFonts w:ascii="Times New Roman" w:eastAsia="Times New Roman" w:hAnsi="Times New Roman" w:cs="Times New Roman"/>
          <w:i/>
          <w:sz w:val="24"/>
          <w:szCs w:val="24"/>
        </w:rPr>
        <w:t>Children &amp; Society</w:t>
      </w:r>
      <w:r w:rsidRPr="005838E8">
        <w:rPr>
          <w:rFonts w:ascii="Times New Roman" w:eastAsia="Times New Roman" w:hAnsi="Times New Roman" w:cs="Times New Roman"/>
          <w:sz w:val="24"/>
          <w:szCs w:val="24"/>
        </w:rPr>
        <w:t>.</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lastRenderedPageBreak/>
        <w:t>Addae</w:t>
      </w:r>
      <w:proofErr w:type="spellEnd"/>
      <w:r w:rsidRPr="005838E8">
        <w:rPr>
          <w:rFonts w:ascii="Times New Roman" w:eastAsia="Times New Roman" w:hAnsi="Times New Roman" w:cs="Times New Roman"/>
          <w:sz w:val="24"/>
          <w:szCs w:val="24"/>
        </w:rPr>
        <w:t xml:space="preserve">, D., </w:t>
      </w:r>
      <w:proofErr w:type="spellStart"/>
      <w:r w:rsidRPr="005838E8">
        <w:rPr>
          <w:rFonts w:ascii="Times New Roman" w:eastAsia="Times New Roman" w:hAnsi="Times New Roman" w:cs="Times New Roman"/>
          <w:sz w:val="24"/>
          <w:szCs w:val="24"/>
        </w:rPr>
        <w:t>Amponsah</w:t>
      </w:r>
      <w:proofErr w:type="spellEnd"/>
      <w:r w:rsidRPr="005838E8">
        <w:rPr>
          <w:rFonts w:ascii="Times New Roman" w:eastAsia="Times New Roman" w:hAnsi="Times New Roman" w:cs="Times New Roman"/>
          <w:sz w:val="24"/>
          <w:szCs w:val="24"/>
        </w:rPr>
        <w:t xml:space="preserve">, S., &amp; </w:t>
      </w:r>
      <w:proofErr w:type="spellStart"/>
      <w:r w:rsidRPr="005838E8">
        <w:rPr>
          <w:rFonts w:ascii="Times New Roman" w:eastAsia="Times New Roman" w:hAnsi="Times New Roman" w:cs="Times New Roman"/>
          <w:sz w:val="24"/>
          <w:szCs w:val="24"/>
        </w:rPr>
        <w:t>Kwapong</w:t>
      </w:r>
      <w:proofErr w:type="spellEnd"/>
      <w:r w:rsidRPr="005838E8">
        <w:rPr>
          <w:rFonts w:ascii="Times New Roman" w:eastAsia="Times New Roman" w:hAnsi="Times New Roman" w:cs="Times New Roman"/>
          <w:sz w:val="24"/>
          <w:szCs w:val="24"/>
        </w:rPr>
        <w:t>, O. A. T. F. (2024). Global citizenship education curriculum through the lens of Indigenous knowledge systems: Perspectives from Ghana. </w:t>
      </w:r>
      <w:r w:rsidRPr="005838E8">
        <w:rPr>
          <w:rFonts w:ascii="Times New Roman" w:eastAsia="Times New Roman" w:hAnsi="Times New Roman" w:cs="Times New Roman"/>
          <w:i/>
          <w:sz w:val="24"/>
          <w:szCs w:val="24"/>
        </w:rPr>
        <w:t>PROSPECTS</w:t>
      </w:r>
      <w:r w:rsidRPr="005838E8">
        <w:rPr>
          <w:rFonts w:ascii="Times New Roman" w:eastAsia="Times New Roman" w:hAnsi="Times New Roman" w:cs="Times New Roman"/>
          <w:sz w:val="24"/>
          <w:szCs w:val="24"/>
        </w:rPr>
        <w:t>, 1-17.</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Akers, E., </w:t>
      </w:r>
      <w:proofErr w:type="spellStart"/>
      <w:r w:rsidRPr="005838E8">
        <w:rPr>
          <w:rFonts w:ascii="Times New Roman" w:eastAsia="Times New Roman" w:hAnsi="Times New Roman" w:cs="Times New Roman"/>
          <w:sz w:val="24"/>
          <w:szCs w:val="24"/>
        </w:rPr>
        <w:t>Keshmiripour</w:t>
      </w:r>
      <w:proofErr w:type="spellEnd"/>
      <w:r w:rsidRPr="005838E8">
        <w:rPr>
          <w:rFonts w:ascii="Times New Roman" w:eastAsia="Times New Roman" w:hAnsi="Times New Roman" w:cs="Times New Roman"/>
          <w:sz w:val="24"/>
          <w:szCs w:val="24"/>
        </w:rPr>
        <w:t>, S., &amp; Knox, B. (2024). Expanding equipment lending: Addressing accessibility and curriculum gaps. </w:t>
      </w:r>
      <w:r w:rsidRPr="005838E8">
        <w:rPr>
          <w:rFonts w:ascii="Times New Roman" w:eastAsia="Times New Roman" w:hAnsi="Times New Roman" w:cs="Times New Roman"/>
          <w:i/>
          <w:sz w:val="24"/>
          <w:szCs w:val="24"/>
        </w:rPr>
        <w:t>Journal of Access Services</w:t>
      </w:r>
      <w:r w:rsidRPr="005838E8">
        <w:rPr>
          <w:rFonts w:ascii="Times New Roman" w:eastAsia="Times New Roman" w:hAnsi="Times New Roman" w:cs="Times New Roman"/>
          <w:sz w:val="24"/>
          <w:szCs w:val="24"/>
        </w:rPr>
        <w:t>, 1-13.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Al-</w:t>
      </w:r>
      <w:proofErr w:type="spellStart"/>
      <w:r w:rsidRPr="005838E8">
        <w:rPr>
          <w:rFonts w:ascii="Times New Roman" w:eastAsia="Times New Roman" w:hAnsi="Times New Roman" w:cs="Times New Roman"/>
          <w:sz w:val="24"/>
          <w:szCs w:val="24"/>
        </w:rPr>
        <w:t>Haimi</w:t>
      </w:r>
      <w:proofErr w:type="spellEnd"/>
      <w:r w:rsidRPr="005838E8">
        <w:rPr>
          <w:rFonts w:ascii="Times New Roman" w:eastAsia="Times New Roman" w:hAnsi="Times New Roman" w:cs="Times New Roman"/>
          <w:sz w:val="24"/>
          <w:szCs w:val="24"/>
        </w:rPr>
        <w:t>, B., Ibrahim, D. N., &amp; Omar, R. (2024). Shaping Tomorrow's Minds: A Visionary Exploration of Graduate Education in the 21st Century. </w:t>
      </w:r>
      <w:r w:rsidRPr="005838E8">
        <w:rPr>
          <w:rFonts w:ascii="Times New Roman" w:eastAsia="Times New Roman" w:hAnsi="Times New Roman" w:cs="Times New Roman"/>
          <w:i/>
          <w:sz w:val="24"/>
          <w:szCs w:val="24"/>
        </w:rPr>
        <w:t>International Journal of Academic Research in Progressive Education and Development</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Amusuglo</w:t>
      </w:r>
      <w:proofErr w:type="spellEnd"/>
      <w:r w:rsidRPr="005838E8">
        <w:rPr>
          <w:rFonts w:ascii="Times New Roman" w:eastAsia="Times New Roman" w:hAnsi="Times New Roman" w:cs="Times New Roman"/>
          <w:sz w:val="24"/>
          <w:szCs w:val="24"/>
        </w:rPr>
        <w:t xml:space="preserve">, M., &amp; </w:t>
      </w:r>
      <w:proofErr w:type="spellStart"/>
      <w:r w:rsidRPr="005838E8">
        <w:rPr>
          <w:rFonts w:ascii="Times New Roman" w:eastAsia="Times New Roman" w:hAnsi="Times New Roman" w:cs="Times New Roman"/>
          <w:sz w:val="24"/>
          <w:szCs w:val="24"/>
        </w:rPr>
        <w:t>Jančařík</w:t>
      </w:r>
      <w:proofErr w:type="spellEnd"/>
      <w:r w:rsidRPr="005838E8">
        <w:rPr>
          <w:rFonts w:ascii="Times New Roman" w:eastAsia="Times New Roman" w:hAnsi="Times New Roman" w:cs="Times New Roman"/>
          <w:sz w:val="24"/>
          <w:szCs w:val="24"/>
        </w:rPr>
        <w:t>, A. (2024). Global proficiency framework: Analysis of national and Colleges of Education curricula in Ghana. </w:t>
      </w:r>
      <w:r w:rsidRPr="005838E8">
        <w:rPr>
          <w:rFonts w:ascii="Times New Roman" w:eastAsia="Times New Roman" w:hAnsi="Times New Roman" w:cs="Times New Roman"/>
          <w:i/>
          <w:sz w:val="24"/>
          <w:szCs w:val="24"/>
        </w:rPr>
        <w:t>South African Journal of Childhood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14</w:t>
      </w:r>
      <w:r w:rsidRPr="005838E8">
        <w:rPr>
          <w:rFonts w:ascii="Times New Roman" w:eastAsia="Times New Roman" w:hAnsi="Times New Roman" w:cs="Times New Roman"/>
          <w:sz w:val="24"/>
          <w:szCs w:val="24"/>
        </w:rPr>
        <w:t>(1), 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Badghish</w:t>
      </w:r>
      <w:proofErr w:type="spellEnd"/>
      <w:r w:rsidRPr="005838E8">
        <w:rPr>
          <w:rFonts w:ascii="Times New Roman" w:eastAsia="Times New Roman" w:hAnsi="Times New Roman" w:cs="Times New Roman"/>
          <w:sz w:val="24"/>
          <w:szCs w:val="24"/>
        </w:rPr>
        <w:t xml:space="preserve">, S., Shaik, A. S., </w:t>
      </w:r>
      <w:proofErr w:type="spellStart"/>
      <w:r w:rsidRPr="005838E8">
        <w:rPr>
          <w:rFonts w:ascii="Times New Roman" w:eastAsia="Times New Roman" w:hAnsi="Times New Roman" w:cs="Times New Roman"/>
          <w:sz w:val="24"/>
          <w:szCs w:val="24"/>
        </w:rPr>
        <w:t>Sahore</w:t>
      </w:r>
      <w:proofErr w:type="spellEnd"/>
      <w:r w:rsidRPr="005838E8">
        <w:rPr>
          <w:rFonts w:ascii="Times New Roman" w:eastAsia="Times New Roman" w:hAnsi="Times New Roman" w:cs="Times New Roman"/>
          <w:sz w:val="24"/>
          <w:szCs w:val="24"/>
        </w:rPr>
        <w:t>, N., Srivastava, S., &amp; Masood, A. (2024). Can transactional use of AI-controlled voice assistants for service delivery pickup pace in the near future? A social learning theory (SLT) perspective. </w:t>
      </w:r>
      <w:r w:rsidRPr="005838E8">
        <w:rPr>
          <w:rFonts w:ascii="Times New Roman" w:eastAsia="Times New Roman" w:hAnsi="Times New Roman" w:cs="Times New Roman"/>
          <w:i/>
          <w:sz w:val="24"/>
          <w:szCs w:val="24"/>
        </w:rPr>
        <w:t>Technological Forecasting and Social Change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198</w:t>
      </w:r>
      <w:r w:rsidRPr="005838E8">
        <w:rPr>
          <w:rFonts w:ascii="Times New Roman" w:eastAsia="Times New Roman" w:hAnsi="Times New Roman" w:cs="Times New Roman"/>
          <w:sz w:val="24"/>
          <w:szCs w:val="24"/>
        </w:rPr>
        <w:t>, 122972.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Batbayar</w:t>
      </w:r>
      <w:proofErr w:type="spellEnd"/>
      <w:r w:rsidRPr="005838E8">
        <w:rPr>
          <w:rFonts w:ascii="Times New Roman" w:eastAsia="Times New Roman" w:hAnsi="Times New Roman" w:cs="Times New Roman"/>
          <w:sz w:val="24"/>
          <w:szCs w:val="24"/>
        </w:rPr>
        <w:t xml:space="preserve">, B. (2024). The Comparison Study of Generation X, Generation Y and Generation Z in Social Science. International Journal of Innovation Scientific Research and Review Vol. 06, Issue, 03, pp.6065-6069, March 2024.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Bayley, S. H. (2024). Creating classrooms for change: A qualitative study of practices to promote children's skills for adaptability in primary schools in Kigali, Rwanda. </w:t>
      </w:r>
      <w:r w:rsidRPr="005838E8">
        <w:rPr>
          <w:rFonts w:ascii="Times New Roman" w:eastAsia="Times New Roman" w:hAnsi="Times New Roman" w:cs="Times New Roman"/>
          <w:i/>
          <w:sz w:val="24"/>
          <w:szCs w:val="24"/>
        </w:rPr>
        <w:t>International Journal of Educational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124</w:t>
      </w:r>
      <w:r w:rsidRPr="005838E8">
        <w:rPr>
          <w:rFonts w:ascii="Times New Roman" w:eastAsia="Times New Roman" w:hAnsi="Times New Roman" w:cs="Times New Roman"/>
          <w:sz w:val="24"/>
          <w:szCs w:val="24"/>
        </w:rPr>
        <w:t>, 102313.</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Bray, A., Devitt, A., Banks, J., Sanchez Fuentes, S., Sandoval, M., </w:t>
      </w:r>
      <w:proofErr w:type="spellStart"/>
      <w:r w:rsidRPr="005838E8">
        <w:rPr>
          <w:rFonts w:ascii="Times New Roman" w:eastAsia="Times New Roman" w:hAnsi="Times New Roman" w:cs="Times New Roman"/>
          <w:sz w:val="24"/>
          <w:szCs w:val="24"/>
        </w:rPr>
        <w:t>Riviou</w:t>
      </w:r>
      <w:proofErr w:type="spellEnd"/>
      <w:r w:rsidRPr="005838E8">
        <w:rPr>
          <w:rFonts w:ascii="Times New Roman" w:eastAsia="Times New Roman" w:hAnsi="Times New Roman" w:cs="Times New Roman"/>
          <w:sz w:val="24"/>
          <w:szCs w:val="24"/>
        </w:rPr>
        <w:t xml:space="preserve">, K., ... &amp; </w:t>
      </w:r>
      <w:proofErr w:type="spellStart"/>
      <w:r w:rsidRPr="005838E8">
        <w:rPr>
          <w:rFonts w:ascii="Times New Roman" w:eastAsia="Times New Roman" w:hAnsi="Times New Roman" w:cs="Times New Roman"/>
          <w:sz w:val="24"/>
          <w:szCs w:val="24"/>
        </w:rPr>
        <w:t>Terrenzio</w:t>
      </w:r>
      <w:proofErr w:type="spellEnd"/>
      <w:r w:rsidRPr="005838E8">
        <w:rPr>
          <w:rFonts w:ascii="Times New Roman" w:eastAsia="Times New Roman" w:hAnsi="Times New Roman" w:cs="Times New Roman"/>
          <w:sz w:val="24"/>
          <w:szCs w:val="24"/>
        </w:rPr>
        <w:t>, S. (2024). What next for Universal Design for Learning? A systematic literature review of technology in UDL implementations at the second level. </w:t>
      </w:r>
      <w:r w:rsidRPr="005838E8">
        <w:rPr>
          <w:rFonts w:ascii="Times New Roman" w:eastAsia="Times New Roman" w:hAnsi="Times New Roman" w:cs="Times New Roman"/>
          <w:i/>
          <w:sz w:val="24"/>
          <w:szCs w:val="24"/>
        </w:rPr>
        <w:t>British Journal of Educational Technology</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55</w:t>
      </w:r>
      <w:r w:rsidRPr="005838E8">
        <w:rPr>
          <w:rFonts w:ascii="Times New Roman" w:eastAsia="Times New Roman" w:hAnsi="Times New Roman" w:cs="Times New Roman"/>
          <w:sz w:val="24"/>
          <w:szCs w:val="24"/>
        </w:rPr>
        <w:t>(1), 113-138.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Chilvers</w:t>
      </w:r>
      <w:proofErr w:type="spellEnd"/>
      <w:r w:rsidRPr="005838E8">
        <w:rPr>
          <w:rFonts w:ascii="Times New Roman" w:eastAsia="Times New Roman" w:hAnsi="Times New Roman" w:cs="Times New Roman"/>
          <w:sz w:val="24"/>
          <w:szCs w:val="24"/>
        </w:rPr>
        <w:t>, L. (2025). The Peer-to-Peer Model: A UK Institution’s Approach to Broadening and Embedding the Provision of Peer Learning and Support. </w:t>
      </w:r>
      <w:r w:rsidRPr="005838E8">
        <w:rPr>
          <w:rFonts w:ascii="Times New Roman" w:eastAsia="Times New Roman" w:hAnsi="Times New Roman" w:cs="Times New Roman"/>
          <w:i/>
          <w:sz w:val="24"/>
          <w:szCs w:val="24"/>
        </w:rPr>
        <w:t>Journal of Peer Learning</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16</w:t>
      </w:r>
      <w:r w:rsidRPr="005838E8">
        <w:rPr>
          <w:rFonts w:ascii="Times New Roman" w:eastAsia="Times New Roman" w:hAnsi="Times New Roman" w:cs="Times New Roman"/>
          <w:sz w:val="24"/>
          <w:szCs w:val="24"/>
        </w:rPr>
        <w:t>(1), 1-15.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Copsey, O. (2020). A regional approach to eco-schools in the Western Indian Ocean. </w:t>
      </w:r>
      <w:r w:rsidRPr="005838E8">
        <w:rPr>
          <w:rFonts w:ascii="Times New Roman" w:eastAsia="Times New Roman" w:hAnsi="Times New Roman" w:cs="Times New Roman"/>
          <w:i/>
          <w:sz w:val="24"/>
          <w:szCs w:val="24"/>
        </w:rPr>
        <w:t>Green schools globally: Stories of impact on education for sustainable development</w:t>
      </w:r>
      <w:r w:rsidRPr="005838E8">
        <w:rPr>
          <w:rFonts w:ascii="Times New Roman" w:eastAsia="Times New Roman" w:hAnsi="Times New Roman" w:cs="Times New Roman"/>
          <w:sz w:val="24"/>
          <w:szCs w:val="24"/>
        </w:rPr>
        <w:t>, 403-418.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Culver, D. M., Duarte, T., Kraft, E., &amp; </w:t>
      </w:r>
      <w:proofErr w:type="spellStart"/>
      <w:r w:rsidRPr="005838E8">
        <w:rPr>
          <w:rFonts w:ascii="Times New Roman" w:eastAsia="Times New Roman" w:hAnsi="Times New Roman" w:cs="Times New Roman"/>
          <w:sz w:val="24"/>
          <w:szCs w:val="24"/>
        </w:rPr>
        <w:t>Werthner</w:t>
      </w:r>
      <w:proofErr w:type="spellEnd"/>
      <w:r w:rsidRPr="005838E8">
        <w:rPr>
          <w:rFonts w:ascii="Times New Roman" w:eastAsia="Times New Roman" w:hAnsi="Times New Roman" w:cs="Times New Roman"/>
          <w:sz w:val="24"/>
          <w:szCs w:val="24"/>
        </w:rPr>
        <w:t>, P. (2024). Learning as a Social Enterprise: Wenger-</w:t>
      </w:r>
      <w:proofErr w:type="spellStart"/>
      <w:r w:rsidRPr="005838E8">
        <w:rPr>
          <w:rFonts w:ascii="Times New Roman" w:eastAsia="Times New Roman" w:hAnsi="Times New Roman" w:cs="Times New Roman"/>
          <w:sz w:val="24"/>
          <w:szCs w:val="24"/>
        </w:rPr>
        <w:t>Trayner's</w:t>
      </w:r>
      <w:proofErr w:type="spellEnd"/>
      <w:r w:rsidRPr="005838E8">
        <w:rPr>
          <w:rFonts w:ascii="Times New Roman" w:eastAsia="Times New Roman" w:hAnsi="Times New Roman" w:cs="Times New Roman"/>
          <w:sz w:val="24"/>
          <w:szCs w:val="24"/>
        </w:rPr>
        <w:t xml:space="preserve"> Social Learning Theory in Coach Development. In </w:t>
      </w:r>
      <w:proofErr w:type="gramStart"/>
      <w:r w:rsidRPr="005838E8">
        <w:rPr>
          <w:rFonts w:ascii="Times New Roman" w:eastAsia="Times New Roman" w:hAnsi="Times New Roman" w:cs="Times New Roman"/>
          <w:i/>
          <w:sz w:val="24"/>
          <w:szCs w:val="24"/>
        </w:rPr>
        <w:t>The</w:t>
      </w:r>
      <w:proofErr w:type="gramEnd"/>
      <w:r w:rsidRPr="005838E8">
        <w:rPr>
          <w:rFonts w:ascii="Times New Roman" w:eastAsia="Times New Roman" w:hAnsi="Times New Roman" w:cs="Times New Roman"/>
          <w:i/>
          <w:sz w:val="24"/>
          <w:szCs w:val="24"/>
        </w:rPr>
        <w:t xml:space="preserve"> Routledge Handbook of Coach Development in Sport</w:t>
      </w:r>
      <w:r w:rsidRPr="005838E8">
        <w:rPr>
          <w:rFonts w:ascii="Times New Roman" w:eastAsia="Times New Roman" w:hAnsi="Times New Roman" w:cs="Times New Roman"/>
          <w:sz w:val="24"/>
          <w:szCs w:val="24"/>
        </w:rPr>
        <w:t> (pp. 177-193). Routledge.</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Da Silva, G. H. G., &amp; da Ponte, J. P. (2025). Primary school teachers and their engagement with critical mathematics education via landscapes of investigation. </w:t>
      </w:r>
      <w:r w:rsidRPr="005838E8">
        <w:rPr>
          <w:rFonts w:ascii="Times New Roman" w:eastAsia="Times New Roman" w:hAnsi="Times New Roman" w:cs="Times New Roman"/>
          <w:i/>
          <w:sz w:val="24"/>
          <w:szCs w:val="24"/>
        </w:rPr>
        <w:t>Eurasia Journal of Mathematics, Science and Technology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21</w:t>
      </w:r>
      <w:r w:rsidRPr="005838E8">
        <w:rPr>
          <w:rFonts w:ascii="Times New Roman" w:eastAsia="Times New Roman" w:hAnsi="Times New Roman" w:cs="Times New Roman"/>
          <w:sz w:val="24"/>
          <w:szCs w:val="24"/>
        </w:rPr>
        <w:t>(5), em2636.</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Da Silva-Jean, M., &amp; </w:t>
      </w:r>
      <w:proofErr w:type="spellStart"/>
      <w:r w:rsidRPr="005838E8">
        <w:rPr>
          <w:rFonts w:ascii="Times New Roman" w:eastAsia="Times New Roman" w:hAnsi="Times New Roman" w:cs="Times New Roman"/>
          <w:sz w:val="24"/>
          <w:szCs w:val="24"/>
        </w:rPr>
        <w:t>Kneippb</w:t>
      </w:r>
      <w:proofErr w:type="spellEnd"/>
      <w:r w:rsidRPr="005838E8">
        <w:rPr>
          <w:rFonts w:ascii="Times New Roman" w:eastAsia="Times New Roman" w:hAnsi="Times New Roman" w:cs="Times New Roman"/>
          <w:sz w:val="24"/>
          <w:szCs w:val="24"/>
        </w:rPr>
        <w:t>, J. M. (2024). Social learning, innovation, and sustainability: The search for directions beyond a systematic literature review. </w:t>
      </w:r>
      <w:proofErr w:type="spellStart"/>
      <w:r w:rsidRPr="005838E8">
        <w:rPr>
          <w:rFonts w:ascii="Times New Roman" w:eastAsia="Times New Roman" w:hAnsi="Times New Roman" w:cs="Times New Roman"/>
          <w:i/>
          <w:sz w:val="24"/>
          <w:szCs w:val="24"/>
        </w:rPr>
        <w:t>Heliyon</w:t>
      </w:r>
      <w:proofErr w:type="spellEnd"/>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10</w:t>
      </w:r>
      <w:r w:rsidRPr="005838E8">
        <w:rPr>
          <w:rFonts w:ascii="Times New Roman" w:eastAsia="Times New Roman" w:hAnsi="Times New Roman" w:cs="Times New Roman"/>
          <w:sz w:val="24"/>
          <w:szCs w:val="24"/>
        </w:rPr>
        <w:t>(7).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Dlamini, T. C., &amp; Zulu, F. Q. B. (2024). Curriculum implementation challenges and responses during the COVID-19 pandemic in a rural secondary school in South Africa. </w:t>
      </w:r>
      <w:r w:rsidRPr="005838E8">
        <w:rPr>
          <w:rFonts w:ascii="Times New Roman" w:eastAsia="Times New Roman" w:hAnsi="Times New Roman" w:cs="Times New Roman"/>
          <w:i/>
          <w:sz w:val="24"/>
          <w:szCs w:val="24"/>
        </w:rPr>
        <w:t>African Journal of Career Development</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6</w:t>
      </w:r>
      <w:r w:rsidRPr="005838E8">
        <w:rPr>
          <w:rFonts w:ascii="Times New Roman" w:eastAsia="Times New Roman" w:hAnsi="Times New Roman" w:cs="Times New Roman"/>
          <w:sz w:val="24"/>
          <w:szCs w:val="24"/>
        </w:rPr>
        <w:t>(1), 73.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Dzerefos</w:t>
      </w:r>
      <w:proofErr w:type="spellEnd"/>
      <w:r w:rsidRPr="005838E8">
        <w:rPr>
          <w:rFonts w:ascii="Times New Roman" w:eastAsia="Times New Roman" w:hAnsi="Times New Roman" w:cs="Times New Roman"/>
          <w:sz w:val="24"/>
          <w:szCs w:val="24"/>
        </w:rPr>
        <w:t>, C. (2020). Reviewing education for sustainable development practices in South African eco-schools.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26</w:t>
      </w:r>
      <w:r w:rsidRPr="005838E8">
        <w:rPr>
          <w:rFonts w:ascii="Times New Roman" w:eastAsia="Times New Roman" w:hAnsi="Times New Roman" w:cs="Times New Roman"/>
          <w:sz w:val="24"/>
          <w:szCs w:val="24"/>
        </w:rPr>
        <w:t>(11), 1621-1635.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lastRenderedPageBreak/>
        <w:t>Eustance</w:t>
      </w:r>
      <w:proofErr w:type="spellEnd"/>
      <w:r w:rsidRPr="005838E8">
        <w:rPr>
          <w:rFonts w:ascii="Times New Roman" w:eastAsia="Times New Roman" w:hAnsi="Times New Roman" w:cs="Times New Roman"/>
          <w:sz w:val="24"/>
          <w:szCs w:val="24"/>
        </w:rPr>
        <w:t xml:space="preserve">, W., Edward, A., Zami, A. D., &amp; </w:t>
      </w:r>
      <w:proofErr w:type="spellStart"/>
      <w:r w:rsidRPr="005838E8">
        <w:rPr>
          <w:rFonts w:ascii="Times New Roman" w:eastAsia="Times New Roman" w:hAnsi="Times New Roman" w:cs="Times New Roman"/>
          <w:sz w:val="24"/>
          <w:szCs w:val="24"/>
        </w:rPr>
        <w:t>Suubi</w:t>
      </w:r>
      <w:proofErr w:type="spellEnd"/>
      <w:r w:rsidRPr="005838E8">
        <w:rPr>
          <w:rFonts w:ascii="Times New Roman" w:eastAsia="Times New Roman" w:hAnsi="Times New Roman" w:cs="Times New Roman"/>
          <w:sz w:val="24"/>
          <w:szCs w:val="24"/>
        </w:rPr>
        <w:t>, U. M. S. (2022). Environmental Literacy and Practice of Environmental Sustainability among Secondary School Students in Busia District, Eastern Uganda. </w:t>
      </w:r>
      <w:r w:rsidRPr="005838E8">
        <w:rPr>
          <w:rFonts w:ascii="Times New Roman" w:eastAsia="Times New Roman" w:hAnsi="Times New Roman" w:cs="Times New Roman"/>
          <w:i/>
          <w:sz w:val="24"/>
          <w:szCs w:val="24"/>
        </w:rPr>
        <w:t>East African Journal of Education Studies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w:t>
      </w:r>
      <w:r w:rsidRPr="005838E8">
        <w:rPr>
          <w:rFonts w:ascii="Times New Roman" w:eastAsia="Times New Roman" w:hAnsi="Times New Roman" w:cs="Times New Roman"/>
          <w:sz w:val="24"/>
          <w:szCs w:val="24"/>
        </w:rPr>
        <w:t>(2), 1-12.</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Funk, J., &amp; Woodroffe, T. (2024). A differentiated approach to indigenous pedagogies: addressing gaps in teachers’ knowledge. </w:t>
      </w:r>
      <w:r w:rsidRPr="005838E8">
        <w:rPr>
          <w:rFonts w:ascii="Times New Roman" w:eastAsia="Times New Roman" w:hAnsi="Times New Roman" w:cs="Times New Roman"/>
          <w:i/>
          <w:sz w:val="24"/>
          <w:szCs w:val="24"/>
        </w:rPr>
        <w:t>The Australian Educational Researcher</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51</w:t>
      </w:r>
      <w:r w:rsidRPr="005838E8">
        <w:rPr>
          <w:rFonts w:ascii="Times New Roman" w:eastAsia="Times New Roman" w:hAnsi="Times New Roman" w:cs="Times New Roman"/>
          <w:sz w:val="24"/>
          <w:szCs w:val="24"/>
        </w:rPr>
        <w:t>(2), 631-650.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Garrard, K. A., Cairns, R., </w:t>
      </w:r>
      <w:proofErr w:type="spellStart"/>
      <w:r w:rsidRPr="005838E8">
        <w:rPr>
          <w:rFonts w:ascii="Times New Roman" w:eastAsia="Times New Roman" w:hAnsi="Times New Roman" w:cs="Times New Roman"/>
          <w:sz w:val="24"/>
          <w:szCs w:val="24"/>
        </w:rPr>
        <w:t>Weinmann</w:t>
      </w:r>
      <w:proofErr w:type="spellEnd"/>
      <w:r w:rsidRPr="005838E8">
        <w:rPr>
          <w:rFonts w:ascii="Times New Roman" w:eastAsia="Times New Roman" w:hAnsi="Times New Roman" w:cs="Times New Roman"/>
          <w:sz w:val="24"/>
          <w:szCs w:val="24"/>
        </w:rPr>
        <w:t>, M., Hannigan, S., &amp; Phillips, F. (2024). Engaging diverse voices across sites of curriculum making in Australia: realities and possibilities. </w:t>
      </w:r>
      <w:r w:rsidRPr="005838E8">
        <w:rPr>
          <w:rFonts w:ascii="Times New Roman" w:eastAsia="Times New Roman" w:hAnsi="Times New Roman" w:cs="Times New Roman"/>
          <w:i/>
          <w:sz w:val="24"/>
          <w:szCs w:val="24"/>
        </w:rPr>
        <w:t>The Australian Educational Researcher</w:t>
      </w:r>
      <w:r w:rsidRPr="005838E8">
        <w:rPr>
          <w:rFonts w:ascii="Times New Roman" w:eastAsia="Times New Roman" w:hAnsi="Times New Roman" w:cs="Times New Roman"/>
          <w:sz w:val="24"/>
          <w:szCs w:val="24"/>
        </w:rPr>
        <w:t>, 1-17.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Gebrekidan</w:t>
      </w:r>
      <w:proofErr w:type="spellEnd"/>
      <w:r w:rsidRPr="005838E8">
        <w:rPr>
          <w:rFonts w:ascii="Times New Roman" w:eastAsia="Times New Roman" w:hAnsi="Times New Roman" w:cs="Times New Roman"/>
          <w:sz w:val="24"/>
          <w:szCs w:val="24"/>
        </w:rPr>
        <w:t>, T. K., &amp; Gebremedhin, G. G. (2024). Integration and effectiveness of formal environmental education in Africa and India: Review. </w:t>
      </w:r>
      <w:r w:rsidRPr="005838E8">
        <w:rPr>
          <w:rFonts w:ascii="Times New Roman" w:eastAsia="Times New Roman" w:hAnsi="Times New Roman" w:cs="Times New Roman"/>
          <w:i/>
          <w:sz w:val="24"/>
          <w:szCs w:val="24"/>
        </w:rPr>
        <w:t>European Journal of Sustainable Development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8</w:t>
      </w:r>
      <w:r w:rsidRPr="005838E8">
        <w:rPr>
          <w:rFonts w:ascii="Times New Roman" w:eastAsia="Times New Roman" w:hAnsi="Times New Roman" w:cs="Times New Roman"/>
          <w:sz w:val="24"/>
          <w:szCs w:val="24"/>
        </w:rPr>
        <w:t>(2).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Getenet</w:t>
      </w:r>
      <w:proofErr w:type="spellEnd"/>
      <w:r w:rsidRPr="005838E8">
        <w:rPr>
          <w:rFonts w:ascii="Times New Roman" w:eastAsia="Times New Roman" w:hAnsi="Times New Roman" w:cs="Times New Roman"/>
          <w:sz w:val="24"/>
          <w:szCs w:val="24"/>
        </w:rPr>
        <w:t>, S. (2025). Mapping initial teacher education program courses with professional standards of teachers: implications for professional learning. Quality Assurance in Education.</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Graves, K. (2023). Mind the gap: A tale of two curriculum fallacies. </w:t>
      </w:r>
      <w:r w:rsidRPr="005838E8">
        <w:rPr>
          <w:rFonts w:ascii="Times New Roman" w:eastAsia="Times New Roman" w:hAnsi="Times New Roman" w:cs="Times New Roman"/>
          <w:i/>
          <w:sz w:val="24"/>
          <w:szCs w:val="24"/>
        </w:rPr>
        <w:t>Language Teaching</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56</w:t>
      </w:r>
      <w:r w:rsidRPr="005838E8">
        <w:rPr>
          <w:rFonts w:ascii="Times New Roman" w:eastAsia="Times New Roman" w:hAnsi="Times New Roman" w:cs="Times New Roman"/>
          <w:sz w:val="24"/>
          <w:szCs w:val="24"/>
        </w:rPr>
        <w:t>(2), 197-209.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Hoang, A., Hepburn, S. J., </w:t>
      </w:r>
      <w:proofErr w:type="spellStart"/>
      <w:r w:rsidRPr="005838E8">
        <w:rPr>
          <w:rFonts w:ascii="Times New Roman" w:eastAsia="Times New Roman" w:hAnsi="Times New Roman" w:cs="Times New Roman"/>
          <w:sz w:val="24"/>
          <w:szCs w:val="24"/>
        </w:rPr>
        <w:t>Tomizawa</w:t>
      </w:r>
      <w:proofErr w:type="spellEnd"/>
      <w:r w:rsidRPr="005838E8">
        <w:rPr>
          <w:rFonts w:ascii="Times New Roman" w:eastAsia="Times New Roman" w:hAnsi="Times New Roman" w:cs="Times New Roman"/>
          <w:sz w:val="24"/>
          <w:szCs w:val="24"/>
        </w:rPr>
        <w:t>, S., Carroll, A., Edwards, E., &amp; Sanders, M. (2025). Using a stakeholder engagement approach to inform professional development programs to promote education for sustainability in schools.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31</w:t>
      </w:r>
      <w:r w:rsidRPr="005838E8">
        <w:rPr>
          <w:rFonts w:ascii="Times New Roman" w:eastAsia="Times New Roman" w:hAnsi="Times New Roman" w:cs="Times New Roman"/>
          <w:sz w:val="24"/>
          <w:szCs w:val="24"/>
        </w:rPr>
        <w:t>(6), 1135-1153.</w:t>
      </w:r>
    </w:p>
    <w:p w:rsidR="00E77F2B" w:rsidRPr="005838E8" w:rsidRDefault="0027215D">
      <w:pPr>
        <w:spacing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Hsu, C. H. (2025). Outdoor environmental education as a nature-based solution for “education” and “environment”: a new conceptual framework and its pilot application in a coastal community case study in Taiwan. Journal of Coastal Conservation, 29(1), 13.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Isaeva</w:t>
      </w:r>
      <w:proofErr w:type="spellEnd"/>
      <w:r w:rsidRPr="005838E8">
        <w:rPr>
          <w:rFonts w:ascii="Times New Roman" w:eastAsia="Times New Roman" w:hAnsi="Times New Roman" w:cs="Times New Roman"/>
          <w:sz w:val="24"/>
          <w:szCs w:val="24"/>
        </w:rPr>
        <w:t xml:space="preserve">, R., </w:t>
      </w:r>
      <w:proofErr w:type="spellStart"/>
      <w:r w:rsidRPr="005838E8">
        <w:rPr>
          <w:rFonts w:ascii="Times New Roman" w:eastAsia="Times New Roman" w:hAnsi="Times New Roman" w:cs="Times New Roman"/>
          <w:sz w:val="24"/>
          <w:szCs w:val="24"/>
        </w:rPr>
        <w:t>Karasartova</w:t>
      </w:r>
      <w:proofErr w:type="spellEnd"/>
      <w:r w:rsidRPr="005838E8">
        <w:rPr>
          <w:rFonts w:ascii="Times New Roman" w:eastAsia="Times New Roman" w:hAnsi="Times New Roman" w:cs="Times New Roman"/>
          <w:sz w:val="24"/>
          <w:szCs w:val="24"/>
        </w:rPr>
        <w:t xml:space="preserve">, N., </w:t>
      </w:r>
      <w:proofErr w:type="spellStart"/>
      <w:r w:rsidRPr="005838E8">
        <w:rPr>
          <w:rFonts w:ascii="Times New Roman" w:eastAsia="Times New Roman" w:hAnsi="Times New Roman" w:cs="Times New Roman"/>
          <w:sz w:val="24"/>
          <w:szCs w:val="24"/>
        </w:rPr>
        <w:t>Dznunusnalieva</w:t>
      </w:r>
      <w:proofErr w:type="spellEnd"/>
      <w:r w:rsidRPr="005838E8">
        <w:rPr>
          <w:rFonts w:ascii="Times New Roman" w:eastAsia="Times New Roman" w:hAnsi="Times New Roman" w:cs="Times New Roman"/>
          <w:sz w:val="24"/>
          <w:szCs w:val="24"/>
        </w:rPr>
        <w:t xml:space="preserve">, K., </w:t>
      </w:r>
      <w:proofErr w:type="spellStart"/>
      <w:r w:rsidRPr="005838E8">
        <w:rPr>
          <w:rFonts w:ascii="Times New Roman" w:eastAsia="Times New Roman" w:hAnsi="Times New Roman" w:cs="Times New Roman"/>
          <w:sz w:val="24"/>
          <w:szCs w:val="24"/>
        </w:rPr>
        <w:t>Mirzoeva</w:t>
      </w:r>
      <w:proofErr w:type="spellEnd"/>
      <w:r w:rsidRPr="005838E8">
        <w:rPr>
          <w:rFonts w:ascii="Times New Roman" w:eastAsia="Times New Roman" w:hAnsi="Times New Roman" w:cs="Times New Roman"/>
          <w:sz w:val="24"/>
          <w:szCs w:val="24"/>
        </w:rPr>
        <w:t xml:space="preserve">, K., &amp; </w:t>
      </w:r>
      <w:proofErr w:type="spellStart"/>
      <w:r w:rsidRPr="005838E8">
        <w:rPr>
          <w:rFonts w:ascii="Times New Roman" w:eastAsia="Times New Roman" w:hAnsi="Times New Roman" w:cs="Times New Roman"/>
          <w:sz w:val="24"/>
          <w:szCs w:val="24"/>
        </w:rPr>
        <w:t>Mokliuk</w:t>
      </w:r>
      <w:proofErr w:type="spellEnd"/>
      <w:r w:rsidRPr="005838E8">
        <w:rPr>
          <w:rFonts w:ascii="Times New Roman" w:eastAsia="Times New Roman" w:hAnsi="Times New Roman" w:cs="Times New Roman"/>
          <w:sz w:val="24"/>
          <w:szCs w:val="24"/>
        </w:rPr>
        <w:t>, M. (2025). Enhancing learning effectiveness through adaptive learning platforms and emerging computer technologies in education. </w:t>
      </w:r>
      <w:proofErr w:type="spellStart"/>
      <w:r w:rsidRPr="005838E8">
        <w:rPr>
          <w:rFonts w:ascii="Times New Roman" w:eastAsia="Times New Roman" w:hAnsi="Times New Roman" w:cs="Times New Roman"/>
          <w:i/>
          <w:sz w:val="24"/>
          <w:szCs w:val="24"/>
        </w:rPr>
        <w:t>Jurnal</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Ilmiah</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Ilmu</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Terapan</w:t>
      </w:r>
      <w:proofErr w:type="spellEnd"/>
      <w:r w:rsidRPr="005838E8">
        <w:rPr>
          <w:rFonts w:ascii="Times New Roman" w:eastAsia="Times New Roman" w:hAnsi="Times New Roman" w:cs="Times New Roman"/>
          <w:i/>
          <w:sz w:val="24"/>
          <w:szCs w:val="24"/>
        </w:rPr>
        <w:t xml:space="preserve"> </w:t>
      </w:r>
      <w:proofErr w:type="spellStart"/>
      <w:r w:rsidRPr="005838E8">
        <w:rPr>
          <w:rFonts w:ascii="Times New Roman" w:eastAsia="Times New Roman" w:hAnsi="Times New Roman" w:cs="Times New Roman"/>
          <w:i/>
          <w:sz w:val="24"/>
          <w:szCs w:val="24"/>
        </w:rPr>
        <w:t>Universitas</w:t>
      </w:r>
      <w:proofErr w:type="spellEnd"/>
      <w:r w:rsidRPr="005838E8">
        <w:rPr>
          <w:rFonts w:ascii="Times New Roman" w:eastAsia="Times New Roman" w:hAnsi="Times New Roman" w:cs="Times New Roman"/>
          <w:i/>
          <w:sz w:val="24"/>
          <w:szCs w:val="24"/>
        </w:rPr>
        <w:t xml:space="preserve"> Jambi</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9</w:t>
      </w:r>
      <w:r w:rsidRPr="005838E8">
        <w:rPr>
          <w:rFonts w:ascii="Times New Roman" w:eastAsia="Times New Roman" w:hAnsi="Times New Roman" w:cs="Times New Roman"/>
          <w:sz w:val="24"/>
          <w:szCs w:val="24"/>
        </w:rPr>
        <w:t>(1), 144-160.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Ishaque</w:t>
      </w:r>
      <w:proofErr w:type="spellEnd"/>
      <w:r w:rsidRPr="005838E8">
        <w:rPr>
          <w:rFonts w:ascii="Times New Roman" w:eastAsia="Times New Roman" w:hAnsi="Times New Roman" w:cs="Times New Roman"/>
          <w:sz w:val="24"/>
          <w:szCs w:val="24"/>
        </w:rPr>
        <w:t>, B., Paul, I. A., &amp; Fatima, H. (2025). Exploring Environmental Education Content and Pedagogical Skills for Trainee Teachers: A Study on Ecological Literacy, Environmental Issues, and Practical Teaching Approaches. </w:t>
      </w:r>
      <w:r w:rsidRPr="005838E8">
        <w:rPr>
          <w:rFonts w:ascii="Times New Roman" w:eastAsia="Times New Roman" w:hAnsi="Times New Roman" w:cs="Times New Roman"/>
          <w:i/>
          <w:sz w:val="24"/>
          <w:szCs w:val="24"/>
        </w:rPr>
        <w:t>Open Journal of Social Sciences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(1), 154-174.</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Issa, Z., </w:t>
      </w:r>
      <w:proofErr w:type="spellStart"/>
      <w:r w:rsidRPr="005838E8">
        <w:rPr>
          <w:rFonts w:ascii="Times New Roman" w:eastAsia="Times New Roman" w:hAnsi="Times New Roman" w:cs="Times New Roman"/>
          <w:sz w:val="24"/>
          <w:szCs w:val="24"/>
        </w:rPr>
        <w:t>Mwakapina</w:t>
      </w:r>
      <w:proofErr w:type="spellEnd"/>
      <w:r w:rsidRPr="005838E8">
        <w:rPr>
          <w:rFonts w:ascii="Times New Roman" w:eastAsia="Times New Roman" w:hAnsi="Times New Roman" w:cs="Times New Roman"/>
          <w:sz w:val="24"/>
          <w:szCs w:val="24"/>
        </w:rPr>
        <w:t xml:space="preserve">, J., &amp; </w:t>
      </w:r>
      <w:proofErr w:type="spellStart"/>
      <w:r w:rsidRPr="005838E8">
        <w:rPr>
          <w:rFonts w:ascii="Times New Roman" w:eastAsia="Times New Roman" w:hAnsi="Times New Roman" w:cs="Times New Roman"/>
          <w:sz w:val="24"/>
          <w:szCs w:val="24"/>
        </w:rPr>
        <w:t>Nyinondi</w:t>
      </w:r>
      <w:proofErr w:type="spellEnd"/>
      <w:r w:rsidRPr="005838E8">
        <w:rPr>
          <w:rFonts w:ascii="Times New Roman" w:eastAsia="Times New Roman" w:hAnsi="Times New Roman" w:cs="Times New Roman"/>
          <w:sz w:val="24"/>
          <w:szCs w:val="24"/>
        </w:rPr>
        <w:t xml:space="preserve">, O. (2024). Competence based curriculum in practice: English curriculum implementation prospects and challenges in </w:t>
      </w:r>
      <w:proofErr w:type="spellStart"/>
      <w:r w:rsidRPr="005838E8">
        <w:rPr>
          <w:rFonts w:ascii="Times New Roman" w:eastAsia="Times New Roman" w:hAnsi="Times New Roman" w:cs="Times New Roman"/>
          <w:sz w:val="24"/>
          <w:szCs w:val="24"/>
        </w:rPr>
        <w:t>Mtama</w:t>
      </w:r>
      <w:proofErr w:type="spellEnd"/>
      <w:r w:rsidRPr="005838E8">
        <w:rPr>
          <w:rFonts w:ascii="Times New Roman" w:eastAsia="Times New Roman" w:hAnsi="Times New Roman" w:cs="Times New Roman"/>
          <w:sz w:val="24"/>
          <w:szCs w:val="24"/>
        </w:rPr>
        <w:t xml:space="preserve"> District secondary schools in Tanzania. </w:t>
      </w:r>
      <w:r w:rsidRPr="005838E8">
        <w:rPr>
          <w:rFonts w:ascii="Times New Roman" w:eastAsia="Times New Roman" w:hAnsi="Times New Roman" w:cs="Times New Roman"/>
          <w:i/>
          <w:sz w:val="24"/>
          <w:szCs w:val="24"/>
        </w:rPr>
        <w:t>International Journal of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(5), 29-39.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Kambona</w:t>
      </w:r>
      <w:proofErr w:type="spellEnd"/>
      <w:r w:rsidRPr="005838E8">
        <w:rPr>
          <w:rFonts w:ascii="Times New Roman" w:eastAsia="Times New Roman" w:hAnsi="Times New Roman" w:cs="Times New Roman"/>
          <w:sz w:val="24"/>
          <w:szCs w:val="24"/>
        </w:rPr>
        <w:t xml:space="preserve">, W., &amp; </w:t>
      </w:r>
      <w:proofErr w:type="spellStart"/>
      <w:r w:rsidRPr="005838E8">
        <w:rPr>
          <w:rFonts w:ascii="Times New Roman" w:eastAsia="Times New Roman" w:hAnsi="Times New Roman" w:cs="Times New Roman"/>
          <w:sz w:val="24"/>
          <w:szCs w:val="24"/>
        </w:rPr>
        <w:t>Ndibalema</w:t>
      </w:r>
      <w:proofErr w:type="spellEnd"/>
      <w:r w:rsidRPr="005838E8">
        <w:rPr>
          <w:rFonts w:ascii="Times New Roman" w:eastAsia="Times New Roman" w:hAnsi="Times New Roman" w:cs="Times New Roman"/>
          <w:sz w:val="24"/>
          <w:szCs w:val="24"/>
        </w:rPr>
        <w:t>, P. (2025). Examining inequalities in provision of early childhood education in Tanzania: a systematic review. Cogent Education, 12(1), 2439161.</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Kamphambale</w:t>
      </w:r>
      <w:proofErr w:type="spellEnd"/>
      <w:r w:rsidRPr="005838E8">
        <w:rPr>
          <w:rFonts w:ascii="Times New Roman" w:eastAsia="Times New Roman" w:hAnsi="Times New Roman" w:cs="Times New Roman"/>
          <w:sz w:val="24"/>
          <w:szCs w:val="24"/>
        </w:rPr>
        <w:t xml:space="preserve">, D., Morales, L., </w:t>
      </w:r>
      <w:proofErr w:type="spellStart"/>
      <w:r w:rsidRPr="005838E8">
        <w:rPr>
          <w:rFonts w:ascii="Times New Roman" w:eastAsia="Times New Roman" w:hAnsi="Times New Roman" w:cs="Times New Roman"/>
          <w:sz w:val="24"/>
          <w:szCs w:val="24"/>
        </w:rPr>
        <w:t>MacMahon</w:t>
      </w:r>
      <w:proofErr w:type="spellEnd"/>
      <w:r w:rsidRPr="005838E8">
        <w:rPr>
          <w:rFonts w:ascii="Times New Roman" w:eastAsia="Times New Roman" w:hAnsi="Times New Roman" w:cs="Times New Roman"/>
          <w:sz w:val="24"/>
          <w:szCs w:val="24"/>
        </w:rPr>
        <w:t xml:space="preserve">, C. H., &amp; </w:t>
      </w:r>
      <w:proofErr w:type="spellStart"/>
      <w:r w:rsidRPr="005838E8">
        <w:rPr>
          <w:rFonts w:ascii="Times New Roman" w:eastAsia="Times New Roman" w:hAnsi="Times New Roman" w:cs="Times New Roman"/>
          <w:sz w:val="24"/>
          <w:szCs w:val="24"/>
        </w:rPr>
        <w:t>Coetzer</w:t>
      </w:r>
      <w:proofErr w:type="spellEnd"/>
      <w:r w:rsidRPr="005838E8">
        <w:rPr>
          <w:rFonts w:ascii="Times New Roman" w:eastAsia="Times New Roman" w:hAnsi="Times New Roman" w:cs="Times New Roman"/>
          <w:sz w:val="24"/>
          <w:szCs w:val="24"/>
        </w:rPr>
        <w:t>, J. H. (2024). A Critical Reflection on the Importance of Education for Sustainable Development. </w:t>
      </w:r>
      <w:r w:rsidRPr="005838E8">
        <w:rPr>
          <w:rFonts w:ascii="Times New Roman" w:eastAsia="Times New Roman" w:hAnsi="Times New Roman" w:cs="Times New Roman"/>
          <w:i/>
          <w:sz w:val="24"/>
          <w:szCs w:val="24"/>
        </w:rPr>
        <w:t>Irish Journal of Academic Practice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11</w:t>
      </w:r>
      <w:r w:rsidRPr="005838E8">
        <w:rPr>
          <w:rFonts w:ascii="Times New Roman" w:eastAsia="Times New Roman" w:hAnsi="Times New Roman" w:cs="Times New Roman"/>
          <w:sz w:val="24"/>
          <w:szCs w:val="24"/>
        </w:rPr>
        <w:t>(2), 2.</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Kidega</w:t>
      </w:r>
      <w:proofErr w:type="spellEnd"/>
      <w:r w:rsidRPr="005838E8">
        <w:rPr>
          <w:rFonts w:ascii="Times New Roman" w:eastAsia="Times New Roman" w:hAnsi="Times New Roman" w:cs="Times New Roman"/>
          <w:sz w:val="24"/>
          <w:szCs w:val="24"/>
        </w:rPr>
        <w:t xml:space="preserve">, C., Song, Z., </w:t>
      </w:r>
      <w:proofErr w:type="spellStart"/>
      <w:r w:rsidRPr="005838E8">
        <w:rPr>
          <w:rFonts w:ascii="Times New Roman" w:eastAsia="Times New Roman" w:hAnsi="Times New Roman" w:cs="Times New Roman"/>
          <w:sz w:val="24"/>
          <w:szCs w:val="24"/>
        </w:rPr>
        <w:t>Ugochinyere</w:t>
      </w:r>
      <w:proofErr w:type="spellEnd"/>
      <w:r w:rsidRPr="005838E8">
        <w:rPr>
          <w:rFonts w:ascii="Times New Roman" w:eastAsia="Times New Roman" w:hAnsi="Times New Roman" w:cs="Times New Roman"/>
          <w:sz w:val="24"/>
          <w:szCs w:val="24"/>
        </w:rPr>
        <w:t xml:space="preserve">, I. C., James, O. A., &amp; </w:t>
      </w:r>
      <w:proofErr w:type="spellStart"/>
      <w:r w:rsidRPr="005838E8">
        <w:rPr>
          <w:rFonts w:ascii="Times New Roman" w:eastAsia="Times New Roman" w:hAnsi="Times New Roman" w:cs="Times New Roman"/>
          <w:sz w:val="24"/>
          <w:szCs w:val="24"/>
        </w:rPr>
        <w:t>Ndikubwimana</w:t>
      </w:r>
      <w:proofErr w:type="spellEnd"/>
      <w:r w:rsidRPr="005838E8">
        <w:rPr>
          <w:rFonts w:ascii="Times New Roman" w:eastAsia="Times New Roman" w:hAnsi="Times New Roman" w:cs="Times New Roman"/>
          <w:sz w:val="24"/>
          <w:szCs w:val="24"/>
        </w:rPr>
        <w:t xml:space="preserve">, F. (2024). Confronting Challenges Facing Teachers in Implementing Competency-Based Curriculum in Uganda: A Case of Secondary Schools in </w:t>
      </w:r>
      <w:proofErr w:type="spellStart"/>
      <w:r w:rsidRPr="005838E8">
        <w:rPr>
          <w:rFonts w:ascii="Times New Roman" w:eastAsia="Times New Roman" w:hAnsi="Times New Roman" w:cs="Times New Roman"/>
          <w:sz w:val="24"/>
          <w:szCs w:val="24"/>
        </w:rPr>
        <w:t>Gulu</w:t>
      </w:r>
      <w:proofErr w:type="spellEnd"/>
      <w:r w:rsidRPr="005838E8">
        <w:rPr>
          <w:rFonts w:ascii="Times New Roman" w:eastAsia="Times New Roman" w:hAnsi="Times New Roman" w:cs="Times New Roman"/>
          <w:sz w:val="24"/>
          <w:szCs w:val="24"/>
        </w:rPr>
        <w:t xml:space="preserve"> City. </w:t>
      </w:r>
      <w:r w:rsidRPr="005838E8">
        <w:rPr>
          <w:rFonts w:ascii="Times New Roman" w:eastAsia="Times New Roman" w:hAnsi="Times New Roman" w:cs="Times New Roman"/>
          <w:i/>
          <w:sz w:val="24"/>
          <w:szCs w:val="24"/>
        </w:rPr>
        <w:t>East African Journal of Education Studies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7</w:t>
      </w:r>
      <w:r w:rsidRPr="005838E8">
        <w:rPr>
          <w:rFonts w:ascii="Times New Roman" w:eastAsia="Times New Roman" w:hAnsi="Times New Roman" w:cs="Times New Roman"/>
          <w:sz w:val="24"/>
          <w:szCs w:val="24"/>
        </w:rPr>
        <w:t>(2), 112-129.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lastRenderedPageBreak/>
        <w:t>Kruger, J. (2020). Self-directed education in two transformative pro-environmental initiatives within the eco-schools programme: A South African case study. </w:t>
      </w:r>
      <w:r w:rsidRPr="005838E8">
        <w:rPr>
          <w:rFonts w:ascii="Times New Roman" w:eastAsia="Times New Roman" w:hAnsi="Times New Roman" w:cs="Times New Roman"/>
          <w:i/>
          <w:sz w:val="24"/>
          <w:szCs w:val="24"/>
        </w:rPr>
        <w:t>Education as Change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24</w:t>
      </w:r>
      <w:r w:rsidRPr="005838E8">
        <w:rPr>
          <w:rFonts w:ascii="Times New Roman" w:eastAsia="Times New Roman" w:hAnsi="Times New Roman" w:cs="Times New Roman"/>
          <w:sz w:val="24"/>
          <w:szCs w:val="24"/>
        </w:rPr>
        <w:t>(1), 1-23.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Leek, J. (2025). Uncertainty as an opportunity: Teacher partnerships in international schools in Poland. </w:t>
      </w:r>
      <w:r w:rsidRPr="005838E8">
        <w:rPr>
          <w:rFonts w:ascii="Times New Roman" w:eastAsia="Times New Roman" w:hAnsi="Times New Roman" w:cs="Times New Roman"/>
          <w:i/>
          <w:sz w:val="24"/>
          <w:szCs w:val="24"/>
        </w:rPr>
        <w:t>European Educational Research Journal</w:t>
      </w:r>
      <w:r w:rsidRPr="005838E8">
        <w:rPr>
          <w:rFonts w:ascii="Times New Roman" w:eastAsia="Times New Roman" w:hAnsi="Times New Roman" w:cs="Times New Roman"/>
          <w:sz w:val="24"/>
          <w:szCs w:val="24"/>
        </w:rPr>
        <w:t>, 14749041251324583.</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Lees, A., Walters, S., &amp; </w:t>
      </w:r>
      <w:proofErr w:type="spellStart"/>
      <w:r w:rsidRPr="005838E8">
        <w:rPr>
          <w:rFonts w:ascii="Times New Roman" w:eastAsia="Times New Roman" w:hAnsi="Times New Roman" w:cs="Times New Roman"/>
          <w:sz w:val="24"/>
          <w:szCs w:val="24"/>
        </w:rPr>
        <w:t>Godbold</w:t>
      </w:r>
      <w:proofErr w:type="spellEnd"/>
      <w:r w:rsidRPr="005838E8">
        <w:rPr>
          <w:rFonts w:ascii="Times New Roman" w:eastAsia="Times New Roman" w:hAnsi="Times New Roman" w:cs="Times New Roman"/>
          <w:sz w:val="24"/>
          <w:szCs w:val="24"/>
        </w:rPr>
        <w:t xml:space="preserve">, R. (2022). Illuminating the Role of Reflexivity Within Qualitative Pilot Studies: Experiences </w:t>
      </w:r>
      <w:proofErr w:type="gramStart"/>
      <w:r w:rsidRPr="005838E8">
        <w:rPr>
          <w:rFonts w:ascii="Times New Roman" w:eastAsia="Times New Roman" w:hAnsi="Times New Roman" w:cs="Times New Roman"/>
          <w:sz w:val="24"/>
          <w:szCs w:val="24"/>
        </w:rPr>
        <w:t>From</w:t>
      </w:r>
      <w:proofErr w:type="gramEnd"/>
      <w:r w:rsidRPr="005838E8">
        <w:rPr>
          <w:rFonts w:ascii="Times New Roman" w:eastAsia="Times New Roman" w:hAnsi="Times New Roman" w:cs="Times New Roman"/>
          <w:sz w:val="24"/>
          <w:szCs w:val="24"/>
        </w:rPr>
        <w:t xml:space="preserve"> a Scholarship of Teaching and Learning Project. </w:t>
      </w:r>
      <w:r w:rsidRPr="005838E8">
        <w:rPr>
          <w:rFonts w:ascii="Times New Roman" w:eastAsia="Times New Roman" w:hAnsi="Times New Roman" w:cs="Times New Roman"/>
          <w:i/>
          <w:sz w:val="24"/>
          <w:szCs w:val="24"/>
        </w:rPr>
        <w:t>International Journal of Qualitative Methods</w:t>
      </w:r>
      <w:r w:rsidRPr="005838E8">
        <w:rPr>
          <w:rFonts w:ascii="Times New Roman" w:eastAsia="Times New Roman" w:hAnsi="Times New Roman" w:cs="Times New Roman"/>
          <w:sz w:val="24"/>
          <w:szCs w:val="24"/>
        </w:rPr>
        <w:t xml:space="preserve">, 21.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Maltby, J. (2024). Networking trait resilience: Unifying fragmented trait resilience systems from an ecological systems theory perspective. </w:t>
      </w:r>
      <w:r w:rsidRPr="005838E8">
        <w:rPr>
          <w:rFonts w:ascii="Times New Roman" w:eastAsia="Times New Roman" w:hAnsi="Times New Roman" w:cs="Times New Roman"/>
          <w:i/>
          <w:sz w:val="24"/>
          <w:szCs w:val="24"/>
        </w:rPr>
        <w:t>Journal of Personality</w:t>
      </w:r>
      <w:r w:rsidRPr="005838E8">
        <w:rPr>
          <w:rFonts w:ascii="Times New Roman" w:eastAsia="Times New Roman" w:hAnsi="Times New Roman" w:cs="Times New Roman"/>
          <w:sz w:val="24"/>
          <w:szCs w:val="24"/>
        </w:rPr>
        <w:t>.</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Mandyata</w:t>
      </w:r>
      <w:proofErr w:type="spellEnd"/>
      <w:r w:rsidRPr="005838E8">
        <w:rPr>
          <w:rFonts w:ascii="Times New Roman" w:eastAsia="Times New Roman" w:hAnsi="Times New Roman" w:cs="Times New Roman"/>
          <w:sz w:val="24"/>
          <w:szCs w:val="24"/>
        </w:rPr>
        <w:t xml:space="preserve">, J., </w:t>
      </w:r>
      <w:proofErr w:type="spellStart"/>
      <w:r w:rsidRPr="005838E8">
        <w:rPr>
          <w:rFonts w:ascii="Times New Roman" w:eastAsia="Times New Roman" w:hAnsi="Times New Roman" w:cs="Times New Roman"/>
          <w:sz w:val="24"/>
          <w:szCs w:val="24"/>
        </w:rPr>
        <w:t>Masaiti</w:t>
      </w:r>
      <w:proofErr w:type="spellEnd"/>
      <w:r w:rsidRPr="005838E8">
        <w:rPr>
          <w:rFonts w:ascii="Times New Roman" w:eastAsia="Times New Roman" w:hAnsi="Times New Roman" w:cs="Times New Roman"/>
          <w:sz w:val="24"/>
          <w:szCs w:val="24"/>
        </w:rPr>
        <w:t xml:space="preserve">, G., </w:t>
      </w:r>
      <w:proofErr w:type="spellStart"/>
      <w:r w:rsidRPr="005838E8">
        <w:rPr>
          <w:rFonts w:ascii="Times New Roman" w:eastAsia="Times New Roman" w:hAnsi="Times New Roman" w:cs="Times New Roman"/>
          <w:sz w:val="24"/>
          <w:szCs w:val="24"/>
        </w:rPr>
        <w:t>Habwanda</w:t>
      </w:r>
      <w:proofErr w:type="spellEnd"/>
      <w:r w:rsidRPr="005838E8">
        <w:rPr>
          <w:rFonts w:ascii="Times New Roman" w:eastAsia="Times New Roman" w:hAnsi="Times New Roman" w:cs="Times New Roman"/>
          <w:sz w:val="24"/>
          <w:szCs w:val="24"/>
        </w:rPr>
        <w:t xml:space="preserve">, E., </w:t>
      </w:r>
      <w:proofErr w:type="spellStart"/>
      <w:r w:rsidRPr="005838E8">
        <w:rPr>
          <w:rFonts w:ascii="Times New Roman" w:eastAsia="Times New Roman" w:hAnsi="Times New Roman" w:cs="Times New Roman"/>
          <w:sz w:val="24"/>
          <w:szCs w:val="24"/>
        </w:rPr>
        <w:t>Kapamba</w:t>
      </w:r>
      <w:proofErr w:type="spellEnd"/>
      <w:r w:rsidRPr="005838E8">
        <w:rPr>
          <w:rFonts w:ascii="Times New Roman" w:eastAsia="Times New Roman" w:hAnsi="Times New Roman" w:cs="Times New Roman"/>
          <w:sz w:val="24"/>
          <w:szCs w:val="24"/>
        </w:rPr>
        <w:t xml:space="preserve">, M., </w:t>
      </w:r>
      <w:proofErr w:type="spellStart"/>
      <w:r w:rsidRPr="005838E8">
        <w:rPr>
          <w:rFonts w:ascii="Times New Roman" w:eastAsia="Times New Roman" w:hAnsi="Times New Roman" w:cs="Times New Roman"/>
          <w:sz w:val="24"/>
          <w:szCs w:val="24"/>
        </w:rPr>
        <w:t>Walubita</w:t>
      </w:r>
      <w:proofErr w:type="spellEnd"/>
      <w:r w:rsidRPr="005838E8">
        <w:rPr>
          <w:rFonts w:ascii="Times New Roman" w:eastAsia="Times New Roman" w:hAnsi="Times New Roman" w:cs="Times New Roman"/>
          <w:sz w:val="24"/>
          <w:szCs w:val="24"/>
        </w:rPr>
        <w:t xml:space="preserve">, S., Zulu, J., &amp; </w:t>
      </w:r>
      <w:proofErr w:type="spellStart"/>
      <w:r w:rsidRPr="005838E8">
        <w:rPr>
          <w:rFonts w:ascii="Times New Roman" w:eastAsia="Times New Roman" w:hAnsi="Times New Roman" w:cs="Times New Roman"/>
          <w:sz w:val="24"/>
          <w:szCs w:val="24"/>
        </w:rPr>
        <w:t>Zuilkowski</w:t>
      </w:r>
      <w:proofErr w:type="spellEnd"/>
      <w:r w:rsidRPr="005838E8">
        <w:rPr>
          <w:rFonts w:ascii="Times New Roman" w:eastAsia="Times New Roman" w:hAnsi="Times New Roman" w:cs="Times New Roman"/>
          <w:sz w:val="24"/>
          <w:szCs w:val="24"/>
        </w:rPr>
        <w:t>, S. S. (2024). Theory, policy, and practice: bridging the gap between teacher training and classroom practice in language of instruction in Zambia. </w:t>
      </w:r>
      <w:r w:rsidRPr="005838E8">
        <w:rPr>
          <w:rFonts w:ascii="Times New Roman" w:eastAsia="Times New Roman" w:hAnsi="Times New Roman" w:cs="Times New Roman"/>
          <w:i/>
          <w:sz w:val="24"/>
          <w:szCs w:val="24"/>
        </w:rPr>
        <w:t>Language and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38</w:t>
      </w:r>
      <w:r w:rsidRPr="005838E8">
        <w:rPr>
          <w:rFonts w:ascii="Times New Roman" w:eastAsia="Times New Roman" w:hAnsi="Times New Roman" w:cs="Times New Roman"/>
          <w:sz w:val="24"/>
          <w:szCs w:val="24"/>
        </w:rPr>
        <w:t>(2), 251-268.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Mathur, A. (2022). Assessing the contribution of the Eco-Schools Programme in experiential learning: A study of the pilot project in </w:t>
      </w:r>
      <w:proofErr w:type="spellStart"/>
      <w:r w:rsidRPr="005838E8">
        <w:rPr>
          <w:rFonts w:ascii="Times New Roman" w:eastAsia="Times New Roman" w:hAnsi="Times New Roman" w:cs="Times New Roman"/>
          <w:sz w:val="24"/>
          <w:szCs w:val="24"/>
        </w:rPr>
        <w:t>Kamlapur</w:t>
      </w:r>
      <w:proofErr w:type="spellEnd"/>
      <w:r w:rsidRPr="005838E8">
        <w:rPr>
          <w:rFonts w:ascii="Times New Roman" w:eastAsia="Times New Roman" w:hAnsi="Times New Roman" w:cs="Times New Roman"/>
          <w:sz w:val="24"/>
          <w:szCs w:val="24"/>
        </w:rPr>
        <w:t xml:space="preserve"> village, Rajkot district, Gujarat.</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Mwaikokesya</w:t>
      </w:r>
      <w:proofErr w:type="spellEnd"/>
      <w:r w:rsidRPr="005838E8">
        <w:rPr>
          <w:rFonts w:ascii="Times New Roman" w:eastAsia="Times New Roman" w:hAnsi="Times New Roman" w:cs="Times New Roman"/>
          <w:sz w:val="24"/>
          <w:szCs w:val="24"/>
        </w:rPr>
        <w:t>, M. (2024). “First we must educate adults”: Nyerere’s policy on adult education and its implications for modern-day Tanzania. </w:t>
      </w:r>
      <w:r w:rsidRPr="005838E8">
        <w:rPr>
          <w:rFonts w:ascii="Times New Roman" w:eastAsia="Times New Roman" w:hAnsi="Times New Roman" w:cs="Times New Roman"/>
          <w:i/>
          <w:sz w:val="24"/>
          <w:szCs w:val="24"/>
        </w:rPr>
        <w:t>International Review of Education</w:t>
      </w:r>
      <w:r w:rsidRPr="005838E8">
        <w:rPr>
          <w:rFonts w:ascii="Times New Roman" w:eastAsia="Times New Roman" w:hAnsi="Times New Roman" w:cs="Times New Roman"/>
          <w:sz w:val="24"/>
          <w:szCs w:val="24"/>
        </w:rPr>
        <w:t>, 1-15.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Ndlovu, N. S., &amp; Gina, T. (2025). Bottom-Up Policy Strategy </w:t>
      </w:r>
      <w:proofErr w:type="gramStart"/>
      <w:r w:rsidRPr="005838E8">
        <w:rPr>
          <w:rFonts w:ascii="Times New Roman" w:eastAsia="Times New Roman" w:hAnsi="Times New Roman" w:cs="Times New Roman"/>
          <w:sz w:val="24"/>
          <w:szCs w:val="24"/>
        </w:rPr>
        <w:t>For</w:t>
      </w:r>
      <w:proofErr w:type="gramEnd"/>
      <w:r w:rsidRPr="005838E8">
        <w:rPr>
          <w:rFonts w:ascii="Times New Roman" w:eastAsia="Times New Roman" w:hAnsi="Times New Roman" w:cs="Times New Roman"/>
          <w:sz w:val="24"/>
          <w:szCs w:val="24"/>
        </w:rPr>
        <w:t xml:space="preserve"> Introducing </w:t>
      </w:r>
      <w:proofErr w:type="spellStart"/>
      <w:r w:rsidRPr="005838E8">
        <w:rPr>
          <w:rFonts w:ascii="Times New Roman" w:eastAsia="Times New Roman" w:hAnsi="Times New Roman" w:cs="Times New Roman"/>
          <w:sz w:val="24"/>
          <w:szCs w:val="24"/>
        </w:rPr>
        <w:t>Oer</w:t>
      </w:r>
      <w:proofErr w:type="spellEnd"/>
      <w:r w:rsidRPr="005838E8">
        <w:rPr>
          <w:rFonts w:ascii="Times New Roman" w:eastAsia="Times New Roman" w:hAnsi="Times New Roman" w:cs="Times New Roman"/>
          <w:sz w:val="24"/>
          <w:szCs w:val="24"/>
        </w:rPr>
        <w:t xml:space="preserve"> In African Initial Teacher Education Institutions. In </w:t>
      </w:r>
      <w:r w:rsidRPr="005838E8">
        <w:rPr>
          <w:rFonts w:ascii="Times New Roman" w:eastAsia="Times New Roman" w:hAnsi="Times New Roman" w:cs="Times New Roman"/>
          <w:i/>
          <w:sz w:val="24"/>
          <w:szCs w:val="24"/>
        </w:rPr>
        <w:t>Inted2025 Proceedings</w:t>
      </w:r>
      <w:r w:rsidRPr="005838E8">
        <w:rPr>
          <w:rFonts w:ascii="Times New Roman" w:eastAsia="Times New Roman" w:hAnsi="Times New Roman" w:cs="Times New Roman"/>
          <w:sz w:val="24"/>
          <w:szCs w:val="24"/>
        </w:rPr>
        <w:t xml:space="preserve"> (Pp. 4973-4979). </w:t>
      </w:r>
      <w:proofErr w:type="spellStart"/>
      <w:r w:rsidRPr="005838E8">
        <w:rPr>
          <w:rFonts w:ascii="Times New Roman" w:eastAsia="Times New Roman" w:hAnsi="Times New Roman" w:cs="Times New Roman"/>
          <w:sz w:val="24"/>
          <w:szCs w:val="24"/>
        </w:rPr>
        <w:t>Iated</w:t>
      </w:r>
      <w:proofErr w:type="spellEnd"/>
      <w:r w:rsidRPr="005838E8">
        <w:rPr>
          <w:rFonts w:ascii="Times New Roman" w:eastAsia="Times New Roman" w:hAnsi="Times New Roman" w:cs="Times New Roman"/>
          <w:sz w:val="24"/>
          <w:szCs w:val="24"/>
        </w:rPr>
        <w:t>.</w:t>
      </w:r>
    </w:p>
    <w:p w:rsidR="00E77F2B" w:rsidRPr="005838E8" w:rsidRDefault="0027215D">
      <w:pPr>
        <w:spacing w:line="240" w:lineRule="auto"/>
        <w:ind w:left="720" w:hanging="720"/>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Ngeze</w:t>
      </w:r>
      <w:proofErr w:type="spellEnd"/>
      <w:r w:rsidRPr="005838E8">
        <w:rPr>
          <w:rFonts w:ascii="Times New Roman" w:eastAsia="Times New Roman" w:hAnsi="Times New Roman" w:cs="Times New Roman"/>
          <w:sz w:val="24"/>
          <w:szCs w:val="24"/>
        </w:rPr>
        <w:t xml:space="preserve">, L. V., &amp; </w:t>
      </w:r>
      <w:proofErr w:type="spellStart"/>
      <w:r w:rsidRPr="005838E8">
        <w:rPr>
          <w:rFonts w:ascii="Times New Roman" w:eastAsia="Times New Roman" w:hAnsi="Times New Roman" w:cs="Times New Roman"/>
          <w:sz w:val="24"/>
          <w:szCs w:val="24"/>
        </w:rPr>
        <w:t>Iyer</w:t>
      </w:r>
      <w:proofErr w:type="spellEnd"/>
      <w:r w:rsidRPr="005838E8">
        <w:rPr>
          <w:rFonts w:ascii="Times New Roman" w:eastAsia="Times New Roman" w:hAnsi="Times New Roman" w:cs="Times New Roman"/>
          <w:sz w:val="24"/>
          <w:szCs w:val="24"/>
        </w:rPr>
        <w:t>, S. (2023). </w:t>
      </w:r>
      <w:r w:rsidRPr="005838E8">
        <w:rPr>
          <w:rFonts w:ascii="Times New Roman" w:eastAsia="Times New Roman" w:hAnsi="Times New Roman" w:cs="Times New Roman"/>
          <w:i/>
          <w:sz w:val="24"/>
          <w:szCs w:val="24"/>
        </w:rPr>
        <w:t>A Model to Improve the Effectiveness of Secondary Trainers in Cascaded Teacher Professional Development Programmes</w:t>
      </w:r>
      <w:r w:rsidRPr="005838E8">
        <w:rPr>
          <w:rFonts w:ascii="Times New Roman" w:eastAsia="Times New Roman" w:hAnsi="Times New Roman" w:cs="Times New Roman"/>
          <w:sz w:val="24"/>
          <w:szCs w:val="24"/>
        </w:rPr>
        <w:t xml:space="preserve"> (Doctoral dissertation, Indian Institute of Technology Bombay).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Nsengimana</w:t>
      </w:r>
      <w:proofErr w:type="spellEnd"/>
      <w:r w:rsidRPr="005838E8">
        <w:rPr>
          <w:rFonts w:ascii="Times New Roman" w:eastAsia="Times New Roman" w:hAnsi="Times New Roman" w:cs="Times New Roman"/>
          <w:sz w:val="24"/>
          <w:szCs w:val="24"/>
        </w:rPr>
        <w:t xml:space="preserve">, T., </w:t>
      </w:r>
      <w:proofErr w:type="spellStart"/>
      <w:r w:rsidRPr="005838E8">
        <w:rPr>
          <w:rFonts w:ascii="Times New Roman" w:eastAsia="Times New Roman" w:hAnsi="Times New Roman" w:cs="Times New Roman"/>
          <w:sz w:val="24"/>
          <w:szCs w:val="24"/>
        </w:rPr>
        <w:t>Nsengimana</w:t>
      </w:r>
      <w:proofErr w:type="spellEnd"/>
      <w:r w:rsidRPr="005838E8">
        <w:rPr>
          <w:rFonts w:ascii="Times New Roman" w:eastAsia="Times New Roman" w:hAnsi="Times New Roman" w:cs="Times New Roman"/>
          <w:sz w:val="24"/>
          <w:szCs w:val="24"/>
        </w:rPr>
        <w:t xml:space="preserve">, V., </w:t>
      </w:r>
      <w:proofErr w:type="spellStart"/>
      <w:r w:rsidRPr="005838E8">
        <w:rPr>
          <w:rFonts w:ascii="Times New Roman" w:eastAsia="Times New Roman" w:hAnsi="Times New Roman" w:cs="Times New Roman"/>
          <w:sz w:val="24"/>
          <w:szCs w:val="24"/>
        </w:rPr>
        <w:t>Nkundabakura</w:t>
      </w:r>
      <w:proofErr w:type="spellEnd"/>
      <w:r w:rsidRPr="005838E8">
        <w:rPr>
          <w:rFonts w:ascii="Times New Roman" w:eastAsia="Times New Roman" w:hAnsi="Times New Roman" w:cs="Times New Roman"/>
          <w:sz w:val="24"/>
          <w:szCs w:val="24"/>
        </w:rPr>
        <w:t xml:space="preserve">, P., </w:t>
      </w:r>
      <w:proofErr w:type="spellStart"/>
      <w:r w:rsidRPr="005838E8">
        <w:rPr>
          <w:rFonts w:ascii="Times New Roman" w:eastAsia="Times New Roman" w:hAnsi="Times New Roman" w:cs="Times New Roman"/>
          <w:sz w:val="24"/>
          <w:szCs w:val="24"/>
        </w:rPr>
        <w:t>Iyamuremye</w:t>
      </w:r>
      <w:proofErr w:type="spellEnd"/>
      <w:r w:rsidRPr="005838E8">
        <w:rPr>
          <w:rFonts w:ascii="Times New Roman" w:eastAsia="Times New Roman" w:hAnsi="Times New Roman" w:cs="Times New Roman"/>
          <w:sz w:val="24"/>
          <w:szCs w:val="24"/>
        </w:rPr>
        <w:t xml:space="preserve">, A., </w:t>
      </w:r>
      <w:proofErr w:type="spellStart"/>
      <w:r w:rsidRPr="005838E8">
        <w:rPr>
          <w:rFonts w:ascii="Times New Roman" w:eastAsia="Times New Roman" w:hAnsi="Times New Roman" w:cs="Times New Roman"/>
          <w:sz w:val="24"/>
          <w:szCs w:val="24"/>
        </w:rPr>
        <w:t>Mutarutinya</w:t>
      </w:r>
      <w:proofErr w:type="spellEnd"/>
      <w:r w:rsidRPr="005838E8">
        <w:rPr>
          <w:rFonts w:ascii="Times New Roman" w:eastAsia="Times New Roman" w:hAnsi="Times New Roman" w:cs="Times New Roman"/>
          <w:sz w:val="24"/>
          <w:szCs w:val="24"/>
        </w:rPr>
        <w:t xml:space="preserve">, V., </w:t>
      </w:r>
      <w:proofErr w:type="spellStart"/>
      <w:r w:rsidRPr="005838E8">
        <w:rPr>
          <w:rFonts w:ascii="Times New Roman" w:eastAsia="Times New Roman" w:hAnsi="Times New Roman" w:cs="Times New Roman"/>
          <w:sz w:val="24"/>
          <w:szCs w:val="24"/>
        </w:rPr>
        <w:t>Mugabo</w:t>
      </w:r>
      <w:proofErr w:type="spellEnd"/>
      <w:r w:rsidRPr="005838E8">
        <w:rPr>
          <w:rFonts w:ascii="Times New Roman" w:eastAsia="Times New Roman" w:hAnsi="Times New Roman" w:cs="Times New Roman"/>
          <w:sz w:val="24"/>
          <w:szCs w:val="24"/>
        </w:rPr>
        <w:t xml:space="preserve">, L. R., &amp; </w:t>
      </w:r>
      <w:proofErr w:type="spellStart"/>
      <w:r w:rsidRPr="005838E8">
        <w:rPr>
          <w:rFonts w:ascii="Times New Roman" w:eastAsia="Times New Roman" w:hAnsi="Times New Roman" w:cs="Times New Roman"/>
          <w:sz w:val="24"/>
          <w:szCs w:val="24"/>
        </w:rPr>
        <w:t>Nsabayezu</w:t>
      </w:r>
      <w:proofErr w:type="spellEnd"/>
      <w:r w:rsidRPr="005838E8">
        <w:rPr>
          <w:rFonts w:ascii="Times New Roman" w:eastAsia="Times New Roman" w:hAnsi="Times New Roman" w:cs="Times New Roman"/>
          <w:sz w:val="24"/>
          <w:szCs w:val="24"/>
        </w:rPr>
        <w:t>, E. (2024). Exploring the skills acquired by mathematics and science teachers through the development of scripted lessons for continuous professional development. </w:t>
      </w:r>
      <w:r w:rsidRPr="005838E8">
        <w:rPr>
          <w:rFonts w:ascii="Times New Roman" w:eastAsia="Times New Roman" w:hAnsi="Times New Roman" w:cs="Times New Roman"/>
          <w:i/>
          <w:sz w:val="24"/>
          <w:szCs w:val="24"/>
        </w:rPr>
        <w:t>Education and Information Technologies</w:t>
      </w:r>
      <w:r w:rsidRPr="005838E8">
        <w:rPr>
          <w:rFonts w:ascii="Times New Roman" w:eastAsia="Times New Roman" w:hAnsi="Times New Roman" w:cs="Times New Roman"/>
          <w:sz w:val="24"/>
          <w:szCs w:val="24"/>
        </w:rPr>
        <w:t>, 1-18.</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Nzilano</w:t>
      </w:r>
      <w:proofErr w:type="spellEnd"/>
      <w:r w:rsidRPr="005838E8">
        <w:rPr>
          <w:rFonts w:ascii="Times New Roman" w:eastAsia="Times New Roman" w:hAnsi="Times New Roman" w:cs="Times New Roman"/>
          <w:sz w:val="24"/>
          <w:szCs w:val="24"/>
        </w:rPr>
        <w:t>, J. L. (2025). An investigation into the factors influencing ICT adoption and use in the administration of secondary schools in Dar es Salaam, Tanzania. </w:t>
      </w:r>
      <w:r w:rsidRPr="005838E8">
        <w:rPr>
          <w:rFonts w:ascii="Times New Roman" w:eastAsia="Times New Roman" w:hAnsi="Times New Roman" w:cs="Times New Roman"/>
          <w:i/>
          <w:sz w:val="24"/>
          <w:szCs w:val="24"/>
        </w:rPr>
        <w:t>Social Sciences &amp; Humanities Open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11</w:t>
      </w:r>
      <w:r w:rsidRPr="005838E8">
        <w:rPr>
          <w:rFonts w:ascii="Times New Roman" w:eastAsia="Times New Roman" w:hAnsi="Times New Roman" w:cs="Times New Roman"/>
          <w:sz w:val="24"/>
          <w:szCs w:val="24"/>
        </w:rPr>
        <w:t>, 101500.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Philip, E. M. (2024). Realization of Access, Equity, Diversity and Inclusion in Inclusive Education: What Are the Missing Gaps in Tanzania? </w:t>
      </w:r>
      <w:r w:rsidRPr="005838E8">
        <w:rPr>
          <w:rFonts w:ascii="Times New Roman" w:eastAsia="Times New Roman" w:hAnsi="Times New Roman" w:cs="Times New Roman"/>
          <w:i/>
          <w:sz w:val="24"/>
          <w:szCs w:val="24"/>
        </w:rPr>
        <w:t>European Journal of Contemporary Education and E-Learning</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w:t>
      </w:r>
      <w:r w:rsidRPr="005838E8">
        <w:rPr>
          <w:rFonts w:ascii="Times New Roman" w:eastAsia="Times New Roman" w:hAnsi="Times New Roman" w:cs="Times New Roman"/>
          <w:sz w:val="24"/>
          <w:szCs w:val="24"/>
        </w:rPr>
        <w:t>(1), 53-65.</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Rahmaulana</w:t>
      </w:r>
      <w:proofErr w:type="spellEnd"/>
      <w:r w:rsidRPr="005838E8">
        <w:rPr>
          <w:rFonts w:ascii="Times New Roman" w:eastAsia="Times New Roman" w:hAnsi="Times New Roman" w:cs="Times New Roman"/>
          <w:sz w:val="24"/>
          <w:szCs w:val="24"/>
        </w:rPr>
        <w:t xml:space="preserve">, N. Y., &amp; </w:t>
      </w:r>
      <w:proofErr w:type="spellStart"/>
      <w:r w:rsidRPr="005838E8">
        <w:rPr>
          <w:rFonts w:ascii="Times New Roman" w:eastAsia="Times New Roman" w:hAnsi="Times New Roman" w:cs="Times New Roman"/>
          <w:sz w:val="24"/>
          <w:szCs w:val="24"/>
        </w:rPr>
        <w:t>Sueb</w:t>
      </w:r>
      <w:proofErr w:type="spellEnd"/>
      <w:r w:rsidRPr="005838E8">
        <w:rPr>
          <w:rFonts w:ascii="Times New Roman" w:eastAsia="Times New Roman" w:hAnsi="Times New Roman" w:cs="Times New Roman"/>
          <w:sz w:val="24"/>
          <w:szCs w:val="24"/>
        </w:rPr>
        <w:t>, S. (2024, May). The effect of eco-friendly website environmental change materials integrated discovery learning on students’ environmental literacy. In AIP Conference Proceedings (Vol. 3106, No. 1). AIP Publishing.</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Rasulbek</w:t>
      </w:r>
      <w:proofErr w:type="spellEnd"/>
      <w:r w:rsidRPr="005838E8">
        <w:rPr>
          <w:rFonts w:ascii="Times New Roman" w:eastAsia="Times New Roman" w:hAnsi="Times New Roman" w:cs="Times New Roman"/>
          <w:sz w:val="24"/>
          <w:szCs w:val="24"/>
        </w:rPr>
        <w:t>, E. (2024). Bridging Theory and Practice: Understanding the Dynamics of Learning Theories and Teaching Approaches. </w:t>
      </w:r>
      <w:r w:rsidRPr="005838E8">
        <w:rPr>
          <w:rFonts w:ascii="Times New Roman" w:eastAsia="Times New Roman" w:hAnsi="Times New Roman" w:cs="Times New Roman"/>
          <w:i/>
          <w:sz w:val="24"/>
          <w:szCs w:val="24"/>
        </w:rPr>
        <w:t>World of Science</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7</w:t>
      </w:r>
      <w:r w:rsidRPr="005838E8">
        <w:rPr>
          <w:rFonts w:ascii="Times New Roman" w:eastAsia="Times New Roman" w:hAnsi="Times New Roman" w:cs="Times New Roman"/>
          <w:sz w:val="24"/>
          <w:szCs w:val="24"/>
        </w:rPr>
        <w:t>(1), 32-39.</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Rosenberg, E. (2020). Eco-Schools as Education for Sustainable Development in Rural South Africa</w:t>
      </w:r>
      <w:proofErr w:type="gramStart"/>
      <w:r w:rsidRPr="005838E8">
        <w:rPr>
          <w:rFonts w:ascii="Times New Roman" w:eastAsia="Times New Roman" w:hAnsi="Times New Roman" w:cs="Times New Roman"/>
          <w:sz w:val="24"/>
          <w:szCs w:val="24"/>
        </w:rPr>
        <w:t>. ,</w:t>
      </w:r>
      <w:proofErr w:type="gramEnd"/>
      <w:r w:rsidRPr="005838E8">
        <w:rPr>
          <w:rFonts w:ascii="Times New Roman" w:eastAsia="Times New Roman" w:hAnsi="Times New Roman" w:cs="Times New Roman"/>
          <w:sz w:val="24"/>
          <w:szCs w:val="24"/>
        </w:rPr>
        <w:t xml:space="preserve"> 289-307.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Schröder</w:t>
      </w:r>
      <w:proofErr w:type="spellEnd"/>
      <w:r w:rsidRPr="005838E8">
        <w:rPr>
          <w:rFonts w:ascii="Times New Roman" w:eastAsia="Times New Roman" w:hAnsi="Times New Roman" w:cs="Times New Roman"/>
          <w:sz w:val="24"/>
          <w:szCs w:val="24"/>
        </w:rPr>
        <w:t xml:space="preserve">, L., </w:t>
      </w:r>
      <w:proofErr w:type="spellStart"/>
      <w:r w:rsidRPr="005838E8">
        <w:rPr>
          <w:rFonts w:ascii="Times New Roman" w:eastAsia="Times New Roman" w:hAnsi="Times New Roman" w:cs="Times New Roman"/>
          <w:sz w:val="24"/>
          <w:szCs w:val="24"/>
        </w:rPr>
        <w:t>Wals</w:t>
      </w:r>
      <w:proofErr w:type="spellEnd"/>
      <w:r w:rsidRPr="005838E8">
        <w:rPr>
          <w:rFonts w:ascii="Times New Roman" w:eastAsia="Times New Roman" w:hAnsi="Times New Roman" w:cs="Times New Roman"/>
          <w:sz w:val="24"/>
          <w:szCs w:val="24"/>
        </w:rPr>
        <w:t xml:space="preserve">, A., &amp; </w:t>
      </w:r>
      <w:proofErr w:type="spellStart"/>
      <w:r w:rsidRPr="005838E8">
        <w:rPr>
          <w:rFonts w:ascii="Times New Roman" w:eastAsia="Times New Roman" w:hAnsi="Times New Roman" w:cs="Times New Roman"/>
          <w:sz w:val="24"/>
          <w:szCs w:val="24"/>
        </w:rPr>
        <w:t>Koppen</w:t>
      </w:r>
      <w:proofErr w:type="spellEnd"/>
      <w:r w:rsidRPr="005838E8">
        <w:rPr>
          <w:rFonts w:ascii="Times New Roman" w:eastAsia="Times New Roman" w:hAnsi="Times New Roman" w:cs="Times New Roman"/>
          <w:sz w:val="24"/>
          <w:szCs w:val="24"/>
        </w:rPr>
        <w:t xml:space="preserve">, C. (2020). </w:t>
      </w:r>
      <w:proofErr w:type="spellStart"/>
      <w:r w:rsidRPr="005838E8">
        <w:rPr>
          <w:rFonts w:ascii="Times New Roman" w:eastAsia="Times New Roman" w:hAnsi="Times New Roman" w:cs="Times New Roman"/>
          <w:sz w:val="24"/>
          <w:szCs w:val="24"/>
        </w:rPr>
        <w:t>Analysing</w:t>
      </w:r>
      <w:proofErr w:type="spellEnd"/>
      <w:r w:rsidRPr="005838E8">
        <w:rPr>
          <w:rFonts w:ascii="Times New Roman" w:eastAsia="Times New Roman" w:hAnsi="Times New Roman" w:cs="Times New Roman"/>
          <w:sz w:val="24"/>
          <w:szCs w:val="24"/>
        </w:rPr>
        <w:t xml:space="preserve"> the state of student participation in two Eco-Schools using </w:t>
      </w:r>
      <w:proofErr w:type="spellStart"/>
      <w:r w:rsidRPr="005838E8">
        <w:rPr>
          <w:rFonts w:ascii="Times New Roman" w:eastAsia="Times New Roman" w:hAnsi="Times New Roman" w:cs="Times New Roman"/>
          <w:sz w:val="24"/>
          <w:szCs w:val="24"/>
        </w:rPr>
        <w:t>Engeström’s</w:t>
      </w:r>
      <w:proofErr w:type="spellEnd"/>
      <w:r w:rsidRPr="005838E8">
        <w:rPr>
          <w:rFonts w:ascii="Times New Roman" w:eastAsia="Times New Roman" w:hAnsi="Times New Roman" w:cs="Times New Roman"/>
          <w:sz w:val="24"/>
          <w:szCs w:val="24"/>
        </w:rPr>
        <w:t xml:space="preserve"> Second Generation Activity Systems Model.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26, 1088 - 1111.</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Shaoan</w:t>
      </w:r>
      <w:proofErr w:type="spellEnd"/>
      <w:r w:rsidRPr="005838E8">
        <w:rPr>
          <w:rFonts w:ascii="Times New Roman" w:eastAsia="Times New Roman" w:hAnsi="Times New Roman" w:cs="Times New Roman"/>
          <w:sz w:val="24"/>
          <w:szCs w:val="24"/>
        </w:rPr>
        <w:t xml:space="preserve">, M. M. R., Phan, T. A. T., Okafor, M. U., </w:t>
      </w:r>
      <w:proofErr w:type="spellStart"/>
      <w:r w:rsidRPr="005838E8">
        <w:rPr>
          <w:rFonts w:ascii="Times New Roman" w:eastAsia="Times New Roman" w:hAnsi="Times New Roman" w:cs="Times New Roman"/>
          <w:sz w:val="24"/>
          <w:szCs w:val="24"/>
        </w:rPr>
        <w:t>Lahinta</w:t>
      </w:r>
      <w:proofErr w:type="spellEnd"/>
      <w:r w:rsidRPr="005838E8">
        <w:rPr>
          <w:rFonts w:ascii="Times New Roman" w:eastAsia="Times New Roman" w:hAnsi="Times New Roman" w:cs="Times New Roman"/>
          <w:sz w:val="24"/>
          <w:szCs w:val="24"/>
        </w:rPr>
        <w:t xml:space="preserve">, A. N., &amp; </w:t>
      </w:r>
      <w:proofErr w:type="spellStart"/>
      <w:r w:rsidRPr="005838E8">
        <w:rPr>
          <w:rFonts w:ascii="Times New Roman" w:eastAsia="Times New Roman" w:hAnsi="Times New Roman" w:cs="Times New Roman"/>
          <w:sz w:val="24"/>
          <w:szCs w:val="24"/>
        </w:rPr>
        <w:t>Namayakkara</w:t>
      </w:r>
      <w:proofErr w:type="spellEnd"/>
      <w:r w:rsidRPr="005838E8">
        <w:rPr>
          <w:rFonts w:ascii="Times New Roman" w:eastAsia="Times New Roman" w:hAnsi="Times New Roman" w:cs="Times New Roman"/>
          <w:sz w:val="24"/>
          <w:szCs w:val="24"/>
        </w:rPr>
        <w:t xml:space="preserve">, P. U. (2025). In-Depth Exploration of The Constraints Connected to Diverse Curriculum Designs on A </w:t>
      </w:r>
      <w:r w:rsidRPr="005838E8">
        <w:rPr>
          <w:rFonts w:ascii="Times New Roman" w:eastAsia="Times New Roman" w:hAnsi="Times New Roman" w:cs="Times New Roman"/>
          <w:sz w:val="24"/>
          <w:szCs w:val="24"/>
        </w:rPr>
        <w:lastRenderedPageBreak/>
        <w:t>Global Scale: A Literature Review. </w:t>
      </w:r>
      <w:r w:rsidRPr="005838E8">
        <w:rPr>
          <w:rFonts w:ascii="Times New Roman" w:eastAsia="Times New Roman" w:hAnsi="Times New Roman" w:cs="Times New Roman"/>
          <w:i/>
          <w:sz w:val="24"/>
          <w:szCs w:val="24"/>
        </w:rPr>
        <w:t>International Journal of Multidisciplinary: Applied Business and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6</w:t>
      </w:r>
      <w:r w:rsidRPr="005838E8">
        <w:rPr>
          <w:rFonts w:ascii="Times New Roman" w:eastAsia="Times New Roman" w:hAnsi="Times New Roman" w:cs="Times New Roman"/>
          <w:sz w:val="24"/>
          <w:szCs w:val="24"/>
        </w:rPr>
        <w:t>(1), 213-226.</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Sharma, S., Mittal, P., Kumar, M., &amp; Bhardwaj, V. (2025). The role of large language models in personalized learning: a systematic review of educational impact. </w:t>
      </w:r>
      <w:r w:rsidRPr="005838E8">
        <w:rPr>
          <w:rFonts w:ascii="Times New Roman" w:eastAsia="Times New Roman" w:hAnsi="Times New Roman" w:cs="Times New Roman"/>
          <w:i/>
          <w:sz w:val="24"/>
          <w:szCs w:val="24"/>
        </w:rPr>
        <w:t>Discover Sustainability</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6</w:t>
      </w:r>
      <w:r w:rsidRPr="005838E8">
        <w:rPr>
          <w:rFonts w:ascii="Times New Roman" w:eastAsia="Times New Roman" w:hAnsi="Times New Roman" w:cs="Times New Roman"/>
          <w:sz w:val="24"/>
          <w:szCs w:val="24"/>
        </w:rPr>
        <w:t>(1), 1-24.</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Sokime</w:t>
      </w:r>
      <w:proofErr w:type="spellEnd"/>
      <w:r w:rsidRPr="005838E8">
        <w:rPr>
          <w:rFonts w:ascii="Times New Roman" w:eastAsia="Times New Roman" w:hAnsi="Times New Roman" w:cs="Times New Roman"/>
          <w:sz w:val="24"/>
          <w:szCs w:val="24"/>
        </w:rPr>
        <w:t>, P., &amp; Amos, O. (2024). Exploring Strategies Related to Usability of Assistive Technologies in Implementing Inclusive Education among Visually Impaired Lecturers in Tanzania. </w:t>
      </w:r>
      <w:r w:rsidRPr="005838E8">
        <w:rPr>
          <w:rFonts w:ascii="Times New Roman" w:eastAsia="Times New Roman" w:hAnsi="Times New Roman" w:cs="Times New Roman"/>
          <w:i/>
          <w:sz w:val="24"/>
          <w:szCs w:val="24"/>
        </w:rPr>
        <w:t>British Journal of Education</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12</w:t>
      </w:r>
      <w:r w:rsidRPr="005838E8">
        <w:rPr>
          <w:rFonts w:ascii="Times New Roman" w:eastAsia="Times New Roman" w:hAnsi="Times New Roman" w:cs="Times New Roman"/>
          <w:sz w:val="24"/>
          <w:szCs w:val="24"/>
        </w:rPr>
        <w:t>(7), 43-67.</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 xml:space="preserve">Sousa, S. (2022). Some Reflections on the Role of the Eco-Schools </w:t>
      </w:r>
      <w:proofErr w:type="gramStart"/>
      <w:r w:rsidRPr="005838E8">
        <w:rPr>
          <w:rFonts w:ascii="Times New Roman" w:eastAsia="Times New Roman" w:hAnsi="Times New Roman" w:cs="Times New Roman"/>
          <w:sz w:val="24"/>
          <w:szCs w:val="24"/>
        </w:rPr>
        <w:t>Programme  in</w:t>
      </w:r>
      <w:proofErr w:type="gramEnd"/>
      <w:r w:rsidRPr="005838E8">
        <w:rPr>
          <w:rFonts w:ascii="Times New Roman" w:eastAsia="Times New Roman" w:hAnsi="Times New Roman" w:cs="Times New Roman"/>
          <w:sz w:val="24"/>
          <w:szCs w:val="24"/>
        </w:rPr>
        <w:t xml:space="preserve"> the Promotion of Sustainable HEIs: A Case Study in Portugal. </w:t>
      </w:r>
      <w:r w:rsidRPr="005838E8">
        <w:rPr>
          <w:rFonts w:ascii="Times New Roman" w:eastAsia="Times New Roman" w:hAnsi="Times New Roman" w:cs="Times New Roman"/>
          <w:i/>
          <w:sz w:val="24"/>
          <w:szCs w:val="24"/>
        </w:rPr>
        <w:t>Administrative Sciences</w:t>
      </w:r>
      <w:r w:rsidRPr="005838E8">
        <w:rPr>
          <w:rFonts w:ascii="Times New Roman" w:eastAsia="Times New Roman" w:hAnsi="Times New Roman" w:cs="Times New Roman"/>
          <w:sz w:val="24"/>
          <w:szCs w:val="24"/>
        </w:rPr>
        <w:t xml:space="preserve">.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Ssenkande</w:t>
      </w:r>
      <w:proofErr w:type="spellEnd"/>
      <w:r w:rsidRPr="005838E8">
        <w:rPr>
          <w:rFonts w:ascii="Times New Roman" w:eastAsia="Times New Roman" w:hAnsi="Times New Roman" w:cs="Times New Roman"/>
          <w:sz w:val="24"/>
          <w:szCs w:val="24"/>
        </w:rPr>
        <w:t xml:space="preserve">, G. W., </w:t>
      </w:r>
      <w:proofErr w:type="spellStart"/>
      <w:r w:rsidRPr="005838E8">
        <w:rPr>
          <w:rFonts w:ascii="Times New Roman" w:eastAsia="Times New Roman" w:hAnsi="Times New Roman" w:cs="Times New Roman"/>
          <w:sz w:val="24"/>
          <w:szCs w:val="24"/>
        </w:rPr>
        <w:t>Mugyenyi</w:t>
      </w:r>
      <w:proofErr w:type="spellEnd"/>
      <w:r w:rsidRPr="005838E8">
        <w:rPr>
          <w:rFonts w:ascii="Times New Roman" w:eastAsia="Times New Roman" w:hAnsi="Times New Roman" w:cs="Times New Roman"/>
          <w:sz w:val="24"/>
          <w:szCs w:val="24"/>
        </w:rPr>
        <w:t xml:space="preserve">, P., &amp; </w:t>
      </w:r>
      <w:proofErr w:type="spellStart"/>
      <w:r w:rsidRPr="005838E8">
        <w:rPr>
          <w:rFonts w:ascii="Times New Roman" w:eastAsia="Times New Roman" w:hAnsi="Times New Roman" w:cs="Times New Roman"/>
          <w:sz w:val="24"/>
          <w:szCs w:val="24"/>
        </w:rPr>
        <w:t>Achola</w:t>
      </w:r>
      <w:proofErr w:type="spellEnd"/>
      <w:r w:rsidRPr="005838E8">
        <w:rPr>
          <w:rFonts w:ascii="Times New Roman" w:eastAsia="Times New Roman" w:hAnsi="Times New Roman" w:cs="Times New Roman"/>
          <w:sz w:val="24"/>
          <w:szCs w:val="24"/>
        </w:rPr>
        <w:t>, D. (2024). Improving Literacy in Uganda: Why Pedagogical Reforms and Intervention Programs are Underperforming. </w:t>
      </w:r>
      <w:r w:rsidRPr="005838E8">
        <w:rPr>
          <w:rFonts w:ascii="Times New Roman" w:eastAsia="Times New Roman" w:hAnsi="Times New Roman" w:cs="Times New Roman"/>
          <w:i/>
          <w:sz w:val="24"/>
          <w:szCs w:val="24"/>
        </w:rPr>
        <w:t>International Journal of Educational Reform</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33</w:t>
      </w:r>
      <w:r w:rsidRPr="005838E8">
        <w:rPr>
          <w:rFonts w:ascii="Times New Roman" w:eastAsia="Times New Roman" w:hAnsi="Times New Roman" w:cs="Times New Roman"/>
          <w:sz w:val="24"/>
          <w:szCs w:val="24"/>
        </w:rPr>
        <w:t>(2), 201-220.</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Tisoglu</w:t>
      </w:r>
      <w:proofErr w:type="spellEnd"/>
      <w:r w:rsidRPr="005838E8">
        <w:rPr>
          <w:rFonts w:ascii="Times New Roman" w:eastAsia="Times New Roman" w:hAnsi="Times New Roman" w:cs="Times New Roman"/>
          <w:sz w:val="24"/>
          <w:szCs w:val="24"/>
        </w:rPr>
        <w:t xml:space="preserve">, S., </w:t>
      </w:r>
      <w:proofErr w:type="spellStart"/>
      <w:r w:rsidRPr="005838E8">
        <w:rPr>
          <w:rFonts w:ascii="Times New Roman" w:eastAsia="Times New Roman" w:hAnsi="Times New Roman" w:cs="Times New Roman"/>
          <w:sz w:val="24"/>
          <w:szCs w:val="24"/>
        </w:rPr>
        <w:t>Sönmez</w:t>
      </w:r>
      <w:proofErr w:type="spellEnd"/>
      <w:r w:rsidRPr="005838E8">
        <w:rPr>
          <w:rFonts w:ascii="Times New Roman" w:eastAsia="Times New Roman" w:hAnsi="Times New Roman" w:cs="Times New Roman"/>
          <w:sz w:val="24"/>
          <w:szCs w:val="24"/>
        </w:rPr>
        <w:t>, E., Kaya, K. Y., &amp; Et, S. Z. (2025). Bridging pedagogy and technology: a systematic review of immersive virtual reality’s potential in climate change education.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1-31.</w:t>
      </w:r>
    </w:p>
    <w:p w:rsidR="00E77F2B" w:rsidRPr="005838E8" w:rsidRDefault="0027215D">
      <w:pPr>
        <w:spacing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Torsdottir</w:t>
      </w:r>
      <w:proofErr w:type="spellEnd"/>
      <w:r w:rsidRPr="005838E8">
        <w:rPr>
          <w:rFonts w:ascii="Times New Roman" w:eastAsia="Times New Roman" w:hAnsi="Times New Roman" w:cs="Times New Roman"/>
          <w:sz w:val="24"/>
          <w:szCs w:val="24"/>
        </w:rPr>
        <w:t xml:space="preserve">, A. E., </w:t>
      </w:r>
      <w:proofErr w:type="spellStart"/>
      <w:r w:rsidRPr="005838E8">
        <w:rPr>
          <w:rFonts w:ascii="Times New Roman" w:eastAsia="Times New Roman" w:hAnsi="Times New Roman" w:cs="Times New Roman"/>
          <w:sz w:val="24"/>
          <w:szCs w:val="24"/>
        </w:rPr>
        <w:t>Sinnes</w:t>
      </w:r>
      <w:proofErr w:type="spellEnd"/>
      <w:r w:rsidRPr="005838E8">
        <w:rPr>
          <w:rFonts w:ascii="Times New Roman" w:eastAsia="Times New Roman" w:hAnsi="Times New Roman" w:cs="Times New Roman"/>
          <w:sz w:val="24"/>
          <w:szCs w:val="24"/>
        </w:rPr>
        <w:t xml:space="preserve">, A. T., Olsson, D., &amp; </w:t>
      </w:r>
      <w:proofErr w:type="spellStart"/>
      <w:r w:rsidRPr="005838E8">
        <w:rPr>
          <w:rFonts w:ascii="Times New Roman" w:eastAsia="Times New Roman" w:hAnsi="Times New Roman" w:cs="Times New Roman"/>
          <w:sz w:val="24"/>
          <w:szCs w:val="24"/>
        </w:rPr>
        <w:t>Wals</w:t>
      </w:r>
      <w:proofErr w:type="spellEnd"/>
      <w:r w:rsidRPr="005838E8">
        <w:rPr>
          <w:rFonts w:ascii="Times New Roman" w:eastAsia="Times New Roman" w:hAnsi="Times New Roman" w:cs="Times New Roman"/>
          <w:sz w:val="24"/>
          <w:szCs w:val="24"/>
        </w:rPr>
        <w:t>, A. (2024). Do students have anything to say? Student participation in a whole school approach to sustainability. </w:t>
      </w:r>
      <w:r w:rsidRPr="005838E8">
        <w:rPr>
          <w:rFonts w:ascii="Times New Roman" w:eastAsia="Times New Roman" w:hAnsi="Times New Roman" w:cs="Times New Roman"/>
          <w:i/>
          <w:sz w:val="24"/>
          <w:szCs w:val="24"/>
        </w:rPr>
        <w:t>Environmental Education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30</w:t>
      </w:r>
      <w:r w:rsidRPr="005838E8">
        <w:rPr>
          <w:rFonts w:ascii="Times New Roman" w:eastAsia="Times New Roman" w:hAnsi="Times New Roman" w:cs="Times New Roman"/>
          <w:sz w:val="24"/>
          <w:szCs w:val="24"/>
        </w:rPr>
        <w:t xml:space="preserve">(4), 519–543.  </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Yang, Z., &amp; Dong, F. (2024). Integration of Education and Industry in China: Lessons from Germany Applied Universities. </w:t>
      </w:r>
      <w:r w:rsidRPr="005838E8">
        <w:rPr>
          <w:rFonts w:ascii="Times New Roman" w:eastAsia="Times New Roman" w:hAnsi="Times New Roman" w:cs="Times New Roman"/>
          <w:i/>
          <w:sz w:val="24"/>
          <w:szCs w:val="24"/>
        </w:rPr>
        <w:t>International Journal of Management Science Research</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7</w:t>
      </w:r>
      <w:r w:rsidRPr="005838E8">
        <w:rPr>
          <w:rFonts w:ascii="Times New Roman" w:eastAsia="Times New Roman" w:hAnsi="Times New Roman" w:cs="Times New Roman"/>
          <w:sz w:val="24"/>
          <w:szCs w:val="24"/>
        </w:rPr>
        <w:t>(2), 50-64.</w:t>
      </w:r>
    </w:p>
    <w:p w:rsidR="00E77F2B" w:rsidRPr="005838E8" w:rsidRDefault="0027215D">
      <w:pPr>
        <w:spacing w:after="0" w:line="240" w:lineRule="auto"/>
        <w:ind w:left="720" w:hanging="720"/>
        <w:jc w:val="both"/>
        <w:rPr>
          <w:rFonts w:ascii="Times New Roman" w:eastAsia="Times New Roman" w:hAnsi="Times New Roman" w:cs="Times New Roman"/>
          <w:sz w:val="24"/>
          <w:szCs w:val="24"/>
        </w:rPr>
      </w:pPr>
      <w:proofErr w:type="spellStart"/>
      <w:r w:rsidRPr="005838E8">
        <w:rPr>
          <w:rFonts w:ascii="Times New Roman" w:eastAsia="Times New Roman" w:hAnsi="Times New Roman" w:cs="Times New Roman"/>
          <w:sz w:val="24"/>
          <w:szCs w:val="24"/>
        </w:rPr>
        <w:t>Zhongqin</w:t>
      </w:r>
      <w:proofErr w:type="spellEnd"/>
      <w:r w:rsidRPr="005838E8">
        <w:rPr>
          <w:rFonts w:ascii="Times New Roman" w:eastAsia="Times New Roman" w:hAnsi="Times New Roman" w:cs="Times New Roman"/>
          <w:sz w:val="24"/>
          <w:szCs w:val="24"/>
        </w:rPr>
        <w:t xml:space="preserve">, Z., &amp; </w:t>
      </w:r>
      <w:proofErr w:type="spellStart"/>
      <w:r w:rsidRPr="005838E8">
        <w:rPr>
          <w:rFonts w:ascii="Times New Roman" w:eastAsia="Times New Roman" w:hAnsi="Times New Roman" w:cs="Times New Roman"/>
          <w:sz w:val="24"/>
          <w:szCs w:val="24"/>
        </w:rPr>
        <w:t>Khamcharoen</w:t>
      </w:r>
      <w:proofErr w:type="spellEnd"/>
      <w:r w:rsidRPr="005838E8">
        <w:rPr>
          <w:rFonts w:ascii="Times New Roman" w:eastAsia="Times New Roman" w:hAnsi="Times New Roman" w:cs="Times New Roman"/>
          <w:sz w:val="24"/>
          <w:szCs w:val="24"/>
        </w:rPr>
        <w:t xml:space="preserve">, N. (2025). Guidelines for developing countermeasures in higher vocational education management in China: A case study of Jiangxi </w:t>
      </w:r>
      <w:proofErr w:type="spellStart"/>
      <w:r w:rsidRPr="005838E8">
        <w:rPr>
          <w:rFonts w:ascii="Times New Roman" w:eastAsia="Times New Roman" w:hAnsi="Times New Roman" w:cs="Times New Roman"/>
          <w:sz w:val="24"/>
          <w:szCs w:val="24"/>
        </w:rPr>
        <w:t>Dayu</w:t>
      </w:r>
      <w:proofErr w:type="spellEnd"/>
      <w:r w:rsidRPr="005838E8">
        <w:rPr>
          <w:rFonts w:ascii="Times New Roman" w:eastAsia="Times New Roman" w:hAnsi="Times New Roman" w:cs="Times New Roman"/>
          <w:sz w:val="24"/>
          <w:szCs w:val="24"/>
        </w:rPr>
        <w:t xml:space="preserve"> Vocational and Technical College. </w:t>
      </w:r>
      <w:r w:rsidRPr="005838E8">
        <w:rPr>
          <w:rFonts w:ascii="Times New Roman" w:eastAsia="Times New Roman" w:hAnsi="Times New Roman" w:cs="Times New Roman"/>
          <w:i/>
          <w:sz w:val="24"/>
          <w:szCs w:val="24"/>
        </w:rPr>
        <w:t>Journal of Public and Private Issues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2</w:t>
      </w:r>
      <w:r w:rsidRPr="005838E8">
        <w:rPr>
          <w:rFonts w:ascii="Times New Roman" w:eastAsia="Times New Roman" w:hAnsi="Times New Roman" w:cs="Times New Roman"/>
          <w:sz w:val="24"/>
          <w:szCs w:val="24"/>
        </w:rPr>
        <w:t>(1), 40-48.</w:t>
      </w:r>
    </w:p>
    <w:p w:rsidR="00E77F2B" w:rsidRDefault="0027215D">
      <w:pPr>
        <w:spacing w:after="0" w:line="240" w:lineRule="auto"/>
        <w:ind w:left="720" w:hanging="720"/>
        <w:jc w:val="both"/>
        <w:rPr>
          <w:rFonts w:ascii="Times New Roman" w:eastAsia="Times New Roman" w:hAnsi="Times New Roman" w:cs="Times New Roman"/>
          <w:sz w:val="24"/>
          <w:szCs w:val="24"/>
        </w:rPr>
      </w:pPr>
      <w:r w:rsidRPr="005838E8">
        <w:rPr>
          <w:rFonts w:ascii="Times New Roman" w:eastAsia="Times New Roman" w:hAnsi="Times New Roman" w:cs="Times New Roman"/>
          <w:sz w:val="24"/>
          <w:szCs w:val="24"/>
        </w:rPr>
        <w:t>Zhou, Z., &amp; Hu, M. (2025). Improving Graduate Curriculum Education System under the “Three-All Education” Concept: Pathways for Advancement. </w:t>
      </w:r>
      <w:r w:rsidRPr="005838E8">
        <w:rPr>
          <w:rFonts w:ascii="Times New Roman" w:eastAsia="Times New Roman" w:hAnsi="Times New Roman" w:cs="Times New Roman"/>
          <w:i/>
          <w:sz w:val="24"/>
          <w:szCs w:val="24"/>
        </w:rPr>
        <w:t>Open Journal of Social Sciences</w:t>
      </w:r>
      <w:r w:rsidRPr="005838E8">
        <w:rPr>
          <w:rFonts w:ascii="Times New Roman" w:eastAsia="Times New Roman" w:hAnsi="Times New Roman" w:cs="Times New Roman"/>
          <w:sz w:val="24"/>
          <w:szCs w:val="24"/>
        </w:rPr>
        <w:t>, </w:t>
      </w:r>
      <w:r w:rsidRPr="005838E8">
        <w:rPr>
          <w:rFonts w:ascii="Times New Roman" w:eastAsia="Times New Roman" w:hAnsi="Times New Roman" w:cs="Times New Roman"/>
          <w:i/>
          <w:sz w:val="24"/>
          <w:szCs w:val="24"/>
        </w:rPr>
        <w:t>13</w:t>
      </w:r>
      <w:r w:rsidRPr="005838E8">
        <w:rPr>
          <w:rFonts w:ascii="Times New Roman" w:eastAsia="Times New Roman" w:hAnsi="Times New Roman" w:cs="Times New Roman"/>
          <w:sz w:val="24"/>
          <w:szCs w:val="24"/>
        </w:rPr>
        <w:t>(2), 17-29.</w:t>
      </w:r>
    </w:p>
    <w:p w:rsidR="00E77F2B" w:rsidRDefault="00E77F2B">
      <w:pPr>
        <w:spacing w:after="0" w:line="240" w:lineRule="auto"/>
        <w:ind w:left="720" w:hanging="720"/>
        <w:jc w:val="both"/>
        <w:rPr>
          <w:rFonts w:ascii="Times New Roman" w:eastAsia="Times New Roman" w:hAnsi="Times New Roman" w:cs="Times New Roman"/>
          <w:sz w:val="24"/>
          <w:szCs w:val="24"/>
        </w:rPr>
      </w:pPr>
    </w:p>
    <w:sectPr w:rsidR="00E77F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2CF" w:rsidRDefault="00F552CF">
      <w:pPr>
        <w:spacing w:after="0" w:line="240" w:lineRule="auto"/>
      </w:pPr>
      <w:r>
        <w:separator/>
      </w:r>
    </w:p>
  </w:endnote>
  <w:endnote w:type="continuationSeparator" w:id="0">
    <w:p w:rsidR="00F552CF" w:rsidRDefault="00F5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8B7" w:rsidRDefault="00F258B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1484E">
      <w:rPr>
        <w:noProof/>
        <w:color w:val="000000"/>
      </w:rPr>
      <w:t>1</w:t>
    </w:r>
    <w:r>
      <w:rPr>
        <w:color w:val="000000"/>
      </w:rPr>
      <w:fldChar w:fldCharType="end"/>
    </w:r>
  </w:p>
  <w:p w:rsidR="00F258B7" w:rsidRDefault="00F258B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2CF" w:rsidRDefault="00F552CF">
      <w:pPr>
        <w:spacing w:after="0" w:line="240" w:lineRule="auto"/>
      </w:pPr>
      <w:r>
        <w:separator/>
      </w:r>
    </w:p>
  </w:footnote>
  <w:footnote w:type="continuationSeparator" w:id="0">
    <w:p w:rsidR="00F552CF" w:rsidRDefault="00F55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4B2" w:rsidRDefault="008B44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600F"/>
    <w:multiLevelType w:val="multilevel"/>
    <w:tmpl w:val="B8AADE1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F2B"/>
    <w:rsid w:val="001F3678"/>
    <w:rsid w:val="0027215D"/>
    <w:rsid w:val="00373175"/>
    <w:rsid w:val="005838E8"/>
    <w:rsid w:val="00647AF2"/>
    <w:rsid w:val="006A6DEE"/>
    <w:rsid w:val="008B44B2"/>
    <w:rsid w:val="0091484E"/>
    <w:rsid w:val="00A132A0"/>
    <w:rsid w:val="00A778AB"/>
    <w:rsid w:val="00A81CCF"/>
    <w:rsid w:val="00B144C0"/>
    <w:rsid w:val="00D20515"/>
    <w:rsid w:val="00E77F2B"/>
    <w:rsid w:val="00F258B7"/>
    <w:rsid w:val="00F552CF"/>
    <w:rsid w:val="00F658A7"/>
    <w:rsid w:val="00FE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171167"/>
  <w15:docId w15:val="{563AA20C-199D-4ED5-B545-C2298C8E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B14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C0"/>
  </w:style>
  <w:style w:type="paragraph" w:styleId="Footer">
    <w:name w:val="footer"/>
    <w:basedOn w:val="Normal"/>
    <w:link w:val="FooterChar"/>
    <w:uiPriority w:val="99"/>
    <w:unhideWhenUsed/>
    <w:rsid w:val="00B14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10262</Words>
  <Characters>58499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SOKIME</dc:creator>
  <cp:lastModifiedBy>SDI 1084</cp:lastModifiedBy>
  <cp:revision>4</cp:revision>
  <dcterms:created xsi:type="dcterms:W3CDTF">2025-10-16T20:24:00Z</dcterms:created>
  <dcterms:modified xsi:type="dcterms:W3CDTF">2025-10-17T08:49:00Z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de9b9dde-daee-484c-b81f-00b0ee97bd8a</vt:lpwstr>
  </property>
</Properties>
</file>