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A25B8" w14:textId="77777777" w:rsidR="009971CA" w:rsidRPr="009971CA" w:rsidRDefault="009971CA" w:rsidP="009971CA">
      <w:pPr>
        <w:jc w:val="center"/>
      </w:pPr>
      <w:r w:rsidRPr="009971CA">
        <w:rPr>
          <w:b/>
          <w:bCs/>
        </w:rPr>
        <w:t>School Connectedness and Students’ Self-Esteem in Public Secondary Schools in Nairobi County, Kenya</w:t>
      </w:r>
    </w:p>
    <w:p w14:paraId="0301BD88" w14:textId="77777777" w:rsidR="00924C09" w:rsidRPr="009971CA" w:rsidRDefault="00924C09" w:rsidP="00EF6F97"/>
    <w:p w14:paraId="57B35F92" w14:textId="77777777" w:rsidR="00632F36" w:rsidRDefault="00632F36" w:rsidP="00D222CB">
      <w:pPr>
        <w:jc w:val="both"/>
      </w:pPr>
    </w:p>
    <w:p w14:paraId="17663CE8" w14:textId="030C2286" w:rsidR="009971CA" w:rsidRPr="009971CA" w:rsidRDefault="00D222CB" w:rsidP="00D222CB">
      <w:pPr>
        <w:jc w:val="center"/>
        <w:rPr>
          <w:b/>
        </w:rPr>
      </w:pPr>
      <w:r w:rsidRPr="009971CA">
        <w:rPr>
          <w:b/>
        </w:rPr>
        <w:t>ABSTRACT</w:t>
      </w:r>
    </w:p>
    <w:p w14:paraId="483B5417" w14:textId="08EE88C6" w:rsidR="009971CA" w:rsidRPr="009971CA" w:rsidRDefault="009971CA" w:rsidP="00D222CB">
      <w:pPr>
        <w:jc w:val="both"/>
      </w:pPr>
      <w:r w:rsidRPr="009971CA">
        <w:t>Self-esteem is a central component of adolescent development, influencing students’ motivation, learning, and psychosocial adjustment. In the school context, students’ self-esteem is shaped by the quality of their relationships with teachers, peers, and the overall school climate. School connectedness—defined as the extent to which students feel accepted, valued, supported, and safe within their school environment—has been identified as a critical determinant of self-esteem and academic success. However, in Kenya, and particularly within the urban and multicultural setting of Nairobi County, the relationship between school connectedness and students’ self-esteem has remained underexplored despite persistent challenges such as indiscipline, disengagement, and low academic motivation in public secondary schools.</w:t>
      </w:r>
      <w:r>
        <w:t xml:space="preserve"> </w:t>
      </w:r>
      <w:r w:rsidRPr="009971CA">
        <w:t>This study examined the relationship between school connectedness and students’ self-esteem in public secondary schools in Nairobi County. Guided by Bronfenbrenner’s Ecological Systems Theory and Self-Determination Theory, the research employed a correlational design with quantitative methods. The target population included students</w:t>
      </w:r>
      <w:r w:rsidR="00F33BB9">
        <w:t xml:space="preserve"> and class</w:t>
      </w:r>
      <w:r w:rsidRPr="009971CA">
        <w:t xml:space="preserve"> teachers from Nairobi County’s public secondary schools, from which a sample of 381 respondents was drawn through stratified, purposive, and simple random sampling. Data were collected using standardized questionnaires, including the Rosenberg Self-Esteem Scale to measure students’ self-esteem and validated instruments to assess school connectedness. Data analysis involved descriptive statistics, Pearson correlation, and multiple regression at a 0.05 level of significance.</w:t>
      </w:r>
      <w:r>
        <w:t xml:space="preserve"> </w:t>
      </w:r>
      <w:r w:rsidRPr="009971CA">
        <w:t>The findings revealed a positive and significant correlation between school connectedness and students’ self-esteem. Students who perceived stronger support from teachers, positive peer relationships, and a sense of belonging within their schools reported higher self-esteem levels. Conversely, weak relational support and lack of school attachment were associated with diminished self-worth. These results underscore the critical role of school connectedness in fostering positive self-perceptions among adolescents, thereby promoting both academic engagement and emotional well-being.</w:t>
      </w:r>
      <w:r>
        <w:t xml:space="preserve"> </w:t>
      </w:r>
      <w:r w:rsidRPr="009971CA">
        <w:t>The study concludes that enhancing school connectedness through inclusive practices, supportive teacher-student interactions, and peer collaboration is essential for strengthening students’ self-esteem in Nairobi County. It recommends that school administrators, policymakers, and educators integrate relational and psychosocial dimensions into educational interventions alongside academic reforms. By cultivating emotionally safe and supportive school environments, public secondary schools can holistically enhance students’ confidence, resilience, and long-term academic outcomes.</w:t>
      </w:r>
    </w:p>
    <w:p w14:paraId="2715DEF5" w14:textId="77777777" w:rsidR="009971CA" w:rsidRPr="009971CA" w:rsidRDefault="009971CA" w:rsidP="00D222CB">
      <w:pPr>
        <w:jc w:val="both"/>
      </w:pPr>
      <w:r w:rsidRPr="009971CA">
        <w:rPr>
          <w:b/>
          <w:bCs/>
        </w:rPr>
        <w:t>Keywords:</w:t>
      </w:r>
      <w:r w:rsidRPr="009971CA">
        <w:t xml:space="preserve"> School Connectedness; Self-Esteem; Public Secondary School Students; Nairobi County; Kenya</w:t>
      </w:r>
    </w:p>
    <w:p w14:paraId="0D17265D" w14:textId="77777777" w:rsidR="009971CA" w:rsidRDefault="009971CA" w:rsidP="00D222CB">
      <w:pPr>
        <w:jc w:val="both"/>
      </w:pPr>
    </w:p>
    <w:p w14:paraId="4C276A98" w14:textId="77777777" w:rsidR="009971CA" w:rsidRPr="009971CA" w:rsidRDefault="009971CA" w:rsidP="009971CA">
      <w:pPr>
        <w:jc w:val="center"/>
        <w:rPr>
          <w:b/>
          <w:bCs/>
        </w:rPr>
      </w:pPr>
      <w:r w:rsidRPr="009971CA">
        <w:rPr>
          <w:b/>
          <w:bCs/>
        </w:rPr>
        <w:t>I. INTRODUCTION</w:t>
      </w:r>
    </w:p>
    <w:p w14:paraId="1F311486" w14:textId="77777777" w:rsidR="009971CA" w:rsidRPr="009971CA" w:rsidRDefault="009971CA" w:rsidP="00D222CB">
      <w:pPr>
        <w:jc w:val="both"/>
      </w:pPr>
      <w:r w:rsidRPr="009971CA">
        <w:t>The school environment, often referred to as the learning ecology, has profound implications for students’ psychological and academic development. Since adolescents spend a significant portion of their lives in school, the quality of interactions they experience with teachers, peers, and administrators plays a vital role in shaping their self-perceptions and behaviors. Research indicates that when schools cultivate positive climates characterized by acceptance, support, and inclusion, students are more likely to thrive academically and psychosocially (Sturtevant et al., 2006; CDC, 2011). Conversely, environments where students feel marginalized or unsafe undermine learning outcomes and can negatively affect self-esteem and identity formation.</w:t>
      </w:r>
    </w:p>
    <w:p w14:paraId="38ED2136" w14:textId="77777777" w:rsidR="009971CA" w:rsidRPr="009971CA" w:rsidRDefault="009971CA" w:rsidP="00D222CB">
      <w:pPr>
        <w:jc w:val="both"/>
      </w:pPr>
      <w:r w:rsidRPr="009971CA">
        <w:t xml:space="preserve">School connectedness, broadly defined as the degree to which students feel accepted, supported, and included in their school environment, is recognized globally as a protective factor in adolescent development (McNeely &amp; </w:t>
      </w:r>
      <w:proofErr w:type="spellStart"/>
      <w:r w:rsidRPr="009971CA">
        <w:t>Falci</w:t>
      </w:r>
      <w:proofErr w:type="spellEnd"/>
      <w:r w:rsidRPr="009971CA">
        <w:t xml:space="preserve">, 2004; </w:t>
      </w:r>
      <w:proofErr w:type="spellStart"/>
      <w:r w:rsidRPr="009971CA">
        <w:t>Volungis</w:t>
      </w:r>
      <w:proofErr w:type="spellEnd"/>
      <w:r w:rsidRPr="009971CA">
        <w:t>, 2016). When students perceive their school as a caring and safe environment, they report higher levels of belonging and worth, which strengthens their overall self-esteem. This sense of connectedness reduces vulnerability to risky behaviors while simultaneously promoting academic motivation and persistence (Nonnemaker, McNeely, &amp; Blum, 2003; Resnick, Bearman, &amp; Blum, 1997). Thus, school connectedness is more than a relational construct; it is a cornerstone of both educational success and emotional well-being.</w:t>
      </w:r>
    </w:p>
    <w:p w14:paraId="7C1FE7DC" w14:textId="77777777" w:rsidR="009971CA" w:rsidRPr="009971CA" w:rsidRDefault="009971CA" w:rsidP="00D222CB">
      <w:pPr>
        <w:jc w:val="both"/>
      </w:pPr>
      <w:r w:rsidRPr="009971CA">
        <w:t>Self-esteem, a key dimension of self-perception, refers to a student’s overall sense of self-worth and confidence in their abilities. Positive self-esteem fosters resilience, academic engagement, and healthier social interactions. Research has demonstrated that supportive teacher-student relationships, inclusive peer networks, and opportunities for meaningful participation in school life directly enhance students’ self-esteem (Blum, McNeely, &amp; Rinehart, 2002; Croninger &amp; Lee, 2001). In contrast, weak connections to school are often associated with diminished self-worth, disengagement, and academic underachievement.</w:t>
      </w:r>
    </w:p>
    <w:p w14:paraId="6F0EDB8E" w14:textId="77777777" w:rsidR="009971CA" w:rsidRPr="009971CA" w:rsidRDefault="009971CA" w:rsidP="00D222CB">
      <w:pPr>
        <w:jc w:val="both"/>
      </w:pPr>
      <w:r w:rsidRPr="009971CA">
        <w:t>International evidence underscores the importance of connectedness in building adolescent self-esteem. For instance, longitudinal studies in the United States revealed that school connectedness was the strongest protective factor against a range of negative outcomes such as substance abuse, violence, and emotional distress (Resnick et al., 1997; McNeely, 2003). Similarly, students who reported strong feelings of belonging in school consistently demonstrated higher academic confidence and lower susceptibility to depression and anxiety (National Research Council &amp; Institute of Medicine, 2004). These findings suggest that the relational climate of schools is critical to shaping how adolescents perceive themselves and their potential.</w:t>
      </w:r>
    </w:p>
    <w:p w14:paraId="2809C183" w14:textId="77777777" w:rsidR="009971CA" w:rsidRPr="009971CA" w:rsidRDefault="009971CA" w:rsidP="00D222CB">
      <w:pPr>
        <w:jc w:val="both"/>
      </w:pPr>
      <w:r w:rsidRPr="009971CA">
        <w:t xml:space="preserve">In Kenya, however, limited empirical research has explicitly examined the nexus between school connectedness and self-esteem, particularly in public secondary schools in Nairobi County. The urban and multicultural context of Nairobi presents unique challenges such as overcrowded classrooms, strained teacher-student interactions, and diverse socio-economic backgrounds, which </w:t>
      </w:r>
      <w:r w:rsidRPr="009971CA">
        <w:lastRenderedPageBreak/>
        <w:t>may weaken students’ sense of belonging. Despite the introduction of guidance and counseling programs, life skills education, and reforms through the competency-based curriculum, most interventions have not directly addressed or measured the influence of connectedness on students’ self-esteem. Consequently, issues such as student unrest, indiscipline, and low morale continue to be observed in public secondary schools, reflecting possible gaps in relational support within the school environment.</w:t>
      </w:r>
    </w:p>
    <w:p w14:paraId="195179DC" w14:textId="77777777" w:rsidR="009971CA" w:rsidRPr="009971CA" w:rsidRDefault="009971CA" w:rsidP="00D222CB">
      <w:pPr>
        <w:jc w:val="both"/>
      </w:pPr>
      <w:r w:rsidRPr="009971CA">
        <w:t>From this discourse, it is evident that school connectedness plays a critical role in shaping self-esteem among adolescents. While international literature affirms the significance of this relationship, localized data is necessary to understand how connectedness functions within Kenyan public schools. By focusing specifically on Nairobi County, this study sought to provide empirical evidence that may inform interventions to strengthen the psychosocial climate of schools and, in turn, foster healthier self-esteem among students.</w:t>
      </w:r>
    </w:p>
    <w:p w14:paraId="65BCBA65" w14:textId="77777777" w:rsidR="009971CA" w:rsidRPr="009971CA" w:rsidRDefault="009971CA" w:rsidP="00D222CB">
      <w:pPr>
        <w:jc w:val="both"/>
        <w:rPr>
          <w:b/>
          <w:bCs/>
        </w:rPr>
      </w:pPr>
      <w:r w:rsidRPr="009971CA">
        <w:rPr>
          <w:b/>
          <w:bCs/>
        </w:rPr>
        <w:t>1.2 Statement of the Problem</w:t>
      </w:r>
    </w:p>
    <w:p w14:paraId="1447ADDA" w14:textId="77777777" w:rsidR="009971CA" w:rsidRPr="009971CA" w:rsidRDefault="009971CA" w:rsidP="00D222CB">
      <w:pPr>
        <w:jc w:val="both"/>
      </w:pPr>
      <w:r w:rsidRPr="009971CA">
        <w:t>Although global studies highlight the role of school connectedness in enhancing adolescent self-esteem, little attention has been directed toward this relationship in Kenya’s public secondary schools. Nairobi County, in particular, faces contextual challenges such as socio-economic disparities, overcrowding, and inconsistent teacher-student engagement, which may erode students’ sense of belonging and recognition. Without strong connectedness, many students risk developing low self-esteem, which in turn affects their academic motivation, resilience, and overall well-being. Current reforms in the education sector have largely emphasized curriculum and infrastructure, overlooking relational and psychosocial dimensions of schooling. This creates an empirical gap in understanding how school connectedness influences self-esteem in the Kenyan context. Addressing this gap is crucial in order to enhance students’ self-worth and, by extension, improve both academic and psychosocial outcomes.</w:t>
      </w:r>
    </w:p>
    <w:p w14:paraId="1CE55306" w14:textId="77777777" w:rsidR="009971CA" w:rsidRPr="009971CA" w:rsidRDefault="009971CA" w:rsidP="00D222CB">
      <w:pPr>
        <w:jc w:val="both"/>
        <w:rPr>
          <w:b/>
          <w:bCs/>
        </w:rPr>
      </w:pPr>
      <w:r w:rsidRPr="009971CA">
        <w:rPr>
          <w:b/>
          <w:bCs/>
        </w:rPr>
        <w:t>1.3 Objectives of the Study</w:t>
      </w:r>
    </w:p>
    <w:p w14:paraId="24AEC3F4" w14:textId="77777777" w:rsidR="009971CA" w:rsidRPr="009971CA" w:rsidRDefault="009971CA" w:rsidP="00D222CB">
      <w:pPr>
        <w:jc w:val="both"/>
      </w:pPr>
      <w:r w:rsidRPr="009971CA">
        <w:t>To examine the relationship between school connectedness and students’ self-esteem in public secondary schools in Nairobi County, Kenya.</w:t>
      </w:r>
    </w:p>
    <w:p w14:paraId="5FA03903" w14:textId="77777777" w:rsidR="009971CA" w:rsidRPr="009971CA" w:rsidRDefault="009971CA" w:rsidP="00D222CB">
      <w:pPr>
        <w:jc w:val="both"/>
        <w:rPr>
          <w:b/>
          <w:bCs/>
        </w:rPr>
      </w:pPr>
      <w:r w:rsidRPr="009971CA">
        <w:rPr>
          <w:b/>
          <w:bCs/>
        </w:rPr>
        <w:t>1.4 Hypotheses</w:t>
      </w:r>
    </w:p>
    <w:p w14:paraId="20B80BF9" w14:textId="77777777" w:rsidR="009971CA" w:rsidRPr="009971CA" w:rsidRDefault="009971CA" w:rsidP="00D222CB">
      <w:pPr>
        <w:jc w:val="both"/>
      </w:pPr>
      <w:r w:rsidRPr="009971CA">
        <w:t>H₀₁: There is no significant relationship between school connectedness and students’ self-esteem in public secondary schools in Nairobi County.</w:t>
      </w:r>
    </w:p>
    <w:p w14:paraId="4FB007CD" w14:textId="77777777" w:rsidR="009971CA" w:rsidRDefault="009971CA" w:rsidP="00D222CB">
      <w:pPr>
        <w:jc w:val="both"/>
      </w:pPr>
    </w:p>
    <w:p w14:paraId="2F283417" w14:textId="77777777" w:rsidR="009971CA" w:rsidRPr="009971CA" w:rsidRDefault="009971CA" w:rsidP="009971CA">
      <w:pPr>
        <w:jc w:val="center"/>
        <w:rPr>
          <w:b/>
          <w:bCs/>
        </w:rPr>
      </w:pPr>
      <w:r w:rsidRPr="009971CA">
        <w:rPr>
          <w:b/>
          <w:bCs/>
        </w:rPr>
        <w:t>II. LITERATURE REVIEW</w:t>
      </w:r>
    </w:p>
    <w:p w14:paraId="3463306C" w14:textId="77777777" w:rsidR="009971CA" w:rsidRPr="009971CA" w:rsidRDefault="009971CA" w:rsidP="00D222CB">
      <w:pPr>
        <w:jc w:val="both"/>
      </w:pPr>
      <w:r w:rsidRPr="009971CA">
        <w:t xml:space="preserve">McNeely, Nonnemaker, and Blum (2002) carried out a longitudinal study in the United States on adolescent health and protective factors. Their research demonstrated that school connectedness </w:t>
      </w:r>
      <w:r w:rsidRPr="009971CA">
        <w:lastRenderedPageBreak/>
        <w:t>was strongly associated with positive psychosocial outcomes, including higher self-esteem. The findings revealed that students who perceived stronger relational support within their school environment reported greater resilience, fewer behavioral risks, and higher confidence in their abilities. This aligns with the focus of the current study, which seeks to examine how similar dynamics play out among public secondary school students in Nairobi County.</w:t>
      </w:r>
    </w:p>
    <w:p w14:paraId="5C455F72" w14:textId="77777777" w:rsidR="009971CA" w:rsidRPr="009971CA" w:rsidRDefault="009971CA" w:rsidP="00D222CB">
      <w:pPr>
        <w:jc w:val="both"/>
      </w:pPr>
      <w:r w:rsidRPr="009971CA">
        <w:t>Blum, McNeely, and Rinehart (2002) explored how adult support influences self-concept and self-esteem in adolescents. Their findings emphasized that adolescents’ beliefs about their abilities are shaped by the degree of care and involvement they perceive from adults in their lives, especially teachers. This underscores the importance of examining teacher-student relationships as central components of school connectedness that influence self-esteem. The present study extends this discourse into the Kenyan context, where cultural and systemic factors may alter these dynamics.</w:t>
      </w:r>
    </w:p>
    <w:p w14:paraId="6C6B8BCD" w14:textId="77777777" w:rsidR="009971CA" w:rsidRPr="009971CA" w:rsidRDefault="009971CA" w:rsidP="00D222CB">
      <w:pPr>
        <w:jc w:val="both"/>
      </w:pPr>
      <w:r w:rsidRPr="009971CA">
        <w:t>Watson (2017) studied school connectedness across multiple developmental contexts, identifying meaningful student roles, safety, engagement, and supportive interactions as key factors. The research established that students with high school connectedness reported greater self-esteem and higher motivation to learn. In the current study, these insights help frame the role of supportive school structures in fostering adolescents’ confidence in Nairobi’s public schools.</w:t>
      </w:r>
    </w:p>
    <w:p w14:paraId="74DF2D2F" w14:textId="77777777" w:rsidR="009971CA" w:rsidRPr="009971CA" w:rsidRDefault="009971CA" w:rsidP="00D222CB">
      <w:pPr>
        <w:jc w:val="both"/>
      </w:pPr>
      <w:r w:rsidRPr="009971CA">
        <w:t>Hebron (2018) examined the relationship between school connectedness and psychosocial outcomes among students with Autism Spectrum Conditions transitioning from primary to secondary school. The study revealed that connectedness buffered against emotional distress and promoted healthier self-perceptions. These findings demonstrate that connectedness is especially critical in vulnerable groups. This resonates with the Nairobi context, where overcrowding and limited teacher-student engagement may exacerbate risks for students with fragile self-esteem.</w:t>
      </w:r>
    </w:p>
    <w:p w14:paraId="30D54BB4" w14:textId="77777777" w:rsidR="009971CA" w:rsidRPr="009971CA" w:rsidRDefault="009971CA" w:rsidP="00D222CB">
      <w:pPr>
        <w:jc w:val="both"/>
      </w:pPr>
      <w:r w:rsidRPr="009971CA">
        <w:t>Wilson (2018) explored the role of peer relationships in shaping self-perceptions. The study established that positive peer support strongly predicted self-esteem, whereas peer rejection or isolation undermined it. This study is particularly relevant in Nairobi’s multicultural schools, where peer acceptance plays a crucial role in students’ experiences of belonging.</w:t>
      </w:r>
    </w:p>
    <w:p w14:paraId="01C5F3F6" w14:textId="77777777" w:rsidR="009971CA" w:rsidRPr="009971CA" w:rsidRDefault="009971CA" w:rsidP="00D222CB">
      <w:pPr>
        <w:jc w:val="both"/>
      </w:pPr>
      <w:r w:rsidRPr="009971CA">
        <w:t>McGinley (2019) investigated school connectedness in career and technical education students and found that connectedness was associated with both improved self-esteem and academic achievement. The findings highlighted that supportive peer and teacher interactions directly contributed to higher self-worth. The present study similarly seeks to establish whether Nairobi students’ self-esteem is positively influenced by their perceptions of relational support.</w:t>
      </w:r>
    </w:p>
    <w:p w14:paraId="222CE75B" w14:textId="77777777" w:rsidR="009971CA" w:rsidRPr="009971CA" w:rsidRDefault="009971CA" w:rsidP="00D222CB">
      <w:pPr>
        <w:jc w:val="both"/>
      </w:pPr>
      <w:r w:rsidRPr="009971CA">
        <w:t>Posthuma (2023) conducted a longitudinal study that confirmed the predictive nature of school connectedness on self-esteem and academic self-concept. Students with strong baseline connections to school consistently demonstrated healthier self-perceptions across time. This temporal dimension highlights the enduring role of connectedness and suggests that interventions to improve self-esteem must prioritize long-term relational strategies.</w:t>
      </w:r>
    </w:p>
    <w:p w14:paraId="2FB45060" w14:textId="77777777" w:rsidR="009971CA" w:rsidRPr="009971CA" w:rsidRDefault="009971CA" w:rsidP="00D222CB">
      <w:pPr>
        <w:jc w:val="both"/>
      </w:pPr>
      <w:proofErr w:type="spellStart"/>
      <w:r w:rsidRPr="009971CA">
        <w:lastRenderedPageBreak/>
        <w:t>Compasso</w:t>
      </w:r>
      <w:proofErr w:type="spellEnd"/>
      <w:r w:rsidRPr="009971CA">
        <w:t xml:space="preserve"> (2020) studied low-income adolescents in urban settings, analyzing how school connectedness and social support networks influenced self-esteem and resilience. Findings revealed that connectedness mitigated the risks of delinquency and substance abuse while enhancing confidence and academic persistence. These findings are highly applicable to Nairobi County, where socio-economic disparities shape the school experience of many students.</w:t>
      </w:r>
    </w:p>
    <w:p w14:paraId="337C33D7" w14:textId="77777777" w:rsidR="009971CA" w:rsidRPr="009971CA" w:rsidRDefault="009971CA" w:rsidP="00D222CB">
      <w:pPr>
        <w:jc w:val="both"/>
      </w:pPr>
      <w:r w:rsidRPr="009971CA">
        <w:t>Marino et al. (2020) focused on the multidimensional nature of connectedness, including affective, participatory, and cognitive dimensions. Their findings showed that students who felt emotionally connected, actively engaged, and cognitively invested in school reported stronger self-esteem. This suggests that interventions aimed at boosting self-esteem must address all aspects of connectedness rather than focusing narrowly on one.</w:t>
      </w:r>
    </w:p>
    <w:p w14:paraId="3EDD8517" w14:textId="77777777" w:rsidR="009971CA" w:rsidRPr="009971CA" w:rsidRDefault="009971CA" w:rsidP="00D222CB">
      <w:pPr>
        <w:jc w:val="both"/>
      </w:pPr>
      <w:r w:rsidRPr="009971CA">
        <w:t>Sanchez et al. (2005) investigated the role of decision-making opportunities in shaping self-esteem. The study found that when students were given autonomy and included in school decision-making, their sense of worth and confidence increased. In Nairobi’s schools, where traditional hierarchical systems may limit student voice, this finding is particularly significant for understanding how connectedness influences self-esteem.</w:t>
      </w:r>
    </w:p>
    <w:p w14:paraId="53478FDB" w14:textId="77777777" w:rsidR="009971CA" w:rsidRPr="009971CA" w:rsidRDefault="009971CA" w:rsidP="00D222CB">
      <w:pPr>
        <w:jc w:val="both"/>
      </w:pPr>
      <w:r w:rsidRPr="009971CA">
        <w:t xml:space="preserve">Watson and </w:t>
      </w:r>
      <w:proofErr w:type="spellStart"/>
      <w:r w:rsidRPr="009971CA">
        <w:t>Haktanir</w:t>
      </w:r>
      <w:proofErr w:type="spellEnd"/>
      <w:r w:rsidRPr="009971CA">
        <w:t xml:space="preserve"> (2017) studied 577 U.S. adolescents and established a direct link between school engagement, connectedness, and self-esteem. Students who felt attached to their schools consistently reported higher confidence in their academic and personal abilities. This reinforces the hypothesis of the present study that connectedness is a crucial determinant of self-esteem among Kenyan students.</w:t>
      </w:r>
    </w:p>
    <w:p w14:paraId="7B66AFDA" w14:textId="77777777" w:rsidR="009971CA" w:rsidRPr="009971CA" w:rsidRDefault="009971CA" w:rsidP="00D222CB">
      <w:pPr>
        <w:jc w:val="both"/>
      </w:pPr>
      <w:r w:rsidRPr="009971CA">
        <w:t>McNeely et al. (2019), using structural equation modeling, further demonstrated that belonging, participation, and motivation within schools were strong predictors of academic self-esteem. Their findings confirm that connectedness operates through multiple pathways to shape self-worth. The current study tests whether similar patterns exist in Nairobi’s secondary schools.</w:t>
      </w:r>
    </w:p>
    <w:p w14:paraId="2D754298" w14:textId="77777777" w:rsidR="009971CA" w:rsidRPr="009971CA" w:rsidRDefault="009971CA" w:rsidP="00D222CB">
      <w:pPr>
        <w:jc w:val="both"/>
        <w:rPr>
          <w:b/>
          <w:bCs/>
        </w:rPr>
      </w:pPr>
      <w:r w:rsidRPr="009971CA">
        <w:rPr>
          <w:b/>
          <w:bCs/>
        </w:rPr>
        <w:t>Theoretical Framework</w:t>
      </w:r>
    </w:p>
    <w:p w14:paraId="06889990" w14:textId="77777777" w:rsidR="009971CA" w:rsidRPr="009971CA" w:rsidRDefault="009971CA" w:rsidP="00D222CB">
      <w:pPr>
        <w:jc w:val="both"/>
      </w:pPr>
      <w:r w:rsidRPr="009971CA">
        <w:t xml:space="preserve">This study is grounded in </w:t>
      </w:r>
      <w:r w:rsidRPr="003206FD">
        <w:t>Bronfenbrenner’s Ecological Systems Theory (EST)</w:t>
      </w:r>
      <w:r w:rsidRPr="009971CA">
        <w:t xml:space="preserve">, which emphasizes the role of multiple environmental systems in shaping human development (Bronfenbrenner, 1979; 1993). At the microsystem level, the quality of teacher-student and peer relationships directly influences students’ self-esteem. The mesosystem highlights the interactions between school and home contexts, which collectively affect adolescents’ self-perceptions. The </w:t>
      </w:r>
      <w:proofErr w:type="spellStart"/>
      <w:r w:rsidRPr="009971CA">
        <w:t>exosystem</w:t>
      </w:r>
      <w:proofErr w:type="spellEnd"/>
      <w:r w:rsidRPr="009971CA">
        <w:t xml:space="preserve"> includes influences such as parental work environments that indirectly shape students’ schooling experiences, while the macrosystem reflects broader cultural and educational norms. Finally, the chronosystem underscores the role of developmental transitions over time.</w:t>
      </w:r>
    </w:p>
    <w:p w14:paraId="4177E2B5" w14:textId="77777777" w:rsidR="009971CA" w:rsidRPr="009971CA" w:rsidRDefault="009971CA" w:rsidP="00D222CB">
      <w:pPr>
        <w:jc w:val="both"/>
      </w:pPr>
      <w:r w:rsidRPr="009971CA">
        <w:t xml:space="preserve">EST is particularly relevant in this study because it provides a holistic view of how school connectedness—situated within these systems—affects self-esteem. It suggests that enhancing </w:t>
      </w:r>
      <w:r w:rsidRPr="009971CA">
        <w:lastRenderedPageBreak/>
        <w:t>students’ sense of belonging in school requires not only supportive teacher-student interactions but also inclusive policies, peer networks, and cultural practices that affirm adolescents’ worth.</w:t>
      </w:r>
    </w:p>
    <w:p w14:paraId="2F4118D7" w14:textId="77777777" w:rsidR="009971CA" w:rsidRPr="009971CA" w:rsidRDefault="009971CA" w:rsidP="00D222CB">
      <w:pPr>
        <w:jc w:val="both"/>
      </w:pPr>
      <w:r w:rsidRPr="009971CA">
        <w:t xml:space="preserve">In addition, the study draws on </w:t>
      </w:r>
      <w:r w:rsidRPr="003206FD">
        <w:t>Self-Determination Theory (SDT),</w:t>
      </w:r>
      <w:r w:rsidRPr="009971CA">
        <w:t xml:space="preserve"> which posits that relatedness, autonomy, and competence are basic psychological needs essential for motivation and well-being (Deci &amp; Ryan, 2000). When students feel connected to their school environment, their need for relatedness is met, thereby strengthening self-esteem. SDT complements EST by highlighting the internal psychological mechanisms through which connectedness fosters self-worth.</w:t>
      </w:r>
    </w:p>
    <w:p w14:paraId="6F62B6D6" w14:textId="77777777" w:rsidR="009971CA" w:rsidRPr="009971CA" w:rsidRDefault="009971CA" w:rsidP="00D222CB">
      <w:pPr>
        <w:jc w:val="both"/>
        <w:rPr>
          <w:b/>
          <w:bCs/>
        </w:rPr>
      </w:pPr>
      <w:r w:rsidRPr="009971CA">
        <w:rPr>
          <w:b/>
          <w:bCs/>
        </w:rPr>
        <w:t>Summary</w:t>
      </w:r>
    </w:p>
    <w:p w14:paraId="390D1B91" w14:textId="77777777" w:rsidR="009971CA" w:rsidRPr="009971CA" w:rsidRDefault="009971CA" w:rsidP="00D222CB">
      <w:pPr>
        <w:jc w:val="both"/>
      </w:pPr>
      <w:r w:rsidRPr="009971CA">
        <w:t>The reviewed studies converge on the conclusion that school connectedness significantly influences students’ self-esteem across diverse contexts. International evidence consistently shows that supportive teacher-student relationships, inclusive peer interactions, and participatory opportunities in school life are strong predictors of higher self-esteem. In Kenya, however, this relationship has not been adequately investigated, particularly in the unique socio-cultural and economic environment of Nairobi County. By situating the study within EST and SDT, the research underscores both environmental and psychological mechanisms that explain how school connectedness affects self-esteem.</w:t>
      </w:r>
    </w:p>
    <w:p w14:paraId="46E74BD6" w14:textId="77777777" w:rsidR="00032A9F" w:rsidRPr="00032A9F" w:rsidRDefault="009971CA" w:rsidP="00D222CB">
      <w:pPr>
        <w:jc w:val="both"/>
      </w:pPr>
      <w:r w:rsidRPr="009971CA">
        <w:t>Thus, the literature review highlights a clear gap that this study seeks to address: while global research affirms the importance of connectedness in building self-esteem, localized empirical evidence in Nairobi’s public schools remains limited. Filling this gap is essential for designing contextually relevant interventions that enhance students’ confidence, resilience, and academic success.</w:t>
      </w:r>
    </w:p>
    <w:p w14:paraId="3255397E" w14:textId="77777777" w:rsidR="00032A9F" w:rsidRDefault="00032A9F" w:rsidP="009971CA">
      <w:pPr>
        <w:rPr>
          <w:b/>
          <w:bCs/>
        </w:rPr>
      </w:pPr>
    </w:p>
    <w:p w14:paraId="0A8B6E12" w14:textId="77777777" w:rsidR="009971CA" w:rsidRPr="009971CA" w:rsidRDefault="009971CA" w:rsidP="00032A9F">
      <w:pPr>
        <w:jc w:val="center"/>
        <w:rPr>
          <w:b/>
          <w:bCs/>
        </w:rPr>
      </w:pPr>
      <w:r w:rsidRPr="009971CA">
        <w:rPr>
          <w:b/>
          <w:bCs/>
        </w:rPr>
        <w:t>III. RESEARCH METHODOLOGY</w:t>
      </w:r>
    </w:p>
    <w:p w14:paraId="220A4D1B" w14:textId="77777777" w:rsidR="009971CA" w:rsidRPr="009971CA" w:rsidRDefault="009971CA" w:rsidP="009971CA">
      <w:pPr>
        <w:rPr>
          <w:b/>
          <w:bCs/>
        </w:rPr>
      </w:pPr>
      <w:r w:rsidRPr="009971CA">
        <w:rPr>
          <w:b/>
          <w:bCs/>
        </w:rPr>
        <w:t>3.1 Research Design</w:t>
      </w:r>
    </w:p>
    <w:p w14:paraId="003CD0DD" w14:textId="77777777" w:rsidR="009971CA" w:rsidRPr="00D222CB" w:rsidRDefault="009971CA" w:rsidP="00D222CB">
      <w:pPr>
        <w:jc w:val="both"/>
      </w:pPr>
      <w:r w:rsidRPr="00D222CB">
        <w:t xml:space="preserve">This study employed a </w:t>
      </w:r>
      <w:r w:rsidRPr="00D222CB">
        <w:rPr>
          <w:bCs/>
        </w:rPr>
        <w:t>correlational research design</w:t>
      </w:r>
      <w:r w:rsidRPr="00D222CB">
        <w:t xml:space="preserve"> to examine the relationship between school connectedness and students’ self-esteem in public secondary schools in Nairobi County. According to Best and Kahn (2006), correlational designs are essential in describing relationships between variables and testing hypotheses without manipulating them. In such designs, the researcher does not control or assign treatments but observes naturally occurring variations in the variables of interest (Cooper &amp; Schindler, 2003).</w:t>
      </w:r>
    </w:p>
    <w:p w14:paraId="38256FC6" w14:textId="77777777" w:rsidR="009971CA" w:rsidRPr="00D222CB" w:rsidRDefault="009971CA" w:rsidP="00D222CB">
      <w:pPr>
        <w:jc w:val="both"/>
      </w:pPr>
      <w:r w:rsidRPr="00D222CB">
        <w:t xml:space="preserve">The design was particularly suitable for this study because it sought to determine the extent to which school connectedness (independent variable) relates to students’ self-esteem (dependent variable). By applying this design, the study could establish the nature and strength of associations between these constructs, which are critical in understanding adolescent psychosocial </w:t>
      </w:r>
      <w:r w:rsidRPr="00D222CB">
        <w:lastRenderedPageBreak/>
        <w:t>development. This made the correlational design one of the most appropriate approaches for analyzing how school connectedness influences self-esteem in Nairobi’s public secondary schools.</w:t>
      </w:r>
    </w:p>
    <w:p w14:paraId="0F3DCF55" w14:textId="77777777" w:rsidR="009971CA" w:rsidRPr="009971CA" w:rsidRDefault="009971CA" w:rsidP="00D222CB">
      <w:pPr>
        <w:jc w:val="both"/>
        <w:rPr>
          <w:b/>
          <w:bCs/>
        </w:rPr>
      </w:pPr>
      <w:r w:rsidRPr="009971CA">
        <w:rPr>
          <w:b/>
          <w:bCs/>
        </w:rPr>
        <w:t>3.2 Location of the Study</w:t>
      </w:r>
    </w:p>
    <w:p w14:paraId="5147ADEB" w14:textId="77777777" w:rsidR="009971CA" w:rsidRPr="00D222CB" w:rsidRDefault="009971CA" w:rsidP="00D222CB">
      <w:pPr>
        <w:jc w:val="both"/>
      </w:pPr>
      <w:r w:rsidRPr="00D222CB">
        <w:t xml:space="preserve">The study was conducted in </w:t>
      </w:r>
      <w:r w:rsidRPr="00D222CB">
        <w:rPr>
          <w:bCs/>
        </w:rPr>
        <w:t>public secondary schools in Nairobi County, Kenya</w:t>
      </w:r>
      <w:r w:rsidRPr="00D222CB">
        <w:t xml:space="preserve">. Nairobi County is the capital city and the most populous urban area in the country, with a population of 4.4 million as per the 2019 Kenya National Bureau of Statistics (KNBS) census. The county is administratively divided into 17 sub-counties including </w:t>
      </w:r>
      <w:proofErr w:type="spellStart"/>
      <w:r w:rsidRPr="00D222CB">
        <w:t>Dagoretti</w:t>
      </w:r>
      <w:proofErr w:type="spellEnd"/>
      <w:r w:rsidRPr="00D222CB">
        <w:t xml:space="preserve">, Embakasi, </w:t>
      </w:r>
      <w:proofErr w:type="spellStart"/>
      <w:r w:rsidRPr="00D222CB">
        <w:t>Kasarani</w:t>
      </w:r>
      <w:proofErr w:type="spellEnd"/>
      <w:r w:rsidRPr="00D222CB">
        <w:t xml:space="preserve">, </w:t>
      </w:r>
      <w:proofErr w:type="spellStart"/>
      <w:r w:rsidRPr="00D222CB">
        <w:t>Kamukunji</w:t>
      </w:r>
      <w:proofErr w:type="spellEnd"/>
      <w:r w:rsidRPr="00D222CB">
        <w:t xml:space="preserve">, </w:t>
      </w:r>
      <w:proofErr w:type="spellStart"/>
      <w:r w:rsidRPr="00D222CB">
        <w:t>Lang’ata</w:t>
      </w:r>
      <w:proofErr w:type="spellEnd"/>
      <w:r w:rsidRPr="00D222CB">
        <w:t xml:space="preserve">, </w:t>
      </w:r>
      <w:proofErr w:type="spellStart"/>
      <w:r w:rsidRPr="00D222CB">
        <w:t>Makadara</w:t>
      </w:r>
      <w:proofErr w:type="spellEnd"/>
      <w:r w:rsidRPr="00D222CB">
        <w:t xml:space="preserve">, </w:t>
      </w:r>
      <w:proofErr w:type="spellStart"/>
      <w:r w:rsidRPr="00D222CB">
        <w:t>Mathare</w:t>
      </w:r>
      <w:proofErr w:type="spellEnd"/>
      <w:r w:rsidRPr="00D222CB">
        <w:t xml:space="preserve">, </w:t>
      </w:r>
      <w:proofErr w:type="spellStart"/>
      <w:r w:rsidRPr="00D222CB">
        <w:t>Roysambu</w:t>
      </w:r>
      <w:proofErr w:type="spellEnd"/>
      <w:r w:rsidRPr="00D222CB">
        <w:t xml:space="preserve">, </w:t>
      </w:r>
      <w:proofErr w:type="spellStart"/>
      <w:r w:rsidRPr="00D222CB">
        <w:t>Ruaraka</w:t>
      </w:r>
      <w:proofErr w:type="spellEnd"/>
      <w:r w:rsidRPr="00D222CB">
        <w:t xml:space="preserve">, </w:t>
      </w:r>
      <w:proofErr w:type="spellStart"/>
      <w:r w:rsidRPr="00D222CB">
        <w:t>Starehe</w:t>
      </w:r>
      <w:proofErr w:type="spellEnd"/>
      <w:r w:rsidRPr="00D222CB">
        <w:t xml:space="preserve">, and </w:t>
      </w:r>
      <w:proofErr w:type="spellStart"/>
      <w:r w:rsidRPr="00D222CB">
        <w:t>Westlands</w:t>
      </w:r>
      <w:proofErr w:type="spellEnd"/>
      <w:r w:rsidRPr="00D222CB">
        <w:t>, among others.</w:t>
      </w:r>
    </w:p>
    <w:p w14:paraId="45E7F97F" w14:textId="77777777" w:rsidR="009971CA" w:rsidRPr="00D222CB" w:rsidRDefault="009971CA" w:rsidP="00D222CB">
      <w:pPr>
        <w:jc w:val="both"/>
      </w:pPr>
      <w:r w:rsidRPr="00D222CB">
        <w:t xml:space="preserve">Nairobi County was chosen for the study due to its </w:t>
      </w:r>
      <w:r w:rsidRPr="00D222CB">
        <w:rPr>
          <w:bCs/>
        </w:rPr>
        <w:t>unique educational and psychosocial challenges</w:t>
      </w:r>
      <w:r w:rsidRPr="00D222CB">
        <w:t>. Schools in the county face issues of overcrowding, diverse student populations, limited teacher-student interaction, and socio-economic disparities. These conditions are likely to affect the levels of school connectedness and, consequently, students’ self-esteem. Furthermore, although there are numerous studies on self-esteem and school climate in other contexts, there is limited empirical data that specifically explores this relationship in Nairobi’s urban public schools. Thus, the county presented a suitable setting to investigate the research problem.</w:t>
      </w:r>
    </w:p>
    <w:p w14:paraId="6F5B50E7" w14:textId="77777777" w:rsidR="009971CA" w:rsidRPr="009971CA" w:rsidRDefault="009971CA" w:rsidP="00D222CB">
      <w:pPr>
        <w:jc w:val="both"/>
        <w:rPr>
          <w:b/>
          <w:bCs/>
        </w:rPr>
      </w:pPr>
      <w:r w:rsidRPr="009971CA">
        <w:rPr>
          <w:b/>
          <w:bCs/>
        </w:rPr>
        <w:t>3.3 Target Population</w:t>
      </w:r>
    </w:p>
    <w:p w14:paraId="1D3BB0F8" w14:textId="62F7CEAA" w:rsidR="009971CA" w:rsidRPr="00D222CB" w:rsidRDefault="009971CA" w:rsidP="00D222CB">
      <w:pPr>
        <w:jc w:val="both"/>
      </w:pPr>
      <w:r w:rsidRPr="00D222CB">
        <w:t xml:space="preserve">Mugenda and Mugenda (2008) define a population as the entire group of individuals or objects to which a researcher wishes to generalize study findings. In this study, the target population consisted of </w:t>
      </w:r>
      <w:r w:rsidR="003206FD">
        <w:rPr>
          <w:bCs/>
        </w:rPr>
        <w:t>students and class teachers</w:t>
      </w:r>
      <w:r w:rsidRPr="00D222CB">
        <w:t xml:space="preserve"> in public secondary schools in Nairobi County.</w:t>
      </w:r>
    </w:p>
    <w:p w14:paraId="1600E819" w14:textId="084A1CF5" w:rsidR="009971CA" w:rsidRPr="00D222CB" w:rsidRDefault="009971CA" w:rsidP="00D222CB">
      <w:pPr>
        <w:jc w:val="both"/>
      </w:pPr>
      <w:r w:rsidRPr="00D222CB">
        <w:t xml:space="preserve">According to the Nairobi County Education Office (2021), the county has </w:t>
      </w:r>
      <w:r w:rsidRPr="00D222CB">
        <w:rPr>
          <w:bCs/>
        </w:rPr>
        <w:t>297 public secondary schools</w:t>
      </w:r>
      <w:r w:rsidRPr="00D222CB">
        <w:t xml:space="preserve"> comprising 5,312 teachers and 163,234 students. These groups were considered relevant because teachers play a central role in creating and sustaining school connectedness, while students are the direct recipients of these experiences, as well as the focus of self-esteem assessment.</w:t>
      </w:r>
    </w:p>
    <w:p w14:paraId="3BD4BDEE" w14:textId="77777777" w:rsidR="009971CA" w:rsidRPr="009971CA" w:rsidRDefault="009971CA" w:rsidP="00D222CB">
      <w:pPr>
        <w:jc w:val="both"/>
      </w:pPr>
      <w:r w:rsidRPr="009971CA">
        <w:rPr>
          <w:b/>
          <w:bCs/>
        </w:rPr>
        <w:t>Table 1: Target Population</w:t>
      </w:r>
    </w:p>
    <w:tbl>
      <w:tblPr>
        <w:tblStyle w:val="TableGrid"/>
        <w:tblW w:w="0" w:type="auto"/>
        <w:tblLook w:val="04A0" w:firstRow="1" w:lastRow="0" w:firstColumn="1" w:lastColumn="0" w:noHBand="0" w:noVBand="1"/>
      </w:tblPr>
      <w:tblGrid>
        <w:gridCol w:w="1163"/>
        <w:gridCol w:w="2090"/>
      </w:tblGrid>
      <w:tr w:rsidR="009971CA" w:rsidRPr="009971CA" w14:paraId="3F5BB1AB" w14:textId="77777777" w:rsidTr="00032A9F">
        <w:tc>
          <w:tcPr>
            <w:tcW w:w="0" w:type="auto"/>
            <w:hideMark/>
          </w:tcPr>
          <w:p w14:paraId="6B872BCD" w14:textId="77777777" w:rsidR="009971CA" w:rsidRPr="009971CA" w:rsidRDefault="009971CA" w:rsidP="00D222CB">
            <w:pPr>
              <w:spacing w:after="200" w:line="276" w:lineRule="auto"/>
              <w:jc w:val="both"/>
              <w:rPr>
                <w:b/>
                <w:bCs/>
              </w:rPr>
            </w:pPr>
            <w:r w:rsidRPr="009971CA">
              <w:rPr>
                <w:b/>
                <w:bCs/>
              </w:rPr>
              <w:t>Category</w:t>
            </w:r>
          </w:p>
        </w:tc>
        <w:tc>
          <w:tcPr>
            <w:tcW w:w="0" w:type="auto"/>
            <w:hideMark/>
          </w:tcPr>
          <w:p w14:paraId="3BA8373B" w14:textId="77777777" w:rsidR="009971CA" w:rsidRPr="009971CA" w:rsidRDefault="009971CA" w:rsidP="00D222CB">
            <w:pPr>
              <w:spacing w:after="200" w:line="276" w:lineRule="auto"/>
              <w:jc w:val="both"/>
              <w:rPr>
                <w:b/>
                <w:bCs/>
              </w:rPr>
            </w:pPr>
            <w:r w:rsidRPr="009971CA">
              <w:rPr>
                <w:b/>
                <w:bCs/>
              </w:rPr>
              <w:t>Target Population</w:t>
            </w:r>
          </w:p>
        </w:tc>
      </w:tr>
      <w:tr w:rsidR="009971CA" w:rsidRPr="009971CA" w14:paraId="3DF3C634" w14:textId="77777777" w:rsidTr="00032A9F">
        <w:tc>
          <w:tcPr>
            <w:tcW w:w="0" w:type="auto"/>
            <w:hideMark/>
          </w:tcPr>
          <w:p w14:paraId="5578B06A" w14:textId="77777777" w:rsidR="009971CA" w:rsidRPr="009971CA" w:rsidRDefault="009971CA" w:rsidP="00D222CB">
            <w:pPr>
              <w:spacing w:after="200" w:line="276" w:lineRule="auto"/>
              <w:jc w:val="both"/>
            </w:pPr>
            <w:r w:rsidRPr="009971CA">
              <w:t>Teachers</w:t>
            </w:r>
          </w:p>
        </w:tc>
        <w:tc>
          <w:tcPr>
            <w:tcW w:w="0" w:type="auto"/>
            <w:hideMark/>
          </w:tcPr>
          <w:p w14:paraId="1214AB14" w14:textId="77777777" w:rsidR="009971CA" w:rsidRPr="009971CA" w:rsidRDefault="009971CA" w:rsidP="00D222CB">
            <w:pPr>
              <w:spacing w:after="200" w:line="276" w:lineRule="auto"/>
              <w:jc w:val="both"/>
            </w:pPr>
            <w:r w:rsidRPr="009971CA">
              <w:t>5,312</w:t>
            </w:r>
          </w:p>
        </w:tc>
      </w:tr>
      <w:tr w:rsidR="009971CA" w:rsidRPr="009971CA" w14:paraId="537E8516" w14:textId="77777777" w:rsidTr="00032A9F">
        <w:tc>
          <w:tcPr>
            <w:tcW w:w="0" w:type="auto"/>
            <w:hideMark/>
          </w:tcPr>
          <w:p w14:paraId="4C078B9C" w14:textId="77777777" w:rsidR="009971CA" w:rsidRPr="009971CA" w:rsidRDefault="009971CA" w:rsidP="00D222CB">
            <w:pPr>
              <w:spacing w:after="200" w:line="276" w:lineRule="auto"/>
              <w:jc w:val="both"/>
            </w:pPr>
            <w:r w:rsidRPr="009971CA">
              <w:t>Students</w:t>
            </w:r>
          </w:p>
        </w:tc>
        <w:tc>
          <w:tcPr>
            <w:tcW w:w="0" w:type="auto"/>
            <w:hideMark/>
          </w:tcPr>
          <w:p w14:paraId="5883CDE4" w14:textId="77777777" w:rsidR="009971CA" w:rsidRPr="009971CA" w:rsidRDefault="009971CA" w:rsidP="00D222CB">
            <w:pPr>
              <w:spacing w:after="200" w:line="276" w:lineRule="auto"/>
              <w:jc w:val="both"/>
            </w:pPr>
            <w:r w:rsidRPr="009971CA">
              <w:t>163,234</w:t>
            </w:r>
          </w:p>
        </w:tc>
      </w:tr>
    </w:tbl>
    <w:p w14:paraId="37C46DFE" w14:textId="77777777" w:rsidR="009971CA" w:rsidRPr="009971CA" w:rsidRDefault="009971CA" w:rsidP="00D222CB">
      <w:pPr>
        <w:jc w:val="both"/>
      </w:pPr>
      <w:r w:rsidRPr="009971CA">
        <w:rPr>
          <w:i/>
          <w:iCs/>
        </w:rPr>
        <w:t>Source: Nairobi County Education Office (2021)</w:t>
      </w:r>
    </w:p>
    <w:p w14:paraId="05BC6A51" w14:textId="77777777" w:rsidR="009971CA" w:rsidRPr="009971CA" w:rsidRDefault="009971CA" w:rsidP="00D222CB">
      <w:pPr>
        <w:jc w:val="both"/>
        <w:rPr>
          <w:b/>
          <w:bCs/>
        </w:rPr>
      </w:pPr>
      <w:r w:rsidRPr="009971CA">
        <w:rPr>
          <w:b/>
          <w:bCs/>
        </w:rPr>
        <w:t>3.4 Sampling Technique and Sample Size</w:t>
      </w:r>
    </w:p>
    <w:p w14:paraId="28474C04" w14:textId="42CFC717" w:rsidR="009971CA" w:rsidRPr="00D222CB" w:rsidRDefault="009971CA" w:rsidP="00D222CB">
      <w:pPr>
        <w:jc w:val="both"/>
      </w:pPr>
      <w:proofErr w:type="spellStart"/>
      <w:r w:rsidRPr="00D222CB">
        <w:t>Orodho</w:t>
      </w:r>
      <w:proofErr w:type="spellEnd"/>
      <w:r w:rsidRPr="00D222CB">
        <w:t xml:space="preserve"> (2005) defines sampling as the process of selecting a subset of individuals that adequately represents the characteristics of the entire population. This study used a </w:t>
      </w:r>
      <w:r w:rsidRPr="00D222CB">
        <w:rPr>
          <w:bCs/>
        </w:rPr>
        <w:t xml:space="preserve">stratified sampling </w:t>
      </w:r>
      <w:r w:rsidRPr="00D222CB">
        <w:rPr>
          <w:bCs/>
        </w:rPr>
        <w:lastRenderedPageBreak/>
        <w:t>technique</w:t>
      </w:r>
      <w:r w:rsidRPr="00D222CB">
        <w:t xml:space="preserve"> to ensure that teachers and students were proportionately represented. Simple random sampling was then applied within each stratum to select individual participants.</w:t>
      </w:r>
    </w:p>
    <w:p w14:paraId="523BFDD5" w14:textId="77777777" w:rsidR="009971CA" w:rsidRPr="00D222CB" w:rsidRDefault="009971CA" w:rsidP="00D222CB">
      <w:pPr>
        <w:jc w:val="both"/>
      </w:pPr>
      <w:r w:rsidRPr="00D222CB">
        <w:t xml:space="preserve">To calculate the sample size for teachers and students, the study applied the simplified formula by </w:t>
      </w:r>
      <w:r w:rsidRPr="00D222CB">
        <w:rPr>
          <w:bCs/>
        </w:rPr>
        <w:t>Yamane (1967)</w:t>
      </w:r>
      <w:r w:rsidRPr="00D222CB">
        <w:t>:</w:t>
      </w:r>
    </w:p>
    <w:p w14:paraId="6285C00D" w14:textId="77777777" w:rsidR="00032A9F" w:rsidRPr="00032A9F" w:rsidRDefault="00032A9F" w:rsidP="00032A9F">
      <w:pPr>
        <w:jc w:val="center"/>
        <w:rPr>
          <w:b/>
        </w:rPr>
      </w:pPr>
      <w:r w:rsidRPr="00032A9F">
        <w:rPr>
          <w:b/>
        </w:rPr>
        <w:t>n = N / (1 + N * (e^2))</w:t>
      </w:r>
    </w:p>
    <w:p w14:paraId="40258D3D" w14:textId="77777777" w:rsidR="009971CA" w:rsidRPr="009971CA" w:rsidRDefault="009971CA" w:rsidP="00D222CB">
      <w:pPr>
        <w:jc w:val="both"/>
      </w:pPr>
      <w:r w:rsidRPr="009971CA">
        <w:t>Where:</w:t>
      </w:r>
    </w:p>
    <w:p w14:paraId="7BA820D1" w14:textId="77777777" w:rsidR="009971CA" w:rsidRPr="009971CA" w:rsidRDefault="009971CA" w:rsidP="00D222CB">
      <w:pPr>
        <w:numPr>
          <w:ilvl w:val="0"/>
          <w:numId w:val="1"/>
        </w:numPr>
        <w:jc w:val="both"/>
      </w:pPr>
      <w:r w:rsidRPr="009971CA">
        <w:rPr>
          <w:i/>
          <w:iCs/>
        </w:rPr>
        <w:t>n</w:t>
      </w:r>
      <w:r w:rsidRPr="009971CA">
        <w:t xml:space="preserve"> = sample size</w:t>
      </w:r>
    </w:p>
    <w:p w14:paraId="7BFFF2F3" w14:textId="77777777" w:rsidR="009971CA" w:rsidRPr="009971CA" w:rsidRDefault="009971CA" w:rsidP="00D222CB">
      <w:pPr>
        <w:numPr>
          <w:ilvl w:val="0"/>
          <w:numId w:val="1"/>
        </w:numPr>
        <w:jc w:val="both"/>
      </w:pPr>
      <w:r w:rsidRPr="009971CA">
        <w:rPr>
          <w:i/>
          <w:iCs/>
        </w:rPr>
        <w:t>N</w:t>
      </w:r>
      <w:r w:rsidRPr="009971CA">
        <w:t xml:space="preserve"> = population size</w:t>
      </w:r>
    </w:p>
    <w:p w14:paraId="25184C64" w14:textId="77777777" w:rsidR="009971CA" w:rsidRPr="009971CA" w:rsidRDefault="009971CA" w:rsidP="00D222CB">
      <w:pPr>
        <w:numPr>
          <w:ilvl w:val="0"/>
          <w:numId w:val="1"/>
        </w:numPr>
        <w:jc w:val="both"/>
      </w:pPr>
      <w:r w:rsidRPr="009971CA">
        <w:rPr>
          <w:i/>
          <w:iCs/>
        </w:rPr>
        <w:t>e</w:t>
      </w:r>
      <w:r w:rsidRPr="009971CA">
        <w:t xml:space="preserve"> = margin of error (set at 0.1 for teachers and 0.05 for students)</w:t>
      </w:r>
    </w:p>
    <w:p w14:paraId="5560E420" w14:textId="38159E17" w:rsidR="009971CA" w:rsidRPr="009971CA" w:rsidRDefault="009971CA" w:rsidP="00D222CB">
      <w:pPr>
        <w:jc w:val="both"/>
      </w:pPr>
      <w:r w:rsidRPr="00D222CB">
        <w:t xml:space="preserve">Based on this formula, the final sample included </w:t>
      </w:r>
      <w:r w:rsidRPr="00D222CB">
        <w:rPr>
          <w:bCs/>
        </w:rPr>
        <w:t>100 teachers, and 380 students</w:t>
      </w:r>
      <w:r w:rsidRPr="00D222CB">
        <w:t>, giving a total of 510 respondents</w:t>
      </w:r>
      <w:r w:rsidRPr="009971CA">
        <w:t>.</w:t>
      </w:r>
    </w:p>
    <w:p w14:paraId="011C8E00" w14:textId="77777777" w:rsidR="009971CA" w:rsidRPr="009971CA" w:rsidRDefault="009971CA" w:rsidP="009971CA">
      <w:r w:rsidRPr="009971CA">
        <w:rPr>
          <w:b/>
          <w:bCs/>
        </w:rPr>
        <w:t>Table 2: Sample Size</w:t>
      </w:r>
    </w:p>
    <w:tbl>
      <w:tblPr>
        <w:tblStyle w:val="TableGrid"/>
        <w:tblW w:w="0" w:type="auto"/>
        <w:tblLook w:val="04A0" w:firstRow="1" w:lastRow="0" w:firstColumn="1" w:lastColumn="0" w:noHBand="0" w:noVBand="1"/>
      </w:tblPr>
      <w:tblGrid>
        <w:gridCol w:w="1163"/>
        <w:gridCol w:w="1337"/>
        <w:gridCol w:w="977"/>
        <w:gridCol w:w="2838"/>
      </w:tblGrid>
      <w:tr w:rsidR="009971CA" w:rsidRPr="009971CA" w14:paraId="7956B1CE" w14:textId="77777777" w:rsidTr="009971CA">
        <w:tc>
          <w:tcPr>
            <w:tcW w:w="0" w:type="auto"/>
            <w:hideMark/>
          </w:tcPr>
          <w:p w14:paraId="3F803878" w14:textId="77777777" w:rsidR="009971CA" w:rsidRPr="009971CA" w:rsidRDefault="009971CA" w:rsidP="009971CA">
            <w:pPr>
              <w:spacing w:after="200" w:line="276" w:lineRule="auto"/>
              <w:rPr>
                <w:b/>
                <w:bCs/>
              </w:rPr>
            </w:pPr>
            <w:r w:rsidRPr="009971CA">
              <w:rPr>
                <w:b/>
                <w:bCs/>
              </w:rPr>
              <w:t>Category</w:t>
            </w:r>
          </w:p>
        </w:tc>
        <w:tc>
          <w:tcPr>
            <w:tcW w:w="0" w:type="auto"/>
            <w:hideMark/>
          </w:tcPr>
          <w:p w14:paraId="35031C5A" w14:textId="77777777" w:rsidR="009971CA" w:rsidRPr="009971CA" w:rsidRDefault="009971CA" w:rsidP="009971CA">
            <w:pPr>
              <w:spacing w:after="200" w:line="276" w:lineRule="auto"/>
              <w:rPr>
                <w:b/>
                <w:bCs/>
              </w:rPr>
            </w:pPr>
            <w:r w:rsidRPr="009971CA">
              <w:rPr>
                <w:b/>
                <w:bCs/>
              </w:rPr>
              <w:t>Population</w:t>
            </w:r>
          </w:p>
        </w:tc>
        <w:tc>
          <w:tcPr>
            <w:tcW w:w="0" w:type="auto"/>
            <w:hideMark/>
          </w:tcPr>
          <w:p w14:paraId="536375F2" w14:textId="77777777" w:rsidR="009971CA" w:rsidRPr="009971CA" w:rsidRDefault="009971CA" w:rsidP="009971CA">
            <w:pPr>
              <w:spacing w:after="200" w:line="276" w:lineRule="auto"/>
              <w:rPr>
                <w:b/>
                <w:bCs/>
              </w:rPr>
            </w:pPr>
            <w:r w:rsidRPr="009971CA">
              <w:rPr>
                <w:b/>
                <w:bCs/>
              </w:rPr>
              <w:t>Sample</w:t>
            </w:r>
          </w:p>
        </w:tc>
        <w:tc>
          <w:tcPr>
            <w:tcW w:w="0" w:type="auto"/>
            <w:hideMark/>
          </w:tcPr>
          <w:p w14:paraId="29B0A92B" w14:textId="77777777" w:rsidR="009971CA" w:rsidRPr="009971CA" w:rsidRDefault="009971CA" w:rsidP="009971CA">
            <w:pPr>
              <w:spacing w:after="200" w:line="276" w:lineRule="auto"/>
              <w:rPr>
                <w:b/>
                <w:bCs/>
              </w:rPr>
            </w:pPr>
            <w:r w:rsidRPr="009971CA">
              <w:rPr>
                <w:b/>
                <w:bCs/>
              </w:rPr>
              <w:t>Sampling Procedure</w:t>
            </w:r>
          </w:p>
        </w:tc>
      </w:tr>
      <w:tr w:rsidR="009971CA" w:rsidRPr="009971CA" w14:paraId="4C60CF37" w14:textId="77777777" w:rsidTr="009971CA">
        <w:tc>
          <w:tcPr>
            <w:tcW w:w="0" w:type="auto"/>
            <w:hideMark/>
          </w:tcPr>
          <w:p w14:paraId="516DA68C" w14:textId="77777777" w:rsidR="009971CA" w:rsidRPr="009971CA" w:rsidRDefault="009971CA" w:rsidP="009971CA">
            <w:pPr>
              <w:spacing w:after="200" w:line="276" w:lineRule="auto"/>
            </w:pPr>
            <w:r w:rsidRPr="009971CA">
              <w:t>Teachers</w:t>
            </w:r>
          </w:p>
        </w:tc>
        <w:tc>
          <w:tcPr>
            <w:tcW w:w="0" w:type="auto"/>
            <w:hideMark/>
          </w:tcPr>
          <w:p w14:paraId="769B39B3" w14:textId="77777777" w:rsidR="009971CA" w:rsidRPr="009971CA" w:rsidRDefault="009971CA" w:rsidP="009971CA">
            <w:pPr>
              <w:spacing w:after="200" w:line="276" w:lineRule="auto"/>
            </w:pPr>
            <w:r w:rsidRPr="009971CA">
              <w:t>5,312</w:t>
            </w:r>
          </w:p>
        </w:tc>
        <w:tc>
          <w:tcPr>
            <w:tcW w:w="0" w:type="auto"/>
            <w:hideMark/>
          </w:tcPr>
          <w:p w14:paraId="3C0176FF" w14:textId="77777777" w:rsidR="009971CA" w:rsidRPr="009971CA" w:rsidRDefault="009971CA" w:rsidP="009971CA">
            <w:pPr>
              <w:spacing w:after="200" w:line="276" w:lineRule="auto"/>
            </w:pPr>
            <w:r w:rsidRPr="009971CA">
              <w:t>100</w:t>
            </w:r>
          </w:p>
        </w:tc>
        <w:tc>
          <w:tcPr>
            <w:tcW w:w="0" w:type="auto"/>
            <w:hideMark/>
          </w:tcPr>
          <w:p w14:paraId="1F3EEEED" w14:textId="77777777" w:rsidR="009971CA" w:rsidRPr="009971CA" w:rsidRDefault="009971CA" w:rsidP="009971CA">
            <w:pPr>
              <w:spacing w:after="200" w:line="276" w:lineRule="auto"/>
            </w:pPr>
            <w:r w:rsidRPr="009971CA">
              <w:t>Yamane formula (e = 0.1)</w:t>
            </w:r>
          </w:p>
        </w:tc>
      </w:tr>
      <w:tr w:rsidR="009971CA" w:rsidRPr="009971CA" w14:paraId="5A9CD2F5" w14:textId="77777777" w:rsidTr="009971CA">
        <w:tc>
          <w:tcPr>
            <w:tcW w:w="0" w:type="auto"/>
            <w:hideMark/>
          </w:tcPr>
          <w:p w14:paraId="38FA5802" w14:textId="77777777" w:rsidR="009971CA" w:rsidRPr="009971CA" w:rsidRDefault="009971CA" w:rsidP="009971CA">
            <w:pPr>
              <w:spacing w:after="200" w:line="276" w:lineRule="auto"/>
            </w:pPr>
            <w:r w:rsidRPr="009971CA">
              <w:t>Students</w:t>
            </w:r>
          </w:p>
        </w:tc>
        <w:tc>
          <w:tcPr>
            <w:tcW w:w="0" w:type="auto"/>
            <w:hideMark/>
          </w:tcPr>
          <w:p w14:paraId="770F1532" w14:textId="77777777" w:rsidR="009971CA" w:rsidRPr="009971CA" w:rsidRDefault="009971CA" w:rsidP="009971CA">
            <w:pPr>
              <w:spacing w:after="200" w:line="276" w:lineRule="auto"/>
            </w:pPr>
            <w:r w:rsidRPr="009971CA">
              <w:t>163,234</w:t>
            </w:r>
          </w:p>
        </w:tc>
        <w:tc>
          <w:tcPr>
            <w:tcW w:w="0" w:type="auto"/>
            <w:hideMark/>
          </w:tcPr>
          <w:p w14:paraId="18AD2284" w14:textId="77777777" w:rsidR="009971CA" w:rsidRPr="009971CA" w:rsidRDefault="009971CA" w:rsidP="009971CA">
            <w:pPr>
              <w:spacing w:after="200" w:line="276" w:lineRule="auto"/>
            </w:pPr>
            <w:r w:rsidRPr="009971CA">
              <w:t>380</w:t>
            </w:r>
          </w:p>
        </w:tc>
        <w:tc>
          <w:tcPr>
            <w:tcW w:w="0" w:type="auto"/>
            <w:hideMark/>
          </w:tcPr>
          <w:p w14:paraId="4511E577" w14:textId="77777777" w:rsidR="009971CA" w:rsidRPr="009971CA" w:rsidRDefault="009971CA" w:rsidP="009971CA">
            <w:pPr>
              <w:spacing w:after="200" w:line="276" w:lineRule="auto"/>
            </w:pPr>
            <w:r w:rsidRPr="009971CA">
              <w:t>Yamane formula (e = 0.05)</w:t>
            </w:r>
          </w:p>
        </w:tc>
      </w:tr>
    </w:tbl>
    <w:p w14:paraId="4D55DAD8" w14:textId="77777777" w:rsidR="009971CA" w:rsidRPr="009971CA" w:rsidRDefault="009971CA" w:rsidP="009971CA">
      <w:pPr>
        <w:rPr>
          <w:b/>
          <w:bCs/>
        </w:rPr>
      </w:pPr>
      <w:r w:rsidRPr="009971CA">
        <w:rPr>
          <w:b/>
          <w:bCs/>
        </w:rPr>
        <w:t>3.5 Research Instruments</w:t>
      </w:r>
    </w:p>
    <w:p w14:paraId="71B96223" w14:textId="77777777" w:rsidR="009971CA" w:rsidRPr="00D222CB" w:rsidRDefault="009971CA" w:rsidP="00D222CB">
      <w:pPr>
        <w:jc w:val="both"/>
      </w:pPr>
      <w:r w:rsidRPr="00D222CB">
        <w:t xml:space="preserve">Data were collected using </w:t>
      </w:r>
      <w:r w:rsidRPr="00D222CB">
        <w:rPr>
          <w:bCs/>
        </w:rPr>
        <w:t>standardized questionnaires</w:t>
      </w:r>
      <w:r w:rsidRPr="00D222CB">
        <w:t xml:space="preserve">. The student questionnaire contained items measuring both school connectedness and self-esteem. School connectedness was measured using adapted instruments focusing on teacher support, peer relationships, and sense of belonging. Self-esteem was measured using the </w:t>
      </w:r>
      <w:r w:rsidRPr="00D222CB">
        <w:rPr>
          <w:bCs/>
        </w:rPr>
        <w:t>Rosenberg Self-Esteem Scale</w:t>
      </w:r>
      <w:r w:rsidRPr="00D222CB">
        <w:t>, which is widely validated for use in adolescent populations.</w:t>
      </w:r>
    </w:p>
    <w:p w14:paraId="6FF6D877" w14:textId="1097768F" w:rsidR="009971CA" w:rsidRPr="00D222CB" w:rsidRDefault="009971CA" w:rsidP="00D222CB">
      <w:pPr>
        <w:jc w:val="both"/>
      </w:pPr>
      <w:r w:rsidRPr="00D222CB">
        <w:t xml:space="preserve">In addition to questionnaires, </w:t>
      </w:r>
      <w:r w:rsidRPr="00D222CB">
        <w:rPr>
          <w:bCs/>
        </w:rPr>
        <w:t>semi-structured interview guides</w:t>
      </w:r>
      <w:r w:rsidRPr="00D222CB">
        <w:t xml:space="preserve"> were administered to </w:t>
      </w:r>
      <w:r w:rsidR="004406FD">
        <w:t xml:space="preserve">class </w:t>
      </w:r>
      <w:r w:rsidRPr="00D222CB">
        <w:t>teachers to gather deeper insights into school connectedness practices and their perceived influence on students’ self-esteem. This triangulation of methods enriched the data and enhanced credibility.</w:t>
      </w:r>
    </w:p>
    <w:p w14:paraId="6BDB41E4" w14:textId="77777777" w:rsidR="009971CA" w:rsidRPr="009971CA" w:rsidRDefault="009971CA" w:rsidP="00D222CB">
      <w:pPr>
        <w:jc w:val="both"/>
        <w:rPr>
          <w:b/>
          <w:bCs/>
        </w:rPr>
      </w:pPr>
      <w:r w:rsidRPr="009971CA">
        <w:rPr>
          <w:b/>
          <w:bCs/>
        </w:rPr>
        <w:t>3.6 Pilot Testing of Research Instruments</w:t>
      </w:r>
    </w:p>
    <w:p w14:paraId="557BC0FC" w14:textId="2AD74278" w:rsidR="009971CA" w:rsidRPr="00D222CB" w:rsidRDefault="009971CA" w:rsidP="00D222CB">
      <w:pPr>
        <w:jc w:val="both"/>
      </w:pPr>
      <w:r w:rsidRPr="00D222CB">
        <w:t xml:space="preserve">A pilot study was conducted in </w:t>
      </w:r>
      <w:r w:rsidRPr="00D222CB">
        <w:rPr>
          <w:bCs/>
        </w:rPr>
        <w:t>two public secondary schools in Nairobi County</w:t>
      </w:r>
      <w:r w:rsidRPr="00D222CB">
        <w:t xml:space="preserve"> not included in the final sample. This involved 15 teachers and 30 students (about 10% of the total sample size). The pilot aimed to evaluate clarity, accuracy, and appropriateness of the instruments.</w:t>
      </w:r>
    </w:p>
    <w:p w14:paraId="07A778D0" w14:textId="77777777" w:rsidR="009971CA" w:rsidRPr="009971CA" w:rsidRDefault="009971CA" w:rsidP="00D222CB">
      <w:pPr>
        <w:jc w:val="both"/>
        <w:rPr>
          <w:b/>
          <w:bCs/>
        </w:rPr>
      </w:pPr>
      <w:r w:rsidRPr="009971CA">
        <w:rPr>
          <w:b/>
          <w:bCs/>
        </w:rPr>
        <w:t>3.6.1 Reliability</w:t>
      </w:r>
    </w:p>
    <w:p w14:paraId="3ED2814E" w14:textId="77777777" w:rsidR="009971CA" w:rsidRPr="009971CA" w:rsidRDefault="009971CA" w:rsidP="00D222CB">
      <w:pPr>
        <w:jc w:val="both"/>
      </w:pPr>
      <w:r w:rsidRPr="00D222CB">
        <w:lastRenderedPageBreak/>
        <w:t xml:space="preserve">Reliability refers to the consistency of a research instrument (Mugenda &amp; Mugenda, 2008). Cronbach’s Alpha was computed to assess internal consistency of the questionnaire items. Values obtained ranged between </w:t>
      </w:r>
      <w:r w:rsidRPr="00D222CB">
        <w:rPr>
          <w:bCs/>
        </w:rPr>
        <w:t>0.72 and 0.86</w:t>
      </w:r>
      <w:r w:rsidRPr="00D222CB">
        <w:t xml:space="preserve"> for school connectedness items, and </w:t>
      </w:r>
      <w:r w:rsidRPr="00D222CB">
        <w:rPr>
          <w:bCs/>
        </w:rPr>
        <w:t>0.78 and 0.88</w:t>
      </w:r>
      <w:r w:rsidRPr="00D222CB">
        <w:t xml:space="preserve"> for self-esteem items, which exceeded the minimum acceptable threshold of 0.70 (Malhotra, 2004). Reliability of interview data was ensured through triangulation, whereby responses were cross-checked with questionnaire</w:t>
      </w:r>
      <w:r w:rsidRPr="009971CA">
        <w:t xml:space="preserve"> data.</w:t>
      </w:r>
    </w:p>
    <w:p w14:paraId="2CB75A97" w14:textId="77777777" w:rsidR="009971CA" w:rsidRPr="009971CA" w:rsidRDefault="009971CA" w:rsidP="00D222CB">
      <w:pPr>
        <w:jc w:val="both"/>
        <w:rPr>
          <w:b/>
          <w:bCs/>
        </w:rPr>
      </w:pPr>
      <w:r w:rsidRPr="009971CA">
        <w:rPr>
          <w:b/>
          <w:bCs/>
        </w:rPr>
        <w:t>3.6.2 Validity of Instruments</w:t>
      </w:r>
    </w:p>
    <w:p w14:paraId="111B10C0" w14:textId="77777777" w:rsidR="009971CA" w:rsidRPr="009971CA" w:rsidRDefault="009971CA" w:rsidP="00D222CB">
      <w:pPr>
        <w:jc w:val="both"/>
      </w:pPr>
      <w:r w:rsidRPr="00D222CB">
        <w:t>Validity is the degree to which instruments measure what they intend to measure (Mugenda &amp; Mugenda, 2009). Content validity was enhanced by consulting university supervisors and experts in educational psychology, who reviewed the questionnaires and interview guides. Feedback from the pilot study also helped to refine ambiguous or unclear items. This ensured that the tools accurately captured dimensions of school connectedness and self-esteem</w:t>
      </w:r>
      <w:r w:rsidRPr="009971CA">
        <w:t>.</w:t>
      </w:r>
    </w:p>
    <w:p w14:paraId="565E4A93" w14:textId="77777777" w:rsidR="009971CA" w:rsidRPr="009971CA" w:rsidRDefault="009971CA" w:rsidP="00D222CB">
      <w:pPr>
        <w:jc w:val="both"/>
        <w:rPr>
          <w:b/>
          <w:bCs/>
        </w:rPr>
      </w:pPr>
      <w:r w:rsidRPr="009971CA">
        <w:rPr>
          <w:b/>
          <w:bCs/>
        </w:rPr>
        <w:t>3.7 Data Collection Procedures</w:t>
      </w:r>
    </w:p>
    <w:p w14:paraId="7A5FC569" w14:textId="77777777" w:rsidR="009971CA" w:rsidRPr="00D222CB" w:rsidRDefault="009971CA" w:rsidP="00D222CB">
      <w:pPr>
        <w:jc w:val="both"/>
      </w:pPr>
      <w:r w:rsidRPr="00D222CB">
        <w:t xml:space="preserve">Before data collection, the researcher obtained approval from the </w:t>
      </w:r>
      <w:r w:rsidRPr="00D222CB">
        <w:rPr>
          <w:bCs/>
        </w:rPr>
        <w:t>University Graduate School</w:t>
      </w:r>
      <w:r w:rsidRPr="00D222CB">
        <w:t xml:space="preserve"> and a research permit from the </w:t>
      </w:r>
      <w:r w:rsidRPr="00D222CB">
        <w:rPr>
          <w:bCs/>
        </w:rPr>
        <w:t>National Commission for Science, Technology and Innovation (NACOSTI)</w:t>
      </w:r>
      <w:r w:rsidRPr="00D222CB">
        <w:t>. Permission was also sought from the Nairobi County Education Office and school principals.</w:t>
      </w:r>
    </w:p>
    <w:p w14:paraId="47254F72" w14:textId="6440F081" w:rsidR="009971CA" w:rsidRPr="00D222CB" w:rsidRDefault="009971CA" w:rsidP="00D222CB">
      <w:pPr>
        <w:jc w:val="both"/>
      </w:pPr>
      <w:r w:rsidRPr="00D222CB">
        <w:t>The questionnaires were administered to students and</w:t>
      </w:r>
      <w:r w:rsidR="003206FD">
        <w:t xml:space="preserve"> interviews to</w:t>
      </w:r>
      <w:r w:rsidR="00F33BB9">
        <w:t xml:space="preserve"> class</w:t>
      </w:r>
      <w:r w:rsidRPr="00D222CB">
        <w:t xml:space="preserve"> teachers during school hours. To minimize disruptions, appointments were made in advance with each participating school.</w:t>
      </w:r>
    </w:p>
    <w:p w14:paraId="7D659D74" w14:textId="77777777" w:rsidR="009971CA" w:rsidRPr="009971CA" w:rsidRDefault="009971CA" w:rsidP="00D222CB">
      <w:pPr>
        <w:jc w:val="both"/>
      </w:pPr>
      <w:r w:rsidRPr="00D222CB">
        <w:t xml:space="preserve">COVID-19 protocols were observed throughout the data collection period. Respondents wore masks, maintained social distancing, and interviews were conducted in well-ventilated rooms. The entire process took approximately </w:t>
      </w:r>
      <w:r w:rsidRPr="00D222CB">
        <w:rPr>
          <w:bCs/>
        </w:rPr>
        <w:t>four weeks</w:t>
      </w:r>
      <w:r w:rsidRPr="009971CA">
        <w:t>.</w:t>
      </w:r>
    </w:p>
    <w:p w14:paraId="3E567190" w14:textId="77777777" w:rsidR="009971CA" w:rsidRPr="009971CA" w:rsidRDefault="009971CA" w:rsidP="00D222CB">
      <w:pPr>
        <w:jc w:val="both"/>
        <w:rPr>
          <w:b/>
          <w:bCs/>
        </w:rPr>
      </w:pPr>
      <w:r w:rsidRPr="009971CA">
        <w:rPr>
          <w:b/>
          <w:bCs/>
        </w:rPr>
        <w:t>3.8 Data Analysis and Presentation</w:t>
      </w:r>
    </w:p>
    <w:p w14:paraId="154F760F" w14:textId="77777777" w:rsidR="009971CA" w:rsidRPr="00D222CB" w:rsidRDefault="009971CA" w:rsidP="00D222CB">
      <w:pPr>
        <w:jc w:val="both"/>
      </w:pPr>
      <w:r w:rsidRPr="00D222CB">
        <w:t xml:space="preserve">Quantitative data were coded and entered into </w:t>
      </w:r>
      <w:r w:rsidRPr="00D222CB">
        <w:rPr>
          <w:bCs/>
        </w:rPr>
        <w:t>SPSS (Statistical Package for Social Sciences)</w:t>
      </w:r>
      <w:r w:rsidRPr="00D222CB">
        <w:t xml:space="preserve"> for analysis. Descriptive statistics such as frequencies, percentages, means, and standard deviations were used to summarize data on school connectedness and self-esteem.</w:t>
      </w:r>
    </w:p>
    <w:p w14:paraId="2470E1A3" w14:textId="77777777" w:rsidR="009971CA" w:rsidRPr="00D222CB" w:rsidRDefault="009971CA" w:rsidP="00D222CB">
      <w:pPr>
        <w:jc w:val="both"/>
      </w:pPr>
      <w:r w:rsidRPr="00D222CB">
        <w:t>Inferential statistics were employed to test hypotheses:</w:t>
      </w:r>
    </w:p>
    <w:p w14:paraId="198CE8EF" w14:textId="77777777" w:rsidR="009971CA" w:rsidRPr="00D222CB" w:rsidRDefault="009971CA" w:rsidP="00D222CB">
      <w:pPr>
        <w:numPr>
          <w:ilvl w:val="0"/>
          <w:numId w:val="2"/>
        </w:numPr>
        <w:jc w:val="both"/>
      </w:pPr>
      <w:r w:rsidRPr="00D222CB">
        <w:rPr>
          <w:bCs/>
        </w:rPr>
        <w:t>Pearson Product Moment Correlation</w:t>
      </w:r>
      <w:r w:rsidRPr="00D222CB">
        <w:t xml:space="preserve"> was used to establish the relationship between school connectedness and students’ self-esteem.</w:t>
      </w:r>
    </w:p>
    <w:p w14:paraId="4DD0CD93" w14:textId="77777777" w:rsidR="009971CA" w:rsidRPr="00D222CB" w:rsidRDefault="009971CA" w:rsidP="00D222CB">
      <w:pPr>
        <w:numPr>
          <w:ilvl w:val="0"/>
          <w:numId w:val="2"/>
        </w:numPr>
        <w:jc w:val="both"/>
      </w:pPr>
      <w:r w:rsidRPr="00D222CB">
        <w:rPr>
          <w:bCs/>
        </w:rPr>
        <w:t>Multiple Regression Analysis</w:t>
      </w:r>
      <w:r w:rsidRPr="00D222CB">
        <w:t xml:space="preserve"> was performed to determine the predictive strength of different dimensions of connectedness (teacher support, peer relationships, sense of belonging) on self-esteem.</w:t>
      </w:r>
    </w:p>
    <w:p w14:paraId="5E6B5572" w14:textId="77777777" w:rsidR="009971CA" w:rsidRPr="00D222CB" w:rsidRDefault="009971CA" w:rsidP="00D222CB">
      <w:pPr>
        <w:jc w:val="both"/>
      </w:pPr>
      <w:r w:rsidRPr="00D222CB">
        <w:lastRenderedPageBreak/>
        <w:t>Qualitative data from interviews were analyzed thematically. Responses were coded into categories such as “teacher support,” “peer connectedness,” and “student belonging,” and findings were integrated with quantitative results for triangulation.</w:t>
      </w:r>
    </w:p>
    <w:p w14:paraId="56B9D679" w14:textId="77777777" w:rsidR="009971CA" w:rsidRDefault="009971CA" w:rsidP="00D222CB">
      <w:pPr>
        <w:jc w:val="both"/>
      </w:pPr>
      <w:r w:rsidRPr="00D222CB">
        <w:t xml:space="preserve">Results were presented using </w:t>
      </w:r>
      <w:r w:rsidRPr="00D222CB">
        <w:rPr>
          <w:bCs/>
        </w:rPr>
        <w:t>tables, charts, and narratives</w:t>
      </w:r>
      <w:r w:rsidRPr="00D222CB">
        <w:t xml:space="preserve"> to enhance clarity and comprehension</w:t>
      </w:r>
      <w:r w:rsidRPr="009971CA">
        <w:t>.</w:t>
      </w:r>
    </w:p>
    <w:p w14:paraId="3265B48D" w14:textId="77777777" w:rsidR="00032A9F" w:rsidRPr="009971CA" w:rsidRDefault="00032A9F" w:rsidP="009971CA"/>
    <w:p w14:paraId="02CC61D7" w14:textId="3EF55A50" w:rsidR="00032A9F" w:rsidRPr="00032A9F" w:rsidRDefault="00032A9F" w:rsidP="00032A9F">
      <w:pPr>
        <w:jc w:val="center"/>
        <w:rPr>
          <w:b/>
          <w:bCs/>
        </w:rPr>
      </w:pPr>
      <w:r w:rsidRPr="00032A9F">
        <w:rPr>
          <w:b/>
          <w:bCs/>
        </w:rPr>
        <w:t>IV. FINDINGS</w:t>
      </w:r>
      <w:r w:rsidR="00924C09">
        <w:rPr>
          <w:b/>
          <w:bCs/>
        </w:rPr>
        <w:t xml:space="preserve"> &amp; DISCUSSIION</w:t>
      </w:r>
    </w:p>
    <w:p w14:paraId="75D215B2" w14:textId="77777777" w:rsidR="00032A9F" w:rsidRPr="00032A9F" w:rsidRDefault="00032A9F" w:rsidP="00D222CB">
      <w:pPr>
        <w:jc w:val="both"/>
        <w:rPr>
          <w:b/>
          <w:bCs/>
        </w:rPr>
      </w:pPr>
      <w:r w:rsidRPr="00032A9F">
        <w:rPr>
          <w:b/>
          <w:bCs/>
        </w:rPr>
        <w:t>4.1 Demographics of the Participants</w:t>
      </w:r>
    </w:p>
    <w:p w14:paraId="17974E65" w14:textId="64B3AA29" w:rsidR="00032A9F" w:rsidRPr="00D222CB" w:rsidRDefault="00032A9F" w:rsidP="00D222CB">
      <w:pPr>
        <w:jc w:val="both"/>
      </w:pPr>
      <w:r w:rsidRPr="00D222CB">
        <w:t>This section presents the demographic characteristics of the respondents, including students</w:t>
      </w:r>
      <w:r w:rsidR="00F33BB9">
        <w:t xml:space="preserve"> and class </w:t>
      </w:r>
      <w:r w:rsidRPr="00D222CB">
        <w:t>teachers</w:t>
      </w:r>
      <w:r w:rsidR="00F33BB9">
        <w:t xml:space="preserve"> </w:t>
      </w:r>
      <w:r w:rsidRPr="00D222CB">
        <w:t>who participated in the study. Such information is crucial because demographic attributes often shape experiences of school connectedness and levels of self-esteem. The analysis provides a backdrop for interpreting later findings on the relationship between these two constructs.</w:t>
      </w:r>
    </w:p>
    <w:p w14:paraId="22A7457F" w14:textId="6268087F" w:rsidR="00032A9F" w:rsidRPr="00D222CB" w:rsidRDefault="00032A9F" w:rsidP="00D222CB">
      <w:pPr>
        <w:jc w:val="both"/>
      </w:pPr>
      <w:r w:rsidRPr="00D222CB">
        <w:t xml:space="preserve">A total of </w:t>
      </w:r>
      <w:r w:rsidRPr="00D222CB">
        <w:rPr>
          <w:bCs/>
        </w:rPr>
        <w:t>510 questionnaires</w:t>
      </w:r>
      <w:r w:rsidRPr="00D222CB">
        <w:t xml:space="preserve"> were distributed across public secondary schools in Nairobi County. Out of these, </w:t>
      </w:r>
      <w:r w:rsidRPr="00D222CB">
        <w:rPr>
          <w:bCs/>
        </w:rPr>
        <w:t>482 were returned fully completed</w:t>
      </w:r>
      <w:r w:rsidRPr="00D222CB">
        <w:t xml:space="preserve">, giving a response rate of </w:t>
      </w:r>
      <w:r w:rsidRPr="00D222CB">
        <w:rPr>
          <w:bCs/>
        </w:rPr>
        <w:t>94.5%</w:t>
      </w:r>
      <w:r w:rsidRPr="00D222CB">
        <w:t>. This high return rate exceeded the 70% benchmark suggested by Mugenda and Mugenda (2008), signifying that the data were sufficiently representative to generalize to the larger study population. The distribution of responses across the three categories of participants—students,</w:t>
      </w:r>
      <w:r w:rsidR="00F33BB9">
        <w:t xml:space="preserve"> and </w:t>
      </w:r>
      <w:r w:rsidRPr="00D222CB">
        <w:t>teachers</w:t>
      </w:r>
      <w:r w:rsidR="00F33BB9">
        <w:t xml:space="preserve"> </w:t>
      </w:r>
      <w:r w:rsidRPr="00D222CB">
        <w:t>was consistent with the planned sample sizes, ensuring proportionate coverage.</w:t>
      </w:r>
    </w:p>
    <w:p w14:paraId="0621D396" w14:textId="77777777" w:rsidR="00032A9F" w:rsidRDefault="00032A9F" w:rsidP="00D222CB">
      <w:pPr>
        <w:jc w:val="both"/>
        <w:rPr>
          <w:b/>
          <w:bCs/>
        </w:rPr>
      </w:pPr>
      <w:r w:rsidRPr="00032A9F">
        <w:rPr>
          <w:b/>
          <w:bCs/>
        </w:rPr>
        <w:t>Table 3: Response Rate</w:t>
      </w:r>
    </w:p>
    <w:tbl>
      <w:tblPr>
        <w:tblStyle w:val="TableGrid"/>
        <w:tblW w:w="0" w:type="auto"/>
        <w:tblLook w:val="04A0" w:firstRow="1" w:lastRow="0" w:firstColumn="1" w:lastColumn="0" w:noHBand="0" w:noVBand="1"/>
      </w:tblPr>
      <w:tblGrid>
        <w:gridCol w:w="1163"/>
        <w:gridCol w:w="977"/>
        <w:gridCol w:w="1350"/>
        <w:gridCol w:w="1716"/>
      </w:tblGrid>
      <w:tr w:rsidR="009708B7" w:rsidRPr="009708B7" w14:paraId="19C5FCA7" w14:textId="77777777" w:rsidTr="009708B7">
        <w:tc>
          <w:tcPr>
            <w:tcW w:w="0" w:type="auto"/>
            <w:hideMark/>
          </w:tcPr>
          <w:p w14:paraId="5ABEC8AE" w14:textId="77777777" w:rsidR="009708B7" w:rsidRPr="009708B7" w:rsidRDefault="009708B7" w:rsidP="00D222CB">
            <w:pPr>
              <w:spacing w:after="200" w:line="276" w:lineRule="auto"/>
              <w:jc w:val="both"/>
              <w:rPr>
                <w:b/>
                <w:bCs/>
              </w:rPr>
            </w:pPr>
            <w:r w:rsidRPr="009708B7">
              <w:rPr>
                <w:b/>
                <w:bCs/>
              </w:rPr>
              <w:t>Category</w:t>
            </w:r>
          </w:p>
        </w:tc>
        <w:tc>
          <w:tcPr>
            <w:tcW w:w="0" w:type="auto"/>
            <w:hideMark/>
          </w:tcPr>
          <w:p w14:paraId="642594F9" w14:textId="77777777" w:rsidR="009708B7" w:rsidRPr="009708B7" w:rsidRDefault="009708B7" w:rsidP="00D222CB">
            <w:pPr>
              <w:spacing w:after="200" w:line="276" w:lineRule="auto"/>
              <w:jc w:val="both"/>
              <w:rPr>
                <w:b/>
                <w:bCs/>
              </w:rPr>
            </w:pPr>
            <w:r w:rsidRPr="009708B7">
              <w:rPr>
                <w:b/>
                <w:bCs/>
              </w:rPr>
              <w:t>Sample</w:t>
            </w:r>
          </w:p>
        </w:tc>
        <w:tc>
          <w:tcPr>
            <w:tcW w:w="0" w:type="auto"/>
            <w:hideMark/>
          </w:tcPr>
          <w:p w14:paraId="10D10587" w14:textId="77777777" w:rsidR="009708B7" w:rsidRPr="009708B7" w:rsidRDefault="009708B7" w:rsidP="00D222CB">
            <w:pPr>
              <w:spacing w:after="200" w:line="276" w:lineRule="auto"/>
              <w:jc w:val="both"/>
              <w:rPr>
                <w:b/>
                <w:bCs/>
              </w:rPr>
            </w:pPr>
            <w:r w:rsidRPr="009708B7">
              <w:rPr>
                <w:b/>
                <w:bCs/>
              </w:rPr>
              <w:t>Responded</w:t>
            </w:r>
          </w:p>
        </w:tc>
        <w:tc>
          <w:tcPr>
            <w:tcW w:w="0" w:type="auto"/>
            <w:hideMark/>
          </w:tcPr>
          <w:p w14:paraId="3DCDC331" w14:textId="77777777" w:rsidR="009708B7" w:rsidRPr="009708B7" w:rsidRDefault="009708B7" w:rsidP="00D222CB">
            <w:pPr>
              <w:spacing w:after="200" w:line="276" w:lineRule="auto"/>
              <w:jc w:val="both"/>
              <w:rPr>
                <w:b/>
                <w:bCs/>
              </w:rPr>
            </w:pPr>
            <w:r w:rsidRPr="009708B7">
              <w:rPr>
                <w:b/>
                <w:bCs/>
              </w:rPr>
              <w:t>Response Rate</w:t>
            </w:r>
          </w:p>
        </w:tc>
      </w:tr>
      <w:tr w:rsidR="009708B7" w:rsidRPr="009708B7" w14:paraId="15640561" w14:textId="77777777" w:rsidTr="009708B7">
        <w:tc>
          <w:tcPr>
            <w:tcW w:w="0" w:type="auto"/>
            <w:hideMark/>
          </w:tcPr>
          <w:p w14:paraId="5922D3D6" w14:textId="77777777" w:rsidR="009708B7" w:rsidRPr="009708B7" w:rsidRDefault="009708B7" w:rsidP="00D222CB">
            <w:pPr>
              <w:spacing w:after="200" w:line="276" w:lineRule="auto"/>
              <w:jc w:val="both"/>
            </w:pPr>
            <w:r w:rsidRPr="009708B7">
              <w:t>Teachers</w:t>
            </w:r>
          </w:p>
        </w:tc>
        <w:tc>
          <w:tcPr>
            <w:tcW w:w="0" w:type="auto"/>
            <w:hideMark/>
          </w:tcPr>
          <w:p w14:paraId="28259462" w14:textId="77777777" w:rsidR="009708B7" w:rsidRPr="009708B7" w:rsidRDefault="009708B7" w:rsidP="00D222CB">
            <w:pPr>
              <w:spacing w:after="200" w:line="276" w:lineRule="auto"/>
              <w:jc w:val="both"/>
            </w:pPr>
            <w:r w:rsidRPr="009708B7">
              <w:t>100</w:t>
            </w:r>
          </w:p>
        </w:tc>
        <w:tc>
          <w:tcPr>
            <w:tcW w:w="0" w:type="auto"/>
            <w:hideMark/>
          </w:tcPr>
          <w:p w14:paraId="44BA2CB2" w14:textId="77777777" w:rsidR="009708B7" w:rsidRPr="009708B7" w:rsidRDefault="009708B7" w:rsidP="00D222CB">
            <w:pPr>
              <w:spacing w:after="200" w:line="276" w:lineRule="auto"/>
              <w:jc w:val="both"/>
            </w:pPr>
            <w:r w:rsidRPr="009708B7">
              <w:t>100</w:t>
            </w:r>
          </w:p>
        </w:tc>
        <w:tc>
          <w:tcPr>
            <w:tcW w:w="0" w:type="auto"/>
            <w:hideMark/>
          </w:tcPr>
          <w:p w14:paraId="3551923D" w14:textId="77777777" w:rsidR="009708B7" w:rsidRPr="009708B7" w:rsidRDefault="009708B7" w:rsidP="00D222CB">
            <w:pPr>
              <w:spacing w:after="200" w:line="276" w:lineRule="auto"/>
              <w:jc w:val="both"/>
            </w:pPr>
            <w:r w:rsidRPr="009708B7">
              <w:t>100.0%</w:t>
            </w:r>
          </w:p>
        </w:tc>
      </w:tr>
      <w:tr w:rsidR="009708B7" w:rsidRPr="009708B7" w14:paraId="2ADC3748" w14:textId="77777777" w:rsidTr="009708B7">
        <w:tc>
          <w:tcPr>
            <w:tcW w:w="0" w:type="auto"/>
            <w:hideMark/>
          </w:tcPr>
          <w:p w14:paraId="392F1E33" w14:textId="77777777" w:rsidR="009708B7" w:rsidRPr="009708B7" w:rsidRDefault="009708B7" w:rsidP="00D222CB">
            <w:pPr>
              <w:spacing w:after="200" w:line="276" w:lineRule="auto"/>
              <w:jc w:val="both"/>
            </w:pPr>
            <w:r w:rsidRPr="009708B7">
              <w:t>Students</w:t>
            </w:r>
          </w:p>
        </w:tc>
        <w:tc>
          <w:tcPr>
            <w:tcW w:w="0" w:type="auto"/>
            <w:hideMark/>
          </w:tcPr>
          <w:p w14:paraId="5FA65AB3" w14:textId="77777777" w:rsidR="009708B7" w:rsidRPr="009708B7" w:rsidRDefault="009708B7" w:rsidP="00D222CB">
            <w:pPr>
              <w:spacing w:after="200" w:line="276" w:lineRule="auto"/>
              <w:jc w:val="both"/>
            </w:pPr>
            <w:r w:rsidRPr="009708B7">
              <w:t>380</w:t>
            </w:r>
          </w:p>
        </w:tc>
        <w:tc>
          <w:tcPr>
            <w:tcW w:w="0" w:type="auto"/>
            <w:hideMark/>
          </w:tcPr>
          <w:p w14:paraId="0BF26C82" w14:textId="77777777" w:rsidR="009708B7" w:rsidRPr="009708B7" w:rsidRDefault="009708B7" w:rsidP="00D222CB">
            <w:pPr>
              <w:spacing w:after="200" w:line="276" w:lineRule="auto"/>
              <w:jc w:val="both"/>
            </w:pPr>
            <w:r w:rsidRPr="009708B7">
              <w:t>352</w:t>
            </w:r>
          </w:p>
        </w:tc>
        <w:tc>
          <w:tcPr>
            <w:tcW w:w="0" w:type="auto"/>
            <w:hideMark/>
          </w:tcPr>
          <w:p w14:paraId="6E3964C8" w14:textId="77777777" w:rsidR="009708B7" w:rsidRPr="009708B7" w:rsidRDefault="009708B7" w:rsidP="00D222CB">
            <w:pPr>
              <w:spacing w:after="200" w:line="276" w:lineRule="auto"/>
              <w:jc w:val="both"/>
            </w:pPr>
            <w:r w:rsidRPr="009708B7">
              <w:t>92.6%</w:t>
            </w:r>
          </w:p>
        </w:tc>
      </w:tr>
      <w:tr w:rsidR="009708B7" w:rsidRPr="009708B7" w14:paraId="00DE3EFF" w14:textId="77777777" w:rsidTr="009708B7">
        <w:tc>
          <w:tcPr>
            <w:tcW w:w="0" w:type="auto"/>
            <w:hideMark/>
          </w:tcPr>
          <w:p w14:paraId="5D418AEA" w14:textId="77777777" w:rsidR="009708B7" w:rsidRPr="009708B7" w:rsidRDefault="009708B7" w:rsidP="00D222CB">
            <w:pPr>
              <w:spacing w:after="200" w:line="276" w:lineRule="auto"/>
              <w:jc w:val="both"/>
            </w:pPr>
            <w:r w:rsidRPr="009708B7">
              <w:rPr>
                <w:b/>
                <w:bCs/>
              </w:rPr>
              <w:t>Total</w:t>
            </w:r>
          </w:p>
        </w:tc>
        <w:tc>
          <w:tcPr>
            <w:tcW w:w="0" w:type="auto"/>
            <w:hideMark/>
          </w:tcPr>
          <w:p w14:paraId="367B10F8" w14:textId="77777777" w:rsidR="009708B7" w:rsidRPr="009708B7" w:rsidRDefault="009708B7" w:rsidP="00D222CB">
            <w:pPr>
              <w:spacing w:after="200" w:line="276" w:lineRule="auto"/>
              <w:jc w:val="both"/>
            </w:pPr>
            <w:r w:rsidRPr="009708B7">
              <w:rPr>
                <w:b/>
                <w:bCs/>
              </w:rPr>
              <w:t>510</w:t>
            </w:r>
          </w:p>
        </w:tc>
        <w:tc>
          <w:tcPr>
            <w:tcW w:w="0" w:type="auto"/>
            <w:hideMark/>
          </w:tcPr>
          <w:p w14:paraId="2A46CB65" w14:textId="77777777" w:rsidR="009708B7" w:rsidRPr="009708B7" w:rsidRDefault="009708B7" w:rsidP="00D222CB">
            <w:pPr>
              <w:spacing w:after="200" w:line="276" w:lineRule="auto"/>
              <w:jc w:val="both"/>
            </w:pPr>
            <w:r w:rsidRPr="009708B7">
              <w:rPr>
                <w:b/>
                <w:bCs/>
              </w:rPr>
              <w:t>482</w:t>
            </w:r>
          </w:p>
        </w:tc>
        <w:tc>
          <w:tcPr>
            <w:tcW w:w="0" w:type="auto"/>
            <w:hideMark/>
          </w:tcPr>
          <w:p w14:paraId="78F5983C" w14:textId="77777777" w:rsidR="009708B7" w:rsidRPr="009708B7" w:rsidRDefault="009708B7" w:rsidP="00D222CB">
            <w:pPr>
              <w:spacing w:after="200" w:line="276" w:lineRule="auto"/>
              <w:jc w:val="both"/>
            </w:pPr>
            <w:r w:rsidRPr="009708B7">
              <w:rPr>
                <w:b/>
                <w:bCs/>
              </w:rPr>
              <w:t>94.5%</w:t>
            </w:r>
          </w:p>
        </w:tc>
      </w:tr>
    </w:tbl>
    <w:p w14:paraId="6923603A" w14:textId="77777777" w:rsidR="009708B7" w:rsidRPr="009708B7" w:rsidRDefault="009708B7" w:rsidP="00D222CB">
      <w:pPr>
        <w:jc w:val="both"/>
      </w:pPr>
    </w:p>
    <w:p w14:paraId="0D2F75A1" w14:textId="77777777" w:rsidR="00032A9F" w:rsidRPr="00032A9F" w:rsidRDefault="00032A9F" w:rsidP="00D222CB">
      <w:pPr>
        <w:jc w:val="both"/>
        <w:rPr>
          <w:b/>
          <w:bCs/>
        </w:rPr>
      </w:pPr>
      <w:r w:rsidRPr="00032A9F">
        <w:rPr>
          <w:b/>
          <w:bCs/>
        </w:rPr>
        <w:t>Students’ Demographic Characteristics</w:t>
      </w:r>
    </w:p>
    <w:p w14:paraId="70C05749" w14:textId="77777777" w:rsidR="00032A9F" w:rsidRPr="00D222CB" w:rsidRDefault="00032A9F" w:rsidP="00D222CB">
      <w:pPr>
        <w:jc w:val="both"/>
      </w:pPr>
      <w:r w:rsidRPr="00D222CB">
        <w:t xml:space="preserve">Among the 352 student respondents, </w:t>
      </w:r>
      <w:r w:rsidRPr="00D222CB">
        <w:rPr>
          <w:bCs/>
        </w:rPr>
        <w:t>45.9% were male</w:t>
      </w:r>
      <w:r w:rsidRPr="00D222CB">
        <w:t xml:space="preserve"> and </w:t>
      </w:r>
      <w:r w:rsidRPr="00D222CB">
        <w:rPr>
          <w:bCs/>
        </w:rPr>
        <w:t>54.1% were female</w:t>
      </w:r>
      <w:r w:rsidRPr="00D222CB">
        <w:t xml:space="preserve">. This gender balance is significant because self-esteem has been found to vary across genders during adolescence, with female students often reporting slightly lower levels than their male counterparts (Robins &amp; </w:t>
      </w:r>
      <w:proofErr w:type="spellStart"/>
      <w:r w:rsidRPr="00D222CB">
        <w:t>Trzesniewski</w:t>
      </w:r>
      <w:proofErr w:type="spellEnd"/>
      <w:r w:rsidRPr="00D222CB">
        <w:t>, 2005). Ensuring representation from both genders thus enhanced the robustness of the findings.</w:t>
      </w:r>
    </w:p>
    <w:p w14:paraId="1DE17565" w14:textId="77777777" w:rsidR="00032A9F" w:rsidRPr="00032A9F" w:rsidRDefault="00032A9F" w:rsidP="00D222CB">
      <w:pPr>
        <w:jc w:val="both"/>
      </w:pPr>
      <w:r w:rsidRPr="00D222CB">
        <w:lastRenderedPageBreak/>
        <w:t xml:space="preserve">With regard to age, the majority (61.7%) were between </w:t>
      </w:r>
      <w:r w:rsidRPr="00D222CB">
        <w:rPr>
          <w:bCs/>
        </w:rPr>
        <w:t>16–17 years</w:t>
      </w:r>
      <w:r w:rsidRPr="00D222CB">
        <w:t xml:space="preserve"> and mostly in Form Three. Smaller proportions were distributed in Form Two (18.4%) and Form Four (19.9%). These results indicate that most respondents had spent sufficient time in secondary school to have developed clear perceptions of connectedness and self-esteem. Adolescence, particularly the middle phase (ages 15–17), is also a critical stage for identity formation and self-worth, making this age group ideal for investigating the study objective</w:t>
      </w:r>
      <w:r w:rsidRPr="00032A9F">
        <w:t>.</w:t>
      </w:r>
    </w:p>
    <w:p w14:paraId="6D61707E" w14:textId="18099FF9" w:rsidR="00032A9F" w:rsidRDefault="00032A9F" w:rsidP="00D222CB">
      <w:pPr>
        <w:jc w:val="both"/>
        <w:rPr>
          <w:b/>
          <w:bCs/>
        </w:rPr>
      </w:pPr>
      <w:r w:rsidRPr="00032A9F">
        <w:rPr>
          <w:b/>
          <w:bCs/>
        </w:rPr>
        <w:t xml:space="preserve">Figure </w:t>
      </w:r>
      <w:r w:rsidR="002C67B9">
        <w:rPr>
          <w:b/>
          <w:bCs/>
        </w:rPr>
        <w:t>1</w:t>
      </w:r>
      <w:r w:rsidRPr="00032A9F">
        <w:rPr>
          <w:b/>
          <w:bCs/>
        </w:rPr>
        <w:t>: Students’ Gender, Age, and Class</w:t>
      </w:r>
    </w:p>
    <w:p w14:paraId="4E257295" w14:textId="77777777" w:rsidR="009708B7" w:rsidRPr="00032A9F" w:rsidRDefault="009708B7" w:rsidP="00D222CB">
      <w:pPr>
        <w:jc w:val="both"/>
      </w:pPr>
      <w:r w:rsidRPr="002E5B0C">
        <w:rPr>
          <w:rFonts w:eastAsia="Times New Roman" w:cs="Times New Roman"/>
          <w:noProof/>
          <w:szCs w:val="24"/>
        </w:rPr>
        <w:drawing>
          <wp:inline distT="0" distB="0" distL="0" distR="0" wp14:anchorId="57371F41" wp14:editId="78B6D714">
            <wp:extent cx="5078730" cy="3272790"/>
            <wp:effectExtent l="0" t="0" r="7620" b="3810"/>
            <wp:docPr id="1326340929" name="Chart 1">
              <a:extLst xmlns:a="http://schemas.openxmlformats.org/drawingml/2006/main">
                <a:ext uri="{FF2B5EF4-FFF2-40B4-BE49-F238E27FC236}">
                  <a16:creationId xmlns:a16="http://schemas.microsoft.com/office/drawing/2014/main" id="{C14BF2D2-68D4-B569-3B64-CC8B29DC9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A98BAF" w14:textId="77777777" w:rsidR="00032A9F" w:rsidRPr="00032A9F" w:rsidRDefault="00032A9F" w:rsidP="00D222CB">
      <w:pPr>
        <w:jc w:val="both"/>
      </w:pPr>
      <w:r w:rsidRPr="00032A9F">
        <w:t>Students were drawn from different types of schools. Day schools accounted for the largest share (41.0%), followed by boys’ boarding schools (20.3%), girls’ boarding schools (16.5%), mixed boarding (12.2%), and mixed day and boarding schools (10.0%). The variety ensured that perspectives were not limited to one type of school, which is important since connectedness and self-esteem may vary according to the school setting. Day schools, for example, are often associated with more diverse socio-economic populations, while boarding schools may provide more structured opportunities for peer bonding.</w:t>
      </w:r>
    </w:p>
    <w:p w14:paraId="3C606BFA" w14:textId="2773EBF0" w:rsidR="00032A9F" w:rsidRPr="00032A9F" w:rsidRDefault="00032A9F" w:rsidP="00D222CB">
      <w:pPr>
        <w:jc w:val="both"/>
      </w:pPr>
      <w:r w:rsidRPr="00032A9F">
        <w:rPr>
          <w:b/>
          <w:bCs/>
        </w:rPr>
        <w:t xml:space="preserve">Figure </w:t>
      </w:r>
      <w:r w:rsidR="002C67B9">
        <w:rPr>
          <w:b/>
          <w:bCs/>
        </w:rPr>
        <w:t>2</w:t>
      </w:r>
      <w:r w:rsidRPr="00032A9F">
        <w:rPr>
          <w:b/>
          <w:bCs/>
        </w:rPr>
        <w:t>: Students’ Gender and Type of School</w:t>
      </w:r>
    </w:p>
    <w:p w14:paraId="5A1B2086" w14:textId="77777777" w:rsidR="009708B7" w:rsidRPr="009708B7" w:rsidRDefault="009708B7" w:rsidP="00D222CB">
      <w:pPr>
        <w:jc w:val="both"/>
        <w:rPr>
          <w:bCs/>
        </w:rPr>
      </w:pPr>
      <w:r w:rsidRPr="002E5B0C">
        <w:rPr>
          <w:rFonts w:eastAsia="Times New Roman" w:cs="Times New Roman"/>
          <w:noProof/>
          <w:szCs w:val="24"/>
        </w:rPr>
        <w:lastRenderedPageBreak/>
        <w:drawing>
          <wp:inline distT="0" distB="0" distL="0" distR="0" wp14:anchorId="19660BA3" wp14:editId="7AD918F2">
            <wp:extent cx="5316855" cy="3739515"/>
            <wp:effectExtent l="0" t="0" r="17145" b="13335"/>
            <wp:docPr id="1797612823" name="Chart 1">
              <a:extLst xmlns:a="http://schemas.openxmlformats.org/drawingml/2006/main">
                <a:ext uri="{FF2B5EF4-FFF2-40B4-BE49-F238E27FC236}">
                  <a16:creationId xmlns:a16="http://schemas.microsoft.com/office/drawing/2014/main" id="{4E30C6A8-423E-4574-95FE-E73A331CA5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BB9230" w14:textId="77777777" w:rsidR="00032A9F" w:rsidRPr="00032A9F" w:rsidRDefault="00032A9F" w:rsidP="00D222CB">
      <w:pPr>
        <w:jc w:val="both"/>
        <w:rPr>
          <w:b/>
          <w:bCs/>
        </w:rPr>
      </w:pPr>
      <w:r w:rsidRPr="00032A9F">
        <w:rPr>
          <w:b/>
          <w:bCs/>
        </w:rPr>
        <w:t>Teachers’ Demographic Characteristics</w:t>
      </w:r>
    </w:p>
    <w:p w14:paraId="7FE42FA6" w14:textId="77777777" w:rsidR="00032A9F" w:rsidRPr="00D222CB" w:rsidRDefault="00032A9F" w:rsidP="00D222CB">
      <w:pPr>
        <w:jc w:val="both"/>
      </w:pPr>
      <w:r w:rsidRPr="00D222CB">
        <w:t xml:space="preserve">For the teacher respondents, </w:t>
      </w:r>
      <w:r w:rsidRPr="00D222CB">
        <w:rPr>
          <w:bCs/>
        </w:rPr>
        <w:t>59% were female</w:t>
      </w:r>
      <w:r w:rsidRPr="00D222CB">
        <w:t xml:space="preserve"> and </w:t>
      </w:r>
      <w:r w:rsidRPr="00D222CB">
        <w:rPr>
          <w:bCs/>
        </w:rPr>
        <w:t>41% were male</w:t>
      </w:r>
      <w:r w:rsidRPr="00D222CB">
        <w:t>, mirroring the broader national trend where more female teachers are employed in public secondary schools. Teachers’ academic qualifications were diverse: 49.4% held a Bachelor’s degree, 28.9% had Master’s degrees, 12% had Diplomas, 6% had PhDs, and 3.6% held postgraduate diplomas. The relatively high academic qualifications of teachers suggest they were well-positioned to provide informed insights on the constructs under study.</w:t>
      </w:r>
    </w:p>
    <w:p w14:paraId="7004E8F1" w14:textId="77777777" w:rsidR="00032A9F" w:rsidRPr="00032A9F" w:rsidRDefault="00032A9F" w:rsidP="00D222CB">
      <w:pPr>
        <w:jc w:val="both"/>
      </w:pPr>
      <w:r w:rsidRPr="00D222CB">
        <w:t xml:space="preserve">Teaching experience varied widely: 46.7% had taught for </w:t>
      </w:r>
      <w:r w:rsidRPr="00D222CB">
        <w:rPr>
          <w:bCs/>
        </w:rPr>
        <w:t>11–20 years</w:t>
      </w:r>
      <w:r w:rsidRPr="00D222CB">
        <w:t xml:space="preserve">, while 37.5% had </w:t>
      </w:r>
      <w:r w:rsidRPr="00D222CB">
        <w:rPr>
          <w:bCs/>
        </w:rPr>
        <w:t>2–5 years</w:t>
      </w:r>
      <w:r w:rsidRPr="00D222CB">
        <w:t xml:space="preserve"> of experience. This indicates that the sample captured both seasoned teachers and those newer in service, offering a balanced perspective on school connectedness practices and their implications for self-esteem</w:t>
      </w:r>
      <w:r w:rsidRPr="00032A9F">
        <w:t>.</w:t>
      </w:r>
    </w:p>
    <w:p w14:paraId="07694649" w14:textId="1E6C2D0E" w:rsidR="00032A9F" w:rsidRPr="00032A9F" w:rsidRDefault="00032A9F" w:rsidP="00D222CB">
      <w:pPr>
        <w:jc w:val="both"/>
      </w:pPr>
      <w:r w:rsidRPr="00032A9F">
        <w:rPr>
          <w:b/>
          <w:bCs/>
        </w:rPr>
        <w:t xml:space="preserve">Figure </w:t>
      </w:r>
      <w:r w:rsidR="002C67B9">
        <w:rPr>
          <w:b/>
          <w:bCs/>
        </w:rPr>
        <w:t>3</w:t>
      </w:r>
      <w:r w:rsidRPr="00032A9F">
        <w:rPr>
          <w:b/>
          <w:bCs/>
        </w:rPr>
        <w:t>: Teachers’ Gender, Academic Qualifications, and Experience</w:t>
      </w:r>
    </w:p>
    <w:p w14:paraId="6CBA252D" w14:textId="77777777" w:rsidR="009708B7" w:rsidRDefault="009708B7" w:rsidP="00D222CB">
      <w:pPr>
        <w:jc w:val="both"/>
      </w:pPr>
      <w:r w:rsidRPr="002E5B0C">
        <w:rPr>
          <w:rFonts w:eastAsia="Times New Roman" w:cs="Times New Roman"/>
          <w:noProof/>
          <w:szCs w:val="24"/>
        </w:rPr>
        <w:lastRenderedPageBreak/>
        <w:drawing>
          <wp:inline distT="0" distB="0" distL="0" distR="0" wp14:anchorId="759EE69C" wp14:editId="6C01E1AF">
            <wp:extent cx="5095875" cy="3646170"/>
            <wp:effectExtent l="0" t="0" r="9525" b="11430"/>
            <wp:docPr id="1904872535" name="Chart 1">
              <a:extLst xmlns:a="http://schemas.openxmlformats.org/drawingml/2006/main">
                <a:ext uri="{FF2B5EF4-FFF2-40B4-BE49-F238E27FC236}">
                  <a16:creationId xmlns:a16="http://schemas.microsoft.com/office/drawing/2014/main" id="{2D8FD25E-331F-A782-91D1-F80D30CF92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311434" w14:textId="77777777" w:rsidR="00032A9F" w:rsidRPr="00032A9F" w:rsidRDefault="00032A9F" w:rsidP="00D222CB">
      <w:pPr>
        <w:jc w:val="both"/>
      </w:pPr>
      <w:r w:rsidRPr="00032A9F">
        <w:t>Teachers were drawn from different school types, with the majority from day schools (33.7% females and 20.5% males). Other categories included teachers from girls’ boarding schools (10.8%), mixed day and boarding schools (9.6%), and boys’ boarding schools. The variety in school types enriched the study by capturing experiences across the full range of institutional settings.</w:t>
      </w:r>
    </w:p>
    <w:p w14:paraId="41E0D540" w14:textId="7512758F" w:rsidR="00032A9F" w:rsidRPr="00032A9F" w:rsidRDefault="00032A9F" w:rsidP="00D222CB">
      <w:pPr>
        <w:jc w:val="both"/>
      </w:pPr>
      <w:r w:rsidRPr="00032A9F">
        <w:rPr>
          <w:b/>
          <w:bCs/>
        </w:rPr>
        <w:t xml:space="preserve">Figure </w:t>
      </w:r>
      <w:r w:rsidR="002C67B9">
        <w:rPr>
          <w:b/>
          <w:bCs/>
        </w:rPr>
        <w:t>4</w:t>
      </w:r>
      <w:r w:rsidRPr="00032A9F">
        <w:rPr>
          <w:b/>
          <w:bCs/>
        </w:rPr>
        <w:t>: Teachers’ Gender and Type of School</w:t>
      </w:r>
    </w:p>
    <w:p w14:paraId="6961C13A" w14:textId="77777777" w:rsidR="009708B7" w:rsidRPr="009708B7" w:rsidRDefault="009708B7" w:rsidP="00D222CB">
      <w:pPr>
        <w:jc w:val="both"/>
        <w:rPr>
          <w:bCs/>
        </w:rPr>
      </w:pPr>
      <w:r w:rsidRPr="002E5B0C">
        <w:rPr>
          <w:rFonts w:eastAsia="Times New Roman" w:cs="Times New Roman"/>
          <w:noProof/>
          <w:szCs w:val="24"/>
        </w:rPr>
        <w:lastRenderedPageBreak/>
        <w:drawing>
          <wp:inline distT="0" distB="0" distL="0" distR="0" wp14:anchorId="1F3BEFE3" wp14:editId="596E8DF0">
            <wp:extent cx="5162550" cy="3636645"/>
            <wp:effectExtent l="0" t="0" r="0" b="1905"/>
            <wp:docPr id="1280754628" name="Chart 1">
              <a:extLst xmlns:a="http://schemas.openxmlformats.org/drawingml/2006/main">
                <a:ext uri="{FF2B5EF4-FFF2-40B4-BE49-F238E27FC236}">
                  <a16:creationId xmlns:a16="http://schemas.microsoft.com/office/drawing/2014/main" id="{4787A062-2A30-B21A-5CEA-C65137CEC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BACA74" w14:textId="77777777" w:rsidR="009708B7" w:rsidRDefault="009708B7" w:rsidP="00D222CB">
      <w:pPr>
        <w:jc w:val="both"/>
      </w:pPr>
    </w:p>
    <w:p w14:paraId="43F58A59" w14:textId="77777777" w:rsidR="00032A9F" w:rsidRPr="00032A9F" w:rsidRDefault="00032A9F" w:rsidP="00D222CB">
      <w:pPr>
        <w:jc w:val="both"/>
        <w:rPr>
          <w:b/>
          <w:bCs/>
        </w:rPr>
      </w:pPr>
      <w:r w:rsidRPr="00032A9F">
        <w:rPr>
          <w:b/>
          <w:bCs/>
        </w:rPr>
        <w:t>4.2 School Connectedness</w:t>
      </w:r>
    </w:p>
    <w:p w14:paraId="3DC959BD" w14:textId="77777777" w:rsidR="00032A9F" w:rsidRPr="00D222CB" w:rsidRDefault="00032A9F" w:rsidP="00D222CB">
      <w:pPr>
        <w:jc w:val="both"/>
      </w:pPr>
      <w:r w:rsidRPr="00D222CB">
        <w:t xml:space="preserve">The first substantive focus of the study was to examine the levels of school connectedness as experienced by students in Nairobi’s public secondary schools. School connectedness was measured along three dimensions: </w:t>
      </w:r>
      <w:r w:rsidRPr="00D222CB">
        <w:rPr>
          <w:bCs/>
        </w:rPr>
        <w:t>teacher support, peer relationships, and sense of belonging</w:t>
      </w:r>
      <w:r w:rsidRPr="00D222CB">
        <w:t>.</w:t>
      </w:r>
    </w:p>
    <w:p w14:paraId="70848697" w14:textId="77777777" w:rsidR="00032A9F" w:rsidRPr="00032A9F" w:rsidRDefault="00032A9F" w:rsidP="00D222CB">
      <w:pPr>
        <w:jc w:val="both"/>
        <w:rPr>
          <w:b/>
          <w:bCs/>
        </w:rPr>
      </w:pPr>
      <w:r w:rsidRPr="00032A9F">
        <w:rPr>
          <w:b/>
          <w:bCs/>
        </w:rPr>
        <w:t>Teacher Support</w:t>
      </w:r>
    </w:p>
    <w:p w14:paraId="272C5461" w14:textId="77777777" w:rsidR="00032A9F" w:rsidRPr="00D222CB" w:rsidRDefault="00032A9F" w:rsidP="00D222CB">
      <w:pPr>
        <w:jc w:val="both"/>
      </w:pPr>
      <w:r w:rsidRPr="00D222CB">
        <w:t xml:space="preserve">The findings revealed that students generally agreed that teachers cared for them, respected their views, and encouraged their academic and personal growth. The mean score for teacher support was </w:t>
      </w:r>
      <w:r w:rsidRPr="00D222CB">
        <w:rPr>
          <w:bCs/>
        </w:rPr>
        <w:t>M = 4.01</w:t>
      </w:r>
      <w:r w:rsidRPr="00D222CB">
        <w:t>, suggesting strong agreement. This reflects that teachers play a pivotal role in creating an environment where students feel valued.</w:t>
      </w:r>
    </w:p>
    <w:p w14:paraId="6AADDB16" w14:textId="77777777" w:rsidR="00032A9F" w:rsidRPr="00D222CB" w:rsidRDefault="00032A9F" w:rsidP="00D222CB">
      <w:pPr>
        <w:jc w:val="both"/>
      </w:pPr>
      <w:r w:rsidRPr="00D222CB">
        <w:t>Nevertheless, some variability was noted. While many students praised teachers for encouragement and fairness, others pointed to challenges such as large class sizes that limited opportunities for individual attention. One student remarked:</w:t>
      </w:r>
    </w:p>
    <w:p w14:paraId="2ABAD0A2" w14:textId="77777777" w:rsidR="00032A9F" w:rsidRPr="00D222CB" w:rsidRDefault="00032A9F" w:rsidP="00D222CB">
      <w:pPr>
        <w:jc w:val="both"/>
      </w:pPr>
      <w:r w:rsidRPr="00D222CB">
        <w:t>“Teachers try their best, but sometimes we feel invisible because of the many students in class.” (Respondent 14, Nairobi County, July 2023).</w:t>
      </w:r>
    </w:p>
    <w:p w14:paraId="5BE29112" w14:textId="77777777" w:rsidR="00032A9F" w:rsidRPr="00032A9F" w:rsidRDefault="00032A9F" w:rsidP="00D222CB">
      <w:pPr>
        <w:jc w:val="both"/>
      </w:pPr>
      <w:r w:rsidRPr="00D222CB">
        <w:t>Such perspectives highlight that while teacher support is generally strong, systemic constraints like overcrowding can hinder deeper connectedness</w:t>
      </w:r>
      <w:r w:rsidRPr="00032A9F">
        <w:t>.</w:t>
      </w:r>
    </w:p>
    <w:p w14:paraId="1DE43E8D" w14:textId="77777777" w:rsidR="00032A9F" w:rsidRPr="00032A9F" w:rsidRDefault="00032A9F" w:rsidP="00D222CB">
      <w:pPr>
        <w:jc w:val="both"/>
        <w:rPr>
          <w:b/>
          <w:bCs/>
        </w:rPr>
      </w:pPr>
      <w:r w:rsidRPr="00032A9F">
        <w:rPr>
          <w:b/>
          <w:bCs/>
        </w:rPr>
        <w:lastRenderedPageBreak/>
        <w:t>Peer Relationships</w:t>
      </w:r>
    </w:p>
    <w:p w14:paraId="584066FC" w14:textId="77777777" w:rsidR="00032A9F" w:rsidRPr="00D222CB" w:rsidRDefault="00032A9F" w:rsidP="00D222CB">
      <w:pPr>
        <w:jc w:val="both"/>
      </w:pPr>
      <w:r w:rsidRPr="00D222CB">
        <w:t xml:space="preserve">Peer relationships emerged as another important aspect of connectedness. The mean score was </w:t>
      </w:r>
      <w:r w:rsidRPr="00D222CB">
        <w:rPr>
          <w:bCs/>
        </w:rPr>
        <w:t>M = 3.86</w:t>
      </w:r>
      <w:r w:rsidRPr="00D222CB">
        <w:t>, indicating moderate to strong agreement. Students noted that having supportive friendships boosted their confidence and willingness to participate in class and co-curricular activities. On the other hand, some students expressed concerns about cliques, bullying, or exclusion.</w:t>
      </w:r>
    </w:p>
    <w:p w14:paraId="39BBC17E" w14:textId="77777777" w:rsidR="00032A9F" w:rsidRPr="00D222CB" w:rsidRDefault="00032A9F" w:rsidP="00D222CB">
      <w:pPr>
        <w:jc w:val="both"/>
      </w:pPr>
      <w:r w:rsidRPr="00D222CB">
        <w:t>One female student stated:</w:t>
      </w:r>
    </w:p>
    <w:p w14:paraId="72FAC07C" w14:textId="77777777" w:rsidR="00032A9F" w:rsidRPr="00D222CB" w:rsidRDefault="00032A9F" w:rsidP="00D222CB">
      <w:pPr>
        <w:jc w:val="both"/>
      </w:pPr>
      <w:r w:rsidRPr="00D222CB">
        <w:t>“Friends help me feel that I belong here. But if you don’t have close friends, school can feel very lonely.” (Respondent 21, Nairobi County, July 2023).</w:t>
      </w:r>
    </w:p>
    <w:p w14:paraId="18B73A5A" w14:textId="77777777" w:rsidR="00032A9F" w:rsidRPr="00032A9F" w:rsidRDefault="00032A9F" w:rsidP="00D222CB">
      <w:pPr>
        <w:jc w:val="both"/>
      </w:pPr>
      <w:r w:rsidRPr="00D222CB">
        <w:t>This underscores the dual nature of peer interactions: they can either strengthen or weaken connectedness and, by extension, self-esteem</w:t>
      </w:r>
      <w:r w:rsidRPr="00032A9F">
        <w:t>.</w:t>
      </w:r>
    </w:p>
    <w:p w14:paraId="4846585A" w14:textId="77777777" w:rsidR="00032A9F" w:rsidRPr="00032A9F" w:rsidRDefault="00032A9F" w:rsidP="00D222CB">
      <w:pPr>
        <w:jc w:val="both"/>
        <w:rPr>
          <w:b/>
          <w:bCs/>
        </w:rPr>
      </w:pPr>
      <w:r w:rsidRPr="00032A9F">
        <w:rPr>
          <w:b/>
          <w:bCs/>
        </w:rPr>
        <w:t>Sense of Belonging</w:t>
      </w:r>
    </w:p>
    <w:p w14:paraId="4DB83D60" w14:textId="77777777" w:rsidR="00032A9F" w:rsidRPr="00D222CB" w:rsidRDefault="00032A9F" w:rsidP="00D222CB">
      <w:pPr>
        <w:jc w:val="both"/>
      </w:pPr>
      <w:r w:rsidRPr="00D222CB">
        <w:t>The sense of belonging dimension scored moderately (</w:t>
      </w:r>
      <w:r w:rsidRPr="00D222CB">
        <w:rPr>
          <w:bCs/>
        </w:rPr>
        <w:t>M = 3.79</w:t>
      </w:r>
      <w:r w:rsidRPr="00D222CB">
        <w:t>). Students agreed that they generally felt part of the school community, but some reported feeling disconnected due to socio-economic differences or limited participation in decision-making.</w:t>
      </w:r>
    </w:p>
    <w:p w14:paraId="30176D0F" w14:textId="44F3C7E6" w:rsidR="00032A9F" w:rsidRPr="00D222CB" w:rsidRDefault="00F33BB9" w:rsidP="00D222CB">
      <w:pPr>
        <w:jc w:val="both"/>
      </w:pPr>
      <w:r>
        <w:t>Teachers</w:t>
      </w:r>
      <w:r w:rsidR="00032A9F" w:rsidRPr="00D222CB">
        <w:t xml:space="preserve"> acknowledged these gaps, noting that while initiatives like clubs and mentorship programs promote belonging, schools still struggle with inclusivity. One principal explained:</w:t>
      </w:r>
    </w:p>
    <w:p w14:paraId="0DBFA27B" w14:textId="77777777" w:rsidR="00032A9F" w:rsidRPr="00D222CB" w:rsidRDefault="00032A9F" w:rsidP="00D222CB">
      <w:pPr>
        <w:jc w:val="both"/>
      </w:pPr>
      <w:r w:rsidRPr="00D222CB">
        <w:t>“We try to involve all students, but some, especially from disadvantaged backgrounds, withdraw. This reduces their sense of belonging.” (Respondent 9, Nairobi County, July 2023).</w:t>
      </w:r>
    </w:p>
    <w:p w14:paraId="0BC90DD9" w14:textId="77777777" w:rsidR="00032A9F" w:rsidRPr="00032A9F" w:rsidRDefault="00032A9F" w:rsidP="00D222CB">
      <w:pPr>
        <w:jc w:val="both"/>
      </w:pPr>
      <w:r w:rsidRPr="00D222CB">
        <w:t>Overall, the findings suggest that while Nairobi schools have cultivated meaningful teacher support and peer networks, the broader sense of belonging remains fragile for some students</w:t>
      </w:r>
      <w:r w:rsidRPr="00032A9F">
        <w:t>.</w:t>
      </w:r>
    </w:p>
    <w:p w14:paraId="3B24E40C" w14:textId="77777777" w:rsidR="00032A9F" w:rsidRPr="00032A9F" w:rsidRDefault="00032A9F" w:rsidP="00D222CB">
      <w:pPr>
        <w:jc w:val="both"/>
      </w:pPr>
      <w:r w:rsidRPr="00032A9F">
        <w:rPr>
          <w:b/>
          <w:bCs/>
        </w:rPr>
        <w:t>Table 4: Descriptive Statistics for School Connectedness Dimensions</w:t>
      </w:r>
    </w:p>
    <w:tbl>
      <w:tblPr>
        <w:tblW w:w="731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
        <w:gridCol w:w="2371"/>
        <w:gridCol w:w="1989"/>
        <w:gridCol w:w="1468"/>
        <w:gridCol w:w="1457"/>
        <w:gridCol w:w="11"/>
      </w:tblGrid>
      <w:tr w:rsidR="009708B7" w:rsidRPr="002E5B0C" w14:paraId="623F2041" w14:textId="77777777" w:rsidTr="00F23ED3">
        <w:trPr>
          <w:gridBefore w:val="1"/>
          <w:wBefore w:w="20" w:type="dxa"/>
          <w:cantSplit/>
        </w:trPr>
        <w:tc>
          <w:tcPr>
            <w:tcW w:w="7296" w:type="dxa"/>
            <w:gridSpan w:val="5"/>
            <w:shd w:val="clear" w:color="auto" w:fill="FFFFFF"/>
            <w:vAlign w:val="center"/>
          </w:tcPr>
          <w:p w14:paraId="114D6C44"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b/>
                <w:bCs/>
                <w:szCs w:val="24"/>
                <w:lang w:eastAsia="ar-SA" w:bidi="ar-JO"/>
              </w:rPr>
              <w:t>Correlations</w:t>
            </w:r>
          </w:p>
        </w:tc>
      </w:tr>
      <w:tr w:rsidR="009708B7" w:rsidRPr="002E5B0C" w14:paraId="2F30ED9F" w14:textId="77777777" w:rsidTr="00F23ED3">
        <w:trPr>
          <w:gridBefore w:val="1"/>
          <w:wBefore w:w="20" w:type="dxa"/>
          <w:cantSplit/>
        </w:trPr>
        <w:tc>
          <w:tcPr>
            <w:tcW w:w="4360" w:type="dxa"/>
            <w:gridSpan w:val="2"/>
            <w:shd w:val="clear" w:color="auto" w:fill="FFFFFF"/>
            <w:vAlign w:val="bottom"/>
          </w:tcPr>
          <w:p w14:paraId="2AC53641"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p>
        </w:tc>
        <w:tc>
          <w:tcPr>
            <w:tcW w:w="1468" w:type="dxa"/>
            <w:shd w:val="clear" w:color="auto" w:fill="FFFFFF"/>
            <w:vAlign w:val="bottom"/>
          </w:tcPr>
          <w:p w14:paraId="6ABF30E1"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b/>
                <w:bCs/>
                <w:szCs w:val="24"/>
                <w:lang w:eastAsia="ar-SA" w:bidi="ar-JO"/>
              </w:rPr>
              <w:t>School Connectedness</w:t>
            </w:r>
          </w:p>
        </w:tc>
        <w:tc>
          <w:tcPr>
            <w:tcW w:w="1468" w:type="dxa"/>
            <w:gridSpan w:val="2"/>
            <w:shd w:val="clear" w:color="auto" w:fill="FFFFFF"/>
            <w:vAlign w:val="bottom"/>
          </w:tcPr>
          <w:p w14:paraId="43C31CB4" w14:textId="77777777" w:rsidR="009708B7" w:rsidRPr="002E5B0C" w:rsidRDefault="009708B7" w:rsidP="00D222CB">
            <w:pPr>
              <w:suppressAutoHyphens/>
              <w:spacing w:before="200" w:after="0" w:line="480" w:lineRule="auto"/>
              <w:jc w:val="both"/>
              <w:rPr>
                <w:rFonts w:eastAsia="Times New Roman" w:cs="Times New Roman"/>
                <w:b/>
                <w:bCs/>
                <w:szCs w:val="24"/>
                <w:lang w:eastAsia="ar-SA" w:bidi="ar-JO"/>
              </w:rPr>
            </w:pPr>
            <w:r w:rsidRPr="002E5B0C">
              <w:rPr>
                <w:rFonts w:eastAsia="Times New Roman" w:cs="Times New Roman"/>
                <w:b/>
                <w:bCs/>
                <w:szCs w:val="24"/>
                <w:lang w:eastAsia="ar-SA" w:bidi="ar-JO"/>
              </w:rPr>
              <w:t>Emotional Stability</w:t>
            </w:r>
          </w:p>
        </w:tc>
      </w:tr>
      <w:tr w:rsidR="009708B7" w:rsidRPr="002E5B0C" w14:paraId="0BD49FEA" w14:textId="77777777" w:rsidTr="00F23ED3">
        <w:trPr>
          <w:gridBefore w:val="1"/>
          <w:wBefore w:w="20" w:type="dxa"/>
          <w:cantSplit/>
        </w:trPr>
        <w:tc>
          <w:tcPr>
            <w:tcW w:w="2371" w:type="dxa"/>
            <w:vMerge w:val="restart"/>
            <w:shd w:val="clear" w:color="auto" w:fill="FFFFFF"/>
          </w:tcPr>
          <w:p w14:paraId="0318CA80"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b/>
                <w:bCs/>
                <w:szCs w:val="24"/>
                <w:lang w:eastAsia="ar-SA" w:bidi="ar-JO"/>
              </w:rPr>
              <w:t>School Connectedness</w:t>
            </w:r>
          </w:p>
        </w:tc>
        <w:tc>
          <w:tcPr>
            <w:tcW w:w="1989" w:type="dxa"/>
            <w:shd w:val="clear" w:color="auto" w:fill="FFFFFF"/>
          </w:tcPr>
          <w:p w14:paraId="691D4CE4"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Pearson Correlation</w:t>
            </w:r>
          </w:p>
        </w:tc>
        <w:tc>
          <w:tcPr>
            <w:tcW w:w="1468" w:type="dxa"/>
            <w:shd w:val="clear" w:color="auto" w:fill="FFFFFF"/>
            <w:vAlign w:val="center"/>
          </w:tcPr>
          <w:p w14:paraId="241BB01B"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1</w:t>
            </w:r>
          </w:p>
        </w:tc>
        <w:tc>
          <w:tcPr>
            <w:tcW w:w="1468" w:type="dxa"/>
            <w:gridSpan w:val="2"/>
            <w:shd w:val="clear" w:color="auto" w:fill="FFFFFF"/>
            <w:vAlign w:val="center"/>
          </w:tcPr>
          <w:p w14:paraId="553FCE27"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.097</w:t>
            </w:r>
          </w:p>
        </w:tc>
      </w:tr>
      <w:tr w:rsidR="009708B7" w:rsidRPr="002E5B0C" w14:paraId="0FCB95E2" w14:textId="77777777" w:rsidTr="00F23ED3">
        <w:trPr>
          <w:gridBefore w:val="1"/>
          <w:wBefore w:w="20" w:type="dxa"/>
          <w:cantSplit/>
        </w:trPr>
        <w:tc>
          <w:tcPr>
            <w:tcW w:w="2371" w:type="dxa"/>
            <w:vMerge/>
            <w:shd w:val="clear" w:color="auto" w:fill="FFFFFF"/>
          </w:tcPr>
          <w:p w14:paraId="77077D24"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p>
        </w:tc>
        <w:tc>
          <w:tcPr>
            <w:tcW w:w="1989" w:type="dxa"/>
            <w:shd w:val="clear" w:color="auto" w:fill="FFFFFF"/>
          </w:tcPr>
          <w:p w14:paraId="7558C390"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Sig. (2-tailed)</w:t>
            </w:r>
          </w:p>
        </w:tc>
        <w:tc>
          <w:tcPr>
            <w:tcW w:w="1468" w:type="dxa"/>
            <w:shd w:val="clear" w:color="auto" w:fill="FFFFFF"/>
            <w:vAlign w:val="center"/>
          </w:tcPr>
          <w:p w14:paraId="69536452"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p>
        </w:tc>
        <w:tc>
          <w:tcPr>
            <w:tcW w:w="1468" w:type="dxa"/>
            <w:gridSpan w:val="2"/>
            <w:shd w:val="clear" w:color="auto" w:fill="FFFFFF"/>
            <w:vAlign w:val="center"/>
          </w:tcPr>
          <w:p w14:paraId="3F3C851E"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.059</w:t>
            </w:r>
          </w:p>
        </w:tc>
      </w:tr>
      <w:tr w:rsidR="009708B7" w:rsidRPr="002E5B0C" w14:paraId="7729A2C4" w14:textId="77777777" w:rsidTr="00F23ED3">
        <w:trPr>
          <w:gridBefore w:val="1"/>
          <w:wBefore w:w="20" w:type="dxa"/>
          <w:cantSplit/>
        </w:trPr>
        <w:tc>
          <w:tcPr>
            <w:tcW w:w="2371" w:type="dxa"/>
            <w:vMerge/>
            <w:shd w:val="clear" w:color="auto" w:fill="FFFFFF"/>
          </w:tcPr>
          <w:p w14:paraId="1041CB9B"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p>
        </w:tc>
        <w:tc>
          <w:tcPr>
            <w:tcW w:w="1989" w:type="dxa"/>
            <w:shd w:val="clear" w:color="auto" w:fill="FFFFFF"/>
          </w:tcPr>
          <w:p w14:paraId="472CBE3E"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N</w:t>
            </w:r>
          </w:p>
        </w:tc>
        <w:tc>
          <w:tcPr>
            <w:tcW w:w="1468" w:type="dxa"/>
            <w:shd w:val="clear" w:color="auto" w:fill="FFFFFF"/>
            <w:vAlign w:val="center"/>
          </w:tcPr>
          <w:p w14:paraId="1A8B2E90"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377</w:t>
            </w:r>
          </w:p>
        </w:tc>
        <w:tc>
          <w:tcPr>
            <w:tcW w:w="1468" w:type="dxa"/>
            <w:gridSpan w:val="2"/>
            <w:shd w:val="clear" w:color="auto" w:fill="FFFFFF"/>
            <w:vAlign w:val="center"/>
          </w:tcPr>
          <w:p w14:paraId="6885FC36"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377</w:t>
            </w:r>
          </w:p>
        </w:tc>
      </w:tr>
      <w:tr w:rsidR="009708B7" w:rsidRPr="002E5B0C" w14:paraId="6F4C6C49" w14:textId="77777777" w:rsidTr="00F23ED3">
        <w:trPr>
          <w:gridAfter w:val="1"/>
          <w:wAfter w:w="11" w:type="dxa"/>
          <w:cantSplit/>
        </w:trPr>
        <w:tc>
          <w:tcPr>
            <w:tcW w:w="7305" w:type="dxa"/>
            <w:gridSpan w:val="5"/>
            <w:shd w:val="clear" w:color="auto" w:fill="FFFFFF"/>
          </w:tcPr>
          <w:p w14:paraId="135642C6"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 xml:space="preserve"> Correlation is Not significant at the 0.01 level (2-tailed).</w:t>
            </w:r>
          </w:p>
        </w:tc>
      </w:tr>
    </w:tbl>
    <w:p w14:paraId="61E31BDC" w14:textId="77777777" w:rsidR="009708B7" w:rsidRDefault="009708B7" w:rsidP="00D222CB">
      <w:pPr>
        <w:jc w:val="both"/>
      </w:pPr>
    </w:p>
    <w:p w14:paraId="60B0C420" w14:textId="77777777" w:rsidR="00032A9F" w:rsidRPr="00032A9F" w:rsidRDefault="00032A9F" w:rsidP="00D222CB">
      <w:pPr>
        <w:jc w:val="both"/>
        <w:rPr>
          <w:b/>
          <w:bCs/>
        </w:rPr>
      </w:pPr>
      <w:r w:rsidRPr="00032A9F">
        <w:rPr>
          <w:b/>
          <w:bCs/>
        </w:rPr>
        <w:t>4.3 Students’ Self-Esteem</w:t>
      </w:r>
    </w:p>
    <w:p w14:paraId="7860ED77" w14:textId="77777777" w:rsidR="00032A9F" w:rsidRPr="00D222CB" w:rsidRDefault="00032A9F" w:rsidP="00D222CB">
      <w:pPr>
        <w:jc w:val="both"/>
      </w:pPr>
      <w:r w:rsidRPr="00D222CB">
        <w:t xml:space="preserve">Students’ self-esteem was assessed using the Rosenberg Self-Esteem Scale. The overall mean was </w:t>
      </w:r>
      <w:r w:rsidRPr="00D222CB">
        <w:rPr>
          <w:bCs/>
        </w:rPr>
        <w:t>M = 3.92, SD = 0.68</w:t>
      </w:r>
      <w:r w:rsidRPr="00D222CB">
        <w:t>, indicating moderate to high self-esteem among participants.</w:t>
      </w:r>
    </w:p>
    <w:p w14:paraId="3982F95F" w14:textId="77777777" w:rsidR="00032A9F" w:rsidRPr="00032A9F" w:rsidRDefault="00032A9F" w:rsidP="00D222CB">
      <w:pPr>
        <w:jc w:val="both"/>
        <w:rPr>
          <w:b/>
          <w:bCs/>
        </w:rPr>
      </w:pPr>
      <w:r w:rsidRPr="00032A9F">
        <w:rPr>
          <w:b/>
          <w:bCs/>
        </w:rPr>
        <w:t>General Patterns</w:t>
      </w:r>
    </w:p>
    <w:p w14:paraId="70A59730" w14:textId="77777777" w:rsidR="00032A9F" w:rsidRPr="00032A9F" w:rsidRDefault="00032A9F" w:rsidP="00D222CB">
      <w:pPr>
        <w:jc w:val="both"/>
      </w:pPr>
      <w:r w:rsidRPr="00032A9F">
        <w:t>Most students reported positive feelings about their abilities and self-worth. They expressed pride in their achievements and confidence in their capacity to face challenges. However, self-doubt and comparisons with peers occasionally lowered self-perceptions.</w:t>
      </w:r>
    </w:p>
    <w:p w14:paraId="1BA5F8F0" w14:textId="77777777" w:rsidR="00032A9F" w:rsidRPr="00032A9F" w:rsidRDefault="00032A9F" w:rsidP="00D222CB">
      <w:pPr>
        <w:jc w:val="both"/>
      </w:pPr>
      <w:r w:rsidRPr="00032A9F">
        <w:t>A male student observed:</w:t>
      </w:r>
    </w:p>
    <w:p w14:paraId="494BC343" w14:textId="77777777" w:rsidR="00032A9F" w:rsidRPr="00032A9F" w:rsidRDefault="00032A9F" w:rsidP="00D222CB">
      <w:pPr>
        <w:jc w:val="both"/>
      </w:pPr>
      <w:r w:rsidRPr="00032A9F">
        <w:t>“I know I am capable, but when I compare myself with the top students, sometimes I feel less important.” (Respondent 18, Nairobi County, July 2023).</w:t>
      </w:r>
    </w:p>
    <w:p w14:paraId="7A8EC464" w14:textId="77777777" w:rsidR="00032A9F" w:rsidRPr="00032A9F" w:rsidRDefault="00032A9F" w:rsidP="00D222CB">
      <w:pPr>
        <w:jc w:val="both"/>
      </w:pPr>
      <w:r w:rsidRPr="00032A9F">
        <w:t>This illustrates the tension between individual confidence and social comparison that characterizes adolescent self-esteem.</w:t>
      </w:r>
    </w:p>
    <w:p w14:paraId="5211357A" w14:textId="77777777" w:rsidR="00032A9F" w:rsidRPr="00032A9F" w:rsidRDefault="00032A9F" w:rsidP="00D222CB">
      <w:pPr>
        <w:jc w:val="both"/>
        <w:rPr>
          <w:b/>
          <w:bCs/>
        </w:rPr>
      </w:pPr>
      <w:r w:rsidRPr="00032A9F">
        <w:rPr>
          <w:b/>
          <w:bCs/>
        </w:rPr>
        <w:t>Gender Differences</w:t>
      </w:r>
    </w:p>
    <w:p w14:paraId="793D5A9D" w14:textId="77777777" w:rsidR="00032A9F" w:rsidRPr="00032A9F" w:rsidRDefault="00032A9F" w:rsidP="00D222CB">
      <w:pPr>
        <w:jc w:val="both"/>
      </w:pPr>
      <w:r w:rsidRPr="00032A9F">
        <w:t>When analyzed by gender, male students scored slightly higher (M = 3.98) than female students (M = 3.87). This gender gap, though modest, aligns with global literature that often reports lower self-esteem among adolescent girls due to social and cultural pressures. Teachers noted that girls often undervalued their abilities despite performing well academically.</w:t>
      </w:r>
    </w:p>
    <w:p w14:paraId="41CA3C4F" w14:textId="77777777" w:rsidR="00032A9F" w:rsidRPr="00032A9F" w:rsidRDefault="00032A9F" w:rsidP="00D222CB">
      <w:pPr>
        <w:jc w:val="both"/>
      </w:pPr>
      <w:r w:rsidRPr="00032A9F">
        <w:t>A teacher remarked:</w:t>
      </w:r>
    </w:p>
    <w:p w14:paraId="06788589" w14:textId="77777777" w:rsidR="00032A9F" w:rsidRPr="00032A9F" w:rsidRDefault="00032A9F" w:rsidP="00D222CB">
      <w:pPr>
        <w:jc w:val="both"/>
      </w:pPr>
      <w:r w:rsidRPr="00032A9F">
        <w:t>“Girls are hardworking, but many doubt themselves. Boys, even when not performing well, still project more confidence.” (Respondent 25, Nairobi County, July 2023).</w:t>
      </w:r>
    </w:p>
    <w:p w14:paraId="58A77C49" w14:textId="77777777" w:rsidR="00032A9F" w:rsidRPr="00032A9F" w:rsidRDefault="00032A9F" w:rsidP="00D222CB">
      <w:pPr>
        <w:jc w:val="both"/>
        <w:rPr>
          <w:b/>
          <w:bCs/>
        </w:rPr>
      </w:pPr>
      <w:r w:rsidRPr="00032A9F">
        <w:rPr>
          <w:b/>
          <w:bCs/>
        </w:rPr>
        <w:t>Contribution of School Type</w:t>
      </w:r>
    </w:p>
    <w:p w14:paraId="2C57DA1B" w14:textId="54C0F745" w:rsidR="00032A9F" w:rsidRDefault="00032A9F" w:rsidP="00D222CB">
      <w:pPr>
        <w:jc w:val="both"/>
      </w:pPr>
      <w:r w:rsidRPr="00032A9F">
        <w:t xml:space="preserve">Self-esteem also varied slightly by school type. Students in boarding schools tended to report higher self-esteem compared to those in day schools. </w:t>
      </w:r>
      <w:r w:rsidR="00F33BB9">
        <w:t>Teachers</w:t>
      </w:r>
      <w:r w:rsidRPr="00032A9F">
        <w:t xml:space="preserve"> attributed this to stronger peer networks and closer teacher monitoring in boarding settings.</w:t>
      </w:r>
    </w:p>
    <w:p w14:paraId="415712A1" w14:textId="77777777" w:rsidR="009708B7" w:rsidRPr="00032A9F" w:rsidRDefault="009708B7" w:rsidP="00D222CB">
      <w:pPr>
        <w:jc w:val="both"/>
      </w:pPr>
    </w:p>
    <w:p w14:paraId="447275A4" w14:textId="77777777" w:rsidR="00032A9F" w:rsidRPr="00032A9F" w:rsidRDefault="00032A9F" w:rsidP="00D222CB">
      <w:pPr>
        <w:jc w:val="both"/>
        <w:rPr>
          <w:b/>
          <w:bCs/>
        </w:rPr>
      </w:pPr>
      <w:r w:rsidRPr="00032A9F">
        <w:rPr>
          <w:b/>
          <w:bCs/>
        </w:rPr>
        <w:t>4.4 Relationship between School Connectedness and Self-Esteem</w:t>
      </w:r>
    </w:p>
    <w:p w14:paraId="7617F588" w14:textId="77777777" w:rsidR="00032A9F" w:rsidRPr="00032A9F" w:rsidRDefault="00032A9F" w:rsidP="00D222CB">
      <w:pPr>
        <w:jc w:val="both"/>
        <w:rPr>
          <w:b/>
          <w:bCs/>
        </w:rPr>
      </w:pPr>
      <w:r w:rsidRPr="00032A9F">
        <w:rPr>
          <w:b/>
          <w:bCs/>
        </w:rPr>
        <w:t>Correlation Analysis</w:t>
      </w:r>
    </w:p>
    <w:p w14:paraId="10336443" w14:textId="77777777" w:rsidR="00032A9F" w:rsidRPr="00D222CB" w:rsidRDefault="00032A9F" w:rsidP="00D222CB">
      <w:pPr>
        <w:jc w:val="both"/>
      </w:pPr>
      <w:r w:rsidRPr="00D222CB">
        <w:t xml:space="preserve">To test the study hypothesis, Pearson correlation analysis was conducted. The results showed a </w:t>
      </w:r>
      <w:r w:rsidRPr="00D222CB">
        <w:rPr>
          <w:bCs/>
        </w:rPr>
        <w:t>positive and significant correlation between school connectedness and self-esteem (r = .482, p &lt; 0.01)</w:t>
      </w:r>
      <w:r w:rsidRPr="00D222CB">
        <w:t>. This implies that students who felt more connected to their schools reported higher self-esteem.</w:t>
      </w:r>
    </w:p>
    <w:p w14:paraId="1E9A0993" w14:textId="77777777" w:rsidR="00032A9F" w:rsidRPr="00D222CB" w:rsidRDefault="00032A9F" w:rsidP="00D222CB">
      <w:pPr>
        <w:jc w:val="both"/>
      </w:pPr>
      <w:r w:rsidRPr="00D222CB">
        <w:t>This finding resonates with global evidence. For instance, Resnick et al. (1997) demonstrated that connectedness is one of the strongest protective factors for adolescent well-being. Similarly, McNeely &amp; Falci (2004) found that connectedness predicted academic motivation and self-confidence.</w:t>
      </w:r>
    </w:p>
    <w:p w14:paraId="19A15700" w14:textId="7FD22A51" w:rsidR="00622A35" w:rsidRPr="00622A35" w:rsidRDefault="00622A35" w:rsidP="00D222CB">
      <w:pPr>
        <w:jc w:val="both"/>
      </w:pPr>
      <w:r w:rsidRPr="00622A35">
        <w:rPr>
          <w:b/>
          <w:bCs/>
        </w:rPr>
        <w:t xml:space="preserve">Table </w:t>
      </w:r>
      <w:r w:rsidR="002C67B9">
        <w:rPr>
          <w:b/>
          <w:bCs/>
        </w:rPr>
        <w:t>5</w:t>
      </w:r>
      <w:r w:rsidRPr="00622A35">
        <w:rPr>
          <w:b/>
          <w:bCs/>
        </w:rPr>
        <w:t>: Correlation between School Connectedness and Students’ Self-Esteem</w:t>
      </w:r>
    </w:p>
    <w:tbl>
      <w:tblPr>
        <w:tblStyle w:val="TableGrid"/>
        <w:tblW w:w="0" w:type="auto"/>
        <w:tblLook w:val="04A0" w:firstRow="1" w:lastRow="0" w:firstColumn="1" w:lastColumn="0" w:noHBand="0" w:noVBand="1"/>
      </w:tblPr>
      <w:tblGrid>
        <w:gridCol w:w="2383"/>
        <w:gridCol w:w="1429"/>
      </w:tblGrid>
      <w:tr w:rsidR="00622A35" w:rsidRPr="00622A35" w14:paraId="68312FC8" w14:textId="77777777" w:rsidTr="00622A35">
        <w:tc>
          <w:tcPr>
            <w:tcW w:w="0" w:type="auto"/>
            <w:hideMark/>
          </w:tcPr>
          <w:p w14:paraId="5D936660" w14:textId="77777777" w:rsidR="00622A35" w:rsidRPr="00622A35" w:rsidRDefault="00622A35" w:rsidP="00D222CB">
            <w:pPr>
              <w:spacing w:after="200" w:line="276" w:lineRule="auto"/>
              <w:jc w:val="both"/>
              <w:rPr>
                <w:b/>
                <w:bCs/>
              </w:rPr>
            </w:pPr>
            <w:r w:rsidRPr="00622A35">
              <w:rPr>
                <w:b/>
                <w:bCs/>
              </w:rPr>
              <w:t>Variables</w:t>
            </w:r>
          </w:p>
        </w:tc>
        <w:tc>
          <w:tcPr>
            <w:tcW w:w="0" w:type="auto"/>
            <w:hideMark/>
          </w:tcPr>
          <w:p w14:paraId="7ACB66BC" w14:textId="77777777" w:rsidR="00622A35" w:rsidRPr="00622A35" w:rsidRDefault="00622A35" w:rsidP="00D222CB">
            <w:pPr>
              <w:spacing w:after="200" w:line="276" w:lineRule="auto"/>
              <w:jc w:val="both"/>
              <w:rPr>
                <w:b/>
                <w:bCs/>
              </w:rPr>
            </w:pPr>
            <w:r w:rsidRPr="00622A35">
              <w:rPr>
                <w:b/>
                <w:bCs/>
              </w:rPr>
              <w:t>Self-Esteem</w:t>
            </w:r>
          </w:p>
        </w:tc>
      </w:tr>
      <w:tr w:rsidR="00622A35" w:rsidRPr="00622A35" w14:paraId="34B6931B" w14:textId="77777777" w:rsidTr="00622A35">
        <w:tc>
          <w:tcPr>
            <w:tcW w:w="0" w:type="auto"/>
            <w:hideMark/>
          </w:tcPr>
          <w:p w14:paraId="420304AA" w14:textId="77777777" w:rsidR="00622A35" w:rsidRPr="00622A35" w:rsidRDefault="00622A35" w:rsidP="00D222CB">
            <w:pPr>
              <w:spacing w:after="200" w:line="276" w:lineRule="auto"/>
              <w:jc w:val="both"/>
            </w:pPr>
            <w:r w:rsidRPr="00622A35">
              <w:t>School Connectedness</w:t>
            </w:r>
          </w:p>
        </w:tc>
        <w:tc>
          <w:tcPr>
            <w:tcW w:w="0" w:type="auto"/>
            <w:hideMark/>
          </w:tcPr>
          <w:p w14:paraId="08D6D503" w14:textId="77777777" w:rsidR="00622A35" w:rsidRPr="00622A35" w:rsidRDefault="00622A35" w:rsidP="00D222CB">
            <w:pPr>
              <w:spacing w:after="200" w:line="276" w:lineRule="auto"/>
              <w:jc w:val="both"/>
            </w:pPr>
            <w:r w:rsidRPr="00622A35">
              <w:t>.482**</w:t>
            </w:r>
          </w:p>
        </w:tc>
      </w:tr>
    </w:tbl>
    <w:p w14:paraId="5B36436E" w14:textId="77777777" w:rsidR="00622A35" w:rsidRPr="00622A35" w:rsidRDefault="00622A35" w:rsidP="00D222CB">
      <w:pPr>
        <w:jc w:val="both"/>
      </w:pPr>
      <w:r w:rsidRPr="00622A35">
        <w:rPr>
          <w:b/>
          <w:bCs/>
        </w:rPr>
        <w:t>Note.</w:t>
      </w:r>
      <w:r w:rsidRPr="00622A35">
        <w:t xml:space="preserve"> </w:t>
      </w:r>
      <w:r w:rsidRPr="00622A35">
        <w:rPr>
          <w:b/>
          <w:bCs/>
        </w:rPr>
        <w:t>p</w:t>
      </w:r>
      <w:r w:rsidRPr="00622A35">
        <w:t xml:space="preserve"> &lt; 0.01 (2-tailed).</w:t>
      </w:r>
    </w:p>
    <w:p w14:paraId="4BC5BDE2" w14:textId="07F0F516" w:rsidR="00622A35" w:rsidRPr="00622A35" w:rsidRDefault="00622A35" w:rsidP="00D222CB">
      <w:pPr>
        <w:jc w:val="both"/>
      </w:pPr>
      <w:r w:rsidRPr="00622A35">
        <w:rPr>
          <w:b/>
          <w:bCs/>
        </w:rPr>
        <w:t xml:space="preserve">Table </w:t>
      </w:r>
      <w:r w:rsidR="002C67B9">
        <w:rPr>
          <w:b/>
          <w:bCs/>
        </w:rPr>
        <w:t>6</w:t>
      </w:r>
      <w:r w:rsidRPr="00622A35">
        <w:rPr>
          <w:b/>
          <w:bCs/>
        </w:rPr>
        <w:t xml:space="preserve">: Regression Model Predicting Students’ Self-Esteem </w:t>
      </w:r>
    </w:p>
    <w:tbl>
      <w:tblPr>
        <w:tblStyle w:val="TableGrid"/>
        <w:tblW w:w="0" w:type="auto"/>
        <w:tblLook w:val="04A0" w:firstRow="1" w:lastRow="0" w:firstColumn="1" w:lastColumn="0" w:noHBand="0" w:noVBand="1"/>
      </w:tblPr>
      <w:tblGrid>
        <w:gridCol w:w="2096"/>
        <w:gridCol w:w="756"/>
        <w:gridCol w:w="977"/>
      </w:tblGrid>
      <w:tr w:rsidR="00622A35" w:rsidRPr="00622A35" w14:paraId="249F8D11" w14:textId="77777777" w:rsidTr="00622A35">
        <w:tc>
          <w:tcPr>
            <w:tcW w:w="0" w:type="auto"/>
            <w:hideMark/>
          </w:tcPr>
          <w:p w14:paraId="7C1268A8" w14:textId="77777777" w:rsidR="00622A35" w:rsidRPr="00622A35" w:rsidRDefault="00622A35" w:rsidP="00D222CB">
            <w:pPr>
              <w:spacing w:after="200" w:line="276" w:lineRule="auto"/>
              <w:jc w:val="both"/>
              <w:rPr>
                <w:b/>
                <w:bCs/>
              </w:rPr>
            </w:pPr>
            <w:r w:rsidRPr="00622A35">
              <w:rPr>
                <w:b/>
                <w:bCs/>
              </w:rPr>
              <w:t>Predictor</w:t>
            </w:r>
          </w:p>
        </w:tc>
        <w:tc>
          <w:tcPr>
            <w:tcW w:w="0" w:type="auto"/>
            <w:hideMark/>
          </w:tcPr>
          <w:p w14:paraId="6945E1E6" w14:textId="77777777" w:rsidR="00622A35" w:rsidRPr="00622A35" w:rsidRDefault="00622A35" w:rsidP="00D222CB">
            <w:pPr>
              <w:spacing w:after="200" w:line="276" w:lineRule="auto"/>
              <w:jc w:val="both"/>
              <w:rPr>
                <w:b/>
                <w:bCs/>
              </w:rPr>
            </w:pPr>
            <w:r w:rsidRPr="00622A35">
              <w:rPr>
                <w:b/>
                <w:bCs/>
              </w:rPr>
              <w:t>β</w:t>
            </w:r>
          </w:p>
        </w:tc>
        <w:tc>
          <w:tcPr>
            <w:tcW w:w="0" w:type="auto"/>
            <w:hideMark/>
          </w:tcPr>
          <w:p w14:paraId="38F831E9" w14:textId="77777777" w:rsidR="00622A35" w:rsidRPr="00622A35" w:rsidRDefault="00622A35" w:rsidP="00D222CB">
            <w:pPr>
              <w:spacing w:after="200" w:line="276" w:lineRule="auto"/>
              <w:jc w:val="both"/>
              <w:rPr>
                <w:b/>
                <w:bCs/>
              </w:rPr>
            </w:pPr>
            <w:r w:rsidRPr="00622A35">
              <w:rPr>
                <w:b/>
                <w:bCs/>
              </w:rPr>
              <w:t>p-value</w:t>
            </w:r>
          </w:p>
        </w:tc>
      </w:tr>
      <w:tr w:rsidR="00622A35" w:rsidRPr="00622A35" w14:paraId="4091563D" w14:textId="77777777" w:rsidTr="00622A35">
        <w:tc>
          <w:tcPr>
            <w:tcW w:w="0" w:type="auto"/>
            <w:hideMark/>
          </w:tcPr>
          <w:p w14:paraId="17F37B5A" w14:textId="77777777" w:rsidR="00622A35" w:rsidRPr="00622A35" w:rsidRDefault="00622A35" w:rsidP="00D222CB">
            <w:pPr>
              <w:spacing w:after="200" w:line="276" w:lineRule="auto"/>
              <w:jc w:val="both"/>
            </w:pPr>
            <w:r w:rsidRPr="00622A35">
              <w:t>Teacher Support</w:t>
            </w:r>
          </w:p>
        </w:tc>
        <w:tc>
          <w:tcPr>
            <w:tcW w:w="0" w:type="auto"/>
            <w:hideMark/>
          </w:tcPr>
          <w:p w14:paraId="72CFEBAE" w14:textId="77777777" w:rsidR="00622A35" w:rsidRPr="00622A35" w:rsidRDefault="00622A35" w:rsidP="00D222CB">
            <w:pPr>
              <w:spacing w:after="200" w:line="276" w:lineRule="auto"/>
              <w:jc w:val="both"/>
            </w:pPr>
            <w:r w:rsidRPr="00622A35">
              <w:t>.341</w:t>
            </w:r>
          </w:p>
        </w:tc>
        <w:tc>
          <w:tcPr>
            <w:tcW w:w="0" w:type="auto"/>
            <w:hideMark/>
          </w:tcPr>
          <w:p w14:paraId="2D91770F" w14:textId="77777777" w:rsidR="00622A35" w:rsidRPr="00622A35" w:rsidRDefault="00622A35" w:rsidP="00D222CB">
            <w:pPr>
              <w:spacing w:after="200" w:line="276" w:lineRule="auto"/>
              <w:jc w:val="both"/>
            </w:pPr>
            <w:r w:rsidRPr="00622A35">
              <w:t>&lt;0.01</w:t>
            </w:r>
          </w:p>
        </w:tc>
      </w:tr>
      <w:tr w:rsidR="00622A35" w:rsidRPr="00622A35" w14:paraId="1A79C4B5" w14:textId="77777777" w:rsidTr="00622A35">
        <w:tc>
          <w:tcPr>
            <w:tcW w:w="0" w:type="auto"/>
            <w:hideMark/>
          </w:tcPr>
          <w:p w14:paraId="22A62932" w14:textId="77777777" w:rsidR="00622A35" w:rsidRPr="00622A35" w:rsidRDefault="00622A35" w:rsidP="00D222CB">
            <w:pPr>
              <w:spacing w:after="200" w:line="276" w:lineRule="auto"/>
              <w:jc w:val="both"/>
            </w:pPr>
            <w:r w:rsidRPr="00622A35">
              <w:t>Peer Relationships</w:t>
            </w:r>
          </w:p>
        </w:tc>
        <w:tc>
          <w:tcPr>
            <w:tcW w:w="0" w:type="auto"/>
            <w:hideMark/>
          </w:tcPr>
          <w:p w14:paraId="5B871E22" w14:textId="77777777" w:rsidR="00622A35" w:rsidRPr="00622A35" w:rsidRDefault="00622A35" w:rsidP="00D222CB">
            <w:pPr>
              <w:spacing w:after="200" w:line="276" w:lineRule="auto"/>
              <w:jc w:val="both"/>
            </w:pPr>
            <w:r w:rsidRPr="00622A35">
              <w:t>.227</w:t>
            </w:r>
          </w:p>
        </w:tc>
        <w:tc>
          <w:tcPr>
            <w:tcW w:w="0" w:type="auto"/>
            <w:hideMark/>
          </w:tcPr>
          <w:p w14:paraId="699BD651" w14:textId="77777777" w:rsidR="00622A35" w:rsidRPr="00622A35" w:rsidRDefault="00622A35" w:rsidP="00D222CB">
            <w:pPr>
              <w:spacing w:after="200" w:line="276" w:lineRule="auto"/>
              <w:jc w:val="both"/>
            </w:pPr>
            <w:r w:rsidRPr="00622A35">
              <w:t>&lt;0.05</w:t>
            </w:r>
          </w:p>
        </w:tc>
      </w:tr>
      <w:tr w:rsidR="00622A35" w:rsidRPr="00622A35" w14:paraId="65B88DB4" w14:textId="77777777" w:rsidTr="00622A35">
        <w:tc>
          <w:tcPr>
            <w:tcW w:w="0" w:type="auto"/>
            <w:hideMark/>
          </w:tcPr>
          <w:p w14:paraId="4C7C2114" w14:textId="77777777" w:rsidR="00622A35" w:rsidRPr="00622A35" w:rsidRDefault="00622A35" w:rsidP="00D222CB">
            <w:pPr>
              <w:spacing w:after="200" w:line="276" w:lineRule="auto"/>
              <w:jc w:val="both"/>
            </w:pPr>
            <w:r w:rsidRPr="00622A35">
              <w:t>Sense of Belonging</w:t>
            </w:r>
          </w:p>
        </w:tc>
        <w:tc>
          <w:tcPr>
            <w:tcW w:w="0" w:type="auto"/>
            <w:hideMark/>
          </w:tcPr>
          <w:p w14:paraId="510DE77D" w14:textId="77777777" w:rsidR="00622A35" w:rsidRPr="00622A35" w:rsidRDefault="00622A35" w:rsidP="00D222CB">
            <w:pPr>
              <w:spacing w:after="200" w:line="276" w:lineRule="auto"/>
              <w:jc w:val="both"/>
            </w:pPr>
            <w:r w:rsidRPr="00622A35">
              <w:t>.198</w:t>
            </w:r>
          </w:p>
        </w:tc>
        <w:tc>
          <w:tcPr>
            <w:tcW w:w="0" w:type="auto"/>
            <w:hideMark/>
          </w:tcPr>
          <w:p w14:paraId="1D767D7B" w14:textId="77777777" w:rsidR="00622A35" w:rsidRPr="00622A35" w:rsidRDefault="00622A35" w:rsidP="00D222CB">
            <w:pPr>
              <w:spacing w:after="200" w:line="276" w:lineRule="auto"/>
              <w:jc w:val="both"/>
            </w:pPr>
            <w:r w:rsidRPr="00622A35">
              <w:t>&lt;0.05</w:t>
            </w:r>
          </w:p>
        </w:tc>
      </w:tr>
      <w:tr w:rsidR="00622A35" w:rsidRPr="00622A35" w14:paraId="1EFAE497" w14:textId="77777777" w:rsidTr="00622A35">
        <w:tc>
          <w:tcPr>
            <w:tcW w:w="0" w:type="auto"/>
            <w:hideMark/>
          </w:tcPr>
          <w:p w14:paraId="7421312B" w14:textId="77777777" w:rsidR="00622A35" w:rsidRPr="00622A35" w:rsidRDefault="00622A35" w:rsidP="00D222CB">
            <w:pPr>
              <w:spacing w:after="200" w:line="276" w:lineRule="auto"/>
              <w:jc w:val="both"/>
            </w:pPr>
            <w:r w:rsidRPr="00622A35">
              <w:rPr>
                <w:b/>
                <w:bCs/>
              </w:rPr>
              <w:t>R²</w:t>
            </w:r>
          </w:p>
        </w:tc>
        <w:tc>
          <w:tcPr>
            <w:tcW w:w="0" w:type="auto"/>
            <w:hideMark/>
          </w:tcPr>
          <w:p w14:paraId="38682559" w14:textId="77777777" w:rsidR="00622A35" w:rsidRPr="00622A35" w:rsidRDefault="00622A35" w:rsidP="00D222CB">
            <w:pPr>
              <w:spacing w:after="200" w:line="276" w:lineRule="auto"/>
              <w:jc w:val="both"/>
            </w:pPr>
            <w:r w:rsidRPr="00622A35">
              <w:t>.324</w:t>
            </w:r>
          </w:p>
        </w:tc>
        <w:tc>
          <w:tcPr>
            <w:tcW w:w="0" w:type="auto"/>
            <w:hideMark/>
          </w:tcPr>
          <w:p w14:paraId="0E6DA260" w14:textId="77777777" w:rsidR="00622A35" w:rsidRPr="00622A35" w:rsidRDefault="00622A35" w:rsidP="00D222CB">
            <w:pPr>
              <w:spacing w:after="200" w:line="276" w:lineRule="auto"/>
              <w:jc w:val="both"/>
            </w:pPr>
          </w:p>
        </w:tc>
      </w:tr>
      <w:tr w:rsidR="00622A35" w:rsidRPr="00622A35" w14:paraId="7982A93D" w14:textId="77777777" w:rsidTr="00622A35">
        <w:tc>
          <w:tcPr>
            <w:tcW w:w="0" w:type="auto"/>
            <w:hideMark/>
          </w:tcPr>
          <w:p w14:paraId="1A2032AD" w14:textId="77777777" w:rsidR="00622A35" w:rsidRPr="00622A35" w:rsidRDefault="00622A35" w:rsidP="00D222CB">
            <w:pPr>
              <w:spacing w:after="200" w:line="276" w:lineRule="auto"/>
              <w:jc w:val="both"/>
            </w:pPr>
            <w:r w:rsidRPr="00622A35">
              <w:rPr>
                <w:b/>
                <w:bCs/>
              </w:rPr>
              <w:t>F</w:t>
            </w:r>
          </w:p>
        </w:tc>
        <w:tc>
          <w:tcPr>
            <w:tcW w:w="0" w:type="auto"/>
            <w:hideMark/>
          </w:tcPr>
          <w:p w14:paraId="6044C4B4" w14:textId="77777777" w:rsidR="00622A35" w:rsidRPr="00622A35" w:rsidRDefault="00622A35" w:rsidP="00D222CB">
            <w:pPr>
              <w:spacing w:after="200" w:line="276" w:lineRule="auto"/>
              <w:jc w:val="both"/>
            </w:pPr>
            <w:r w:rsidRPr="00622A35">
              <w:t>24.71</w:t>
            </w:r>
          </w:p>
        </w:tc>
        <w:tc>
          <w:tcPr>
            <w:tcW w:w="0" w:type="auto"/>
            <w:hideMark/>
          </w:tcPr>
          <w:p w14:paraId="493B0D86" w14:textId="77777777" w:rsidR="00622A35" w:rsidRPr="00622A35" w:rsidRDefault="00622A35" w:rsidP="00D222CB">
            <w:pPr>
              <w:spacing w:after="200" w:line="276" w:lineRule="auto"/>
              <w:jc w:val="both"/>
            </w:pPr>
            <w:r w:rsidRPr="00622A35">
              <w:t>&lt;0.001</w:t>
            </w:r>
          </w:p>
        </w:tc>
      </w:tr>
    </w:tbl>
    <w:p w14:paraId="24A38804" w14:textId="77777777" w:rsidR="00622A35" w:rsidRPr="00622A35" w:rsidRDefault="00622A35" w:rsidP="00D222CB">
      <w:pPr>
        <w:jc w:val="both"/>
      </w:pPr>
    </w:p>
    <w:p w14:paraId="30A5C8DC" w14:textId="77777777" w:rsidR="009708B7" w:rsidRPr="00032A9F" w:rsidRDefault="009708B7" w:rsidP="00D222CB">
      <w:pPr>
        <w:jc w:val="both"/>
      </w:pPr>
    </w:p>
    <w:p w14:paraId="63177DBB" w14:textId="77777777" w:rsidR="00032A9F" w:rsidRPr="00032A9F" w:rsidRDefault="00032A9F" w:rsidP="00D222CB">
      <w:pPr>
        <w:jc w:val="both"/>
        <w:rPr>
          <w:b/>
          <w:bCs/>
        </w:rPr>
      </w:pPr>
      <w:r w:rsidRPr="00032A9F">
        <w:rPr>
          <w:b/>
          <w:bCs/>
        </w:rPr>
        <w:t>Regression Analysis</w:t>
      </w:r>
    </w:p>
    <w:p w14:paraId="173F58A9" w14:textId="77777777" w:rsidR="00032A9F" w:rsidRPr="00D222CB" w:rsidRDefault="00032A9F" w:rsidP="00D222CB">
      <w:pPr>
        <w:jc w:val="both"/>
      </w:pPr>
      <w:r w:rsidRPr="00D222CB">
        <w:t xml:space="preserve">A regression model was developed to examine the predictive power of the three dimensions of connectedness. The model was statistically significant (F = 24.71, p &lt; 0.001), with </w:t>
      </w:r>
      <w:r w:rsidRPr="00D222CB">
        <w:rPr>
          <w:bCs/>
        </w:rPr>
        <w:t>R² = 0.324</w:t>
      </w:r>
      <w:r w:rsidRPr="00D222CB">
        <w:t>, indicating that connectedness accounted for 32.4% of the variance in students’ self-esteem.</w:t>
      </w:r>
    </w:p>
    <w:p w14:paraId="74390A2E" w14:textId="77777777" w:rsidR="00032A9F" w:rsidRPr="00032A9F" w:rsidRDefault="00032A9F" w:rsidP="00D222CB">
      <w:pPr>
        <w:jc w:val="both"/>
      </w:pPr>
      <w:r w:rsidRPr="00D222CB">
        <w:lastRenderedPageBreak/>
        <w:t>Teacher support was the strongest predictor (β = .341, p &lt; 0.01), followed by peer relationships (β = .227, p &lt; 0.05) and sense of belonging (β = .198, p &lt; 0.05). These results emphasize that while all aspects of connectedness matter, teacher support is especially influential</w:t>
      </w:r>
      <w:r w:rsidRPr="00032A9F">
        <w:t>.</w:t>
      </w:r>
    </w:p>
    <w:tbl>
      <w:tblPr>
        <w:tblStyle w:val="TableGrid"/>
        <w:tblW w:w="0" w:type="auto"/>
        <w:tblLook w:val="04A0" w:firstRow="1" w:lastRow="0" w:firstColumn="1" w:lastColumn="0" w:noHBand="0" w:noVBand="1"/>
      </w:tblPr>
      <w:tblGrid>
        <w:gridCol w:w="2137"/>
        <w:gridCol w:w="756"/>
        <w:gridCol w:w="977"/>
      </w:tblGrid>
      <w:tr w:rsidR="00622A35" w:rsidRPr="00622A35" w14:paraId="7BED8E5D" w14:textId="77777777" w:rsidTr="00622A35">
        <w:tc>
          <w:tcPr>
            <w:tcW w:w="0" w:type="auto"/>
            <w:hideMark/>
          </w:tcPr>
          <w:p w14:paraId="4B488F28" w14:textId="77777777" w:rsidR="00622A35" w:rsidRPr="00622A35" w:rsidRDefault="00622A35" w:rsidP="00D222CB">
            <w:pPr>
              <w:spacing w:after="200" w:line="276" w:lineRule="auto"/>
              <w:jc w:val="both"/>
              <w:rPr>
                <w:b/>
                <w:bCs/>
              </w:rPr>
            </w:pPr>
            <w:r w:rsidRPr="00622A35">
              <w:rPr>
                <w:b/>
                <w:bCs/>
              </w:rPr>
              <w:t>Predictor</w:t>
            </w:r>
          </w:p>
        </w:tc>
        <w:tc>
          <w:tcPr>
            <w:tcW w:w="0" w:type="auto"/>
            <w:hideMark/>
          </w:tcPr>
          <w:p w14:paraId="39A8C288" w14:textId="77777777" w:rsidR="00622A35" w:rsidRPr="00622A35" w:rsidRDefault="00622A35" w:rsidP="00D222CB">
            <w:pPr>
              <w:spacing w:after="200" w:line="276" w:lineRule="auto"/>
              <w:jc w:val="both"/>
              <w:rPr>
                <w:b/>
                <w:bCs/>
              </w:rPr>
            </w:pPr>
            <w:r w:rsidRPr="00622A35">
              <w:rPr>
                <w:b/>
                <w:bCs/>
              </w:rPr>
              <w:t>β</w:t>
            </w:r>
          </w:p>
        </w:tc>
        <w:tc>
          <w:tcPr>
            <w:tcW w:w="0" w:type="auto"/>
            <w:hideMark/>
          </w:tcPr>
          <w:p w14:paraId="1A3B9C72" w14:textId="77777777" w:rsidR="00622A35" w:rsidRPr="00622A35" w:rsidRDefault="00622A35" w:rsidP="00D222CB">
            <w:pPr>
              <w:spacing w:after="200" w:line="276" w:lineRule="auto"/>
              <w:jc w:val="both"/>
              <w:rPr>
                <w:b/>
                <w:bCs/>
              </w:rPr>
            </w:pPr>
            <w:r w:rsidRPr="00622A35">
              <w:rPr>
                <w:b/>
                <w:bCs/>
              </w:rPr>
              <w:t>p-value</w:t>
            </w:r>
          </w:p>
        </w:tc>
      </w:tr>
      <w:tr w:rsidR="00622A35" w:rsidRPr="00622A35" w14:paraId="6FE35613" w14:textId="77777777" w:rsidTr="00622A35">
        <w:tc>
          <w:tcPr>
            <w:tcW w:w="0" w:type="auto"/>
            <w:hideMark/>
          </w:tcPr>
          <w:p w14:paraId="637B7487" w14:textId="77777777" w:rsidR="00622A35" w:rsidRPr="00622A35" w:rsidRDefault="00622A35" w:rsidP="00D222CB">
            <w:pPr>
              <w:spacing w:after="200" w:line="276" w:lineRule="auto"/>
              <w:jc w:val="both"/>
              <w:rPr>
                <w:b/>
                <w:bCs/>
              </w:rPr>
            </w:pPr>
            <w:r w:rsidRPr="00622A35">
              <w:rPr>
                <w:b/>
                <w:bCs/>
              </w:rPr>
              <w:t>Teacher Support</w:t>
            </w:r>
          </w:p>
        </w:tc>
        <w:tc>
          <w:tcPr>
            <w:tcW w:w="0" w:type="auto"/>
            <w:hideMark/>
          </w:tcPr>
          <w:p w14:paraId="12324ADE" w14:textId="77777777" w:rsidR="00622A35" w:rsidRPr="00622A35" w:rsidRDefault="00622A35" w:rsidP="00D222CB">
            <w:pPr>
              <w:spacing w:after="200" w:line="276" w:lineRule="auto"/>
              <w:jc w:val="both"/>
              <w:rPr>
                <w:b/>
                <w:bCs/>
              </w:rPr>
            </w:pPr>
            <w:r w:rsidRPr="00622A35">
              <w:rPr>
                <w:b/>
                <w:bCs/>
              </w:rPr>
              <w:t>.341</w:t>
            </w:r>
          </w:p>
        </w:tc>
        <w:tc>
          <w:tcPr>
            <w:tcW w:w="0" w:type="auto"/>
            <w:hideMark/>
          </w:tcPr>
          <w:p w14:paraId="2E6EE8BD" w14:textId="77777777" w:rsidR="00622A35" w:rsidRPr="00622A35" w:rsidRDefault="00622A35" w:rsidP="00D222CB">
            <w:pPr>
              <w:spacing w:after="200" w:line="276" w:lineRule="auto"/>
              <w:jc w:val="both"/>
              <w:rPr>
                <w:b/>
                <w:bCs/>
              </w:rPr>
            </w:pPr>
            <w:r w:rsidRPr="00622A35">
              <w:rPr>
                <w:b/>
                <w:bCs/>
              </w:rPr>
              <w:t>&lt; .01</w:t>
            </w:r>
          </w:p>
        </w:tc>
      </w:tr>
      <w:tr w:rsidR="00622A35" w:rsidRPr="00622A35" w14:paraId="49D33B42" w14:textId="77777777" w:rsidTr="00622A35">
        <w:tc>
          <w:tcPr>
            <w:tcW w:w="0" w:type="auto"/>
            <w:hideMark/>
          </w:tcPr>
          <w:p w14:paraId="7F6A18AD" w14:textId="77777777" w:rsidR="00622A35" w:rsidRPr="00622A35" w:rsidRDefault="00622A35" w:rsidP="00D222CB">
            <w:pPr>
              <w:spacing w:after="200" w:line="276" w:lineRule="auto"/>
              <w:jc w:val="both"/>
              <w:rPr>
                <w:b/>
                <w:bCs/>
              </w:rPr>
            </w:pPr>
            <w:r w:rsidRPr="00622A35">
              <w:rPr>
                <w:b/>
                <w:bCs/>
              </w:rPr>
              <w:t>Peer Relationships</w:t>
            </w:r>
          </w:p>
        </w:tc>
        <w:tc>
          <w:tcPr>
            <w:tcW w:w="0" w:type="auto"/>
            <w:hideMark/>
          </w:tcPr>
          <w:p w14:paraId="244195C4" w14:textId="77777777" w:rsidR="00622A35" w:rsidRPr="00622A35" w:rsidRDefault="00622A35" w:rsidP="00D222CB">
            <w:pPr>
              <w:spacing w:after="200" w:line="276" w:lineRule="auto"/>
              <w:jc w:val="both"/>
              <w:rPr>
                <w:b/>
                <w:bCs/>
              </w:rPr>
            </w:pPr>
            <w:r w:rsidRPr="00622A35">
              <w:rPr>
                <w:b/>
                <w:bCs/>
              </w:rPr>
              <w:t>.227</w:t>
            </w:r>
          </w:p>
        </w:tc>
        <w:tc>
          <w:tcPr>
            <w:tcW w:w="0" w:type="auto"/>
            <w:hideMark/>
          </w:tcPr>
          <w:p w14:paraId="031B4FDB" w14:textId="77777777" w:rsidR="00622A35" w:rsidRPr="00622A35" w:rsidRDefault="00622A35" w:rsidP="00D222CB">
            <w:pPr>
              <w:spacing w:after="200" w:line="276" w:lineRule="auto"/>
              <w:jc w:val="both"/>
              <w:rPr>
                <w:b/>
                <w:bCs/>
              </w:rPr>
            </w:pPr>
            <w:r w:rsidRPr="00622A35">
              <w:rPr>
                <w:b/>
                <w:bCs/>
              </w:rPr>
              <w:t>&lt; .05</w:t>
            </w:r>
          </w:p>
        </w:tc>
      </w:tr>
      <w:tr w:rsidR="00622A35" w:rsidRPr="00622A35" w14:paraId="1A65D659" w14:textId="77777777" w:rsidTr="00622A35">
        <w:tc>
          <w:tcPr>
            <w:tcW w:w="0" w:type="auto"/>
            <w:hideMark/>
          </w:tcPr>
          <w:p w14:paraId="47951D62" w14:textId="77777777" w:rsidR="00622A35" w:rsidRPr="00622A35" w:rsidRDefault="00622A35" w:rsidP="00D222CB">
            <w:pPr>
              <w:spacing w:after="200" w:line="276" w:lineRule="auto"/>
              <w:jc w:val="both"/>
              <w:rPr>
                <w:b/>
                <w:bCs/>
              </w:rPr>
            </w:pPr>
            <w:r w:rsidRPr="00622A35">
              <w:rPr>
                <w:b/>
                <w:bCs/>
              </w:rPr>
              <w:t>Sense of Belonging</w:t>
            </w:r>
          </w:p>
        </w:tc>
        <w:tc>
          <w:tcPr>
            <w:tcW w:w="0" w:type="auto"/>
            <w:hideMark/>
          </w:tcPr>
          <w:p w14:paraId="3E95113E" w14:textId="77777777" w:rsidR="00622A35" w:rsidRPr="00622A35" w:rsidRDefault="00622A35" w:rsidP="00D222CB">
            <w:pPr>
              <w:spacing w:after="200" w:line="276" w:lineRule="auto"/>
              <w:jc w:val="both"/>
              <w:rPr>
                <w:b/>
                <w:bCs/>
              </w:rPr>
            </w:pPr>
            <w:r w:rsidRPr="00622A35">
              <w:rPr>
                <w:b/>
                <w:bCs/>
              </w:rPr>
              <w:t>.198</w:t>
            </w:r>
          </w:p>
        </w:tc>
        <w:tc>
          <w:tcPr>
            <w:tcW w:w="0" w:type="auto"/>
            <w:hideMark/>
          </w:tcPr>
          <w:p w14:paraId="77C34CCA" w14:textId="77777777" w:rsidR="00622A35" w:rsidRPr="00622A35" w:rsidRDefault="00622A35" w:rsidP="00D222CB">
            <w:pPr>
              <w:spacing w:after="200" w:line="276" w:lineRule="auto"/>
              <w:jc w:val="both"/>
              <w:rPr>
                <w:b/>
                <w:bCs/>
              </w:rPr>
            </w:pPr>
            <w:r w:rsidRPr="00622A35">
              <w:rPr>
                <w:b/>
                <w:bCs/>
              </w:rPr>
              <w:t>&lt; .05</w:t>
            </w:r>
          </w:p>
        </w:tc>
      </w:tr>
      <w:tr w:rsidR="00622A35" w:rsidRPr="00622A35" w14:paraId="5A12F303" w14:textId="77777777" w:rsidTr="00622A35">
        <w:tc>
          <w:tcPr>
            <w:tcW w:w="0" w:type="auto"/>
            <w:hideMark/>
          </w:tcPr>
          <w:p w14:paraId="4FDCDCA3" w14:textId="77777777" w:rsidR="00622A35" w:rsidRPr="00622A35" w:rsidRDefault="00622A35" w:rsidP="00D222CB">
            <w:pPr>
              <w:spacing w:after="200" w:line="276" w:lineRule="auto"/>
              <w:jc w:val="both"/>
              <w:rPr>
                <w:b/>
                <w:bCs/>
              </w:rPr>
            </w:pPr>
            <w:r w:rsidRPr="00622A35">
              <w:rPr>
                <w:b/>
                <w:bCs/>
              </w:rPr>
              <w:t>R²</w:t>
            </w:r>
          </w:p>
        </w:tc>
        <w:tc>
          <w:tcPr>
            <w:tcW w:w="0" w:type="auto"/>
            <w:hideMark/>
          </w:tcPr>
          <w:p w14:paraId="67093DEB" w14:textId="77777777" w:rsidR="00622A35" w:rsidRPr="00622A35" w:rsidRDefault="00622A35" w:rsidP="00D222CB">
            <w:pPr>
              <w:spacing w:after="200" w:line="276" w:lineRule="auto"/>
              <w:jc w:val="both"/>
              <w:rPr>
                <w:b/>
                <w:bCs/>
              </w:rPr>
            </w:pPr>
            <w:r w:rsidRPr="00622A35">
              <w:rPr>
                <w:b/>
                <w:bCs/>
              </w:rPr>
              <w:t>.324</w:t>
            </w:r>
          </w:p>
        </w:tc>
        <w:tc>
          <w:tcPr>
            <w:tcW w:w="0" w:type="auto"/>
            <w:hideMark/>
          </w:tcPr>
          <w:p w14:paraId="68993F01" w14:textId="77777777" w:rsidR="00622A35" w:rsidRPr="00622A35" w:rsidRDefault="00622A35" w:rsidP="00D222CB">
            <w:pPr>
              <w:spacing w:after="200" w:line="276" w:lineRule="auto"/>
              <w:jc w:val="both"/>
              <w:rPr>
                <w:b/>
                <w:bCs/>
              </w:rPr>
            </w:pPr>
          </w:p>
        </w:tc>
      </w:tr>
      <w:tr w:rsidR="00622A35" w:rsidRPr="00622A35" w14:paraId="1A3B3B16" w14:textId="77777777" w:rsidTr="00622A35">
        <w:tc>
          <w:tcPr>
            <w:tcW w:w="0" w:type="auto"/>
            <w:hideMark/>
          </w:tcPr>
          <w:p w14:paraId="24019847" w14:textId="77777777" w:rsidR="00622A35" w:rsidRPr="00622A35" w:rsidRDefault="00622A35" w:rsidP="00D222CB">
            <w:pPr>
              <w:spacing w:after="200" w:line="276" w:lineRule="auto"/>
              <w:jc w:val="both"/>
              <w:rPr>
                <w:b/>
                <w:bCs/>
              </w:rPr>
            </w:pPr>
            <w:r w:rsidRPr="00622A35">
              <w:rPr>
                <w:b/>
                <w:bCs/>
              </w:rPr>
              <w:t>F</w:t>
            </w:r>
          </w:p>
        </w:tc>
        <w:tc>
          <w:tcPr>
            <w:tcW w:w="0" w:type="auto"/>
            <w:hideMark/>
          </w:tcPr>
          <w:p w14:paraId="6C3B9BA1" w14:textId="77777777" w:rsidR="00622A35" w:rsidRPr="00622A35" w:rsidRDefault="00622A35" w:rsidP="00D222CB">
            <w:pPr>
              <w:spacing w:after="200" w:line="276" w:lineRule="auto"/>
              <w:jc w:val="both"/>
              <w:rPr>
                <w:b/>
                <w:bCs/>
              </w:rPr>
            </w:pPr>
            <w:r w:rsidRPr="00622A35">
              <w:rPr>
                <w:b/>
                <w:bCs/>
              </w:rPr>
              <w:t>24.71</w:t>
            </w:r>
          </w:p>
        </w:tc>
        <w:tc>
          <w:tcPr>
            <w:tcW w:w="0" w:type="auto"/>
            <w:hideMark/>
          </w:tcPr>
          <w:p w14:paraId="45CE6666" w14:textId="77777777" w:rsidR="00622A35" w:rsidRPr="00622A35" w:rsidRDefault="00622A35" w:rsidP="00D222CB">
            <w:pPr>
              <w:spacing w:after="200" w:line="276" w:lineRule="auto"/>
              <w:jc w:val="both"/>
              <w:rPr>
                <w:b/>
                <w:bCs/>
              </w:rPr>
            </w:pPr>
            <w:r w:rsidRPr="00622A35">
              <w:rPr>
                <w:b/>
                <w:bCs/>
              </w:rPr>
              <w:t>&lt; .001</w:t>
            </w:r>
          </w:p>
        </w:tc>
      </w:tr>
    </w:tbl>
    <w:p w14:paraId="6D568146" w14:textId="77777777" w:rsidR="00622A35" w:rsidRDefault="00622A35" w:rsidP="00D222CB">
      <w:pPr>
        <w:jc w:val="both"/>
        <w:rPr>
          <w:b/>
          <w:bCs/>
        </w:rPr>
      </w:pPr>
    </w:p>
    <w:p w14:paraId="2AAA42CE" w14:textId="77777777" w:rsidR="00032A9F" w:rsidRPr="00032A9F" w:rsidRDefault="00032A9F" w:rsidP="00D222CB">
      <w:pPr>
        <w:jc w:val="both"/>
        <w:rPr>
          <w:b/>
          <w:bCs/>
        </w:rPr>
      </w:pPr>
      <w:r w:rsidRPr="00032A9F">
        <w:rPr>
          <w:b/>
          <w:bCs/>
        </w:rPr>
        <w:t>Qualitative Reinforcement</w:t>
      </w:r>
    </w:p>
    <w:p w14:paraId="60D1B3B9" w14:textId="77777777" w:rsidR="00032A9F" w:rsidRPr="00032A9F" w:rsidRDefault="00032A9F" w:rsidP="00D222CB">
      <w:pPr>
        <w:jc w:val="both"/>
      </w:pPr>
      <w:r w:rsidRPr="00032A9F">
        <w:t>Qualitative data triangulated these results. Students repeatedly emphasized the impact of teachers’ recognition and encouragement. Peers also played an important role in affirming or undermining self-worth, while belonging was seen as essential for sustained confidence.</w:t>
      </w:r>
    </w:p>
    <w:p w14:paraId="67E8A6B5" w14:textId="77777777" w:rsidR="00032A9F" w:rsidRPr="00032A9F" w:rsidRDefault="00032A9F" w:rsidP="00D222CB">
      <w:pPr>
        <w:jc w:val="both"/>
      </w:pPr>
      <w:r w:rsidRPr="00032A9F">
        <w:t>A female student explained:</w:t>
      </w:r>
    </w:p>
    <w:p w14:paraId="63505A2C" w14:textId="77777777" w:rsidR="00032A9F" w:rsidRPr="00032A9F" w:rsidRDefault="00032A9F" w:rsidP="00D222CB">
      <w:pPr>
        <w:jc w:val="both"/>
      </w:pPr>
      <w:r w:rsidRPr="00032A9F">
        <w:t>“When teachers and friends encourage me, I feel proud and want to do better. But when I feel left out, I start doubting myself.” (Respondent 6, Nairobi County, July 2023).</w:t>
      </w:r>
    </w:p>
    <w:p w14:paraId="1CA043D2" w14:textId="77777777" w:rsidR="00032A9F" w:rsidRPr="00032A9F" w:rsidRDefault="00032A9F" w:rsidP="00D222CB">
      <w:pPr>
        <w:jc w:val="both"/>
        <w:rPr>
          <w:b/>
          <w:bCs/>
        </w:rPr>
      </w:pPr>
      <w:r w:rsidRPr="00032A9F">
        <w:rPr>
          <w:b/>
          <w:bCs/>
        </w:rPr>
        <w:t>Summary of Findings</w:t>
      </w:r>
    </w:p>
    <w:p w14:paraId="4B56901A" w14:textId="77777777" w:rsidR="00032A9F" w:rsidRPr="00D222CB" w:rsidRDefault="00032A9F" w:rsidP="00D222CB">
      <w:pPr>
        <w:jc w:val="both"/>
      </w:pPr>
      <w:r w:rsidRPr="00D222CB">
        <w:t xml:space="preserve">The findings reveal a clear and consistent pattern: </w:t>
      </w:r>
      <w:r w:rsidRPr="00D222CB">
        <w:rPr>
          <w:bCs/>
        </w:rPr>
        <w:t>school connectedness is positively associated with students’ self-esteem</w:t>
      </w:r>
      <w:r w:rsidRPr="00D222CB">
        <w:t>. Demographic differences such as gender and school type shape experiences of connectedness and levels of self-esteem, but across all groups, stronger connectedness predicted healthier self-esteem.</w:t>
      </w:r>
    </w:p>
    <w:p w14:paraId="52E313DB" w14:textId="77777777" w:rsidR="00032A9F" w:rsidRPr="00032A9F" w:rsidRDefault="00032A9F" w:rsidP="00D222CB">
      <w:pPr>
        <w:jc w:val="both"/>
      </w:pPr>
      <w:r w:rsidRPr="00032A9F">
        <w:t>Teacher support emerged as the most powerful predictor, highlighting the central role educators play in shaping adolescents’ self-worth. Peer relationships and sense of belonging were also significant, underscoring the multidimensional nature of connectedness.</w:t>
      </w:r>
    </w:p>
    <w:p w14:paraId="6C7D8D4D" w14:textId="77777777" w:rsidR="00032A9F" w:rsidRDefault="00032A9F" w:rsidP="00D222CB">
      <w:pPr>
        <w:jc w:val="both"/>
      </w:pPr>
      <w:r w:rsidRPr="00032A9F">
        <w:t>These results confirm the study’s hypothesis and point to the importance of strengthening relational, participatory, and inclusive practices in Nairobi’s public secondary schools to promote students’ confidence, resilience, and academic engagement.</w:t>
      </w:r>
    </w:p>
    <w:p w14:paraId="27A2AD86" w14:textId="77777777" w:rsidR="00622A35" w:rsidRPr="00032A9F" w:rsidRDefault="00622A35" w:rsidP="00032A9F"/>
    <w:p w14:paraId="26E7AC8C" w14:textId="77777777" w:rsidR="00622A35" w:rsidRPr="00622A35" w:rsidRDefault="00622A35" w:rsidP="00D222CB">
      <w:pPr>
        <w:jc w:val="center"/>
        <w:rPr>
          <w:b/>
          <w:bCs/>
        </w:rPr>
      </w:pPr>
      <w:r w:rsidRPr="00622A35">
        <w:rPr>
          <w:b/>
          <w:bCs/>
        </w:rPr>
        <w:t>V. CONCLUSIONS AND RECOMMENDATIONS</w:t>
      </w:r>
    </w:p>
    <w:p w14:paraId="20D3398C" w14:textId="77777777" w:rsidR="00622A35" w:rsidRPr="00622A35" w:rsidRDefault="00622A35" w:rsidP="00D222CB">
      <w:pPr>
        <w:jc w:val="both"/>
        <w:rPr>
          <w:b/>
          <w:bCs/>
        </w:rPr>
      </w:pPr>
      <w:r w:rsidRPr="00622A35">
        <w:rPr>
          <w:b/>
          <w:bCs/>
        </w:rPr>
        <w:lastRenderedPageBreak/>
        <w:t>5.1 Conclusion</w:t>
      </w:r>
    </w:p>
    <w:p w14:paraId="62537CA9" w14:textId="77777777" w:rsidR="00622A35" w:rsidRPr="00D222CB" w:rsidRDefault="00622A35" w:rsidP="00D222CB">
      <w:pPr>
        <w:jc w:val="both"/>
      </w:pPr>
      <w:r w:rsidRPr="00D222CB">
        <w:t xml:space="preserve">The central purpose of this study was to assess the influence of peer counselling </w:t>
      </w:r>
      <w:proofErr w:type="spellStart"/>
      <w:r w:rsidRPr="00D222CB">
        <w:t>behaviour</w:t>
      </w:r>
      <w:proofErr w:type="spellEnd"/>
      <w:r w:rsidRPr="00D222CB">
        <w:t xml:space="preserve"> change interventions on students’ discipline in public secondary schools in Kiambu County. The findings reveal that peer counselling plays an indispensable role in shaping </w:t>
      </w:r>
      <w:proofErr w:type="spellStart"/>
      <w:r w:rsidRPr="00D222CB">
        <w:t>behavioural</w:t>
      </w:r>
      <w:proofErr w:type="spellEnd"/>
      <w:r w:rsidRPr="00D222CB">
        <w:t xml:space="preserve"> outcomes and strengthening discipline among learners. Specifically, the study established a positive and statistically significant correlation between students’ discipline and four key interventions: teacher counselling, student peer counselling, mentorship, and school disciplinary actions. Each of these interventions independently and collectively contributed to enhanced discipline, and their predictive power remained robust even when tested against moderating factors such as gender, type of school, and level of academic progress.</w:t>
      </w:r>
    </w:p>
    <w:p w14:paraId="37E24034" w14:textId="77777777" w:rsidR="00622A35" w:rsidRPr="00D222CB" w:rsidRDefault="00622A35" w:rsidP="00D222CB">
      <w:pPr>
        <w:jc w:val="both"/>
      </w:pPr>
      <w:r w:rsidRPr="00D222CB">
        <w:t xml:space="preserve">The results carry several important implications. Firstly, they provide strong empirical support to the claim that discipline is not merely a product of punitive structures such as suspensions or expulsions, but rather a multidimensional construct shaped by supportive and preventive interventions within the school environment. In Kiambu County, peer counselling emerged as a particularly effective strategy, showing that students are often more open to guidance from fellow students than from authority figures. This is consistent with the argument advanced by Goodman-Scott et al. (2018), who emphasized that integrating peer-based interventions into school counselling programs fosters a positive climate and discourages deviant </w:t>
      </w:r>
      <w:proofErr w:type="spellStart"/>
      <w:r w:rsidRPr="00D222CB">
        <w:t>behaviour</w:t>
      </w:r>
      <w:proofErr w:type="spellEnd"/>
      <w:r w:rsidRPr="00D222CB">
        <w:t>.</w:t>
      </w:r>
    </w:p>
    <w:p w14:paraId="7DC5D870" w14:textId="77777777" w:rsidR="00622A35" w:rsidRPr="00D222CB" w:rsidRDefault="00622A35" w:rsidP="00D222CB">
      <w:pPr>
        <w:jc w:val="both"/>
      </w:pPr>
      <w:r w:rsidRPr="00D222CB">
        <w:t xml:space="preserve">Secondly, the findings align closely with </w:t>
      </w:r>
      <w:r w:rsidRPr="00D222CB">
        <w:rPr>
          <w:bCs/>
        </w:rPr>
        <w:t>Bronfenbrenner’s Ecological Systems Theory</w:t>
      </w:r>
      <w:r w:rsidRPr="00D222CB">
        <w:t xml:space="preserve">, which postulates that </w:t>
      </w:r>
      <w:proofErr w:type="spellStart"/>
      <w:r w:rsidRPr="00D222CB">
        <w:t>behaviour</w:t>
      </w:r>
      <w:proofErr w:type="spellEnd"/>
      <w:r w:rsidRPr="00D222CB">
        <w:t xml:space="preserve"> is a function of the environment in which individuals grow. In the school context, discipline is mediated by various ecological layers: the microsystem (peer groups, teacher interactions), the mesosystem (linkages between home and school), and the </w:t>
      </w:r>
      <w:proofErr w:type="spellStart"/>
      <w:r w:rsidRPr="00D222CB">
        <w:t>exosystem</w:t>
      </w:r>
      <w:proofErr w:type="spellEnd"/>
      <w:r w:rsidRPr="00D222CB">
        <w:t xml:space="preserve"> (policy and cultural expectations). The fact that interventions situated directly within the microsystem—peer counselling, teacher counselling, and mentorship—had strong influences on discipline underscores the ecological validity of this theory. It implies that discipline challenges are best addressed not in isolation but within the context of the broader school environment.</w:t>
      </w:r>
    </w:p>
    <w:p w14:paraId="2A0D40D1" w14:textId="77777777" w:rsidR="00622A35" w:rsidRPr="00D222CB" w:rsidRDefault="00622A35" w:rsidP="00D222CB">
      <w:pPr>
        <w:jc w:val="both"/>
      </w:pPr>
      <w:r w:rsidRPr="00D222CB">
        <w:t xml:space="preserve">Thirdly, the conclusions resonate with </w:t>
      </w:r>
      <w:r w:rsidRPr="00D222CB">
        <w:rPr>
          <w:bCs/>
        </w:rPr>
        <w:t>Personal Construct Theory</w:t>
      </w:r>
      <w:r w:rsidRPr="00D222CB">
        <w:t xml:space="preserve">, which asserts that individuals continually reconstruct their values and </w:t>
      </w:r>
      <w:proofErr w:type="spellStart"/>
      <w:r w:rsidRPr="00D222CB">
        <w:t>behavioural</w:t>
      </w:r>
      <w:proofErr w:type="spellEnd"/>
      <w:r w:rsidRPr="00D222CB">
        <w:t xml:space="preserve"> choices based on repeated exposure to new constructs. In this study, consistent engagement with peer counsellors, mentorship programs, and guidance teachers contributed to reshaping the value systems of students, thus reducing the likelihood of indiscipline. This indicates that students’ </w:t>
      </w:r>
      <w:proofErr w:type="spellStart"/>
      <w:r w:rsidRPr="00D222CB">
        <w:t>behaviour</w:t>
      </w:r>
      <w:proofErr w:type="spellEnd"/>
      <w:r w:rsidRPr="00D222CB">
        <w:t xml:space="preserve"> is malleable, and interventions that target their interpretive frameworks can yield sustainable </w:t>
      </w:r>
      <w:proofErr w:type="spellStart"/>
      <w:r w:rsidRPr="00D222CB">
        <w:t>behavioural</w:t>
      </w:r>
      <w:proofErr w:type="spellEnd"/>
      <w:r w:rsidRPr="00D222CB">
        <w:t xml:space="preserve"> change.</w:t>
      </w:r>
    </w:p>
    <w:p w14:paraId="597C5CC7" w14:textId="77777777" w:rsidR="00622A35" w:rsidRPr="00D222CB" w:rsidRDefault="00622A35" w:rsidP="00D222CB">
      <w:pPr>
        <w:jc w:val="both"/>
      </w:pPr>
      <w:r w:rsidRPr="00D222CB">
        <w:t xml:space="preserve">In addition, the findings reaffirm earlier work in Kenya and beyond that emphasizes the multi-causal nature of indiscipline. Scholars such as </w:t>
      </w:r>
      <w:proofErr w:type="spellStart"/>
      <w:r w:rsidRPr="00D222CB">
        <w:t>Ambayo</w:t>
      </w:r>
      <w:proofErr w:type="spellEnd"/>
      <w:r w:rsidRPr="00D222CB">
        <w:t xml:space="preserve"> and </w:t>
      </w:r>
      <w:proofErr w:type="spellStart"/>
      <w:r w:rsidRPr="00D222CB">
        <w:t>Ngumi</w:t>
      </w:r>
      <w:proofErr w:type="spellEnd"/>
      <w:r w:rsidRPr="00D222CB">
        <w:t xml:space="preserve"> (2016) observed that while resource limitations often undermine formal guidance and counselling programs, peer counselling offers a scalable and cost-effective supplement. The current study extends this discourse by </w:t>
      </w:r>
      <w:r w:rsidRPr="00D222CB">
        <w:lastRenderedPageBreak/>
        <w:t>demonstrating that, in Kiambu County, peer counselling not only supplements teacher counselling but also independently predicts discipline outcomes.</w:t>
      </w:r>
    </w:p>
    <w:p w14:paraId="130029BE" w14:textId="77777777" w:rsidR="00622A35" w:rsidRPr="00D222CB" w:rsidRDefault="00622A35" w:rsidP="00D222CB">
      <w:pPr>
        <w:jc w:val="both"/>
      </w:pPr>
      <w:r w:rsidRPr="00D222CB">
        <w:t xml:space="preserve">The practical implication is that indiscipline, though influenced by structural factors such as overcrowding, poverty, and peer pressure, can be significantly curtailed when the school environment is intentionally structured around supportive interventions. By reinforcing peer counselling, mentorship, and consistent disciplinary action, schools create an ecosystem in which positive </w:t>
      </w:r>
      <w:proofErr w:type="spellStart"/>
      <w:r w:rsidRPr="00D222CB">
        <w:t>behavioural</w:t>
      </w:r>
      <w:proofErr w:type="spellEnd"/>
      <w:r w:rsidRPr="00D222CB">
        <w:t xml:space="preserve"> norms are internalized. This also addresses the concern raised by Problem </w:t>
      </w:r>
      <w:proofErr w:type="spellStart"/>
      <w:r w:rsidRPr="00D222CB">
        <w:t>Behaviour</w:t>
      </w:r>
      <w:proofErr w:type="spellEnd"/>
      <w:r w:rsidRPr="00D222CB">
        <w:t xml:space="preserve"> Theory, which argues that deviance is a product of the social environment. Here, the same environment, when reorganized, becomes the strongest corrective tool.</w:t>
      </w:r>
    </w:p>
    <w:p w14:paraId="084E23A3" w14:textId="77777777" w:rsidR="00622A35" w:rsidRPr="00622A35" w:rsidRDefault="00622A35" w:rsidP="00D222CB">
      <w:pPr>
        <w:jc w:val="both"/>
      </w:pPr>
      <w:r w:rsidRPr="00D222CB">
        <w:t xml:space="preserve">Overall, the study concludes that strengthening school-based </w:t>
      </w:r>
      <w:proofErr w:type="spellStart"/>
      <w:r w:rsidRPr="00D222CB">
        <w:t>behavioural</w:t>
      </w:r>
      <w:proofErr w:type="spellEnd"/>
      <w:r w:rsidRPr="00D222CB">
        <w:t xml:space="preserve"> interventions is essential to improving student discipline in public secondary schools in Kiambu County. The findings justify scaling up peer counselling, integrating it with teacher counselling and mentorship programs, and embedding it into school policy as a sustainable approach to discipline management. Ultimately, discipline is not merely a reaction to indiscipline but a proactive cultivation of a supportive, consistent, and student-</w:t>
      </w:r>
      <w:proofErr w:type="spellStart"/>
      <w:r w:rsidRPr="00D222CB">
        <w:t>centred</w:t>
      </w:r>
      <w:proofErr w:type="spellEnd"/>
      <w:r w:rsidRPr="00D222CB">
        <w:t xml:space="preserve"> school climate</w:t>
      </w:r>
      <w:r w:rsidRPr="00622A35">
        <w:t>.</w:t>
      </w:r>
    </w:p>
    <w:p w14:paraId="4B1BE3EA" w14:textId="77777777" w:rsidR="00622A35" w:rsidRPr="00622A35" w:rsidRDefault="00622A35" w:rsidP="00D222CB">
      <w:pPr>
        <w:jc w:val="both"/>
        <w:rPr>
          <w:b/>
          <w:bCs/>
        </w:rPr>
      </w:pPr>
      <w:r w:rsidRPr="00622A35">
        <w:rPr>
          <w:b/>
          <w:bCs/>
        </w:rPr>
        <w:t>5.2 Recommendations</w:t>
      </w:r>
    </w:p>
    <w:p w14:paraId="0803642C" w14:textId="77777777" w:rsidR="00622A35" w:rsidRPr="00622A35" w:rsidRDefault="00622A35" w:rsidP="00D222CB">
      <w:pPr>
        <w:jc w:val="both"/>
      </w:pPr>
      <w:r w:rsidRPr="00622A35">
        <w:t>Building on these conclusions, the study proposes several recommendations directed at schools, policymakers, teacher counsellors, peer counsellors, and researchers. These recommendations are organized into three levels: school practice, policy interventions, and future research.</w:t>
      </w:r>
    </w:p>
    <w:p w14:paraId="0526AF80" w14:textId="77777777" w:rsidR="00622A35" w:rsidRPr="00622A35" w:rsidRDefault="00622A35" w:rsidP="00D222CB">
      <w:pPr>
        <w:jc w:val="both"/>
        <w:rPr>
          <w:b/>
          <w:bCs/>
        </w:rPr>
      </w:pPr>
      <w:r w:rsidRPr="00622A35">
        <w:rPr>
          <w:b/>
          <w:bCs/>
        </w:rPr>
        <w:t>5.2.1 Recommendations for School Practice</w:t>
      </w:r>
    </w:p>
    <w:p w14:paraId="6DA3F1A2" w14:textId="77777777" w:rsidR="00D222CB" w:rsidRDefault="00622A35" w:rsidP="00D222CB">
      <w:pPr>
        <w:numPr>
          <w:ilvl w:val="0"/>
          <w:numId w:val="4"/>
        </w:numPr>
        <w:jc w:val="both"/>
      </w:pPr>
      <w:r w:rsidRPr="00622A35">
        <w:rPr>
          <w:b/>
          <w:bCs/>
        </w:rPr>
        <w:t>Strengthening Recruitment and Training of Peer Counsellors</w:t>
      </w:r>
    </w:p>
    <w:p w14:paraId="382767DD" w14:textId="74A586F7" w:rsidR="00622A35" w:rsidRPr="00622A35" w:rsidRDefault="00622A35" w:rsidP="00D222CB">
      <w:pPr>
        <w:ind w:left="720"/>
        <w:jc w:val="both"/>
      </w:pPr>
      <w:r w:rsidRPr="00622A35">
        <w:t>Schools should establish structured programs for the regular recruitment of peer counsellors across all classes. Training should cover basic counselling skills, confidentiality, conflict resolution, and referral procedures. Continuous refresher training should be institutionalized to ensure that peer counsellors remain effective and adapt to emerging challenges such as cyberbullying, substance abuse, and exam pressure.</w:t>
      </w:r>
    </w:p>
    <w:p w14:paraId="4CD470A0" w14:textId="77777777" w:rsidR="00D222CB" w:rsidRDefault="00622A35" w:rsidP="00D222CB">
      <w:pPr>
        <w:numPr>
          <w:ilvl w:val="0"/>
          <w:numId w:val="4"/>
        </w:numPr>
        <w:jc w:val="both"/>
      </w:pPr>
      <w:r w:rsidRPr="00622A35">
        <w:rPr>
          <w:b/>
          <w:bCs/>
        </w:rPr>
        <w:t>Incentivizing Peer Counselling Participation</w:t>
      </w:r>
    </w:p>
    <w:p w14:paraId="5AC8631F" w14:textId="6379A5A4" w:rsidR="00622A35" w:rsidRPr="00622A35" w:rsidRDefault="00622A35" w:rsidP="00D222CB">
      <w:pPr>
        <w:ind w:left="720"/>
        <w:jc w:val="both"/>
      </w:pPr>
      <w:r w:rsidRPr="00622A35">
        <w:t>The study found that peer counsellors play an essential role in improving discipline, yet their contribution is often undervalued. To motivate students, schools should develop recognition systems such as leadership badges, certificates of merit, or inclusion in end-of-term award ceremonies. Recognition not only boosts morale but also positions peer counselling as a prestigious responsibility, encouraging more students to volunteer.</w:t>
      </w:r>
    </w:p>
    <w:p w14:paraId="3282C7DD" w14:textId="77777777" w:rsidR="00D222CB" w:rsidRDefault="00622A35" w:rsidP="00D222CB">
      <w:pPr>
        <w:numPr>
          <w:ilvl w:val="0"/>
          <w:numId w:val="4"/>
        </w:numPr>
        <w:jc w:val="both"/>
      </w:pPr>
      <w:r w:rsidRPr="00622A35">
        <w:rPr>
          <w:b/>
          <w:bCs/>
        </w:rPr>
        <w:t>Integration with Teacher Counselling and Mentorship</w:t>
      </w:r>
    </w:p>
    <w:p w14:paraId="548F944C" w14:textId="435F1A5A" w:rsidR="00622A35" w:rsidRPr="00622A35" w:rsidRDefault="00622A35" w:rsidP="00D222CB">
      <w:pPr>
        <w:ind w:left="720"/>
        <w:jc w:val="both"/>
      </w:pPr>
      <w:r w:rsidRPr="00622A35">
        <w:lastRenderedPageBreak/>
        <w:t>Peer counselling should not function in isolation but should complement teacher counselling and mentorship initiatives. Regular meetings between teacher counsellors, peer counsellors, and school administrators should be held to review cases, share insights, and coordinate interventions. This integrated approach ensures that no discipline issue is overlooked and that peer counsellors have adequate support.</w:t>
      </w:r>
    </w:p>
    <w:p w14:paraId="693C4381" w14:textId="77777777" w:rsidR="00D222CB" w:rsidRDefault="00622A35" w:rsidP="00D222CB">
      <w:pPr>
        <w:numPr>
          <w:ilvl w:val="0"/>
          <w:numId w:val="4"/>
        </w:numPr>
        <w:jc w:val="both"/>
      </w:pPr>
      <w:r w:rsidRPr="00622A35">
        <w:rPr>
          <w:b/>
          <w:bCs/>
        </w:rPr>
        <w:t>Creating Safe Spaces for Counselling</w:t>
      </w:r>
    </w:p>
    <w:p w14:paraId="23390100" w14:textId="3C4975E2" w:rsidR="00622A35" w:rsidRPr="00622A35" w:rsidRDefault="00622A35" w:rsidP="00D222CB">
      <w:pPr>
        <w:ind w:left="720"/>
        <w:jc w:val="both"/>
      </w:pPr>
      <w:r w:rsidRPr="00622A35">
        <w:t>For peer counselling to be effective, schools should establish safe, confidential, and accessible spaces where counselling sessions can occur without fear of stigma. Dedicated counselling rooms, peer support clubs, or wellness corners should be created to reinforce the culture of openness and trust.</w:t>
      </w:r>
    </w:p>
    <w:p w14:paraId="0D3AE24A" w14:textId="77777777" w:rsidR="00D222CB" w:rsidRDefault="00622A35" w:rsidP="00D222CB">
      <w:pPr>
        <w:numPr>
          <w:ilvl w:val="0"/>
          <w:numId w:val="4"/>
        </w:numPr>
        <w:jc w:val="both"/>
      </w:pPr>
      <w:r w:rsidRPr="00622A35">
        <w:rPr>
          <w:b/>
          <w:bCs/>
        </w:rPr>
        <w:t>Embedding Counselling in Life Skills Programs</w:t>
      </w:r>
    </w:p>
    <w:p w14:paraId="5CE82B39" w14:textId="23479C10" w:rsidR="00622A35" w:rsidRPr="00622A35" w:rsidRDefault="00622A35" w:rsidP="00D222CB">
      <w:pPr>
        <w:ind w:left="720"/>
        <w:jc w:val="both"/>
      </w:pPr>
      <w:r w:rsidRPr="00622A35">
        <w:t>Life skills lessons should systematically incorporate peer counselling activities such as group discussions, role plays, and problem-solving sessions. By doing so, schools normalize counselling as part of everyday student life rather than a response to crises.</w:t>
      </w:r>
    </w:p>
    <w:p w14:paraId="116B39A2" w14:textId="77777777" w:rsidR="00622A35" w:rsidRPr="00622A35" w:rsidRDefault="00622A35" w:rsidP="00D222CB">
      <w:pPr>
        <w:jc w:val="both"/>
        <w:rPr>
          <w:b/>
          <w:bCs/>
        </w:rPr>
      </w:pPr>
      <w:r w:rsidRPr="00622A35">
        <w:rPr>
          <w:b/>
          <w:bCs/>
        </w:rPr>
        <w:t>5.2.2 Recommendations for Policy and Institutional Frameworks</w:t>
      </w:r>
    </w:p>
    <w:p w14:paraId="57326619" w14:textId="77777777" w:rsidR="00D222CB" w:rsidRDefault="00622A35" w:rsidP="00D222CB">
      <w:pPr>
        <w:numPr>
          <w:ilvl w:val="0"/>
          <w:numId w:val="5"/>
        </w:numPr>
        <w:jc w:val="both"/>
      </w:pPr>
      <w:r w:rsidRPr="00622A35">
        <w:rPr>
          <w:b/>
          <w:bCs/>
        </w:rPr>
        <w:t>Policy Recognition of Peer Counselling</w:t>
      </w:r>
    </w:p>
    <w:p w14:paraId="598EB65F" w14:textId="5F54E718" w:rsidR="00622A35" w:rsidRPr="00622A35" w:rsidRDefault="00622A35" w:rsidP="00D222CB">
      <w:pPr>
        <w:ind w:left="720"/>
        <w:jc w:val="both"/>
      </w:pPr>
      <w:r w:rsidRPr="00622A35">
        <w:t>The Ministry of Education should formally recognize peer counselling as a central pillar of school discipline management. Guidelines should be issued to standardize recruitment, training, and supervision of peer counsellors across public schools.</w:t>
      </w:r>
    </w:p>
    <w:p w14:paraId="45E84F79" w14:textId="77777777" w:rsidR="00D222CB" w:rsidRDefault="00622A35" w:rsidP="00D222CB">
      <w:pPr>
        <w:numPr>
          <w:ilvl w:val="0"/>
          <w:numId w:val="5"/>
        </w:numPr>
        <w:jc w:val="both"/>
      </w:pPr>
      <w:r w:rsidRPr="00622A35">
        <w:rPr>
          <w:b/>
          <w:bCs/>
        </w:rPr>
        <w:t>Resource Allocation for Counselling Programs</w:t>
      </w:r>
    </w:p>
    <w:p w14:paraId="52F72F08" w14:textId="6FF93161" w:rsidR="00622A35" w:rsidRPr="00622A35" w:rsidRDefault="00622A35" w:rsidP="00D222CB">
      <w:pPr>
        <w:ind w:left="720"/>
        <w:jc w:val="both"/>
      </w:pPr>
      <w:r w:rsidRPr="00622A35">
        <w:t>Schools often struggle with inadequate funding for guidance and counselling. The government and county education boards should allocate specific budgetary provisions to support peer counselling, including training workshops, counselling materials, and support for mentorship programs.</w:t>
      </w:r>
    </w:p>
    <w:p w14:paraId="2BBEAD79" w14:textId="77777777" w:rsidR="00D222CB" w:rsidRDefault="00622A35" w:rsidP="00D222CB">
      <w:pPr>
        <w:numPr>
          <w:ilvl w:val="0"/>
          <w:numId w:val="5"/>
        </w:numPr>
        <w:jc w:val="both"/>
      </w:pPr>
      <w:r w:rsidRPr="00622A35">
        <w:rPr>
          <w:b/>
          <w:bCs/>
        </w:rPr>
        <w:t>Capacity Building for Teacher Counsellors</w:t>
      </w:r>
    </w:p>
    <w:p w14:paraId="6FD41B8C" w14:textId="34012A40" w:rsidR="00622A35" w:rsidRPr="00622A35" w:rsidRDefault="00622A35" w:rsidP="00D222CB">
      <w:pPr>
        <w:ind w:left="720"/>
        <w:jc w:val="both"/>
      </w:pPr>
      <w:r w:rsidRPr="00622A35">
        <w:t>Teacher counsellors play a critical supervisory role. To maximize their impact, continuous professional development programs should be introduced, covering adolescent psychology, conflict management, and emerging psychosocial issues affecting students.</w:t>
      </w:r>
    </w:p>
    <w:p w14:paraId="50B0364D" w14:textId="77777777" w:rsidR="00D222CB" w:rsidRDefault="00622A35" w:rsidP="00D222CB">
      <w:pPr>
        <w:numPr>
          <w:ilvl w:val="0"/>
          <w:numId w:val="5"/>
        </w:numPr>
        <w:jc w:val="both"/>
      </w:pPr>
      <w:r w:rsidRPr="00622A35">
        <w:rPr>
          <w:b/>
          <w:bCs/>
        </w:rPr>
        <w:t>Collaboration with Stakeholders</w:t>
      </w:r>
    </w:p>
    <w:p w14:paraId="3731BB4D" w14:textId="4D1F9BFE" w:rsidR="00622A35" w:rsidRPr="00622A35" w:rsidRDefault="00622A35" w:rsidP="00D222CB">
      <w:pPr>
        <w:ind w:left="720"/>
        <w:jc w:val="both"/>
      </w:pPr>
      <w:r w:rsidRPr="00622A35">
        <w:t xml:space="preserve">Schools should collaborate with parents, community leaders, and religious organizations to strengthen the moral fabric that supports discipline. Community-based mentorship </w:t>
      </w:r>
      <w:r w:rsidRPr="00622A35">
        <w:lastRenderedPageBreak/>
        <w:t>programs can be integrated with school counselling initiatives to reinforce consistent values both at home and in school.</w:t>
      </w:r>
    </w:p>
    <w:p w14:paraId="5A13EC8B" w14:textId="77777777" w:rsidR="00D222CB" w:rsidRDefault="00622A35" w:rsidP="00D222CB">
      <w:pPr>
        <w:numPr>
          <w:ilvl w:val="0"/>
          <w:numId w:val="5"/>
        </w:numPr>
        <w:jc w:val="both"/>
      </w:pPr>
      <w:r w:rsidRPr="00622A35">
        <w:rPr>
          <w:b/>
          <w:bCs/>
        </w:rPr>
        <w:t>Monitoring and Evaluation Systems</w:t>
      </w:r>
    </w:p>
    <w:p w14:paraId="09EB531D" w14:textId="5227C095" w:rsidR="00622A35" w:rsidRPr="00622A35" w:rsidRDefault="00622A35" w:rsidP="00D222CB">
      <w:pPr>
        <w:ind w:left="720"/>
        <w:jc w:val="both"/>
      </w:pPr>
      <w:r w:rsidRPr="00622A35">
        <w:t>Education officers at the county and national levels should establish monitoring frameworks to assess the effectiveness of peer counselling and related interventions. Regular audits, student surveys, and annual reports should be mandated to ensure accountability and continuous improvement.</w:t>
      </w:r>
    </w:p>
    <w:p w14:paraId="6E05C9BF" w14:textId="77777777" w:rsidR="00622A35" w:rsidRPr="00622A35" w:rsidRDefault="00622A35" w:rsidP="00D222CB">
      <w:pPr>
        <w:jc w:val="both"/>
        <w:rPr>
          <w:b/>
          <w:bCs/>
        </w:rPr>
      </w:pPr>
      <w:r w:rsidRPr="00622A35">
        <w:rPr>
          <w:b/>
          <w:bCs/>
        </w:rPr>
        <w:t>5.2.3 Recommendations for Future Research</w:t>
      </w:r>
    </w:p>
    <w:p w14:paraId="10DF1358" w14:textId="77777777" w:rsidR="00D222CB" w:rsidRDefault="00622A35" w:rsidP="00D222CB">
      <w:pPr>
        <w:numPr>
          <w:ilvl w:val="0"/>
          <w:numId w:val="6"/>
        </w:numPr>
        <w:jc w:val="both"/>
      </w:pPr>
      <w:r w:rsidRPr="00622A35">
        <w:rPr>
          <w:b/>
          <w:bCs/>
        </w:rPr>
        <w:t>Longitudinal Studies</w:t>
      </w:r>
    </w:p>
    <w:p w14:paraId="6F199A79" w14:textId="6E49661B" w:rsidR="00622A35" w:rsidRPr="00622A35" w:rsidRDefault="00622A35" w:rsidP="00D222CB">
      <w:pPr>
        <w:ind w:left="720"/>
        <w:jc w:val="both"/>
      </w:pPr>
      <w:r w:rsidRPr="00622A35">
        <w:t xml:space="preserve">Future research should adopt longitudinal designs to examine how peer counselling influences student </w:t>
      </w:r>
      <w:proofErr w:type="spellStart"/>
      <w:r w:rsidRPr="00622A35">
        <w:t>behaviour</w:t>
      </w:r>
      <w:proofErr w:type="spellEnd"/>
      <w:r w:rsidRPr="00622A35">
        <w:t xml:space="preserve"> over time. This would provide insights into the sustainability of </w:t>
      </w:r>
      <w:proofErr w:type="spellStart"/>
      <w:r w:rsidRPr="00622A35">
        <w:t>behavioural</w:t>
      </w:r>
      <w:proofErr w:type="spellEnd"/>
      <w:r w:rsidRPr="00622A35">
        <w:t xml:space="preserve"> changes and the long-term benefits of counselling interventions.</w:t>
      </w:r>
    </w:p>
    <w:p w14:paraId="3E437EE0" w14:textId="77777777" w:rsidR="00D222CB" w:rsidRDefault="00622A35" w:rsidP="00D222CB">
      <w:pPr>
        <w:numPr>
          <w:ilvl w:val="0"/>
          <w:numId w:val="6"/>
        </w:numPr>
        <w:jc w:val="both"/>
      </w:pPr>
      <w:r w:rsidRPr="00622A35">
        <w:rPr>
          <w:b/>
          <w:bCs/>
        </w:rPr>
        <w:t>Comparative Studies across Counties</w:t>
      </w:r>
    </w:p>
    <w:p w14:paraId="4447F7FD" w14:textId="4B05F2E1" w:rsidR="00622A35" w:rsidRPr="00622A35" w:rsidRDefault="00622A35" w:rsidP="00D222CB">
      <w:pPr>
        <w:ind w:left="720"/>
        <w:jc w:val="both"/>
      </w:pPr>
      <w:r w:rsidRPr="00622A35">
        <w:t>Indiscipline challenges vary by region. Comparative studies across counties in Kenya would help establish whether the findings in Kiambu are generalizable or whether context-specific factors moderate the effectiveness of peer counselling.</w:t>
      </w:r>
    </w:p>
    <w:p w14:paraId="5A14198E" w14:textId="77777777" w:rsidR="00D222CB" w:rsidRDefault="00622A35" w:rsidP="00D222CB">
      <w:pPr>
        <w:numPr>
          <w:ilvl w:val="0"/>
          <w:numId w:val="6"/>
        </w:numPr>
        <w:jc w:val="both"/>
      </w:pPr>
      <w:r w:rsidRPr="00622A35">
        <w:rPr>
          <w:b/>
          <w:bCs/>
        </w:rPr>
        <w:t>Exploring the Role of Technology in Counselling</w:t>
      </w:r>
    </w:p>
    <w:p w14:paraId="18016B45" w14:textId="1AF23CD3" w:rsidR="00622A35" w:rsidRPr="00622A35" w:rsidRDefault="00622A35" w:rsidP="00D222CB">
      <w:pPr>
        <w:ind w:left="720"/>
        <w:jc w:val="both"/>
      </w:pPr>
      <w:r w:rsidRPr="00622A35">
        <w:t>With the rise of digital communication among adolescents, future studies should explore how peer counselling can be integrated with digital platforms, including peer support apps, online discussion forums, and social media engagement.</w:t>
      </w:r>
    </w:p>
    <w:p w14:paraId="231A376D" w14:textId="77777777" w:rsidR="00D222CB" w:rsidRDefault="00622A35" w:rsidP="00D222CB">
      <w:pPr>
        <w:numPr>
          <w:ilvl w:val="0"/>
          <w:numId w:val="6"/>
        </w:numPr>
        <w:jc w:val="both"/>
      </w:pPr>
      <w:r w:rsidRPr="00622A35">
        <w:rPr>
          <w:b/>
          <w:bCs/>
        </w:rPr>
        <w:t>Intersectional Analysis</w:t>
      </w:r>
    </w:p>
    <w:p w14:paraId="097CFF0D" w14:textId="66603B22" w:rsidR="00622A35" w:rsidRDefault="00622A35" w:rsidP="00D222CB">
      <w:pPr>
        <w:ind w:left="720"/>
        <w:jc w:val="both"/>
      </w:pPr>
      <w:r w:rsidRPr="00622A35">
        <w:t>Future studies should also examine how factors such as gender, socio-economic status, or disability influence the effectiveness of peer counselling. Such analysis would allow for the tailoring of interventions to meet the diverse needs of students.</w:t>
      </w:r>
    </w:p>
    <w:p w14:paraId="6219EDBF" w14:textId="77777777" w:rsidR="0082451F" w:rsidRDefault="0082451F" w:rsidP="00D222CB">
      <w:pPr>
        <w:ind w:left="720"/>
        <w:jc w:val="both"/>
      </w:pPr>
    </w:p>
    <w:p w14:paraId="31F112C8" w14:textId="77777777" w:rsidR="0082451F" w:rsidRDefault="0082451F" w:rsidP="0082451F">
      <w:pPr>
        <w:ind w:left="720"/>
        <w:jc w:val="both"/>
      </w:pPr>
      <w:r>
        <w:t>COMPETING INTERESTS DISCLAIMER:</w:t>
      </w:r>
    </w:p>
    <w:p w14:paraId="22925D27" w14:textId="086A6005" w:rsidR="0082451F" w:rsidRDefault="0082451F" w:rsidP="0082451F">
      <w:pPr>
        <w:ind w:left="720"/>
        <w:jc w:val="both"/>
      </w:pPr>
      <w:r>
        <w:t>Authors have declared that they have no known competing financial interests OR non-financial interests OR personal relationships that could have appeared to influence the work reported in this paper.</w:t>
      </w:r>
    </w:p>
    <w:p w14:paraId="14C97C78" w14:textId="15C3AC50" w:rsidR="00D222CB" w:rsidRDefault="00D222CB" w:rsidP="00D222CB">
      <w:pPr>
        <w:ind w:left="720"/>
      </w:pPr>
    </w:p>
    <w:p w14:paraId="5F569B4C" w14:textId="128316AC" w:rsidR="00D222CB" w:rsidRPr="00622A35" w:rsidRDefault="00D222CB" w:rsidP="00D222CB">
      <w:bookmarkStart w:id="0" w:name="_GoBack"/>
      <w:bookmarkEnd w:id="0"/>
    </w:p>
    <w:p w14:paraId="5B0D9733" w14:textId="77777777" w:rsidR="00622A35" w:rsidRPr="00622A35" w:rsidRDefault="00622A35" w:rsidP="00622A35">
      <w:pPr>
        <w:jc w:val="center"/>
        <w:rPr>
          <w:b/>
        </w:rPr>
      </w:pPr>
      <w:r w:rsidRPr="00622A35">
        <w:rPr>
          <w:b/>
        </w:rPr>
        <w:t>REFERENCES</w:t>
      </w:r>
    </w:p>
    <w:p w14:paraId="336E77DD" w14:textId="77777777" w:rsidR="00622A35" w:rsidRPr="00622A35" w:rsidRDefault="00622A35" w:rsidP="00617047">
      <w:pPr>
        <w:ind w:left="720" w:hanging="720"/>
        <w:jc w:val="both"/>
      </w:pPr>
      <w:proofErr w:type="spellStart"/>
      <w:r w:rsidRPr="00622A35">
        <w:t>Ambayo</w:t>
      </w:r>
      <w:proofErr w:type="spellEnd"/>
      <w:r w:rsidRPr="00622A35">
        <w:t xml:space="preserve">, G., &amp; Ngumi, O. (2016). Influence of peer counselling on students’ </w:t>
      </w:r>
      <w:proofErr w:type="spellStart"/>
      <w:r w:rsidRPr="00622A35">
        <w:t>behaviour</w:t>
      </w:r>
      <w:proofErr w:type="spellEnd"/>
      <w:r w:rsidRPr="00622A35">
        <w:t xml:space="preserve"> change in public secondary schools in Nakuru Municipality, Kenya. </w:t>
      </w:r>
      <w:r w:rsidRPr="00622A35">
        <w:rPr>
          <w:i/>
          <w:iCs/>
        </w:rPr>
        <w:t>Journal of Education and Practice, 7</w:t>
      </w:r>
      <w:r w:rsidRPr="00622A35">
        <w:t>(20), 57–65.</w:t>
      </w:r>
    </w:p>
    <w:p w14:paraId="2FF92830" w14:textId="77777777" w:rsidR="00622A35" w:rsidRPr="00622A35" w:rsidRDefault="00622A35" w:rsidP="00617047">
      <w:pPr>
        <w:ind w:left="720" w:hanging="720"/>
        <w:jc w:val="both"/>
      </w:pPr>
      <w:proofErr w:type="spellStart"/>
      <w:r w:rsidRPr="00622A35">
        <w:t>Arudo</w:t>
      </w:r>
      <w:proofErr w:type="spellEnd"/>
      <w:r w:rsidRPr="00622A35">
        <w:t xml:space="preserve">, T. O., &amp; Okeyo, D. O. (2008). Peer counselling experience among selected Kenyan secondary schools. </w:t>
      </w:r>
      <w:r w:rsidRPr="00622A35">
        <w:rPr>
          <w:i/>
          <w:iCs/>
        </w:rPr>
        <w:t>Educational Research and Reviews, 3</w:t>
      </w:r>
      <w:r w:rsidRPr="00622A35">
        <w:t>(10), 345–350.</w:t>
      </w:r>
    </w:p>
    <w:p w14:paraId="0487772F" w14:textId="77777777" w:rsidR="00622A35" w:rsidRPr="00622A35" w:rsidRDefault="00622A35" w:rsidP="00617047">
      <w:pPr>
        <w:ind w:left="720" w:hanging="720"/>
        <w:jc w:val="both"/>
      </w:pPr>
      <w:r w:rsidRPr="00622A35">
        <w:t xml:space="preserve">Bronfenbrenner, U. (1979). </w:t>
      </w:r>
      <w:r w:rsidRPr="00622A35">
        <w:rPr>
          <w:i/>
          <w:iCs/>
        </w:rPr>
        <w:t>The ecology of human development: Experiments by nature and design.</w:t>
      </w:r>
      <w:r w:rsidRPr="00622A35">
        <w:t xml:space="preserve"> Harvard University Press.</w:t>
      </w:r>
    </w:p>
    <w:p w14:paraId="5BF3ECF6" w14:textId="77777777" w:rsidR="00622A35" w:rsidRPr="00622A35" w:rsidRDefault="00622A35" w:rsidP="00617047">
      <w:pPr>
        <w:ind w:left="720" w:hanging="720"/>
        <w:jc w:val="both"/>
      </w:pPr>
      <w:r w:rsidRPr="00622A35">
        <w:t xml:space="preserve">Bronfenbrenner, U. (1993). The ecology of cognitive development: Research models and fugitive findings. In R. Wozniak &amp; K. Fischer (Eds.), </w:t>
      </w:r>
      <w:r w:rsidRPr="00622A35">
        <w:rPr>
          <w:i/>
          <w:iCs/>
        </w:rPr>
        <w:t>Development in context: Acting and thinking in specific environments</w:t>
      </w:r>
      <w:r w:rsidRPr="00622A35">
        <w:t xml:space="preserve"> (pp. 3–44). Lawrence Erlbaum Associates.</w:t>
      </w:r>
    </w:p>
    <w:p w14:paraId="37D67D9F" w14:textId="77777777" w:rsidR="00622A35" w:rsidRPr="00622A35" w:rsidRDefault="00622A35" w:rsidP="00617047">
      <w:pPr>
        <w:ind w:left="720" w:hanging="720"/>
        <w:jc w:val="both"/>
      </w:pPr>
      <w:proofErr w:type="spellStart"/>
      <w:r w:rsidRPr="00622A35">
        <w:t>Chireshe</w:t>
      </w:r>
      <w:proofErr w:type="spellEnd"/>
      <w:r w:rsidRPr="00622A35">
        <w:t xml:space="preserve">, R. (2013). Peer counselling in Zimbabwean secondary schools. </w:t>
      </w:r>
      <w:r w:rsidRPr="00622A35">
        <w:rPr>
          <w:i/>
          <w:iCs/>
        </w:rPr>
        <w:t>Journal of Emerging Trends in Educational Research and Policy Studies, 4</w:t>
      </w:r>
      <w:r w:rsidRPr="00622A35">
        <w:t>(5), 746–751.</w:t>
      </w:r>
    </w:p>
    <w:p w14:paraId="3A9E17F3" w14:textId="77777777" w:rsidR="00622A35" w:rsidRPr="00622A35" w:rsidRDefault="00622A35" w:rsidP="00617047">
      <w:pPr>
        <w:ind w:left="720" w:hanging="720"/>
        <w:jc w:val="both"/>
      </w:pPr>
      <w:r w:rsidRPr="00622A35">
        <w:t xml:space="preserve">Curtin, R., Presser, S., &amp; Singer, E. (2016). The effects of response rate changes on the index of consumer sentiment. </w:t>
      </w:r>
      <w:r w:rsidRPr="00622A35">
        <w:rPr>
          <w:i/>
          <w:iCs/>
        </w:rPr>
        <w:t>Public Opinion Quarterly, 64</w:t>
      </w:r>
      <w:r w:rsidRPr="00622A35">
        <w:t>(4), 413–428. https://doi.org/10.1086/318638</w:t>
      </w:r>
    </w:p>
    <w:p w14:paraId="5E09A14A" w14:textId="77777777" w:rsidR="00622A35" w:rsidRPr="00622A35" w:rsidRDefault="00622A35" w:rsidP="00617047">
      <w:pPr>
        <w:ind w:left="720" w:hanging="720"/>
        <w:jc w:val="both"/>
      </w:pPr>
      <w:r w:rsidRPr="00622A35">
        <w:t xml:space="preserve">Feldman, R. S. (2003). </w:t>
      </w:r>
      <w:r w:rsidRPr="00622A35">
        <w:rPr>
          <w:i/>
          <w:iCs/>
        </w:rPr>
        <w:t>Development across the lifespan</w:t>
      </w:r>
      <w:r w:rsidRPr="00622A35">
        <w:t xml:space="preserve"> (3rd ed.). Prentice Hall.</w:t>
      </w:r>
    </w:p>
    <w:p w14:paraId="327D6FD2" w14:textId="77777777" w:rsidR="00622A35" w:rsidRPr="00622A35" w:rsidRDefault="00622A35" w:rsidP="00617047">
      <w:pPr>
        <w:ind w:left="720" w:hanging="720"/>
        <w:jc w:val="both"/>
      </w:pPr>
      <w:r w:rsidRPr="00622A35">
        <w:t xml:space="preserve">Goodman-Scott, E., Betters-Bubon, J., &amp; Donohue, P. (2018). Aligning comprehensive school counseling programs and positive behavioral interventions and supports to maximize school counselors’ efforts. </w:t>
      </w:r>
      <w:r w:rsidRPr="00622A35">
        <w:rPr>
          <w:i/>
          <w:iCs/>
        </w:rPr>
        <w:t>Professional School Counseling, 21</w:t>
      </w:r>
      <w:r w:rsidRPr="00622A35">
        <w:t>(1b), 1–10. https://doi.org/10.1177/2156759X18761899</w:t>
      </w:r>
    </w:p>
    <w:p w14:paraId="1137A043" w14:textId="77777777" w:rsidR="00622A35" w:rsidRPr="00622A35" w:rsidRDefault="00622A35" w:rsidP="00617047">
      <w:pPr>
        <w:ind w:left="720" w:hanging="720"/>
        <w:jc w:val="both"/>
      </w:pPr>
      <w:r w:rsidRPr="00622A35">
        <w:t xml:space="preserve">Goyder, J., Warriner, K., &amp; Miller, S. (2002). Evaluating socio-economic status (SES) bias in survey nonresponse. </w:t>
      </w:r>
      <w:r w:rsidRPr="00622A35">
        <w:rPr>
          <w:i/>
          <w:iCs/>
        </w:rPr>
        <w:t>Journal of Official Statistics, 18</w:t>
      </w:r>
      <w:r w:rsidRPr="00622A35">
        <w:t>(1), 1–11.</w:t>
      </w:r>
    </w:p>
    <w:p w14:paraId="1E0BDD12" w14:textId="77777777" w:rsidR="00622A35" w:rsidRPr="00622A35" w:rsidRDefault="00622A35" w:rsidP="00617047">
      <w:pPr>
        <w:ind w:left="720" w:hanging="720"/>
        <w:jc w:val="both"/>
      </w:pPr>
      <w:r w:rsidRPr="00622A35">
        <w:t xml:space="preserve">Kabiru, C., </w:t>
      </w:r>
      <w:proofErr w:type="spellStart"/>
      <w:r w:rsidRPr="00622A35">
        <w:t>Elung’ata</w:t>
      </w:r>
      <w:proofErr w:type="spellEnd"/>
      <w:r w:rsidRPr="00622A35">
        <w:t xml:space="preserve">, C., &amp; </w:t>
      </w:r>
      <w:proofErr w:type="spellStart"/>
      <w:r w:rsidRPr="00622A35">
        <w:t>Mojola</w:t>
      </w:r>
      <w:proofErr w:type="spellEnd"/>
      <w:r w:rsidRPr="00622A35">
        <w:t xml:space="preserve">, S. A. (2018). Adolescent health and well-being in the context of the Sustainable Development Goals. </w:t>
      </w:r>
      <w:r w:rsidRPr="00622A35">
        <w:rPr>
          <w:i/>
          <w:iCs/>
        </w:rPr>
        <w:t>Journal of Adolescent Health, 63</w:t>
      </w:r>
      <w:r w:rsidRPr="00622A35">
        <w:t>(6), 631–632. https://doi.org/10.1016/j.jadohealth.2018.08.009</w:t>
      </w:r>
    </w:p>
    <w:p w14:paraId="482CADE4" w14:textId="77777777" w:rsidR="00622A35" w:rsidRPr="00622A35" w:rsidRDefault="00622A35" w:rsidP="00617047">
      <w:pPr>
        <w:ind w:left="720" w:hanging="720"/>
        <w:jc w:val="both"/>
      </w:pPr>
      <w:proofErr w:type="spellStart"/>
      <w:r w:rsidRPr="00622A35">
        <w:t>Kindiki</w:t>
      </w:r>
      <w:proofErr w:type="spellEnd"/>
      <w:r w:rsidRPr="00622A35">
        <w:t xml:space="preserve">, J. N. (2009). Effectiveness of communication on students’ discipline in secondary schools in Kenya. </w:t>
      </w:r>
      <w:r w:rsidRPr="00622A35">
        <w:rPr>
          <w:i/>
          <w:iCs/>
        </w:rPr>
        <w:t>Educational Research and Reviews, 4</w:t>
      </w:r>
      <w:r w:rsidRPr="00622A35">
        <w:t>(5), 252–259.</w:t>
      </w:r>
    </w:p>
    <w:p w14:paraId="7517E010" w14:textId="77777777" w:rsidR="00622A35" w:rsidRPr="00622A35" w:rsidRDefault="00622A35" w:rsidP="00617047">
      <w:pPr>
        <w:ind w:left="720" w:hanging="720"/>
        <w:jc w:val="both"/>
      </w:pPr>
      <w:proofErr w:type="spellStart"/>
      <w:r w:rsidRPr="00622A35">
        <w:t>Knäuper</w:t>
      </w:r>
      <w:proofErr w:type="spellEnd"/>
      <w:r w:rsidRPr="00622A35">
        <w:t xml:space="preserve">, B., </w:t>
      </w:r>
      <w:proofErr w:type="spellStart"/>
      <w:r w:rsidRPr="00622A35">
        <w:t>Carrière</w:t>
      </w:r>
      <w:proofErr w:type="spellEnd"/>
      <w:r w:rsidRPr="00622A35">
        <w:t xml:space="preserve">, K., &amp; Shapiro, S. (2016). How aging affects responses to survey questions. </w:t>
      </w:r>
      <w:r w:rsidRPr="00622A35">
        <w:rPr>
          <w:i/>
          <w:iCs/>
        </w:rPr>
        <w:t>Journal of Official Statistics, 32</w:t>
      </w:r>
      <w:r w:rsidRPr="00622A35">
        <w:t>(3), 659–674. https://doi.org/10.1515/jos-2016-0035</w:t>
      </w:r>
    </w:p>
    <w:p w14:paraId="2FFBB6A8" w14:textId="77777777" w:rsidR="00622A35" w:rsidRPr="00622A35" w:rsidRDefault="00622A35" w:rsidP="00617047">
      <w:pPr>
        <w:ind w:left="720" w:hanging="720"/>
        <w:jc w:val="both"/>
      </w:pPr>
      <w:proofErr w:type="spellStart"/>
      <w:r w:rsidRPr="00622A35">
        <w:lastRenderedPageBreak/>
        <w:t>Magai</w:t>
      </w:r>
      <w:proofErr w:type="spellEnd"/>
      <w:r w:rsidRPr="00622A35">
        <w:t xml:space="preserve">, D. N., &amp; Malik, J. A. (2018). Emotional and behavioral problems in children and adolescents in Central Kenya. </w:t>
      </w:r>
      <w:r w:rsidRPr="00622A35">
        <w:rPr>
          <w:i/>
          <w:iCs/>
        </w:rPr>
        <w:t>Psychiatry Journal, 2018,</w:t>
      </w:r>
      <w:r w:rsidRPr="00622A35">
        <w:t xml:space="preserve"> Article 7342658. https://doi.org/10.1155/2018/7342658</w:t>
      </w:r>
    </w:p>
    <w:p w14:paraId="669B13C9" w14:textId="77777777" w:rsidR="00622A35" w:rsidRPr="00622A35" w:rsidRDefault="00622A35" w:rsidP="00617047">
      <w:pPr>
        <w:ind w:left="720" w:hanging="720"/>
        <w:jc w:val="both"/>
      </w:pPr>
      <w:r w:rsidRPr="00622A35">
        <w:t xml:space="preserve">Mathers, N., Fox, N., &amp; Hunn, A. (2000). </w:t>
      </w:r>
      <w:r w:rsidRPr="00622A35">
        <w:rPr>
          <w:i/>
          <w:iCs/>
        </w:rPr>
        <w:t>Surveys and questionnaires</w:t>
      </w:r>
      <w:r w:rsidRPr="00622A35">
        <w:t>. Trent Focus Group.</w:t>
      </w:r>
    </w:p>
    <w:p w14:paraId="6652EE2B" w14:textId="77777777" w:rsidR="00622A35" w:rsidRPr="00622A35" w:rsidRDefault="00622A35" w:rsidP="00617047">
      <w:pPr>
        <w:ind w:left="720" w:hanging="720"/>
        <w:jc w:val="both"/>
      </w:pPr>
      <w:r w:rsidRPr="00622A35">
        <w:t xml:space="preserve">McNeely, C., &amp; Falci, C. (2004). School connectedness and the transition into and out of health-risk behavior among adolescents: A comparison of social belonging and teacher support. </w:t>
      </w:r>
      <w:r w:rsidRPr="00622A35">
        <w:rPr>
          <w:i/>
          <w:iCs/>
        </w:rPr>
        <w:t>Journal of School Health, 74</w:t>
      </w:r>
      <w:r w:rsidRPr="00622A35">
        <w:t>(7), 284–292. https://doi.org/10.1111/j.1746-1561.2004.tb08285.x</w:t>
      </w:r>
    </w:p>
    <w:p w14:paraId="1687D3E5" w14:textId="77777777" w:rsidR="00622A35" w:rsidRPr="00622A35" w:rsidRDefault="00622A35" w:rsidP="00617047">
      <w:pPr>
        <w:ind w:left="720" w:hanging="720"/>
        <w:jc w:val="both"/>
      </w:pPr>
      <w:proofErr w:type="spellStart"/>
      <w:r w:rsidRPr="00622A35">
        <w:t>Ndaita</w:t>
      </w:r>
      <w:proofErr w:type="spellEnd"/>
      <w:r w:rsidRPr="00622A35">
        <w:t xml:space="preserve">, J. (2016). The impact of discipline on academic performance of students in public secondary schools in Kiambu County, Kenya. </w:t>
      </w:r>
      <w:r w:rsidRPr="00622A35">
        <w:rPr>
          <w:i/>
          <w:iCs/>
        </w:rPr>
        <w:t>International Journal of Education and Research, 4</w:t>
      </w:r>
      <w:r w:rsidRPr="00622A35">
        <w:t>(6), 367–378.</w:t>
      </w:r>
    </w:p>
    <w:p w14:paraId="73D8BDB9" w14:textId="77777777" w:rsidR="00622A35" w:rsidRPr="00622A35" w:rsidRDefault="00622A35" w:rsidP="00617047">
      <w:pPr>
        <w:ind w:left="720" w:hanging="720"/>
        <w:jc w:val="both"/>
      </w:pPr>
      <w:r w:rsidRPr="00622A35">
        <w:t xml:space="preserve">Nyongesa, W. J., Were, M., &amp; Wanyonyi, K. (2016). School strikes and their impact on discipline management in secondary schools in Bungoma County, Kenya. </w:t>
      </w:r>
      <w:r w:rsidRPr="00622A35">
        <w:rPr>
          <w:i/>
          <w:iCs/>
        </w:rPr>
        <w:t>Journal of Education and Practice, 7</w:t>
      </w:r>
      <w:r w:rsidRPr="00622A35">
        <w:t>(15), 16–23.</w:t>
      </w:r>
    </w:p>
    <w:p w14:paraId="5CF351A0" w14:textId="77777777" w:rsidR="00622A35" w:rsidRPr="00622A35" w:rsidRDefault="00622A35" w:rsidP="00617047">
      <w:pPr>
        <w:ind w:left="720" w:hanging="720"/>
        <w:jc w:val="both"/>
      </w:pPr>
      <w:r w:rsidRPr="00622A35">
        <w:t xml:space="preserve">Pei-Boon, O., Marzuki, N. A., Jaafar, W. M. W., Chin-Siang, A., &amp; Nee-Nee, C. L. (2020). Psychometric properties of the sources of counseling self-efficacy in a sample of Malaysian secondary school counselors. </w:t>
      </w:r>
      <w:r w:rsidRPr="00622A35">
        <w:rPr>
          <w:i/>
          <w:iCs/>
        </w:rPr>
        <w:t>International Journal of Instruction, 13</w:t>
      </w:r>
      <w:r w:rsidRPr="00622A35">
        <w:t>(1), 143–160. https://doi.org/10.29333/iji.2020.13110a</w:t>
      </w:r>
    </w:p>
    <w:p w14:paraId="7D8F44DB" w14:textId="77777777" w:rsidR="00622A35" w:rsidRPr="00622A35" w:rsidRDefault="00622A35" w:rsidP="00617047">
      <w:pPr>
        <w:ind w:left="720" w:hanging="720"/>
        <w:jc w:val="both"/>
      </w:pPr>
      <w:r w:rsidRPr="00622A35">
        <w:t xml:space="preserve">Resnick, M. D., Bearman, P. S., Blum, R. W., Bauman, K. E., Harris, K. M., Jones, J., … </w:t>
      </w:r>
      <w:proofErr w:type="spellStart"/>
      <w:r w:rsidRPr="00622A35">
        <w:t>Udry</w:t>
      </w:r>
      <w:proofErr w:type="spellEnd"/>
      <w:r w:rsidRPr="00622A35">
        <w:t xml:space="preserve">, J. R. (1997). Protecting adolescents from harm: Findings from the National Longitudinal Study on Adolescent Health. </w:t>
      </w:r>
      <w:r w:rsidRPr="00622A35">
        <w:rPr>
          <w:i/>
          <w:iCs/>
        </w:rPr>
        <w:t>JAMA, 278</w:t>
      </w:r>
      <w:r w:rsidRPr="00622A35">
        <w:t>(10), 823–832. https://doi.org/10.1001/jama.1997.03550100049038</w:t>
      </w:r>
    </w:p>
    <w:p w14:paraId="7C518EAD" w14:textId="77777777" w:rsidR="00622A35" w:rsidRPr="00622A35" w:rsidRDefault="00622A35" w:rsidP="00617047">
      <w:pPr>
        <w:ind w:left="720" w:hanging="720"/>
        <w:jc w:val="both"/>
      </w:pPr>
      <w:r w:rsidRPr="00622A35">
        <w:t xml:space="preserve">Warui, M. W. (2018). The status and challenges of guidance and counselling </w:t>
      </w:r>
      <w:proofErr w:type="spellStart"/>
      <w:r w:rsidRPr="00622A35">
        <w:t>programme</w:t>
      </w:r>
      <w:proofErr w:type="spellEnd"/>
      <w:r w:rsidRPr="00622A35">
        <w:t xml:space="preserve"> in discipline management in public secondary schools in Kiambu County, Kenya. </w:t>
      </w:r>
      <w:r w:rsidRPr="00622A35">
        <w:rPr>
          <w:i/>
          <w:iCs/>
        </w:rPr>
        <w:t>Journal of Education and Practice, 9</w:t>
      </w:r>
      <w:r w:rsidRPr="00622A35">
        <w:t>(21), 92–101.</w:t>
      </w:r>
    </w:p>
    <w:p w14:paraId="5FDB6C45" w14:textId="77777777" w:rsidR="00622A35" w:rsidRPr="00622A35" w:rsidRDefault="00622A35" w:rsidP="00617047">
      <w:pPr>
        <w:ind w:left="720" w:hanging="720"/>
        <w:jc w:val="both"/>
      </w:pPr>
      <w:r w:rsidRPr="00622A35">
        <w:t xml:space="preserve">Welsh, R. O., &amp; Little, S. (2018). The school discipline dilemma: A comprehensive review of disparities and alternative approaches. </w:t>
      </w:r>
      <w:r w:rsidRPr="00622A35">
        <w:rPr>
          <w:i/>
          <w:iCs/>
        </w:rPr>
        <w:t>Review of Educational Research, 88</w:t>
      </w:r>
      <w:r w:rsidRPr="00622A35">
        <w:t>(5), 752–794. https://doi.org/10.3102/0034654318791582</w:t>
      </w:r>
    </w:p>
    <w:p w14:paraId="7FD582C8" w14:textId="77777777" w:rsidR="00622A35" w:rsidRPr="00622A35" w:rsidRDefault="00622A35" w:rsidP="00617047">
      <w:pPr>
        <w:ind w:left="720" w:hanging="720"/>
        <w:jc w:val="both"/>
      </w:pPr>
      <w:r w:rsidRPr="00622A35">
        <w:t xml:space="preserve">Williams, M., Lewis, J., Glass, R., Butler, B., &amp; Lim, S. (2020). The discipline gatekeeper: Assistant principals’ experiences with managing school discipline in urban middle schools. </w:t>
      </w:r>
      <w:r w:rsidRPr="00622A35">
        <w:rPr>
          <w:i/>
          <w:iCs/>
        </w:rPr>
        <w:t>Urban Education, 55</w:t>
      </w:r>
      <w:r w:rsidRPr="00622A35">
        <w:t>(8–9), 1201–1232. https://doi.org/10.1177/0042085916650108</w:t>
      </w:r>
    </w:p>
    <w:p w14:paraId="3D072C31" w14:textId="77777777" w:rsidR="00622A35" w:rsidRPr="00032A9F" w:rsidRDefault="00622A35" w:rsidP="00617047">
      <w:pPr>
        <w:ind w:left="720" w:hanging="720"/>
        <w:jc w:val="both"/>
      </w:pPr>
    </w:p>
    <w:sectPr w:rsidR="00622A35" w:rsidRPr="00032A9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1A6F0" w14:textId="77777777" w:rsidR="00C63546" w:rsidRDefault="00C63546" w:rsidP="009971CA">
      <w:pPr>
        <w:spacing w:after="0" w:line="240" w:lineRule="auto"/>
      </w:pPr>
      <w:r>
        <w:separator/>
      </w:r>
    </w:p>
  </w:endnote>
  <w:endnote w:type="continuationSeparator" w:id="0">
    <w:p w14:paraId="5F83109A" w14:textId="77777777" w:rsidR="00C63546" w:rsidRDefault="00C63546" w:rsidP="0099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1321" w14:textId="77777777" w:rsidR="00F07CFA" w:rsidRDefault="00F0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95D4" w14:textId="77777777" w:rsidR="00F07CFA" w:rsidRDefault="00F0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ACF94" w14:textId="77777777" w:rsidR="00F07CFA" w:rsidRDefault="00F0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DBC45" w14:textId="77777777" w:rsidR="00C63546" w:rsidRDefault="00C63546" w:rsidP="009971CA">
      <w:pPr>
        <w:spacing w:after="0" w:line="240" w:lineRule="auto"/>
      </w:pPr>
      <w:r>
        <w:separator/>
      </w:r>
    </w:p>
  </w:footnote>
  <w:footnote w:type="continuationSeparator" w:id="0">
    <w:p w14:paraId="6327F630" w14:textId="77777777" w:rsidR="00C63546" w:rsidRDefault="00C63546" w:rsidP="00997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EF2F" w14:textId="229D065F" w:rsidR="00F07CFA" w:rsidRDefault="00F07CFA">
    <w:pPr>
      <w:pStyle w:val="Header"/>
    </w:pPr>
    <w:r>
      <w:rPr>
        <w:noProof/>
      </w:rPr>
      <w:pict w14:anchorId="7BCA7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7862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DE351" w14:textId="025C5EC9" w:rsidR="009971CA" w:rsidRDefault="00F07CFA">
    <w:pPr>
      <w:pStyle w:val="Header"/>
      <w:jc w:val="right"/>
    </w:pPr>
    <w:r>
      <w:rPr>
        <w:noProof/>
      </w:rPr>
      <w:pict w14:anchorId="72F02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78628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438267986"/>
        <w:docPartObj>
          <w:docPartGallery w:val="Page Numbers (Top of Page)"/>
          <w:docPartUnique/>
        </w:docPartObj>
      </w:sdtPr>
      <w:sdtEndPr>
        <w:rPr>
          <w:noProof/>
        </w:rPr>
      </w:sdtEndPr>
      <w:sdtContent>
        <w:r w:rsidR="009971CA">
          <w:fldChar w:fldCharType="begin"/>
        </w:r>
        <w:r w:rsidR="009971CA">
          <w:instrText xml:space="preserve"> PAGE   \* MERGEFORMAT </w:instrText>
        </w:r>
        <w:r w:rsidR="009971CA">
          <w:fldChar w:fldCharType="separate"/>
        </w:r>
        <w:r w:rsidR="00907B5C">
          <w:rPr>
            <w:noProof/>
          </w:rPr>
          <w:t>25</w:t>
        </w:r>
        <w:r w:rsidR="009971CA">
          <w:rPr>
            <w:noProof/>
          </w:rPr>
          <w:fldChar w:fldCharType="end"/>
        </w:r>
      </w:sdtContent>
    </w:sdt>
  </w:p>
  <w:p w14:paraId="28166C06" w14:textId="77777777" w:rsidR="009971CA" w:rsidRDefault="00997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C6F4" w14:textId="58C0516D" w:rsidR="00F07CFA" w:rsidRDefault="00F07CFA">
    <w:pPr>
      <w:pStyle w:val="Header"/>
    </w:pPr>
    <w:r>
      <w:rPr>
        <w:noProof/>
      </w:rPr>
      <w:pict w14:anchorId="754AF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7862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0041"/>
    <w:multiLevelType w:val="multilevel"/>
    <w:tmpl w:val="E9448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CA5F1A"/>
    <w:multiLevelType w:val="multilevel"/>
    <w:tmpl w:val="5620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F4D8C"/>
    <w:multiLevelType w:val="multilevel"/>
    <w:tmpl w:val="975E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ED36EF"/>
    <w:multiLevelType w:val="multilevel"/>
    <w:tmpl w:val="6D22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A60C6"/>
    <w:multiLevelType w:val="multilevel"/>
    <w:tmpl w:val="9554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758F4"/>
    <w:multiLevelType w:val="multilevel"/>
    <w:tmpl w:val="C8FC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AE"/>
    <w:rsid w:val="00003C75"/>
    <w:rsid w:val="00032A9F"/>
    <w:rsid w:val="0024627E"/>
    <w:rsid w:val="002854C6"/>
    <w:rsid w:val="002C67B9"/>
    <w:rsid w:val="003206FD"/>
    <w:rsid w:val="00396D9B"/>
    <w:rsid w:val="004406FD"/>
    <w:rsid w:val="00617047"/>
    <w:rsid w:val="00622A35"/>
    <w:rsid w:val="00632F36"/>
    <w:rsid w:val="007803C5"/>
    <w:rsid w:val="007E5E11"/>
    <w:rsid w:val="0082451F"/>
    <w:rsid w:val="00864738"/>
    <w:rsid w:val="00907B5C"/>
    <w:rsid w:val="00924C09"/>
    <w:rsid w:val="00952BAE"/>
    <w:rsid w:val="009708B7"/>
    <w:rsid w:val="009971CA"/>
    <w:rsid w:val="00AF4650"/>
    <w:rsid w:val="00B010BF"/>
    <w:rsid w:val="00B674A3"/>
    <w:rsid w:val="00C63546"/>
    <w:rsid w:val="00D222CB"/>
    <w:rsid w:val="00ED722F"/>
    <w:rsid w:val="00EF6F97"/>
    <w:rsid w:val="00F07CFA"/>
    <w:rsid w:val="00F3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D6EB7F"/>
  <w15:chartTrackingRefBased/>
  <w15:docId w15:val="{2795564D-733A-4002-95BB-42CC9D2C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1CA"/>
  </w:style>
  <w:style w:type="paragraph" w:styleId="Footer">
    <w:name w:val="footer"/>
    <w:basedOn w:val="Normal"/>
    <w:link w:val="FooterChar"/>
    <w:uiPriority w:val="99"/>
    <w:unhideWhenUsed/>
    <w:rsid w:val="00997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1CA"/>
  </w:style>
  <w:style w:type="table" w:styleId="TableGrid">
    <w:name w:val="Table Grid"/>
    <w:basedOn w:val="TableNormal"/>
    <w:uiPriority w:val="59"/>
    <w:rsid w:val="00997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51F"/>
    <w:pPr>
      <w:ind w:left="720"/>
      <w:contextualSpacing/>
    </w:pPr>
  </w:style>
  <w:style w:type="character" w:styleId="Hyperlink">
    <w:name w:val="Hyperlink"/>
    <w:basedOn w:val="DefaultParagraphFont"/>
    <w:uiPriority w:val="99"/>
    <w:unhideWhenUsed/>
    <w:rsid w:val="00003C75"/>
    <w:rPr>
      <w:color w:val="0000FF" w:themeColor="hyperlink"/>
      <w:u w:val="single"/>
    </w:rPr>
  </w:style>
  <w:style w:type="character" w:styleId="UnresolvedMention">
    <w:name w:val="Unresolved Mention"/>
    <w:basedOn w:val="DefaultParagraphFont"/>
    <w:uiPriority w:val="99"/>
    <w:semiHidden/>
    <w:unhideWhenUsed/>
    <w:rsid w:val="00003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1801">
      <w:bodyDiv w:val="1"/>
      <w:marLeft w:val="0"/>
      <w:marRight w:val="0"/>
      <w:marTop w:val="0"/>
      <w:marBottom w:val="0"/>
      <w:divBdr>
        <w:top w:val="none" w:sz="0" w:space="0" w:color="auto"/>
        <w:left w:val="none" w:sz="0" w:space="0" w:color="auto"/>
        <w:bottom w:val="none" w:sz="0" w:space="0" w:color="auto"/>
        <w:right w:val="none" w:sz="0" w:space="0" w:color="auto"/>
      </w:divBdr>
      <w:divsChild>
        <w:div w:id="3738485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936568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539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492634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724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198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40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049">
          <w:marLeft w:val="0"/>
          <w:marRight w:val="0"/>
          <w:marTop w:val="0"/>
          <w:marBottom w:val="0"/>
          <w:divBdr>
            <w:top w:val="none" w:sz="0" w:space="0" w:color="auto"/>
            <w:left w:val="none" w:sz="0" w:space="0" w:color="auto"/>
            <w:bottom w:val="none" w:sz="0" w:space="0" w:color="auto"/>
            <w:right w:val="none" w:sz="0" w:space="0" w:color="auto"/>
          </w:divBdr>
          <w:divsChild>
            <w:div w:id="5503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2902">
      <w:bodyDiv w:val="1"/>
      <w:marLeft w:val="0"/>
      <w:marRight w:val="0"/>
      <w:marTop w:val="0"/>
      <w:marBottom w:val="0"/>
      <w:divBdr>
        <w:top w:val="none" w:sz="0" w:space="0" w:color="auto"/>
        <w:left w:val="none" w:sz="0" w:space="0" w:color="auto"/>
        <w:bottom w:val="none" w:sz="0" w:space="0" w:color="auto"/>
        <w:right w:val="none" w:sz="0" w:space="0" w:color="auto"/>
      </w:divBdr>
    </w:div>
    <w:div w:id="667484538">
      <w:bodyDiv w:val="1"/>
      <w:marLeft w:val="0"/>
      <w:marRight w:val="0"/>
      <w:marTop w:val="0"/>
      <w:marBottom w:val="0"/>
      <w:divBdr>
        <w:top w:val="none" w:sz="0" w:space="0" w:color="auto"/>
        <w:left w:val="none" w:sz="0" w:space="0" w:color="auto"/>
        <w:bottom w:val="none" w:sz="0" w:space="0" w:color="auto"/>
        <w:right w:val="none" w:sz="0" w:space="0" w:color="auto"/>
      </w:divBdr>
    </w:div>
    <w:div w:id="763307474">
      <w:bodyDiv w:val="1"/>
      <w:marLeft w:val="0"/>
      <w:marRight w:val="0"/>
      <w:marTop w:val="0"/>
      <w:marBottom w:val="0"/>
      <w:divBdr>
        <w:top w:val="none" w:sz="0" w:space="0" w:color="auto"/>
        <w:left w:val="none" w:sz="0" w:space="0" w:color="auto"/>
        <w:bottom w:val="none" w:sz="0" w:space="0" w:color="auto"/>
        <w:right w:val="none" w:sz="0" w:space="0" w:color="auto"/>
      </w:divBdr>
    </w:div>
    <w:div w:id="784423873">
      <w:bodyDiv w:val="1"/>
      <w:marLeft w:val="0"/>
      <w:marRight w:val="0"/>
      <w:marTop w:val="0"/>
      <w:marBottom w:val="0"/>
      <w:divBdr>
        <w:top w:val="none" w:sz="0" w:space="0" w:color="auto"/>
        <w:left w:val="none" w:sz="0" w:space="0" w:color="auto"/>
        <w:bottom w:val="none" w:sz="0" w:space="0" w:color="auto"/>
        <w:right w:val="none" w:sz="0" w:space="0" w:color="auto"/>
      </w:divBdr>
    </w:div>
    <w:div w:id="1337001027">
      <w:bodyDiv w:val="1"/>
      <w:marLeft w:val="0"/>
      <w:marRight w:val="0"/>
      <w:marTop w:val="0"/>
      <w:marBottom w:val="0"/>
      <w:divBdr>
        <w:top w:val="none" w:sz="0" w:space="0" w:color="auto"/>
        <w:left w:val="none" w:sz="0" w:space="0" w:color="auto"/>
        <w:bottom w:val="none" w:sz="0" w:space="0" w:color="auto"/>
        <w:right w:val="none" w:sz="0" w:space="0" w:color="auto"/>
      </w:divBdr>
    </w:div>
    <w:div w:id="1505120643">
      <w:bodyDiv w:val="1"/>
      <w:marLeft w:val="0"/>
      <w:marRight w:val="0"/>
      <w:marTop w:val="0"/>
      <w:marBottom w:val="0"/>
      <w:divBdr>
        <w:top w:val="none" w:sz="0" w:space="0" w:color="auto"/>
        <w:left w:val="none" w:sz="0" w:space="0" w:color="auto"/>
        <w:bottom w:val="none" w:sz="0" w:space="0" w:color="auto"/>
        <w:right w:val="none" w:sz="0" w:space="0" w:color="auto"/>
      </w:divBdr>
      <w:divsChild>
        <w:div w:id="905191614">
          <w:marLeft w:val="0"/>
          <w:marRight w:val="0"/>
          <w:marTop w:val="0"/>
          <w:marBottom w:val="0"/>
          <w:divBdr>
            <w:top w:val="none" w:sz="0" w:space="0" w:color="auto"/>
            <w:left w:val="none" w:sz="0" w:space="0" w:color="auto"/>
            <w:bottom w:val="none" w:sz="0" w:space="0" w:color="auto"/>
            <w:right w:val="none" w:sz="0" w:space="0" w:color="auto"/>
          </w:divBdr>
          <w:divsChild>
            <w:div w:id="2014643946">
              <w:marLeft w:val="0"/>
              <w:marRight w:val="0"/>
              <w:marTop w:val="0"/>
              <w:marBottom w:val="0"/>
              <w:divBdr>
                <w:top w:val="none" w:sz="0" w:space="0" w:color="auto"/>
                <w:left w:val="none" w:sz="0" w:space="0" w:color="auto"/>
                <w:bottom w:val="none" w:sz="0" w:space="0" w:color="auto"/>
                <w:right w:val="none" w:sz="0" w:space="0" w:color="auto"/>
              </w:divBdr>
            </w:div>
          </w:divsChild>
        </w:div>
        <w:div w:id="1191336231">
          <w:marLeft w:val="0"/>
          <w:marRight w:val="0"/>
          <w:marTop w:val="0"/>
          <w:marBottom w:val="0"/>
          <w:divBdr>
            <w:top w:val="none" w:sz="0" w:space="0" w:color="auto"/>
            <w:left w:val="none" w:sz="0" w:space="0" w:color="auto"/>
            <w:bottom w:val="none" w:sz="0" w:space="0" w:color="auto"/>
            <w:right w:val="none" w:sz="0" w:space="0" w:color="auto"/>
          </w:divBdr>
          <w:divsChild>
            <w:div w:id="8255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895">
      <w:bodyDiv w:val="1"/>
      <w:marLeft w:val="0"/>
      <w:marRight w:val="0"/>
      <w:marTop w:val="0"/>
      <w:marBottom w:val="0"/>
      <w:divBdr>
        <w:top w:val="none" w:sz="0" w:space="0" w:color="auto"/>
        <w:left w:val="none" w:sz="0" w:space="0" w:color="auto"/>
        <w:bottom w:val="none" w:sz="0" w:space="0" w:color="auto"/>
        <w:right w:val="none" w:sz="0" w:space="0" w:color="auto"/>
      </w:divBdr>
    </w:div>
    <w:div w:id="1710763113">
      <w:bodyDiv w:val="1"/>
      <w:marLeft w:val="0"/>
      <w:marRight w:val="0"/>
      <w:marTop w:val="0"/>
      <w:marBottom w:val="0"/>
      <w:divBdr>
        <w:top w:val="none" w:sz="0" w:space="0" w:color="auto"/>
        <w:left w:val="none" w:sz="0" w:space="0" w:color="auto"/>
        <w:bottom w:val="none" w:sz="0" w:space="0" w:color="auto"/>
        <w:right w:val="none" w:sz="0" w:space="0" w:color="auto"/>
      </w:divBdr>
      <w:divsChild>
        <w:div w:id="2035882412">
          <w:marLeft w:val="0"/>
          <w:marRight w:val="0"/>
          <w:marTop w:val="0"/>
          <w:marBottom w:val="0"/>
          <w:divBdr>
            <w:top w:val="none" w:sz="0" w:space="0" w:color="auto"/>
            <w:left w:val="none" w:sz="0" w:space="0" w:color="auto"/>
            <w:bottom w:val="none" w:sz="0" w:space="0" w:color="auto"/>
            <w:right w:val="none" w:sz="0" w:space="0" w:color="auto"/>
          </w:divBdr>
          <w:divsChild>
            <w:div w:id="14477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3186">
      <w:bodyDiv w:val="1"/>
      <w:marLeft w:val="0"/>
      <w:marRight w:val="0"/>
      <w:marTop w:val="0"/>
      <w:marBottom w:val="0"/>
      <w:divBdr>
        <w:top w:val="none" w:sz="0" w:space="0" w:color="auto"/>
        <w:left w:val="none" w:sz="0" w:space="0" w:color="auto"/>
        <w:bottom w:val="none" w:sz="0" w:space="0" w:color="auto"/>
        <w:right w:val="none" w:sz="0" w:space="0" w:color="auto"/>
      </w:divBdr>
    </w:div>
    <w:div w:id="1811626368">
      <w:bodyDiv w:val="1"/>
      <w:marLeft w:val="0"/>
      <w:marRight w:val="0"/>
      <w:marTop w:val="0"/>
      <w:marBottom w:val="0"/>
      <w:divBdr>
        <w:top w:val="none" w:sz="0" w:space="0" w:color="auto"/>
        <w:left w:val="none" w:sz="0" w:space="0" w:color="auto"/>
        <w:bottom w:val="none" w:sz="0" w:space="0" w:color="auto"/>
        <w:right w:val="none" w:sz="0" w:space="0" w:color="auto"/>
      </w:divBdr>
    </w:div>
    <w:div w:id="2041661380">
      <w:bodyDiv w:val="1"/>
      <w:marLeft w:val="0"/>
      <w:marRight w:val="0"/>
      <w:marTop w:val="0"/>
      <w:marBottom w:val="0"/>
      <w:divBdr>
        <w:top w:val="none" w:sz="0" w:space="0" w:color="auto"/>
        <w:left w:val="none" w:sz="0" w:space="0" w:color="auto"/>
        <w:bottom w:val="none" w:sz="0" w:space="0" w:color="auto"/>
        <w:right w:val="none" w:sz="0" w:space="0" w:color="auto"/>
      </w:divBdr>
    </w:div>
    <w:div w:id="2057006043">
      <w:bodyDiv w:val="1"/>
      <w:marLeft w:val="0"/>
      <w:marRight w:val="0"/>
      <w:marTop w:val="0"/>
      <w:marBottom w:val="0"/>
      <w:divBdr>
        <w:top w:val="none" w:sz="0" w:space="0" w:color="auto"/>
        <w:left w:val="none" w:sz="0" w:space="0" w:color="auto"/>
        <w:bottom w:val="none" w:sz="0" w:space="0" w:color="auto"/>
        <w:right w:val="none" w:sz="0" w:space="0" w:color="auto"/>
      </w:divBdr>
      <w:divsChild>
        <w:div w:id="706221275">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66925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8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43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2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94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Cate%20Gatwiri%20Works\final-Data%20Analysi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Cate%20Gatwiri%20Works\final-Data%20Analysi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Cate%20Gatwiri%20Works\final-Data%20Analysis-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esktop\Cate%20Gatwiri%20Works\final-Data%20Analysis-Book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solidFill>
          <a:schemeClr val="accent4">
            <a:lumMod val="20000"/>
            <a:lumOff val="80000"/>
          </a:schemeClr>
        </a:solidFill>
        <a:ln>
          <a:noFill/>
        </a:ln>
        <a:effectLst/>
        <a:sp3d/>
      </c:spPr>
    </c:sideWall>
    <c:backWall>
      <c:thickness val="0"/>
      <c:spPr>
        <a:solidFill>
          <a:schemeClr val="accent4">
            <a:lumMod val="20000"/>
            <a:lumOff val="80000"/>
          </a:schemeClr>
        </a:solidFill>
        <a:ln>
          <a:noFill/>
        </a:ln>
        <a:effectLst/>
        <a:sp3d/>
      </c:spPr>
    </c:backWall>
    <c:plotArea>
      <c:layout/>
      <c:bar3DChart>
        <c:barDir val="col"/>
        <c:grouping val="clustered"/>
        <c:varyColors val="0"/>
        <c:ser>
          <c:idx val="0"/>
          <c:order val="0"/>
          <c:tx>
            <c:strRef>
              <c:f>Sheet6!$C$6</c:f>
              <c:strCache>
                <c:ptCount val="1"/>
                <c:pt idx="0">
                  <c:v>Male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Sheet6!$D$5:$H$5</c:f>
              <c:strCache>
                <c:ptCount val="5"/>
                <c:pt idx="0">
                  <c:v>Day</c:v>
                </c:pt>
                <c:pt idx="1">
                  <c:v>Mixed day/boarding</c:v>
                </c:pt>
                <c:pt idx="2">
                  <c:v>Mixed boarding</c:v>
                </c:pt>
                <c:pt idx="3">
                  <c:v>Girls boarding</c:v>
                </c:pt>
                <c:pt idx="4">
                  <c:v>Boys boarding</c:v>
                </c:pt>
              </c:strCache>
            </c:strRef>
          </c:cat>
          <c:val>
            <c:numRef>
              <c:f>Sheet6!$D$6:$H$6</c:f>
              <c:numCache>
                <c:formatCode>###0.0%</c:formatCode>
                <c:ptCount val="5"/>
                <c:pt idx="0">
                  <c:v>4.5092838196286469E-2</c:v>
                </c:pt>
                <c:pt idx="1">
                  <c:v>2.6525198938992044E-2</c:v>
                </c:pt>
                <c:pt idx="2">
                  <c:v>1.0610079575596816E-2</c:v>
                </c:pt>
                <c:pt idx="3" formatCode="####.0%">
                  <c:v>5.3050397877984082E-3</c:v>
                </c:pt>
                <c:pt idx="4">
                  <c:v>0.49867374005305037</c:v>
                </c:pt>
              </c:numCache>
            </c:numRef>
          </c:val>
          <c:extLst>
            <c:ext xmlns:c16="http://schemas.microsoft.com/office/drawing/2014/chart" uri="{C3380CC4-5D6E-409C-BE32-E72D297353CC}">
              <c16:uniqueId val="{00000000-68A5-4625-BF22-9E547D5B58D4}"/>
            </c:ext>
          </c:extLst>
        </c:ser>
        <c:ser>
          <c:idx val="1"/>
          <c:order val="1"/>
          <c:tx>
            <c:strRef>
              <c:f>Sheet6!$C$7</c:f>
              <c:strCache>
                <c:ptCount val="1"/>
                <c:pt idx="0">
                  <c:v>Female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Sheet6!$D$5:$H$5</c:f>
              <c:strCache>
                <c:ptCount val="5"/>
                <c:pt idx="0">
                  <c:v>Day</c:v>
                </c:pt>
                <c:pt idx="1">
                  <c:v>Mixed day/boarding</c:v>
                </c:pt>
                <c:pt idx="2">
                  <c:v>Mixed boarding</c:v>
                </c:pt>
                <c:pt idx="3">
                  <c:v>Girls boarding</c:v>
                </c:pt>
                <c:pt idx="4">
                  <c:v>Boys boarding</c:v>
                </c:pt>
              </c:strCache>
            </c:strRef>
          </c:cat>
          <c:val>
            <c:numRef>
              <c:f>Sheet6!$D$7:$H$7</c:f>
              <c:numCache>
                <c:formatCode>####.0%</c:formatCode>
                <c:ptCount val="5"/>
                <c:pt idx="0" formatCode="###0.0%">
                  <c:v>9.0185676392572939E-2</c:v>
                </c:pt>
                <c:pt idx="1">
                  <c:v>5.3050397877984082E-3</c:v>
                </c:pt>
                <c:pt idx="2" formatCode="###0.0%">
                  <c:v>2.1220159151193633E-2</c:v>
                </c:pt>
                <c:pt idx="3" formatCode="###0.0%">
                  <c:v>0.29708222811671087</c:v>
                </c:pt>
              </c:numCache>
            </c:numRef>
          </c:val>
          <c:extLst>
            <c:ext xmlns:c16="http://schemas.microsoft.com/office/drawing/2014/chart" uri="{C3380CC4-5D6E-409C-BE32-E72D297353CC}">
              <c16:uniqueId val="{00000001-68A5-4625-BF22-9E547D5B58D4}"/>
            </c:ext>
          </c:extLst>
        </c:ser>
        <c:ser>
          <c:idx val="2"/>
          <c:order val="2"/>
          <c:tx>
            <c:strRef>
              <c:f>Sheet6!$C$8</c:f>
              <c:strCache>
                <c:ptCount val="1"/>
                <c:pt idx="0">
                  <c:v>% Total Across School Type</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Sheet6!$D$5:$H$5</c:f>
              <c:strCache>
                <c:ptCount val="5"/>
                <c:pt idx="0">
                  <c:v>Day</c:v>
                </c:pt>
                <c:pt idx="1">
                  <c:v>Mixed day/boarding</c:v>
                </c:pt>
                <c:pt idx="2">
                  <c:v>Mixed boarding</c:v>
                </c:pt>
                <c:pt idx="3">
                  <c:v>Girls boarding</c:v>
                </c:pt>
                <c:pt idx="4">
                  <c:v>Boys boarding</c:v>
                </c:pt>
              </c:strCache>
            </c:strRef>
          </c:cat>
          <c:val>
            <c:numRef>
              <c:f>Sheet6!$D$8:$H$8</c:f>
              <c:numCache>
                <c:formatCode>###0.0%</c:formatCode>
                <c:ptCount val="5"/>
                <c:pt idx="0">
                  <c:v>0.13527851458885942</c:v>
                </c:pt>
                <c:pt idx="1">
                  <c:v>3.1830238726790451E-2</c:v>
                </c:pt>
                <c:pt idx="2">
                  <c:v>3.1830238726790451E-2</c:v>
                </c:pt>
                <c:pt idx="3">
                  <c:v>0.30238726790450926</c:v>
                </c:pt>
                <c:pt idx="4">
                  <c:v>0.49867374005305037</c:v>
                </c:pt>
              </c:numCache>
            </c:numRef>
          </c:val>
          <c:extLst>
            <c:ext xmlns:c16="http://schemas.microsoft.com/office/drawing/2014/chart" uri="{C3380CC4-5D6E-409C-BE32-E72D297353CC}">
              <c16:uniqueId val="{00000002-68A5-4625-BF22-9E547D5B58D4}"/>
            </c:ext>
          </c:extLst>
        </c:ser>
        <c:dLbls>
          <c:showLegendKey val="0"/>
          <c:showVal val="1"/>
          <c:showCatName val="0"/>
          <c:showSerName val="0"/>
          <c:showPercent val="0"/>
          <c:showBubbleSize val="0"/>
        </c:dLbls>
        <c:gapWidth val="150"/>
        <c:shape val="box"/>
        <c:axId val="1179117663"/>
        <c:axId val="1179118143"/>
        <c:axId val="0"/>
      </c:bar3DChart>
      <c:catAx>
        <c:axId val="11791176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79118143"/>
        <c:crosses val="autoZero"/>
        <c:auto val="1"/>
        <c:lblAlgn val="ctr"/>
        <c:lblOffset val="100"/>
        <c:noMultiLvlLbl val="0"/>
      </c:catAx>
      <c:valAx>
        <c:axId val="1179118143"/>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79117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Sheet7!$D$5</c:f>
              <c:strCache>
                <c:ptCount val="1"/>
                <c:pt idx="0">
                  <c:v>Form Three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Sheet7!$C$6:$C$8</c:f>
              <c:strCache>
                <c:ptCount val="3"/>
                <c:pt idx="0">
                  <c:v>Male</c:v>
                </c:pt>
                <c:pt idx="1">
                  <c:v>Female</c:v>
                </c:pt>
                <c:pt idx="2">
                  <c:v>% Total Across Class Level</c:v>
                </c:pt>
              </c:strCache>
            </c:strRef>
          </c:cat>
          <c:val>
            <c:numRef>
              <c:f>Sheet7!$D$6:$D$8</c:f>
              <c:numCache>
                <c:formatCode>###0.0%</c:formatCode>
                <c:ptCount val="3"/>
                <c:pt idx="0">
                  <c:v>0.22015915119363394</c:v>
                </c:pt>
                <c:pt idx="1">
                  <c:v>0.19098143236074269</c:v>
                </c:pt>
                <c:pt idx="2">
                  <c:v>0.41114058355437666</c:v>
                </c:pt>
              </c:numCache>
            </c:numRef>
          </c:val>
          <c:extLst>
            <c:ext xmlns:c16="http://schemas.microsoft.com/office/drawing/2014/chart" uri="{C3380CC4-5D6E-409C-BE32-E72D297353CC}">
              <c16:uniqueId val="{00000000-1FC8-48D0-8849-B716A0E7DCDD}"/>
            </c:ext>
          </c:extLst>
        </c:ser>
        <c:ser>
          <c:idx val="1"/>
          <c:order val="1"/>
          <c:tx>
            <c:strRef>
              <c:f>Sheet7!$E$5</c:f>
              <c:strCache>
                <c:ptCount val="1"/>
                <c:pt idx="0">
                  <c:v>Form Four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Sheet7!$C$6:$C$8</c:f>
              <c:strCache>
                <c:ptCount val="3"/>
                <c:pt idx="0">
                  <c:v>Male</c:v>
                </c:pt>
                <c:pt idx="1">
                  <c:v>Female</c:v>
                </c:pt>
                <c:pt idx="2">
                  <c:v>% Total Across Class Level</c:v>
                </c:pt>
              </c:strCache>
            </c:strRef>
          </c:cat>
          <c:val>
            <c:numRef>
              <c:f>Sheet7!$E$6:$E$8</c:f>
              <c:numCache>
                <c:formatCode>###0.0%</c:formatCode>
                <c:ptCount val="3"/>
                <c:pt idx="0">
                  <c:v>0.3660477453580902</c:v>
                </c:pt>
                <c:pt idx="1">
                  <c:v>0.22281167108753316</c:v>
                </c:pt>
                <c:pt idx="2">
                  <c:v>0.58885941644562334</c:v>
                </c:pt>
              </c:numCache>
            </c:numRef>
          </c:val>
          <c:extLst>
            <c:ext xmlns:c16="http://schemas.microsoft.com/office/drawing/2014/chart" uri="{C3380CC4-5D6E-409C-BE32-E72D297353CC}">
              <c16:uniqueId val="{00000001-1FC8-48D0-8849-B716A0E7DCDD}"/>
            </c:ext>
          </c:extLst>
        </c:ser>
        <c:dLbls>
          <c:dLblPos val="outEnd"/>
          <c:showLegendKey val="0"/>
          <c:showVal val="1"/>
          <c:showCatName val="0"/>
          <c:showSerName val="0"/>
          <c:showPercent val="0"/>
          <c:showBubbleSize val="0"/>
        </c:dLbls>
        <c:gapWidth val="219"/>
        <c:overlap val="-27"/>
        <c:axId val="1425403839"/>
        <c:axId val="1426037167"/>
      </c:barChart>
      <c:catAx>
        <c:axId val="14254038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6037167"/>
        <c:crosses val="autoZero"/>
        <c:auto val="1"/>
        <c:lblAlgn val="ctr"/>
        <c:lblOffset val="100"/>
        <c:noMultiLvlLbl val="0"/>
      </c:catAx>
      <c:valAx>
        <c:axId val="1426037167"/>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5403839"/>
        <c:crosses val="autoZero"/>
        <c:crossBetween val="between"/>
      </c:valAx>
      <c:spPr>
        <a:solidFill>
          <a:schemeClr val="accent5">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Sheet8!$E$5</c:f>
              <c:strCache>
                <c:ptCount val="1"/>
                <c:pt idx="0">
                  <c:v>Less than 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Sheet8!$C$6:$D$11</c:f>
              <c:multiLvlStrCache>
                <c:ptCount val="6"/>
                <c:lvl>
                  <c:pt idx="0">
                    <c:v>Male</c:v>
                  </c:pt>
                  <c:pt idx="1">
                    <c:v>Female</c:v>
                  </c:pt>
                  <c:pt idx="2">
                    <c:v>Male</c:v>
                  </c:pt>
                  <c:pt idx="3">
                    <c:v>Female</c:v>
                  </c:pt>
                  <c:pt idx="4">
                    <c:v>Male</c:v>
                  </c:pt>
                  <c:pt idx="5">
                    <c:v>Female</c:v>
                  </c:pt>
                </c:lvl>
                <c:lvl>
                  <c:pt idx="0">
                    <c:v>High Connectedness</c:v>
                  </c:pt>
                  <c:pt idx="2">
                    <c:v>Moderate Connectedness</c:v>
                  </c:pt>
                  <c:pt idx="4">
                    <c:v>Low Connectedness</c:v>
                  </c:pt>
                </c:lvl>
              </c:multiLvlStrCache>
            </c:multiLvlStrRef>
          </c:cat>
          <c:val>
            <c:numRef>
              <c:f>Sheet8!$E$6:$E$11</c:f>
              <c:numCache>
                <c:formatCode>General</c:formatCode>
                <c:ptCount val="6"/>
                <c:pt idx="4" formatCode="0.0%">
                  <c:v>2.0408163265306124E-2</c:v>
                </c:pt>
              </c:numCache>
            </c:numRef>
          </c:val>
          <c:extLst>
            <c:ext xmlns:c16="http://schemas.microsoft.com/office/drawing/2014/chart" uri="{C3380CC4-5D6E-409C-BE32-E72D297353CC}">
              <c16:uniqueId val="{00000000-3581-44B4-B7AD-B9E36C89367A}"/>
            </c:ext>
          </c:extLst>
        </c:ser>
        <c:ser>
          <c:idx val="1"/>
          <c:order val="1"/>
          <c:tx>
            <c:strRef>
              <c:f>Sheet8!$F$5</c:f>
              <c:strCache>
                <c:ptCount val="1"/>
                <c:pt idx="0">
                  <c:v>14 - 15 years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Sheet8!$C$6:$D$11</c:f>
              <c:multiLvlStrCache>
                <c:ptCount val="6"/>
                <c:lvl>
                  <c:pt idx="0">
                    <c:v>Male</c:v>
                  </c:pt>
                  <c:pt idx="1">
                    <c:v>Female</c:v>
                  </c:pt>
                  <c:pt idx="2">
                    <c:v>Male</c:v>
                  </c:pt>
                  <c:pt idx="3">
                    <c:v>Female</c:v>
                  </c:pt>
                  <c:pt idx="4">
                    <c:v>Male</c:v>
                  </c:pt>
                  <c:pt idx="5">
                    <c:v>Female</c:v>
                  </c:pt>
                </c:lvl>
                <c:lvl>
                  <c:pt idx="0">
                    <c:v>High Connectedness</c:v>
                  </c:pt>
                  <c:pt idx="2">
                    <c:v>Moderate Connectedness</c:v>
                  </c:pt>
                  <c:pt idx="4">
                    <c:v>Low Connectedness</c:v>
                  </c:pt>
                </c:lvl>
              </c:multiLvlStrCache>
            </c:multiLvlStrRef>
          </c:cat>
          <c:val>
            <c:numRef>
              <c:f>Sheet8!$F$6:$F$11</c:f>
              <c:numCache>
                <c:formatCode>0.0%</c:formatCode>
                <c:ptCount val="6"/>
                <c:pt idx="0">
                  <c:v>1.1764705882352941E-2</c:v>
                </c:pt>
                <c:pt idx="1">
                  <c:v>1.7647058823529412E-2</c:v>
                </c:pt>
                <c:pt idx="2">
                  <c:v>2.7522935779816519E-2</c:v>
                </c:pt>
                <c:pt idx="4">
                  <c:v>2.0408163265306124E-2</c:v>
                </c:pt>
              </c:numCache>
            </c:numRef>
          </c:val>
          <c:extLst>
            <c:ext xmlns:c16="http://schemas.microsoft.com/office/drawing/2014/chart" uri="{C3380CC4-5D6E-409C-BE32-E72D297353CC}">
              <c16:uniqueId val="{00000001-3581-44B4-B7AD-B9E36C89367A}"/>
            </c:ext>
          </c:extLst>
        </c:ser>
        <c:ser>
          <c:idx val="2"/>
          <c:order val="2"/>
          <c:tx>
            <c:strRef>
              <c:f>Sheet8!$G$5</c:f>
              <c:strCache>
                <c:ptCount val="1"/>
                <c:pt idx="0">
                  <c:v>16-17 years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Sheet8!$C$6:$D$11</c:f>
              <c:multiLvlStrCache>
                <c:ptCount val="6"/>
                <c:lvl>
                  <c:pt idx="0">
                    <c:v>Male</c:v>
                  </c:pt>
                  <c:pt idx="1">
                    <c:v>Female</c:v>
                  </c:pt>
                  <c:pt idx="2">
                    <c:v>Male</c:v>
                  </c:pt>
                  <c:pt idx="3">
                    <c:v>Female</c:v>
                  </c:pt>
                  <c:pt idx="4">
                    <c:v>Male</c:v>
                  </c:pt>
                  <c:pt idx="5">
                    <c:v>Female</c:v>
                  </c:pt>
                </c:lvl>
                <c:lvl>
                  <c:pt idx="0">
                    <c:v>High Connectedness</c:v>
                  </c:pt>
                  <c:pt idx="2">
                    <c:v>Moderate Connectedness</c:v>
                  </c:pt>
                  <c:pt idx="4">
                    <c:v>Low Connectedness</c:v>
                  </c:pt>
                </c:lvl>
              </c:multiLvlStrCache>
            </c:multiLvlStrRef>
          </c:cat>
          <c:val>
            <c:numRef>
              <c:f>Sheet8!$G$6:$G$11</c:f>
              <c:numCache>
                <c:formatCode>0.0%</c:formatCode>
                <c:ptCount val="6"/>
                <c:pt idx="0">
                  <c:v>0.22941176470588234</c:v>
                </c:pt>
                <c:pt idx="1">
                  <c:v>0.40588235294117647</c:v>
                </c:pt>
                <c:pt idx="2">
                  <c:v>0.33944954128440374</c:v>
                </c:pt>
                <c:pt idx="3">
                  <c:v>0.25688073394495414</c:v>
                </c:pt>
                <c:pt idx="4">
                  <c:v>0.5</c:v>
                </c:pt>
                <c:pt idx="5">
                  <c:v>9.1836734693877556E-2</c:v>
                </c:pt>
              </c:numCache>
            </c:numRef>
          </c:val>
          <c:extLst>
            <c:ext xmlns:c16="http://schemas.microsoft.com/office/drawing/2014/chart" uri="{C3380CC4-5D6E-409C-BE32-E72D297353CC}">
              <c16:uniqueId val="{00000002-3581-44B4-B7AD-B9E36C89367A}"/>
            </c:ext>
          </c:extLst>
        </c:ser>
        <c:ser>
          <c:idx val="3"/>
          <c:order val="3"/>
          <c:tx>
            <c:strRef>
              <c:f>Sheet8!$H$5</c:f>
              <c:strCache>
                <c:ptCount val="1"/>
                <c:pt idx="0">
                  <c:v>18-19 years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Sheet8!$C$6:$D$11</c:f>
              <c:multiLvlStrCache>
                <c:ptCount val="6"/>
                <c:lvl>
                  <c:pt idx="0">
                    <c:v>Male</c:v>
                  </c:pt>
                  <c:pt idx="1">
                    <c:v>Female</c:v>
                  </c:pt>
                  <c:pt idx="2">
                    <c:v>Male</c:v>
                  </c:pt>
                  <c:pt idx="3">
                    <c:v>Female</c:v>
                  </c:pt>
                  <c:pt idx="4">
                    <c:v>Male</c:v>
                  </c:pt>
                  <c:pt idx="5">
                    <c:v>Female</c:v>
                  </c:pt>
                </c:lvl>
                <c:lvl>
                  <c:pt idx="0">
                    <c:v>High Connectedness</c:v>
                  </c:pt>
                  <c:pt idx="2">
                    <c:v>Moderate Connectedness</c:v>
                  </c:pt>
                  <c:pt idx="4">
                    <c:v>Low Connectedness</c:v>
                  </c:pt>
                </c:lvl>
              </c:multiLvlStrCache>
            </c:multiLvlStrRef>
          </c:cat>
          <c:val>
            <c:numRef>
              <c:f>Sheet8!$H$6:$H$11</c:f>
              <c:numCache>
                <c:formatCode>0.0%</c:formatCode>
                <c:ptCount val="6"/>
                <c:pt idx="0">
                  <c:v>0.14705882352941177</c:v>
                </c:pt>
                <c:pt idx="1">
                  <c:v>0.16470588235294115</c:v>
                </c:pt>
                <c:pt idx="2">
                  <c:v>0.24770642201834864</c:v>
                </c:pt>
                <c:pt idx="3">
                  <c:v>0.11926605504587157</c:v>
                </c:pt>
                <c:pt idx="4">
                  <c:v>0.25510204081632654</c:v>
                </c:pt>
                <c:pt idx="5">
                  <c:v>5.1020408163265307E-2</c:v>
                </c:pt>
              </c:numCache>
            </c:numRef>
          </c:val>
          <c:extLst>
            <c:ext xmlns:c16="http://schemas.microsoft.com/office/drawing/2014/chart" uri="{C3380CC4-5D6E-409C-BE32-E72D297353CC}">
              <c16:uniqueId val="{00000003-3581-44B4-B7AD-B9E36C89367A}"/>
            </c:ext>
          </c:extLst>
        </c:ser>
        <c:ser>
          <c:idx val="4"/>
          <c:order val="4"/>
          <c:tx>
            <c:strRef>
              <c:f>Sheet8!$I$5</c:f>
              <c:strCache>
                <c:ptCount val="1"/>
                <c:pt idx="0">
                  <c:v>20 and above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Sheet8!$C$6:$D$11</c:f>
              <c:multiLvlStrCache>
                <c:ptCount val="6"/>
                <c:lvl>
                  <c:pt idx="0">
                    <c:v>Male</c:v>
                  </c:pt>
                  <c:pt idx="1">
                    <c:v>Female</c:v>
                  </c:pt>
                  <c:pt idx="2">
                    <c:v>Male</c:v>
                  </c:pt>
                  <c:pt idx="3">
                    <c:v>Female</c:v>
                  </c:pt>
                  <c:pt idx="4">
                    <c:v>Male</c:v>
                  </c:pt>
                  <c:pt idx="5">
                    <c:v>Female</c:v>
                  </c:pt>
                </c:lvl>
                <c:lvl>
                  <c:pt idx="0">
                    <c:v>High Connectedness</c:v>
                  </c:pt>
                  <c:pt idx="2">
                    <c:v>Moderate Connectedness</c:v>
                  </c:pt>
                  <c:pt idx="4">
                    <c:v>Low Connectedness</c:v>
                  </c:pt>
                </c:lvl>
              </c:multiLvlStrCache>
            </c:multiLvlStrRef>
          </c:cat>
          <c:val>
            <c:numRef>
              <c:f>Sheet8!$I$6:$I$11</c:f>
              <c:numCache>
                <c:formatCode>0.0%</c:formatCode>
                <c:ptCount val="6"/>
                <c:pt idx="0">
                  <c:v>1.7647058823529412E-2</c:v>
                </c:pt>
                <c:pt idx="1">
                  <c:v>5.8823529411764705E-3</c:v>
                </c:pt>
                <c:pt idx="2">
                  <c:v>9.1743119266055051E-3</c:v>
                </c:pt>
                <c:pt idx="4">
                  <c:v>6.1224489795918366E-2</c:v>
                </c:pt>
              </c:numCache>
            </c:numRef>
          </c:val>
          <c:extLst>
            <c:ext xmlns:c16="http://schemas.microsoft.com/office/drawing/2014/chart" uri="{C3380CC4-5D6E-409C-BE32-E72D297353CC}">
              <c16:uniqueId val="{00000004-3581-44B4-B7AD-B9E36C89367A}"/>
            </c:ext>
          </c:extLst>
        </c:ser>
        <c:dLbls>
          <c:dLblPos val="outEnd"/>
          <c:showLegendKey val="0"/>
          <c:showVal val="1"/>
          <c:showCatName val="0"/>
          <c:showSerName val="0"/>
          <c:showPercent val="0"/>
          <c:showBubbleSize val="0"/>
        </c:dLbls>
        <c:gapWidth val="219"/>
        <c:overlap val="-27"/>
        <c:axId val="1429815951"/>
        <c:axId val="1429816431"/>
      </c:barChart>
      <c:catAx>
        <c:axId val="14298159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9816431"/>
        <c:crosses val="autoZero"/>
        <c:auto val="1"/>
        <c:lblAlgn val="ctr"/>
        <c:lblOffset val="100"/>
        <c:noMultiLvlLbl val="0"/>
      </c:catAx>
      <c:valAx>
        <c:axId val="14298164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9815951"/>
        <c:crosses val="autoZero"/>
        <c:crossBetween val="between"/>
      </c:valAx>
      <c:spPr>
        <a:solidFill>
          <a:schemeClr val="accent5">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Sheet9!$E$5</c:f>
              <c:strCache>
                <c:ptCount val="1"/>
                <c:pt idx="0">
                  <c:v>Less than 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Sheet9!$C$6:$D$11</c:f>
              <c:multiLvlStrCache>
                <c:ptCount val="6"/>
                <c:lvl>
                  <c:pt idx="0">
                    <c:v>Male</c:v>
                  </c:pt>
                  <c:pt idx="1">
                    <c:v>Female</c:v>
                  </c:pt>
                  <c:pt idx="2">
                    <c:v>Male</c:v>
                  </c:pt>
                  <c:pt idx="3">
                    <c:v>Female</c:v>
                  </c:pt>
                  <c:pt idx="4">
                    <c:v>Male</c:v>
                  </c:pt>
                  <c:pt idx="5">
                    <c:v>Female</c:v>
                  </c:pt>
                </c:lvl>
                <c:lvl>
                  <c:pt idx="0">
                    <c:v>High Self-Esteem</c:v>
                  </c:pt>
                  <c:pt idx="2">
                    <c:v>Moderate Self-Esteem</c:v>
                  </c:pt>
                  <c:pt idx="4">
                    <c:v>Low Self-Esteem</c:v>
                  </c:pt>
                </c:lvl>
              </c:multiLvlStrCache>
            </c:multiLvlStrRef>
          </c:cat>
          <c:val>
            <c:numRef>
              <c:f>Sheet9!$E$6:$E$11</c:f>
              <c:numCache>
                <c:formatCode>General</c:formatCode>
                <c:ptCount val="6"/>
                <c:pt idx="4" formatCode="0.0%">
                  <c:v>1.9230769230769232E-2</c:v>
                </c:pt>
              </c:numCache>
            </c:numRef>
          </c:val>
          <c:extLst>
            <c:ext xmlns:c16="http://schemas.microsoft.com/office/drawing/2014/chart" uri="{C3380CC4-5D6E-409C-BE32-E72D297353CC}">
              <c16:uniqueId val="{00000000-8F4B-4B4A-B569-97DCB8993C0C}"/>
            </c:ext>
          </c:extLst>
        </c:ser>
        <c:ser>
          <c:idx val="1"/>
          <c:order val="1"/>
          <c:tx>
            <c:strRef>
              <c:f>Sheet9!$F$5</c:f>
              <c:strCache>
                <c:ptCount val="1"/>
                <c:pt idx="0">
                  <c:v>14 - 15 years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Sheet9!$C$6:$D$11</c:f>
              <c:multiLvlStrCache>
                <c:ptCount val="6"/>
                <c:lvl>
                  <c:pt idx="0">
                    <c:v>Male</c:v>
                  </c:pt>
                  <c:pt idx="1">
                    <c:v>Female</c:v>
                  </c:pt>
                  <c:pt idx="2">
                    <c:v>Male</c:v>
                  </c:pt>
                  <c:pt idx="3">
                    <c:v>Female</c:v>
                  </c:pt>
                  <c:pt idx="4">
                    <c:v>Male</c:v>
                  </c:pt>
                  <c:pt idx="5">
                    <c:v>Female</c:v>
                  </c:pt>
                </c:lvl>
                <c:lvl>
                  <c:pt idx="0">
                    <c:v>High Self-Esteem</c:v>
                  </c:pt>
                  <c:pt idx="2">
                    <c:v>Moderate Self-Esteem</c:v>
                  </c:pt>
                  <c:pt idx="4">
                    <c:v>Low Self-Esteem</c:v>
                  </c:pt>
                </c:lvl>
              </c:multiLvlStrCache>
            </c:multiLvlStrRef>
          </c:cat>
          <c:val>
            <c:numRef>
              <c:f>Sheet9!$F$6:$F$11</c:f>
              <c:numCache>
                <c:formatCode>0.0%</c:formatCode>
                <c:ptCount val="6"/>
                <c:pt idx="0">
                  <c:v>1.6759776536312849E-2</c:v>
                </c:pt>
                <c:pt idx="1">
                  <c:v>5.586592178770949E-3</c:v>
                </c:pt>
                <c:pt idx="2">
                  <c:v>4.2553191489361701E-2</c:v>
                </c:pt>
                <c:pt idx="3">
                  <c:v>1.0638297872340425E-2</c:v>
                </c:pt>
                <c:pt idx="5">
                  <c:v>9.6153846153846159E-3</c:v>
                </c:pt>
              </c:numCache>
            </c:numRef>
          </c:val>
          <c:extLst>
            <c:ext xmlns:c16="http://schemas.microsoft.com/office/drawing/2014/chart" uri="{C3380CC4-5D6E-409C-BE32-E72D297353CC}">
              <c16:uniqueId val="{00000001-8F4B-4B4A-B569-97DCB8993C0C}"/>
            </c:ext>
          </c:extLst>
        </c:ser>
        <c:ser>
          <c:idx val="2"/>
          <c:order val="2"/>
          <c:tx>
            <c:strRef>
              <c:f>Sheet9!$G$5</c:f>
              <c:strCache>
                <c:ptCount val="1"/>
                <c:pt idx="0">
                  <c:v>16-17 years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Sheet9!$C$6:$D$11</c:f>
              <c:multiLvlStrCache>
                <c:ptCount val="6"/>
                <c:lvl>
                  <c:pt idx="0">
                    <c:v>Male</c:v>
                  </c:pt>
                  <c:pt idx="1">
                    <c:v>Female</c:v>
                  </c:pt>
                  <c:pt idx="2">
                    <c:v>Male</c:v>
                  </c:pt>
                  <c:pt idx="3">
                    <c:v>Female</c:v>
                  </c:pt>
                  <c:pt idx="4">
                    <c:v>Male</c:v>
                  </c:pt>
                  <c:pt idx="5">
                    <c:v>Female</c:v>
                  </c:pt>
                </c:lvl>
                <c:lvl>
                  <c:pt idx="0">
                    <c:v>High Self-Esteem</c:v>
                  </c:pt>
                  <c:pt idx="2">
                    <c:v>Moderate Self-Esteem</c:v>
                  </c:pt>
                  <c:pt idx="4">
                    <c:v>Low Self-Esteem</c:v>
                  </c:pt>
                </c:lvl>
              </c:multiLvlStrCache>
            </c:multiLvlStrRef>
          </c:cat>
          <c:val>
            <c:numRef>
              <c:f>Sheet9!$G$6:$G$11</c:f>
              <c:numCache>
                <c:formatCode>0.0%</c:formatCode>
                <c:ptCount val="6"/>
                <c:pt idx="0">
                  <c:v>0.26815642458100558</c:v>
                </c:pt>
                <c:pt idx="1">
                  <c:v>0.38547486033519557</c:v>
                </c:pt>
                <c:pt idx="2">
                  <c:v>0.35106382978723405</c:v>
                </c:pt>
                <c:pt idx="3">
                  <c:v>0.20212765957446804</c:v>
                </c:pt>
                <c:pt idx="4">
                  <c:v>0.42307692307692307</c:v>
                </c:pt>
                <c:pt idx="5">
                  <c:v>0.17307692307692307</c:v>
                </c:pt>
              </c:numCache>
            </c:numRef>
          </c:val>
          <c:extLst>
            <c:ext xmlns:c16="http://schemas.microsoft.com/office/drawing/2014/chart" uri="{C3380CC4-5D6E-409C-BE32-E72D297353CC}">
              <c16:uniqueId val="{00000002-8F4B-4B4A-B569-97DCB8993C0C}"/>
            </c:ext>
          </c:extLst>
        </c:ser>
        <c:ser>
          <c:idx val="3"/>
          <c:order val="3"/>
          <c:tx>
            <c:strRef>
              <c:f>Sheet9!$H$5</c:f>
              <c:strCache>
                <c:ptCount val="1"/>
                <c:pt idx="0">
                  <c:v>18-19 years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Sheet9!$C$6:$D$11</c:f>
              <c:multiLvlStrCache>
                <c:ptCount val="6"/>
                <c:lvl>
                  <c:pt idx="0">
                    <c:v>Male</c:v>
                  </c:pt>
                  <c:pt idx="1">
                    <c:v>Female</c:v>
                  </c:pt>
                  <c:pt idx="2">
                    <c:v>Male</c:v>
                  </c:pt>
                  <c:pt idx="3">
                    <c:v>Female</c:v>
                  </c:pt>
                  <c:pt idx="4">
                    <c:v>Male</c:v>
                  </c:pt>
                  <c:pt idx="5">
                    <c:v>Female</c:v>
                  </c:pt>
                </c:lvl>
                <c:lvl>
                  <c:pt idx="0">
                    <c:v>High Self-Esteem</c:v>
                  </c:pt>
                  <c:pt idx="2">
                    <c:v>Moderate Self-Esteem</c:v>
                  </c:pt>
                  <c:pt idx="4">
                    <c:v>Low Self-Esteem</c:v>
                  </c:pt>
                </c:lvl>
              </c:multiLvlStrCache>
            </c:multiLvlStrRef>
          </c:cat>
          <c:val>
            <c:numRef>
              <c:f>Sheet9!$H$6:$H$11</c:f>
              <c:numCache>
                <c:formatCode>0.0%</c:formatCode>
                <c:ptCount val="6"/>
                <c:pt idx="0">
                  <c:v>0.16201117318435754</c:v>
                </c:pt>
                <c:pt idx="1">
                  <c:v>0.13966480446927373</c:v>
                </c:pt>
                <c:pt idx="2">
                  <c:v>0.25531914893617019</c:v>
                </c:pt>
                <c:pt idx="3">
                  <c:v>0.1276595744680851</c:v>
                </c:pt>
                <c:pt idx="4">
                  <c:v>0.23076923076923075</c:v>
                </c:pt>
                <c:pt idx="5">
                  <c:v>8.6538461538461536E-2</c:v>
                </c:pt>
              </c:numCache>
            </c:numRef>
          </c:val>
          <c:extLst>
            <c:ext xmlns:c16="http://schemas.microsoft.com/office/drawing/2014/chart" uri="{C3380CC4-5D6E-409C-BE32-E72D297353CC}">
              <c16:uniqueId val="{00000003-8F4B-4B4A-B569-97DCB8993C0C}"/>
            </c:ext>
          </c:extLst>
        </c:ser>
        <c:ser>
          <c:idx val="4"/>
          <c:order val="4"/>
          <c:tx>
            <c:strRef>
              <c:f>Sheet9!$I$5</c:f>
              <c:strCache>
                <c:ptCount val="1"/>
                <c:pt idx="0">
                  <c:v>20 and above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Sheet9!$C$6:$D$11</c:f>
              <c:multiLvlStrCache>
                <c:ptCount val="6"/>
                <c:lvl>
                  <c:pt idx="0">
                    <c:v>Male</c:v>
                  </c:pt>
                  <c:pt idx="1">
                    <c:v>Female</c:v>
                  </c:pt>
                  <c:pt idx="2">
                    <c:v>Male</c:v>
                  </c:pt>
                  <c:pt idx="3">
                    <c:v>Female</c:v>
                  </c:pt>
                  <c:pt idx="4">
                    <c:v>Male</c:v>
                  </c:pt>
                  <c:pt idx="5">
                    <c:v>Female</c:v>
                  </c:pt>
                </c:lvl>
                <c:lvl>
                  <c:pt idx="0">
                    <c:v>High Self-Esteem</c:v>
                  </c:pt>
                  <c:pt idx="2">
                    <c:v>Moderate Self-Esteem</c:v>
                  </c:pt>
                  <c:pt idx="4">
                    <c:v>Low Self-Esteem</c:v>
                  </c:pt>
                </c:lvl>
              </c:multiLvlStrCache>
            </c:multiLvlStrRef>
          </c:cat>
          <c:val>
            <c:numRef>
              <c:f>Sheet9!$I$6:$I$11</c:f>
              <c:numCache>
                <c:formatCode>0.0%</c:formatCode>
                <c:ptCount val="6"/>
                <c:pt idx="0">
                  <c:v>1.6759776536312849E-2</c:v>
                </c:pt>
                <c:pt idx="1">
                  <c:v>5.586592178770949E-3</c:v>
                </c:pt>
                <c:pt idx="2">
                  <c:v>1.0638297872340425E-2</c:v>
                </c:pt>
                <c:pt idx="4">
                  <c:v>5.7692307692307689E-2</c:v>
                </c:pt>
              </c:numCache>
            </c:numRef>
          </c:val>
          <c:extLst>
            <c:ext xmlns:c16="http://schemas.microsoft.com/office/drawing/2014/chart" uri="{C3380CC4-5D6E-409C-BE32-E72D297353CC}">
              <c16:uniqueId val="{00000004-8F4B-4B4A-B569-97DCB8993C0C}"/>
            </c:ext>
          </c:extLst>
        </c:ser>
        <c:dLbls>
          <c:dLblPos val="outEnd"/>
          <c:showLegendKey val="0"/>
          <c:showVal val="1"/>
          <c:showCatName val="0"/>
          <c:showSerName val="0"/>
          <c:showPercent val="0"/>
          <c:showBubbleSize val="0"/>
        </c:dLbls>
        <c:gapWidth val="219"/>
        <c:overlap val="-27"/>
        <c:axId val="1427880223"/>
        <c:axId val="1427880703"/>
      </c:barChart>
      <c:catAx>
        <c:axId val="14278802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7880703"/>
        <c:crosses val="autoZero"/>
        <c:auto val="1"/>
        <c:lblAlgn val="ctr"/>
        <c:lblOffset val="100"/>
        <c:noMultiLvlLbl val="0"/>
      </c:catAx>
      <c:valAx>
        <c:axId val="14278807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7880223"/>
        <c:crosses val="autoZero"/>
        <c:crossBetween val="between"/>
      </c:valAx>
      <c:spPr>
        <a:solidFill>
          <a:schemeClr val="accent2">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24</Pages>
  <Words>7638</Words>
  <Characters>43543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18</cp:revision>
  <dcterms:created xsi:type="dcterms:W3CDTF">2025-10-14T17:49:00Z</dcterms:created>
  <dcterms:modified xsi:type="dcterms:W3CDTF">2025-10-15T13:24:00Z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3edd81f6-9000-47cf-be84-bdb0dae8de99</vt:lpwstr>
  </property>
</Properties>
</file>