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8E36C" w14:textId="77777777" w:rsidR="009F3A1C" w:rsidRDefault="009F3A1C" w:rsidP="009F3A1C">
      <w:pPr>
        <w:pStyle w:val="FirstParagraph"/>
        <w:spacing w:before="0" w:after="0" w:line="360" w:lineRule="auto"/>
        <w:jc w:val="center"/>
        <w:rPr>
          <w:rFonts w:ascii="Times New Roman" w:hAnsi="Times New Roman" w:cs="Times New Roman"/>
          <w:b/>
          <w:sz w:val="28"/>
          <w:szCs w:val="28"/>
        </w:rPr>
      </w:pPr>
      <w:r w:rsidRPr="009F3A1C">
        <w:rPr>
          <w:rFonts w:ascii="Times New Roman" w:hAnsi="Times New Roman" w:cs="Times New Roman"/>
          <w:b/>
          <w:sz w:val="28"/>
          <w:szCs w:val="28"/>
        </w:rPr>
        <w:t xml:space="preserve">The Impact of Multilingualism on Portuguese Language Learning: A </w:t>
      </w:r>
      <w:r w:rsidR="00535CCA">
        <w:rPr>
          <w:rFonts w:ascii="Times New Roman" w:hAnsi="Times New Roman" w:cs="Times New Roman"/>
          <w:b/>
          <w:sz w:val="28"/>
          <w:szCs w:val="28"/>
        </w:rPr>
        <w:t>Quantitative</w:t>
      </w:r>
      <w:r w:rsidRPr="009F3A1C">
        <w:rPr>
          <w:rFonts w:ascii="Times New Roman" w:hAnsi="Times New Roman" w:cs="Times New Roman"/>
          <w:b/>
          <w:sz w:val="28"/>
          <w:szCs w:val="28"/>
        </w:rPr>
        <w:t xml:space="preserve"> Study of Elementary Students in Timor-Leste</w:t>
      </w:r>
    </w:p>
    <w:p w14:paraId="5E13749C" w14:textId="3B3A7115" w:rsidR="002D6DCD" w:rsidRDefault="002D6DCD" w:rsidP="00FE3A67">
      <w:pPr>
        <w:pStyle w:val="BodyText"/>
        <w:jc w:val="center"/>
        <w:rPr>
          <w:rFonts w:ascii="Times New Roman" w:hAnsi="Times New Roman" w:cs="Times New Roman"/>
        </w:rPr>
      </w:pPr>
    </w:p>
    <w:p w14:paraId="4C110DF7" w14:textId="77777777" w:rsidR="00977F10" w:rsidRPr="002D6DCD" w:rsidRDefault="00977F10" w:rsidP="00FE3A67">
      <w:pPr>
        <w:pStyle w:val="BodyText"/>
        <w:jc w:val="center"/>
        <w:rPr>
          <w:rFonts w:ascii="Times New Roman" w:hAnsi="Times New Roman" w:cs="Times New Roman"/>
        </w:rPr>
      </w:pPr>
      <w:bookmarkStart w:id="0" w:name="_GoBack"/>
      <w:bookmarkEnd w:id="0"/>
    </w:p>
    <w:p w14:paraId="2B6D7870" w14:textId="77777777" w:rsidR="005D5DF8" w:rsidRPr="00BB60B4" w:rsidRDefault="00CF341C" w:rsidP="00F7442A">
      <w:pPr>
        <w:jc w:val="both"/>
        <w:rPr>
          <w:rFonts w:ascii="Times New Roman" w:hAnsi="Times New Roman" w:cs="Times New Roman"/>
          <w:b/>
          <w:sz w:val="24"/>
          <w:szCs w:val="24"/>
          <w:lang w:val="en-US"/>
        </w:rPr>
      </w:pPr>
      <w:r w:rsidRPr="00BB60B4">
        <w:rPr>
          <w:rFonts w:ascii="Times New Roman" w:hAnsi="Times New Roman" w:cs="Times New Roman"/>
          <w:b/>
          <w:sz w:val="24"/>
          <w:szCs w:val="24"/>
          <w:lang w:val="en-US"/>
        </w:rPr>
        <w:t>Abstract</w:t>
      </w:r>
    </w:p>
    <w:p w14:paraId="21B22C84" w14:textId="77777777" w:rsidR="00702AE2" w:rsidRPr="00702AE2" w:rsidRDefault="00702AE2" w:rsidP="00702AE2">
      <w:pPr>
        <w:spacing w:after="0" w:line="240" w:lineRule="auto"/>
        <w:jc w:val="both"/>
        <w:rPr>
          <w:rFonts w:ascii="Times New Roman" w:eastAsia="Times New Roman" w:hAnsi="Times New Roman" w:cs="Times New Roman"/>
          <w:sz w:val="24"/>
          <w:szCs w:val="24"/>
          <w:lang w:val="en-US" w:eastAsia="pt-PT"/>
        </w:rPr>
      </w:pPr>
      <w:r w:rsidRPr="00702AE2">
        <w:rPr>
          <w:rFonts w:ascii="Times New Roman" w:eastAsia="Times New Roman" w:hAnsi="Times New Roman" w:cs="Times New Roman"/>
          <w:sz w:val="24"/>
          <w:szCs w:val="24"/>
          <w:lang w:val="en-US" w:eastAsia="pt-PT"/>
        </w:rPr>
        <w:t xml:space="preserve">This quantitative study aims to understand how multilingualism affects Portuguese language proficiency among 175 Grade 5 and Grade 6 students in Baucau, Timor-Leste. The experiment was conducted according to the interdependence and threshold hypotheses introduced by Cummins using a validated 25-item Portuguese Language Proficiency Test and a linguistic background questionnaire. The results of the reliability analysis indicated that Cronbach's alpha was 0.742, and the content validity index (CVI = 1.00) indicated satisfactory correspondence with the national standards. The results indicated that vocabulary (M = 7.58) had a high </w:t>
      </w:r>
      <w:r w:rsidR="00C2622C">
        <w:rPr>
          <w:rFonts w:ascii="Times New Roman" w:eastAsia="Times New Roman" w:hAnsi="Times New Roman" w:cs="Times New Roman"/>
          <w:sz w:val="24"/>
          <w:szCs w:val="24"/>
          <w:lang w:val="en-US" w:eastAsia="pt-PT"/>
        </w:rPr>
        <w:t>mean score, while</w:t>
      </w:r>
      <w:r w:rsidRPr="00702AE2">
        <w:rPr>
          <w:rFonts w:ascii="Times New Roman" w:eastAsia="Times New Roman" w:hAnsi="Times New Roman" w:cs="Times New Roman"/>
          <w:sz w:val="24"/>
          <w:szCs w:val="24"/>
          <w:lang w:val="en-US" w:eastAsia="pt-PT"/>
        </w:rPr>
        <w:t xml:space="preserve"> grammar and writing (M = 6.05) had a low mean score, which showed an unequal level of language skills. Multilingualism has been demonstrated in the regression analysis to be a strong predictor of Portuguese proficiency, with a moderately positive correlation (t = 7.130, p = 0.05, b = 0.477, r = 0.477, p = 0.01). The findings confirm the </w:t>
      </w:r>
      <w:r w:rsidR="00650A2D">
        <w:rPr>
          <w:rFonts w:ascii="Times New Roman" w:eastAsia="Times New Roman" w:hAnsi="Times New Roman" w:cs="Times New Roman"/>
          <w:sz w:val="24"/>
          <w:szCs w:val="24"/>
          <w:lang w:val="en-US" w:eastAsia="pt-PT"/>
        </w:rPr>
        <w:t>preservative</w:t>
      </w:r>
      <w:r w:rsidRPr="00702AE2">
        <w:rPr>
          <w:rFonts w:ascii="Times New Roman" w:eastAsia="Times New Roman" w:hAnsi="Times New Roman" w:cs="Times New Roman"/>
          <w:sz w:val="24"/>
          <w:szCs w:val="24"/>
          <w:lang w:val="en-US" w:eastAsia="pt-PT"/>
        </w:rPr>
        <w:t xml:space="preserve"> bilingual model, in which an introduction to the second language enhances the</w:t>
      </w:r>
      <w:r w:rsidR="0044571F">
        <w:rPr>
          <w:rFonts w:ascii="Times New Roman" w:eastAsia="Times New Roman" w:hAnsi="Times New Roman" w:cs="Times New Roman"/>
          <w:sz w:val="24"/>
          <w:szCs w:val="24"/>
          <w:lang w:val="en-US" w:eastAsia="pt-PT"/>
        </w:rPr>
        <w:t xml:space="preserve"> </w:t>
      </w:r>
      <w:r w:rsidRPr="00702AE2">
        <w:rPr>
          <w:rFonts w:ascii="Times New Roman" w:eastAsia="Times New Roman" w:hAnsi="Times New Roman" w:cs="Times New Roman"/>
          <w:sz w:val="24"/>
          <w:szCs w:val="24"/>
          <w:lang w:val="en-US" w:eastAsia="pt-PT"/>
        </w:rPr>
        <w:t>second language</w:t>
      </w:r>
      <w:r w:rsidR="00C2622C">
        <w:rPr>
          <w:rFonts w:ascii="Times New Roman" w:eastAsia="Times New Roman" w:hAnsi="Times New Roman" w:cs="Times New Roman"/>
          <w:sz w:val="24"/>
          <w:szCs w:val="24"/>
          <w:lang w:val="en-US" w:eastAsia="pt-PT"/>
        </w:rPr>
        <w:t>’s learning</w:t>
      </w:r>
      <w:r w:rsidRPr="00702AE2">
        <w:rPr>
          <w:rFonts w:ascii="Times New Roman" w:eastAsia="Times New Roman" w:hAnsi="Times New Roman" w:cs="Times New Roman"/>
          <w:sz w:val="24"/>
          <w:szCs w:val="24"/>
          <w:lang w:val="en-US" w:eastAsia="pt-PT"/>
        </w:rPr>
        <w:t>. The investigation illuminates the necessity to increase the efforts of mother-tongue-based multilingual education (MTB-MLE) through teacher training by using culturally competent textbooks and language-supportive policies in Timor-Leste.</w:t>
      </w:r>
    </w:p>
    <w:p w14:paraId="4B6296E6" w14:textId="77777777" w:rsidR="00084591" w:rsidRPr="00EC46B4" w:rsidRDefault="00084591" w:rsidP="00EC46B4">
      <w:pPr>
        <w:spacing w:before="100" w:beforeAutospacing="1" w:after="100" w:afterAutospacing="1" w:line="240" w:lineRule="auto"/>
        <w:jc w:val="both"/>
        <w:rPr>
          <w:rFonts w:ascii="Times New Roman" w:eastAsia="Times New Roman" w:hAnsi="Times New Roman" w:cs="Times New Roman"/>
          <w:sz w:val="24"/>
          <w:szCs w:val="24"/>
          <w:lang w:val="en-US" w:eastAsia="pt-PT"/>
        </w:rPr>
      </w:pPr>
      <w:r w:rsidRPr="00702AE2">
        <w:rPr>
          <w:rFonts w:ascii="Times New Roman" w:eastAsia="Times New Roman" w:hAnsi="Times New Roman" w:cs="Times New Roman"/>
          <w:b/>
          <w:sz w:val="24"/>
          <w:szCs w:val="24"/>
          <w:lang w:val="en-US" w:eastAsia="pt-PT"/>
        </w:rPr>
        <w:t>Keywords:</w:t>
      </w:r>
      <w:r>
        <w:rPr>
          <w:rFonts w:ascii="Times New Roman" w:eastAsia="Times New Roman" w:hAnsi="Times New Roman" w:cs="Times New Roman"/>
          <w:sz w:val="24"/>
          <w:szCs w:val="24"/>
          <w:lang w:val="en-US" w:eastAsia="pt-PT"/>
        </w:rPr>
        <w:t xml:space="preserve"> </w:t>
      </w:r>
      <w:r w:rsidR="00702AE2">
        <w:rPr>
          <w:rFonts w:ascii="Times New Roman" w:eastAsia="Times New Roman" w:hAnsi="Times New Roman" w:cs="Times New Roman"/>
          <w:sz w:val="24"/>
          <w:szCs w:val="24"/>
          <w:lang w:val="en-US" w:eastAsia="pt-PT"/>
        </w:rPr>
        <w:t>Multilingualism, Portuguese language learning, elementary students, Timor-Leste.</w:t>
      </w:r>
    </w:p>
    <w:p w14:paraId="2043D251" w14:textId="77777777" w:rsidR="009B30A1" w:rsidRPr="00712BFF" w:rsidRDefault="009B30A1" w:rsidP="00712BFF">
      <w:pPr>
        <w:pStyle w:val="ListParagraph"/>
        <w:numPr>
          <w:ilvl w:val="0"/>
          <w:numId w:val="5"/>
        </w:numPr>
        <w:jc w:val="both"/>
        <w:rPr>
          <w:rFonts w:ascii="Times New Roman" w:hAnsi="Times New Roman" w:cs="Times New Roman"/>
          <w:b/>
          <w:sz w:val="24"/>
          <w:szCs w:val="24"/>
          <w:lang w:val="en-US"/>
        </w:rPr>
      </w:pPr>
      <w:r w:rsidRPr="00712BFF">
        <w:rPr>
          <w:rFonts w:ascii="Times New Roman" w:hAnsi="Times New Roman" w:cs="Times New Roman"/>
          <w:b/>
          <w:sz w:val="24"/>
          <w:szCs w:val="24"/>
          <w:lang w:val="en-US"/>
        </w:rPr>
        <w:t>Introduction</w:t>
      </w:r>
    </w:p>
    <w:p w14:paraId="64E84251" w14:textId="77777777" w:rsidR="00E4356D" w:rsidRPr="00002AF6" w:rsidRDefault="00E4356D" w:rsidP="00D12FB1">
      <w:pPr>
        <w:spacing w:after="0" w:line="360" w:lineRule="auto"/>
        <w:ind w:firstLine="708"/>
        <w:jc w:val="both"/>
        <w:rPr>
          <w:rFonts w:ascii="Times New Roman" w:eastAsia="Times New Roman" w:hAnsi="Times New Roman" w:cs="Times New Roman"/>
          <w:sz w:val="24"/>
          <w:szCs w:val="24"/>
          <w:lang w:val="en-US" w:eastAsia="pt-PT"/>
        </w:rPr>
      </w:pPr>
      <w:r w:rsidRPr="00002AF6">
        <w:rPr>
          <w:rFonts w:ascii="Times New Roman" w:eastAsia="Times New Roman" w:hAnsi="Times New Roman" w:cs="Times New Roman"/>
          <w:sz w:val="24"/>
          <w:szCs w:val="24"/>
          <w:lang w:val="en-US" w:eastAsia="pt-PT"/>
        </w:rPr>
        <w:t xml:space="preserve">Multilingualism has become an essential aspect of people's linguistic life in today's </w:t>
      </w:r>
      <w:proofErr w:type="spellStart"/>
      <w:r w:rsidRPr="00002AF6">
        <w:rPr>
          <w:rFonts w:ascii="Times New Roman" w:eastAsia="Times New Roman" w:hAnsi="Times New Roman" w:cs="Times New Roman"/>
          <w:sz w:val="24"/>
          <w:szCs w:val="24"/>
          <w:lang w:val="en-US" w:eastAsia="pt-PT"/>
        </w:rPr>
        <w:t>globalised</w:t>
      </w:r>
      <w:proofErr w:type="spellEnd"/>
      <w:r w:rsidRPr="00002AF6">
        <w:rPr>
          <w:rFonts w:ascii="Times New Roman" w:eastAsia="Times New Roman" w:hAnsi="Times New Roman" w:cs="Times New Roman"/>
          <w:sz w:val="24"/>
          <w:szCs w:val="24"/>
          <w:lang w:val="en-US" w:eastAsia="pt-PT"/>
        </w:rPr>
        <w:t xml:space="preserve"> world, particularly in linguistically diverse countries such as Timor-Leste. This young country, which has a rich culture and history since winning independence in 2002, has a diverse language environment. </w:t>
      </w:r>
      <w:r w:rsidRPr="00002AF6">
        <w:rPr>
          <w:rFonts w:ascii="Times New Roman" w:hAnsi="Times New Roman" w:cs="Times New Roman"/>
          <w:sz w:val="24"/>
          <w:szCs w:val="24"/>
          <w:lang w:val="en-US"/>
        </w:rPr>
        <w:t>The official languages of Timor-Leste are Tetum and Portuguese, along with various local dialects that create an animated environment for conversation. The research noted that several factors are equally important in developing cultural identity, social interaction, and the educational process, especially as the national identity and education system in Timor-Leste continue to mature (Macalister, 2024).</w:t>
      </w:r>
    </w:p>
    <w:p w14:paraId="3D4515E9" w14:textId="77777777" w:rsidR="00E4356D" w:rsidRPr="002B5159" w:rsidRDefault="00E4356D" w:rsidP="00D12FB1">
      <w:pPr>
        <w:pStyle w:val="NormalWeb"/>
        <w:spacing w:before="0" w:beforeAutospacing="0" w:after="0" w:afterAutospacing="0" w:line="360" w:lineRule="auto"/>
        <w:ind w:firstLine="708"/>
        <w:jc w:val="both"/>
        <w:rPr>
          <w:lang w:val="en-US"/>
        </w:rPr>
      </w:pPr>
      <w:r w:rsidRPr="002B5159">
        <w:rPr>
          <w:lang w:val="en-US"/>
        </w:rPr>
        <w:t xml:space="preserve">Portuguese </w:t>
      </w:r>
      <w:r>
        <w:rPr>
          <w:lang w:val="en-US"/>
        </w:rPr>
        <w:t>supports</w:t>
      </w:r>
      <w:r w:rsidRPr="002B5159">
        <w:rPr>
          <w:lang w:val="en-US"/>
        </w:rPr>
        <w:t xml:space="preserve"> a certain language-speaking character of students, particularly in this multicultural environment. It has been a major language in governance, education, and media since colonial times. Such an institutional role proves that it plays a significant role in the lives of the Timor-Leste people, especially those learners who are expected to </w:t>
      </w:r>
      <w:r w:rsidR="006B69A7" w:rsidRPr="002B5159">
        <w:rPr>
          <w:lang w:val="en-US"/>
        </w:rPr>
        <w:t>see</w:t>
      </w:r>
      <w:r w:rsidRPr="002B5159">
        <w:rPr>
          <w:lang w:val="en-US"/>
        </w:rPr>
        <w:t xml:space="preserve"> Portuguese as a formal subject at school. Another reason why learning Portuguese is important is its extensive use in educational institutions, making it not only a key language for primary-</w:t>
      </w:r>
      <w:r w:rsidRPr="002B5159">
        <w:rPr>
          <w:lang w:val="en-US"/>
        </w:rPr>
        <w:lastRenderedPageBreak/>
        <w:t>level students who study foreign languages but also a support in achieving higher educational objectives (da Fonseca et al., 2025). The implementation of the curriculum is frequently used for instruction in languages that are taught with other subjects, such as history, physics, and mathematics, making it difficult to distinguish the language learning process from other disciplines.</w:t>
      </w:r>
    </w:p>
    <w:p w14:paraId="1E66687C" w14:textId="77777777" w:rsidR="002A4124" w:rsidRPr="002A4124" w:rsidRDefault="002A4124" w:rsidP="00D12FB1">
      <w:pPr>
        <w:spacing w:after="0" w:line="360" w:lineRule="auto"/>
        <w:ind w:firstLine="708"/>
        <w:jc w:val="both"/>
        <w:rPr>
          <w:rFonts w:ascii="Times New Roman" w:eastAsia="Times New Roman" w:hAnsi="Times New Roman" w:cs="Times New Roman"/>
          <w:sz w:val="24"/>
          <w:szCs w:val="24"/>
          <w:lang w:val="en-US" w:eastAsia="pt-PT"/>
        </w:rPr>
      </w:pPr>
      <w:r w:rsidRPr="002A4124">
        <w:rPr>
          <w:rFonts w:ascii="Times New Roman" w:eastAsia="Times New Roman" w:hAnsi="Times New Roman" w:cs="Times New Roman"/>
          <w:sz w:val="24"/>
          <w:szCs w:val="24"/>
          <w:lang w:val="en-US" w:eastAsia="pt-PT"/>
        </w:rPr>
        <w:t xml:space="preserve">However, language acquisition is not easy for young learners taking Portuguese in the Timor-Leste multicultural setting, as a series of variables linked to their exposure to different languages affects the learning process (dos Reis, 2024). Many children in this country are likely to encounter both opportunities and challenges when they begin studying Portuguese formally, as most of them grow up speaking Tetum and local dialects at home. Although multilingualism may increase flexibility in thinking, metalinguistic knowledge, and cross-linguistic transfer, it may also lead to the appearance of problems like language interference. For instance, a child might use Portuguese and native languages in grammar construction or use of words, and this interference might be a major interruption in the attainment of proficiency in Portuguese. Moreover, exposure to a limited number of linguistic structures in Portuguese can </w:t>
      </w:r>
      <w:r w:rsidR="00BB60B4" w:rsidRPr="002A4124">
        <w:rPr>
          <w:rFonts w:ascii="Times New Roman" w:eastAsia="Times New Roman" w:hAnsi="Times New Roman" w:cs="Times New Roman"/>
          <w:sz w:val="24"/>
          <w:szCs w:val="24"/>
          <w:lang w:val="en-US" w:eastAsia="pt-PT"/>
        </w:rPr>
        <w:t>delay</w:t>
      </w:r>
      <w:r w:rsidRPr="002A4124">
        <w:rPr>
          <w:rFonts w:ascii="Times New Roman" w:eastAsia="Times New Roman" w:hAnsi="Times New Roman" w:cs="Times New Roman"/>
          <w:sz w:val="24"/>
          <w:szCs w:val="24"/>
          <w:lang w:val="en-US" w:eastAsia="pt-PT"/>
        </w:rPr>
        <w:t xml:space="preserve"> the use of the actual aspect of the language, particularly in settings that can promote the importance of interactive and immersive learning approaches (</w:t>
      </w:r>
      <w:proofErr w:type="spellStart"/>
      <w:r w:rsidRPr="002A4124">
        <w:rPr>
          <w:rFonts w:ascii="Times New Roman" w:eastAsia="Times New Roman" w:hAnsi="Times New Roman" w:cs="Times New Roman"/>
          <w:sz w:val="24"/>
          <w:szCs w:val="24"/>
          <w:lang w:val="en-US" w:eastAsia="pt-PT"/>
        </w:rPr>
        <w:t>Achaa-Amankwaa</w:t>
      </w:r>
      <w:proofErr w:type="spellEnd"/>
      <w:r w:rsidRPr="002A4124">
        <w:rPr>
          <w:rFonts w:ascii="Times New Roman" w:eastAsia="Times New Roman" w:hAnsi="Times New Roman" w:cs="Times New Roman"/>
          <w:sz w:val="24"/>
          <w:szCs w:val="24"/>
          <w:lang w:val="en-US" w:eastAsia="pt-PT"/>
        </w:rPr>
        <w:t xml:space="preserve"> et al., 2023).</w:t>
      </w:r>
    </w:p>
    <w:p w14:paraId="59C3128B" w14:textId="77777777" w:rsidR="002A4124" w:rsidRPr="002A4124" w:rsidRDefault="002A4124" w:rsidP="00D12FB1">
      <w:pPr>
        <w:spacing w:after="0" w:line="360" w:lineRule="auto"/>
        <w:ind w:firstLine="708"/>
        <w:jc w:val="both"/>
        <w:rPr>
          <w:rFonts w:ascii="Times New Roman" w:eastAsia="Times New Roman" w:hAnsi="Times New Roman" w:cs="Times New Roman"/>
          <w:sz w:val="24"/>
          <w:szCs w:val="24"/>
          <w:lang w:val="en-US" w:eastAsia="pt-PT"/>
        </w:rPr>
      </w:pPr>
      <w:r w:rsidRPr="002A4124">
        <w:rPr>
          <w:rFonts w:ascii="Times New Roman" w:eastAsia="Times New Roman" w:hAnsi="Times New Roman" w:cs="Times New Roman"/>
          <w:sz w:val="24"/>
          <w:szCs w:val="24"/>
          <w:lang w:val="en-US" w:eastAsia="pt-PT"/>
        </w:rPr>
        <w:t>Despite the relevance of Portuguese in education and societal development in Timor-Leste, as well as its importance for elementary school students' language acquisition, there is a significant research gap regarding the impact of multilingualism on the L2 acquisition of Portuguese, particularly in the eastern part of Baucau. This is an area of concern, since the acquisition mechanism of languages in multilingual contexts is important in the development of appropriate educational policies and practices. Fixing this gap would improve language teaching, accommodate the Portuguese community, and respect their language diversity. As the nation continues to struggle with the complexities of being multilingual, such studies will be essential in the future to create a more education-friendly sector that efficiently addresses these differences.</w:t>
      </w:r>
    </w:p>
    <w:p w14:paraId="2BAB52DC" w14:textId="77777777" w:rsidR="007063DE" w:rsidRPr="007063DE" w:rsidRDefault="007063DE" w:rsidP="00D12FB1">
      <w:pPr>
        <w:spacing w:after="0" w:line="360" w:lineRule="auto"/>
        <w:ind w:firstLine="708"/>
        <w:jc w:val="both"/>
        <w:rPr>
          <w:rFonts w:ascii="Times New Roman" w:eastAsia="Times New Roman" w:hAnsi="Times New Roman" w:cs="Times New Roman"/>
          <w:sz w:val="24"/>
          <w:szCs w:val="24"/>
          <w:lang w:val="en-US" w:eastAsia="pt-PT"/>
        </w:rPr>
      </w:pPr>
      <w:r w:rsidRPr="007063DE">
        <w:rPr>
          <w:rFonts w:ascii="Times New Roman" w:eastAsia="Times New Roman" w:hAnsi="Times New Roman" w:cs="Times New Roman"/>
          <w:sz w:val="24"/>
          <w:szCs w:val="24"/>
          <w:lang w:val="en-US" w:eastAsia="pt-PT"/>
        </w:rPr>
        <w:t xml:space="preserve">The research aimed to explore the effects of the process of multilingual revelation on learning the Portuguese language, especially in terms of the correlation between linguistic diversity and proficiency rates among language learners as children. The method of this survey succeeded in identifying the issues that support the development of language in this setting, and the findings can be applicable in teaching and policies. This study specifically focuses on the level of multilingual experience that the students of elementary schools in Baucau have and its effect on their Portuguese language proficiency. The study also explored the impact of </w:t>
      </w:r>
      <w:r w:rsidRPr="007063DE">
        <w:rPr>
          <w:rFonts w:ascii="Times New Roman" w:eastAsia="Times New Roman" w:hAnsi="Times New Roman" w:cs="Times New Roman"/>
          <w:sz w:val="24"/>
          <w:szCs w:val="24"/>
          <w:lang w:val="en-US" w:eastAsia="pt-PT"/>
        </w:rPr>
        <w:lastRenderedPageBreak/>
        <w:t>cognitive, social, and attitudinal elements associated with multilingualism on the acquisition of the Portuguese language. The paper has also evaluated how the students were approaching the assignment of acquiring Portuguese in the multilingual context. Lastly, the research suggested some evidence-based guidelines that would improve learning the Portuguese language in a diverse setting.</w:t>
      </w:r>
    </w:p>
    <w:p w14:paraId="66969F21" w14:textId="77777777" w:rsidR="009B30A1" w:rsidRPr="009F390D" w:rsidRDefault="007063DE" w:rsidP="005D5DF8">
      <w:pPr>
        <w:pStyle w:val="NormalWeb"/>
        <w:spacing w:line="360" w:lineRule="auto"/>
        <w:jc w:val="both"/>
        <w:rPr>
          <w:lang w:val="en-US"/>
        </w:rPr>
      </w:pPr>
      <w:r>
        <w:rPr>
          <w:lang w:val="en-US"/>
        </w:rPr>
        <w:t xml:space="preserve">This study </w:t>
      </w:r>
      <w:r w:rsidR="00361BBE">
        <w:rPr>
          <w:lang w:val="en-US"/>
        </w:rPr>
        <w:t xml:space="preserve">was </w:t>
      </w:r>
      <w:r>
        <w:rPr>
          <w:lang w:val="en-US"/>
        </w:rPr>
        <w:t xml:space="preserve">also </w:t>
      </w:r>
      <w:r w:rsidR="00361BBE">
        <w:rPr>
          <w:lang w:val="en-US"/>
        </w:rPr>
        <w:t>guided</w:t>
      </w:r>
      <w:r>
        <w:rPr>
          <w:lang w:val="en-US"/>
        </w:rPr>
        <w:t xml:space="preserve"> </w:t>
      </w:r>
      <w:r w:rsidR="00361BBE">
        <w:rPr>
          <w:lang w:val="en-US"/>
        </w:rPr>
        <w:t>by</w:t>
      </w:r>
      <w:r>
        <w:rPr>
          <w:lang w:val="en-US"/>
        </w:rPr>
        <w:t xml:space="preserve"> the following h</w:t>
      </w:r>
      <w:r w:rsidR="009B30A1" w:rsidRPr="009F390D">
        <w:rPr>
          <w:lang w:val="en-US"/>
        </w:rPr>
        <w:t>ypotheses</w:t>
      </w:r>
      <w:r>
        <w:rPr>
          <w:lang w:val="en-US"/>
        </w:rPr>
        <w:t>:</w:t>
      </w:r>
    </w:p>
    <w:p w14:paraId="3B63B3B1" w14:textId="77777777" w:rsidR="009B30A1" w:rsidRPr="009F390D" w:rsidRDefault="009B30A1" w:rsidP="005D5DF8">
      <w:pPr>
        <w:pStyle w:val="NormalWeb"/>
        <w:spacing w:line="360" w:lineRule="auto"/>
        <w:jc w:val="both"/>
        <w:rPr>
          <w:lang w:val="en-US"/>
        </w:rPr>
      </w:pPr>
      <w:r w:rsidRPr="009F390D">
        <w:rPr>
          <w:lang w:val="en-US"/>
        </w:rPr>
        <w:t>H0: Multilingualism d</w:t>
      </w:r>
      <w:r w:rsidR="00361BBE">
        <w:rPr>
          <w:lang w:val="en-US"/>
        </w:rPr>
        <w:t>oes</w:t>
      </w:r>
      <w:r w:rsidRPr="009F390D">
        <w:rPr>
          <w:lang w:val="en-US"/>
        </w:rPr>
        <w:t xml:space="preserve"> not make any significant impact on learning the Portuguese language among elementary students in Baucau. </w:t>
      </w:r>
    </w:p>
    <w:p w14:paraId="7AF16D0E" w14:textId="77777777" w:rsidR="00DE46B6" w:rsidRPr="0038452E" w:rsidRDefault="009B30A1" w:rsidP="0038452E">
      <w:pPr>
        <w:pStyle w:val="NormalWeb"/>
        <w:spacing w:line="360" w:lineRule="auto"/>
        <w:jc w:val="both"/>
        <w:rPr>
          <w:lang w:val="en-US"/>
        </w:rPr>
      </w:pPr>
      <w:r w:rsidRPr="009F390D">
        <w:rPr>
          <w:lang w:val="en-US"/>
        </w:rPr>
        <w:t xml:space="preserve">H1: Multilingualism is a main factor that </w:t>
      </w:r>
      <w:r w:rsidR="007063DE">
        <w:rPr>
          <w:lang w:val="en-US"/>
        </w:rPr>
        <w:t>impacts</w:t>
      </w:r>
      <w:r w:rsidRPr="009F390D">
        <w:rPr>
          <w:lang w:val="en-US"/>
        </w:rPr>
        <w:t xml:space="preserve"> the proficiency of the Portuguese language in elementary students in Baucau. </w:t>
      </w:r>
    </w:p>
    <w:p w14:paraId="1AF1B789" w14:textId="77777777" w:rsidR="00A5305E" w:rsidRPr="00A5305E" w:rsidRDefault="00E92EFD" w:rsidP="00E34F05">
      <w:pPr>
        <w:pStyle w:val="FirstParagraph"/>
        <w:spacing w:before="0" w:after="0" w:line="360" w:lineRule="auto"/>
        <w:jc w:val="both"/>
        <w:rPr>
          <w:rFonts w:ascii="Times New Roman" w:hAnsi="Times New Roman" w:cs="Times New Roman"/>
          <w:b/>
          <w:bCs/>
        </w:rPr>
      </w:pPr>
      <w:r>
        <w:rPr>
          <w:rFonts w:ascii="Times New Roman" w:hAnsi="Times New Roman" w:cs="Times New Roman"/>
          <w:b/>
          <w:bCs/>
        </w:rPr>
        <w:t xml:space="preserve">2. </w:t>
      </w:r>
      <w:r w:rsidR="00A5305E" w:rsidRPr="00A5305E">
        <w:rPr>
          <w:rFonts w:ascii="Times New Roman" w:hAnsi="Times New Roman" w:cs="Times New Roman"/>
          <w:b/>
          <w:bCs/>
        </w:rPr>
        <w:t>Literature Review</w:t>
      </w:r>
    </w:p>
    <w:p w14:paraId="461AC994" w14:textId="77777777" w:rsidR="00A5305E" w:rsidRPr="00A5305E" w:rsidRDefault="00E92EFD" w:rsidP="00E92EFD">
      <w:pPr>
        <w:pStyle w:val="BodyText"/>
        <w:numPr>
          <w:ilvl w:val="1"/>
          <w:numId w:val="2"/>
        </w:numPr>
        <w:spacing w:before="0" w:after="0" w:line="360" w:lineRule="auto"/>
        <w:jc w:val="both"/>
        <w:rPr>
          <w:rFonts w:ascii="Times New Roman" w:hAnsi="Times New Roman" w:cs="Times New Roman"/>
          <w:b/>
          <w:bCs/>
        </w:rPr>
      </w:pPr>
      <w:r>
        <w:rPr>
          <w:rFonts w:ascii="Times New Roman" w:hAnsi="Times New Roman" w:cs="Times New Roman"/>
          <w:b/>
          <w:bCs/>
        </w:rPr>
        <w:t xml:space="preserve"> </w:t>
      </w:r>
      <w:r w:rsidR="00A5305E" w:rsidRPr="00A5305E">
        <w:rPr>
          <w:rFonts w:ascii="Times New Roman" w:hAnsi="Times New Roman" w:cs="Times New Roman"/>
          <w:b/>
          <w:bCs/>
        </w:rPr>
        <w:t>Theoretical Framework</w:t>
      </w:r>
    </w:p>
    <w:p w14:paraId="0CB3FF32" w14:textId="77777777" w:rsidR="00A5305E" w:rsidRPr="00A5305E" w:rsidRDefault="00A5305E" w:rsidP="00E34F05">
      <w:pPr>
        <w:pStyle w:val="BodyText"/>
        <w:spacing w:before="0" w:after="0" w:line="360" w:lineRule="auto"/>
        <w:ind w:firstLine="360"/>
        <w:jc w:val="both"/>
        <w:rPr>
          <w:rFonts w:ascii="Times New Roman" w:hAnsi="Times New Roman" w:cs="Times New Roman"/>
        </w:rPr>
      </w:pPr>
      <w:r w:rsidRPr="00A5305E">
        <w:rPr>
          <w:rFonts w:ascii="Times New Roman" w:hAnsi="Times New Roman" w:cs="Times New Roman"/>
        </w:rPr>
        <w:t xml:space="preserve">The most </w:t>
      </w:r>
      <w:r w:rsidR="004E6675" w:rsidRPr="00A5305E">
        <w:rPr>
          <w:rFonts w:ascii="Times New Roman" w:hAnsi="Times New Roman" w:cs="Times New Roman"/>
        </w:rPr>
        <w:t>vital</w:t>
      </w:r>
      <w:r w:rsidRPr="00A5305E">
        <w:rPr>
          <w:rFonts w:ascii="Times New Roman" w:hAnsi="Times New Roman" w:cs="Times New Roman"/>
        </w:rPr>
        <w:t xml:space="preserve"> aspect of multilingual education is the existence of the threshold hypothesis proposed by Cummins (1979), which states that a learner should achieve a certain level of proficiency in the first language (L1) before he or she fully succeeds in learning the second language (L2); otherwise, the learner will become </w:t>
      </w:r>
      <w:proofErr w:type="spellStart"/>
      <w:r w:rsidRPr="00A5305E">
        <w:rPr>
          <w:rFonts w:ascii="Times New Roman" w:hAnsi="Times New Roman" w:cs="Times New Roman"/>
        </w:rPr>
        <w:t>semilingual</w:t>
      </w:r>
      <w:proofErr w:type="spellEnd"/>
      <w:r w:rsidRPr="00A5305E">
        <w:rPr>
          <w:rFonts w:ascii="Times New Roman" w:hAnsi="Times New Roman" w:cs="Times New Roman"/>
        </w:rPr>
        <w:t xml:space="preserve"> and will have a weakness in each language. Following this idea, the Developmental Interdependence Hypothesis suggests that if a learner becomes proficient at academic and cognitive language skills (CALP) in their first language (L1), they can also improve in their second language (L2) if they obtain enough practice and are motivated. Additive bilingual models are based on these </w:t>
      </w:r>
      <w:r w:rsidR="00664189">
        <w:rPr>
          <w:rFonts w:ascii="Times New Roman" w:hAnsi="Times New Roman" w:cs="Times New Roman"/>
        </w:rPr>
        <w:t>hypotheses</w:t>
      </w:r>
      <w:r w:rsidRPr="00A5305E">
        <w:rPr>
          <w:rFonts w:ascii="Times New Roman" w:hAnsi="Times New Roman" w:cs="Times New Roman"/>
        </w:rPr>
        <w:t xml:space="preserve">, where </w:t>
      </w:r>
      <w:r w:rsidR="00FC06EF">
        <w:rPr>
          <w:rFonts w:ascii="Times New Roman" w:hAnsi="Times New Roman" w:cs="Times New Roman"/>
        </w:rPr>
        <w:t xml:space="preserve">the </w:t>
      </w:r>
      <w:r w:rsidRPr="00A5305E">
        <w:rPr>
          <w:rFonts w:ascii="Times New Roman" w:hAnsi="Times New Roman" w:cs="Times New Roman"/>
        </w:rPr>
        <w:t xml:space="preserve">development of L1 is encouraged to bridge the gap in </w:t>
      </w:r>
      <w:r w:rsidR="00FC06EF">
        <w:rPr>
          <w:rFonts w:ascii="Times New Roman" w:hAnsi="Times New Roman" w:cs="Times New Roman"/>
        </w:rPr>
        <w:t xml:space="preserve">the </w:t>
      </w:r>
      <w:r w:rsidRPr="00A5305E">
        <w:rPr>
          <w:rFonts w:ascii="Times New Roman" w:hAnsi="Times New Roman" w:cs="Times New Roman"/>
        </w:rPr>
        <w:t>development of L2 (Cummins, 2000).</w:t>
      </w:r>
      <w:r w:rsidR="0032169D">
        <w:rPr>
          <w:rFonts w:ascii="Times New Roman" w:hAnsi="Times New Roman" w:cs="Times New Roman"/>
        </w:rPr>
        <w:t xml:space="preserve"> </w:t>
      </w:r>
    </w:p>
    <w:p w14:paraId="7051DF21" w14:textId="77777777" w:rsidR="00A5305E" w:rsidRPr="00A5305E" w:rsidRDefault="00A5305E" w:rsidP="00E34F05">
      <w:pPr>
        <w:pStyle w:val="BodyText"/>
        <w:spacing w:before="0" w:after="0" w:line="360" w:lineRule="auto"/>
        <w:ind w:firstLine="360"/>
        <w:jc w:val="both"/>
        <w:rPr>
          <w:rFonts w:ascii="Times New Roman" w:hAnsi="Times New Roman" w:cs="Times New Roman"/>
        </w:rPr>
      </w:pPr>
      <w:r w:rsidRPr="00A5305E">
        <w:rPr>
          <w:rFonts w:ascii="Times New Roman" w:hAnsi="Times New Roman" w:cs="Times New Roman"/>
        </w:rPr>
        <w:t xml:space="preserve">The research on bilingual education stresses the strong influence that pedagogical models have on the linguistic development of learners as well as the development of their identity and academic success. One of the most frequently cited in intercultural bilingual education (IBE) is the classification of programs developed by Baker (2011), who distinguishes between transitional, maintenance, immersion, and enrichment models. Maintenance and immersion strategies are designed to help learners become bilingual without losing their first language (L1), allowing them to grow and keep both their first and second languages (L2) while also focusing on reading and writing skills in both languages and adapting their thinking. There are several studies that have tenaciously stood by the fact that additive models justify the </w:t>
      </w:r>
      <w:r w:rsidRPr="00A5305E">
        <w:rPr>
          <w:rFonts w:ascii="Times New Roman" w:hAnsi="Times New Roman" w:cs="Times New Roman"/>
        </w:rPr>
        <w:lastRenderedPageBreak/>
        <w:t xml:space="preserve">metalinguistic understanding, academic performance, and </w:t>
      </w:r>
      <w:r w:rsidR="006C1EE6">
        <w:rPr>
          <w:rFonts w:ascii="Times New Roman" w:hAnsi="Times New Roman" w:cs="Times New Roman"/>
        </w:rPr>
        <w:t>socio-cultural</w:t>
      </w:r>
      <w:r w:rsidRPr="00A5305E">
        <w:rPr>
          <w:rFonts w:ascii="Times New Roman" w:hAnsi="Times New Roman" w:cs="Times New Roman"/>
        </w:rPr>
        <w:t xml:space="preserve"> identity of learners (Cummins, 2000</w:t>
      </w:r>
      <w:r w:rsidR="009B2A5F">
        <w:rPr>
          <w:rFonts w:ascii="Times New Roman" w:hAnsi="Times New Roman" w:cs="Times New Roman"/>
        </w:rPr>
        <w:t xml:space="preserve">; </w:t>
      </w:r>
      <w:r w:rsidR="009B2A5F" w:rsidRPr="00282E09">
        <w:rPr>
          <w:rFonts w:ascii="Times New Roman" w:hAnsi="Times New Roman" w:cs="Times New Roman"/>
          <w:color w:val="222222"/>
          <w:shd w:val="clear" w:color="auto" w:fill="FFFFFF"/>
        </w:rPr>
        <w:t>Cabral</w:t>
      </w:r>
      <w:r w:rsidR="009B2A5F">
        <w:rPr>
          <w:rFonts w:ascii="Times New Roman" w:hAnsi="Times New Roman" w:cs="Times New Roman"/>
          <w:color w:val="222222"/>
          <w:shd w:val="clear" w:color="auto" w:fill="FFFFFF"/>
        </w:rPr>
        <w:t xml:space="preserve"> </w:t>
      </w:r>
      <w:r w:rsidR="009B2A5F" w:rsidRPr="00282E09">
        <w:rPr>
          <w:rFonts w:ascii="Times New Roman" w:hAnsi="Times New Roman" w:cs="Times New Roman"/>
          <w:color w:val="222222"/>
          <w:shd w:val="clear" w:color="auto" w:fill="FFFFFF"/>
        </w:rPr>
        <w:t>&amp; Martin-Jones</w:t>
      </w:r>
      <w:r w:rsidR="009B2A5F">
        <w:rPr>
          <w:rFonts w:ascii="Times New Roman" w:hAnsi="Times New Roman" w:cs="Times New Roman"/>
          <w:color w:val="222222"/>
          <w:shd w:val="clear" w:color="auto" w:fill="FFFFFF"/>
        </w:rPr>
        <w:t>, 2021</w:t>
      </w:r>
      <w:r w:rsidRPr="00A5305E">
        <w:rPr>
          <w:rFonts w:ascii="Times New Roman" w:hAnsi="Times New Roman" w:cs="Times New Roman"/>
        </w:rPr>
        <w:t xml:space="preserve">). Transitional and submission models, on the other hand, tend to produce subtractive bilingualism, where the acquisition of L2 displaces L1, often resulting in language loss, diminished identity, and poorer academic performance </w:t>
      </w:r>
      <w:r w:rsidR="009F3A1C">
        <w:rPr>
          <w:rFonts w:ascii="Times New Roman" w:hAnsi="Times New Roman" w:cs="Times New Roman"/>
        </w:rPr>
        <w:t>(</w:t>
      </w:r>
      <w:r w:rsidR="000B18C0">
        <w:rPr>
          <w:rFonts w:ascii="Times New Roman" w:hAnsi="Times New Roman" w:cs="Times New Roman"/>
        </w:rPr>
        <w:t xml:space="preserve">Mohanty &amp; </w:t>
      </w:r>
      <w:proofErr w:type="spellStart"/>
      <w:r w:rsidRPr="00FC155E">
        <w:rPr>
          <w:rFonts w:ascii="Times New Roman" w:hAnsi="Times New Roman" w:cs="Times New Roman"/>
        </w:rPr>
        <w:t>Skutnabb</w:t>
      </w:r>
      <w:proofErr w:type="spellEnd"/>
      <w:r w:rsidRPr="00FC155E">
        <w:rPr>
          <w:rFonts w:ascii="Times New Roman" w:hAnsi="Times New Roman" w:cs="Times New Roman"/>
        </w:rPr>
        <w:t>-Kangas, 20</w:t>
      </w:r>
      <w:r w:rsidR="000B18C0" w:rsidRPr="00FC155E">
        <w:rPr>
          <w:rFonts w:ascii="Times New Roman" w:hAnsi="Times New Roman" w:cs="Times New Roman"/>
        </w:rPr>
        <w:t>22</w:t>
      </w:r>
      <w:r w:rsidRPr="00FC155E">
        <w:rPr>
          <w:rFonts w:ascii="Times New Roman" w:hAnsi="Times New Roman" w:cs="Times New Roman"/>
        </w:rPr>
        <w:t>).</w:t>
      </w:r>
    </w:p>
    <w:p w14:paraId="0FE9D726" w14:textId="77777777" w:rsidR="00A5305E" w:rsidRPr="00A5305E" w:rsidRDefault="000C41A4" w:rsidP="00E34F05">
      <w:pPr>
        <w:pStyle w:val="BodyText"/>
        <w:spacing w:before="0" w:after="0" w:line="360" w:lineRule="auto"/>
        <w:ind w:firstLine="360"/>
        <w:jc w:val="both"/>
        <w:rPr>
          <w:rFonts w:ascii="Times New Roman" w:hAnsi="Times New Roman" w:cs="Times New Roman"/>
        </w:rPr>
      </w:pPr>
      <w:r w:rsidRPr="00A5305E">
        <w:rPr>
          <w:rFonts w:ascii="Times New Roman" w:hAnsi="Times New Roman" w:cs="Times New Roman"/>
        </w:rPr>
        <w:t xml:space="preserve">Recent </w:t>
      </w:r>
      <w:r w:rsidR="00A5305E" w:rsidRPr="00A5305E">
        <w:rPr>
          <w:rFonts w:ascii="Times New Roman" w:hAnsi="Times New Roman" w:cs="Times New Roman"/>
        </w:rPr>
        <w:t xml:space="preserve">understandings give prominence to </w:t>
      </w:r>
      <w:r w:rsidR="00FC06EF">
        <w:rPr>
          <w:rFonts w:ascii="Times New Roman" w:hAnsi="Times New Roman" w:cs="Times New Roman"/>
        </w:rPr>
        <w:t>translanguaging, where the language used by multilingual learners has been conceptualized as fluid and holistic, along the lines of not being broken into individual</w:t>
      </w:r>
      <w:r w:rsidR="00A5305E" w:rsidRPr="00A5305E">
        <w:rPr>
          <w:rFonts w:ascii="Times New Roman" w:hAnsi="Times New Roman" w:cs="Times New Roman"/>
        </w:rPr>
        <w:t xml:space="preserve"> languages. Multilingual classrooms appreciate code-switching and innovative combinations of language repertoires as acceptable instructional methods (da Costa, 2021).</w:t>
      </w:r>
    </w:p>
    <w:p w14:paraId="18EF7E7C" w14:textId="77777777" w:rsidR="00A5305E" w:rsidRPr="00E34F05" w:rsidRDefault="00E92EFD" w:rsidP="00E92EFD">
      <w:pPr>
        <w:pStyle w:val="BodyText"/>
        <w:numPr>
          <w:ilvl w:val="1"/>
          <w:numId w:val="2"/>
        </w:numPr>
        <w:spacing w:before="0" w:after="0" w:line="360" w:lineRule="auto"/>
        <w:jc w:val="both"/>
        <w:rPr>
          <w:rFonts w:ascii="Times New Roman" w:hAnsi="Times New Roman" w:cs="Times New Roman"/>
        </w:rPr>
      </w:pPr>
      <w:r>
        <w:rPr>
          <w:rFonts w:ascii="Times New Roman" w:hAnsi="Times New Roman" w:cs="Times New Roman"/>
          <w:b/>
          <w:bCs/>
        </w:rPr>
        <w:t xml:space="preserve"> </w:t>
      </w:r>
      <w:r w:rsidR="00E34F05" w:rsidRPr="00B0686C">
        <w:rPr>
          <w:rFonts w:ascii="Times New Roman" w:hAnsi="Times New Roman" w:cs="Times New Roman"/>
          <w:b/>
          <w:bCs/>
        </w:rPr>
        <w:t xml:space="preserve">Context and Policy in Timor-Leste </w:t>
      </w:r>
    </w:p>
    <w:p w14:paraId="36D41EEF" w14:textId="77777777" w:rsidR="00A5305E" w:rsidRPr="00802133" w:rsidRDefault="00802133" w:rsidP="00F7442A">
      <w:pPr>
        <w:spacing w:after="0" w:line="360" w:lineRule="auto"/>
        <w:ind w:firstLine="708"/>
        <w:jc w:val="both"/>
        <w:rPr>
          <w:rFonts w:ascii="Times New Roman" w:eastAsia="Times New Roman" w:hAnsi="Times New Roman" w:cs="Times New Roman"/>
          <w:sz w:val="24"/>
          <w:szCs w:val="24"/>
          <w:lang w:val="en-US" w:eastAsia="pt-PT"/>
        </w:rPr>
      </w:pPr>
      <w:r w:rsidRPr="00802133">
        <w:rPr>
          <w:rFonts w:ascii="Times New Roman" w:eastAsia="Times New Roman" w:hAnsi="Times New Roman" w:cs="Times New Roman"/>
          <w:sz w:val="24"/>
          <w:szCs w:val="24"/>
          <w:lang w:val="en-US" w:eastAsia="pt-PT"/>
        </w:rPr>
        <w:t xml:space="preserve">Timor-Leste's language-in-education policy is solid, with a legitimate structure developed after independence. </w:t>
      </w:r>
      <w:r w:rsidR="00A5305E" w:rsidRPr="00802133">
        <w:rPr>
          <w:rFonts w:ascii="Times New Roman" w:hAnsi="Times New Roman" w:cs="Times New Roman"/>
          <w:sz w:val="24"/>
          <w:szCs w:val="24"/>
          <w:lang w:val="en-US"/>
        </w:rPr>
        <w:t xml:space="preserve">In the 2002 Constitution, Portuguese and </w:t>
      </w:r>
      <w:proofErr w:type="spellStart"/>
      <w:r w:rsidR="00A5305E" w:rsidRPr="00802133">
        <w:rPr>
          <w:rFonts w:ascii="Times New Roman" w:hAnsi="Times New Roman" w:cs="Times New Roman"/>
          <w:sz w:val="24"/>
          <w:szCs w:val="24"/>
          <w:lang w:val="en-US"/>
        </w:rPr>
        <w:t>Tetun</w:t>
      </w:r>
      <w:proofErr w:type="spellEnd"/>
      <w:r w:rsidR="00A5305E" w:rsidRPr="00802133">
        <w:rPr>
          <w:rFonts w:ascii="Times New Roman" w:hAnsi="Times New Roman" w:cs="Times New Roman"/>
          <w:sz w:val="24"/>
          <w:szCs w:val="24"/>
          <w:lang w:val="en-US"/>
        </w:rPr>
        <w:t xml:space="preserve"> obtain formal status as co-official languages, and the national significance of </w:t>
      </w:r>
      <w:r w:rsidR="001843E2">
        <w:rPr>
          <w:rFonts w:ascii="Times New Roman" w:hAnsi="Times New Roman" w:cs="Times New Roman"/>
          <w:sz w:val="24"/>
          <w:szCs w:val="24"/>
          <w:lang w:val="en-US"/>
        </w:rPr>
        <w:t xml:space="preserve">the </w:t>
      </w:r>
      <w:r w:rsidR="001843E2" w:rsidRPr="00802133">
        <w:rPr>
          <w:rFonts w:ascii="Times New Roman" w:hAnsi="Times New Roman" w:cs="Times New Roman"/>
          <w:sz w:val="24"/>
          <w:szCs w:val="24"/>
          <w:lang w:val="en-US"/>
        </w:rPr>
        <w:t>native</w:t>
      </w:r>
      <w:r w:rsidR="00A5305E" w:rsidRPr="00802133">
        <w:rPr>
          <w:rFonts w:ascii="Times New Roman" w:hAnsi="Times New Roman" w:cs="Times New Roman"/>
          <w:sz w:val="24"/>
          <w:szCs w:val="24"/>
          <w:lang w:val="en-US"/>
        </w:rPr>
        <w:t xml:space="preserve"> </w:t>
      </w:r>
      <w:r w:rsidR="001B2E53" w:rsidRPr="00802133">
        <w:rPr>
          <w:rFonts w:ascii="Times New Roman" w:hAnsi="Times New Roman" w:cs="Times New Roman"/>
          <w:sz w:val="24"/>
          <w:szCs w:val="24"/>
          <w:lang w:val="en-US"/>
        </w:rPr>
        <w:t>Mother tongue</w:t>
      </w:r>
      <w:r w:rsidR="00A5305E" w:rsidRPr="00802133">
        <w:rPr>
          <w:rFonts w:ascii="Times New Roman" w:hAnsi="Times New Roman" w:cs="Times New Roman"/>
          <w:sz w:val="24"/>
          <w:szCs w:val="24"/>
          <w:lang w:val="en-US"/>
        </w:rPr>
        <w:t xml:space="preserve"> is </w:t>
      </w:r>
      <w:proofErr w:type="spellStart"/>
      <w:r w:rsidR="00A5305E" w:rsidRPr="00802133">
        <w:rPr>
          <w:rFonts w:ascii="Times New Roman" w:hAnsi="Times New Roman" w:cs="Times New Roman"/>
          <w:sz w:val="24"/>
          <w:szCs w:val="24"/>
          <w:lang w:val="en-US"/>
        </w:rPr>
        <w:t>recognised</w:t>
      </w:r>
      <w:proofErr w:type="spellEnd"/>
      <w:r w:rsidR="00A5305E" w:rsidRPr="00802133">
        <w:rPr>
          <w:rFonts w:ascii="Times New Roman" w:hAnsi="Times New Roman" w:cs="Times New Roman"/>
          <w:sz w:val="24"/>
          <w:szCs w:val="24"/>
          <w:lang w:val="en-US"/>
        </w:rPr>
        <w:t>, most importantly, as part of the national identity and culture (Taylor-Leech, 2013</w:t>
      </w:r>
      <w:r w:rsidR="00C94013" w:rsidRPr="00802133">
        <w:rPr>
          <w:rFonts w:ascii="Times New Roman" w:hAnsi="Times New Roman" w:cs="Times New Roman"/>
          <w:sz w:val="24"/>
          <w:szCs w:val="24"/>
          <w:lang w:val="en-US"/>
        </w:rPr>
        <w:t>; Macalister, 2024</w:t>
      </w:r>
      <w:r w:rsidR="00A5305E" w:rsidRPr="00802133">
        <w:rPr>
          <w:rFonts w:ascii="Times New Roman" w:hAnsi="Times New Roman" w:cs="Times New Roman"/>
          <w:sz w:val="24"/>
          <w:szCs w:val="24"/>
          <w:lang w:val="en-US"/>
        </w:rPr>
        <w:t xml:space="preserve">). This policy course of action is practical and symbolic toward nation-building in terms of building a linguistically distinct society out of decades of colonialism and </w:t>
      </w:r>
      <w:r w:rsidR="001B2E53" w:rsidRPr="00802133">
        <w:rPr>
          <w:rFonts w:ascii="Times New Roman" w:hAnsi="Times New Roman" w:cs="Times New Roman"/>
          <w:sz w:val="24"/>
          <w:szCs w:val="24"/>
          <w:lang w:val="en-US"/>
        </w:rPr>
        <w:t>aggression</w:t>
      </w:r>
      <w:r w:rsidR="00A5305E" w:rsidRPr="00802133">
        <w:rPr>
          <w:rFonts w:ascii="Times New Roman" w:hAnsi="Times New Roman" w:cs="Times New Roman"/>
          <w:sz w:val="24"/>
          <w:szCs w:val="24"/>
          <w:lang w:val="en-US"/>
        </w:rPr>
        <w:t xml:space="preserve">. In this context, Portuguese provides both a historical and diplomatic connection to the Lusophone world, while </w:t>
      </w:r>
      <w:proofErr w:type="spellStart"/>
      <w:r w:rsidR="00A5305E" w:rsidRPr="00802133">
        <w:rPr>
          <w:rFonts w:ascii="Times New Roman" w:hAnsi="Times New Roman" w:cs="Times New Roman"/>
          <w:sz w:val="24"/>
          <w:szCs w:val="24"/>
          <w:lang w:val="en-US"/>
        </w:rPr>
        <w:t>Tetun</w:t>
      </w:r>
      <w:proofErr w:type="spellEnd"/>
      <w:r w:rsidR="00A5305E" w:rsidRPr="00802133">
        <w:rPr>
          <w:rFonts w:ascii="Times New Roman" w:hAnsi="Times New Roman" w:cs="Times New Roman"/>
          <w:sz w:val="24"/>
          <w:szCs w:val="24"/>
          <w:lang w:val="en-US"/>
        </w:rPr>
        <w:t xml:space="preserve"> serves as a widely spoken </w:t>
      </w:r>
      <w:r w:rsidR="001B2E53" w:rsidRPr="00802133">
        <w:rPr>
          <w:rFonts w:ascii="Times New Roman" w:hAnsi="Times New Roman" w:cs="Times New Roman"/>
          <w:sz w:val="24"/>
          <w:szCs w:val="24"/>
          <w:lang w:val="en-US"/>
        </w:rPr>
        <w:t>language</w:t>
      </w:r>
      <w:r w:rsidR="00A5305E" w:rsidRPr="00802133">
        <w:rPr>
          <w:rFonts w:ascii="Times New Roman" w:hAnsi="Times New Roman" w:cs="Times New Roman"/>
          <w:sz w:val="24"/>
          <w:szCs w:val="24"/>
          <w:lang w:val="en-US"/>
        </w:rPr>
        <w:t xml:space="preserve"> throughout the country</w:t>
      </w:r>
      <w:r w:rsidR="00C94013" w:rsidRPr="00802133">
        <w:rPr>
          <w:rFonts w:ascii="Times New Roman" w:hAnsi="Times New Roman" w:cs="Times New Roman"/>
          <w:sz w:val="24"/>
          <w:szCs w:val="24"/>
          <w:lang w:val="en-US"/>
        </w:rPr>
        <w:t xml:space="preserve"> (Macalister, 2024). </w:t>
      </w:r>
      <w:r w:rsidR="00A5305E" w:rsidRPr="00802133">
        <w:rPr>
          <w:rFonts w:ascii="Times New Roman" w:hAnsi="Times New Roman" w:cs="Times New Roman"/>
          <w:sz w:val="24"/>
          <w:szCs w:val="24"/>
          <w:lang w:val="en-US"/>
        </w:rPr>
        <w:t xml:space="preserve">Meanwhile, the recognition of local languages at the constitutional level is an indicator of language inclusivity and </w:t>
      </w:r>
      <w:proofErr w:type="spellStart"/>
      <w:r w:rsidR="00A5305E" w:rsidRPr="00802133">
        <w:rPr>
          <w:rFonts w:ascii="Times New Roman" w:hAnsi="Times New Roman" w:cs="Times New Roman"/>
          <w:sz w:val="24"/>
          <w:szCs w:val="24"/>
          <w:lang w:val="en-US"/>
        </w:rPr>
        <w:t>democratisation</w:t>
      </w:r>
      <w:proofErr w:type="spellEnd"/>
      <w:r w:rsidR="00A5305E" w:rsidRPr="00802133">
        <w:rPr>
          <w:rFonts w:ascii="Times New Roman" w:hAnsi="Times New Roman" w:cs="Times New Roman"/>
          <w:sz w:val="24"/>
          <w:szCs w:val="24"/>
          <w:lang w:val="en-US"/>
        </w:rPr>
        <w:t xml:space="preserve"> in education. In the awareness that there are </w:t>
      </w:r>
      <w:r w:rsidR="00C94013" w:rsidRPr="00802133">
        <w:rPr>
          <w:rFonts w:ascii="Times New Roman" w:hAnsi="Times New Roman" w:cs="Times New Roman"/>
          <w:sz w:val="24"/>
          <w:szCs w:val="24"/>
          <w:lang w:val="en-US"/>
        </w:rPr>
        <w:t>dozens</w:t>
      </w:r>
      <w:r w:rsidR="00A5305E" w:rsidRPr="00802133">
        <w:rPr>
          <w:rFonts w:ascii="Times New Roman" w:hAnsi="Times New Roman" w:cs="Times New Roman"/>
          <w:sz w:val="24"/>
          <w:szCs w:val="24"/>
          <w:lang w:val="en-US"/>
        </w:rPr>
        <w:t xml:space="preserve"> </w:t>
      </w:r>
      <w:r w:rsidR="00C94013" w:rsidRPr="00802133">
        <w:rPr>
          <w:rFonts w:ascii="Times New Roman" w:hAnsi="Times New Roman" w:cs="Times New Roman"/>
          <w:sz w:val="24"/>
          <w:szCs w:val="24"/>
          <w:lang w:val="en-US"/>
        </w:rPr>
        <w:t xml:space="preserve">of </w:t>
      </w:r>
      <w:r w:rsidR="00A5305E" w:rsidRPr="00802133">
        <w:rPr>
          <w:rFonts w:ascii="Times New Roman" w:hAnsi="Times New Roman" w:cs="Times New Roman"/>
          <w:sz w:val="24"/>
          <w:szCs w:val="24"/>
          <w:lang w:val="en-US"/>
        </w:rPr>
        <w:t xml:space="preserve">languages spoken all over the country, authorities in charge of education in Timor-Leste have made it a point to codify both national unification and appreciation of linguistic </w:t>
      </w:r>
      <w:r w:rsidR="001B2E53" w:rsidRPr="00802133">
        <w:rPr>
          <w:rFonts w:ascii="Times New Roman" w:hAnsi="Times New Roman" w:cs="Times New Roman"/>
          <w:sz w:val="24"/>
          <w:szCs w:val="24"/>
          <w:lang w:val="en-US"/>
        </w:rPr>
        <w:t>diversity</w:t>
      </w:r>
      <w:r w:rsidR="00C94013" w:rsidRPr="00802133">
        <w:rPr>
          <w:rFonts w:ascii="Times New Roman" w:hAnsi="Times New Roman" w:cs="Times New Roman"/>
          <w:sz w:val="24"/>
          <w:szCs w:val="24"/>
          <w:lang w:val="en-US"/>
        </w:rPr>
        <w:t xml:space="preserve"> (UNICEF, 2024)</w:t>
      </w:r>
      <w:r w:rsidR="00A5305E" w:rsidRPr="00802133">
        <w:rPr>
          <w:rFonts w:ascii="Times New Roman" w:hAnsi="Times New Roman" w:cs="Times New Roman"/>
          <w:sz w:val="24"/>
          <w:szCs w:val="24"/>
          <w:lang w:val="en-US"/>
        </w:rPr>
        <w:t xml:space="preserve">. This action is in </w:t>
      </w:r>
      <w:r w:rsidR="001B2E53" w:rsidRPr="00802133">
        <w:rPr>
          <w:rFonts w:ascii="Times New Roman" w:hAnsi="Times New Roman" w:cs="Times New Roman"/>
          <w:sz w:val="24"/>
          <w:szCs w:val="24"/>
          <w:lang w:val="en-US"/>
        </w:rPr>
        <w:t>reinforcing</w:t>
      </w:r>
      <w:r w:rsidR="00A5305E" w:rsidRPr="00802133">
        <w:rPr>
          <w:rFonts w:ascii="Times New Roman" w:hAnsi="Times New Roman" w:cs="Times New Roman"/>
          <w:sz w:val="24"/>
          <w:szCs w:val="24"/>
          <w:lang w:val="en-US"/>
        </w:rPr>
        <w:t xml:space="preserve"> with </w:t>
      </w:r>
      <w:r w:rsidR="001B2E53" w:rsidRPr="00802133">
        <w:rPr>
          <w:rFonts w:ascii="Times New Roman" w:hAnsi="Times New Roman" w:cs="Times New Roman"/>
          <w:sz w:val="24"/>
          <w:szCs w:val="24"/>
          <w:lang w:val="en-US"/>
        </w:rPr>
        <w:t xml:space="preserve">the </w:t>
      </w:r>
      <w:r w:rsidR="00A5305E" w:rsidRPr="00802133">
        <w:rPr>
          <w:rFonts w:ascii="Times New Roman" w:hAnsi="Times New Roman" w:cs="Times New Roman"/>
          <w:sz w:val="24"/>
          <w:szCs w:val="24"/>
          <w:lang w:val="en-US"/>
        </w:rPr>
        <w:t xml:space="preserve">international standards that </w:t>
      </w:r>
      <w:proofErr w:type="spellStart"/>
      <w:r w:rsidR="00A5305E" w:rsidRPr="00802133">
        <w:rPr>
          <w:rFonts w:ascii="Times New Roman" w:hAnsi="Times New Roman" w:cs="Times New Roman"/>
          <w:sz w:val="24"/>
          <w:szCs w:val="24"/>
          <w:lang w:val="en-US"/>
        </w:rPr>
        <w:t>emphasise</w:t>
      </w:r>
      <w:proofErr w:type="spellEnd"/>
      <w:r w:rsidR="00A5305E" w:rsidRPr="00802133">
        <w:rPr>
          <w:rFonts w:ascii="Times New Roman" w:hAnsi="Times New Roman" w:cs="Times New Roman"/>
          <w:sz w:val="24"/>
          <w:szCs w:val="24"/>
          <w:lang w:val="en-US"/>
        </w:rPr>
        <w:t xml:space="preserve"> the right to education in the native languages of learners by the United Nations </w:t>
      </w:r>
      <w:r w:rsidR="001B2E53" w:rsidRPr="00802133">
        <w:rPr>
          <w:rFonts w:ascii="Times New Roman" w:hAnsi="Times New Roman" w:cs="Times New Roman"/>
          <w:sz w:val="24"/>
          <w:szCs w:val="24"/>
          <w:lang w:val="en-US"/>
        </w:rPr>
        <w:t>Educational</w:t>
      </w:r>
      <w:r w:rsidR="00A5305E" w:rsidRPr="00802133">
        <w:rPr>
          <w:rFonts w:ascii="Times New Roman" w:hAnsi="Times New Roman" w:cs="Times New Roman"/>
          <w:sz w:val="24"/>
          <w:szCs w:val="24"/>
          <w:lang w:val="en-US"/>
        </w:rPr>
        <w:t xml:space="preserve">, Scientific and Cultural </w:t>
      </w:r>
      <w:proofErr w:type="spellStart"/>
      <w:r w:rsidR="00A5305E" w:rsidRPr="00802133">
        <w:rPr>
          <w:rFonts w:ascii="Times New Roman" w:hAnsi="Times New Roman" w:cs="Times New Roman"/>
          <w:sz w:val="24"/>
          <w:szCs w:val="24"/>
          <w:lang w:val="en-US"/>
        </w:rPr>
        <w:t>Organisation</w:t>
      </w:r>
      <w:proofErr w:type="spellEnd"/>
      <w:r w:rsidR="00A5305E" w:rsidRPr="00802133">
        <w:rPr>
          <w:rFonts w:ascii="Times New Roman" w:hAnsi="Times New Roman" w:cs="Times New Roman"/>
          <w:sz w:val="24"/>
          <w:szCs w:val="24"/>
          <w:lang w:val="en-US"/>
        </w:rPr>
        <w:t xml:space="preserve"> (UNESCO) and other bodies that call for this to be done as a grant of equity and cognitive advantage.</w:t>
      </w:r>
    </w:p>
    <w:p w14:paraId="02B38009" w14:textId="77777777" w:rsidR="00A5305E" w:rsidRPr="00A5305E" w:rsidRDefault="00A5305E" w:rsidP="00C94013">
      <w:pPr>
        <w:pStyle w:val="NormalWeb"/>
        <w:spacing w:before="0" w:beforeAutospacing="0" w:after="0" w:afterAutospacing="0" w:line="360" w:lineRule="auto"/>
        <w:ind w:firstLine="708"/>
        <w:jc w:val="both"/>
        <w:rPr>
          <w:lang w:val="en-US"/>
        </w:rPr>
      </w:pPr>
      <w:r w:rsidRPr="00A5305E">
        <w:rPr>
          <w:lang w:val="en-US"/>
        </w:rPr>
        <w:t>Since 2011, the Ministry of Education has piloted Mother Tongue-Based Multilingual Education (MTB-MLE) implementation in a limited number of schools to put these constitutional values into practice based on a model multilingual transition process</w:t>
      </w:r>
      <w:r w:rsidR="00891370">
        <w:rPr>
          <w:lang w:val="en-US"/>
        </w:rPr>
        <w:t xml:space="preserve"> (Taylor-Leech, 2013)</w:t>
      </w:r>
      <w:r w:rsidRPr="00A5305E">
        <w:rPr>
          <w:lang w:val="en-US"/>
        </w:rPr>
        <w:t xml:space="preserve">. The strategy adopted was the idea of early-grade literacy within native languages like </w:t>
      </w:r>
      <w:proofErr w:type="spellStart"/>
      <w:r w:rsidRPr="00A5305E">
        <w:rPr>
          <w:lang w:val="en-US"/>
        </w:rPr>
        <w:t>Fataluku</w:t>
      </w:r>
      <w:proofErr w:type="spellEnd"/>
      <w:r w:rsidRPr="00A5305E">
        <w:rPr>
          <w:lang w:val="en-US"/>
        </w:rPr>
        <w:t xml:space="preserve">, </w:t>
      </w:r>
      <w:proofErr w:type="spellStart"/>
      <w:r w:rsidRPr="00A5305E">
        <w:rPr>
          <w:lang w:val="en-US"/>
        </w:rPr>
        <w:t>Galolen</w:t>
      </w:r>
      <w:proofErr w:type="spellEnd"/>
      <w:r w:rsidRPr="00A5305E">
        <w:rPr>
          <w:lang w:val="en-US"/>
        </w:rPr>
        <w:t xml:space="preserve">, or </w:t>
      </w:r>
      <w:proofErr w:type="spellStart"/>
      <w:r w:rsidRPr="00A5305E">
        <w:rPr>
          <w:lang w:val="en-US"/>
        </w:rPr>
        <w:t>Baikeno</w:t>
      </w:r>
      <w:proofErr w:type="spellEnd"/>
      <w:r w:rsidRPr="00A5305E">
        <w:rPr>
          <w:lang w:val="en-US"/>
        </w:rPr>
        <w:t xml:space="preserve"> that have become dominant in certain geographic areas. Teaching was then done using </w:t>
      </w:r>
      <w:proofErr w:type="spellStart"/>
      <w:r w:rsidRPr="00A5305E">
        <w:rPr>
          <w:lang w:val="en-US"/>
        </w:rPr>
        <w:t>Tetun</w:t>
      </w:r>
      <w:proofErr w:type="spellEnd"/>
      <w:r w:rsidRPr="00A5305E">
        <w:rPr>
          <w:lang w:val="en-US"/>
        </w:rPr>
        <w:t xml:space="preserve"> as the medium, and the language </w:t>
      </w:r>
      <w:r w:rsidR="001843E2">
        <w:rPr>
          <w:lang w:val="en-US"/>
        </w:rPr>
        <w:t xml:space="preserve">was </w:t>
      </w:r>
      <w:r w:rsidRPr="00A5305E">
        <w:rPr>
          <w:lang w:val="en-US"/>
        </w:rPr>
        <w:t xml:space="preserve">finally switched to Portuguese in the upper level of primary school (UNICEF, 2024). The design of the program </w:t>
      </w:r>
      <w:r w:rsidRPr="00A5305E">
        <w:rPr>
          <w:lang w:val="en-US"/>
        </w:rPr>
        <w:lastRenderedPageBreak/>
        <w:t xml:space="preserve">was based on international research, which has revealed that a </w:t>
      </w:r>
      <w:r w:rsidR="00865CBC" w:rsidRPr="00A5305E">
        <w:rPr>
          <w:lang w:val="en-US"/>
        </w:rPr>
        <w:t>strong</w:t>
      </w:r>
      <w:r w:rsidRPr="00A5305E">
        <w:rPr>
          <w:lang w:val="en-US"/>
        </w:rPr>
        <w:t xml:space="preserve"> base in the first language of learners improves their long-term academic performance, transfer of their first language to the second language, and development of secondary language performance and literacy</w:t>
      </w:r>
      <w:r w:rsidR="007A6157">
        <w:rPr>
          <w:lang w:val="en-US"/>
        </w:rPr>
        <w:t xml:space="preserve"> (Cabral and Martin-Jones, 2021)</w:t>
      </w:r>
      <w:r w:rsidRPr="00A5305E">
        <w:rPr>
          <w:lang w:val="en-US"/>
        </w:rPr>
        <w:t xml:space="preserve">. This staged linguistic competency model is synonymous with an attempt at accommodating the </w:t>
      </w:r>
      <w:r w:rsidR="007822EB">
        <w:rPr>
          <w:lang w:val="en-US"/>
        </w:rPr>
        <w:t>role</w:t>
      </w:r>
      <w:r w:rsidRPr="00A5305E">
        <w:rPr>
          <w:lang w:val="en-US"/>
        </w:rPr>
        <w:t xml:space="preserve"> </w:t>
      </w:r>
      <w:r w:rsidR="007822EB">
        <w:rPr>
          <w:lang w:val="en-US"/>
        </w:rPr>
        <w:t xml:space="preserve">of </w:t>
      </w:r>
      <w:r w:rsidRPr="00A5305E">
        <w:rPr>
          <w:lang w:val="en-US"/>
        </w:rPr>
        <w:t>local sociolinguistic realities to national objectives of education and slowly equipping the students to connect to the global material through the Portuguese language</w:t>
      </w:r>
      <w:r w:rsidR="003C74BA">
        <w:rPr>
          <w:lang w:val="en-US"/>
        </w:rPr>
        <w:t xml:space="preserve"> (</w:t>
      </w:r>
      <w:r w:rsidR="003C74BA" w:rsidRPr="00A5305E">
        <w:rPr>
          <w:lang w:val="en-US"/>
        </w:rPr>
        <w:t>Taylor-Leech, 2013</w:t>
      </w:r>
      <w:r w:rsidR="003C74BA">
        <w:rPr>
          <w:lang w:val="en-US"/>
        </w:rPr>
        <w:t>)</w:t>
      </w:r>
      <w:r w:rsidRPr="00A5305E">
        <w:rPr>
          <w:lang w:val="en-US"/>
        </w:rPr>
        <w:t xml:space="preserve">. The MTB-MLE initiative has had its share of </w:t>
      </w:r>
      <w:r w:rsidR="007822EB">
        <w:rPr>
          <w:lang w:val="en-US"/>
        </w:rPr>
        <w:t>logistical</w:t>
      </w:r>
      <w:r w:rsidRPr="00A5305E">
        <w:rPr>
          <w:lang w:val="en-US"/>
        </w:rPr>
        <w:t xml:space="preserve"> and ideological issues that have persisted to inform its scaling and expansion in the nation.</w:t>
      </w:r>
    </w:p>
    <w:p w14:paraId="3B437824" w14:textId="77777777" w:rsidR="00A5305E" w:rsidRPr="00E34F05" w:rsidRDefault="00E92EFD" w:rsidP="00E92EFD">
      <w:pPr>
        <w:pStyle w:val="NormalWeb"/>
        <w:numPr>
          <w:ilvl w:val="1"/>
          <w:numId w:val="2"/>
        </w:numPr>
        <w:spacing w:before="0" w:beforeAutospacing="0" w:after="0" w:afterAutospacing="0" w:line="360" w:lineRule="auto"/>
        <w:jc w:val="both"/>
        <w:rPr>
          <w:b/>
          <w:lang w:val="en-US"/>
        </w:rPr>
      </w:pPr>
      <w:r>
        <w:rPr>
          <w:b/>
          <w:lang w:val="en-US"/>
        </w:rPr>
        <w:t xml:space="preserve"> </w:t>
      </w:r>
      <w:r w:rsidR="00A5305E" w:rsidRPr="00E34F05">
        <w:rPr>
          <w:b/>
          <w:lang w:val="en-US"/>
        </w:rPr>
        <w:t>Use of the Theoretical Framework in Timor-Leste</w:t>
      </w:r>
    </w:p>
    <w:p w14:paraId="2664D0A1" w14:textId="77777777" w:rsidR="00A5305E" w:rsidRPr="00A5305E" w:rsidRDefault="00A5305E" w:rsidP="00E34F05">
      <w:pPr>
        <w:pStyle w:val="NormalWeb"/>
        <w:spacing w:before="0" w:beforeAutospacing="0" w:after="0" w:afterAutospacing="0" w:line="360" w:lineRule="auto"/>
        <w:ind w:firstLine="708"/>
        <w:jc w:val="both"/>
        <w:rPr>
          <w:lang w:val="en-US"/>
        </w:rPr>
      </w:pPr>
      <w:r w:rsidRPr="00A5305E">
        <w:rPr>
          <w:lang w:val="en-US"/>
        </w:rPr>
        <w:t>UNESCO and UNICEF promote the EMULI (</w:t>
      </w:r>
      <w:proofErr w:type="spellStart"/>
      <w:r w:rsidRPr="00A5305E">
        <w:rPr>
          <w:lang w:val="en-US"/>
        </w:rPr>
        <w:t>Edukasaun</w:t>
      </w:r>
      <w:proofErr w:type="spellEnd"/>
      <w:r w:rsidRPr="00A5305E">
        <w:rPr>
          <w:lang w:val="en-US"/>
        </w:rPr>
        <w:t xml:space="preserve"> </w:t>
      </w:r>
      <w:proofErr w:type="spellStart"/>
      <w:r w:rsidRPr="00A5305E">
        <w:rPr>
          <w:lang w:val="en-US"/>
        </w:rPr>
        <w:t>Multilinge</w:t>
      </w:r>
      <w:proofErr w:type="spellEnd"/>
      <w:r w:rsidRPr="00A5305E">
        <w:rPr>
          <w:lang w:val="en-US"/>
        </w:rPr>
        <w:t xml:space="preserve">) program, which implements Cummins's </w:t>
      </w:r>
      <w:r w:rsidR="0032169D">
        <w:rPr>
          <w:lang w:val="en-US"/>
        </w:rPr>
        <w:t xml:space="preserve">(1979) </w:t>
      </w:r>
      <w:r w:rsidRPr="00A5305E">
        <w:rPr>
          <w:lang w:val="en-US"/>
        </w:rPr>
        <w:t xml:space="preserve">theories. The program will guarantee that the learners cross the threshold in L1 by implementing the literacy learning process in the child's native language to achieve additive bilingualism through </w:t>
      </w:r>
      <w:proofErr w:type="spellStart"/>
      <w:r w:rsidRPr="00A5305E">
        <w:rPr>
          <w:lang w:val="en-US"/>
        </w:rPr>
        <w:t>Tetun</w:t>
      </w:r>
      <w:proofErr w:type="spellEnd"/>
      <w:r w:rsidRPr="00A5305E">
        <w:rPr>
          <w:lang w:val="en-US"/>
        </w:rPr>
        <w:t xml:space="preserve"> or Portuguese (Ball, 2011). Assessments of EMULI have demonstrated a better result in literacy and retention in the lower classes where L1 is administered in strategic terms (UNICEF, 2024).</w:t>
      </w:r>
    </w:p>
    <w:p w14:paraId="04A468EA" w14:textId="77777777" w:rsidR="00A5305E" w:rsidRPr="00A5305E" w:rsidRDefault="00A5305E" w:rsidP="003C74BA">
      <w:pPr>
        <w:pStyle w:val="NormalWeb"/>
        <w:spacing w:before="0" w:beforeAutospacing="0" w:after="0" w:afterAutospacing="0" w:line="360" w:lineRule="auto"/>
        <w:ind w:firstLine="708"/>
        <w:jc w:val="both"/>
        <w:rPr>
          <w:lang w:val="en-US"/>
        </w:rPr>
      </w:pPr>
      <w:proofErr w:type="spellStart"/>
      <w:r w:rsidRPr="00A5305E">
        <w:rPr>
          <w:lang w:val="en-US"/>
        </w:rPr>
        <w:t>Tetun</w:t>
      </w:r>
      <w:proofErr w:type="spellEnd"/>
      <w:r w:rsidRPr="00A5305E">
        <w:rPr>
          <w:lang w:val="en-US"/>
        </w:rPr>
        <w:t xml:space="preserve"> serves as an effective medium and mediating language, functioning not just as a </w:t>
      </w:r>
      <w:r w:rsidR="00232411" w:rsidRPr="00A5305E">
        <w:rPr>
          <w:lang w:val="en-US"/>
        </w:rPr>
        <w:t>safeguard</w:t>
      </w:r>
      <w:r w:rsidRPr="00A5305E">
        <w:rPr>
          <w:lang w:val="en-US"/>
        </w:rPr>
        <w:t xml:space="preserve"> but also as a valid medium that incorporates Portuguese words and forms, particularly in urban </w:t>
      </w:r>
      <w:proofErr w:type="spellStart"/>
      <w:r w:rsidRPr="00A5305E">
        <w:rPr>
          <w:lang w:val="en-US"/>
        </w:rPr>
        <w:t>Tetun</w:t>
      </w:r>
      <w:proofErr w:type="spellEnd"/>
      <w:r w:rsidRPr="00A5305E">
        <w:rPr>
          <w:lang w:val="en-US"/>
        </w:rPr>
        <w:t xml:space="preserve"> </w:t>
      </w:r>
      <w:proofErr w:type="spellStart"/>
      <w:r w:rsidRPr="00A5305E">
        <w:rPr>
          <w:lang w:val="en-US"/>
        </w:rPr>
        <w:t>Prasa</w:t>
      </w:r>
      <w:proofErr w:type="spellEnd"/>
      <w:r w:rsidRPr="00A5305E">
        <w:rPr>
          <w:lang w:val="en-US"/>
        </w:rPr>
        <w:t xml:space="preserve"> (</w:t>
      </w:r>
      <w:proofErr w:type="spellStart"/>
      <w:r w:rsidRPr="00A5305E">
        <w:rPr>
          <w:lang w:val="en-US"/>
        </w:rPr>
        <w:t>Greksakova</w:t>
      </w:r>
      <w:proofErr w:type="spellEnd"/>
      <w:r w:rsidRPr="00A5305E">
        <w:rPr>
          <w:lang w:val="en-US"/>
        </w:rPr>
        <w:t xml:space="preserve">, 2018). The literature in ethnographies describes Timor-Leste's earlier approach, which shifted from maintaining L1 to an enrichment strategy that includes providing scaffolded instruction in the </w:t>
      </w:r>
      <w:proofErr w:type="spellStart"/>
      <w:r w:rsidRPr="00A5305E">
        <w:rPr>
          <w:lang w:val="en-US"/>
        </w:rPr>
        <w:t>Tetun</w:t>
      </w:r>
      <w:proofErr w:type="spellEnd"/>
      <w:r w:rsidRPr="00A5305E">
        <w:rPr>
          <w:lang w:val="en-US"/>
        </w:rPr>
        <w:t xml:space="preserve"> language and subsequent </w:t>
      </w:r>
      <w:r w:rsidR="005D7F7B" w:rsidRPr="00A5305E">
        <w:rPr>
          <w:lang w:val="en-US"/>
        </w:rPr>
        <w:t>engagement</w:t>
      </w:r>
      <w:r w:rsidRPr="00A5305E">
        <w:rPr>
          <w:lang w:val="en-US"/>
        </w:rPr>
        <w:t xml:space="preserve"> in the Portuguese language (da Costa, 2021).</w:t>
      </w:r>
      <w:r w:rsidR="003C74BA">
        <w:rPr>
          <w:lang w:val="en-US"/>
        </w:rPr>
        <w:t xml:space="preserve"> </w:t>
      </w:r>
      <w:r w:rsidRPr="00A5305E">
        <w:rPr>
          <w:lang w:val="en-US"/>
        </w:rPr>
        <w:t xml:space="preserve">The interaction in </w:t>
      </w:r>
      <w:r w:rsidR="003C74BA">
        <w:rPr>
          <w:lang w:val="en-US"/>
        </w:rPr>
        <w:t xml:space="preserve">the </w:t>
      </w:r>
      <w:r w:rsidRPr="00A5305E">
        <w:rPr>
          <w:lang w:val="en-US"/>
        </w:rPr>
        <w:t xml:space="preserve">classrooms in adulthood and early childhood education records a vivid application of a </w:t>
      </w:r>
      <w:r w:rsidR="003C74BA">
        <w:rPr>
          <w:lang w:val="en-US"/>
        </w:rPr>
        <w:t>mix</w:t>
      </w:r>
      <w:r w:rsidRPr="00A5305E">
        <w:rPr>
          <w:lang w:val="en-US"/>
        </w:rPr>
        <w:t xml:space="preserve"> of languages: teachers and students switch effortlessly between the mother tongue, </w:t>
      </w:r>
      <w:proofErr w:type="spellStart"/>
      <w:r w:rsidRPr="00A5305E">
        <w:rPr>
          <w:lang w:val="en-US"/>
        </w:rPr>
        <w:t>Tetun</w:t>
      </w:r>
      <w:proofErr w:type="spellEnd"/>
      <w:r w:rsidRPr="00A5305E">
        <w:rPr>
          <w:lang w:val="en-US"/>
        </w:rPr>
        <w:t xml:space="preserve">, Portuguese, and sometimes Indonesian. Multilingual classroom talk used in an adaptive manner is also used instead of </w:t>
      </w:r>
      <w:r w:rsidR="005D7F7B" w:rsidRPr="00A5305E">
        <w:rPr>
          <w:lang w:val="en-US"/>
        </w:rPr>
        <w:t>inflexible</w:t>
      </w:r>
      <w:r w:rsidRPr="00A5305E">
        <w:rPr>
          <w:lang w:val="en-US"/>
        </w:rPr>
        <w:t xml:space="preserve"> separate-language </w:t>
      </w:r>
      <w:r w:rsidR="005D7F7B" w:rsidRPr="00A5305E">
        <w:rPr>
          <w:lang w:val="en-US"/>
        </w:rPr>
        <w:t>sections</w:t>
      </w:r>
      <w:r w:rsidRPr="00A5305E">
        <w:rPr>
          <w:lang w:val="en-US"/>
        </w:rPr>
        <w:t xml:space="preserve"> and is used to explain concepts and support </w:t>
      </w:r>
      <w:proofErr w:type="spellStart"/>
      <w:r w:rsidRPr="00A5305E">
        <w:rPr>
          <w:lang w:val="en-US"/>
        </w:rPr>
        <w:t>conceptualisations</w:t>
      </w:r>
      <w:proofErr w:type="spellEnd"/>
      <w:r w:rsidRPr="00A5305E">
        <w:rPr>
          <w:lang w:val="en-US"/>
        </w:rPr>
        <w:t xml:space="preserve"> (Hornberger &amp; Johnson, 2007).</w:t>
      </w:r>
    </w:p>
    <w:p w14:paraId="325983DE" w14:textId="77777777" w:rsidR="00054402" w:rsidRPr="00054402" w:rsidRDefault="00E92EFD" w:rsidP="00E92EFD">
      <w:pPr>
        <w:pStyle w:val="BodyText"/>
        <w:numPr>
          <w:ilvl w:val="1"/>
          <w:numId w:val="2"/>
        </w:numPr>
        <w:spacing w:before="0" w:after="0" w:line="360" w:lineRule="auto"/>
        <w:jc w:val="both"/>
        <w:rPr>
          <w:rFonts w:ascii="Times New Roman" w:hAnsi="Times New Roman" w:cs="Times New Roman"/>
        </w:rPr>
      </w:pPr>
      <w:r>
        <w:rPr>
          <w:rFonts w:ascii="Times New Roman" w:hAnsi="Times New Roman" w:cs="Times New Roman"/>
          <w:b/>
          <w:bCs/>
        </w:rPr>
        <w:t xml:space="preserve"> </w:t>
      </w:r>
      <w:r w:rsidR="00054402" w:rsidRPr="00B0686C">
        <w:rPr>
          <w:rFonts w:ascii="Times New Roman" w:hAnsi="Times New Roman" w:cs="Times New Roman"/>
          <w:b/>
          <w:bCs/>
        </w:rPr>
        <w:t>Evidence and Outcomes from the Last Decad</w:t>
      </w:r>
      <w:r w:rsidR="00054402">
        <w:rPr>
          <w:rFonts w:ascii="Times New Roman" w:hAnsi="Times New Roman" w:cs="Times New Roman"/>
          <w:b/>
          <w:bCs/>
        </w:rPr>
        <w:t>e</w:t>
      </w:r>
    </w:p>
    <w:p w14:paraId="2F24B198" w14:textId="77777777" w:rsidR="00054402" w:rsidRPr="00054402" w:rsidRDefault="00054402" w:rsidP="00F7442A">
      <w:pPr>
        <w:pStyle w:val="NormalWeb"/>
        <w:spacing w:before="0" w:beforeAutospacing="0" w:after="0" w:afterAutospacing="0" w:line="360" w:lineRule="auto"/>
        <w:ind w:firstLine="709"/>
        <w:jc w:val="both"/>
        <w:rPr>
          <w:lang w:val="en-US"/>
        </w:rPr>
      </w:pPr>
      <w:r w:rsidRPr="00054402">
        <w:rPr>
          <w:lang w:val="en-US"/>
        </w:rPr>
        <w:t>Field assessments conducted from 2014</w:t>
      </w:r>
      <w:r w:rsidR="00071096">
        <w:rPr>
          <w:lang w:val="en-US"/>
        </w:rPr>
        <w:t xml:space="preserve">1 </w:t>
      </w:r>
      <w:r w:rsidRPr="00054402">
        <w:rPr>
          <w:lang w:val="en-US"/>
        </w:rPr>
        <w:t xml:space="preserve">to 2024 consistently show that students who learnt in their mother tongue during preschool and grades 1–3 perform better in basic reading skills and remain in school longer than those who directly enter </w:t>
      </w:r>
      <w:proofErr w:type="spellStart"/>
      <w:r w:rsidRPr="00054402">
        <w:rPr>
          <w:lang w:val="en-US"/>
        </w:rPr>
        <w:t>Tetun</w:t>
      </w:r>
      <w:proofErr w:type="spellEnd"/>
      <w:r w:rsidRPr="00054402">
        <w:rPr>
          <w:lang w:val="en-US"/>
        </w:rPr>
        <w:t xml:space="preserve"> or Portuguese immersion programs (Ball, 2011; UNICEF, 2024</w:t>
      </w:r>
      <w:r w:rsidR="00071096">
        <w:rPr>
          <w:lang w:val="en-US"/>
        </w:rPr>
        <w:t xml:space="preserve">; </w:t>
      </w:r>
      <w:r w:rsidR="00071096" w:rsidRPr="009E4CB4">
        <w:rPr>
          <w:rStyle w:val="Strong"/>
          <w:b w:val="0"/>
          <w:lang w:val="en-US"/>
        </w:rPr>
        <w:t>Chainey &amp; Cassity</w:t>
      </w:r>
      <w:r w:rsidR="00071096">
        <w:rPr>
          <w:rStyle w:val="Strong"/>
          <w:b w:val="0"/>
          <w:lang w:val="en-US"/>
        </w:rPr>
        <w:t>, 2021</w:t>
      </w:r>
      <w:r w:rsidRPr="00054402">
        <w:rPr>
          <w:lang w:val="en-US"/>
        </w:rPr>
        <w:t xml:space="preserve">). Multilingual Education (MTB-MLE) supports early learning in linguistically diverse settings like Timor-Leste. Further studies are needed to explore the cognitive and emotional benefits of learning a familiar </w:t>
      </w:r>
      <w:r w:rsidRPr="00054402">
        <w:rPr>
          <w:lang w:val="en-US"/>
        </w:rPr>
        <w:lastRenderedPageBreak/>
        <w:t>language in a native environment, which helps children develop self-confidence and a strong educational foundation before being introduced to a national or global language.</w:t>
      </w:r>
    </w:p>
    <w:p w14:paraId="2DBDD4CF" w14:textId="77777777" w:rsidR="00054402" w:rsidRPr="00054402" w:rsidRDefault="00054402" w:rsidP="00F7442A">
      <w:pPr>
        <w:pStyle w:val="NormalWeb"/>
        <w:spacing w:before="0" w:beforeAutospacing="0" w:after="0" w:afterAutospacing="0" w:line="360" w:lineRule="auto"/>
        <w:ind w:firstLine="709"/>
        <w:jc w:val="both"/>
        <w:rPr>
          <w:lang w:val="en-US"/>
        </w:rPr>
      </w:pPr>
      <w:r w:rsidRPr="00054402">
        <w:rPr>
          <w:lang w:val="en-US"/>
        </w:rPr>
        <w:t xml:space="preserve">However, there has been a lot of system-level investment in expanding MTB-MLE, which has involved exclusive teacher preparation in local mother tongues and </w:t>
      </w:r>
      <w:proofErr w:type="spellStart"/>
      <w:r w:rsidRPr="00054402">
        <w:rPr>
          <w:lang w:val="en-US"/>
        </w:rPr>
        <w:t>Tetun</w:t>
      </w:r>
      <w:proofErr w:type="spellEnd"/>
      <w:r w:rsidRPr="00054402">
        <w:rPr>
          <w:lang w:val="en-US"/>
        </w:rPr>
        <w:t>, as well as bilingual material development in context-specific language teaching materials</w:t>
      </w:r>
      <w:r w:rsidR="005E005B">
        <w:rPr>
          <w:lang w:val="en-US"/>
        </w:rPr>
        <w:t xml:space="preserve"> (Cabral and Martin-Jones, 2021)</w:t>
      </w:r>
      <w:r w:rsidRPr="00054402">
        <w:rPr>
          <w:lang w:val="en-US"/>
        </w:rPr>
        <w:t xml:space="preserve">. Although it was successful, the process of implementing it countrywide has experienced enormous obstacles. Delays in implementing the </w:t>
      </w:r>
      <w:r w:rsidR="00282E09">
        <w:rPr>
          <w:lang w:val="en-US"/>
        </w:rPr>
        <w:t xml:space="preserve">curriculum </w:t>
      </w:r>
      <w:r w:rsidR="00A92018">
        <w:rPr>
          <w:lang w:val="en-US"/>
        </w:rPr>
        <w:t>of elementary school</w:t>
      </w:r>
      <w:r w:rsidRPr="00054402">
        <w:rPr>
          <w:lang w:val="en-US"/>
        </w:rPr>
        <w:t>, coupled with unequal supply of materials and trained teachers, especially after Grade 3, have deferred standard adoption of the program (</w:t>
      </w:r>
      <w:r w:rsidR="00282E09" w:rsidRPr="009F3A1C">
        <w:rPr>
          <w:lang w:val="en-US"/>
        </w:rPr>
        <w:t>Quinn, 2023; Ximenes, 2025</w:t>
      </w:r>
      <w:r w:rsidRPr="00054402">
        <w:rPr>
          <w:lang w:val="en-US"/>
        </w:rPr>
        <w:t xml:space="preserve">). Furthermore, there are broader forces of language policy that complicate the implementation process. In contrast to </w:t>
      </w:r>
      <w:proofErr w:type="spellStart"/>
      <w:r w:rsidRPr="00054402">
        <w:rPr>
          <w:lang w:val="en-US"/>
        </w:rPr>
        <w:t>Tetun</w:t>
      </w:r>
      <w:proofErr w:type="spellEnd"/>
      <w:r w:rsidRPr="00054402">
        <w:rPr>
          <w:lang w:val="en-US"/>
        </w:rPr>
        <w:t xml:space="preserve">, which is a national language, Portuguese, despite its image as a </w:t>
      </w:r>
      <w:r w:rsidR="00D21223">
        <w:rPr>
          <w:lang w:val="en-US"/>
        </w:rPr>
        <w:t>link</w:t>
      </w:r>
      <w:r w:rsidRPr="00054402">
        <w:rPr>
          <w:lang w:val="en-US"/>
        </w:rPr>
        <w:t xml:space="preserve"> to international identity and social mobility and its symbolic response, is presented as culturally divisive and less accessible to most communities (Mohamed, 2015</w:t>
      </w:r>
      <w:r w:rsidR="002F7ACD">
        <w:rPr>
          <w:lang w:val="en-US"/>
        </w:rPr>
        <w:t>; Macalister, 2024</w:t>
      </w:r>
      <w:r w:rsidRPr="00054402">
        <w:rPr>
          <w:lang w:val="en-US"/>
        </w:rPr>
        <w:t>).</w:t>
      </w:r>
    </w:p>
    <w:p w14:paraId="6699D2B4" w14:textId="77777777" w:rsidR="00054402" w:rsidRPr="00B0686C" w:rsidRDefault="00E92EFD" w:rsidP="00E92EFD">
      <w:pPr>
        <w:pStyle w:val="BodyText"/>
        <w:numPr>
          <w:ilvl w:val="1"/>
          <w:numId w:val="2"/>
        </w:numPr>
        <w:spacing w:before="0" w:after="0" w:line="360" w:lineRule="auto"/>
        <w:jc w:val="both"/>
        <w:rPr>
          <w:rFonts w:ascii="Times New Roman" w:hAnsi="Times New Roman" w:cs="Times New Roman"/>
        </w:rPr>
      </w:pPr>
      <w:r>
        <w:rPr>
          <w:rFonts w:ascii="Times New Roman" w:hAnsi="Times New Roman" w:cs="Times New Roman"/>
          <w:b/>
          <w:bCs/>
        </w:rPr>
        <w:t xml:space="preserve"> </w:t>
      </w:r>
      <w:r w:rsidR="00054402" w:rsidRPr="00B0686C">
        <w:rPr>
          <w:rFonts w:ascii="Times New Roman" w:hAnsi="Times New Roman" w:cs="Times New Roman"/>
          <w:b/>
          <w:bCs/>
        </w:rPr>
        <w:t>Synthesis and Implications</w:t>
      </w:r>
    </w:p>
    <w:p w14:paraId="36352480" w14:textId="77777777" w:rsidR="00F7442A" w:rsidRDefault="004E6675" w:rsidP="00F7442A">
      <w:pPr>
        <w:pStyle w:val="NormalWeb"/>
        <w:spacing w:before="0" w:beforeAutospacing="0" w:after="0" w:afterAutospacing="0" w:line="360" w:lineRule="auto"/>
        <w:jc w:val="both"/>
        <w:rPr>
          <w:lang w:val="en-US"/>
        </w:rPr>
      </w:pPr>
      <w:r w:rsidRPr="004E6675">
        <w:rPr>
          <w:lang w:val="en-US"/>
        </w:rPr>
        <w:t xml:space="preserve">Timor-Leste has developed a multilingual education model that </w:t>
      </w:r>
      <w:proofErr w:type="spellStart"/>
      <w:r w:rsidRPr="004E6675">
        <w:rPr>
          <w:lang w:val="en-US"/>
        </w:rPr>
        <w:t>emphasises</w:t>
      </w:r>
      <w:proofErr w:type="spellEnd"/>
      <w:r w:rsidRPr="004E6675">
        <w:rPr>
          <w:lang w:val="en-US"/>
        </w:rPr>
        <w:t xml:space="preserve"> the importance of additive bilingualism, based on Cummins' </w:t>
      </w:r>
      <w:r w:rsidR="0032169D">
        <w:rPr>
          <w:lang w:val="en-US"/>
        </w:rPr>
        <w:t xml:space="preserve">(1979) </w:t>
      </w:r>
      <w:r w:rsidRPr="004E6675">
        <w:rPr>
          <w:lang w:val="en-US"/>
        </w:rPr>
        <w:t xml:space="preserve">threshold and the interdependence frameworks of policy and practice. When teaching the mother tongue, students are guaranteed to pass the linguistic threshold required; students are able to turn to </w:t>
      </w:r>
      <w:proofErr w:type="spellStart"/>
      <w:r w:rsidRPr="004E6675">
        <w:rPr>
          <w:lang w:val="en-US"/>
        </w:rPr>
        <w:t>Tetun</w:t>
      </w:r>
      <w:proofErr w:type="spellEnd"/>
      <w:r w:rsidRPr="004E6675">
        <w:rPr>
          <w:lang w:val="en-US"/>
        </w:rPr>
        <w:t xml:space="preserve"> as a culturally and linguistically strategic bridge; they can speak Portuguese as </w:t>
      </w:r>
      <w:r w:rsidR="00E73D3D">
        <w:rPr>
          <w:lang w:val="en-US"/>
        </w:rPr>
        <w:t>a</w:t>
      </w:r>
      <w:r w:rsidRPr="004E6675">
        <w:rPr>
          <w:lang w:val="en-US"/>
        </w:rPr>
        <w:t xml:space="preserve"> </w:t>
      </w:r>
      <w:r w:rsidR="00E73D3D" w:rsidRPr="004E6675">
        <w:rPr>
          <w:lang w:val="en-US"/>
        </w:rPr>
        <w:t>developed</w:t>
      </w:r>
      <w:r w:rsidRPr="004E6675">
        <w:rPr>
          <w:lang w:val="en-US"/>
        </w:rPr>
        <w:t xml:space="preserve"> linguistic skill in a later stage of their academic lives (da Costa, 2021). The translanguaging approach in classrooms also supports such theories, as it enables adaptable multilingual repertoires with varying conditions. The pedagogical </w:t>
      </w:r>
      <w:r w:rsidR="00B0507E" w:rsidRPr="004E6675">
        <w:rPr>
          <w:lang w:val="en-US"/>
        </w:rPr>
        <w:t>adaptability</w:t>
      </w:r>
      <w:r w:rsidRPr="004E6675">
        <w:rPr>
          <w:lang w:val="en-US"/>
        </w:rPr>
        <w:t xml:space="preserve"> </w:t>
      </w:r>
      <w:r w:rsidR="00B0507E" w:rsidRPr="004E6675">
        <w:rPr>
          <w:lang w:val="en-US"/>
        </w:rPr>
        <w:t>supports</w:t>
      </w:r>
      <w:r w:rsidRPr="004E6675">
        <w:rPr>
          <w:lang w:val="en-US"/>
        </w:rPr>
        <w:t xml:space="preserve"> understanding and developing concepts, especially since the lexical resources in </w:t>
      </w:r>
      <w:proofErr w:type="spellStart"/>
      <w:r w:rsidRPr="004E6675">
        <w:rPr>
          <w:lang w:val="en-US"/>
        </w:rPr>
        <w:t>Tetun</w:t>
      </w:r>
      <w:proofErr w:type="spellEnd"/>
      <w:r w:rsidRPr="004E6675">
        <w:rPr>
          <w:lang w:val="en-US"/>
        </w:rPr>
        <w:t xml:space="preserve"> or Portuguese have not yet matured (Hornberger &amp; Johnson, 2007).</w:t>
      </w:r>
    </w:p>
    <w:p w14:paraId="2FC60590" w14:textId="77777777" w:rsidR="00802133" w:rsidRDefault="005402D4" w:rsidP="00F7442A">
      <w:pPr>
        <w:pStyle w:val="NormalWeb"/>
        <w:spacing w:before="0" w:beforeAutospacing="0" w:after="0" w:afterAutospacing="0" w:line="360" w:lineRule="auto"/>
        <w:jc w:val="both"/>
        <w:rPr>
          <w:lang w:val="en-US"/>
        </w:rPr>
      </w:pPr>
      <w:r>
        <w:rPr>
          <w:lang w:val="en-US"/>
        </w:rPr>
        <w:t>T</w:t>
      </w:r>
      <w:r w:rsidR="00802133" w:rsidRPr="00802133">
        <w:rPr>
          <w:lang w:val="en-US"/>
        </w:rPr>
        <w:t xml:space="preserve">he establishment of multilingual education in Timor-Leste is based on </w:t>
      </w:r>
      <w:r w:rsidR="004714BC" w:rsidRPr="00802133">
        <w:rPr>
          <w:lang w:val="en-US"/>
        </w:rPr>
        <w:t>strong</w:t>
      </w:r>
      <w:r w:rsidR="00802133" w:rsidRPr="00802133">
        <w:rPr>
          <w:lang w:val="en-US"/>
        </w:rPr>
        <w:t xml:space="preserve"> theoretical premises, including the interdependence and threshold hypotheses on multilingualism proposed by Cummins (1979). The typologies of multilingual education spearheaded by the UNESCO International Bureau of Education (IBE) and the translanguaging paradigm would help explain why instructing and educating children in their mother tongue and </w:t>
      </w:r>
      <w:proofErr w:type="spellStart"/>
      <w:r w:rsidR="00802133" w:rsidRPr="00802133">
        <w:rPr>
          <w:lang w:val="en-US"/>
        </w:rPr>
        <w:t>Tetun</w:t>
      </w:r>
      <w:proofErr w:type="spellEnd"/>
      <w:r w:rsidR="00802133" w:rsidRPr="00802133">
        <w:rPr>
          <w:lang w:val="en-US"/>
        </w:rPr>
        <w:t xml:space="preserve"> enriches their further acquisition of Portuguese. </w:t>
      </w:r>
      <w:r w:rsidR="00802133" w:rsidRPr="004714BC">
        <w:rPr>
          <w:lang w:val="en-US"/>
        </w:rPr>
        <w:t xml:space="preserve">The research conducted from 2015 to 2025 supports additive multilingual approaches, indicating that the primary use of the mother tongue in reading enhances learning, that using </w:t>
      </w:r>
      <w:proofErr w:type="spellStart"/>
      <w:r w:rsidR="00802133" w:rsidRPr="004714BC">
        <w:rPr>
          <w:lang w:val="en-US"/>
        </w:rPr>
        <w:t>Tetun</w:t>
      </w:r>
      <w:proofErr w:type="spellEnd"/>
      <w:r w:rsidR="00802133" w:rsidRPr="004714BC">
        <w:rPr>
          <w:lang w:val="en-US"/>
        </w:rPr>
        <w:t xml:space="preserve"> is beneficial, and that these factors result in greater success in Portuguese.</w:t>
      </w:r>
      <w:r w:rsidR="00802133" w:rsidRPr="00802133">
        <w:rPr>
          <w:lang w:val="en-US"/>
        </w:rPr>
        <w:t xml:space="preserve"> To achieve a sustainable and fair result, the policy and program design should be dedicated to supporting teacher education, providing multilingual resources, and </w:t>
      </w:r>
      <w:r w:rsidR="00802133" w:rsidRPr="00802133">
        <w:rPr>
          <w:lang w:val="en-US"/>
        </w:rPr>
        <w:lastRenderedPageBreak/>
        <w:t>guaranteeing a consistent, long-term path of education, which will ensure that all students develop the experience of theory-based practice.</w:t>
      </w:r>
    </w:p>
    <w:p w14:paraId="5AD02E97" w14:textId="77777777" w:rsidR="008347D8" w:rsidRDefault="008347D8" w:rsidP="00F7442A">
      <w:pPr>
        <w:pStyle w:val="NormalWeb"/>
        <w:spacing w:before="0" w:beforeAutospacing="0" w:after="0" w:afterAutospacing="0" w:line="360" w:lineRule="auto"/>
        <w:jc w:val="both"/>
        <w:rPr>
          <w:lang w:val="en-US"/>
        </w:rPr>
      </w:pPr>
    </w:p>
    <w:p w14:paraId="7F98496B" w14:textId="77777777" w:rsidR="008347D8" w:rsidRPr="008347D8" w:rsidRDefault="008347D8" w:rsidP="00E92EFD">
      <w:pPr>
        <w:pStyle w:val="NormalWeb"/>
        <w:numPr>
          <w:ilvl w:val="0"/>
          <w:numId w:val="2"/>
        </w:numPr>
        <w:spacing w:before="0" w:beforeAutospacing="0" w:after="0" w:afterAutospacing="0" w:line="360" w:lineRule="auto"/>
        <w:jc w:val="both"/>
        <w:rPr>
          <w:b/>
          <w:lang w:val="en-US"/>
        </w:rPr>
      </w:pPr>
      <w:r w:rsidRPr="008347D8">
        <w:rPr>
          <w:b/>
          <w:lang w:val="en-US"/>
        </w:rPr>
        <w:t>Research Methodology</w:t>
      </w:r>
    </w:p>
    <w:p w14:paraId="104583A9" w14:textId="77777777" w:rsidR="008347D8" w:rsidRDefault="00E92EFD" w:rsidP="00E92EFD">
      <w:pPr>
        <w:pStyle w:val="NormalWeb"/>
        <w:numPr>
          <w:ilvl w:val="1"/>
          <w:numId w:val="2"/>
        </w:numPr>
        <w:rPr>
          <w:lang w:val="en-US"/>
        </w:rPr>
      </w:pPr>
      <w:r>
        <w:rPr>
          <w:rStyle w:val="Strong"/>
          <w:lang w:val="en-US"/>
        </w:rPr>
        <w:t xml:space="preserve"> </w:t>
      </w:r>
      <w:r w:rsidR="008347D8" w:rsidRPr="008347D8">
        <w:rPr>
          <w:rStyle w:val="Strong"/>
          <w:lang w:val="en-US"/>
        </w:rPr>
        <w:t>Research Design</w:t>
      </w:r>
    </w:p>
    <w:p w14:paraId="55D8B28D" w14:textId="77777777" w:rsidR="008347D8" w:rsidRDefault="008347D8" w:rsidP="002816B5">
      <w:pPr>
        <w:spacing w:after="120" w:line="360" w:lineRule="auto"/>
        <w:jc w:val="both"/>
        <w:rPr>
          <w:rFonts w:ascii="Times New Roman" w:eastAsia="Times New Roman" w:hAnsi="Times New Roman" w:cs="Times New Roman"/>
          <w:sz w:val="24"/>
          <w:szCs w:val="24"/>
          <w:lang w:val="en-US" w:eastAsia="pt-PT"/>
        </w:rPr>
      </w:pPr>
      <w:r>
        <w:rPr>
          <w:rFonts w:ascii="Times New Roman" w:eastAsia="Times New Roman" w:hAnsi="Times New Roman" w:cs="Times New Roman"/>
          <w:sz w:val="24"/>
          <w:szCs w:val="24"/>
          <w:lang w:val="en-US" w:eastAsia="pt-PT"/>
        </w:rPr>
        <w:t xml:space="preserve">This study </w:t>
      </w:r>
      <w:proofErr w:type="spellStart"/>
      <w:r>
        <w:rPr>
          <w:rFonts w:ascii="Times New Roman" w:eastAsia="Times New Roman" w:hAnsi="Times New Roman" w:cs="Times New Roman"/>
          <w:sz w:val="24"/>
          <w:szCs w:val="24"/>
          <w:lang w:val="en-US" w:eastAsia="pt-PT"/>
        </w:rPr>
        <w:t>utilised</w:t>
      </w:r>
      <w:proofErr w:type="spellEnd"/>
      <w:r>
        <w:rPr>
          <w:rFonts w:ascii="Times New Roman" w:eastAsia="Times New Roman" w:hAnsi="Times New Roman" w:cs="Times New Roman"/>
          <w:sz w:val="24"/>
          <w:szCs w:val="24"/>
          <w:lang w:val="en-US" w:eastAsia="pt-PT"/>
        </w:rPr>
        <w:t xml:space="preserve"> a non-experimental quantitative approach. This type of research makes it easier to study real problems in social, educational, and linguistic contexts. In this type of research, questionnaires are used as an instrument for collecting data. According to </w:t>
      </w:r>
      <w:r w:rsidRPr="006F0101">
        <w:rPr>
          <w:rFonts w:ascii="Times New Roman" w:eastAsia="Times New Roman" w:hAnsi="Times New Roman" w:cs="Times New Roman"/>
          <w:sz w:val="24"/>
          <w:szCs w:val="24"/>
          <w:lang w:val="en-US" w:eastAsia="pt-PT"/>
        </w:rPr>
        <w:t>Stockemer (2019),</w:t>
      </w:r>
      <w:r>
        <w:rPr>
          <w:rFonts w:ascii="Times New Roman" w:eastAsia="Times New Roman" w:hAnsi="Times New Roman" w:cs="Times New Roman"/>
          <w:sz w:val="24"/>
          <w:szCs w:val="24"/>
          <w:lang w:val="en-US" w:eastAsia="pt-PT"/>
        </w:rPr>
        <w:t xml:space="preserve"> using a questionnaire survey in quantitative research is an important step in ensuring the effectiveness of the statistical analysis process. Therefore, the data in this study were measured numerically and </w:t>
      </w:r>
      <w:proofErr w:type="spellStart"/>
      <w:r>
        <w:rPr>
          <w:rFonts w:ascii="Times New Roman" w:eastAsia="Times New Roman" w:hAnsi="Times New Roman" w:cs="Times New Roman"/>
          <w:sz w:val="24"/>
          <w:szCs w:val="24"/>
          <w:lang w:val="en-US" w:eastAsia="pt-PT"/>
        </w:rPr>
        <w:t>analysed</w:t>
      </w:r>
      <w:proofErr w:type="spellEnd"/>
      <w:r>
        <w:rPr>
          <w:rFonts w:ascii="Times New Roman" w:eastAsia="Times New Roman" w:hAnsi="Times New Roman" w:cs="Times New Roman"/>
          <w:sz w:val="24"/>
          <w:szCs w:val="24"/>
          <w:lang w:val="en-US" w:eastAsia="pt-PT"/>
        </w:rPr>
        <w:t xml:space="preserve"> using descriptive and inferential statistical methods. Descriptive statistical analysis is an accurate method to explain the data from the survey and understand the sample in a specific situation (Kaur, Stoltzfus, &amp; </w:t>
      </w:r>
      <w:proofErr w:type="spellStart"/>
      <w:r>
        <w:rPr>
          <w:rFonts w:ascii="Times New Roman" w:eastAsia="Times New Roman" w:hAnsi="Times New Roman" w:cs="Times New Roman"/>
          <w:sz w:val="24"/>
          <w:szCs w:val="24"/>
          <w:lang w:val="en-US" w:eastAsia="pt-PT"/>
        </w:rPr>
        <w:t>Yellapu</w:t>
      </w:r>
      <w:proofErr w:type="spellEnd"/>
      <w:r>
        <w:rPr>
          <w:rFonts w:ascii="Times New Roman" w:eastAsia="Times New Roman" w:hAnsi="Times New Roman" w:cs="Times New Roman"/>
          <w:sz w:val="24"/>
          <w:szCs w:val="24"/>
          <w:lang w:val="en-US" w:eastAsia="pt-PT"/>
        </w:rPr>
        <w:t xml:space="preserve">, 2018). Besides that, inferential statistical analysis was also applied to conclude a sample in the population, and it allowed the researcher to test hypotheses and </w:t>
      </w:r>
      <w:proofErr w:type="spellStart"/>
      <w:r>
        <w:rPr>
          <w:rFonts w:ascii="Times New Roman" w:eastAsia="Times New Roman" w:hAnsi="Times New Roman" w:cs="Times New Roman"/>
          <w:sz w:val="24"/>
          <w:szCs w:val="24"/>
          <w:lang w:val="en-US" w:eastAsia="pt-PT"/>
        </w:rPr>
        <w:t>analyse</w:t>
      </w:r>
      <w:proofErr w:type="spellEnd"/>
      <w:r>
        <w:rPr>
          <w:rFonts w:ascii="Times New Roman" w:eastAsia="Times New Roman" w:hAnsi="Times New Roman" w:cs="Times New Roman"/>
          <w:sz w:val="24"/>
          <w:szCs w:val="24"/>
          <w:lang w:val="en-US" w:eastAsia="pt-PT"/>
        </w:rPr>
        <w:t xml:space="preserve"> relationships between variables (Casella &amp; Berger, 2024). </w:t>
      </w:r>
    </w:p>
    <w:p w14:paraId="7546A1FD" w14:textId="77777777" w:rsidR="008347D8" w:rsidRPr="00E92EFD" w:rsidRDefault="00E92EFD" w:rsidP="00E92EFD">
      <w:pPr>
        <w:pStyle w:val="ListParagraph"/>
        <w:numPr>
          <w:ilvl w:val="1"/>
          <w:numId w:val="2"/>
        </w:numPr>
        <w:spacing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BA5EF9" w:rsidRPr="00E92EFD">
        <w:rPr>
          <w:rFonts w:ascii="Times New Roman" w:hAnsi="Times New Roman" w:cs="Times New Roman"/>
          <w:b/>
          <w:sz w:val="24"/>
          <w:szCs w:val="24"/>
          <w:lang w:val="en-US"/>
        </w:rPr>
        <w:t xml:space="preserve">Research Site and </w:t>
      </w:r>
      <w:r w:rsidR="008347D8" w:rsidRPr="00E92EFD">
        <w:rPr>
          <w:rFonts w:ascii="Times New Roman" w:hAnsi="Times New Roman" w:cs="Times New Roman"/>
          <w:b/>
          <w:sz w:val="24"/>
          <w:szCs w:val="24"/>
          <w:lang w:val="en-US"/>
        </w:rPr>
        <w:t xml:space="preserve">Sampling </w:t>
      </w:r>
      <w:r w:rsidR="00BA5EF9" w:rsidRPr="00E92EFD">
        <w:rPr>
          <w:rFonts w:ascii="Times New Roman" w:hAnsi="Times New Roman" w:cs="Times New Roman"/>
          <w:b/>
          <w:sz w:val="24"/>
          <w:szCs w:val="24"/>
          <w:lang w:val="en-US"/>
        </w:rPr>
        <w:t>Method</w:t>
      </w:r>
    </w:p>
    <w:p w14:paraId="31C14DCA" w14:textId="77777777" w:rsidR="008347D8" w:rsidRDefault="008347D8" w:rsidP="002816B5">
      <w:pPr>
        <w:pStyle w:val="NormalWeb"/>
        <w:spacing w:before="0" w:beforeAutospacing="0" w:after="120" w:afterAutospacing="0" w:line="360" w:lineRule="auto"/>
        <w:jc w:val="both"/>
        <w:rPr>
          <w:lang w:val="en-US"/>
        </w:rPr>
      </w:pPr>
      <w:r>
        <w:rPr>
          <w:lang w:val="en-US"/>
        </w:rPr>
        <w:t xml:space="preserve">This quantitative research used one of the probability sampling techniques, that is, the simple random sampling technique, to ensure that every participant in the target population had an equal probability of selection. This method was adopted because it helps reduce sampling bias and contributes to the representativeness of the findings for the population, as proposed by Berndt (2020). The sample included 292 elementary students who were in Grades 5 and 6 in two primary schools in Baucau Municipality, Timor-Leste, where the students were exposed to several languages, such as Tetum, Portuguese, and the two local mother languages such as </w:t>
      </w:r>
      <w:proofErr w:type="spellStart"/>
      <w:r>
        <w:rPr>
          <w:lang w:val="en-US"/>
        </w:rPr>
        <w:t>Makasae</w:t>
      </w:r>
      <w:proofErr w:type="spellEnd"/>
      <w:r>
        <w:rPr>
          <w:lang w:val="en-US"/>
        </w:rPr>
        <w:t xml:space="preserve"> and </w:t>
      </w:r>
      <w:proofErr w:type="spellStart"/>
      <w:r>
        <w:rPr>
          <w:lang w:val="en-US"/>
        </w:rPr>
        <w:t>Uai-ma’a</w:t>
      </w:r>
      <w:proofErr w:type="spellEnd"/>
      <w:r>
        <w:rPr>
          <w:lang w:val="en-US"/>
        </w:rPr>
        <w:t>.</w:t>
      </w:r>
    </w:p>
    <w:p w14:paraId="5FD200FE" w14:textId="77777777" w:rsidR="008347D8" w:rsidRDefault="008347D8" w:rsidP="002816B5">
      <w:pPr>
        <w:pStyle w:val="NormalWeb"/>
        <w:spacing w:before="0" w:beforeAutospacing="0" w:after="120" w:afterAutospacing="0" w:line="360" w:lineRule="auto"/>
        <w:jc w:val="both"/>
        <w:rPr>
          <w:lang w:val="en-US"/>
        </w:rPr>
      </w:pPr>
      <w:r>
        <w:rPr>
          <w:lang w:val="en-US"/>
        </w:rPr>
        <w:t>The frequency of the required sample was determined with the help of the formula to estimate the proportions:</w:t>
      </w:r>
    </w:p>
    <w:p w14:paraId="167CFC79" w14:textId="77777777" w:rsidR="008347D8" w:rsidRDefault="008347D8" w:rsidP="002816B5">
      <w:pPr>
        <w:spacing w:after="120" w:line="360" w:lineRule="auto"/>
        <w:jc w:val="both"/>
        <w:rPr>
          <w:rFonts w:ascii="Times New Roman" w:hAnsi="Times New Roman" w:cs="Times New Roman"/>
          <w:sz w:val="24"/>
          <w:szCs w:val="24"/>
          <w:lang w:val="en-US"/>
        </w:rPr>
      </w:pPr>
      <m:oMath>
        <m:r>
          <w:rPr>
            <w:rFonts w:ascii="Cambria Math" w:hAnsi="Cambria Math" w:cs="Times New Roman"/>
            <w:sz w:val="24"/>
            <w:szCs w:val="24"/>
          </w:rPr>
          <m:t>N</m:t>
        </m:r>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rPr>
              <m:t>p</m:t>
            </m:r>
            <m:r>
              <w:rPr>
                <w:rFonts w:ascii="Cambria Math" w:hAnsi="Cambria Math" w:cs="Times New Roman"/>
                <w:sz w:val="24"/>
                <w:szCs w:val="24"/>
                <w:lang w:val="en-US"/>
              </w:rPr>
              <m:t>(100-</m:t>
            </m:r>
            <m:r>
              <w:rPr>
                <w:rFonts w:ascii="Cambria Math" w:hAnsi="Cambria Math" w:cs="Times New Roman"/>
                <w:sz w:val="24"/>
                <w:szCs w:val="24"/>
              </w:rPr>
              <m:t>p</m:t>
            </m:r>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lang w:val="en-US"/>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lang w:val="en-US"/>
                  </w:rPr>
                  <m:t>2</m:t>
                </m:r>
              </m:sup>
            </m:sSup>
          </m:den>
        </m:f>
      </m:oMath>
      <w:r>
        <w:rPr>
          <w:rFonts w:ascii="Times New Roman" w:hAnsi="Times New Roman" w:cs="Times New Roman"/>
          <w:sz w:val="24"/>
          <w:szCs w:val="24"/>
          <w:lang w:val="en-US"/>
        </w:rPr>
        <w:t xml:space="preserve"> </w:t>
      </w:r>
    </w:p>
    <w:p w14:paraId="53EE6C85" w14:textId="77777777" w:rsidR="008347D8" w:rsidRDefault="008347D8" w:rsidP="002816B5">
      <w:pPr>
        <w:pStyle w:val="NormalWeb"/>
        <w:spacing w:before="0" w:beforeAutospacing="0" w:after="120" w:afterAutospacing="0" w:line="360" w:lineRule="auto"/>
        <w:jc w:val="both"/>
        <w:rPr>
          <w:lang w:val="en-US"/>
        </w:rPr>
      </w:pPr>
      <w:r>
        <w:rPr>
          <w:lang w:val="en-US"/>
        </w:rPr>
        <w:t xml:space="preserve">Where N is the size of the sample that is needed, P is the assumed value of the proportion of the population that has the characteristic of interest, Z is the standard normal variable that is attributed to the confidence level that is required, and E represents the optimum acceptable </w:t>
      </w:r>
      <w:r>
        <w:rPr>
          <w:lang w:val="en-US"/>
        </w:rPr>
        <w:lastRenderedPageBreak/>
        <w:t>margin of error. The first sample size was calculated using a 95% confidence level, which corresponds to a z-value of 1.96.</w:t>
      </w:r>
    </w:p>
    <w:p w14:paraId="7CC61DDA" w14:textId="77777777" w:rsidR="008347D8" w:rsidRDefault="008347D8" w:rsidP="002816B5">
      <w:pPr>
        <w:pStyle w:val="NormalWeb"/>
        <w:spacing w:before="0" w:beforeAutospacing="0" w:after="120" w:afterAutospacing="0" w:line="360" w:lineRule="auto"/>
        <w:jc w:val="both"/>
        <w:rPr>
          <w:lang w:val="en-US"/>
        </w:rPr>
      </w:pPr>
      <w:r>
        <w:rPr>
          <w:lang w:val="en-US"/>
        </w:rPr>
        <w:t xml:space="preserve">The first sample size was considered to be 167 students with an assumed population proportion of 0.50, an assumed error of 5 per cent and the assumed population proportion being 0.50. The study was conducted with a determinate population of 292 students. There is a total sample size of N=292, the finite population correction (FPC) was used, and the familiar sample size was retained at 175 students to increase the accuracy. This sample size is sufficient to achieve an effective margin of error of approximately ±4.7, which is statistically adequate for </w:t>
      </w:r>
      <w:proofErr w:type="spellStart"/>
      <w:r>
        <w:rPr>
          <w:lang w:val="en-US"/>
        </w:rPr>
        <w:t>generalising</w:t>
      </w:r>
      <w:proofErr w:type="spellEnd"/>
      <w:r>
        <w:rPr>
          <w:lang w:val="en-US"/>
        </w:rPr>
        <w:t xml:space="preserve"> the results to the target population. According to </w:t>
      </w:r>
      <w:r>
        <w:rPr>
          <w:color w:val="222222"/>
          <w:shd w:val="clear" w:color="auto" w:fill="FFFFFF"/>
          <w:lang w:val="en-US"/>
        </w:rPr>
        <w:t>Noor, Tajik, &amp; Golzar (2022), r</w:t>
      </w:r>
      <w:r>
        <w:rPr>
          <w:lang w:val="en-US"/>
        </w:rPr>
        <w:t>andom sampling of the population of the two schools provided equal representation of students in both Grade 5 and Grade 6, and the activities of both languages have different linguistic backgrounds and experience in learning the Portuguese language.</w:t>
      </w:r>
    </w:p>
    <w:p w14:paraId="577437D8" w14:textId="77777777" w:rsidR="008347D8" w:rsidRPr="00E92EFD" w:rsidRDefault="00E92EFD" w:rsidP="00E92EFD">
      <w:pPr>
        <w:pStyle w:val="ListParagraph"/>
        <w:numPr>
          <w:ilvl w:val="1"/>
          <w:numId w:val="2"/>
        </w:numPr>
        <w:spacing w:after="12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347D8" w:rsidRPr="00E92EFD">
        <w:rPr>
          <w:rFonts w:ascii="Times New Roman" w:hAnsi="Times New Roman" w:cs="Times New Roman"/>
          <w:b/>
          <w:sz w:val="24"/>
          <w:szCs w:val="24"/>
          <w:lang w:val="en-US"/>
        </w:rPr>
        <w:t xml:space="preserve">Data </w:t>
      </w:r>
      <w:r w:rsidR="00D223E7" w:rsidRPr="00E92EFD">
        <w:rPr>
          <w:rFonts w:ascii="Times New Roman" w:hAnsi="Times New Roman" w:cs="Times New Roman"/>
          <w:b/>
          <w:sz w:val="24"/>
          <w:szCs w:val="24"/>
          <w:lang w:val="en-US"/>
        </w:rPr>
        <w:t>Collection Method</w:t>
      </w:r>
    </w:p>
    <w:p w14:paraId="208F38DB" w14:textId="77777777" w:rsidR="002816B5" w:rsidRPr="002816B5" w:rsidRDefault="002816B5" w:rsidP="002816B5">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2816B5">
        <w:rPr>
          <w:rFonts w:ascii="Times New Roman" w:eastAsia="Times New Roman" w:hAnsi="Times New Roman" w:cs="Times New Roman"/>
          <w:sz w:val="24"/>
          <w:szCs w:val="24"/>
          <w:lang w:val="en-US" w:eastAsia="pt-PT"/>
        </w:rPr>
        <w:t xml:space="preserve">The survey questionnaire was used to collect the quantitative data, together with a test for </w:t>
      </w:r>
      <w:r w:rsidR="00E20EAB">
        <w:rPr>
          <w:rFonts w:ascii="Times New Roman" w:eastAsia="Times New Roman" w:hAnsi="Times New Roman" w:cs="Times New Roman"/>
          <w:sz w:val="24"/>
          <w:szCs w:val="24"/>
          <w:lang w:val="en-US" w:eastAsia="pt-PT"/>
        </w:rPr>
        <w:t xml:space="preserve">students’ </w:t>
      </w:r>
      <w:r w:rsidRPr="002816B5">
        <w:rPr>
          <w:rFonts w:ascii="Times New Roman" w:eastAsia="Times New Roman" w:hAnsi="Times New Roman" w:cs="Times New Roman"/>
          <w:sz w:val="24"/>
          <w:szCs w:val="24"/>
          <w:lang w:val="en-US" w:eastAsia="pt-PT"/>
        </w:rPr>
        <w:t xml:space="preserve">Portuguese language proficiency. A questionnaire is a research instrument that contains written statements in a systematic manner used by the researcher to obtain information from respondents that ranges from 'strongly disagree' to 'strongly agree' </w:t>
      </w:r>
      <w:r w:rsidRPr="00B134D3">
        <w:rPr>
          <w:rFonts w:ascii="Times New Roman" w:eastAsia="Times New Roman" w:hAnsi="Times New Roman" w:cs="Times New Roman"/>
          <w:sz w:val="24"/>
          <w:szCs w:val="24"/>
          <w:lang w:val="en-US" w:eastAsia="pt-PT"/>
        </w:rPr>
        <w:t>(</w:t>
      </w:r>
      <w:proofErr w:type="spellStart"/>
      <w:r w:rsidRPr="00B134D3">
        <w:rPr>
          <w:rFonts w:ascii="Times New Roman" w:eastAsia="Times New Roman" w:hAnsi="Times New Roman" w:cs="Times New Roman"/>
          <w:sz w:val="24"/>
          <w:szCs w:val="24"/>
          <w:lang w:val="en-US" w:eastAsia="pt-PT"/>
        </w:rPr>
        <w:t>Sugiyono</w:t>
      </w:r>
      <w:proofErr w:type="spellEnd"/>
      <w:r w:rsidRPr="00B134D3">
        <w:rPr>
          <w:rFonts w:ascii="Times New Roman" w:eastAsia="Times New Roman" w:hAnsi="Times New Roman" w:cs="Times New Roman"/>
          <w:sz w:val="24"/>
          <w:szCs w:val="24"/>
          <w:lang w:val="en-US" w:eastAsia="pt-PT"/>
        </w:rPr>
        <w:t>, 201</w:t>
      </w:r>
      <w:r w:rsidR="001422DB" w:rsidRPr="00B134D3">
        <w:rPr>
          <w:rFonts w:ascii="Times New Roman" w:eastAsia="Times New Roman" w:hAnsi="Times New Roman" w:cs="Times New Roman"/>
          <w:sz w:val="24"/>
          <w:szCs w:val="24"/>
          <w:lang w:val="en-US" w:eastAsia="pt-PT"/>
        </w:rPr>
        <w:t>8</w:t>
      </w:r>
      <w:r w:rsidRPr="00B134D3">
        <w:rPr>
          <w:rFonts w:ascii="Times New Roman" w:eastAsia="Times New Roman" w:hAnsi="Times New Roman" w:cs="Times New Roman"/>
          <w:sz w:val="24"/>
          <w:szCs w:val="24"/>
          <w:lang w:val="en-US" w:eastAsia="pt-PT"/>
        </w:rPr>
        <w:t>).</w:t>
      </w:r>
      <w:r w:rsidRPr="002816B5">
        <w:rPr>
          <w:rFonts w:ascii="Times New Roman" w:eastAsia="Times New Roman" w:hAnsi="Times New Roman" w:cs="Times New Roman"/>
          <w:sz w:val="24"/>
          <w:szCs w:val="24"/>
          <w:lang w:val="en-US" w:eastAsia="pt-PT"/>
        </w:rPr>
        <w:t xml:space="preserve"> This tool is effective because it can allow the collection of data from many people over a short period of time, ensure data consistency, and make it easy to </w:t>
      </w:r>
      <w:proofErr w:type="spellStart"/>
      <w:r w:rsidRPr="002816B5">
        <w:rPr>
          <w:rFonts w:ascii="Times New Roman" w:eastAsia="Times New Roman" w:hAnsi="Times New Roman" w:cs="Times New Roman"/>
          <w:sz w:val="24"/>
          <w:szCs w:val="24"/>
          <w:lang w:val="en-US" w:eastAsia="pt-PT"/>
        </w:rPr>
        <w:t>analyse</w:t>
      </w:r>
      <w:proofErr w:type="spellEnd"/>
      <w:r w:rsidRPr="002816B5">
        <w:rPr>
          <w:rFonts w:ascii="Times New Roman" w:eastAsia="Times New Roman" w:hAnsi="Times New Roman" w:cs="Times New Roman"/>
          <w:sz w:val="24"/>
          <w:szCs w:val="24"/>
          <w:lang w:val="en-US" w:eastAsia="pt-PT"/>
        </w:rPr>
        <w:t xml:space="preserve"> and determine the impact of variables (</w:t>
      </w:r>
      <w:proofErr w:type="spellStart"/>
      <w:r w:rsidRPr="002816B5">
        <w:rPr>
          <w:rFonts w:ascii="Times New Roman" w:eastAsia="Times New Roman" w:hAnsi="Times New Roman" w:cs="Times New Roman"/>
          <w:sz w:val="24"/>
          <w:szCs w:val="24"/>
          <w:lang w:val="en-US" w:eastAsia="pt-PT"/>
        </w:rPr>
        <w:t>Sugiyono</w:t>
      </w:r>
      <w:proofErr w:type="spellEnd"/>
      <w:r w:rsidRPr="002816B5">
        <w:rPr>
          <w:rFonts w:ascii="Times New Roman" w:eastAsia="Times New Roman" w:hAnsi="Times New Roman" w:cs="Times New Roman"/>
          <w:sz w:val="24"/>
          <w:szCs w:val="24"/>
          <w:lang w:val="en-US" w:eastAsia="pt-PT"/>
        </w:rPr>
        <w:t>, 201</w:t>
      </w:r>
      <w:r w:rsidR="001422DB">
        <w:rPr>
          <w:rFonts w:ascii="Times New Roman" w:eastAsia="Times New Roman" w:hAnsi="Times New Roman" w:cs="Times New Roman"/>
          <w:sz w:val="24"/>
          <w:szCs w:val="24"/>
          <w:lang w:val="en-US" w:eastAsia="pt-PT"/>
        </w:rPr>
        <w:t>8</w:t>
      </w:r>
      <w:r w:rsidRPr="002816B5">
        <w:rPr>
          <w:rFonts w:ascii="Times New Roman" w:eastAsia="Times New Roman" w:hAnsi="Times New Roman" w:cs="Times New Roman"/>
          <w:sz w:val="24"/>
          <w:szCs w:val="24"/>
          <w:lang w:val="en-US" w:eastAsia="pt-PT"/>
        </w:rPr>
        <w:t>). The questionnaire was designed to obtain information about students' linguistic background, attitudes to language learning, frequency of use of Portuguese in school and self-perception of challenges in using Portuguese. Researchers distributed the questionnaire directly to the students in two primary schools.</w:t>
      </w:r>
    </w:p>
    <w:p w14:paraId="3184E5CD" w14:textId="77777777" w:rsidR="008347D8" w:rsidRDefault="008347D8" w:rsidP="002816B5">
      <w:pPr>
        <w:pStyle w:val="NormalWeb"/>
        <w:spacing w:before="0" w:beforeAutospacing="0" w:after="120" w:afterAutospacing="0" w:line="360" w:lineRule="auto"/>
        <w:jc w:val="both"/>
        <w:rPr>
          <w:lang w:val="en-US"/>
        </w:rPr>
      </w:pPr>
      <w:r>
        <w:rPr>
          <w:lang w:val="en-US"/>
        </w:rPr>
        <w:t>The Portuguese Language Proficiency Test has 25 items which have been carefully matched to the national Portuguese curriculum and which are used to measure the language skills in four key areas: vocabulary (10 items), grammar (5 items), reading comprehension (8 items) and writing (2 items). All items directly represent the authentic learning objectives and guarantee the relevance of Timor-Leste’s curriculum. Before distribution, the test had rigorous content-validation exercises conducted (</w:t>
      </w:r>
      <w:proofErr w:type="spellStart"/>
      <w:r>
        <w:rPr>
          <w:color w:val="222222"/>
          <w:shd w:val="clear" w:color="auto" w:fill="FFFFFF"/>
          <w:lang w:val="en-US"/>
        </w:rPr>
        <w:t>Obilor</w:t>
      </w:r>
      <w:proofErr w:type="spellEnd"/>
      <w:r>
        <w:rPr>
          <w:color w:val="222222"/>
          <w:shd w:val="clear" w:color="auto" w:fill="FFFFFF"/>
          <w:lang w:val="en-US"/>
        </w:rPr>
        <w:t xml:space="preserve"> &amp; </w:t>
      </w:r>
      <w:proofErr w:type="spellStart"/>
      <w:r>
        <w:rPr>
          <w:color w:val="222222"/>
          <w:shd w:val="clear" w:color="auto" w:fill="FFFFFF"/>
          <w:lang w:val="en-US"/>
        </w:rPr>
        <w:t>Miwari</w:t>
      </w:r>
      <w:proofErr w:type="spellEnd"/>
      <w:r>
        <w:rPr>
          <w:color w:val="222222"/>
          <w:shd w:val="clear" w:color="auto" w:fill="FFFFFF"/>
          <w:lang w:val="en-US"/>
        </w:rPr>
        <w:t xml:space="preserve">, 2022) </w:t>
      </w:r>
      <w:r>
        <w:rPr>
          <w:lang w:val="en-US"/>
        </w:rPr>
        <w:t xml:space="preserve">by two qualified educators who knew the Portuguese language, so that the test was in line with the education objectives, understandable, and fair in all aspects that the test was going to measure. This framework can be taken to the practical classroom application so as to allow the instructor the chance to </w:t>
      </w:r>
      <w:r>
        <w:rPr>
          <w:lang w:val="en-US"/>
        </w:rPr>
        <w:lastRenderedPageBreak/>
        <w:t>identify specific areas of strength (e.g., vocabulary range) and weakness (e.g., grammatical accuracy or writing coherence) in order that he/she may be able to perform specific remediation or enrichment. The test development process grants the test validity and reliability arguments; in terms of academic achievement, its content is created using standard curriculum documents, and the external assessment by experts is offered as a way of having the test judged as appropriate. When applied over time</w:t>
      </w:r>
      <w:r w:rsidR="00C10E03">
        <w:rPr>
          <w:lang w:val="en-US"/>
        </w:rPr>
        <w:t xml:space="preserve">, </w:t>
      </w:r>
      <w:r>
        <w:rPr>
          <w:lang w:val="en-US"/>
        </w:rPr>
        <w:t>the instrument can provide comparative information on the progress of students in proficiency in the Portuguese language. It can be used in instructional decisions as well as in overall education planning and policy.</w:t>
      </w:r>
    </w:p>
    <w:p w14:paraId="5270C4CF" w14:textId="77777777" w:rsidR="00880C1F" w:rsidRDefault="00E92EFD" w:rsidP="00E92EFD">
      <w:pPr>
        <w:pStyle w:val="NormalWeb"/>
        <w:numPr>
          <w:ilvl w:val="1"/>
          <w:numId w:val="2"/>
        </w:numPr>
        <w:spacing w:before="0" w:beforeAutospacing="0" w:after="120" w:afterAutospacing="0" w:line="360" w:lineRule="auto"/>
        <w:jc w:val="both"/>
        <w:rPr>
          <w:b/>
          <w:lang w:val="en-US"/>
        </w:rPr>
      </w:pPr>
      <w:r>
        <w:rPr>
          <w:b/>
          <w:lang w:val="en-US"/>
        </w:rPr>
        <w:t xml:space="preserve"> </w:t>
      </w:r>
      <w:r w:rsidR="00F444AD">
        <w:rPr>
          <w:b/>
          <w:lang w:val="en-US"/>
        </w:rPr>
        <w:t>Data Analysis Method</w:t>
      </w:r>
    </w:p>
    <w:p w14:paraId="4B3B2326" w14:textId="77777777" w:rsidR="00880C1F" w:rsidRPr="00687658" w:rsidRDefault="00BB2410" w:rsidP="00E92EFD">
      <w:pPr>
        <w:pStyle w:val="NormalWeb"/>
        <w:numPr>
          <w:ilvl w:val="2"/>
          <w:numId w:val="2"/>
        </w:numPr>
        <w:spacing w:before="0" w:beforeAutospacing="0" w:after="120" w:afterAutospacing="0" w:line="360" w:lineRule="auto"/>
        <w:jc w:val="both"/>
        <w:rPr>
          <w:b/>
          <w:lang w:val="en-US"/>
        </w:rPr>
      </w:pPr>
      <w:r w:rsidRPr="00687658">
        <w:rPr>
          <w:b/>
          <w:lang w:val="en-US"/>
        </w:rPr>
        <w:t>Reliability and Normality Test</w:t>
      </w:r>
    </w:p>
    <w:p w14:paraId="36C03C80" w14:textId="77777777" w:rsidR="00F70DB1" w:rsidRPr="00F70DB1" w:rsidRDefault="00F70DB1" w:rsidP="00F70DB1">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70DB1">
        <w:rPr>
          <w:rFonts w:ascii="Times New Roman" w:eastAsia="Times New Roman" w:hAnsi="Times New Roman" w:cs="Times New Roman"/>
          <w:sz w:val="24"/>
          <w:szCs w:val="24"/>
          <w:lang w:val="en-US" w:eastAsia="pt-PT"/>
        </w:rPr>
        <w:t>Reliability is a step to test the consistency of the questionnaire as a research tool. Therefore, this research used Cronbach's alpha with SPSS 21 software for the reliability test. When the Cronbach's alpha coefficient is ≥ 0.7</w:t>
      </w:r>
      <w:r w:rsidR="00A5060F">
        <w:rPr>
          <w:rFonts w:ascii="Times New Roman" w:eastAsia="Times New Roman" w:hAnsi="Times New Roman" w:cs="Times New Roman"/>
          <w:sz w:val="24"/>
          <w:szCs w:val="24"/>
          <w:lang w:val="en-US" w:eastAsia="pt-PT"/>
        </w:rPr>
        <w:t>0</w:t>
      </w:r>
      <w:r w:rsidRPr="00F70DB1">
        <w:rPr>
          <w:rFonts w:ascii="Times New Roman" w:eastAsia="Times New Roman" w:hAnsi="Times New Roman" w:cs="Times New Roman"/>
          <w:sz w:val="24"/>
          <w:szCs w:val="24"/>
          <w:lang w:val="en-US" w:eastAsia="pt-PT"/>
        </w:rPr>
        <w:t>, the instrument of the questionnaire is considered reliable (</w:t>
      </w:r>
      <w:proofErr w:type="spellStart"/>
      <w:r w:rsidRPr="00F70DB1">
        <w:rPr>
          <w:rFonts w:ascii="Times New Roman" w:eastAsia="Times New Roman" w:hAnsi="Times New Roman" w:cs="Times New Roman"/>
          <w:sz w:val="24"/>
          <w:szCs w:val="24"/>
          <w:lang w:val="en-US" w:eastAsia="pt-PT"/>
        </w:rPr>
        <w:t>Sugiyono</w:t>
      </w:r>
      <w:proofErr w:type="spellEnd"/>
      <w:r w:rsidRPr="00F70DB1">
        <w:rPr>
          <w:rFonts w:ascii="Times New Roman" w:eastAsia="Times New Roman" w:hAnsi="Times New Roman" w:cs="Times New Roman"/>
          <w:sz w:val="24"/>
          <w:szCs w:val="24"/>
          <w:lang w:val="en-US" w:eastAsia="pt-PT"/>
        </w:rPr>
        <w:t xml:space="preserve">, 2018). </w:t>
      </w:r>
      <w:r>
        <w:rPr>
          <w:rFonts w:ascii="Times New Roman" w:eastAsia="Times New Roman" w:hAnsi="Times New Roman" w:cs="Times New Roman"/>
          <w:sz w:val="24"/>
          <w:szCs w:val="24"/>
          <w:lang w:val="en-US" w:eastAsia="pt-PT"/>
        </w:rPr>
        <w:t>Therefore</w:t>
      </w:r>
      <w:r w:rsidR="00A5060F">
        <w:rPr>
          <w:rFonts w:ascii="Times New Roman" w:eastAsia="Times New Roman" w:hAnsi="Times New Roman" w:cs="Times New Roman"/>
          <w:sz w:val="24"/>
          <w:szCs w:val="24"/>
          <w:lang w:val="en-US" w:eastAsia="pt-PT"/>
        </w:rPr>
        <w:t>,</w:t>
      </w:r>
      <w:r w:rsidRPr="00F70DB1">
        <w:rPr>
          <w:rFonts w:ascii="Times New Roman" w:eastAsia="Times New Roman" w:hAnsi="Times New Roman" w:cs="Times New Roman"/>
          <w:sz w:val="24"/>
          <w:szCs w:val="24"/>
          <w:lang w:val="en-US" w:eastAsia="pt-PT"/>
        </w:rPr>
        <w:t xml:space="preserve"> this study, the researchers solely employed the reliability determination criteria </w:t>
      </w:r>
      <w:r w:rsidR="00A5060F">
        <w:rPr>
          <w:rFonts w:ascii="Times New Roman" w:eastAsia="Times New Roman" w:hAnsi="Times New Roman" w:cs="Times New Roman"/>
          <w:sz w:val="24"/>
          <w:szCs w:val="24"/>
          <w:lang w:val="en-US" w:eastAsia="pt-PT"/>
        </w:rPr>
        <w:t xml:space="preserve">that the value of the alpha </w:t>
      </w:r>
      <w:r w:rsidR="00A5060F" w:rsidRPr="00F70DB1">
        <w:rPr>
          <w:rFonts w:ascii="Times New Roman" w:eastAsia="Times New Roman" w:hAnsi="Times New Roman" w:cs="Times New Roman"/>
          <w:sz w:val="24"/>
          <w:szCs w:val="24"/>
          <w:lang w:val="en-US" w:eastAsia="pt-PT"/>
        </w:rPr>
        <w:t>≥</w:t>
      </w:r>
      <w:r w:rsidR="00A5060F">
        <w:rPr>
          <w:rFonts w:ascii="Times New Roman" w:eastAsia="Times New Roman" w:hAnsi="Times New Roman" w:cs="Times New Roman"/>
          <w:sz w:val="24"/>
          <w:szCs w:val="24"/>
          <w:lang w:val="en-US" w:eastAsia="pt-PT"/>
        </w:rPr>
        <w:t xml:space="preserve"> 0.70 to determine the reliability of data. </w:t>
      </w:r>
    </w:p>
    <w:p w14:paraId="07DDD039" w14:textId="77777777" w:rsidR="00BB2410" w:rsidRDefault="00BB2410" w:rsidP="00BB2410">
      <w:pPr>
        <w:spacing w:after="120" w:line="360" w:lineRule="auto"/>
        <w:jc w:val="both"/>
        <w:rPr>
          <w:rFonts w:ascii="Times New Roman" w:eastAsia="Times New Roman" w:hAnsi="Times New Roman" w:cs="Times New Roman"/>
          <w:sz w:val="24"/>
          <w:szCs w:val="24"/>
          <w:lang w:val="en-US" w:eastAsia="pt-PT"/>
        </w:rPr>
      </w:pPr>
      <w:r w:rsidRPr="00687658">
        <w:rPr>
          <w:rFonts w:ascii="Times New Roman" w:eastAsia="Times New Roman" w:hAnsi="Times New Roman" w:cs="Times New Roman"/>
          <w:sz w:val="24"/>
          <w:szCs w:val="24"/>
          <w:lang w:val="en-US" w:eastAsia="pt-PT"/>
        </w:rPr>
        <w:t xml:space="preserve">Normality testing is essential to determine the normality of the distribution </w:t>
      </w:r>
      <w:r>
        <w:rPr>
          <w:rFonts w:ascii="Times New Roman" w:eastAsia="Times New Roman" w:hAnsi="Times New Roman" w:cs="Times New Roman"/>
          <w:sz w:val="24"/>
          <w:szCs w:val="24"/>
          <w:lang w:val="en-US" w:eastAsia="pt-PT"/>
        </w:rPr>
        <w:t xml:space="preserve">of data </w:t>
      </w:r>
      <w:r w:rsidRPr="00687658">
        <w:rPr>
          <w:rFonts w:ascii="Times New Roman" w:eastAsia="Times New Roman" w:hAnsi="Times New Roman" w:cs="Times New Roman"/>
          <w:sz w:val="24"/>
          <w:szCs w:val="24"/>
          <w:lang w:val="en-US" w:eastAsia="pt-PT"/>
        </w:rPr>
        <w:t xml:space="preserve">through a questionnaire. Therefore, this research used the Kolmogorov-Smirnov test method, assisted by the SPSS 21 program, to determine the normality of the </w:t>
      </w:r>
      <w:r>
        <w:rPr>
          <w:rFonts w:ascii="Times New Roman" w:eastAsia="Times New Roman" w:hAnsi="Times New Roman" w:cs="Times New Roman"/>
          <w:sz w:val="24"/>
          <w:szCs w:val="24"/>
          <w:lang w:val="en-US" w:eastAsia="pt-PT"/>
        </w:rPr>
        <w:t xml:space="preserve">data </w:t>
      </w:r>
      <w:r w:rsidRPr="00687658">
        <w:rPr>
          <w:rFonts w:ascii="Times New Roman" w:eastAsia="Times New Roman" w:hAnsi="Times New Roman" w:cs="Times New Roman"/>
          <w:sz w:val="24"/>
          <w:szCs w:val="24"/>
          <w:lang w:val="en-US" w:eastAsia="pt-PT"/>
        </w:rPr>
        <w:t xml:space="preserve">distribution </w:t>
      </w:r>
      <w:r w:rsidRPr="001664A9">
        <w:rPr>
          <w:rFonts w:ascii="Times New Roman" w:eastAsia="Times New Roman" w:hAnsi="Times New Roman" w:cs="Times New Roman"/>
          <w:sz w:val="24"/>
          <w:szCs w:val="24"/>
          <w:lang w:val="en-US" w:eastAsia="pt-PT"/>
        </w:rPr>
        <w:t>(</w:t>
      </w:r>
      <w:proofErr w:type="spellStart"/>
      <w:r w:rsidRPr="001664A9">
        <w:rPr>
          <w:rFonts w:ascii="Times New Roman" w:eastAsia="Times New Roman" w:hAnsi="Times New Roman" w:cs="Times New Roman"/>
          <w:sz w:val="24"/>
          <w:szCs w:val="24"/>
          <w:lang w:val="en-US" w:eastAsia="pt-PT"/>
        </w:rPr>
        <w:t>Usmadi</w:t>
      </w:r>
      <w:proofErr w:type="spellEnd"/>
      <w:r w:rsidRPr="001664A9">
        <w:rPr>
          <w:rFonts w:ascii="Times New Roman" w:eastAsia="Times New Roman" w:hAnsi="Times New Roman" w:cs="Times New Roman"/>
          <w:sz w:val="24"/>
          <w:szCs w:val="24"/>
          <w:lang w:val="en-US" w:eastAsia="pt-PT"/>
        </w:rPr>
        <w:t>, 2020).</w:t>
      </w:r>
      <w:r w:rsidRPr="00687658">
        <w:rPr>
          <w:rFonts w:ascii="Times New Roman" w:eastAsia="Times New Roman" w:hAnsi="Times New Roman" w:cs="Times New Roman"/>
          <w:sz w:val="24"/>
          <w:szCs w:val="24"/>
          <w:lang w:val="en-US" w:eastAsia="pt-PT"/>
        </w:rPr>
        <w:t xml:space="preserve"> The rule used to test the normality of the instrument is that when the significance value is &gt; 0.05, it means the </w:t>
      </w:r>
      <w:r>
        <w:rPr>
          <w:rFonts w:ascii="Times New Roman" w:eastAsia="Times New Roman" w:hAnsi="Times New Roman" w:cs="Times New Roman"/>
          <w:sz w:val="24"/>
          <w:szCs w:val="24"/>
          <w:lang w:val="en-US" w:eastAsia="pt-PT"/>
        </w:rPr>
        <w:t>data</w:t>
      </w:r>
      <w:r w:rsidRPr="00687658">
        <w:rPr>
          <w:rFonts w:ascii="Times New Roman" w:eastAsia="Times New Roman" w:hAnsi="Times New Roman" w:cs="Times New Roman"/>
          <w:sz w:val="24"/>
          <w:szCs w:val="24"/>
          <w:lang w:val="en-US" w:eastAsia="pt-PT"/>
        </w:rPr>
        <w:t xml:space="preserve"> is considered normal. However, if the significance value is &lt; 0.05, the research </w:t>
      </w:r>
      <w:r>
        <w:rPr>
          <w:rFonts w:ascii="Times New Roman" w:eastAsia="Times New Roman" w:hAnsi="Times New Roman" w:cs="Times New Roman"/>
          <w:sz w:val="24"/>
          <w:szCs w:val="24"/>
          <w:lang w:val="en-US" w:eastAsia="pt-PT"/>
        </w:rPr>
        <w:t>data</w:t>
      </w:r>
      <w:r w:rsidRPr="00687658">
        <w:rPr>
          <w:rFonts w:ascii="Times New Roman" w:eastAsia="Times New Roman" w:hAnsi="Times New Roman" w:cs="Times New Roman"/>
          <w:sz w:val="24"/>
          <w:szCs w:val="24"/>
          <w:lang w:val="en-US" w:eastAsia="pt-PT"/>
        </w:rPr>
        <w:t xml:space="preserve"> is distributed abnormally. </w:t>
      </w:r>
      <w:r>
        <w:rPr>
          <w:rFonts w:ascii="Times New Roman" w:eastAsia="Times New Roman" w:hAnsi="Times New Roman" w:cs="Times New Roman"/>
          <w:sz w:val="24"/>
          <w:szCs w:val="24"/>
          <w:lang w:val="en-US" w:eastAsia="pt-PT"/>
        </w:rPr>
        <w:t>This measurement guarantees the normality of data distribution in this research.</w:t>
      </w:r>
    </w:p>
    <w:p w14:paraId="6389C663" w14:textId="77777777" w:rsidR="00BB2410" w:rsidRPr="00E92EFD" w:rsidRDefault="00BB2410" w:rsidP="00E92EFD">
      <w:pPr>
        <w:pStyle w:val="ListParagraph"/>
        <w:numPr>
          <w:ilvl w:val="2"/>
          <w:numId w:val="2"/>
        </w:numPr>
        <w:spacing w:after="120" w:line="360" w:lineRule="auto"/>
        <w:jc w:val="both"/>
        <w:rPr>
          <w:rFonts w:ascii="Times New Roman" w:eastAsia="Times New Roman" w:hAnsi="Times New Roman" w:cs="Times New Roman"/>
          <w:b/>
          <w:sz w:val="24"/>
          <w:szCs w:val="24"/>
          <w:lang w:val="en-US" w:eastAsia="pt-PT"/>
        </w:rPr>
      </w:pPr>
      <w:r w:rsidRPr="00E92EFD">
        <w:rPr>
          <w:rFonts w:ascii="Times New Roman" w:eastAsia="Times New Roman" w:hAnsi="Times New Roman" w:cs="Times New Roman"/>
          <w:b/>
          <w:sz w:val="24"/>
          <w:szCs w:val="24"/>
          <w:lang w:val="en-US" w:eastAsia="pt-PT"/>
        </w:rPr>
        <w:t>Statistical Inferential and Correlational Analysis</w:t>
      </w:r>
    </w:p>
    <w:p w14:paraId="378CC032" w14:textId="77777777" w:rsidR="00F444AD" w:rsidRPr="00394CF1" w:rsidRDefault="00F444AD" w:rsidP="00F444AD">
      <w:pPr>
        <w:pStyle w:val="NormalWeb"/>
        <w:spacing w:line="360" w:lineRule="auto"/>
        <w:jc w:val="both"/>
        <w:rPr>
          <w:lang w:val="en-US"/>
        </w:rPr>
      </w:pPr>
      <w:r w:rsidRPr="00394CF1">
        <w:rPr>
          <w:lang w:val="en-US"/>
        </w:rPr>
        <w:t xml:space="preserve">The entries and the analysis were performed with the help of SPSS (Version 21), a strong, </w:t>
      </w:r>
      <w:r w:rsidR="00BB2410" w:rsidRPr="00394CF1">
        <w:rPr>
          <w:lang w:val="en-US"/>
        </w:rPr>
        <w:t>developed</w:t>
      </w:r>
      <w:r w:rsidRPr="00394CF1">
        <w:rPr>
          <w:lang w:val="en-US"/>
        </w:rPr>
        <w:t xml:space="preserve"> statistical analysis package that is frequently used in quantitative educational research due to its strength and user-friendliness (Field, 2024). Descriptive statistics (means, standard deviations, and frequencies) were determined to present the general picture of the multilingual profile and the levels of knowledge of the Portuguese language among the participants. These statistical measures allow determining the central tendencies and variability of the dataset and provide the scope of how the linguistic background of the participants can affect their scores. </w:t>
      </w:r>
    </w:p>
    <w:p w14:paraId="2DB61E26" w14:textId="77777777" w:rsidR="005A573A" w:rsidRDefault="00F444AD" w:rsidP="005A573A">
      <w:pPr>
        <w:pStyle w:val="NormalWeb"/>
        <w:spacing w:line="360" w:lineRule="auto"/>
        <w:jc w:val="both"/>
        <w:rPr>
          <w:lang w:val="en-US"/>
        </w:rPr>
      </w:pPr>
      <w:r>
        <w:rPr>
          <w:lang w:val="en-US"/>
        </w:rPr>
        <w:lastRenderedPageBreak/>
        <w:t xml:space="preserve">This study used </w:t>
      </w:r>
      <w:r w:rsidRPr="00394CF1">
        <w:rPr>
          <w:lang w:val="en-US"/>
        </w:rPr>
        <w:t xml:space="preserve">inferential analysis, independent-samples t-tests to establish the presence of statistically significant differences in Portuguese proficiency between the groups based on multilingualism (e.g., bilingual and trilingual learners). To </w:t>
      </w:r>
      <w:r>
        <w:rPr>
          <w:lang w:val="en-US"/>
        </w:rPr>
        <w:t>further examine</w:t>
      </w:r>
      <w:r w:rsidRPr="00394CF1">
        <w:rPr>
          <w:lang w:val="en-US"/>
        </w:rPr>
        <w:t xml:space="preserve"> the relationship between the multilingualism indices and the Portuguese proficiency score, the </w:t>
      </w:r>
      <w:r w:rsidR="00AF7C9B">
        <w:rPr>
          <w:lang w:val="en-US"/>
        </w:rPr>
        <w:t xml:space="preserve">Pearson </w:t>
      </w:r>
      <w:r w:rsidRPr="00394CF1">
        <w:rPr>
          <w:lang w:val="en-US"/>
        </w:rPr>
        <w:t>correlation coefficients were assessed. The given analysis demonstrates evidence of linear correlations between the number of languages spoken and performance in Portuguese, which makes it possible to interpret the potential linguistic benefits or interferences. These types of inferential statistics play a vital role in educational research because they allow researchers to go beyond description and make conclusions about the entire population by using sample information (Croucher and Cronn-Mills, 2021). Collectively, these processes combine descriptive and inferential methods, making it possible to make practical interpretations and evidence-based inferences regarding the impact of multilingual experiences on the Portuguese language learning performance of the primary students in Baucau.</w:t>
      </w:r>
      <w:r w:rsidR="005A573A">
        <w:rPr>
          <w:lang w:val="en-US"/>
        </w:rPr>
        <w:t xml:space="preserve"> </w:t>
      </w:r>
      <w:proofErr w:type="spellStart"/>
      <w:r w:rsidR="005A573A" w:rsidRPr="005A573A">
        <w:rPr>
          <w:lang w:val="en-US"/>
        </w:rPr>
        <w:t>Sugiyono</w:t>
      </w:r>
      <w:proofErr w:type="spellEnd"/>
      <w:r w:rsidR="005A573A" w:rsidRPr="005A573A">
        <w:rPr>
          <w:lang w:val="en-US"/>
        </w:rPr>
        <w:t xml:space="preserve"> (201</w:t>
      </w:r>
      <w:r w:rsidR="00B134D3">
        <w:rPr>
          <w:lang w:val="en-US"/>
        </w:rPr>
        <w:t>8</w:t>
      </w:r>
      <w:r w:rsidR="005A573A" w:rsidRPr="005A573A">
        <w:rPr>
          <w:lang w:val="en-US"/>
        </w:rPr>
        <w:t>) explained that to obtain the results of regression analysis, one should apply the criterion that when the significance value (p-value) &lt; 0.05, the impact of X on Y is significant.</w:t>
      </w:r>
    </w:p>
    <w:p w14:paraId="3EAF656E" w14:textId="77777777" w:rsidR="005A573A" w:rsidRPr="00975A04" w:rsidRDefault="005A573A" w:rsidP="005A573A">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975A04">
        <w:rPr>
          <w:rFonts w:ascii="Times New Roman" w:eastAsia="Times New Roman" w:hAnsi="Times New Roman" w:cs="Times New Roman"/>
          <w:sz w:val="24"/>
          <w:szCs w:val="24"/>
          <w:lang w:val="en-US" w:eastAsia="pt-PT"/>
        </w:rPr>
        <w:t xml:space="preserve">This study also applied a hypothesis test to understand the relationships and the impact of multilingualism on Portuguese language learning. According to Siregar (2017), when the significance value is less than 0.05, the null hypothesis is rejected and the alternative hypothesis is accepted. Alternatively, if the p-value is less than 0.05, one should reject H₀, indicating a significant relationship. If p-value &gt; 0.05, accept H₀; no significant relationship. When </w:t>
      </w:r>
      <w:r w:rsidR="00D304E6" w:rsidRPr="00975A04">
        <w:rPr>
          <w:rFonts w:ascii="Times New Roman" w:eastAsia="Times New Roman" w:hAnsi="Times New Roman" w:cs="Times New Roman"/>
          <w:sz w:val="24"/>
          <w:szCs w:val="24"/>
          <w:lang w:val="en-US" w:eastAsia="pt-PT"/>
        </w:rPr>
        <w:t>the</w:t>
      </w:r>
      <w:r w:rsidRPr="00975A04">
        <w:rPr>
          <w:rFonts w:ascii="Times New Roman" w:eastAsia="Times New Roman" w:hAnsi="Times New Roman" w:cs="Times New Roman"/>
          <w:sz w:val="24"/>
          <w:szCs w:val="24"/>
          <w:lang w:val="en-US" w:eastAsia="pt-PT"/>
        </w:rPr>
        <w:t xml:space="preserve"> t-count is greater than the t-table, then H₀ should be rejected. If the t-count is greater than the t-table, then H1 is rejected.</w:t>
      </w:r>
    </w:p>
    <w:p w14:paraId="69D30DB1" w14:textId="77777777" w:rsidR="00880C1F" w:rsidRPr="00E92EFD" w:rsidRDefault="00074435" w:rsidP="00E92EFD">
      <w:pPr>
        <w:pStyle w:val="ListParagraph"/>
        <w:numPr>
          <w:ilvl w:val="2"/>
          <w:numId w:val="2"/>
        </w:numPr>
        <w:spacing w:after="120" w:line="360" w:lineRule="auto"/>
        <w:jc w:val="both"/>
        <w:rPr>
          <w:rFonts w:ascii="Times New Roman" w:eastAsia="Times New Roman" w:hAnsi="Times New Roman" w:cs="Times New Roman"/>
          <w:b/>
          <w:sz w:val="24"/>
          <w:szCs w:val="24"/>
          <w:lang w:val="en-US" w:eastAsia="pt-PT"/>
        </w:rPr>
      </w:pPr>
      <w:r w:rsidRPr="00E92EFD">
        <w:rPr>
          <w:rFonts w:ascii="Times New Roman" w:eastAsia="Times New Roman" w:hAnsi="Times New Roman" w:cs="Times New Roman"/>
          <w:b/>
          <w:sz w:val="24"/>
          <w:szCs w:val="24"/>
          <w:lang w:val="en-US" w:eastAsia="pt-PT"/>
        </w:rPr>
        <w:t xml:space="preserve">Content </w:t>
      </w:r>
      <w:r w:rsidR="00880C1F" w:rsidRPr="00E92EFD">
        <w:rPr>
          <w:rFonts w:ascii="Times New Roman" w:eastAsia="Times New Roman" w:hAnsi="Times New Roman" w:cs="Times New Roman"/>
          <w:b/>
          <w:sz w:val="24"/>
          <w:szCs w:val="24"/>
          <w:lang w:val="en-US" w:eastAsia="pt-PT"/>
        </w:rPr>
        <w:t xml:space="preserve">Validity </w:t>
      </w:r>
      <w:r w:rsidRPr="00E92EFD">
        <w:rPr>
          <w:rFonts w:ascii="Times New Roman" w:eastAsia="Times New Roman" w:hAnsi="Times New Roman" w:cs="Times New Roman"/>
          <w:b/>
          <w:sz w:val="24"/>
          <w:szCs w:val="24"/>
          <w:lang w:val="en-US" w:eastAsia="pt-PT"/>
        </w:rPr>
        <w:t>Index</w:t>
      </w:r>
    </w:p>
    <w:p w14:paraId="60C12C3F" w14:textId="77777777" w:rsidR="00880C1F" w:rsidRDefault="00074435" w:rsidP="00D256C5">
      <w:pPr>
        <w:spacing w:after="120" w:line="360" w:lineRule="auto"/>
        <w:jc w:val="both"/>
        <w:rPr>
          <w:rFonts w:ascii="Times New Roman" w:eastAsia="Times New Roman" w:hAnsi="Times New Roman" w:cs="Times New Roman"/>
          <w:sz w:val="24"/>
          <w:szCs w:val="24"/>
          <w:lang w:val="en-US" w:eastAsia="pt-PT"/>
        </w:rPr>
      </w:pPr>
      <w:r w:rsidRPr="00074435">
        <w:rPr>
          <w:rFonts w:ascii="Times New Roman" w:eastAsia="Times New Roman" w:hAnsi="Times New Roman" w:cs="Times New Roman"/>
          <w:sz w:val="24"/>
          <w:szCs w:val="24"/>
          <w:lang w:val="en-US" w:eastAsia="pt-PT"/>
        </w:rPr>
        <w:t xml:space="preserve">The Portuguese Language Proficiency Test has a Content Validity Index (CVI) that was facilitated by expert rating to determine whether it conforms to the national curriculum. In accordance with the methodological framework proposed by Elangovan and Sundararajan (2021), two experts in the Portuguese language reviewed every test item for relevance, clarity, and representativeness on a four-point Likert scale. The analysis of their ratings was conducted to calculate both the Item-Level CVI (I-CVI) and the Scale-Level CVI (S-CVI), which means the level of agreement between experts on the adequacy of its content. This intensive testing procedure further guaranteed that every item reflected the desired language competencies of the curriculum, </w:t>
      </w:r>
      <w:r>
        <w:rPr>
          <w:rFonts w:ascii="Times New Roman" w:eastAsia="Times New Roman" w:hAnsi="Times New Roman" w:cs="Times New Roman"/>
          <w:sz w:val="24"/>
          <w:szCs w:val="24"/>
          <w:lang w:val="en-US" w:eastAsia="pt-PT"/>
        </w:rPr>
        <w:t>such as</w:t>
      </w:r>
      <w:r w:rsidRPr="00074435">
        <w:rPr>
          <w:rFonts w:ascii="Times New Roman" w:eastAsia="Times New Roman" w:hAnsi="Times New Roman" w:cs="Times New Roman"/>
          <w:sz w:val="24"/>
          <w:szCs w:val="24"/>
          <w:lang w:val="en-US" w:eastAsia="pt-PT"/>
        </w:rPr>
        <w:t xml:space="preserve"> vocabulary, grammar, reading, and writing, which further improved the </w:t>
      </w:r>
      <w:r w:rsidRPr="00074435">
        <w:rPr>
          <w:rFonts w:ascii="Times New Roman" w:eastAsia="Times New Roman" w:hAnsi="Times New Roman" w:cs="Times New Roman"/>
          <w:sz w:val="24"/>
          <w:szCs w:val="24"/>
          <w:lang w:val="en-US" w:eastAsia="pt-PT"/>
        </w:rPr>
        <w:lastRenderedPageBreak/>
        <w:t>content reliability and consistency of the instrument. In line with the validation procedures outlined by Du, Alias, and Wahab (2025), the computed CVI scores beyond the 0.80 mark corresponded to high content validity and thus validated the fact that the test was effective in measuring what it was meant to measure, Portuguese proficiency constructs.</w:t>
      </w:r>
    </w:p>
    <w:p w14:paraId="6DCB4AC5" w14:textId="77777777" w:rsidR="006E5218" w:rsidRPr="00E92EFD" w:rsidRDefault="006E5218" w:rsidP="00E92EFD">
      <w:pPr>
        <w:pStyle w:val="ListParagraph"/>
        <w:numPr>
          <w:ilvl w:val="2"/>
          <w:numId w:val="2"/>
        </w:num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sidRPr="00E92EFD">
        <w:rPr>
          <w:rFonts w:ascii="Times New Roman" w:eastAsia="Times New Roman" w:hAnsi="Times New Roman" w:cs="Times New Roman"/>
          <w:b/>
          <w:sz w:val="24"/>
          <w:szCs w:val="24"/>
          <w:lang w:val="en-US" w:eastAsia="pt-PT"/>
        </w:rPr>
        <w:t>Ethical Consideration</w:t>
      </w:r>
    </w:p>
    <w:p w14:paraId="2B005843" w14:textId="77777777" w:rsidR="00B85874" w:rsidRDefault="006E5218" w:rsidP="005A573A">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6E5218">
        <w:rPr>
          <w:rFonts w:ascii="Times New Roman" w:eastAsia="Times New Roman" w:hAnsi="Times New Roman" w:cs="Times New Roman"/>
          <w:sz w:val="24"/>
          <w:szCs w:val="24"/>
          <w:lang w:val="en-US" w:eastAsia="pt-PT"/>
        </w:rPr>
        <w:t xml:space="preserve">The research adhered to ethical guidelines when involving </w:t>
      </w:r>
      <w:r w:rsidRPr="00B85874">
        <w:rPr>
          <w:rFonts w:ascii="Times New Roman" w:eastAsia="Times New Roman" w:hAnsi="Times New Roman" w:cs="Times New Roman"/>
          <w:sz w:val="24"/>
          <w:szCs w:val="24"/>
          <w:lang w:val="en-US" w:eastAsia="pt-PT"/>
        </w:rPr>
        <w:t>children</w:t>
      </w:r>
      <w:r w:rsidR="00B85874" w:rsidRPr="00B85874">
        <w:rPr>
          <w:rFonts w:ascii="Times New Roman" w:eastAsia="Times New Roman" w:hAnsi="Times New Roman" w:cs="Times New Roman"/>
          <w:sz w:val="24"/>
          <w:szCs w:val="24"/>
          <w:lang w:val="en-US" w:eastAsia="pt-PT"/>
        </w:rPr>
        <w:t xml:space="preserve"> (</w:t>
      </w:r>
      <w:r w:rsidR="00B85874" w:rsidRPr="00B85874">
        <w:rPr>
          <w:rFonts w:ascii="Times New Roman" w:hAnsi="Times New Roman" w:cs="Times New Roman"/>
          <w:color w:val="222222"/>
          <w:sz w:val="24"/>
          <w:szCs w:val="24"/>
          <w:shd w:val="clear" w:color="auto" w:fill="FFFFFF"/>
          <w:lang w:val="en-US"/>
        </w:rPr>
        <w:t>Head, 2020)</w:t>
      </w:r>
      <w:r w:rsidRPr="006E5218">
        <w:rPr>
          <w:rFonts w:ascii="Times New Roman" w:eastAsia="Times New Roman" w:hAnsi="Times New Roman" w:cs="Times New Roman"/>
          <w:sz w:val="24"/>
          <w:szCs w:val="24"/>
          <w:lang w:val="en-US" w:eastAsia="pt-PT"/>
        </w:rPr>
        <w:t>. The Institutional Research Ethics Committee of ICFP gave its approval. Although the Institute for Continuing and Further Professional Development (ICFP) has a close association with schools as one of the partners in the field of educational activities</w:t>
      </w:r>
      <w:r w:rsidR="00B85874" w:rsidRPr="00B85874">
        <w:rPr>
          <w:rFonts w:ascii="Times New Roman" w:eastAsia="Times New Roman" w:hAnsi="Times New Roman" w:cs="Times New Roman"/>
          <w:sz w:val="24"/>
          <w:szCs w:val="24"/>
          <w:lang w:val="en-US" w:eastAsia="pt-PT"/>
        </w:rPr>
        <w:t>.</w:t>
      </w:r>
      <w:r w:rsidRPr="006E5218">
        <w:rPr>
          <w:rFonts w:ascii="Times New Roman" w:eastAsia="Times New Roman" w:hAnsi="Times New Roman" w:cs="Times New Roman"/>
          <w:sz w:val="24"/>
          <w:szCs w:val="24"/>
          <w:lang w:val="en-US" w:eastAsia="pt-PT"/>
        </w:rPr>
        <w:t xml:space="preserve"> </w:t>
      </w:r>
      <w:r w:rsidR="00B85874" w:rsidRPr="00B85874">
        <w:rPr>
          <w:rFonts w:ascii="Times New Roman" w:eastAsia="Times New Roman" w:hAnsi="Times New Roman" w:cs="Times New Roman"/>
          <w:sz w:val="24"/>
          <w:szCs w:val="24"/>
          <w:lang w:val="en-US" w:eastAsia="pt-PT"/>
        </w:rPr>
        <w:t>T</w:t>
      </w:r>
      <w:r w:rsidRPr="006E5218">
        <w:rPr>
          <w:rFonts w:ascii="Times New Roman" w:eastAsia="Times New Roman" w:hAnsi="Times New Roman" w:cs="Times New Roman"/>
          <w:sz w:val="24"/>
          <w:szCs w:val="24"/>
          <w:lang w:val="en-US" w:eastAsia="pt-PT"/>
        </w:rPr>
        <w:t>he formal acknowledgement letters were issued to the school leaders by the ICFP Research Ethics Commission as a guarantee of transparency and ethical integrity. The teachers who are responsible for the students in grades 5 and 6 were approached, and informed consent was taken in writing, and verbal consent was taken with the students. To maintain confidentiality, the participants were given numeric IDs, and no personal identities were mentioned in the data set. Participation was voluntary, and the students could withdraw at any time without penalty. All the data was kept safely in a password-secured file, inaccessible by other members of the research team.</w:t>
      </w:r>
    </w:p>
    <w:p w14:paraId="4746BD02" w14:textId="77777777" w:rsidR="00141A78" w:rsidRPr="00E92EFD" w:rsidRDefault="00141A78" w:rsidP="00E92EFD">
      <w:pPr>
        <w:pStyle w:val="ListParagraph"/>
        <w:numPr>
          <w:ilvl w:val="0"/>
          <w:numId w:val="2"/>
        </w:numPr>
        <w:spacing w:after="120" w:line="360" w:lineRule="auto"/>
        <w:jc w:val="both"/>
        <w:rPr>
          <w:rFonts w:ascii="Times New Roman" w:eastAsia="Times New Roman" w:hAnsi="Times New Roman" w:cs="Times New Roman"/>
          <w:b/>
          <w:sz w:val="24"/>
          <w:szCs w:val="24"/>
          <w:lang w:val="en-US" w:eastAsia="pt-PT"/>
        </w:rPr>
      </w:pPr>
      <w:r w:rsidRPr="00E92EFD">
        <w:rPr>
          <w:rFonts w:ascii="Times New Roman" w:eastAsia="Times New Roman" w:hAnsi="Times New Roman" w:cs="Times New Roman"/>
          <w:b/>
          <w:sz w:val="24"/>
          <w:szCs w:val="24"/>
          <w:lang w:val="en-US" w:eastAsia="pt-PT"/>
        </w:rPr>
        <w:t>Results and Discussions</w:t>
      </w:r>
    </w:p>
    <w:p w14:paraId="7FCDD82E" w14:textId="77777777" w:rsidR="00030740" w:rsidRPr="00E92EFD" w:rsidRDefault="00E92EFD" w:rsidP="00E92EFD">
      <w:pPr>
        <w:pStyle w:val="ListParagraph"/>
        <w:numPr>
          <w:ilvl w:val="1"/>
          <w:numId w:val="2"/>
        </w:numPr>
        <w:spacing w:after="120" w:line="360" w:lineRule="auto"/>
        <w:jc w:val="both"/>
        <w:rPr>
          <w:rFonts w:ascii="Times New Roman" w:eastAsia="Times New Roman" w:hAnsi="Times New Roman" w:cs="Times New Roman"/>
          <w:sz w:val="24"/>
          <w:szCs w:val="24"/>
          <w:lang w:val="en-US" w:eastAsia="pt-PT"/>
        </w:rPr>
      </w:pPr>
      <w:r>
        <w:rPr>
          <w:rFonts w:ascii="Times New Roman" w:eastAsia="Times New Roman" w:hAnsi="Times New Roman" w:cs="Times New Roman"/>
          <w:b/>
          <w:sz w:val="24"/>
          <w:szCs w:val="24"/>
          <w:lang w:val="en-US" w:eastAsia="pt-PT"/>
        </w:rPr>
        <w:t xml:space="preserve"> </w:t>
      </w:r>
      <w:r w:rsidR="00030740" w:rsidRPr="00E92EFD">
        <w:rPr>
          <w:rFonts w:ascii="Times New Roman" w:eastAsia="Times New Roman" w:hAnsi="Times New Roman" w:cs="Times New Roman"/>
          <w:b/>
          <w:sz w:val="24"/>
          <w:szCs w:val="24"/>
          <w:lang w:val="en-US" w:eastAsia="pt-PT"/>
        </w:rPr>
        <w:t xml:space="preserve">Content Validity Index </w:t>
      </w:r>
    </w:p>
    <w:p w14:paraId="16EB507A" w14:textId="77777777" w:rsidR="00030740" w:rsidRPr="00E92EFD" w:rsidRDefault="00030740" w:rsidP="00E92EFD">
      <w:pPr>
        <w:spacing w:after="120" w:line="360" w:lineRule="auto"/>
        <w:jc w:val="both"/>
        <w:rPr>
          <w:rFonts w:ascii="Times New Roman" w:eastAsia="Times New Roman" w:hAnsi="Times New Roman" w:cs="Times New Roman"/>
          <w:sz w:val="24"/>
          <w:szCs w:val="24"/>
          <w:lang w:val="en-US" w:eastAsia="pt-PT"/>
        </w:rPr>
      </w:pPr>
      <w:r w:rsidRPr="00E92EFD">
        <w:rPr>
          <w:rFonts w:ascii="Times New Roman" w:eastAsia="Times New Roman" w:hAnsi="Times New Roman" w:cs="Times New Roman"/>
          <w:sz w:val="24"/>
          <w:szCs w:val="24"/>
          <w:lang w:val="en-US" w:eastAsia="pt-PT"/>
        </w:rPr>
        <w:t xml:space="preserve">The content validity </w:t>
      </w:r>
      <w:r w:rsidR="00E92EFD">
        <w:rPr>
          <w:rFonts w:ascii="Times New Roman" w:eastAsia="Times New Roman" w:hAnsi="Times New Roman" w:cs="Times New Roman"/>
          <w:sz w:val="24"/>
          <w:szCs w:val="24"/>
          <w:lang w:val="en-US" w:eastAsia="pt-PT"/>
        </w:rPr>
        <w:t xml:space="preserve">test </w:t>
      </w:r>
      <w:r w:rsidRPr="00E92EFD">
        <w:rPr>
          <w:rFonts w:ascii="Times New Roman" w:eastAsia="Times New Roman" w:hAnsi="Times New Roman" w:cs="Times New Roman"/>
          <w:sz w:val="24"/>
          <w:szCs w:val="24"/>
          <w:lang w:val="en-US" w:eastAsia="pt-PT"/>
        </w:rPr>
        <w:t>results are present</w:t>
      </w:r>
      <w:r w:rsidR="00E92EFD" w:rsidRPr="00E92EFD">
        <w:rPr>
          <w:rFonts w:ascii="Times New Roman" w:eastAsia="Times New Roman" w:hAnsi="Times New Roman" w:cs="Times New Roman"/>
          <w:sz w:val="24"/>
          <w:szCs w:val="24"/>
          <w:lang w:val="en-US" w:eastAsia="pt-PT"/>
        </w:rPr>
        <w:t>ed</w:t>
      </w:r>
      <w:r w:rsidRPr="00E92EFD">
        <w:rPr>
          <w:rFonts w:ascii="Times New Roman" w:eastAsia="Times New Roman" w:hAnsi="Times New Roman" w:cs="Times New Roman"/>
          <w:sz w:val="24"/>
          <w:szCs w:val="24"/>
          <w:lang w:val="en-US" w:eastAsia="pt-PT"/>
        </w:rPr>
        <w:t xml:space="preserve"> in the</w:t>
      </w:r>
      <w:r w:rsidR="00E92EFD" w:rsidRPr="00E92EFD">
        <w:rPr>
          <w:rFonts w:ascii="Times New Roman" w:eastAsia="Times New Roman" w:hAnsi="Times New Roman" w:cs="Times New Roman"/>
          <w:sz w:val="24"/>
          <w:szCs w:val="24"/>
          <w:lang w:val="en-US" w:eastAsia="pt-PT"/>
        </w:rPr>
        <w:t xml:space="preserve"> table as </w:t>
      </w:r>
      <w:r w:rsidRPr="00E92EFD">
        <w:rPr>
          <w:rFonts w:ascii="Times New Roman" w:eastAsia="Times New Roman" w:hAnsi="Times New Roman" w:cs="Times New Roman"/>
          <w:sz w:val="24"/>
          <w:szCs w:val="24"/>
          <w:lang w:val="en-US" w:eastAsia="pt-PT"/>
        </w:rPr>
        <w:t>follow</w:t>
      </w:r>
      <w:r w:rsidR="00E92EFD" w:rsidRPr="00E92EFD">
        <w:rPr>
          <w:rFonts w:ascii="Times New Roman" w:eastAsia="Times New Roman" w:hAnsi="Times New Roman" w:cs="Times New Roman"/>
          <w:sz w:val="24"/>
          <w:szCs w:val="24"/>
          <w:lang w:val="en-US" w:eastAsia="pt-PT"/>
        </w:rPr>
        <w:t>s</w:t>
      </w:r>
      <w:r w:rsidRPr="00E92EFD">
        <w:rPr>
          <w:rFonts w:ascii="Times New Roman" w:eastAsia="Times New Roman" w:hAnsi="Times New Roman" w:cs="Times New Roman"/>
          <w:sz w:val="24"/>
          <w:szCs w:val="24"/>
          <w:lang w:val="en-US" w:eastAsia="pt-PT"/>
        </w:rPr>
        <w:t>.</w:t>
      </w:r>
    </w:p>
    <w:p w14:paraId="5C7B2439" w14:textId="77777777" w:rsidR="00030740" w:rsidRDefault="00030740" w:rsidP="00E92EFD">
      <w:pPr>
        <w:spacing w:after="120"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Table</w:t>
      </w:r>
      <w:r w:rsidR="00E92EFD">
        <w:rPr>
          <w:rFonts w:ascii="Times New Roman" w:eastAsia="Times New Roman" w:hAnsi="Times New Roman" w:cs="Times New Roman"/>
          <w:b/>
          <w:sz w:val="24"/>
          <w:szCs w:val="24"/>
          <w:lang w:val="en-US" w:eastAsia="pt-PT"/>
        </w:rPr>
        <w:t xml:space="preserve"> 1</w:t>
      </w:r>
      <w:r>
        <w:rPr>
          <w:rFonts w:ascii="Times New Roman" w:eastAsia="Times New Roman" w:hAnsi="Times New Roman" w:cs="Times New Roman"/>
          <w:b/>
          <w:sz w:val="24"/>
          <w:szCs w:val="24"/>
          <w:lang w:val="en-US" w:eastAsia="pt-PT"/>
        </w:rPr>
        <w:t xml:space="preserve">: </w:t>
      </w:r>
      <w:r w:rsidRPr="00E92EFD">
        <w:rPr>
          <w:rFonts w:ascii="Times New Roman" w:eastAsia="Times New Roman" w:hAnsi="Times New Roman" w:cs="Times New Roman"/>
          <w:sz w:val="24"/>
          <w:szCs w:val="24"/>
          <w:lang w:val="en-US" w:eastAsia="pt-PT"/>
        </w:rPr>
        <w:t>Summary of content validity index</w:t>
      </w:r>
    </w:p>
    <w:tbl>
      <w:tblPr>
        <w:tblStyle w:val="TableGrid"/>
        <w:tblW w:w="0" w:type="auto"/>
        <w:tblLook w:val="04A0" w:firstRow="1" w:lastRow="0" w:firstColumn="1" w:lastColumn="0" w:noHBand="0" w:noVBand="1"/>
      </w:tblPr>
      <w:tblGrid>
        <w:gridCol w:w="1843"/>
        <w:gridCol w:w="1985"/>
        <w:gridCol w:w="1984"/>
        <w:gridCol w:w="3160"/>
      </w:tblGrid>
      <w:tr w:rsidR="00030740" w14:paraId="491759B8" w14:textId="77777777" w:rsidTr="007C51AB">
        <w:trPr>
          <w:trHeight w:val="369"/>
        </w:trPr>
        <w:tc>
          <w:tcPr>
            <w:tcW w:w="1843" w:type="dxa"/>
          </w:tcPr>
          <w:p w14:paraId="7B29789E" w14:textId="77777777" w:rsidR="00030740" w:rsidRDefault="00030740" w:rsidP="007C51AB">
            <w:p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Component</w:t>
            </w:r>
          </w:p>
        </w:tc>
        <w:tc>
          <w:tcPr>
            <w:tcW w:w="1985" w:type="dxa"/>
          </w:tcPr>
          <w:p w14:paraId="01054468" w14:textId="77777777" w:rsidR="00030740" w:rsidRDefault="00030740" w:rsidP="007C51AB">
            <w:p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Number of items</w:t>
            </w:r>
          </w:p>
        </w:tc>
        <w:tc>
          <w:tcPr>
            <w:tcW w:w="1984" w:type="dxa"/>
          </w:tcPr>
          <w:p w14:paraId="421DF8C3" w14:textId="77777777" w:rsidR="00030740" w:rsidRDefault="00030740" w:rsidP="007C51AB">
            <w:p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Average I-CVI (S-CVI)</w:t>
            </w:r>
          </w:p>
        </w:tc>
        <w:tc>
          <w:tcPr>
            <w:tcW w:w="3160" w:type="dxa"/>
          </w:tcPr>
          <w:p w14:paraId="12DD266A" w14:textId="77777777" w:rsidR="00030740" w:rsidRDefault="00030740" w:rsidP="007C51AB">
            <w:p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 xml:space="preserve">Interpretation </w:t>
            </w:r>
          </w:p>
        </w:tc>
      </w:tr>
      <w:tr w:rsidR="00030740" w14:paraId="6801A710" w14:textId="77777777" w:rsidTr="007C51AB">
        <w:trPr>
          <w:trHeight w:val="378"/>
        </w:trPr>
        <w:tc>
          <w:tcPr>
            <w:tcW w:w="1843" w:type="dxa"/>
          </w:tcPr>
          <w:p w14:paraId="1FD9BDF0"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Vocabulary</w:t>
            </w:r>
          </w:p>
        </w:tc>
        <w:tc>
          <w:tcPr>
            <w:tcW w:w="1985" w:type="dxa"/>
          </w:tcPr>
          <w:p w14:paraId="7F586EB5"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10</w:t>
            </w:r>
          </w:p>
        </w:tc>
        <w:tc>
          <w:tcPr>
            <w:tcW w:w="1984" w:type="dxa"/>
          </w:tcPr>
          <w:p w14:paraId="7E9C23BD"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1.00</w:t>
            </w:r>
          </w:p>
        </w:tc>
        <w:tc>
          <w:tcPr>
            <w:tcW w:w="3160" w:type="dxa"/>
          </w:tcPr>
          <w:p w14:paraId="471411F4"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 xml:space="preserve">Excellent content validity </w:t>
            </w:r>
          </w:p>
        </w:tc>
      </w:tr>
      <w:tr w:rsidR="00030740" w14:paraId="55C3E26A" w14:textId="77777777" w:rsidTr="007C51AB">
        <w:trPr>
          <w:trHeight w:val="369"/>
        </w:trPr>
        <w:tc>
          <w:tcPr>
            <w:tcW w:w="1843" w:type="dxa"/>
          </w:tcPr>
          <w:p w14:paraId="22730075"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Grammar</w:t>
            </w:r>
          </w:p>
        </w:tc>
        <w:tc>
          <w:tcPr>
            <w:tcW w:w="1985" w:type="dxa"/>
          </w:tcPr>
          <w:p w14:paraId="30E554B5"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5</w:t>
            </w:r>
          </w:p>
        </w:tc>
        <w:tc>
          <w:tcPr>
            <w:tcW w:w="1984" w:type="dxa"/>
          </w:tcPr>
          <w:p w14:paraId="68EF732D" w14:textId="77777777" w:rsidR="00030740" w:rsidRPr="00FD333C" w:rsidRDefault="00030740" w:rsidP="007C51AB">
            <w:r w:rsidRPr="00FD333C">
              <w:rPr>
                <w:rFonts w:ascii="Times New Roman" w:eastAsia="Times New Roman" w:hAnsi="Times New Roman" w:cs="Times New Roman"/>
                <w:sz w:val="24"/>
                <w:szCs w:val="24"/>
                <w:lang w:val="en-US" w:eastAsia="pt-PT"/>
              </w:rPr>
              <w:t>1.00</w:t>
            </w:r>
          </w:p>
        </w:tc>
        <w:tc>
          <w:tcPr>
            <w:tcW w:w="3160" w:type="dxa"/>
          </w:tcPr>
          <w:p w14:paraId="452273DE" w14:textId="77777777" w:rsidR="00030740" w:rsidRPr="00FD333C" w:rsidRDefault="00030740" w:rsidP="007C51AB">
            <w:r w:rsidRPr="00FD333C">
              <w:rPr>
                <w:rFonts w:ascii="Times New Roman" w:eastAsia="Times New Roman" w:hAnsi="Times New Roman" w:cs="Times New Roman"/>
                <w:sz w:val="24"/>
                <w:szCs w:val="24"/>
                <w:lang w:val="en-US" w:eastAsia="pt-PT"/>
              </w:rPr>
              <w:t xml:space="preserve">Excellent content validity </w:t>
            </w:r>
          </w:p>
        </w:tc>
      </w:tr>
      <w:tr w:rsidR="00030740" w14:paraId="3FD47E90" w14:textId="77777777" w:rsidTr="007C51AB">
        <w:trPr>
          <w:trHeight w:val="378"/>
        </w:trPr>
        <w:tc>
          <w:tcPr>
            <w:tcW w:w="1843" w:type="dxa"/>
          </w:tcPr>
          <w:p w14:paraId="56D1E362"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 xml:space="preserve">Reading </w:t>
            </w:r>
          </w:p>
        </w:tc>
        <w:tc>
          <w:tcPr>
            <w:tcW w:w="1985" w:type="dxa"/>
          </w:tcPr>
          <w:p w14:paraId="4D0D0F80"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8</w:t>
            </w:r>
          </w:p>
        </w:tc>
        <w:tc>
          <w:tcPr>
            <w:tcW w:w="1984" w:type="dxa"/>
          </w:tcPr>
          <w:p w14:paraId="091886BB" w14:textId="77777777" w:rsidR="00030740" w:rsidRPr="00FD333C" w:rsidRDefault="00030740" w:rsidP="007C51AB">
            <w:r w:rsidRPr="00FD333C">
              <w:rPr>
                <w:rFonts w:ascii="Times New Roman" w:eastAsia="Times New Roman" w:hAnsi="Times New Roman" w:cs="Times New Roman"/>
                <w:sz w:val="24"/>
                <w:szCs w:val="24"/>
                <w:lang w:val="en-US" w:eastAsia="pt-PT"/>
              </w:rPr>
              <w:t>1.00</w:t>
            </w:r>
          </w:p>
        </w:tc>
        <w:tc>
          <w:tcPr>
            <w:tcW w:w="3160" w:type="dxa"/>
          </w:tcPr>
          <w:p w14:paraId="0CF576A0" w14:textId="77777777" w:rsidR="00030740" w:rsidRPr="00FD333C" w:rsidRDefault="00030740" w:rsidP="007C51AB">
            <w:r w:rsidRPr="00FD333C">
              <w:rPr>
                <w:rFonts w:ascii="Times New Roman" w:eastAsia="Times New Roman" w:hAnsi="Times New Roman" w:cs="Times New Roman"/>
                <w:sz w:val="24"/>
                <w:szCs w:val="24"/>
                <w:lang w:val="en-US" w:eastAsia="pt-PT"/>
              </w:rPr>
              <w:t xml:space="preserve">Excellent content validity </w:t>
            </w:r>
          </w:p>
        </w:tc>
      </w:tr>
      <w:tr w:rsidR="00030740" w14:paraId="52D0D0DA" w14:textId="77777777" w:rsidTr="007C51AB">
        <w:trPr>
          <w:trHeight w:val="369"/>
        </w:trPr>
        <w:tc>
          <w:tcPr>
            <w:tcW w:w="1843" w:type="dxa"/>
          </w:tcPr>
          <w:p w14:paraId="56083B1E"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Writing</w:t>
            </w:r>
          </w:p>
        </w:tc>
        <w:tc>
          <w:tcPr>
            <w:tcW w:w="1985" w:type="dxa"/>
          </w:tcPr>
          <w:p w14:paraId="14D0E1D1"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2</w:t>
            </w:r>
          </w:p>
        </w:tc>
        <w:tc>
          <w:tcPr>
            <w:tcW w:w="1984" w:type="dxa"/>
          </w:tcPr>
          <w:p w14:paraId="2C73C254" w14:textId="77777777" w:rsidR="00030740" w:rsidRPr="00FD333C" w:rsidRDefault="00030740" w:rsidP="007C51AB">
            <w:r w:rsidRPr="00FD333C">
              <w:rPr>
                <w:rFonts w:ascii="Times New Roman" w:eastAsia="Times New Roman" w:hAnsi="Times New Roman" w:cs="Times New Roman"/>
                <w:sz w:val="24"/>
                <w:szCs w:val="24"/>
                <w:lang w:val="en-US" w:eastAsia="pt-PT"/>
              </w:rPr>
              <w:t>1.00</w:t>
            </w:r>
          </w:p>
        </w:tc>
        <w:tc>
          <w:tcPr>
            <w:tcW w:w="3160" w:type="dxa"/>
          </w:tcPr>
          <w:p w14:paraId="6FF2DB37" w14:textId="77777777" w:rsidR="00030740" w:rsidRPr="00FD333C" w:rsidRDefault="00030740" w:rsidP="007C51AB">
            <w:r w:rsidRPr="00FD333C">
              <w:rPr>
                <w:rFonts w:ascii="Times New Roman" w:eastAsia="Times New Roman" w:hAnsi="Times New Roman" w:cs="Times New Roman"/>
                <w:sz w:val="24"/>
                <w:szCs w:val="24"/>
                <w:lang w:val="en-US" w:eastAsia="pt-PT"/>
              </w:rPr>
              <w:t xml:space="preserve">Excellent content validity </w:t>
            </w:r>
          </w:p>
        </w:tc>
      </w:tr>
      <w:tr w:rsidR="00030740" w14:paraId="1FDD3BEF" w14:textId="77777777" w:rsidTr="007C51AB">
        <w:trPr>
          <w:trHeight w:val="369"/>
        </w:trPr>
        <w:tc>
          <w:tcPr>
            <w:tcW w:w="1843" w:type="dxa"/>
          </w:tcPr>
          <w:p w14:paraId="2FE92F69"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proofErr w:type="spellStart"/>
            <w:r w:rsidRPr="00FD333C">
              <w:rPr>
                <w:rFonts w:ascii="Times New Roman" w:eastAsia="Times New Roman" w:hAnsi="Times New Roman" w:cs="Times New Roman"/>
                <w:sz w:val="24"/>
                <w:szCs w:val="24"/>
                <w:lang w:val="en-US" w:eastAsia="pt-PT"/>
              </w:rPr>
              <w:t>Overal</w:t>
            </w:r>
            <w:proofErr w:type="spellEnd"/>
            <w:r w:rsidRPr="00FD333C">
              <w:rPr>
                <w:rFonts w:ascii="Times New Roman" w:eastAsia="Times New Roman" w:hAnsi="Times New Roman" w:cs="Times New Roman"/>
                <w:sz w:val="24"/>
                <w:szCs w:val="24"/>
                <w:lang w:val="en-US" w:eastAsia="pt-PT"/>
              </w:rPr>
              <w:t xml:space="preserve"> scale</w:t>
            </w:r>
          </w:p>
        </w:tc>
        <w:tc>
          <w:tcPr>
            <w:tcW w:w="1985" w:type="dxa"/>
          </w:tcPr>
          <w:p w14:paraId="1FCC9E6C"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25</w:t>
            </w:r>
          </w:p>
        </w:tc>
        <w:tc>
          <w:tcPr>
            <w:tcW w:w="1984" w:type="dxa"/>
          </w:tcPr>
          <w:p w14:paraId="07E64F75" w14:textId="77777777" w:rsidR="00030740" w:rsidRPr="00FD333C" w:rsidRDefault="00030740" w:rsidP="007C51AB">
            <w:r w:rsidRPr="00FD333C">
              <w:rPr>
                <w:rFonts w:ascii="Times New Roman" w:eastAsia="Times New Roman" w:hAnsi="Times New Roman" w:cs="Times New Roman"/>
                <w:sz w:val="24"/>
                <w:szCs w:val="24"/>
                <w:lang w:val="en-US" w:eastAsia="pt-PT"/>
              </w:rPr>
              <w:t>1.00</w:t>
            </w:r>
          </w:p>
        </w:tc>
        <w:tc>
          <w:tcPr>
            <w:tcW w:w="3160" w:type="dxa"/>
          </w:tcPr>
          <w:p w14:paraId="2982F427" w14:textId="77777777" w:rsidR="00030740" w:rsidRPr="00FD333C" w:rsidRDefault="00030740" w:rsidP="007C51AB">
            <w:r w:rsidRPr="00FD333C">
              <w:rPr>
                <w:rFonts w:ascii="Times New Roman" w:eastAsia="Times New Roman" w:hAnsi="Times New Roman" w:cs="Times New Roman"/>
                <w:sz w:val="24"/>
                <w:szCs w:val="24"/>
                <w:lang w:val="en-US" w:eastAsia="pt-PT"/>
              </w:rPr>
              <w:t xml:space="preserve">Excellent content validity </w:t>
            </w:r>
          </w:p>
        </w:tc>
      </w:tr>
    </w:tbl>
    <w:p w14:paraId="05510968" w14:textId="77777777" w:rsidR="00030740" w:rsidRPr="00E92EFD" w:rsidRDefault="00030740" w:rsidP="00E92EFD">
      <w:pPr>
        <w:pStyle w:val="NormalWeb"/>
        <w:spacing w:line="360" w:lineRule="auto"/>
        <w:jc w:val="both"/>
        <w:rPr>
          <w:lang w:val="en-US"/>
        </w:rPr>
      </w:pPr>
      <w:r w:rsidRPr="00FD333C">
        <w:rPr>
          <w:lang w:val="en-US"/>
        </w:rPr>
        <w:t xml:space="preserve">Both experts rated everything as quite relevant or highly relevant (3 and 4 scores). The item-cvi (I-CVI) = 1.00 for every item, and the scale-cvi (S-CVI) = 1.00, indicating that all the test </w:t>
      </w:r>
      <w:r w:rsidRPr="00FD333C">
        <w:rPr>
          <w:lang w:val="en-US"/>
        </w:rPr>
        <w:lastRenderedPageBreak/>
        <w:t>elements (vocabulary, grammar, reading, and writing) are content-validated and applicable to the Portuguese language learning goals.</w:t>
      </w:r>
    </w:p>
    <w:p w14:paraId="10E29C7F" w14:textId="77777777" w:rsidR="00141A78" w:rsidRPr="00E92EFD" w:rsidRDefault="00E92EFD" w:rsidP="00E92EFD">
      <w:pPr>
        <w:pStyle w:val="ListParagraph"/>
        <w:numPr>
          <w:ilvl w:val="1"/>
          <w:numId w:val="2"/>
        </w:num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 xml:space="preserve"> </w:t>
      </w:r>
      <w:r w:rsidR="001843E2" w:rsidRPr="00E92EFD">
        <w:rPr>
          <w:rFonts w:ascii="Times New Roman" w:eastAsia="Times New Roman" w:hAnsi="Times New Roman" w:cs="Times New Roman"/>
          <w:b/>
          <w:sz w:val="24"/>
          <w:szCs w:val="24"/>
          <w:lang w:val="en-US" w:eastAsia="pt-PT"/>
        </w:rPr>
        <w:t>Reliability</w:t>
      </w:r>
      <w:r w:rsidR="00141A78" w:rsidRPr="00E92EFD">
        <w:rPr>
          <w:rFonts w:ascii="Times New Roman" w:eastAsia="Times New Roman" w:hAnsi="Times New Roman" w:cs="Times New Roman"/>
          <w:b/>
          <w:sz w:val="24"/>
          <w:szCs w:val="24"/>
          <w:lang w:val="en-US" w:eastAsia="pt-PT"/>
        </w:rPr>
        <w:t xml:space="preserve"> </w:t>
      </w:r>
      <w:r w:rsidRPr="00E92EFD">
        <w:rPr>
          <w:rFonts w:ascii="Times New Roman" w:eastAsia="Times New Roman" w:hAnsi="Times New Roman" w:cs="Times New Roman"/>
          <w:b/>
          <w:sz w:val="24"/>
          <w:szCs w:val="24"/>
          <w:lang w:val="en-US" w:eastAsia="pt-PT"/>
        </w:rPr>
        <w:t>Test Results</w:t>
      </w:r>
    </w:p>
    <w:p w14:paraId="609A7313" w14:textId="77777777" w:rsidR="00E92EFD" w:rsidRDefault="00E92EFD" w:rsidP="00E92EFD">
      <w:pPr>
        <w:spacing w:after="120" w:line="360" w:lineRule="auto"/>
        <w:jc w:val="both"/>
        <w:rPr>
          <w:rFonts w:ascii="Times New Roman" w:eastAsia="Times New Roman" w:hAnsi="Times New Roman" w:cs="Times New Roman"/>
          <w:sz w:val="24"/>
          <w:szCs w:val="24"/>
          <w:lang w:val="en-US" w:eastAsia="pt-PT"/>
        </w:rPr>
      </w:pPr>
      <w:r w:rsidRPr="00E92EFD">
        <w:rPr>
          <w:rFonts w:ascii="Times New Roman" w:eastAsia="Times New Roman" w:hAnsi="Times New Roman" w:cs="Times New Roman"/>
          <w:sz w:val="24"/>
          <w:szCs w:val="24"/>
          <w:lang w:val="en-US" w:eastAsia="pt-PT"/>
        </w:rPr>
        <w:t>The results from the reliability test used Cronbach’s alpha method are presented in the table as follows.</w:t>
      </w:r>
    </w:p>
    <w:p w14:paraId="203D8FEC" w14:textId="77777777" w:rsidR="00E92EFD" w:rsidRPr="00E92EFD" w:rsidRDefault="00E92EFD" w:rsidP="00E92EFD">
      <w:pPr>
        <w:spacing w:after="120" w:line="360" w:lineRule="auto"/>
        <w:jc w:val="both"/>
        <w:rPr>
          <w:rFonts w:ascii="Times New Roman" w:eastAsia="Times New Roman" w:hAnsi="Times New Roman" w:cs="Times New Roman"/>
          <w:sz w:val="24"/>
          <w:szCs w:val="24"/>
          <w:lang w:val="en-US" w:eastAsia="pt-PT"/>
        </w:rPr>
      </w:pPr>
      <w:r w:rsidRPr="00E92EFD">
        <w:rPr>
          <w:rFonts w:ascii="Times New Roman" w:eastAsia="Times New Roman" w:hAnsi="Times New Roman" w:cs="Times New Roman"/>
          <w:b/>
          <w:sz w:val="24"/>
          <w:szCs w:val="24"/>
          <w:lang w:val="en-US" w:eastAsia="pt-PT"/>
        </w:rPr>
        <w:t>Table 2:</w:t>
      </w:r>
      <w:r>
        <w:rPr>
          <w:rFonts w:ascii="Times New Roman" w:eastAsia="Times New Roman" w:hAnsi="Times New Roman" w:cs="Times New Roman"/>
          <w:sz w:val="24"/>
          <w:szCs w:val="24"/>
          <w:lang w:val="en-US" w:eastAsia="pt-PT"/>
        </w:rPr>
        <w:t xml:space="preserve"> Reliability statistic</w:t>
      </w:r>
    </w:p>
    <w:tbl>
      <w:tblPr>
        <w:tblStyle w:val="TableGrid"/>
        <w:tblW w:w="8889" w:type="dxa"/>
        <w:tblLayout w:type="fixed"/>
        <w:tblLook w:val="0000" w:firstRow="0" w:lastRow="0" w:firstColumn="0" w:lastColumn="0" w:noHBand="0" w:noVBand="0"/>
      </w:tblPr>
      <w:tblGrid>
        <w:gridCol w:w="4070"/>
        <w:gridCol w:w="2409"/>
        <w:gridCol w:w="2410"/>
      </w:tblGrid>
      <w:tr w:rsidR="00BA56C4" w:rsidRPr="00141A78" w14:paraId="1526D8B1" w14:textId="77777777" w:rsidTr="00BA56C4">
        <w:trPr>
          <w:trHeight w:val="372"/>
        </w:trPr>
        <w:tc>
          <w:tcPr>
            <w:tcW w:w="8889" w:type="dxa"/>
            <w:gridSpan w:val="3"/>
          </w:tcPr>
          <w:p w14:paraId="74C71969" w14:textId="77777777" w:rsidR="00BA56C4" w:rsidRPr="00141A78" w:rsidRDefault="00BA56C4" w:rsidP="00E92EFD">
            <w:pPr>
              <w:autoSpaceDE w:val="0"/>
              <w:autoSpaceDN w:val="0"/>
              <w:adjustRightInd w:val="0"/>
              <w:spacing w:line="360" w:lineRule="auto"/>
              <w:ind w:left="62" w:right="62"/>
              <w:jc w:val="center"/>
              <w:rPr>
                <w:rFonts w:ascii="Times New Roman" w:hAnsi="Times New Roman" w:cs="Times New Roman"/>
                <w:b/>
                <w:bCs/>
                <w:color w:val="000000"/>
                <w:sz w:val="24"/>
                <w:szCs w:val="24"/>
                <w:lang w:val="en-AU"/>
              </w:rPr>
            </w:pPr>
            <w:r w:rsidRPr="00141A78">
              <w:rPr>
                <w:rFonts w:ascii="Times New Roman" w:hAnsi="Times New Roman" w:cs="Times New Roman"/>
                <w:b/>
                <w:bCs/>
                <w:color w:val="000000"/>
                <w:sz w:val="24"/>
                <w:szCs w:val="24"/>
                <w:lang w:val="en-AU"/>
              </w:rPr>
              <w:t>Reliability Statistics</w:t>
            </w:r>
          </w:p>
        </w:tc>
      </w:tr>
      <w:tr w:rsidR="00BA56C4" w:rsidRPr="00141A78" w14:paraId="3FBEC9B9" w14:textId="77777777" w:rsidTr="00BA56C4">
        <w:trPr>
          <w:trHeight w:val="746"/>
        </w:trPr>
        <w:tc>
          <w:tcPr>
            <w:tcW w:w="4070" w:type="dxa"/>
          </w:tcPr>
          <w:p w14:paraId="0E53C869" w14:textId="77777777" w:rsidR="00BA56C4" w:rsidRPr="00141A78" w:rsidRDefault="00BA56C4" w:rsidP="00E92EFD">
            <w:pPr>
              <w:autoSpaceDE w:val="0"/>
              <w:autoSpaceDN w:val="0"/>
              <w:adjustRightInd w:val="0"/>
              <w:spacing w:line="360" w:lineRule="auto"/>
              <w:ind w:left="62" w:right="62"/>
              <w:jc w:val="both"/>
              <w:rPr>
                <w:rFonts w:ascii="Times New Roman" w:hAnsi="Times New Roman" w:cs="Times New Roman"/>
                <w:color w:val="000000"/>
                <w:sz w:val="24"/>
                <w:szCs w:val="24"/>
                <w:lang w:val="en-AU"/>
              </w:rPr>
            </w:pPr>
            <w:r w:rsidRPr="00141A78">
              <w:rPr>
                <w:rFonts w:ascii="Times New Roman" w:hAnsi="Times New Roman" w:cs="Times New Roman"/>
                <w:color w:val="000000"/>
                <w:sz w:val="24"/>
                <w:szCs w:val="24"/>
                <w:lang w:val="en-AU"/>
              </w:rPr>
              <w:t>Cronbach's Alpha</w:t>
            </w:r>
          </w:p>
        </w:tc>
        <w:tc>
          <w:tcPr>
            <w:tcW w:w="2409" w:type="dxa"/>
          </w:tcPr>
          <w:p w14:paraId="3F3C09E9" w14:textId="77777777" w:rsidR="00BA56C4" w:rsidRPr="00141A78" w:rsidRDefault="00BA56C4" w:rsidP="00E92EFD">
            <w:pPr>
              <w:autoSpaceDE w:val="0"/>
              <w:autoSpaceDN w:val="0"/>
              <w:adjustRightInd w:val="0"/>
              <w:spacing w:line="360" w:lineRule="auto"/>
              <w:ind w:left="62" w:right="62"/>
              <w:jc w:val="both"/>
              <w:rPr>
                <w:rFonts w:ascii="Times New Roman" w:hAnsi="Times New Roman" w:cs="Times New Roman"/>
                <w:color w:val="000000"/>
                <w:sz w:val="24"/>
                <w:szCs w:val="24"/>
                <w:lang w:val="en-AU"/>
              </w:rPr>
            </w:pPr>
            <w:r>
              <w:rPr>
                <w:rFonts w:ascii="Times New Roman" w:hAnsi="Times New Roman" w:cs="Times New Roman"/>
                <w:color w:val="000000"/>
                <w:sz w:val="24"/>
                <w:szCs w:val="24"/>
                <w:lang w:val="en-AU"/>
              </w:rPr>
              <w:t xml:space="preserve">Item </w:t>
            </w:r>
          </w:p>
        </w:tc>
        <w:tc>
          <w:tcPr>
            <w:tcW w:w="2409" w:type="dxa"/>
          </w:tcPr>
          <w:p w14:paraId="7D54F819" w14:textId="77777777" w:rsidR="00BA56C4" w:rsidRDefault="00BA56C4" w:rsidP="00E92EFD">
            <w:pPr>
              <w:autoSpaceDE w:val="0"/>
              <w:autoSpaceDN w:val="0"/>
              <w:adjustRightInd w:val="0"/>
              <w:spacing w:line="360" w:lineRule="auto"/>
              <w:ind w:left="62" w:right="62"/>
              <w:jc w:val="both"/>
              <w:rPr>
                <w:rFonts w:ascii="Times New Roman" w:hAnsi="Times New Roman" w:cs="Times New Roman"/>
                <w:color w:val="000000"/>
                <w:sz w:val="24"/>
                <w:szCs w:val="24"/>
                <w:lang w:val="en-AU"/>
              </w:rPr>
            </w:pPr>
            <w:r>
              <w:rPr>
                <w:rFonts w:ascii="Times New Roman" w:hAnsi="Times New Roman" w:cs="Times New Roman"/>
                <w:color w:val="000000"/>
                <w:sz w:val="24"/>
                <w:szCs w:val="24"/>
                <w:lang w:val="en-AU"/>
              </w:rPr>
              <w:t>Decision</w:t>
            </w:r>
          </w:p>
        </w:tc>
      </w:tr>
      <w:tr w:rsidR="00BA56C4" w:rsidRPr="00141A78" w14:paraId="3040CAEA" w14:textId="77777777" w:rsidTr="00BA56C4">
        <w:trPr>
          <w:trHeight w:val="372"/>
        </w:trPr>
        <w:tc>
          <w:tcPr>
            <w:tcW w:w="4070" w:type="dxa"/>
          </w:tcPr>
          <w:p w14:paraId="154D94C1" w14:textId="77777777" w:rsidR="00BA56C4" w:rsidRPr="00141A78" w:rsidRDefault="00BA56C4" w:rsidP="00E92EFD">
            <w:pPr>
              <w:autoSpaceDE w:val="0"/>
              <w:autoSpaceDN w:val="0"/>
              <w:adjustRightInd w:val="0"/>
              <w:spacing w:line="360" w:lineRule="auto"/>
              <w:ind w:left="62" w:right="62"/>
              <w:jc w:val="both"/>
              <w:rPr>
                <w:rFonts w:ascii="Times New Roman" w:hAnsi="Times New Roman" w:cs="Times New Roman"/>
                <w:color w:val="000000"/>
                <w:sz w:val="24"/>
                <w:szCs w:val="24"/>
                <w:lang w:val="en-AU"/>
              </w:rPr>
            </w:pPr>
            <w:r>
              <w:rPr>
                <w:rFonts w:ascii="Times New Roman" w:hAnsi="Times New Roman" w:cs="Times New Roman"/>
                <w:color w:val="000000"/>
                <w:sz w:val="24"/>
                <w:szCs w:val="24"/>
                <w:lang w:val="en-AU"/>
              </w:rPr>
              <w:t>0</w:t>
            </w:r>
            <w:r w:rsidRPr="00141A78">
              <w:rPr>
                <w:rFonts w:ascii="Times New Roman" w:hAnsi="Times New Roman" w:cs="Times New Roman"/>
                <w:color w:val="000000"/>
                <w:sz w:val="24"/>
                <w:szCs w:val="24"/>
                <w:lang w:val="en-AU"/>
              </w:rPr>
              <w:t>.742</w:t>
            </w:r>
          </w:p>
        </w:tc>
        <w:tc>
          <w:tcPr>
            <w:tcW w:w="2409" w:type="dxa"/>
          </w:tcPr>
          <w:p w14:paraId="5C505BB8" w14:textId="77777777" w:rsidR="00BA56C4" w:rsidRPr="00141A78" w:rsidRDefault="00BA56C4" w:rsidP="00E92EFD">
            <w:pPr>
              <w:autoSpaceDE w:val="0"/>
              <w:autoSpaceDN w:val="0"/>
              <w:adjustRightInd w:val="0"/>
              <w:spacing w:line="360" w:lineRule="auto"/>
              <w:ind w:left="62" w:right="62"/>
              <w:jc w:val="both"/>
              <w:rPr>
                <w:rFonts w:ascii="Times New Roman" w:hAnsi="Times New Roman" w:cs="Times New Roman"/>
                <w:color w:val="000000"/>
                <w:sz w:val="24"/>
                <w:szCs w:val="24"/>
                <w:lang w:val="en-AU"/>
              </w:rPr>
            </w:pPr>
            <w:r>
              <w:rPr>
                <w:rFonts w:ascii="Times New Roman" w:hAnsi="Times New Roman" w:cs="Times New Roman"/>
                <w:color w:val="000000"/>
                <w:sz w:val="24"/>
                <w:szCs w:val="24"/>
                <w:lang w:val="en-AU"/>
              </w:rPr>
              <w:t>25</w:t>
            </w:r>
          </w:p>
        </w:tc>
        <w:tc>
          <w:tcPr>
            <w:tcW w:w="2409" w:type="dxa"/>
          </w:tcPr>
          <w:p w14:paraId="11DB971C" w14:textId="77777777" w:rsidR="00BA56C4" w:rsidRDefault="00BA56C4" w:rsidP="00E92EFD">
            <w:pPr>
              <w:autoSpaceDE w:val="0"/>
              <w:autoSpaceDN w:val="0"/>
              <w:adjustRightInd w:val="0"/>
              <w:spacing w:line="360" w:lineRule="auto"/>
              <w:ind w:left="62" w:right="62"/>
              <w:jc w:val="both"/>
              <w:rPr>
                <w:rFonts w:ascii="Times New Roman" w:hAnsi="Times New Roman" w:cs="Times New Roman"/>
                <w:color w:val="000000"/>
                <w:sz w:val="24"/>
                <w:szCs w:val="24"/>
                <w:lang w:val="en-AU"/>
              </w:rPr>
            </w:pPr>
            <w:r>
              <w:rPr>
                <w:rFonts w:ascii="Times New Roman" w:hAnsi="Times New Roman" w:cs="Times New Roman"/>
                <w:color w:val="000000"/>
                <w:sz w:val="24"/>
                <w:szCs w:val="24"/>
                <w:lang w:val="en-AU"/>
              </w:rPr>
              <w:t>Reliable</w:t>
            </w:r>
          </w:p>
        </w:tc>
      </w:tr>
    </w:tbl>
    <w:p w14:paraId="40B54042" w14:textId="77777777" w:rsidR="001843E2" w:rsidRDefault="00141A78" w:rsidP="00D64C98">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141A78">
        <w:rPr>
          <w:rFonts w:ascii="Times New Roman" w:eastAsia="Times New Roman" w:hAnsi="Times New Roman" w:cs="Times New Roman"/>
          <w:sz w:val="24"/>
          <w:szCs w:val="24"/>
          <w:lang w:val="en-US" w:eastAsia="pt-PT"/>
        </w:rPr>
        <w:t xml:space="preserve">The reliability test results in this table indicate that Cronbach's alpha is valued at 0.742. Therefore, the classification of values indicates that the items are reasonable and consistent for data collection. Additionally, the criterion states that if </w:t>
      </w:r>
      <w:r w:rsidR="001843E2">
        <w:rPr>
          <w:rFonts w:ascii="Times New Roman" w:eastAsia="Times New Roman" w:hAnsi="Times New Roman" w:cs="Times New Roman"/>
          <w:sz w:val="24"/>
          <w:szCs w:val="24"/>
          <w:lang w:val="en-US" w:eastAsia="pt-PT"/>
        </w:rPr>
        <w:t>Cronbach’s alpha</w:t>
      </w:r>
      <w:r w:rsidR="00DC336A">
        <w:rPr>
          <w:rFonts w:ascii="Times New Roman" w:eastAsia="Times New Roman" w:hAnsi="Times New Roman" w:cs="Times New Roman"/>
          <w:sz w:val="24"/>
          <w:szCs w:val="24"/>
          <w:lang w:val="en-US" w:eastAsia="pt-PT"/>
        </w:rPr>
        <w:t xml:space="preserve"> value</w:t>
      </w:r>
      <w:r w:rsidR="001843E2">
        <w:rPr>
          <w:rFonts w:ascii="Times New Roman" w:eastAsia="Times New Roman" w:hAnsi="Times New Roman" w:cs="Times New Roman"/>
          <w:sz w:val="24"/>
          <w:szCs w:val="24"/>
          <w:lang w:val="en-US" w:eastAsia="pt-PT"/>
        </w:rPr>
        <w:t xml:space="preserve"> </w:t>
      </w:r>
      <w:r w:rsidR="00DC336A">
        <w:rPr>
          <w:rFonts w:ascii="Times New Roman" w:eastAsia="Times New Roman" w:hAnsi="Times New Roman" w:cs="Times New Roman"/>
          <w:sz w:val="24"/>
          <w:szCs w:val="24"/>
          <w:lang w:val="en-US" w:eastAsia="pt-PT"/>
        </w:rPr>
        <w:t xml:space="preserve">is </w:t>
      </w:r>
      <w:r w:rsidR="001843E2">
        <w:rPr>
          <w:rFonts w:ascii="Times New Roman" w:eastAsia="Times New Roman" w:hAnsi="Times New Roman" w:cs="Times New Roman"/>
          <w:sz w:val="24"/>
          <w:szCs w:val="24"/>
          <w:lang w:val="en-US" w:eastAsia="pt-PT"/>
        </w:rPr>
        <w:t xml:space="preserve">&gt; 0.60 </w:t>
      </w:r>
      <w:r w:rsidRPr="00141A78">
        <w:rPr>
          <w:rFonts w:ascii="Times New Roman" w:eastAsia="Times New Roman" w:hAnsi="Times New Roman" w:cs="Times New Roman"/>
          <w:sz w:val="24"/>
          <w:szCs w:val="24"/>
          <w:lang w:val="en-US" w:eastAsia="pt-PT"/>
        </w:rPr>
        <w:t xml:space="preserve">indicates </w:t>
      </w:r>
      <w:r w:rsidR="001843E2">
        <w:rPr>
          <w:rFonts w:ascii="Times New Roman" w:eastAsia="Times New Roman" w:hAnsi="Times New Roman" w:cs="Times New Roman"/>
          <w:sz w:val="24"/>
          <w:szCs w:val="24"/>
          <w:lang w:val="en-US" w:eastAsia="pt-PT"/>
        </w:rPr>
        <w:t>reliability</w:t>
      </w:r>
      <w:r w:rsidRPr="00141A78">
        <w:rPr>
          <w:rFonts w:ascii="Times New Roman" w:eastAsia="Times New Roman" w:hAnsi="Times New Roman" w:cs="Times New Roman"/>
          <w:sz w:val="24"/>
          <w:szCs w:val="24"/>
          <w:lang w:val="en-US" w:eastAsia="pt-PT"/>
        </w:rPr>
        <w:t xml:space="preserve">. </w:t>
      </w:r>
      <w:r w:rsidR="001843E2">
        <w:rPr>
          <w:rFonts w:ascii="Times New Roman" w:eastAsia="Times New Roman" w:hAnsi="Times New Roman" w:cs="Times New Roman"/>
          <w:sz w:val="24"/>
          <w:szCs w:val="24"/>
          <w:lang w:val="en-US" w:eastAsia="pt-PT"/>
        </w:rPr>
        <w:t xml:space="preserve">Therefore, </w:t>
      </w:r>
      <w:r w:rsidR="00F736F2">
        <w:rPr>
          <w:rFonts w:ascii="Times New Roman" w:eastAsia="Times New Roman" w:hAnsi="Times New Roman" w:cs="Times New Roman"/>
          <w:sz w:val="24"/>
          <w:szCs w:val="24"/>
          <w:lang w:val="en-US" w:eastAsia="pt-PT"/>
        </w:rPr>
        <w:t xml:space="preserve">the result in the table shows reliability that Cronbach’s alpha value at 0742 &gt; 0.60. </w:t>
      </w:r>
    </w:p>
    <w:p w14:paraId="046F083C" w14:textId="77777777" w:rsidR="002958C4" w:rsidRPr="00C86925" w:rsidRDefault="00E92EFD" w:rsidP="00E92EFD">
      <w:pPr>
        <w:pStyle w:val="NormalWeb"/>
        <w:numPr>
          <w:ilvl w:val="1"/>
          <w:numId w:val="2"/>
        </w:numPr>
        <w:spacing w:before="0" w:beforeAutospacing="0" w:after="0" w:afterAutospacing="0" w:line="360" w:lineRule="auto"/>
        <w:jc w:val="both"/>
        <w:rPr>
          <w:b/>
          <w:lang w:val="en-US"/>
        </w:rPr>
      </w:pPr>
      <w:r>
        <w:rPr>
          <w:b/>
          <w:lang w:val="en-US"/>
        </w:rPr>
        <w:t xml:space="preserve"> </w:t>
      </w:r>
      <w:r w:rsidR="002958C4" w:rsidRPr="00C86925">
        <w:rPr>
          <w:b/>
          <w:lang w:val="en-US"/>
        </w:rPr>
        <w:t xml:space="preserve">Normality </w:t>
      </w:r>
      <w:r w:rsidRPr="00C86925">
        <w:rPr>
          <w:b/>
          <w:lang w:val="en-US"/>
        </w:rPr>
        <w:t>Test Results</w:t>
      </w:r>
    </w:p>
    <w:p w14:paraId="329B9A9F" w14:textId="77777777" w:rsidR="002958C4" w:rsidRDefault="002958C4" w:rsidP="002958C4">
      <w:pPr>
        <w:pStyle w:val="NormalWeb"/>
        <w:spacing w:before="0" w:beforeAutospacing="0" w:after="0" w:afterAutospacing="0" w:line="360" w:lineRule="auto"/>
        <w:jc w:val="both"/>
        <w:rPr>
          <w:lang w:val="en-US"/>
        </w:rPr>
      </w:pPr>
      <w:r w:rsidRPr="00A4154D">
        <w:rPr>
          <w:lang w:val="en-US"/>
        </w:rPr>
        <w:t xml:space="preserve">The normality test was conducted through </w:t>
      </w:r>
      <w:r>
        <w:rPr>
          <w:lang w:val="en-US"/>
        </w:rPr>
        <w:t xml:space="preserve">the </w:t>
      </w:r>
      <w:r w:rsidRPr="00A4154D">
        <w:rPr>
          <w:lang w:val="en-US"/>
        </w:rPr>
        <w:t>SPSS</w:t>
      </w:r>
      <w:r w:rsidR="00A05D68">
        <w:rPr>
          <w:lang w:val="en-US"/>
        </w:rPr>
        <w:t xml:space="preserve"> </w:t>
      </w:r>
      <w:r w:rsidRPr="00A4154D">
        <w:rPr>
          <w:lang w:val="en-US"/>
        </w:rPr>
        <w:t xml:space="preserve">21 program and the results of the normality test using the Kolmogorov-Smirnov test </w:t>
      </w:r>
      <w:r>
        <w:rPr>
          <w:lang w:val="en-US"/>
        </w:rPr>
        <w:t>are presented</w:t>
      </w:r>
      <w:r w:rsidRPr="00A4154D">
        <w:rPr>
          <w:lang w:val="en-US"/>
        </w:rPr>
        <w:t xml:space="preserve"> as follows</w:t>
      </w:r>
      <w:r>
        <w:rPr>
          <w:lang w:val="en-US"/>
        </w:rPr>
        <w:t>.</w:t>
      </w:r>
    </w:p>
    <w:p w14:paraId="1687A1C7" w14:textId="77777777" w:rsidR="004D3779" w:rsidRDefault="004D3779" w:rsidP="002958C4">
      <w:pPr>
        <w:pStyle w:val="NormalWeb"/>
        <w:spacing w:before="0" w:beforeAutospacing="0" w:after="0" w:afterAutospacing="0" w:line="360" w:lineRule="auto"/>
        <w:jc w:val="both"/>
        <w:rPr>
          <w:lang w:val="en-US"/>
        </w:rPr>
      </w:pPr>
      <w:r w:rsidRPr="004D3779">
        <w:rPr>
          <w:b/>
          <w:lang w:val="en-US"/>
        </w:rPr>
        <w:t>Table 3:</w:t>
      </w:r>
      <w:r>
        <w:rPr>
          <w:lang w:val="en-US"/>
        </w:rPr>
        <w:t xml:space="preserve"> Normality test</w:t>
      </w:r>
    </w:p>
    <w:tbl>
      <w:tblPr>
        <w:tblStyle w:val="TableGrid"/>
        <w:tblW w:w="9044" w:type="dxa"/>
        <w:tblLayout w:type="fixed"/>
        <w:tblLook w:val="0000" w:firstRow="0" w:lastRow="0" w:firstColumn="0" w:lastColumn="0" w:noHBand="0" w:noVBand="0"/>
      </w:tblPr>
      <w:tblGrid>
        <w:gridCol w:w="4116"/>
        <w:gridCol w:w="2425"/>
        <w:gridCol w:w="2503"/>
      </w:tblGrid>
      <w:tr w:rsidR="002958C4" w:rsidRPr="00975A04" w14:paraId="3B058D9E" w14:textId="77777777" w:rsidTr="007C51AB">
        <w:trPr>
          <w:trHeight w:val="302"/>
        </w:trPr>
        <w:tc>
          <w:tcPr>
            <w:tcW w:w="9044" w:type="dxa"/>
            <w:gridSpan w:val="3"/>
          </w:tcPr>
          <w:p w14:paraId="6C5604DD" w14:textId="77777777" w:rsidR="002958C4" w:rsidRPr="00DC2244" w:rsidRDefault="002958C4" w:rsidP="007C51AB">
            <w:pPr>
              <w:autoSpaceDE w:val="0"/>
              <w:autoSpaceDN w:val="0"/>
              <w:adjustRightInd w:val="0"/>
              <w:spacing w:line="320" w:lineRule="atLeast"/>
              <w:ind w:left="60" w:right="60"/>
              <w:jc w:val="center"/>
              <w:rPr>
                <w:rFonts w:ascii="Times New Roman" w:hAnsi="Times New Roman" w:cs="Times New Roman"/>
                <w:color w:val="000000"/>
                <w:sz w:val="24"/>
                <w:szCs w:val="24"/>
                <w:lang w:val="en-US"/>
              </w:rPr>
            </w:pPr>
            <w:r w:rsidRPr="00DC2244">
              <w:rPr>
                <w:rFonts w:ascii="Times New Roman" w:hAnsi="Times New Roman" w:cs="Times New Roman"/>
                <w:b/>
                <w:bCs/>
                <w:color w:val="000000"/>
                <w:sz w:val="24"/>
                <w:szCs w:val="24"/>
                <w:lang w:val="en-US"/>
              </w:rPr>
              <w:t>One-Sample Kolmogorov-Smirnov Test</w:t>
            </w:r>
          </w:p>
        </w:tc>
      </w:tr>
      <w:tr w:rsidR="002958C4" w:rsidRPr="00DC2244" w14:paraId="76EE36A4" w14:textId="77777777" w:rsidTr="007C51AB">
        <w:trPr>
          <w:trHeight w:val="605"/>
        </w:trPr>
        <w:tc>
          <w:tcPr>
            <w:tcW w:w="6541" w:type="dxa"/>
            <w:gridSpan w:val="2"/>
          </w:tcPr>
          <w:p w14:paraId="5F16BFA3" w14:textId="77777777" w:rsidR="002958C4" w:rsidRPr="00DC2244" w:rsidRDefault="002958C4" w:rsidP="007C51AB">
            <w:pPr>
              <w:autoSpaceDE w:val="0"/>
              <w:autoSpaceDN w:val="0"/>
              <w:adjustRightInd w:val="0"/>
              <w:rPr>
                <w:rFonts w:ascii="Times New Roman" w:hAnsi="Times New Roman" w:cs="Times New Roman"/>
                <w:sz w:val="24"/>
                <w:szCs w:val="24"/>
                <w:lang w:val="en-US"/>
              </w:rPr>
            </w:pPr>
          </w:p>
        </w:tc>
        <w:tc>
          <w:tcPr>
            <w:tcW w:w="2503" w:type="dxa"/>
          </w:tcPr>
          <w:p w14:paraId="06C2B6DF" w14:textId="77777777" w:rsidR="002958C4" w:rsidRPr="00DC2244" w:rsidRDefault="002958C4" w:rsidP="007C51A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DC2244">
              <w:rPr>
                <w:rFonts w:ascii="Times New Roman" w:hAnsi="Times New Roman" w:cs="Times New Roman"/>
                <w:color w:val="000000"/>
                <w:sz w:val="24"/>
                <w:szCs w:val="24"/>
              </w:rPr>
              <w:t>Unstandardized Residual</w:t>
            </w:r>
          </w:p>
        </w:tc>
      </w:tr>
      <w:tr w:rsidR="002958C4" w:rsidRPr="00DC2244" w14:paraId="7DDCA239" w14:textId="77777777" w:rsidTr="007C51AB">
        <w:trPr>
          <w:trHeight w:val="302"/>
        </w:trPr>
        <w:tc>
          <w:tcPr>
            <w:tcW w:w="6541" w:type="dxa"/>
            <w:gridSpan w:val="2"/>
          </w:tcPr>
          <w:p w14:paraId="2BB3232C"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N</w:t>
            </w:r>
          </w:p>
        </w:tc>
        <w:tc>
          <w:tcPr>
            <w:tcW w:w="2503" w:type="dxa"/>
          </w:tcPr>
          <w:p w14:paraId="1259108D"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175</w:t>
            </w:r>
          </w:p>
        </w:tc>
      </w:tr>
      <w:tr w:rsidR="002958C4" w:rsidRPr="00DC2244" w14:paraId="7325708C" w14:textId="77777777" w:rsidTr="007C51AB">
        <w:trPr>
          <w:trHeight w:val="302"/>
        </w:trPr>
        <w:tc>
          <w:tcPr>
            <w:tcW w:w="4116" w:type="dxa"/>
            <w:vMerge w:val="restart"/>
          </w:tcPr>
          <w:p w14:paraId="14485CF8"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Normal Parameters</w:t>
            </w:r>
            <w:r w:rsidRPr="00DC2244">
              <w:rPr>
                <w:rFonts w:ascii="Times New Roman" w:hAnsi="Times New Roman" w:cs="Times New Roman"/>
                <w:color w:val="000000"/>
                <w:sz w:val="24"/>
                <w:szCs w:val="24"/>
                <w:vertAlign w:val="superscript"/>
              </w:rPr>
              <w:t>a,b</w:t>
            </w:r>
          </w:p>
        </w:tc>
        <w:tc>
          <w:tcPr>
            <w:tcW w:w="2425" w:type="dxa"/>
          </w:tcPr>
          <w:p w14:paraId="37235E1A"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Mean</w:t>
            </w:r>
          </w:p>
        </w:tc>
        <w:tc>
          <w:tcPr>
            <w:tcW w:w="2503" w:type="dxa"/>
          </w:tcPr>
          <w:p w14:paraId="62DDD446"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.0000000</w:t>
            </w:r>
          </w:p>
        </w:tc>
      </w:tr>
      <w:tr w:rsidR="002958C4" w:rsidRPr="00DC2244" w14:paraId="63AB357A" w14:textId="77777777" w:rsidTr="007C51AB">
        <w:trPr>
          <w:trHeight w:val="302"/>
        </w:trPr>
        <w:tc>
          <w:tcPr>
            <w:tcW w:w="4116" w:type="dxa"/>
            <w:vMerge/>
          </w:tcPr>
          <w:p w14:paraId="7E5B9302" w14:textId="77777777" w:rsidR="002958C4" w:rsidRPr="00DC2244" w:rsidRDefault="002958C4" w:rsidP="007C51AB">
            <w:pPr>
              <w:autoSpaceDE w:val="0"/>
              <w:autoSpaceDN w:val="0"/>
              <w:adjustRightInd w:val="0"/>
              <w:rPr>
                <w:rFonts w:ascii="Times New Roman" w:hAnsi="Times New Roman" w:cs="Times New Roman"/>
                <w:color w:val="000000"/>
                <w:sz w:val="24"/>
                <w:szCs w:val="24"/>
              </w:rPr>
            </w:pPr>
          </w:p>
        </w:tc>
        <w:tc>
          <w:tcPr>
            <w:tcW w:w="2425" w:type="dxa"/>
          </w:tcPr>
          <w:p w14:paraId="1A23A027"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Std. Deviation</w:t>
            </w:r>
          </w:p>
        </w:tc>
        <w:tc>
          <w:tcPr>
            <w:tcW w:w="2503" w:type="dxa"/>
          </w:tcPr>
          <w:p w14:paraId="63C3A559"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7.81090922</w:t>
            </w:r>
          </w:p>
        </w:tc>
      </w:tr>
      <w:tr w:rsidR="002958C4" w:rsidRPr="00DC2244" w14:paraId="3927149E" w14:textId="77777777" w:rsidTr="007C51AB">
        <w:trPr>
          <w:trHeight w:val="302"/>
        </w:trPr>
        <w:tc>
          <w:tcPr>
            <w:tcW w:w="4116" w:type="dxa"/>
            <w:vMerge w:val="restart"/>
          </w:tcPr>
          <w:p w14:paraId="3A2F639C"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Most Extreme Differences</w:t>
            </w:r>
          </w:p>
        </w:tc>
        <w:tc>
          <w:tcPr>
            <w:tcW w:w="2425" w:type="dxa"/>
          </w:tcPr>
          <w:p w14:paraId="470D2CCA"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Absolute</w:t>
            </w:r>
          </w:p>
        </w:tc>
        <w:tc>
          <w:tcPr>
            <w:tcW w:w="2503" w:type="dxa"/>
          </w:tcPr>
          <w:p w14:paraId="5F7C2868"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.068</w:t>
            </w:r>
          </w:p>
        </w:tc>
      </w:tr>
      <w:tr w:rsidR="002958C4" w:rsidRPr="00DC2244" w14:paraId="274B044F" w14:textId="77777777" w:rsidTr="007C51AB">
        <w:trPr>
          <w:trHeight w:val="302"/>
        </w:trPr>
        <w:tc>
          <w:tcPr>
            <w:tcW w:w="4116" w:type="dxa"/>
            <w:vMerge/>
          </w:tcPr>
          <w:p w14:paraId="2B4ECE63" w14:textId="77777777" w:rsidR="002958C4" w:rsidRPr="00DC2244" w:rsidRDefault="002958C4" w:rsidP="007C51AB">
            <w:pPr>
              <w:autoSpaceDE w:val="0"/>
              <w:autoSpaceDN w:val="0"/>
              <w:adjustRightInd w:val="0"/>
              <w:rPr>
                <w:rFonts w:ascii="Times New Roman" w:hAnsi="Times New Roman" w:cs="Times New Roman"/>
                <w:color w:val="000000"/>
                <w:sz w:val="24"/>
                <w:szCs w:val="24"/>
              </w:rPr>
            </w:pPr>
          </w:p>
        </w:tc>
        <w:tc>
          <w:tcPr>
            <w:tcW w:w="2425" w:type="dxa"/>
          </w:tcPr>
          <w:p w14:paraId="09506F67"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Positive</w:t>
            </w:r>
          </w:p>
        </w:tc>
        <w:tc>
          <w:tcPr>
            <w:tcW w:w="2503" w:type="dxa"/>
          </w:tcPr>
          <w:p w14:paraId="6DCE882C"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.048</w:t>
            </w:r>
          </w:p>
        </w:tc>
      </w:tr>
      <w:tr w:rsidR="002958C4" w:rsidRPr="00DC2244" w14:paraId="72C9AB95" w14:textId="77777777" w:rsidTr="007C51AB">
        <w:trPr>
          <w:trHeight w:val="302"/>
        </w:trPr>
        <w:tc>
          <w:tcPr>
            <w:tcW w:w="4116" w:type="dxa"/>
            <w:vMerge/>
          </w:tcPr>
          <w:p w14:paraId="03F11C26" w14:textId="77777777" w:rsidR="002958C4" w:rsidRPr="00DC2244" w:rsidRDefault="002958C4" w:rsidP="007C51AB">
            <w:pPr>
              <w:autoSpaceDE w:val="0"/>
              <w:autoSpaceDN w:val="0"/>
              <w:adjustRightInd w:val="0"/>
              <w:rPr>
                <w:rFonts w:ascii="Times New Roman" w:hAnsi="Times New Roman" w:cs="Times New Roman"/>
                <w:color w:val="000000"/>
                <w:sz w:val="24"/>
                <w:szCs w:val="24"/>
              </w:rPr>
            </w:pPr>
          </w:p>
        </w:tc>
        <w:tc>
          <w:tcPr>
            <w:tcW w:w="2425" w:type="dxa"/>
          </w:tcPr>
          <w:p w14:paraId="53D1A24A"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Negative</w:t>
            </w:r>
          </w:p>
        </w:tc>
        <w:tc>
          <w:tcPr>
            <w:tcW w:w="2503" w:type="dxa"/>
          </w:tcPr>
          <w:p w14:paraId="2C4BCB79"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-.068</w:t>
            </w:r>
          </w:p>
        </w:tc>
      </w:tr>
      <w:tr w:rsidR="002958C4" w:rsidRPr="00DC2244" w14:paraId="16B0884C" w14:textId="77777777" w:rsidTr="007C51AB">
        <w:trPr>
          <w:trHeight w:val="302"/>
        </w:trPr>
        <w:tc>
          <w:tcPr>
            <w:tcW w:w="6541" w:type="dxa"/>
            <w:gridSpan w:val="2"/>
          </w:tcPr>
          <w:p w14:paraId="3DC87009"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Kolmogorov-Smirnov Z</w:t>
            </w:r>
          </w:p>
        </w:tc>
        <w:tc>
          <w:tcPr>
            <w:tcW w:w="2503" w:type="dxa"/>
          </w:tcPr>
          <w:p w14:paraId="4D7EDB51"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.906</w:t>
            </w:r>
          </w:p>
        </w:tc>
      </w:tr>
      <w:tr w:rsidR="002958C4" w:rsidRPr="00DC2244" w14:paraId="52747E2E" w14:textId="77777777" w:rsidTr="007C51AB">
        <w:trPr>
          <w:trHeight w:val="302"/>
        </w:trPr>
        <w:tc>
          <w:tcPr>
            <w:tcW w:w="6541" w:type="dxa"/>
            <w:gridSpan w:val="2"/>
          </w:tcPr>
          <w:p w14:paraId="0D69853C"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Asymp. Sig. (2-tailed)</w:t>
            </w:r>
          </w:p>
        </w:tc>
        <w:tc>
          <w:tcPr>
            <w:tcW w:w="2503" w:type="dxa"/>
          </w:tcPr>
          <w:p w14:paraId="2428F610"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.385</w:t>
            </w:r>
          </w:p>
        </w:tc>
      </w:tr>
      <w:tr w:rsidR="002958C4" w:rsidRPr="00DC2244" w14:paraId="22DBE5EB" w14:textId="77777777" w:rsidTr="007C51AB">
        <w:trPr>
          <w:trHeight w:val="302"/>
        </w:trPr>
        <w:tc>
          <w:tcPr>
            <w:tcW w:w="9044" w:type="dxa"/>
            <w:gridSpan w:val="3"/>
          </w:tcPr>
          <w:p w14:paraId="5A1997A8"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p>
        </w:tc>
      </w:tr>
    </w:tbl>
    <w:p w14:paraId="691032B3" w14:textId="77777777" w:rsidR="002958C4" w:rsidRDefault="002958C4" w:rsidP="004D3779">
      <w:pPr>
        <w:spacing w:before="120" w:after="120" w:line="360" w:lineRule="auto"/>
        <w:jc w:val="both"/>
        <w:rPr>
          <w:rFonts w:ascii="Times New Roman" w:eastAsia="Times New Roman" w:hAnsi="Times New Roman" w:cs="Times New Roman"/>
          <w:sz w:val="24"/>
          <w:szCs w:val="24"/>
          <w:lang w:val="en-US" w:eastAsia="pt-PT"/>
        </w:rPr>
      </w:pPr>
      <w:r w:rsidRPr="00DC2244">
        <w:rPr>
          <w:rFonts w:ascii="Times New Roman" w:eastAsia="Times New Roman" w:hAnsi="Times New Roman" w:cs="Times New Roman"/>
          <w:sz w:val="24"/>
          <w:szCs w:val="24"/>
          <w:lang w:val="en-US" w:eastAsia="pt-PT"/>
        </w:rPr>
        <w:t xml:space="preserve">The outcome of one sample test of the Kolmogorov-Smirnov test indicates that the data follow the normality assumption. A sample size of 175 indicates that the mean of </w:t>
      </w:r>
      <w:proofErr w:type="spellStart"/>
      <w:r w:rsidRPr="00DC2244">
        <w:rPr>
          <w:rFonts w:ascii="Times New Roman" w:eastAsia="Times New Roman" w:hAnsi="Times New Roman" w:cs="Times New Roman"/>
          <w:sz w:val="24"/>
          <w:szCs w:val="24"/>
          <w:lang w:val="en-US" w:eastAsia="pt-PT"/>
        </w:rPr>
        <w:t>unstandardised</w:t>
      </w:r>
      <w:proofErr w:type="spellEnd"/>
      <w:r w:rsidRPr="00DC2244">
        <w:rPr>
          <w:rFonts w:ascii="Times New Roman" w:eastAsia="Times New Roman" w:hAnsi="Times New Roman" w:cs="Times New Roman"/>
          <w:sz w:val="24"/>
          <w:szCs w:val="24"/>
          <w:lang w:val="en-US" w:eastAsia="pt-PT"/>
        </w:rPr>
        <w:t xml:space="preserve"> </w:t>
      </w:r>
      <w:r w:rsidRPr="00DC2244">
        <w:rPr>
          <w:rFonts w:ascii="Times New Roman" w:eastAsia="Times New Roman" w:hAnsi="Times New Roman" w:cs="Times New Roman"/>
          <w:sz w:val="24"/>
          <w:szCs w:val="24"/>
          <w:lang w:val="en-US" w:eastAsia="pt-PT"/>
        </w:rPr>
        <w:lastRenderedPageBreak/>
        <w:t xml:space="preserve">residuals is 0.000 with a standard deviation of 7.81, suggesting that the residuals are symmetrically distributed around the mean of 0.000. The statistic value of Kolmogorov-Smirnov (K-S) obtained (Z = 0.906), having an Asymptotic Significance (p = 0.385), is greater than the traditional alpha of 0.05, and the difference between the observed data distribution and a normal distribution is not significant. The null hypothesis of normality is thus accepted, meaning that the residual values follow the normal distribution and the data are suitable to </w:t>
      </w:r>
      <w:proofErr w:type="spellStart"/>
      <w:r w:rsidRPr="00DC2244">
        <w:rPr>
          <w:rFonts w:ascii="Times New Roman" w:eastAsia="Times New Roman" w:hAnsi="Times New Roman" w:cs="Times New Roman"/>
          <w:sz w:val="24"/>
          <w:szCs w:val="24"/>
          <w:lang w:val="en-US" w:eastAsia="pt-PT"/>
        </w:rPr>
        <w:t>analyse</w:t>
      </w:r>
      <w:proofErr w:type="spellEnd"/>
      <w:r w:rsidRPr="00DC2244">
        <w:rPr>
          <w:rFonts w:ascii="Times New Roman" w:eastAsia="Times New Roman" w:hAnsi="Times New Roman" w:cs="Times New Roman"/>
          <w:sz w:val="24"/>
          <w:szCs w:val="24"/>
          <w:lang w:val="en-US" w:eastAsia="pt-PT"/>
        </w:rPr>
        <w:t xml:space="preserve"> it more using other parametric tests like regression.</w:t>
      </w:r>
    </w:p>
    <w:p w14:paraId="2D75DE10" w14:textId="77777777" w:rsidR="007568BE" w:rsidRPr="00E92EFD" w:rsidRDefault="00CA312E" w:rsidP="004D3779">
      <w:pPr>
        <w:pStyle w:val="ListParagraph"/>
        <w:numPr>
          <w:ilvl w:val="1"/>
          <w:numId w:val="2"/>
        </w:numPr>
        <w:spacing w:after="0"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 xml:space="preserve"> Statistical Descriptive</w:t>
      </w:r>
      <w:r w:rsidR="00E92EFD">
        <w:rPr>
          <w:rFonts w:ascii="Times New Roman" w:eastAsia="Times New Roman" w:hAnsi="Times New Roman" w:cs="Times New Roman"/>
          <w:b/>
          <w:sz w:val="24"/>
          <w:szCs w:val="24"/>
          <w:lang w:val="en-US" w:eastAsia="pt-PT"/>
        </w:rPr>
        <w:t xml:space="preserve"> Analysis Results</w:t>
      </w:r>
    </w:p>
    <w:p w14:paraId="1DD4C7E8" w14:textId="77777777" w:rsidR="001055B9" w:rsidRDefault="001055B9" w:rsidP="004D3779">
      <w:pPr>
        <w:spacing w:after="0" w:line="360" w:lineRule="auto"/>
        <w:jc w:val="both"/>
        <w:rPr>
          <w:rFonts w:ascii="Times New Roman" w:eastAsia="Times New Roman" w:hAnsi="Times New Roman" w:cs="Times New Roman"/>
          <w:sz w:val="24"/>
          <w:szCs w:val="24"/>
          <w:lang w:val="en-US" w:eastAsia="pt-PT"/>
        </w:rPr>
      </w:pPr>
      <w:r w:rsidRPr="001055B9">
        <w:rPr>
          <w:rFonts w:ascii="Times New Roman" w:eastAsia="Times New Roman" w:hAnsi="Times New Roman" w:cs="Times New Roman"/>
          <w:sz w:val="24"/>
          <w:szCs w:val="24"/>
          <w:lang w:val="en-US" w:eastAsia="pt-PT"/>
        </w:rPr>
        <w:t>The results of the descriptive analysis using SPSS 2</w:t>
      </w:r>
      <w:r w:rsidR="00A05D68">
        <w:rPr>
          <w:rFonts w:ascii="Times New Roman" w:eastAsia="Times New Roman" w:hAnsi="Times New Roman" w:cs="Times New Roman"/>
          <w:sz w:val="24"/>
          <w:szCs w:val="24"/>
          <w:lang w:val="en-US" w:eastAsia="pt-PT"/>
        </w:rPr>
        <w:t>1</w:t>
      </w:r>
      <w:r w:rsidRPr="001055B9">
        <w:rPr>
          <w:rFonts w:ascii="Times New Roman" w:eastAsia="Times New Roman" w:hAnsi="Times New Roman" w:cs="Times New Roman"/>
          <w:sz w:val="24"/>
          <w:szCs w:val="24"/>
          <w:lang w:val="en-US" w:eastAsia="pt-PT"/>
        </w:rPr>
        <w:t xml:space="preserve"> are as follows.</w:t>
      </w:r>
    </w:p>
    <w:p w14:paraId="0705DCB0" w14:textId="77777777" w:rsidR="004D3779" w:rsidRPr="004D3779" w:rsidRDefault="004D3779" w:rsidP="004D3779">
      <w:pPr>
        <w:spacing w:after="0" w:line="360" w:lineRule="auto"/>
        <w:jc w:val="both"/>
        <w:rPr>
          <w:rFonts w:ascii="Times New Roman" w:eastAsia="Times New Roman" w:hAnsi="Times New Roman" w:cs="Times New Roman"/>
          <w:b/>
          <w:sz w:val="24"/>
          <w:szCs w:val="24"/>
          <w:lang w:val="en-US" w:eastAsia="pt-PT"/>
        </w:rPr>
      </w:pPr>
      <w:r w:rsidRPr="004D3779">
        <w:rPr>
          <w:rFonts w:ascii="Times New Roman" w:eastAsia="Times New Roman" w:hAnsi="Times New Roman" w:cs="Times New Roman"/>
          <w:b/>
          <w:sz w:val="24"/>
          <w:szCs w:val="24"/>
          <w:lang w:val="en-US" w:eastAsia="pt-PT"/>
        </w:rPr>
        <w:t xml:space="preserve">Table 4: </w:t>
      </w:r>
      <w:r w:rsidRPr="005D6E1A">
        <w:rPr>
          <w:rFonts w:ascii="Times New Roman" w:eastAsia="Times New Roman" w:hAnsi="Times New Roman" w:cs="Times New Roman"/>
          <w:sz w:val="24"/>
          <w:szCs w:val="24"/>
          <w:lang w:val="en-US" w:eastAsia="pt-PT"/>
        </w:rPr>
        <w:t xml:space="preserve">Descriptive </w:t>
      </w:r>
      <w:r w:rsidR="005D6E1A">
        <w:rPr>
          <w:rFonts w:ascii="Times New Roman" w:eastAsia="Times New Roman" w:hAnsi="Times New Roman" w:cs="Times New Roman"/>
          <w:sz w:val="24"/>
          <w:szCs w:val="24"/>
          <w:lang w:val="en-US" w:eastAsia="pt-PT"/>
        </w:rPr>
        <w:t>statistic</w:t>
      </w:r>
    </w:p>
    <w:tbl>
      <w:tblPr>
        <w:tblStyle w:val="TableGrid"/>
        <w:tblW w:w="8801" w:type="dxa"/>
        <w:tblLayout w:type="fixed"/>
        <w:tblLook w:val="0000" w:firstRow="0" w:lastRow="0" w:firstColumn="0" w:lastColumn="0" w:noHBand="0" w:noVBand="0"/>
      </w:tblPr>
      <w:tblGrid>
        <w:gridCol w:w="1560"/>
        <w:gridCol w:w="1134"/>
        <w:gridCol w:w="1275"/>
        <w:gridCol w:w="1418"/>
        <w:gridCol w:w="992"/>
        <w:gridCol w:w="992"/>
        <w:gridCol w:w="1430"/>
      </w:tblGrid>
      <w:tr w:rsidR="007568BE" w:rsidRPr="00876262" w14:paraId="3E0CCF5D" w14:textId="77777777" w:rsidTr="00BA56C4">
        <w:trPr>
          <w:trHeight w:val="320"/>
        </w:trPr>
        <w:tc>
          <w:tcPr>
            <w:tcW w:w="8801" w:type="dxa"/>
            <w:gridSpan w:val="7"/>
          </w:tcPr>
          <w:p w14:paraId="06EFF168"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b/>
                <w:bCs/>
                <w:color w:val="000000"/>
                <w:sz w:val="24"/>
                <w:szCs w:val="24"/>
              </w:rPr>
              <w:t>Descriptive Statistics</w:t>
            </w:r>
          </w:p>
        </w:tc>
      </w:tr>
      <w:tr w:rsidR="007568BE" w:rsidRPr="00876262" w14:paraId="2079F9E6" w14:textId="77777777" w:rsidTr="00876262">
        <w:trPr>
          <w:trHeight w:val="641"/>
        </w:trPr>
        <w:tc>
          <w:tcPr>
            <w:tcW w:w="1560" w:type="dxa"/>
            <w:vMerge w:val="restart"/>
          </w:tcPr>
          <w:p w14:paraId="0C7BFF8D" w14:textId="77777777" w:rsidR="007568BE" w:rsidRPr="00876262" w:rsidRDefault="007568BE" w:rsidP="004D3779">
            <w:pPr>
              <w:autoSpaceDE w:val="0"/>
              <w:autoSpaceDN w:val="0"/>
              <w:adjustRightInd w:val="0"/>
              <w:jc w:val="both"/>
              <w:rPr>
                <w:rFonts w:ascii="Times New Roman" w:hAnsi="Times New Roman" w:cs="Times New Roman"/>
                <w:sz w:val="24"/>
                <w:szCs w:val="24"/>
              </w:rPr>
            </w:pPr>
          </w:p>
        </w:tc>
        <w:tc>
          <w:tcPr>
            <w:tcW w:w="1134" w:type="dxa"/>
          </w:tcPr>
          <w:p w14:paraId="0C0772C2"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N</w:t>
            </w:r>
          </w:p>
        </w:tc>
        <w:tc>
          <w:tcPr>
            <w:tcW w:w="1275" w:type="dxa"/>
          </w:tcPr>
          <w:p w14:paraId="14CA283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Minimum</w:t>
            </w:r>
          </w:p>
        </w:tc>
        <w:tc>
          <w:tcPr>
            <w:tcW w:w="1418" w:type="dxa"/>
          </w:tcPr>
          <w:p w14:paraId="2A7662A2"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Maximum</w:t>
            </w:r>
          </w:p>
        </w:tc>
        <w:tc>
          <w:tcPr>
            <w:tcW w:w="1984" w:type="dxa"/>
            <w:gridSpan w:val="2"/>
          </w:tcPr>
          <w:p w14:paraId="1AB2BCB7"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Mean</w:t>
            </w:r>
          </w:p>
        </w:tc>
        <w:tc>
          <w:tcPr>
            <w:tcW w:w="1430" w:type="dxa"/>
          </w:tcPr>
          <w:p w14:paraId="55FE867B"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Std. Deviation</w:t>
            </w:r>
          </w:p>
        </w:tc>
      </w:tr>
      <w:tr w:rsidR="007568BE" w:rsidRPr="00876262" w14:paraId="6C8C89E1" w14:textId="77777777" w:rsidTr="00876262">
        <w:trPr>
          <w:trHeight w:val="651"/>
        </w:trPr>
        <w:tc>
          <w:tcPr>
            <w:tcW w:w="1560" w:type="dxa"/>
            <w:vMerge/>
          </w:tcPr>
          <w:p w14:paraId="02749E89" w14:textId="77777777" w:rsidR="007568BE" w:rsidRPr="00876262" w:rsidRDefault="007568BE" w:rsidP="004D3779">
            <w:pPr>
              <w:autoSpaceDE w:val="0"/>
              <w:autoSpaceDN w:val="0"/>
              <w:adjustRightInd w:val="0"/>
              <w:jc w:val="both"/>
              <w:rPr>
                <w:rFonts w:ascii="Times New Roman" w:hAnsi="Times New Roman" w:cs="Times New Roman"/>
                <w:color w:val="000000"/>
                <w:sz w:val="24"/>
                <w:szCs w:val="24"/>
              </w:rPr>
            </w:pPr>
          </w:p>
        </w:tc>
        <w:tc>
          <w:tcPr>
            <w:tcW w:w="1134" w:type="dxa"/>
          </w:tcPr>
          <w:p w14:paraId="4EF2A72A"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Statistic</w:t>
            </w:r>
          </w:p>
        </w:tc>
        <w:tc>
          <w:tcPr>
            <w:tcW w:w="1275" w:type="dxa"/>
          </w:tcPr>
          <w:p w14:paraId="4E03D558"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Statistic</w:t>
            </w:r>
          </w:p>
        </w:tc>
        <w:tc>
          <w:tcPr>
            <w:tcW w:w="1418" w:type="dxa"/>
          </w:tcPr>
          <w:p w14:paraId="041C6EB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Statistic</w:t>
            </w:r>
          </w:p>
        </w:tc>
        <w:tc>
          <w:tcPr>
            <w:tcW w:w="992" w:type="dxa"/>
          </w:tcPr>
          <w:p w14:paraId="51CFD22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Statistic</w:t>
            </w:r>
          </w:p>
        </w:tc>
        <w:tc>
          <w:tcPr>
            <w:tcW w:w="992" w:type="dxa"/>
          </w:tcPr>
          <w:p w14:paraId="2CBDBEB8"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Std. Error</w:t>
            </w:r>
          </w:p>
        </w:tc>
        <w:tc>
          <w:tcPr>
            <w:tcW w:w="1430" w:type="dxa"/>
          </w:tcPr>
          <w:p w14:paraId="064A5431"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Statistic</w:t>
            </w:r>
          </w:p>
        </w:tc>
      </w:tr>
      <w:tr w:rsidR="007568BE" w:rsidRPr="00876262" w14:paraId="51C5E321" w14:textId="77777777" w:rsidTr="00876262">
        <w:trPr>
          <w:trHeight w:val="320"/>
        </w:trPr>
        <w:tc>
          <w:tcPr>
            <w:tcW w:w="1560" w:type="dxa"/>
          </w:tcPr>
          <w:p w14:paraId="669271C6"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Vocabulary</w:t>
            </w:r>
          </w:p>
        </w:tc>
        <w:tc>
          <w:tcPr>
            <w:tcW w:w="1134" w:type="dxa"/>
          </w:tcPr>
          <w:p w14:paraId="1B23AEA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175</w:t>
            </w:r>
          </w:p>
        </w:tc>
        <w:tc>
          <w:tcPr>
            <w:tcW w:w="1275" w:type="dxa"/>
          </w:tcPr>
          <w:p w14:paraId="42EFB121"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w:t>
            </w:r>
          </w:p>
        </w:tc>
        <w:tc>
          <w:tcPr>
            <w:tcW w:w="1418" w:type="dxa"/>
          </w:tcPr>
          <w:p w14:paraId="006B19E1"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11</w:t>
            </w:r>
          </w:p>
        </w:tc>
        <w:tc>
          <w:tcPr>
            <w:tcW w:w="992" w:type="dxa"/>
          </w:tcPr>
          <w:p w14:paraId="27CC8CE1"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7.58</w:t>
            </w:r>
          </w:p>
        </w:tc>
        <w:tc>
          <w:tcPr>
            <w:tcW w:w="992" w:type="dxa"/>
          </w:tcPr>
          <w:p w14:paraId="6D4559CC"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.176</w:t>
            </w:r>
          </w:p>
        </w:tc>
        <w:tc>
          <w:tcPr>
            <w:tcW w:w="1430" w:type="dxa"/>
          </w:tcPr>
          <w:p w14:paraId="1892C61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2.333</w:t>
            </w:r>
          </w:p>
        </w:tc>
      </w:tr>
      <w:tr w:rsidR="007568BE" w:rsidRPr="00876262" w14:paraId="50867CCB" w14:textId="77777777" w:rsidTr="00876262">
        <w:trPr>
          <w:trHeight w:val="320"/>
        </w:trPr>
        <w:tc>
          <w:tcPr>
            <w:tcW w:w="1560" w:type="dxa"/>
          </w:tcPr>
          <w:p w14:paraId="2FA7381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Grammar</w:t>
            </w:r>
          </w:p>
        </w:tc>
        <w:tc>
          <w:tcPr>
            <w:tcW w:w="1134" w:type="dxa"/>
          </w:tcPr>
          <w:p w14:paraId="3D20832E"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175</w:t>
            </w:r>
          </w:p>
        </w:tc>
        <w:tc>
          <w:tcPr>
            <w:tcW w:w="1275" w:type="dxa"/>
          </w:tcPr>
          <w:p w14:paraId="235562F7"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p>
        </w:tc>
        <w:tc>
          <w:tcPr>
            <w:tcW w:w="1418" w:type="dxa"/>
          </w:tcPr>
          <w:p w14:paraId="1DC25CBF"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5</w:t>
            </w:r>
          </w:p>
        </w:tc>
        <w:tc>
          <w:tcPr>
            <w:tcW w:w="992" w:type="dxa"/>
          </w:tcPr>
          <w:p w14:paraId="446CDC02"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1.65</w:t>
            </w:r>
          </w:p>
        </w:tc>
        <w:tc>
          <w:tcPr>
            <w:tcW w:w="992" w:type="dxa"/>
          </w:tcPr>
          <w:p w14:paraId="1F4123A7"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.119</w:t>
            </w:r>
          </w:p>
        </w:tc>
        <w:tc>
          <w:tcPr>
            <w:tcW w:w="1430" w:type="dxa"/>
          </w:tcPr>
          <w:p w14:paraId="210178D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1.579</w:t>
            </w:r>
          </w:p>
        </w:tc>
      </w:tr>
      <w:tr w:rsidR="007568BE" w:rsidRPr="00876262" w14:paraId="7F1DC8B7" w14:textId="77777777" w:rsidTr="00876262">
        <w:trPr>
          <w:trHeight w:val="320"/>
        </w:trPr>
        <w:tc>
          <w:tcPr>
            <w:tcW w:w="1560" w:type="dxa"/>
          </w:tcPr>
          <w:p w14:paraId="526E4EAA"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Reading</w:t>
            </w:r>
          </w:p>
        </w:tc>
        <w:tc>
          <w:tcPr>
            <w:tcW w:w="1134" w:type="dxa"/>
          </w:tcPr>
          <w:p w14:paraId="6CCC9E3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175</w:t>
            </w:r>
          </w:p>
        </w:tc>
        <w:tc>
          <w:tcPr>
            <w:tcW w:w="1275" w:type="dxa"/>
          </w:tcPr>
          <w:p w14:paraId="00DE37EA"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p>
        </w:tc>
        <w:tc>
          <w:tcPr>
            <w:tcW w:w="1418" w:type="dxa"/>
          </w:tcPr>
          <w:p w14:paraId="6813CBC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16</w:t>
            </w:r>
          </w:p>
        </w:tc>
        <w:tc>
          <w:tcPr>
            <w:tcW w:w="992" w:type="dxa"/>
          </w:tcPr>
          <w:p w14:paraId="5A7D3482"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4.51</w:t>
            </w:r>
          </w:p>
        </w:tc>
        <w:tc>
          <w:tcPr>
            <w:tcW w:w="992" w:type="dxa"/>
          </w:tcPr>
          <w:p w14:paraId="105452C5"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.159</w:t>
            </w:r>
          </w:p>
        </w:tc>
        <w:tc>
          <w:tcPr>
            <w:tcW w:w="1430" w:type="dxa"/>
          </w:tcPr>
          <w:p w14:paraId="0DF8067E"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2.098</w:t>
            </w:r>
          </w:p>
        </w:tc>
      </w:tr>
      <w:tr w:rsidR="007568BE" w:rsidRPr="00876262" w14:paraId="1BE0D603" w14:textId="77777777" w:rsidTr="00876262">
        <w:trPr>
          <w:trHeight w:val="320"/>
        </w:trPr>
        <w:tc>
          <w:tcPr>
            <w:tcW w:w="1560" w:type="dxa"/>
          </w:tcPr>
          <w:p w14:paraId="34AA167B"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Writing</w:t>
            </w:r>
          </w:p>
        </w:tc>
        <w:tc>
          <w:tcPr>
            <w:tcW w:w="1134" w:type="dxa"/>
          </w:tcPr>
          <w:p w14:paraId="7C2D4C37"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175</w:t>
            </w:r>
          </w:p>
        </w:tc>
        <w:tc>
          <w:tcPr>
            <w:tcW w:w="1275" w:type="dxa"/>
          </w:tcPr>
          <w:p w14:paraId="70D1CA8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p>
        </w:tc>
        <w:tc>
          <w:tcPr>
            <w:tcW w:w="1418" w:type="dxa"/>
          </w:tcPr>
          <w:p w14:paraId="3B5349E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2</w:t>
            </w:r>
          </w:p>
        </w:tc>
        <w:tc>
          <w:tcPr>
            <w:tcW w:w="992" w:type="dxa"/>
          </w:tcPr>
          <w:p w14:paraId="0547DB73"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.68</w:t>
            </w:r>
          </w:p>
        </w:tc>
        <w:tc>
          <w:tcPr>
            <w:tcW w:w="992" w:type="dxa"/>
          </w:tcPr>
          <w:p w14:paraId="30BA6FCB"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.065</w:t>
            </w:r>
          </w:p>
        </w:tc>
        <w:tc>
          <w:tcPr>
            <w:tcW w:w="1430" w:type="dxa"/>
          </w:tcPr>
          <w:p w14:paraId="7B5F8E3E"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.865</w:t>
            </w:r>
          </w:p>
        </w:tc>
      </w:tr>
      <w:tr w:rsidR="007568BE" w:rsidRPr="00876262" w14:paraId="457B83AE" w14:textId="77777777" w:rsidTr="00876262">
        <w:trPr>
          <w:trHeight w:val="320"/>
        </w:trPr>
        <w:tc>
          <w:tcPr>
            <w:tcW w:w="1560" w:type="dxa"/>
          </w:tcPr>
          <w:p w14:paraId="1B7F03B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Total score</w:t>
            </w:r>
          </w:p>
        </w:tc>
        <w:tc>
          <w:tcPr>
            <w:tcW w:w="1134" w:type="dxa"/>
          </w:tcPr>
          <w:p w14:paraId="72BF2A8C"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175</w:t>
            </w:r>
          </w:p>
        </w:tc>
        <w:tc>
          <w:tcPr>
            <w:tcW w:w="1275" w:type="dxa"/>
          </w:tcPr>
          <w:p w14:paraId="2AD0223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w:t>
            </w:r>
          </w:p>
        </w:tc>
        <w:tc>
          <w:tcPr>
            <w:tcW w:w="1418" w:type="dxa"/>
          </w:tcPr>
          <w:p w14:paraId="0DBE4EDC"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26</w:t>
            </w:r>
          </w:p>
        </w:tc>
        <w:tc>
          <w:tcPr>
            <w:tcW w:w="992" w:type="dxa"/>
          </w:tcPr>
          <w:p w14:paraId="58E41973"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14.42</w:t>
            </w:r>
          </w:p>
        </w:tc>
        <w:tc>
          <w:tcPr>
            <w:tcW w:w="992" w:type="dxa"/>
          </w:tcPr>
          <w:p w14:paraId="41B12E37"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.394</w:t>
            </w:r>
          </w:p>
        </w:tc>
        <w:tc>
          <w:tcPr>
            <w:tcW w:w="1430" w:type="dxa"/>
          </w:tcPr>
          <w:p w14:paraId="4546BAD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5.206</w:t>
            </w:r>
          </w:p>
        </w:tc>
      </w:tr>
      <w:tr w:rsidR="007568BE" w:rsidRPr="00876262" w14:paraId="167EC024" w14:textId="77777777" w:rsidTr="00876262">
        <w:trPr>
          <w:trHeight w:val="320"/>
        </w:trPr>
        <w:tc>
          <w:tcPr>
            <w:tcW w:w="1560" w:type="dxa"/>
          </w:tcPr>
          <w:p w14:paraId="2E778A6C"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Valid N (listwise)</w:t>
            </w:r>
          </w:p>
        </w:tc>
        <w:tc>
          <w:tcPr>
            <w:tcW w:w="1134" w:type="dxa"/>
          </w:tcPr>
          <w:p w14:paraId="3B060D67"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175</w:t>
            </w:r>
          </w:p>
        </w:tc>
        <w:tc>
          <w:tcPr>
            <w:tcW w:w="1275" w:type="dxa"/>
          </w:tcPr>
          <w:p w14:paraId="723CFCC9" w14:textId="77777777" w:rsidR="007568BE" w:rsidRPr="00876262" w:rsidRDefault="007568BE" w:rsidP="004D3779">
            <w:pPr>
              <w:autoSpaceDE w:val="0"/>
              <w:autoSpaceDN w:val="0"/>
              <w:adjustRightInd w:val="0"/>
              <w:jc w:val="both"/>
              <w:rPr>
                <w:rFonts w:ascii="Times New Roman" w:hAnsi="Times New Roman" w:cs="Times New Roman"/>
                <w:sz w:val="24"/>
                <w:szCs w:val="24"/>
              </w:rPr>
            </w:pPr>
          </w:p>
        </w:tc>
        <w:tc>
          <w:tcPr>
            <w:tcW w:w="1418" w:type="dxa"/>
          </w:tcPr>
          <w:p w14:paraId="28BA9917" w14:textId="77777777" w:rsidR="007568BE" w:rsidRPr="00876262" w:rsidRDefault="007568BE" w:rsidP="004D3779">
            <w:pPr>
              <w:autoSpaceDE w:val="0"/>
              <w:autoSpaceDN w:val="0"/>
              <w:adjustRightInd w:val="0"/>
              <w:jc w:val="both"/>
              <w:rPr>
                <w:rFonts w:ascii="Times New Roman" w:hAnsi="Times New Roman" w:cs="Times New Roman"/>
                <w:sz w:val="24"/>
                <w:szCs w:val="24"/>
              </w:rPr>
            </w:pPr>
          </w:p>
        </w:tc>
        <w:tc>
          <w:tcPr>
            <w:tcW w:w="992" w:type="dxa"/>
          </w:tcPr>
          <w:p w14:paraId="198FDAC1" w14:textId="77777777" w:rsidR="007568BE" w:rsidRPr="00876262" w:rsidRDefault="007568BE" w:rsidP="004D3779">
            <w:pPr>
              <w:autoSpaceDE w:val="0"/>
              <w:autoSpaceDN w:val="0"/>
              <w:adjustRightInd w:val="0"/>
              <w:jc w:val="both"/>
              <w:rPr>
                <w:rFonts w:ascii="Times New Roman" w:hAnsi="Times New Roman" w:cs="Times New Roman"/>
                <w:sz w:val="24"/>
                <w:szCs w:val="24"/>
              </w:rPr>
            </w:pPr>
          </w:p>
        </w:tc>
        <w:tc>
          <w:tcPr>
            <w:tcW w:w="992" w:type="dxa"/>
          </w:tcPr>
          <w:p w14:paraId="3EC7D7F5" w14:textId="77777777" w:rsidR="007568BE" w:rsidRPr="00876262" w:rsidRDefault="007568BE" w:rsidP="004D3779">
            <w:pPr>
              <w:autoSpaceDE w:val="0"/>
              <w:autoSpaceDN w:val="0"/>
              <w:adjustRightInd w:val="0"/>
              <w:jc w:val="both"/>
              <w:rPr>
                <w:rFonts w:ascii="Times New Roman" w:hAnsi="Times New Roman" w:cs="Times New Roman"/>
                <w:sz w:val="24"/>
                <w:szCs w:val="24"/>
              </w:rPr>
            </w:pPr>
          </w:p>
        </w:tc>
        <w:tc>
          <w:tcPr>
            <w:tcW w:w="1430" w:type="dxa"/>
          </w:tcPr>
          <w:p w14:paraId="13B4B48A" w14:textId="77777777" w:rsidR="007568BE" w:rsidRPr="00876262" w:rsidRDefault="007568BE" w:rsidP="004D3779">
            <w:pPr>
              <w:autoSpaceDE w:val="0"/>
              <w:autoSpaceDN w:val="0"/>
              <w:adjustRightInd w:val="0"/>
              <w:jc w:val="both"/>
              <w:rPr>
                <w:rFonts w:ascii="Times New Roman" w:hAnsi="Times New Roman" w:cs="Times New Roman"/>
                <w:sz w:val="24"/>
                <w:szCs w:val="24"/>
              </w:rPr>
            </w:pPr>
          </w:p>
        </w:tc>
      </w:tr>
    </w:tbl>
    <w:p w14:paraId="179DECCA" w14:textId="77777777" w:rsidR="004D3779" w:rsidRDefault="004D3779" w:rsidP="004D3779">
      <w:pPr>
        <w:spacing w:after="0" w:line="360" w:lineRule="auto"/>
        <w:jc w:val="both"/>
        <w:rPr>
          <w:rFonts w:ascii="Times New Roman" w:eastAsia="Times New Roman" w:hAnsi="Times New Roman" w:cs="Times New Roman"/>
          <w:sz w:val="24"/>
          <w:szCs w:val="24"/>
          <w:lang w:val="en-US" w:eastAsia="pt-PT"/>
        </w:rPr>
      </w:pPr>
    </w:p>
    <w:p w14:paraId="2091AE58" w14:textId="77777777" w:rsidR="007568BE" w:rsidRDefault="001055B9" w:rsidP="004D3779">
      <w:pPr>
        <w:spacing w:after="0" w:line="360" w:lineRule="auto"/>
        <w:jc w:val="both"/>
        <w:rPr>
          <w:rFonts w:ascii="Times New Roman" w:eastAsia="Times New Roman" w:hAnsi="Times New Roman" w:cs="Times New Roman"/>
          <w:sz w:val="24"/>
          <w:szCs w:val="24"/>
          <w:lang w:val="en-US" w:eastAsia="pt-PT"/>
        </w:rPr>
      </w:pPr>
      <w:r w:rsidRPr="001055B9">
        <w:rPr>
          <w:rFonts w:ascii="Times New Roman" w:eastAsia="Times New Roman" w:hAnsi="Times New Roman" w:cs="Times New Roman"/>
          <w:sz w:val="24"/>
          <w:szCs w:val="24"/>
          <w:lang w:val="en-US" w:eastAsia="pt-PT"/>
        </w:rPr>
        <w:t>As revealed in the descriptive analysis table, 175 students undertook the Portuguese proficiency test, which measured four areas of vocabulary, grammar, reading, and writing. The findings show that students have done best in vocabulary (M = 7.58, SD = 2.33), with 1-11 scores, which implies a rather adequate understanding of word knowledge. The average reading score was moderate (M = 4.51, SD = 2.10), while the scores for grammar (M = 1.65, SD = 1.58) and writing (M = 0.68, SD = 0.87) were lower, indicating that students face more difficulties in these areas. The overall score in all domains was 1 to 26, with a mean of 14.42 (SD = 5.21), which implies that there was overall moderate proficiency among the learners, although there was a wide range of differences between the students. These findings indicate that vocabulary learning is better, but grammar and writing require greater instructional attention to enhance the overall competency of students in the Portuguese language.</w:t>
      </w:r>
    </w:p>
    <w:p w14:paraId="0FDA18D9" w14:textId="77777777" w:rsidR="00805780" w:rsidRDefault="00805780" w:rsidP="004D3779">
      <w:pPr>
        <w:spacing w:after="0" w:line="360" w:lineRule="auto"/>
        <w:jc w:val="both"/>
        <w:rPr>
          <w:rFonts w:ascii="Times New Roman" w:eastAsia="Times New Roman" w:hAnsi="Times New Roman" w:cs="Times New Roman"/>
          <w:sz w:val="24"/>
          <w:szCs w:val="24"/>
          <w:lang w:val="en-US" w:eastAsia="pt-PT"/>
        </w:rPr>
      </w:pPr>
    </w:p>
    <w:p w14:paraId="3CF7FD1F" w14:textId="77777777" w:rsidR="00A05D68" w:rsidRPr="00C86925" w:rsidRDefault="004D3779" w:rsidP="004D3779">
      <w:pPr>
        <w:pStyle w:val="NormalWeb"/>
        <w:numPr>
          <w:ilvl w:val="1"/>
          <w:numId w:val="2"/>
        </w:numPr>
        <w:spacing w:before="0" w:beforeAutospacing="0" w:after="0" w:afterAutospacing="0" w:line="360" w:lineRule="auto"/>
        <w:jc w:val="both"/>
        <w:rPr>
          <w:b/>
          <w:lang w:val="en-US"/>
        </w:rPr>
      </w:pPr>
      <w:r>
        <w:rPr>
          <w:b/>
          <w:lang w:val="en-US"/>
        </w:rPr>
        <w:t xml:space="preserve"> </w:t>
      </w:r>
      <w:r w:rsidR="00A05D68" w:rsidRPr="00C86925">
        <w:rPr>
          <w:b/>
          <w:lang w:val="en-US"/>
        </w:rPr>
        <w:t xml:space="preserve">Simple </w:t>
      </w:r>
      <w:r w:rsidRPr="00C86925">
        <w:rPr>
          <w:b/>
          <w:lang w:val="en-US"/>
        </w:rPr>
        <w:t>Regression</w:t>
      </w:r>
      <w:r>
        <w:rPr>
          <w:b/>
          <w:lang w:val="en-US"/>
        </w:rPr>
        <w:t xml:space="preserve"> Linear</w:t>
      </w:r>
      <w:r w:rsidRPr="00C86925">
        <w:rPr>
          <w:b/>
          <w:lang w:val="en-US"/>
        </w:rPr>
        <w:t xml:space="preserve"> </w:t>
      </w:r>
      <w:r w:rsidR="005402D4">
        <w:rPr>
          <w:b/>
          <w:lang w:val="en-US"/>
        </w:rPr>
        <w:t>and Correlational Analysis Results</w:t>
      </w:r>
    </w:p>
    <w:p w14:paraId="10B66242" w14:textId="77777777" w:rsidR="00A05D68" w:rsidRDefault="00A05D68" w:rsidP="004D3779">
      <w:pPr>
        <w:pStyle w:val="NormalWeb"/>
        <w:spacing w:before="0" w:beforeAutospacing="0" w:after="0" w:afterAutospacing="0" w:line="360" w:lineRule="auto"/>
        <w:jc w:val="both"/>
        <w:rPr>
          <w:lang w:val="en-US"/>
        </w:rPr>
      </w:pPr>
      <w:r w:rsidRPr="00C86925">
        <w:rPr>
          <w:lang w:val="en-US"/>
        </w:rPr>
        <w:lastRenderedPageBreak/>
        <w:t xml:space="preserve">The </w:t>
      </w:r>
      <w:r>
        <w:rPr>
          <w:lang w:val="en-US"/>
        </w:rPr>
        <w:t xml:space="preserve">result of </w:t>
      </w:r>
      <w:r w:rsidR="005402D4">
        <w:rPr>
          <w:lang w:val="en-US"/>
        </w:rPr>
        <w:t xml:space="preserve">the </w:t>
      </w:r>
      <w:r w:rsidRPr="00C86925">
        <w:rPr>
          <w:lang w:val="en-US"/>
        </w:rPr>
        <w:t xml:space="preserve">simple regression </w:t>
      </w:r>
      <w:r>
        <w:rPr>
          <w:lang w:val="en-US"/>
        </w:rPr>
        <w:t xml:space="preserve">linear </w:t>
      </w:r>
      <w:r w:rsidR="00D44808">
        <w:rPr>
          <w:lang w:val="en-US"/>
        </w:rPr>
        <w:t xml:space="preserve">in table five </w:t>
      </w:r>
      <w:r w:rsidR="005402D4">
        <w:rPr>
          <w:lang w:val="en-US"/>
        </w:rPr>
        <w:t xml:space="preserve">and correlational </w:t>
      </w:r>
      <w:r w:rsidRPr="00C86925">
        <w:rPr>
          <w:lang w:val="en-US"/>
        </w:rPr>
        <w:t xml:space="preserve">analysis </w:t>
      </w:r>
      <w:r w:rsidR="00D44808">
        <w:rPr>
          <w:lang w:val="en-US"/>
        </w:rPr>
        <w:t xml:space="preserve">in table six </w:t>
      </w:r>
      <w:r w:rsidR="005402D4">
        <w:rPr>
          <w:lang w:val="en-US"/>
        </w:rPr>
        <w:t>was</w:t>
      </w:r>
      <w:r w:rsidRPr="00C86925">
        <w:rPr>
          <w:lang w:val="en-US"/>
        </w:rPr>
        <w:t xml:space="preserve"> assisted by </w:t>
      </w:r>
      <w:r>
        <w:rPr>
          <w:lang w:val="en-US"/>
        </w:rPr>
        <w:t xml:space="preserve">the </w:t>
      </w:r>
      <w:r w:rsidRPr="00C86925">
        <w:rPr>
          <w:lang w:val="en-US"/>
        </w:rPr>
        <w:t>SPSS</w:t>
      </w:r>
      <w:r>
        <w:rPr>
          <w:lang w:val="en-US"/>
        </w:rPr>
        <w:t xml:space="preserve"> </w:t>
      </w:r>
      <w:r w:rsidRPr="00C86925">
        <w:rPr>
          <w:lang w:val="en-US"/>
        </w:rPr>
        <w:t>21 program</w:t>
      </w:r>
      <w:r w:rsidR="004D3779">
        <w:rPr>
          <w:lang w:val="en-US"/>
        </w:rPr>
        <w:t>,</w:t>
      </w:r>
      <w:r w:rsidRPr="00C86925">
        <w:rPr>
          <w:lang w:val="en-US"/>
        </w:rPr>
        <w:t xml:space="preserve"> and its results are reported</w:t>
      </w:r>
      <w:r w:rsidR="004D3779">
        <w:rPr>
          <w:lang w:val="en-US"/>
        </w:rPr>
        <w:t xml:space="preserve"> </w:t>
      </w:r>
      <w:r w:rsidRPr="00C86925">
        <w:rPr>
          <w:lang w:val="en-US"/>
        </w:rPr>
        <w:t>in the following table.</w:t>
      </w:r>
    </w:p>
    <w:p w14:paraId="3FE44934" w14:textId="77777777" w:rsidR="004D3779" w:rsidRDefault="004D3779" w:rsidP="004D3779">
      <w:pPr>
        <w:pStyle w:val="NormalWeb"/>
        <w:spacing w:before="0" w:beforeAutospacing="0" w:after="0" w:afterAutospacing="0" w:line="360" w:lineRule="auto"/>
        <w:jc w:val="both"/>
        <w:rPr>
          <w:lang w:val="en-US"/>
        </w:rPr>
      </w:pPr>
      <w:r w:rsidRPr="004D3779">
        <w:rPr>
          <w:b/>
          <w:lang w:val="en-US"/>
        </w:rPr>
        <w:t>Table 5:</w:t>
      </w:r>
      <w:r>
        <w:rPr>
          <w:lang w:val="en-US"/>
        </w:rPr>
        <w:t xml:space="preserve"> Coefficients</w:t>
      </w:r>
    </w:p>
    <w:tbl>
      <w:tblPr>
        <w:tblStyle w:val="TableGrid"/>
        <w:tblW w:w="8947" w:type="dxa"/>
        <w:tblLayout w:type="fixed"/>
        <w:tblLook w:val="0000" w:firstRow="0" w:lastRow="0" w:firstColumn="0" w:lastColumn="0" w:noHBand="0" w:noVBand="0"/>
      </w:tblPr>
      <w:tblGrid>
        <w:gridCol w:w="787"/>
        <w:gridCol w:w="1593"/>
        <w:gridCol w:w="1428"/>
        <w:gridCol w:w="1428"/>
        <w:gridCol w:w="1576"/>
        <w:gridCol w:w="1066"/>
        <w:gridCol w:w="1069"/>
      </w:tblGrid>
      <w:tr w:rsidR="00A05D68" w:rsidRPr="004D3779" w14:paraId="2F3F244B" w14:textId="77777777" w:rsidTr="00A05D68">
        <w:trPr>
          <w:trHeight w:val="315"/>
        </w:trPr>
        <w:tc>
          <w:tcPr>
            <w:tcW w:w="8947" w:type="dxa"/>
            <w:gridSpan w:val="7"/>
          </w:tcPr>
          <w:p w14:paraId="33D937D1"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b/>
                <w:bCs/>
                <w:color w:val="000000"/>
                <w:sz w:val="24"/>
                <w:szCs w:val="24"/>
              </w:rPr>
              <w:t>Coefficients</w:t>
            </w:r>
            <w:r w:rsidRPr="004D3779">
              <w:rPr>
                <w:rFonts w:ascii="Times New Roman" w:hAnsi="Times New Roman" w:cs="Times New Roman"/>
                <w:b/>
                <w:bCs/>
                <w:color w:val="000000"/>
                <w:sz w:val="24"/>
                <w:szCs w:val="24"/>
                <w:vertAlign w:val="superscript"/>
              </w:rPr>
              <w:t>a</w:t>
            </w:r>
          </w:p>
        </w:tc>
      </w:tr>
      <w:tr w:rsidR="00A05D68" w:rsidRPr="004D3779" w14:paraId="0EA44C4B" w14:textId="77777777" w:rsidTr="00A05D68">
        <w:trPr>
          <w:trHeight w:val="631"/>
        </w:trPr>
        <w:tc>
          <w:tcPr>
            <w:tcW w:w="2380" w:type="dxa"/>
            <w:gridSpan w:val="2"/>
            <w:vMerge w:val="restart"/>
          </w:tcPr>
          <w:p w14:paraId="24602325"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Model</w:t>
            </w:r>
          </w:p>
        </w:tc>
        <w:tc>
          <w:tcPr>
            <w:tcW w:w="2856" w:type="dxa"/>
            <w:gridSpan w:val="2"/>
          </w:tcPr>
          <w:p w14:paraId="17310A60"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Unstandardized Coefficients</w:t>
            </w:r>
          </w:p>
        </w:tc>
        <w:tc>
          <w:tcPr>
            <w:tcW w:w="1576" w:type="dxa"/>
          </w:tcPr>
          <w:p w14:paraId="4F67C6BD"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Standardized Coefficients</w:t>
            </w:r>
          </w:p>
        </w:tc>
        <w:tc>
          <w:tcPr>
            <w:tcW w:w="1066" w:type="dxa"/>
            <w:vMerge w:val="restart"/>
          </w:tcPr>
          <w:p w14:paraId="5B400D89"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t</w:t>
            </w:r>
          </w:p>
        </w:tc>
        <w:tc>
          <w:tcPr>
            <w:tcW w:w="1066" w:type="dxa"/>
            <w:vMerge w:val="restart"/>
          </w:tcPr>
          <w:p w14:paraId="4354288C"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Sig.</w:t>
            </w:r>
          </w:p>
        </w:tc>
      </w:tr>
      <w:tr w:rsidR="00A05D68" w:rsidRPr="004D3779" w14:paraId="19223359" w14:textId="77777777" w:rsidTr="00A05D68">
        <w:trPr>
          <w:trHeight w:val="325"/>
        </w:trPr>
        <w:tc>
          <w:tcPr>
            <w:tcW w:w="2380" w:type="dxa"/>
            <w:gridSpan w:val="2"/>
            <w:vMerge/>
          </w:tcPr>
          <w:p w14:paraId="500F8D05" w14:textId="77777777" w:rsidR="00A05D68" w:rsidRPr="004D3779" w:rsidRDefault="00A05D68" w:rsidP="00805780">
            <w:pPr>
              <w:autoSpaceDE w:val="0"/>
              <w:autoSpaceDN w:val="0"/>
              <w:adjustRightInd w:val="0"/>
              <w:jc w:val="both"/>
              <w:rPr>
                <w:rFonts w:ascii="Times New Roman" w:hAnsi="Times New Roman" w:cs="Times New Roman"/>
                <w:color w:val="000000"/>
                <w:sz w:val="24"/>
                <w:szCs w:val="24"/>
              </w:rPr>
            </w:pPr>
          </w:p>
        </w:tc>
        <w:tc>
          <w:tcPr>
            <w:tcW w:w="1428" w:type="dxa"/>
          </w:tcPr>
          <w:p w14:paraId="7FA1E65C"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B</w:t>
            </w:r>
          </w:p>
        </w:tc>
        <w:tc>
          <w:tcPr>
            <w:tcW w:w="1428" w:type="dxa"/>
          </w:tcPr>
          <w:p w14:paraId="010F46B2"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Std. Error</w:t>
            </w:r>
          </w:p>
        </w:tc>
        <w:tc>
          <w:tcPr>
            <w:tcW w:w="1576" w:type="dxa"/>
          </w:tcPr>
          <w:p w14:paraId="4217C41A"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Beta</w:t>
            </w:r>
          </w:p>
        </w:tc>
        <w:tc>
          <w:tcPr>
            <w:tcW w:w="1066" w:type="dxa"/>
            <w:vMerge/>
          </w:tcPr>
          <w:p w14:paraId="24CADE15" w14:textId="77777777" w:rsidR="00A05D68" w:rsidRPr="004D3779" w:rsidRDefault="00A05D68" w:rsidP="00805780">
            <w:pPr>
              <w:autoSpaceDE w:val="0"/>
              <w:autoSpaceDN w:val="0"/>
              <w:adjustRightInd w:val="0"/>
              <w:jc w:val="both"/>
              <w:rPr>
                <w:rFonts w:ascii="Times New Roman" w:hAnsi="Times New Roman" w:cs="Times New Roman"/>
                <w:color w:val="000000"/>
                <w:sz w:val="24"/>
                <w:szCs w:val="24"/>
              </w:rPr>
            </w:pPr>
          </w:p>
        </w:tc>
        <w:tc>
          <w:tcPr>
            <w:tcW w:w="1066" w:type="dxa"/>
            <w:vMerge/>
          </w:tcPr>
          <w:p w14:paraId="15B69942" w14:textId="77777777" w:rsidR="00A05D68" w:rsidRPr="004D3779" w:rsidRDefault="00A05D68" w:rsidP="00805780">
            <w:pPr>
              <w:autoSpaceDE w:val="0"/>
              <w:autoSpaceDN w:val="0"/>
              <w:adjustRightInd w:val="0"/>
              <w:jc w:val="both"/>
              <w:rPr>
                <w:rFonts w:ascii="Times New Roman" w:hAnsi="Times New Roman" w:cs="Times New Roman"/>
                <w:color w:val="000000"/>
                <w:sz w:val="24"/>
                <w:szCs w:val="24"/>
              </w:rPr>
            </w:pPr>
          </w:p>
        </w:tc>
      </w:tr>
      <w:tr w:rsidR="00A05D68" w:rsidRPr="004D3779" w14:paraId="304E028F" w14:textId="77777777" w:rsidTr="00A05D68">
        <w:trPr>
          <w:trHeight w:val="315"/>
        </w:trPr>
        <w:tc>
          <w:tcPr>
            <w:tcW w:w="787" w:type="dxa"/>
            <w:vMerge w:val="restart"/>
          </w:tcPr>
          <w:p w14:paraId="5018A3EA"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1</w:t>
            </w:r>
          </w:p>
        </w:tc>
        <w:tc>
          <w:tcPr>
            <w:tcW w:w="1592" w:type="dxa"/>
          </w:tcPr>
          <w:p w14:paraId="5C5525E4"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(Constant)</w:t>
            </w:r>
          </w:p>
        </w:tc>
        <w:tc>
          <w:tcPr>
            <w:tcW w:w="1428" w:type="dxa"/>
          </w:tcPr>
          <w:p w14:paraId="499B8C85"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6.781</w:t>
            </w:r>
          </w:p>
        </w:tc>
        <w:tc>
          <w:tcPr>
            <w:tcW w:w="1428" w:type="dxa"/>
          </w:tcPr>
          <w:p w14:paraId="6F6AAB59"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3.465</w:t>
            </w:r>
          </w:p>
        </w:tc>
        <w:tc>
          <w:tcPr>
            <w:tcW w:w="1576" w:type="dxa"/>
          </w:tcPr>
          <w:p w14:paraId="6A3C57C9" w14:textId="77777777" w:rsidR="00A05D68" w:rsidRPr="004D3779" w:rsidRDefault="00A05D68" w:rsidP="00805780">
            <w:pPr>
              <w:autoSpaceDE w:val="0"/>
              <w:autoSpaceDN w:val="0"/>
              <w:adjustRightInd w:val="0"/>
              <w:jc w:val="both"/>
              <w:rPr>
                <w:rFonts w:ascii="Times New Roman" w:hAnsi="Times New Roman" w:cs="Times New Roman"/>
                <w:sz w:val="24"/>
                <w:szCs w:val="24"/>
              </w:rPr>
            </w:pPr>
          </w:p>
        </w:tc>
        <w:tc>
          <w:tcPr>
            <w:tcW w:w="1066" w:type="dxa"/>
          </w:tcPr>
          <w:p w14:paraId="2800ADEF"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1.957</w:t>
            </w:r>
          </w:p>
        </w:tc>
        <w:tc>
          <w:tcPr>
            <w:tcW w:w="1066" w:type="dxa"/>
          </w:tcPr>
          <w:p w14:paraId="3D1D8397" w14:textId="77777777" w:rsidR="00A05D68" w:rsidRPr="004D3779" w:rsidRDefault="00FF7DB6" w:rsidP="00805780">
            <w:pPr>
              <w:autoSpaceDE w:val="0"/>
              <w:autoSpaceDN w:val="0"/>
              <w:adjustRightInd w:val="0"/>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A05D68" w:rsidRPr="004D3779">
              <w:rPr>
                <w:rFonts w:ascii="Times New Roman" w:hAnsi="Times New Roman" w:cs="Times New Roman"/>
                <w:color w:val="000000"/>
                <w:sz w:val="24"/>
                <w:szCs w:val="24"/>
              </w:rPr>
              <w:t>.052</w:t>
            </w:r>
          </w:p>
        </w:tc>
      </w:tr>
      <w:tr w:rsidR="00A05D68" w:rsidRPr="004D3779" w14:paraId="29A6D936" w14:textId="77777777" w:rsidTr="00A05D68">
        <w:trPr>
          <w:trHeight w:val="641"/>
        </w:trPr>
        <w:tc>
          <w:tcPr>
            <w:tcW w:w="787" w:type="dxa"/>
            <w:vMerge/>
          </w:tcPr>
          <w:p w14:paraId="3BC50576" w14:textId="77777777" w:rsidR="00A05D68" w:rsidRPr="004D3779" w:rsidRDefault="00A05D68" w:rsidP="00805780">
            <w:pPr>
              <w:autoSpaceDE w:val="0"/>
              <w:autoSpaceDN w:val="0"/>
              <w:adjustRightInd w:val="0"/>
              <w:jc w:val="both"/>
              <w:rPr>
                <w:rFonts w:ascii="Times New Roman" w:hAnsi="Times New Roman" w:cs="Times New Roman"/>
                <w:color w:val="000000"/>
                <w:sz w:val="24"/>
                <w:szCs w:val="24"/>
              </w:rPr>
            </w:pPr>
          </w:p>
        </w:tc>
        <w:tc>
          <w:tcPr>
            <w:tcW w:w="1592" w:type="dxa"/>
          </w:tcPr>
          <w:p w14:paraId="106F4DB9" w14:textId="77777777" w:rsidR="00A05D68" w:rsidRPr="004D3779" w:rsidRDefault="00380E94"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Multilingua</w:t>
            </w:r>
            <w:r>
              <w:rPr>
                <w:rFonts w:ascii="Times New Roman" w:hAnsi="Times New Roman" w:cs="Times New Roman"/>
                <w:color w:val="000000"/>
                <w:sz w:val="24"/>
                <w:szCs w:val="24"/>
              </w:rPr>
              <w:t>l</w:t>
            </w:r>
          </w:p>
        </w:tc>
        <w:tc>
          <w:tcPr>
            <w:tcW w:w="1428" w:type="dxa"/>
          </w:tcPr>
          <w:p w14:paraId="19055B1F" w14:textId="77777777" w:rsidR="00A05D68" w:rsidRPr="004D3779" w:rsidRDefault="00380E94" w:rsidP="00805780">
            <w:pPr>
              <w:autoSpaceDE w:val="0"/>
              <w:autoSpaceDN w:val="0"/>
              <w:adjustRightInd w:val="0"/>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A05D68" w:rsidRPr="004D3779">
              <w:rPr>
                <w:rFonts w:ascii="Times New Roman" w:hAnsi="Times New Roman" w:cs="Times New Roman"/>
                <w:color w:val="000000"/>
                <w:sz w:val="24"/>
                <w:szCs w:val="24"/>
              </w:rPr>
              <w:t>.770</w:t>
            </w:r>
          </w:p>
        </w:tc>
        <w:tc>
          <w:tcPr>
            <w:tcW w:w="1428" w:type="dxa"/>
          </w:tcPr>
          <w:p w14:paraId="7D856E7A" w14:textId="77777777" w:rsidR="00A05D68" w:rsidRPr="004D3779" w:rsidRDefault="00FF7DB6" w:rsidP="00805780">
            <w:pPr>
              <w:autoSpaceDE w:val="0"/>
              <w:autoSpaceDN w:val="0"/>
              <w:adjustRightInd w:val="0"/>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A05D68" w:rsidRPr="004D3779">
              <w:rPr>
                <w:rFonts w:ascii="Times New Roman" w:hAnsi="Times New Roman" w:cs="Times New Roman"/>
                <w:color w:val="000000"/>
                <w:sz w:val="24"/>
                <w:szCs w:val="24"/>
              </w:rPr>
              <w:t>.108</w:t>
            </w:r>
          </w:p>
        </w:tc>
        <w:tc>
          <w:tcPr>
            <w:tcW w:w="1576" w:type="dxa"/>
          </w:tcPr>
          <w:p w14:paraId="02EC43B2" w14:textId="77777777" w:rsidR="00A05D68" w:rsidRPr="004D3779" w:rsidRDefault="00FF7DB6" w:rsidP="00805780">
            <w:pPr>
              <w:autoSpaceDE w:val="0"/>
              <w:autoSpaceDN w:val="0"/>
              <w:adjustRightInd w:val="0"/>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A05D68" w:rsidRPr="004D3779">
              <w:rPr>
                <w:rFonts w:ascii="Times New Roman" w:hAnsi="Times New Roman" w:cs="Times New Roman"/>
                <w:color w:val="000000"/>
                <w:sz w:val="24"/>
                <w:szCs w:val="24"/>
              </w:rPr>
              <w:t>.477</w:t>
            </w:r>
          </w:p>
        </w:tc>
        <w:tc>
          <w:tcPr>
            <w:tcW w:w="1066" w:type="dxa"/>
          </w:tcPr>
          <w:p w14:paraId="3CEDC36E"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7.130</w:t>
            </w:r>
          </w:p>
        </w:tc>
        <w:tc>
          <w:tcPr>
            <w:tcW w:w="1066" w:type="dxa"/>
          </w:tcPr>
          <w:p w14:paraId="086F1C8C" w14:textId="77777777" w:rsidR="00A05D68" w:rsidRPr="004D3779" w:rsidRDefault="00FF7DB6" w:rsidP="00805780">
            <w:pPr>
              <w:autoSpaceDE w:val="0"/>
              <w:autoSpaceDN w:val="0"/>
              <w:adjustRightInd w:val="0"/>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A05D68" w:rsidRPr="004D3779">
              <w:rPr>
                <w:rFonts w:ascii="Times New Roman" w:hAnsi="Times New Roman" w:cs="Times New Roman"/>
                <w:color w:val="000000"/>
                <w:sz w:val="24"/>
                <w:szCs w:val="24"/>
              </w:rPr>
              <w:t>.000</w:t>
            </w:r>
          </w:p>
        </w:tc>
      </w:tr>
    </w:tbl>
    <w:p w14:paraId="00E7C8DC" w14:textId="77777777" w:rsidR="00A05D68" w:rsidRDefault="00A05D68" w:rsidP="004D3779">
      <w:pPr>
        <w:spacing w:after="0" w:line="360" w:lineRule="auto"/>
        <w:jc w:val="both"/>
        <w:rPr>
          <w:rFonts w:ascii="Times New Roman" w:eastAsia="Times New Roman" w:hAnsi="Times New Roman" w:cs="Times New Roman"/>
          <w:sz w:val="24"/>
          <w:szCs w:val="24"/>
          <w:lang w:val="en-US" w:eastAsia="pt-PT"/>
        </w:rPr>
      </w:pPr>
    </w:p>
    <w:p w14:paraId="57114409" w14:textId="77777777" w:rsidR="00D304E6" w:rsidRDefault="00A05D68" w:rsidP="004D3779">
      <w:pPr>
        <w:pStyle w:val="NormalWeb"/>
        <w:spacing w:before="0" w:beforeAutospacing="0" w:after="0" w:afterAutospacing="0" w:line="360" w:lineRule="auto"/>
        <w:jc w:val="both"/>
        <w:rPr>
          <w:lang w:val="en-US"/>
        </w:rPr>
      </w:pPr>
      <w:r w:rsidRPr="00A05D68">
        <w:rPr>
          <w:lang w:val="en-US"/>
        </w:rPr>
        <w:t xml:space="preserve">According to the results of the simple linear regression analysis, the t-value of the multilingualism variable (7.130) is more than the </w:t>
      </w:r>
      <w:r w:rsidRPr="00876262">
        <w:rPr>
          <w:lang w:val="en-US"/>
        </w:rPr>
        <w:t>t-table value</w:t>
      </w:r>
      <w:r w:rsidRPr="00A05D68">
        <w:rPr>
          <w:lang w:val="en-US"/>
        </w:rPr>
        <w:t xml:space="preserve"> (</w:t>
      </w:r>
      <w:r w:rsidR="002D42A1" w:rsidRPr="009057F9">
        <w:rPr>
          <w:color w:val="000000"/>
          <w:lang w:val="en-US"/>
        </w:rPr>
        <w:t>1.65</w:t>
      </w:r>
      <w:r w:rsidR="002D42A1" w:rsidRPr="002D42A1">
        <w:rPr>
          <w:color w:val="000000"/>
          <w:lang w:val="en-US"/>
        </w:rPr>
        <w:t>4</w:t>
      </w:r>
      <w:r w:rsidRPr="00A05D68">
        <w:rPr>
          <w:lang w:val="en-US"/>
        </w:rPr>
        <w:t>) with a significance level of 0.000, which is lower than th</w:t>
      </w:r>
      <w:r w:rsidR="00D304E6">
        <w:rPr>
          <w:lang w:val="en-US"/>
        </w:rPr>
        <w:t>e</w:t>
      </w:r>
      <w:r w:rsidRPr="00A05D68">
        <w:rPr>
          <w:lang w:val="en-US"/>
        </w:rPr>
        <w:t xml:space="preserve"> 0.05. This study shows that multilingualism significantly and positively affects the learning of the Portuguese language. The </w:t>
      </w:r>
      <w:proofErr w:type="spellStart"/>
      <w:r w:rsidRPr="00A05D68">
        <w:rPr>
          <w:lang w:val="en-US"/>
        </w:rPr>
        <w:t>unstandardised</w:t>
      </w:r>
      <w:proofErr w:type="spellEnd"/>
      <w:r w:rsidRPr="00A05D68">
        <w:rPr>
          <w:lang w:val="en-US"/>
        </w:rPr>
        <w:t xml:space="preserve"> coefficient (B = 0.770) demonstrates that when multilingual ability increases by one unit, performance in the Portuguese language increases by 0.770 units; other factors are held constant. Furthermore, the </w:t>
      </w:r>
      <w:proofErr w:type="spellStart"/>
      <w:r w:rsidRPr="00A05D68">
        <w:rPr>
          <w:lang w:val="en-US"/>
        </w:rPr>
        <w:t>standardised</w:t>
      </w:r>
      <w:proofErr w:type="spellEnd"/>
      <w:r w:rsidRPr="00A05D68">
        <w:rPr>
          <w:lang w:val="en-US"/>
        </w:rPr>
        <w:t xml:space="preserve"> coefficient (Beta = 0.477) implies </w:t>
      </w:r>
      <w:r w:rsidR="004D3779">
        <w:rPr>
          <w:lang w:val="en-US"/>
        </w:rPr>
        <w:t>a</w:t>
      </w:r>
      <w:r w:rsidRPr="00A05D68">
        <w:rPr>
          <w:lang w:val="en-US"/>
        </w:rPr>
        <w:t xml:space="preserve"> medium positive impact that multilingual competence has on significantly enhancing the proficiency level of students in speaking Portuguese. </w:t>
      </w:r>
    </w:p>
    <w:p w14:paraId="4C6BFC3D" w14:textId="77777777" w:rsidR="00950326" w:rsidRPr="00950326" w:rsidRDefault="00950326" w:rsidP="00950326">
      <w:pPr>
        <w:pStyle w:val="NormalWeb"/>
        <w:spacing w:line="360" w:lineRule="auto"/>
        <w:jc w:val="both"/>
        <w:rPr>
          <w:lang w:val="en-US"/>
        </w:rPr>
      </w:pPr>
      <w:r w:rsidRPr="00950326">
        <w:rPr>
          <w:lang w:val="en-US"/>
        </w:rPr>
        <w:t>Therefore, the alternative hypothesis (H1) is accepted because the significance level is 0.000 &lt; 0.05 and the t-count is 7.130 &gt; 1.654 (t-table). These results indicate that students who were more exposed to and experienced in multilingual contexts and skills did better in learning Portuguese.</w:t>
      </w:r>
    </w:p>
    <w:p w14:paraId="65B895D6" w14:textId="77777777" w:rsidR="005402D4" w:rsidRPr="005402D4" w:rsidRDefault="005402D4" w:rsidP="004D3779">
      <w:pPr>
        <w:pStyle w:val="NormalWeb"/>
        <w:spacing w:before="0" w:beforeAutospacing="0" w:after="0" w:afterAutospacing="0" w:line="360" w:lineRule="auto"/>
        <w:jc w:val="both"/>
        <w:rPr>
          <w:b/>
          <w:lang w:val="en-US"/>
        </w:rPr>
      </w:pPr>
      <w:r w:rsidRPr="005402D4">
        <w:rPr>
          <w:b/>
          <w:lang w:val="en-US"/>
        </w:rPr>
        <w:t>Table 6: Correlations</w:t>
      </w:r>
    </w:p>
    <w:tbl>
      <w:tblPr>
        <w:tblStyle w:val="Style1"/>
        <w:tblW w:w="8985" w:type="dxa"/>
        <w:tblLayout w:type="fixed"/>
        <w:tblLook w:val="0000" w:firstRow="0" w:lastRow="0" w:firstColumn="0" w:lastColumn="0" w:noHBand="0" w:noVBand="0"/>
      </w:tblPr>
      <w:tblGrid>
        <w:gridCol w:w="2841"/>
        <w:gridCol w:w="2600"/>
        <w:gridCol w:w="1610"/>
        <w:gridCol w:w="1934"/>
      </w:tblGrid>
      <w:tr w:rsidR="005402D4" w:rsidRPr="002C7929" w14:paraId="77104198" w14:textId="77777777" w:rsidTr="002236FF">
        <w:trPr>
          <w:trHeight w:val="320"/>
        </w:trPr>
        <w:tc>
          <w:tcPr>
            <w:tcW w:w="8985" w:type="dxa"/>
            <w:gridSpan w:val="4"/>
          </w:tcPr>
          <w:p w14:paraId="75591F3C" w14:textId="77777777" w:rsidR="005402D4" w:rsidRPr="002C7929" w:rsidRDefault="005402D4" w:rsidP="002236F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C7929">
              <w:rPr>
                <w:rFonts w:ascii="Times New Roman" w:hAnsi="Times New Roman" w:cs="Times New Roman"/>
                <w:b/>
                <w:bCs/>
                <w:color w:val="000000"/>
                <w:sz w:val="24"/>
                <w:szCs w:val="24"/>
              </w:rPr>
              <w:t>Correlations</w:t>
            </w:r>
          </w:p>
        </w:tc>
      </w:tr>
      <w:tr w:rsidR="005402D4" w:rsidRPr="002C7929" w14:paraId="2559D4BF" w14:textId="77777777" w:rsidTr="005402D4">
        <w:trPr>
          <w:trHeight w:val="640"/>
        </w:trPr>
        <w:tc>
          <w:tcPr>
            <w:tcW w:w="5441" w:type="dxa"/>
            <w:gridSpan w:val="2"/>
          </w:tcPr>
          <w:p w14:paraId="45B16DB6" w14:textId="77777777" w:rsidR="005402D4" w:rsidRPr="002C7929" w:rsidRDefault="005402D4" w:rsidP="002236FF">
            <w:pPr>
              <w:autoSpaceDE w:val="0"/>
              <w:autoSpaceDN w:val="0"/>
              <w:adjustRightInd w:val="0"/>
              <w:rPr>
                <w:rFonts w:ascii="Times New Roman" w:hAnsi="Times New Roman" w:cs="Times New Roman"/>
                <w:sz w:val="24"/>
                <w:szCs w:val="24"/>
              </w:rPr>
            </w:pPr>
          </w:p>
        </w:tc>
        <w:tc>
          <w:tcPr>
            <w:tcW w:w="1610" w:type="dxa"/>
          </w:tcPr>
          <w:p w14:paraId="42CAC4F2" w14:textId="77777777" w:rsidR="005402D4" w:rsidRPr="002C7929" w:rsidRDefault="005402D4" w:rsidP="002236F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C7929">
              <w:rPr>
                <w:rFonts w:ascii="Times New Roman" w:hAnsi="Times New Roman" w:cs="Times New Roman"/>
                <w:color w:val="000000"/>
                <w:sz w:val="24"/>
                <w:szCs w:val="24"/>
              </w:rPr>
              <w:t>Multilingual</w:t>
            </w:r>
          </w:p>
        </w:tc>
        <w:tc>
          <w:tcPr>
            <w:tcW w:w="1934" w:type="dxa"/>
          </w:tcPr>
          <w:p w14:paraId="77F24BFB" w14:textId="77777777" w:rsidR="005402D4" w:rsidRPr="002C7929" w:rsidRDefault="005402D4" w:rsidP="002236F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C7929">
              <w:rPr>
                <w:rFonts w:ascii="Times New Roman" w:hAnsi="Times New Roman" w:cs="Times New Roman"/>
                <w:color w:val="000000"/>
                <w:sz w:val="24"/>
                <w:szCs w:val="24"/>
              </w:rPr>
              <w:t>Portuguese Language</w:t>
            </w:r>
          </w:p>
        </w:tc>
      </w:tr>
      <w:tr w:rsidR="005402D4" w:rsidRPr="002C7929" w14:paraId="0F0457DF" w14:textId="77777777" w:rsidTr="005402D4">
        <w:trPr>
          <w:trHeight w:val="320"/>
        </w:trPr>
        <w:tc>
          <w:tcPr>
            <w:tcW w:w="2841" w:type="dxa"/>
            <w:vMerge w:val="restart"/>
          </w:tcPr>
          <w:p w14:paraId="024360E8"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Multilingual</w:t>
            </w:r>
          </w:p>
        </w:tc>
        <w:tc>
          <w:tcPr>
            <w:tcW w:w="2600" w:type="dxa"/>
          </w:tcPr>
          <w:p w14:paraId="6DE95CA0"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Pearson Correlation</w:t>
            </w:r>
          </w:p>
        </w:tc>
        <w:tc>
          <w:tcPr>
            <w:tcW w:w="1610" w:type="dxa"/>
          </w:tcPr>
          <w:p w14:paraId="2C9356BF"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2C7929">
              <w:rPr>
                <w:rFonts w:ascii="Times New Roman" w:hAnsi="Times New Roman" w:cs="Times New Roman"/>
                <w:color w:val="000000"/>
                <w:sz w:val="24"/>
                <w:szCs w:val="24"/>
              </w:rPr>
              <w:t>1</w:t>
            </w:r>
          </w:p>
        </w:tc>
        <w:tc>
          <w:tcPr>
            <w:tcW w:w="1934" w:type="dxa"/>
          </w:tcPr>
          <w:p w14:paraId="2B73A818"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380E94">
              <w:rPr>
                <w:rFonts w:ascii="Times New Roman" w:hAnsi="Times New Roman" w:cs="Times New Roman"/>
                <w:color w:val="000000"/>
                <w:sz w:val="24"/>
                <w:szCs w:val="24"/>
              </w:rPr>
              <w:t>0</w:t>
            </w:r>
            <w:r w:rsidRPr="002C7929">
              <w:rPr>
                <w:rFonts w:ascii="Times New Roman" w:hAnsi="Times New Roman" w:cs="Times New Roman"/>
                <w:color w:val="000000"/>
                <w:sz w:val="24"/>
                <w:szCs w:val="24"/>
              </w:rPr>
              <w:t>.477</w:t>
            </w:r>
          </w:p>
        </w:tc>
      </w:tr>
      <w:tr w:rsidR="005402D4" w:rsidRPr="002C7929" w14:paraId="39C16DB6" w14:textId="77777777" w:rsidTr="005402D4">
        <w:trPr>
          <w:trHeight w:val="330"/>
        </w:trPr>
        <w:tc>
          <w:tcPr>
            <w:tcW w:w="2841" w:type="dxa"/>
            <w:vMerge/>
          </w:tcPr>
          <w:p w14:paraId="34ABAD80" w14:textId="77777777" w:rsidR="005402D4" w:rsidRPr="002C7929" w:rsidRDefault="005402D4" w:rsidP="002236FF">
            <w:pPr>
              <w:autoSpaceDE w:val="0"/>
              <w:autoSpaceDN w:val="0"/>
              <w:adjustRightInd w:val="0"/>
              <w:rPr>
                <w:rFonts w:ascii="Times New Roman" w:hAnsi="Times New Roman" w:cs="Times New Roman"/>
                <w:color w:val="000000"/>
                <w:sz w:val="24"/>
                <w:szCs w:val="24"/>
              </w:rPr>
            </w:pPr>
          </w:p>
        </w:tc>
        <w:tc>
          <w:tcPr>
            <w:tcW w:w="2600" w:type="dxa"/>
          </w:tcPr>
          <w:p w14:paraId="392BD6C6"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Sig. (2-tailed)</w:t>
            </w:r>
          </w:p>
        </w:tc>
        <w:tc>
          <w:tcPr>
            <w:tcW w:w="1610" w:type="dxa"/>
          </w:tcPr>
          <w:p w14:paraId="61DB4A83" w14:textId="77777777" w:rsidR="005402D4" w:rsidRPr="002C7929" w:rsidRDefault="005402D4" w:rsidP="002236FF">
            <w:pPr>
              <w:autoSpaceDE w:val="0"/>
              <w:autoSpaceDN w:val="0"/>
              <w:adjustRightInd w:val="0"/>
              <w:rPr>
                <w:rFonts w:ascii="Times New Roman" w:hAnsi="Times New Roman" w:cs="Times New Roman"/>
                <w:sz w:val="24"/>
                <w:szCs w:val="24"/>
              </w:rPr>
            </w:pPr>
          </w:p>
        </w:tc>
        <w:tc>
          <w:tcPr>
            <w:tcW w:w="1934" w:type="dxa"/>
          </w:tcPr>
          <w:p w14:paraId="34C6629A"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380E94">
              <w:rPr>
                <w:rFonts w:ascii="Times New Roman" w:hAnsi="Times New Roman" w:cs="Times New Roman"/>
                <w:color w:val="000000"/>
                <w:sz w:val="24"/>
                <w:szCs w:val="24"/>
              </w:rPr>
              <w:t>0</w:t>
            </w:r>
            <w:r w:rsidRPr="002C7929">
              <w:rPr>
                <w:rFonts w:ascii="Times New Roman" w:hAnsi="Times New Roman" w:cs="Times New Roman"/>
                <w:color w:val="000000"/>
                <w:sz w:val="24"/>
                <w:szCs w:val="24"/>
              </w:rPr>
              <w:t>.000</w:t>
            </w:r>
          </w:p>
        </w:tc>
      </w:tr>
      <w:tr w:rsidR="005402D4" w:rsidRPr="002C7929" w14:paraId="5DD952A5" w14:textId="77777777" w:rsidTr="005402D4">
        <w:trPr>
          <w:trHeight w:val="330"/>
        </w:trPr>
        <w:tc>
          <w:tcPr>
            <w:tcW w:w="2841" w:type="dxa"/>
            <w:vMerge/>
          </w:tcPr>
          <w:p w14:paraId="4C9AA8B2" w14:textId="77777777" w:rsidR="005402D4" w:rsidRPr="002C7929" w:rsidRDefault="005402D4" w:rsidP="002236FF">
            <w:pPr>
              <w:autoSpaceDE w:val="0"/>
              <w:autoSpaceDN w:val="0"/>
              <w:adjustRightInd w:val="0"/>
              <w:rPr>
                <w:rFonts w:ascii="Times New Roman" w:hAnsi="Times New Roman" w:cs="Times New Roman"/>
                <w:color w:val="000000"/>
                <w:sz w:val="24"/>
                <w:szCs w:val="24"/>
              </w:rPr>
            </w:pPr>
          </w:p>
        </w:tc>
        <w:tc>
          <w:tcPr>
            <w:tcW w:w="2600" w:type="dxa"/>
          </w:tcPr>
          <w:p w14:paraId="64469CBD"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N</w:t>
            </w:r>
          </w:p>
        </w:tc>
        <w:tc>
          <w:tcPr>
            <w:tcW w:w="1610" w:type="dxa"/>
          </w:tcPr>
          <w:p w14:paraId="03F7E3F8"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2C7929">
              <w:rPr>
                <w:rFonts w:ascii="Times New Roman" w:hAnsi="Times New Roman" w:cs="Times New Roman"/>
                <w:color w:val="000000"/>
                <w:sz w:val="24"/>
                <w:szCs w:val="24"/>
              </w:rPr>
              <w:t>175</w:t>
            </w:r>
          </w:p>
        </w:tc>
        <w:tc>
          <w:tcPr>
            <w:tcW w:w="1934" w:type="dxa"/>
          </w:tcPr>
          <w:p w14:paraId="57F14462"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2C7929">
              <w:rPr>
                <w:rFonts w:ascii="Times New Roman" w:hAnsi="Times New Roman" w:cs="Times New Roman"/>
                <w:color w:val="000000"/>
                <w:sz w:val="24"/>
                <w:szCs w:val="24"/>
              </w:rPr>
              <w:t>175</w:t>
            </w:r>
          </w:p>
        </w:tc>
      </w:tr>
      <w:tr w:rsidR="005402D4" w:rsidRPr="002C7929" w14:paraId="4572C94A" w14:textId="77777777" w:rsidTr="005402D4">
        <w:trPr>
          <w:trHeight w:val="320"/>
        </w:trPr>
        <w:tc>
          <w:tcPr>
            <w:tcW w:w="2841" w:type="dxa"/>
            <w:vMerge w:val="restart"/>
          </w:tcPr>
          <w:p w14:paraId="7544651F"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Portuguese Language</w:t>
            </w:r>
          </w:p>
        </w:tc>
        <w:tc>
          <w:tcPr>
            <w:tcW w:w="2600" w:type="dxa"/>
          </w:tcPr>
          <w:p w14:paraId="5BE846A7"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Pearson Correlation</w:t>
            </w:r>
          </w:p>
        </w:tc>
        <w:tc>
          <w:tcPr>
            <w:tcW w:w="1610" w:type="dxa"/>
          </w:tcPr>
          <w:p w14:paraId="78EB6030"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380E94">
              <w:rPr>
                <w:rFonts w:ascii="Times New Roman" w:hAnsi="Times New Roman" w:cs="Times New Roman"/>
                <w:color w:val="000000"/>
                <w:sz w:val="24"/>
                <w:szCs w:val="24"/>
              </w:rPr>
              <w:t>0</w:t>
            </w:r>
            <w:r w:rsidRPr="002C7929">
              <w:rPr>
                <w:rFonts w:ascii="Times New Roman" w:hAnsi="Times New Roman" w:cs="Times New Roman"/>
                <w:color w:val="000000"/>
                <w:sz w:val="24"/>
                <w:szCs w:val="24"/>
              </w:rPr>
              <w:t>.477</w:t>
            </w:r>
          </w:p>
        </w:tc>
        <w:tc>
          <w:tcPr>
            <w:tcW w:w="1934" w:type="dxa"/>
          </w:tcPr>
          <w:p w14:paraId="78D60460"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2C7929">
              <w:rPr>
                <w:rFonts w:ascii="Times New Roman" w:hAnsi="Times New Roman" w:cs="Times New Roman"/>
                <w:color w:val="000000"/>
                <w:sz w:val="24"/>
                <w:szCs w:val="24"/>
              </w:rPr>
              <w:t>1</w:t>
            </w:r>
          </w:p>
        </w:tc>
      </w:tr>
      <w:tr w:rsidR="005402D4" w:rsidRPr="002C7929" w14:paraId="3F58831B" w14:textId="77777777" w:rsidTr="005402D4">
        <w:trPr>
          <w:trHeight w:val="330"/>
        </w:trPr>
        <w:tc>
          <w:tcPr>
            <w:tcW w:w="2841" w:type="dxa"/>
            <w:vMerge/>
          </w:tcPr>
          <w:p w14:paraId="5FA103CF" w14:textId="77777777" w:rsidR="005402D4" w:rsidRPr="002C7929" w:rsidRDefault="005402D4" w:rsidP="002236FF">
            <w:pPr>
              <w:autoSpaceDE w:val="0"/>
              <w:autoSpaceDN w:val="0"/>
              <w:adjustRightInd w:val="0"/>
              <w:rPr>
                <w:rFonts w:ascii="Times New Roman" w:hAnsi="Times New Roman" w:cs="Times New Roman"/>
                <w:color w:val="000000"/>
                <w:sz w:val="24"/>
                <w:szCs w:val="24"/>
              </w:rPr>
            </w:pPr>
          </w:p>
        </w:tc>
        <w:tc>
          <w:tcPr>
            <w:tcW w:w="2600" w:type="dxa"/>
          </w:tcPr>
          <w:p w14:paraId="3F1BF391"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Sig. (2-tailed)</w:t>
            </w:r>
          </w:p>
        </w:tc>
        <w:tc>
          <w:tcPr>
            <w:tcW w:w="1610" w:type="dxa"/>
          </w:tcPr>
          <w:p w14:paraId="2E5BD393"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380E94">
              <w:rPr>
                <w:rFonts w:ascii="Times New Roman" w:hAnsi="Times New Roman" w:cs="Times New Roman"/>
                <w:color w:val="000000"/>
                <w:sz w:val="24"/>
                <w:szCs w:val="24"/>
              </w:rPr>
              <w:t>0</w:t>
            </w:r>
            <w:r w:rsidRPr="002C7929">
              <w:rPr>
                <w:rFonts w:ascii="Times New Roman" w:hAnsi="Times New Roman" w:cs="Times New Roman"/>
                <w:color w:val="000000"/>
                <w:sz w:val="24"/>
                <w:szCs w:val="24"/>
              </w:rPr>
              <w:t>.000</w:t>
            </w:r>
          </w:p>
        </w:tc>
        <w:tc>
          <w:tcPr>
            <w:tcW w:w="1934" w:type="dxa"/>
          </w:tcPr>
          <w:p w14:paraId="13D07656" w14:textId="77777777" w:rsidR="005402D4" w:rsidRPr="002C7929" w:rsidRDefault="005402D4" w:rsidP="002236FF">
            <w:pPr>
              <w:autoSpaceDE w:val="0"/>
              <w:autoSpaceDN w:val="0"/>
              <w:adjustRightInd w:val="0"/>
              <w:rPr>
                <w:rFonts w:ascii="Times New Roman" w:hAnsi="Times New Roman" w:cs="Times New Roman"/>
                <w:sz w:val="24"/>
                <w:szCs w:val="24"/>
              </w:rPr>
            </w:pPr>
          </w:p>
        </w:tc>
      </w:tr>
      <w:tr w:rsidR="005402D4" w:rsidRPr="002C7929" w14:paraId="51B95176" w14:textId="77777777" w:rsidTr="005402D4">
        <w:trPr>
          <w:trHeight w:val="330"/>
        </w:trPr>
        <w:tc>
          <w:tcPr>
            <w:tcW w:w="2841" w:type="dxa"/>
            <w:vMerge/>
          </w:tcPr>
          <w:p w14:paraId="41AA6FAF" w14:textId="77777777" w:rsidR="005402D4" w:rsidRPr="002C7929" w:rsidRDefault="005402D4" w:rsidP="002236FF">
            <w:pPr>
              <w:autoSpaceDE w:val="0"/>
              <w:autoSpaceDN w:val="0"/>
              <w:adjustRightInd w:val="0"/>
              <w:rPr>
                <w:rFonts w:ascii="Times New Roman" w:hAnsi="Times New Roman" w:cs="Times New Roman"/>
                <w:sz w:val="24"/>
                <w:szCs w:val="24"/>
              </w:rPr>
            </w:pPr>
          </w:p>
        </w:tc>
        <w:tc>
          <w:tcPr>
            <w:tcW w:w="2600" w:type="dxa"/>
          </w:tcPr>
          <w:p w14:paraId="428B745A"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N</w:t>
            </w:r>
          </w:p>
        </w:tc>
        <w:tc>
          <w:tcPr>
            <w:tcW w:w="1610" w:type="dxa"/>
          </w:tcPr>
          <w:p w14:paraId="7AFB6A1F"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2C7929">
              <w:rPr>
                <w:rFonts w:ascii="Times New Roman" w:hAnsi="Times New Roman" w:cs="Times New Roman"/>
                <w:color w:val="000000"/>
                <w:sz w:val="24"/>
                <w:szCs w:val="24"/>
              </w:rPr>
              <w:t>175</w:t>
            </w:r>
          </w:p>
        </w:tc>
        <w:tc>
          <w:tcPr>
            <w:tcW w:w="1934" w:type="dxa"/>
          </w:tcPr>
          <w:p w14:paraId="1A2327C4"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2C7929">
              <w:rPr>
                <w:rFonts w:ascii="Times New Roman" w:hAnsi="Times New Roman" w:cs="Times New Roman"/>
                <w:color w:val="000000"/>
                <w:sz w:val="24"/>
                <w:szCs w:val="24"/>
              </w:rPr>
              <w:t>175</w:t>
            </w:r>
          </w:p>
        </w:tc>
      </w:tr>
      <w:tr w:rsidR="005402D4" w:rsidRPr="00975A04" w14:paraId="663EA3A0" w14:textId="77777777" w:rsidTr="002236FF">
        <w:trPr>
          <w:trHeight w:val="320"/>
        </w:trPr>
        <w:tc>
          <w:tcPr>
            <w:tcW w:w="8985" w:type="dxa"/>
            <w:gridSpan w:val="4"/>
          </w:tcPr>
          <w:p w14:paraId="4D76EBBE"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lang w:val="en-US"/>
              </w:rPr>
            </w:pPr>
            <w:r w:rsidRPr="002C7929">
              <w:rPr>
                <w:rFonts w:ascii="Times New Roman" w:hAnsi="Times New Roman" w:cs="Times New Roman"/>
                <w:color w:val="000000"/>
                <w:sz w:val="24"/>
                <w:szCs w:val="24"/>
                <w:lang w:val="en-US"/>
              </w:rPr>
              <w:t>Correlation is significant at the 0.01 level (2-tailed).</w:t>
            </w:r>
          </w:p>
        </w:tc>
      </w:tr>
    </w:tbl>
    <w:p w14:paraId="0C181588" w14:textId="77777777" w:rsidR="005402D4" w:rsidRPr="00A05D68" w:rsidRDefault="005402D4" w:rsidP="00380E94">
      <w:pPr>
        <w:pStyle w:val="NormalWeb"/>
        <w:spacing w:line="360" w:lineRule="auto"/>
        <w:jc w:val="both"/>
        <w:rPr>
          <w:lang w:val="en-US"/>
        </w:rPr>
      </w:pPr>
      <w:r w:rsidRPr="002C7929">
        <w:rPr>
          <w:lang w:val="en-US"/>
        </w:rPr>
        <w:lastRenderedPageBreak/>
        <w:t xml:space="preserve">The results of the correlational analysis indicate that multilingualism and Portuguese language proficiency have a moderately positive relationship among the 175 subjects. The correlation coefficient (r = 0.477) indicates that as students' multilingual skills increase, their </w:t>
      </w:r>
      <w:r>
        <w:rPr>
          <w:lang w:val="en-US"/>
        </w:rPr>
        <w:t>mastery</w:t>
      </w:r>
      <w:r w:rsidRPr="002C7929">
        <w:rPr>
          <w:lang w:val="en-US"/>
        </w:rPr>
        <w:t xml:space="preserve"> level of the Portuguese language is also likely to increase. This correlation is significant to the 0.01 level (2-tailed) with a p-value of </w:t>
      </w:r>
      <w:r>
        <w:rPr>
          <w:lang w:val="en-US"/>
        </w:rPr>
        <w:t>0</w:t>
      </w:r>
      <w:r w:rsidRPr="002C7929">
        <w:rPr>
          <w:lang w:val="en-US"/>
        </w:rPr>
        <w:t xml:space="preserve">.000, which means there is less than a 1% chance that this correlation happened by chance. Thus, the statistics indicate that multilingual students have a high chance of </w:t>
      </w:r>
      <w:r>
        <w:rPr>
          <w:lang w:val="en-US"/>
        </w:rPr>
        <w:t>standing out</w:t>
      </w:r>
      <w:r w:rsidRPr="002C7929">
        <w:rPr>
          <w:lang w:val="en-US"/>
        </w:rPr>
        <w:t xml:space="preserve"> in learning the Portuguese language. Educationally, these results would mean that learning and exposure to more than one language could lead to cognitive and linguistic transfer, which can improve the outcome of learning Portuguese.</w:t>
      </w:r>
    </w:p>
    <w:p w14:paraId="12FEC52C" w14:textId="77777777" w:rsidR="00CD07C6" w:rsidRPr="00CE2B94" w:rsidRDefault="00FF54D9" w:rsidP="00CE2B94">
      <w:pPr>
        <w:pStyle w:val="ListParagraph"/>
        <w:numPr>
          <w:ilvl w:val="1"/>
          <w:numId w:val="2"/>
        </w:num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 xml:space="preserve"> </w:t>
      </w:r>
      <w:r w:rsidR="00CD07C6" w:rsidRPr="00CE2B94">
        <w:rPr>
          <w:rFonts w:ascii="Times New Roman" w:eastAsia="Times New Roman" w:hAnsi="Times New Roman" w:cs="Times New Roman"/>
          <w:b/>
          <w:sz w:val="24"/>
          <w:szCs w:val="24"/>
          <w:lang w:val="en-US" w:eastAsia="pt-PT"/>
        </w:rPr>
        <w:t>Discussion</w:t>
      </w:r>
    </w:p>
    <w:p w14:paraId="52DED664" w14:textId="77777777" w:rsidR="00466962" w:rsidRDefault="00CD07C6" w:rsidP="00CD07C6">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CD07C6">
        <w:rPr>
          <w:rFonts w:ascii="Times New Roman" w:eastAsia="Times New Roman" w:hAnsi="Times New Roman" w:cs="Times New Roman"/>
          <w:sz w:val="24"/>
          <w:szCs w:val="24"/>
          <w:lang w:val="en-US" w:eastAsia="pt-PT"/>
        </w:rPr>
        <w:t xml:space="preserve">The results of this </w:t>
      </w:r>
      <w:r w:rsidR="00466962">
        <w:rPr>
          <w:rFonts w:ascii="Times New Roman" w:eastAsia="Times New Roman" w:hAnsi="Times New Roman" w:cs="Times New Roman"/>
          <w:sz w:val="24"/>
          <w:szCs w:val="24"/>
          <w:lang w:val="en-US" w:eastAsia="pt-PT"/>
        </w:rPr>
        <w:t>research</w:t>
      </w:r>
      <w:r w:rsidRPr="00CD07C6">
        <w:rPr>
          <w:rFonts w:ascii="Times New Roman" w:eastAsia="Times New Roman" w:hAnsi="Times New Roman" w:cs="Times New Roman"/>
          <w:sz w:val="24"/>
          <w:szCs w:val="24"/>
          <w:lang w:val="en-US" w:eastAsia="pt-PT"/>
        </w:rPr>
        <w:t xml:space="preserve"> show that multilingualism plays a significant positive role in determining the level of student mastery of the Portuguese language in Baucau, Timor-Leste. The regression analysis showed that the multilingual ability was </w:t>
      </w:r>
      <w:r w:rsidR="00CD3253">
        <w:rPr>
          <w:rFonts w:ascii="Times New Roman" w:eastAsia="Times New Roman" w:hAnsi="Times New Roman" w:cs="Times New Roman"/>
          <w:sz w:val="24"/>
          <w:szCs w:val="24"/>
          <w:lang w:val="en-US" w:eastAsia="pt-PT"/>
        </w:rPr>
        <w:t>a</w:t>
      </w:r>
      <w:r w:rsidRPr="00CD07C6">
        <w:rPr>
          <w:rFonts w:ascii="Times New Roman" w:eastAsia="Times New Roman" w:hAnsi="Times New Roman" w:cs="Times New Roman"/>
          <w:sz w:val="24"/>
          <w:szCs w:val="24"/>
          <w:lang w:val="en-US" w:eastAsia="pt-PT"/>
        </w:rPr>
        <w:t xml:space="preserve"> significant predictor of Portuguese performance (t = 7.130, p &lt; 0.05) and the </w:t>
      </w:r>
      <w:proofErr w:type="spellStart"/>
      <w:r w:rsidRPr="00CD07C6">
        <w:rPr>
          <w:rFonts w:ascii="Times New Roman" w:eastAsia="Times New Roman" w:hAnsi="Times New Roman" w:cs="Times New Roman"/>
          <w:sz w:val="24"/>
          <w:szCs w:val="24"/>
          <w:lang w:val="en-US" w:eastAsia="pt-PT"/>
        </w:rPr>
        <w:t>standardised</w:t>
      </w:r>
      <w:proofErr w:type="spellEnd"/>
      <w:r w:rsidRPr="00CD07C6">
        <w:rPr>
          <w:rFonts w:ascii="Times New Roman" w:eastAsia="Times New Roman" w:hAnsi="Times New Roman" w:cs="Times New Roman"/>
          <w:sz w:val="24"/>
          <w:szCs w:val="24"/>
          <w:lang w:val="en-US" w:eastAsia="pt-PT"/>
        </w:rPr>
        <w:t xml:space="preserve"> coefficient was 0.477, </w:t>
      </w:r>
      <w:r w:rsidR="00CD3253">
        <w:rPr>
          <w:rFonts w:ascii="Times New Roman" w:eastAsia="Times New Roman" w:hAnsi="Times New Roman" w:cs="Times New Roman"/>
          <w:sz w:val="24"/>
          <w:szCs w:val="24"/>
          <w:lang w:val="en-US" w:eastAsia="pt-PT"/>
        </w:rPr>
        <w:t>a</w:t>
      </w:r>
      <w:r w:rsidRPr="00CD07C6">
        <w:rPr>
          <w:rFonts w:ascii="Times New Roman" w:eastAsia="Times New Roman" w:hAnsi="Times New Roman" w:cs="Times New Roman"/>
          <w:sz w:val="24"/>
          <w:szCs w:val="24"/>
          <w:lang w:val="en-US" w:eastAsia="pt-PT"/>
        </w:rPr>
        <w:t xml:space="preserve"> moderate positive effect. This result confirms the threshold and developmental interdependence hypotheses of Cummins (1979, 2000), which opine that cognitive and academic language mastery in the first language (L1) simplifies the second language (L2) acquisition. The finding is also consistent with the literature that indicates that the additive multilingual setting leads to increased metalinguistic awareness, cross-linguistic transfer, and communicative flexibility (Cabral &amp; Martin-Jones, 2021; </w:t>
      </w:r>
      <w:proofErr w:type="spellStart"/>
      <w:r w:rsidRPr="00CD07C6">
        <w:rPr>
          <w:rFonts w:ascii="Times New Roman" w:eastAsia="Times New Roman" w:hAnsi="Times New Roman" w:cs="Times New Roman"/>
          <w:sz w:val="24"/>
          <w:szCs w:val="24"/>
          <w:lang w:val="en-US" w:eastAsia="pt-PT"/>
        </w:rPr>
        <w:t>Achaa-Amankwaa</w:t>
      </w:r>
      <w:proofErr w:type="spellEnd"/>
      <w:r w:rsidRPr="00CD07C6">
        <w:rPr>
          <w:rFonts w:ascii="Times New Roman" w:eastAsia="Times New Roman" w:hAnsi="Times New Roman" w:cs="Times New Roman"/>
          <w:sz w:val="24"/>
          <w:szCs w:val="24"/>
          <w:lang w:val="en-US" w:eastAsia="pt-PT"/>
        </w:rPr>
        <w:t xml:space="preserve"> et al., 2023). </w:t>
      </w:r>
      <w:r w:rsidR="00466962" w:rsidRPr="00CD07C6">
        <w:rPr>
          <w:rFonts w:ascii="Times New Roman" w:eastAsia="Times New Roman" w:hAnsi="Times New Roman" w:cs="Times New Roman"/>
          <w:sz w:val="24"/>
          <w:szCs w:val="24"/>
          <w:lang w:val="en-US" w:eastAsia="pt-PT"/>
        </w:rPr>
        <w:t xml:space="preserve">The multilingualism of students exposed to </w:t>
      </w:r>
      <w:proofErr w:type="spellStart"/>
      <w:r w:rsidR="00466962" w:rsidRPr="00CD07C6">
        <w:rPr>
          <w:rFonts w:ascii="Times New Roman" w:eastAsia="Times New Roman" w:hAnsi="Times New Roman" w:cs="Times New Roman"/>
          <w:sz w:val="24"/>
          <w:szCs w:val="24"/>
          <w:lang w:val="en-US" w:eastAsia="pt-PT"/>
        </w:rPr>
        <w:t>Tetun</w:t>
      </w:r>
      <w:proofErr w:type="spellEnd"/>
      <w:r w:rsidR="00466962" w:rsidRPr="00CD07C6">
        <w:rPr>
          <w:rFonts w:ascii="Times New Roman" w:eastAsia="Times New Roman" w:hAnsi="Times New Roman" w:cs="Times New Roman"/>
          <w:sz w:val="24"/>
          <w:szCs w:val="24"/>
          <w:lang w:val="en-US" w:eastAsia="pt-PT"/>
        </w:rPr>
        <w:t xml:space="preserve">, Portuguese, and a local dialect of </w:t>
      </w:r>
      <w:proofErr w:type="spellStart"/>
      <w:r w:rsidR="00466962" w:rsidRPr="00CD07C6">
        <w:rPr>
          <w:rFonts w:ascii="Times New Roman" w:eastAsia="Times New Roman" w:hAnsi="Times New Roman" w:cs="Times New Roman"/>
          <w:sz w:val="24"/>
          <w:szCs w:val="24"/>
          <w:lang w:val="en-US" w:eastAsia="pt-PT"/>
        </w:rPr>
        <w:t>Makasae</w:t>
      </w:r>
      <w:proofErr w:type="spellEnd"/>
      <w:r w:rsidR="00466962" w:rsidRPr="00CD07C6">
        <w:rPr>
          <w:rFonts w:ascii="Times New Roman" w:eastAsia="Times New Roman" w:hAnsi="Times New Roman" w:cs="Times New Roman"/>
          <w:sz w:val="24"/>
          <w:szCs w:val="24"/>
          <w:lang w:val="en-US" w:eastAsia="pt-PT"/>
        </w:rPr>
        <w:t xml:space="preserve"> and </w:t>
      </w:r>
      <w:proofErr w:type="spellStart"/>
      <w:r w:rsidR="00466962" w:rsidRPr="00CD07C6">
        <w:rPr>
          <w:rFonts w:ascii="Times New Roman" w:eastAsia="Times New Roman" w:hAnsi="Times New Roman" w:cs="Times New Roman"/>
          <w:sz w:val="24"/>
          <w:szCs w:val="24"/>
          <w:lang w:val="en-US" w:eastAsia="pt-PT"/>
        </w:rPr>
        <w:t>Uai-ma'a</w:t>
      </w:r>
      <w:proofErr w:type="spellEnd"/>
      <w:r w:rsidR="00466962" w:rsidRPr="00CD07C6">
        <w:rPr>
          <w:rFonts w:ascii="Times New Roman" w:eastAsia="Times New Roman" w:hAnsi="Times New Roman" w:cs="Times New Roman"/>
          <w:sz w:val="24"/>
          <w:szCs w:val="24"/>
          <w:lang w:val="en-US" w:eastAsia="pt-PT"/>
        </w:rPr>
        <w:t xml:space="preserve"> lets the students enjoy a rich linguistic environment which enhances cognitive control and encourages more in-depth knowledge of linguistic structures.</w:t>
      </w:r>
    </w:p>
    <w:p w14:paraId="49D39704" w14:textId="77777777" w:rsidR="00466962" w:rsidRPr="00466962" w:rsidRDefault="00466962" w:rsidP="00466962">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466962">
        <w:rPr>
          <w:rFonts w:ascii="Times New Roman" w:eastAsia="Times New Roman" w:hAnsi="Times New Roman" w:cs="Times New Roman"/>
          <w:sz w:val="24"/>
          <w:szCs w:val="24"/>
          <w:lang w:val="en-US" w:eastAsia="pt-PT"/>
        </w:rPr>
        <w:t>In addition, the correlational analysis result demonstrates a significant relationship between multilingualism and Portuguese language proficiency (r=0.447, p&lt;0.01). It suggests that students with higher competence in multilingualism tend to achieve better Portuguese language learning. This indicates that experience with multiple languages enhances linguistic awareness, intellectual flexibility, and linguistic transmission, and all of these can facilitate second language achievement. This finding sustains Cummins’ (1979) interdependence hypothesis that proficiency in one language can support learning another language. Consequently, promoting multilingual education can be an effective strategy for improving students’ Portuguese language mastery in Timor-Leste's diverse language context of elementary school.</w:t>
      </w:r>
    </w:p>
    <w:p w14:paraId="55554261" w14:textId="77777777" w:rsidR="00CD07C6" w:rsidRPr="00CD07C6" w:rsidRDefault="00CD07C6" w:rsidP="00CD07C6">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CD07C6">
        <w:rPr>
          <w:rFonts w:ascii="Times New Roman" w:eastAsia="Times New Roman" w:hAnsi="Times New Roman" w:cs="Times New Roman"/>
          <w:sz w:val="24"/>
          <w:szCs w:val="24"/>
          <w:lang w:val="en-US" w:eastAsia="pt-PT"/>
        </w:rPr>
        <w:lastRenderedPageBreak/>
        <w:t xml:space="preserve">Nonetheless, the descriptive findings point to unequal skills in the four language domains, the highest being the vocabulary scores and the lowest being writing and grammar. The tendency indicates that although multilingualism improves the general understanding and the learning of words, such formalities as syntax and written expression still need to be reinforced in Portuguese. The existing findings confirm the usefulness of the Mother Tongue-Based Multilingual Education (MTB-MLE) model in Timor-Leste that presupposes the local language replacement by </w:t>
      </w:r>
      <w:proofErr w:type="spellStart"/>
      <w:r w:rsidRPr="00CD07C6">
        <w:rPr>
          <w:rFonts w:ascii="Times New Roman" w:eastAsia="Times New Roman" w:hAnsi="Times New Roman" w:cs="Times New Roman"/>
          <w:sz w:val="24"/>
          <w:szCs w:val="24"/>
          <w:lang w:val="en-US" w:eastAsia="pt-PT"/>
        </w:rPr>
        <w:t>Tetun</w:t>
      </w:r>
      <w:proofErr w:type="spellEnd"/>
      <w:r w:rsidRPr="00CD07C6">
        <w:rPr>
          <w:rFonts w:ascii="Times New Roman" w:eastAsia="Times New Roman" w:hAnsi="Times New Roman" w:cs="Times New Roman"/>
          <w:sz w:val="24"/>
          <w:szCs w:val="24"/>
          <w:lang w:val="en-US" w:eastAsia="pt-PT"/>
        </w:rPr>
        <w:t xml:space="preserve">, followed by Portuguese as an additive process (Taylor-Leech, 2013; UNICEF, 2024). Moreover, the content validity level is high (CVI = 1.00), and the level of test consistency is high (Cronbach's alpha = 0.742), which proves that the Portuguese proficiency tool was able to adequately measure the </w:t>
      </w:r>
      <w:proofErr w:type="spellStart"/>
      <w:r w:rsidRPr="00CD07C6">
        <w:rPr>
          <w:rFonts w:ascii="Times New Roman" w:eastAsia="Times New Roman" w:hAnsi="Times New Roman" w:cs="Times New Roman"/>
          <w:sz w:val="24"/>
          <w:szCs w:val="24"/>
          <w:lang w:val="en-US" w:eastAsia="pt-PT"/>
        </w:rPr>
        <w:t>conceptualised</w:t>
      </w:r>
      <w:proofErr w:type="spellEnd"/>
      <w:r w:rsidRPr="00CD07C6">
        <w:rPr>
          <w:rFonts w:ascii="Times New Roman" w:eastAsia="Times New Roman" w:hAnsi="Times New Roman" w:cs="Times New Roman"/>
          <w:sz w:val="24"/>
          <w:szCs w:val="24"/>
          <w:lang w:val="en-US" w:eastAsia="pt-PT"/>
        </w:rPr>
        <w:t xml:space="preserve"> linguistic constructs. As a whole, the evidence points to the fact that strategic multilingual teaching may be used as a means to improve the results of Portuguese learning, as long as teachers have access to adequate training and multilingual resources.</w:t>
      </w:r>
    </w:p>
    <w:p w14:paraId="42E0597B" w14:textId="77777777" w:rsidR="00CD07C6" w:rsidRPr="00CE2B94" w:rsidRDefault="00CD07C6" w:rsidP="00CE2B94">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sidRPr="00CE2B94">
        <w:rPr>
          <w:rFonts w:ascii="Times New Roman" w:eastAsia="Times New Roman" w:hAnsi="Times New Roman" w:cs="Times New Roman"/>
          <w:b/>
          <w:sz w:val="24"/>
          <w:szCs w:val="24"/>
          <w:lang w:val="en-US" w:eastAsia="pt-PT"/>
        </w:rPr>
        <w:t>Conclusion</w:t>
      </w:r>
    </w:p>
    <w:p w14:paraId="33D5A025" w14:textId="77777777" w:rsidR="00BF16E1" w:rsidRPr="00BF16E1" w:rsidRDefault="00BF16E1" w:rsidP="00BF16E1">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BF16E1">
        <w:rPr>
          <w:rFonts w:ascii="Times New Roman" w:eastAsia="Times New Roman" w:hAnsi="Times New Roman" w:cs="Times New Roman"/>
          <w:sz w:val="24"/>
          <w:szCs w:val="24"/>
          <w:lang w:val="en-US" w:eastAsia="pt-PT"/>
        </w:rPr>
        <w:t xml:space="preserve">This research concludes that multilingual competence is an important factor in enhancing the learning of the Portuguese language among elementary school students in Timor-Leste, especially in the Baucau Municipality. This statistical data demonstrates that multilingualism positively influences Portuguese proficiency, supporting the hypothesis that students exposed to multiple languages strengthen their skills in learning new linguistic systems. The study highlights that the psychological </w:t>
      </w:r>
      <w:r w:rsidR="00C94582">
        <w:rPr>
          <w:rFonts w:ascii="Times New Roman" w:eastAsia="Times New Roman" w:hAnsi="Times New Roman" w:cs="Times New Roman"/>
          <w:sz w:val="24"/>
          <w:szCs w:val="24"/>
          <w:lang w:val="en-US" w:eastAsia="pt-PT"/>
        </w:rPr>
        <w:t>individuality</w:t>
      </w:r>
      <w:r w:rsidRPr="00BF16E1">
        <w:rPr>
          <w:rFonts w:ascii="Times New Roman" w:eastAsia="Times New Roman" w:hAnsi="Times New Roman" w:cs="Times New Roman"/>
          <w:sz w:val="24"/>
          <w:szCs w:val="24"/>
          <w:lang w:val="en-US" w:eastAsia="pt-PT"/>
        </w:rPr>
        <w:t xml:space="preserve"> fostered by </w:t>
      </w:r>
      <w:proofErr w:type="spellStart"/>
      <w:r w:rsidRPr="00BF16E1">
        <w:rPr>
          <w:rFonts w:ascii="Times New Roman" w:eastAsia="Times New Roman" w:hAnsi="Times New Roman" w:cs="Times New Roman"/>
          <w:sz w:val="24"/>
          <w:szCs w:val="24"/>
          <w:lang w:val="en-US" w:eastAsia="pt-PT"/>
        </w:rPr>
        <w:t>Tetun</w:t>
      </w:r>
      <w:proofErr w:type="spellEnd"/>
      <w:r w:rsidRPr="00BF16E1">
        <w:rPr>
          <w:rFonts w:ascii="Times New Roman" w:eastAsia="Times New Roman" w:hAnsi="Times New Roman" w:cs="Times New Roman"/>
          <w:sz w:val="24"/>
          <w:szCs w:val="24"/>
          <w:lang w:val="en-US" w:eastAsia="pt-PT"/>
        </w:rPr>
        <w:t>, local dialects (</w:t>
      </w:r>
      <w:proofErr w:type="spellStart"/>
      <w:r w:rsidRPr="00BF16E1">
        <w:rPr>
          <w:rFonts w:ascii="Times New Roman" w:eastAsia="Times New Roman" w:hAnsi="Times New Roman" w:cs="Times New Roman"/>
          <w:sz w:val="24"/>
          <w:szCs w:val="24"/>
          <w:lang w:val="en-US" w:eastAsia="pt-PT"/>
        </w:rPr>
        <w:t>Makasa’e</w:t>
      </w:r>
      <w:proofErr w:type="spellEnd"/>
      <w:r w:rsidRPr="00BF16E1">
        <w:rPr>
          <w:rFonts w:ascii="Times New Roman" w:eastAsia="Times New Roman" w:hAnsi="Times New Roman" w:cs="Times New Roman"/>
          <w:sz w:val="24"/>
          <w:szCs w:val="24"/>
          <w:lang w:val="en-US" w:eastAsia="pt-PT"/>
        </w:rPr>
        <w:t xml:space="preserve"> and </w:t>
      </w:r>
      <w:proofErr w:type="spellStart"/>
      <w:r w:rsidRPr="00BF16E1">
        <w:rPr>
          <w:rFonts w:ascii="Times New Roman" w:eastAsia="Times New Roman" w:hAnsi="Times New Roman" w:cs="Times New Roman"/>
          <w:sz w:val="24"/>
          <w:szCs w:val="24"/>
          <w:lang w:val="en-US" w:eastAsia="pt-PT"/>
        </w:rPr>
        <w:t>Uai-ma’a</w:t>
      </w:r>
      <w:proofErr w:type="spellEnd"/>
      <w:r w:rsidRPr="00BF16E1">
        <w:rPr>
          <w:rFonts w:ascii="Times New Roman" w:eastAsia="Times New Roman" w:hAnsi="Times New Roman" w:cs="Times New Roman"/>
          <w:sz w:val="24"/>
          <w:szCs w:val="24"/>
          <w:lang w:val="en-US" w:eastAsia="pt-PT"/>
        </w:rPr>
        <w:t>), and Portuguese encourages flexibility, vocabulary development, and comprehension. However, the outcomes also indicate weaknesses in grammar and writing, suggesting a need to discuss instructional strategies that should focus more on productive language practice.</w:t>
      </w:r>
    </w:p>
    <w:p w14:paraId="256D8AD4" w14:textId="77777777" w:rsidR="00CD07C6" w:rsidRPr="00CD07C6" w:rsidRDefault="00CD07C6" w:rsidP="00CD07C6">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CD07C6">
        <w:rPr>
          <w:rFonts w:ascii="Times New Roman" w:eastAsia="Times New Roman" w:hAnsi="Times New Roman" w:cs="Times New Roman"/>
          <w:sz w:val="24"/>
          <w:szCs w:val="24"/>
          <w:lang w:val="en-US" w:eastAsia="pt-PT"/>
        </w:rPr>
        <w:t xml:space="preserve">These findings in the educational field support the need to maintain and increase the policies of the Mother Tongue-Based Multilingual </w:t>
      </w:r>
      <w:r w:rsidR="00FF54D9">
        <w:rPr>
          <w:rFonts w:ascii="Times New Roman" w:eastAsia="Times New Roman" w:hAnsi="Times New Roman" w:cs="Times New Roman"/>
          <w:sz w:val="24"/>
          <w:szCs w:val="24"/>
          <w:lang w:val="en-US" w:eastAsia="pt-PT"/>
        </w:rPr>
        <w:t>e</w:t>
      </w:r>
      <w:r w:rsidRPr="00CD07C6">
        <w:rPr>
          <w:rFonts w:ascii="Times New Roman" w:eastAsia="Times New Roman" w:hAnsi="Times New Roman" w:cs="Times New Roman"/>
          <w:sz w:val="24"/>
          <w:szCs w:val="24"/>
          <w:lang w:val="en-US" w:eastAsia="pt-PT"/>
        </w:rPr>
        <w:t xml:space="preserve">ducation in Timor-Leste. </w:t>
      </w:r>
      <w:r w:rsidR="00CD3253">
        <w:rPr>
          <w:rFonts w:ascii="Times New Roman" w:eastAsia="Times New Roman" w:hAnsi="Times New Roman" w:cs="Times New Roman"/>
          <w:sz w:val="24"/>
          <w:szCs w:val="24"/>
          <w:lang w:val="en-US" w:eastAsia="pt-PT"/>
        </w:rPr>
        <w:t>Flavoring</w:t>
      </w:r>
      <w:r w:rsidRPr="00CD07C6">
        <w:rPr>
          <w:rFonts w:ascii="Times New Roman" w:eastAsia="Times New Roman" w:hAnsi="Times New Roman" w:cs="Times New Roman"/>
          <w:sz w:val="24"/>
          <w:szCs w:val="24"/>
          <w:lang w:val="en-US" w:eastAsia="pt-PT"/>
        </w:rPr>
        <w:t xml:space="preserve"> multilingualism should be encouraged so that there is a balance in the language development without losing cultural identity. The teacher </w:t>
      </w:r>
      <w:r w:rsidR="00293796">
        <w:rPr>
          <w:rFonts w:ascii="Times New Roman" w:eastAsia="Times New Roman" w:hAnsi="Times New Roman" w:cs="Times New Roman"/>
          <w:sz w:val="24"/>
          <w:szCs w:val="24"/>
          <w:lang w:val="en-US" w:eastAsia="pt-PT"/>
        </w:rPr>
        <w:t>desires to</w:t>
      </w:r>
      <w:r w:rsidRPr="00CD07C6">
        <w:rPr>
          <w:rFonts w:ascii="Times New Roman" w:eastAsia="Times New Roman" w:hAnsi="Times New Roman" w:cs="Times New Roman"/>
          <w:sz w:val="24"/>
          <w:szCs w:val="24"/>
          <w:lang w:val="en-US" w:eastAsia="pt-PT"/>
        </w:rPr>
        <w:t xml:space="preserve"> </w:t>
      </w:r>
      <w:r w:rsidR="00293796">
        <w:rPr>
          <w:rFonts w:ascii="Times New Roman" w:eastAsia="Times New Roman" w:hAnsi="Times New Roman" w:cs="Times New Roman"/>
          <w:sz w:val="24"/>
          <w:szCs w:val="24"/>
          <w:lang w:val="en-US" w:eastAsia="pt-PT"/>
        </w:rPr>
        <w:t>gain</w:t>
      </w:r>
      <w:r w:rsidRPr="00CD07C6">
        <w:rPr>
          <w:rFonts w:ascii="Times New Roman" w:eastAsia="Times New Roman" w:hAnsi="Times New Roman" w:cs="Times New Roman"/>
          <w:sz w:val="24"/>
          <w:szCs w:val="24"/>
          <w:lang w:val="en-US" w:eastAsia="pt-PT"/>
        </w:rPr>
        <w:t xml:space="preserve"> multilingual pedagogical </w:t>
      </w:r>
      <w:r w:rsidR="00293796" w:rsidRPr="00CD07C6">
        <w:rPr>
          <w:rFonts w:ascii="Times New Roman" w:eastAsia="Times New Roman" w:hAnsi="Times New Roman" w:cs="Times New Roman"/>
          <w:sz w:val="24"/>
          <w:szCs w:val="24"/>
          <w:lang w:val="en-US" w:eastAsia="pt-PT"/>
        </w:rPr>
        <w:t>skills</w:t>
      </w:r>
      <w:r w:rsidRPr="00CD07C6">
        <w:rPr>
          <w:rFonts w:ascii="Times New Roman" w:eastAsia="Times New Roman" w:hAnsi="Times New Roman" w:cs="Times New Roman"/>
          <w:sz w:val="24"/>
          <w:szCs w:val="24"/>
          <w:lang w:val="en-US" w:eastAsia="pt-PT"/>
        </w:rPr>
        <w:t xml:space="preserve"> and curriculum-based materials to enhance the cross-linguistic </w:t>
      </w:r>
      <w:r w:rsidR="00293796" w:rsidRPr="00CD07C6">
        <w:rPr>
          <w:rFonts w:ascii="Times New Roman" w:eastAsia="Times New Roman" w:hAnsi="Times New Roman" w:cs="Times New Roman"/>
          <w:sz w:val="24"/>
          <w:szCs w:val="24"/>
          <w:lang w:val="en-US" w:eastAsia="pt-PT"/>
        </w:rPr>
        <w:t>assignment</w:t>
      </w:r>
      <w:r w:rsidRPr="00CD07C6">
        <w:rPr>
          <w:rFonts w:ascii="Times New Roman" w:eastAsia="Times New Roman" w:hAnsi="Times New Roman" w:cs="Times New Roman"/>
          <w:sz w:val="24"/>
          <w:szCs w:val="24"/>
          <w:lang w:val="en-US" w:eastAsia="pt-PT"/>
        </w:rPr>
        <w:t xml:space="preserve"> and literacy </w:t>
      </w:r>
      <w:r w:rsidR="00293796" w:rsidRPr="00CD07C6">
        <w:rPr>
          <w:rFonts w:ascii="Times New Roman" w:eastAsia="Times New Roman" w:hAnsi="Times New Roman" w:cs="Times New Roman"/>
          <w:sz w:val="24"/>
          <w:szCs w:val="24"/>
          <w:lang w:val="en-US" w:eastAsia="pt-PT"/>
        </w:rPr>
        <w:t>outcomes</w:t>
      </w:r>
      <w:r w:rsidRPr="00CD07C6">
        <w:rPr>
          <w:rFonts w:ascii="Times New Roman" w:eastAsia="Times New Roman" w:hAnsi="Times New Roman" w:cs="Times New Roman"/>
          <w:sz w:val="24"/>
          <w:szCs w:val="24"/>
          <w:lang w:val="en-US" w:eastAsia="pt-PT"/>
        </w:rPr>
        <w:t>. Overall, the</w:t>
      </w:r>
      <w:r w:rsidR="00293796">
        <w:rPr>
          <w:rFonts w:ascii="Times New Roman" w:eastAsia="Times New Roman" w:hAnsi="Times New Roman" w:cs="Times New Roman"/>
          <w:sz w:val="24"/>
          <w:szCs w:val="24"/>
          <w:lang w:val="en-US" w:eastAsia="pt-PT"/>
        </w:rPr>
        <w:t xml:space="preserve"> </w:t>
      </w:r>
      <w:r w:rsidRPr="00CD07C6">
        <w:rPr>
          <w:rFonts w:ascii="Times New Roman" w:eastAsia="Times New Roman" w:hAnsi="Times New Roman" w:cs="Times New Roman"/>
          <w:sz w:val="24"/>
          <w:szCs w:val="24"/>
          <w:lang w:val="en-US" w:eastAsia="pt-PT"/>
        </w:rPr>
        <w:t xml:space="preserve">study provides empirical evidence supporting both the theoretical and practical benefits of acquiring multiple languages within a post-conflict, multilingual community, aligning with </w:t>
      </w:r>
      <w:r w:rsidR="00293796" w:rsidRPr="00CD07C6">
        <w:rPr>
          <w:rFonts w:ascii="Times New Roman" w:eastAsia="Times New Roman" w:hAnsi="Times New Roman" w:cs="Times New Roman"/>
          <w:sz w:val="24"/>
          <w:szCs w:val="24"/>
          <w:lang w:val="en-US" w:eastAsia="pt-PT"/>
        </w:rPr>
        <w:t>current</w:t>
      </w:r>
      <w:r w:rsidRPr="00CD07C6">
        <w:rPr>
          <w:rFonts w:ascii="Times New Roman" w:eastAsia="Times New Roman" w:hAnsi="Times New Roman" w:cs="Times New Roman"/>
          <w:sz w:val="24"/>
          <w:szCs w:val="24"/>
          <w:lang w:val="en-US" w:eastAsia="pt-PT"/>
        </w:rPr>
        <w:t xml:space="preserve"> research on language </w:t>
      </w:r>
      <w:r w:rsidR="00293796" w:rsidRPr="00CD07C6">
        <w:rPr>
          <w:rFonts w:ascii="Times New Roman" w:eastAsia="Times New Roman" w:hAnsi="Times New Roman" w:cs="Times New Roman"/>
          <w:sz w:val="24"/>
          <w:szCs w:val="24"/>
          <w:lang w:val="en-US" w:eastAsia="pt-PT"/>
        </w:rPr>
        <w:t>generality</w:t>
      </w:r>
      <w:r w:rsidRPr="00CD07C6">
        <w:rPr>
          <w:rFonts w:ascii="Times New Roman" w:eastAsia="Times New Roman" w:hAnsi="Times New Roman" w:cs="Times New Roman"/>
          <w:sz w:val="24"/>
          <w:szCs w:val="24"/>
          <w:lang w:val="en-US" w:eastAsia="pt-PT"/>
        </w:rPr>
        <w:t xml:space="preserve"> and educational equity globally.</w:t>
      </w:r>
    </w:p>
    <w:p w14:paraId="7673A341" w14:textId="77777777" w:rsidR="00116E6B" w:rsidRPr="006D5866" w:rsidRDefault="00116E6B" w:rsidP="00605A13">
      <w:pPr>
        <w:spacing w:after="120" w:line="360" w:lineRule="auto"/>
        <w:jc w:val="both"/>
        <w:outlineLvl w:val="2"/>
        <w:rPr>
          <w:rFonts w:ascii="Times New Roman" w:eastAsia="Times New Roman" w:hAnsi="Times New Roman" w:cs="Times New Roman"/>
          <w:b/>
          <w:bCs/>
          <w:sz w:val="24"/>
          <w:szCs w:val="24"/>
          <w:lang w:val="en-US" w:eastAsia="pt-PT"/>
        </w:rPr>
      </w:pPr>
      <w:r w:rsidRPr="006D5866">
        <w:rPr>
          <w:rFonts w:ascii="Times New Roman" w:eastAsia="Times New Roman" w:hAnsi="Times New Roman" w:cs="Times New Roman"/>
          <w:b/>
          <w:bCs/>
          <w:sz w:val="24"/>
          <w:szCs w:val="24"/>
          <w:lang w:val="en-US" w:eastAsia="pt-PT"/>
        </w:rPr>
        <w:lastRenderedPageBreak/>
        <w:t xml:space="preserve">Recommendations </w:t>
      </w:r>
    </w:p>
    <w:p w14:paraId="4D4AF650" w14:textId="77777777" w:rsidR="009727F7" w:rsidRPr="009727F7" w:rsidRDefault="009727F7" w:rsidP="00605A13">
      <w:pPr>
        <w:spacing w:after="120" w:line="360" w:lineRule="auto"/>
        <w:jc w:val="both"/>
        <w:rPr>
          <w:rFonts w:ascii="Times New Roman" w:eastAsia="Times New Roman" w:hAnsi="Times New Roman" w:cs="Times New Roman"/>
          <w:sz w:val="24"/>
          <w:szCs w:val="24"/>
          <w:lang w:val="en-US" w:eastAsia="pt-PT"/>
        </w:rPr>
      </w:pPr>
      <w:r w:rsidRPr="009727F7">
        <w:rPr>
          <w:rFonts w:ascii="Times New Roman" w:eastAsia="Times New Roman" w:hAnsi="Times New Roman" w:cs="Times New Roman"/>
          <w:sz w:val="24"/>
          <w:szCs w:val="24"/>
          <w:lang w:val="en-US" w:eastAsia="pt-PT"/>
        </w:rPr>
        <w:t xml:space="preserve">The following recommendations aim to enhance Portuguese language learning within the context of multilingual education in Timor-Leste. </w:t>
      </w:r>
    </w:p>
    <w:p w14:paraId="4FD84516" w14:textId="77777777" w:rsidR="006D5866" w:rsidRPr="00E31ED7" w:rsidRDefault="009727F7" w:rsidP="00E31ED7">
      <w:pPr>
        <w:pStyle w:val="ListParagraph"/>
        <w:numPr>
          <w:ilvl w:val="0"/>
          <w:numId w:val="4"/>
        </w:numPr>
        <w:spacing w:after="120" w:line="360" w:lineRule="auto"/>
        <w:jc w:val="both"/>
        <w:rPr>
          <w:rFonts w:ascii="Times New Roman" w:eastAsia="Times New Roman" w:hAnsi="Times New Roman" w:cs="Times New Roman"/>
          <w:sz w:val="24"/>
          <w:szCs w:val="24"/>
          <w:lang w:val="en-US" w:eastAsia="pt-PT"/>
        </w:rPr>
      </w:pPr>
      <w:r w:rsidRPr="006D5866">
        <w:rPr>
          <w:rFonts w:ascii="Times New Roman" w:eastAsia="Times New Roman" w:hAnsi="Times New Roman" w:cs="Times New Roman"/>
          <w:sz w:val="24"/>
          <w:szCs w:val="24"/>
          <w:lang w:val="en-US" w:eastAsia="pt-PT"/>
        </w:rPr>
        <w:t xml:space="preserve">The Ministry of Education and educational </w:t>
      </w:r>
      <w:proofErr w:type="spellStart"/>
      <w:r w:rsidRPr="006D5866">
        <w:rPr>
          <w:rFonts w:ascii="Times New Roman" w:eastAsia="Times New Roman" w:hAnsi="Times New Roman" w:cs="Times New Roman"/>
          <w:sz w:val="24"/>
          <w:szCs w:val="24"/>
          <w:lang w:val="en-US" w:eastAsia="pt-PT"/>
        </w:rPr>
        <w:t>organisations</w:t>
      </w:r>
      <w:proofErr w:type="spellEnd"/>
      <w:r w:rsidRPr="006D5866">
        <w:rPr>
          <w:rFonts w:ascii="Times New Roman" w:eastAsia="Times New Roman" w:hAnsi="Times New Roman" w:cs="Times New Roman"/>
          <w:sz w:val="24"/>
          <w:szCs w:val="24"/>
          <w:lang w:val="en-US" w:eastAsia="pt-PT"/>
        </w:rPr>
        <w:t xml:space="preserve"> should intensify professional development </w:t>
      </w:r>
      <w:proofErr w:type="spellStart"/>
      <w:r w:rsidRPr="006D5866">
        <w:rPr>
          <w:rFonts w:ascii="Times New Roman" w:eastAsia="Times New Roman" w:hAnsi="Times New Roman" w:cs="Times New Roman"/>
          <w:sz w:val="24"/>
          <w:szCs w:val="24"/>
          <w:lang w:val="en-US" w:eastAsia="pt-PT"/>
        </w:rPr>
        <w:t>programmes</w:t>
      </w:r>
      <w:proofErr w:type="spellEnd"/>
      <w:r w:rsidR="00E31ED7">
        <w:rPr>
          <w:rFonts w:ascii="Times New Roman" w:eastAsia="Times New Roman" w:hAnsi="Times New Roman" w:cs="Times New Roman"/>
          <w:sz w:val="24"/>
          <w:szCs w:val="24"/>
          <w:lang w:val="en-US" w:eastAsia="pt-PT"/>
        </w:rPr>
        <w:t xml:space="preserve"> for the teachers</w:t>
      </w:r>
      <w:r w:rsidRPr="006D5866">
        <w:rPr>
          <w:rFonts w:ascii="Times New Roman" w:eastAsia="Times New Roman" w:hAnsi="Times New Roman" w:cs="Times New Roman"/>
          <w:sz w:val="24"/>
          <w:szCs w:val="24"/>
          <w:lang w:val="en-US" w:eastAsia="pt-PT"/>
        </w:rPr>
        <w:t>, which focus on multilingual pedagogy</w:t>
      </w:r>
      <w:r w:rsidR="00E31ED7">
        <w:rPr>
          <w:rFonts w:ascii="Times New Roman" w:eastAsia="Times New Roman" w:hAnsi="Times New Roman" w:cs="Times New Roman"/>
          <w:sz w:val="24"/>
          <w:szCs w:val="24"/>
          <w:lang w:val="en-US" w:eastAsia="pt-PT"/>
        </w:rPr>
        <w:t xml:space="preserve"> that includes </w:t>
      </w:r>
      <w:r w:rsidRPr="00E31ED7">
        <w:rPr>
          <w:rFonts w:ascii="Times New Roman" w:eastAsia="Times New Roman" w:hAnsi="Times New Roman" w:cs="Times New Roman"/>
          <w:sz w:val="24"/>
          <w:szCs w:val="24"/>
          <w:lang w:val="en-US" w:eastAsia="pt-PT"/>
        </w:rPr>
        <w:t xml:space="preserve">consistent training on how to use the first languages of the students, </w:t>
      </w:r>
      <w:proofErr w:type="spellStart"/>
      <w:r w:rsidRPr="00E31ED7">
        <w:rPr>
          <w:rFonts w:ascii="Times New Roman" w:eastAsia="Times New Roman" w:hAnsi="Times New Roman" w:cs="Times New Roman"/>
          <w:sz w:val="24"/>
          <w:szCs w:val="24"/>
          <w:lang w:val="en-US" w:eastAsia="pt-PT"/>
        </w:rPr>
        <w:t>Tetun</w:t>
      </w:r>
      <w:proofErr w:type="spellEnd"/>
      <w:r w:rsidRPr="00E31ED7">
        <w:rPr>
          <w:rFonts w:ascii="Times New Roman" w:eastAsia="Times New Roman" w:hAnsi="Times New Roman" w:cs="Times New Roman"/>
          <w:sz w:val="24"/>
          <w:szCs w:val="24"/>
          <w:lang w:val="en-US" w:eastAsia="pt-PT"/>
        </w:rPr>
        <w:t xml:space="preserve"> and local dialects, as scaffolding tools for them to learn Portuguese. </w:t>
      </w:r>
    </w:p>
    <w:p w14:paraId="36DF37A8" w14:textId="77777777" w:rsidR="006D5866" w:rsidRPr="006D5866" w:rsidRDefault="009727F7" w:rsidP="00605A13">
      <w:pPr>
        <w:pStyle w:val="ListParagraph"/>
        <w:numPr>
          <w:ilvl w:val="0"/>
          <w:numId w:val="4"/>
        </w:numPr>
        <w:spacing w:after="120" w:line="360" w:lineRule="auto"/>
        <w:jc w:val="both"/>
        <w:rPr>
          <w:rFonts w:ascii="Times New Roman" w:eastAsia="Times New Roman" w:hAnsi="Times New Roman" w:cs="Times New Roman"/>
          <w:sz w:val="24"/>
          <w:szCs w:val="24"/>
          <w:lang w:val="en-US" w:eastAsia="pt-PT"/>
        </w:rPr>
      </w:pPr>
      <w:r w:rsidRPr="006D5866">
        <w:rPr>
          <w:rFonts w:ascii="Times New Roman" w:eastAsia="Times New Roman" w:hAnsi="Times New Roman" w:cs="Times New Roman"/>
          <w:sz w:val="24"/>
          <w:szCs w:val="24"/>
          <w:lang w:val="en-US" w:eastAsia="pt-PT"/>
        </w:rPr>
        <w:t xml:space="preserve">Curriculum designers must align their materials and assessments with the multilingual realities of Timorese classrooms. Linguistic and conceptual differences can be overcome by using culturally relevant resources that include examples from students' native languages, helping them to have meaningful and inclusive learning experiences. </w:t>
      </w:r>
    </w:p>
    <w:p w14:paraId="2C66F9A1" w14:textId="77777777" w:rsidR="006D5866" w:rsidRPr="006D5866" w:rsidRDefault="009727F7" w:rsidP="00605A13">
      <w:pPr>
        <w:pStyle w:val="ListParagraph"/>
        <w:numPr>
          <w:ilvl w:val="0"/>
          <w:numId w:val="4"/>
        </w:numPr>
        <w:spacing w:after="120" w:line="360" w:lineRule="auto"/>
        <w:jc w:val="both"/>
        <w:rPr>
          <w:rFonts w:ascii="Times New Roman" w:eastAsia="Times New Roman" w:hAnsi="Times New Roman" w:cs="Times New Roman"/>
          <w:sz w:val="24"/>
          <w:szCs w:val="24"/>
          <w:lang w:val="en-US" w:eastAsia="pt-PT"/>
        </w:rPr>
      </w:pPr>
      <w:r w:rsidRPr="006D5866">
        <w:rPr>
          <w:rFonts w:ascii="Times New Roman" w:eastAsia="Times New Roman" w:hAnsi="Times New Roman" w:cs="Times New Roman"/>
          <w:sz w:val="24"/>
          <w:szCs w:val="24"/>
          <w:lang w:val="en-US" w:eastAsia="pt-PT"/>
        </w:rPr>
        <w:t>The schools need to create a linguistic environment that motivates students to use Portuguese through participation in reading clubs, debates, and writing activities, where they receive support from their peers to improve their grammar and writing skills.</w:t>
      </w:r>
    </w:p>
    <w:p w14:paraId="058367EA" w14:textId="77777777" w:rsidR="009727F7" w:rsidRPr="006D5866" w:rsidRDefault="009727F7" w:rsidP="00605A13">
      <w:pPr>
        <w:pStyle w:val="ListParagraph"/>
        <w:numPr>
          <w:ilvl w:val="0"/>
          <w:numId w:val="4"/>
        </w:numPr>
        <w:spacing w:after="120" w:line="360" w:lineRule="auto"/>
        <w:jc w:val="both"/>
        <w:rPr>
          <w:rFonts w:ascii="Times New Roman" w:eastAsia="Times New Roman" w:hAnsi="Times New Roman" w:cs="Times New Roman"/>
          <w:sz w:val="24"/>
          <w:szCs w:val="24"/>
          <w:lang w:val="en-US" w:eastAsia="pt-PT"/>
        </w:rPr>
      </w:pPr>
      <w:r w:rsidRPr="006D5866">
        <w:rPr>
          <w:rFonts w:ascii="Times New Roman" w:eastAsia="Times New Roman" w:hAnsi="Times New Roman" w:cs="Times New Roman"/>
          <w:sz w:val="24"/>
          <w:szCs w:val="24"/>
          <w:lang w:val="en-US" w:eastAsia="pt-PT"/>
        </w:rPr>
        <w:t xml:space="preserve">School-community partnerships and local education authorities' collaboration are essential for sustaining the Mother Tongue-Based Multilingual Education (MTB-MLE) program by co-owning and </w:t>
      </w:r>
      <w:r w:rsidR="006D5866" w:rsidRPr="006D5866">
        <w:rPr>
          <w:rFonts w:ascii="Times New Roman" w:eastAsia="Times New Roman" w:hAnsi="Times New Roman" w:cs="Times New Roman"/>
          <w:sz w:val="24"/>
          <w:szCs w:val="24"/>
          <w:lang w:val="en-US" w:eastAsia="pt-PT"/>
        </w:rPr>
        <w:t>positioning</w:t>
      </w:r>
      <w:r w:rsidRPr="006D5866">
        <w:rPr>
          <w:rFonts w:ascii="Times New Roman" w:eastAsia="Times New Roman" w:hAnsi="Times New Roman" w:cs="Times New Roman"/>
          <w:sz w:val="24"/>
          <w:szCs w:val="24"/>
          <w:lang w:val="en-US" w:eastAsia="pt-PT"/>
        </w:rPr>
        <w:t xml:space="preserve"> it effectively.</w:t>
      </w:r>
    </w:p>
    <w:p w14:paraId="1D3627FE" w14:textId="77777777" w:rsidR="009727F7" w:rsidRDefault="009727F7" w:rsidP="00605A13">
      <w:pPr>
        <w:spacing w:after="120" w:line="360" w:lineRule="auto"/>
        <w:jc w:val="both"/>
        <w:rPr>
          <w:rFonts w:ascii="Times New Roman" w:eastAsia="Times New Roman" w:hAnsi="Times New Roman" w:cs="Times New Roman"/>
          <w:sz w:val="24"/>
          <w:szCs w:val="24"/>
          <w:lang w:val="en-US" w:eastAsia="pt-PT"/>
        </w:rPr>
      </w:pPr>
      <w:r w:rsidRPr="009727F7">
        <w:rPr>
          <w:rFonts w:ascii="Times New Roman" w:eastAsia="Times New Roman" w:hAnsi="Times New Roman" w:cs="Times New Roman"/>
          <w:sz w:val="24"/>
          <w:szCs w:val="24"/>
          <w:lang w:val="en-US" w:eastAsia="pt-PT"/>
        </w:rPr>
        <w:t xml:space="preserve">Future studies will involve conducting longitudinal and mixed-method research to track changes in multilingual competence across various grades and geographical regions in Timor-Leste. The beliefs of teachers, their classroom language practices, and the issues related to policy implementation will be further researched to develop a more profound understanding of the effectiveness of multilingual instruction. </w:t>
      </w:r>
    </w:p>
    <w:p w14:paraId="313D6B4F" w14:textId="77777777" w:rsidR="00BC0255" w:rsidRDefault="00BC0255" w:rsidP="00605A13">
      <w:pPr>
        <w:spacing w:after="120" w:line="360" w:lineRule="auto"/>
        <w:jc w:val="both"/>
        <w:rPr>
          <w:rFonts w:ascii="Times New Roman" w:eastAsia="Times New Roman" w:hAnsi="Times New Roman" w:cs="Times New Roman"/>
          <w:sz w:val="24"/>
          <w:szCs w:val="24"/>
          <w:lang w:val="en-US" w:eastAsia="pt-PT"/>
        </w:rPr>
      </w:pPr>
    </w:p>
    <w:p w14:paraId="490C2D1C" w14:textId="77777777" w:rsidR="00BC0255" w:rsidRPr="00BC0255" w:rsidRDefault="00BC0255" w:rsidP="00BC0255">
      <w:pPr>
        <w:spacing w:after="120" w:line="360" w:lineRule="auto"/>
        <w:jc w:val="both"/>
        <w:rPr>
          <w:rFonts w:ascii="Times New Roman" w:eastAsia="Times New Roman" w:hAnsi="Times New Roman" w:cs="Times New Roman"/>
          <w:sz w:val="24"/>
          <w:szCs w:val="24"/>
          <w:lang w:val="en-US" w:eastAsia="pt-PT"/>
        </w:rPr>
      </w:pPr>
      <w:r w:rsidRPr="00BC0255">
        <w:rPr>
          <w:rFonts w:ascii="Times New Roman" w:eastAsia="Times New Roman" w:hAnsi="Times New Roman" w:cs="Times New Roman"/>
          <w:sz w:val="24"/>
          <w:szCs w:val="24"/>
          <w:lang w:val="en-US" w:eastAsia="pt-PT"/>
        </w:rPr>
        <w:t>COMPETING INTERESTS DISCLAIMER:</w:t>
      </w:r>
    </w:p>
    <w:p w14:paraId="738B51A3" w14:textId="732B6E26" w:rsidR="00BC0255" w:rsidRPr="009727F7" w:rsidRDefault="00BC0255" w:rsidP="00BC0255">
      <w:pPr>
        <w:spacing w:after="120" w:line="360" w:lineRule="auto"/>
        <w:jc w:val="both"/>
        <w:rPr>
          <w:rFonts w:ascii="Times New Roman" w:eastAsia="Times New Roman" w:hAnsi="Times New Roman" w:cs="Times New Roman"/>
          <w:sz w:val="24"/>
          <w:szCs w:val="24"/>
          <w:lang w:val="en-US" w:eastAsia="pt-PT"/>
        </w:rPr>
      </w:pPr>
      <w:r w:rsidRPr="00BC0255">
        <w:rPr>
          <w:rFonts w:ascii="Times New Roman" w:eastAsia="Times New Roman" w:hAnsi="Times New Roman" w:cs="Times New Roman"/>
          <w:sz w:val="24"/>
          <w:szCs w:val="24"/>
          <w:lang w:val="en-US" w:eastAsia="pt-PT"/>
        </w:rPr>
        <w:t>Authors have declared that they have no known competing financial interests OR non-financial interests OR personal relationships that could have appeared to influence the work reported in this paper.</w:t>
      </w:r>
    </w:p>
    <w:p w14:paraId="41A906A7" w14:textId="77777777" w:rsidR="00A05D68" w:rsidRDefault="00A05D68" w:rsidP="004D3779">
      <w:pPr>
        <w:spacing w:after="0" w:line="360" w:lineRule="auto"/>
        <w:jc w:val="both"/>
        <w:rPr>
          <w:rFonts w:ascii="Times New Roman" w:eastAsia="Times New Roman" w:hAnsi="Times New Roman" w:cs="Times New Roman"/>
          <w:sz w:val="24"/>
          <w:szCs w:val="24"/>
          <w:lang w:val="en-US" w:eastAsia="pt-PT"/>
        </w:rPr>
      </w:pPr>
    </w:p>
    <w:p w14:paraId="0C71042C" w14:textId="77777777" w:rsidR="00DA19A9" w:rsidRPr="00783FF5" w:rsidRDefault="00DA19A9" w:rsidP="004D3779">
      <w:pPr>
        <w:spacing w:after="0" w:line="360" w:lineRule="auto"/>
        <w:jc w:val="both"/>
        <w:rPr>
          <w:rFonts w:ascii="Times New Roman" w:eastAsia="Times New Roman" w:hAnsi="Times New Roman" w:cs="Times New Roman"/>
          <w:sz w:val="24"/>
          <w:szCs w:val="24"/>
          <w:lang w:val="en-US" w:eastAsia="pt-PT"/>
        </w:rPr>
      </w:pPr>
    </w:p>
    <w:p w14:paraId="66B9B4BE" w14:textId="77777777" w:rsidR="004E6675" w:rsidRPr="00F7442A" w:rsidRDefault="004E6675" w:rsidP="004E6675">
      <w:pPr>
        <w:pStyle w:val="NormalWeb"/>
        <w:spacing w:before="0" w:beforeAutospacing="0" w:after="0" w:afterAutospacing="0" w:line="360" w:lineRule="auto"/>
        <w:jc w:val="both"/>
        <w:rPr>
          <w:b/>
          <w:lang w:val="en-US"/>
        </w:rPr>
      </w:pPr>
      <w:r w:rsidRPr="00F7442A">
        <w:rPr>
          <w:b/>
          <w:lang w:val="en-US"/>
        </w:rPr>
        <w:t>References</w:t>
      </w:r>
    </w:p>
    <w:p w14:paraId="7D57D607" w14:textId="77777777" w:rsidR="001F2ACD" w:rsidRPr="00B0507E" w:rsidRDefault="001F2ACD" w:rsidP="001F2ACD">
      <w:pPr>
        <w:ind w:left="708" w:hanging="708"/>
        <w:rPr>
          <w:rFonts w:ascii="Times New Roman" w:hAnsi="Times New Roman" w:cs="Times New Roman"/>
          <w:sz w:val="24"/>
          <w:szCs w:val="24"/>
          <w:lang w:val="en-US"/>
        </w:rPr>
      </w:pPr>
      <w:r w:rsidRPr="001F2ACD">
        <w:rPr>
          <w:rFonts w:ascii="Times New Roman" w:hAnsi="Times New Roman" w:cs="Times New Roman"/>
          <w:sz w:val="24"/>
          <w:szCs w:val="24"/>
          <w:lang w:val="en-US"/>
        </w:rPr>
        <w:t xml:space="preserve">Achaa-Amankwaa, P., Kushnereva, E., Miksch, H., Stumme, J., Heim, S., &amp; Ebersbach, M. (2023). Multilingualism is associated with small task-specific advantages in cognitive </w:t>
      </w:r>
      <w:r w:rsidRPr="001F2ACD">
        <w:rPr>
          <w:rFonts w:ascii="Times New Roman" w:hAnsi="Times New Roman" w:cs="Times New Roman"/>
          <w:sz w:val="24"/>
          <w:szCs w:val="24"/>
          <w:lang w:val="en-US"/>
        </w:rPr>
        <w:lastRenderedPageBreak/>
        <w:t>performance of older adults. </w:t>
      </w:r>
      <w:r w:rsidRPr="00B0507E">
        <w:rPr>
          <w:rFonts w:ascii="Times New Roman" w:hAnsi="Times New Roman" w:cs="Times New Roman"/>
          <w:i/>
          <w:sz w:val="24"/>
          <w:szCs w:val="24"/>
          <w:lang w:val="en-US"/>
        </w:rPr>
        <w:t>Scientific Reports</w:t>
      </w:r>
      <w:r w:rsidRPr="00B0507E">
        <w:rPr>
          <w:rFonts w:ascii="Times New Roman" w:hAnsi="Times New Roman" w:cs="Times New Roman"/>
          <w:sz w:val="24"/>
          <w:szCs w:val="24"/>
          <w:lang w:val="en-US"/>
        </w:rPr>
        <w:t xml:space="preserve">, 13. </w:t>
      </w:r>
      <w:hyperlink r:id="rId8" w:history="1">
        <w:r w:rsidRPr="00B0507E">
          <w:rPr>
            <w:rStyle w:val="Hyperlink"/>
            <w:rFonts w:ascii="Times New Roman" w:hAnsi="Times New Roman" w:cs="Times New Roman"/>
            <w:sz w:val="24"/>
            <w:szCs w:val="24"/>
            <w:lang w:val="en-US"/>
          </w:rPr>
          <w:t>https://doi.org/10.1038/s41598-023-43961-7</w:t>
        </w:r>
      </w:hyperlink>
    </w:p>
    <w:p w14:paraId="2DBAD829" w14:textId="77777777" w:rsidR="004E6675" w:rsidRPr="00282E09" w:rsidRDefault="004E6675" w:rsidP="004E6675">
      <w:pPr>
        <w:pStyle w:val="NormalWeb"/>
        <w:spacing w:before="0" w:beforeAutospacing="0" w:after="240" w:afterAutospacing="0"/>
        <w:ind w:left="720" w:hanging="720"/>
        <w:jc w:val="both"/>
        <w:rPr>
          <w:lang w:val="en-US"/>
        </w:rPr>
      </w:pPr>
      <w:r w:rsidRPr="00282E09">
        <w:rPr>
          <w:lang w:val="en-US"/>
        </w:rPr>
        <w:t xml:space="preserve">Baker, C. (2011). </w:t>
      </w:r>
      <w:r w:rsidRPr="00282E09">
        <w:rPr>
          <w:rStyle w:val="Emphasis"/>
          <w:lang w:val="en-US"/>
        </w:rPr>
        <w:t>Foundations of bilingual education and bilingualism</w:t>
      </w:r>
      <w:r w:rsidRPr="00282E09">
        <w:rPr>
          <w:lang w:val="en-US"/>
        </w:rPr>
        <w:t xml:space="preserve"> (5th ed.). Multilingual Matters.</w:t>
      </w:r>
    </w:p>
    <w:p w14:paraId="74035C0E" w14:textId="77777777" w:rsidR="004E6675" w:rsidRPr="00282E09" w:rsidRDefault="004E6675" w:rsidP="004E6675">
      <w:pPr>
        <w:pStyle w:val="NormalWeb"/>
        <w:spacing w:before="0" w:beforeAutospacing="0" w:after="240" w:afterAutospacing="0"/>
        <w:ind w:left="720" w:hanging="720"/>
        <w:jc w:val="both"/>
        <w:rPr>
          <w:lang w:val="en-US"/>
        </w:rPr>
      </w:pPr>
      <w:r w:rsidRPr="00282E09">
        <w:rPr>
          <w:lang w:val="en-US"/>
        </w:rPr>
        <w:t xml:space="preserve">Ball, J. (2011). </w:t>
      </w:r>
      <w:r w:rsidRPr="00282E09">
        <w:rPr>
          <w:rStyle w:val="Emphasis"/>
          <w:lang w:val="en-US"/>
        </w:rPr>
        <w:t>Enhancing learning of children from diverse language backgrounds: Mother tongue-based bilingual or multilingual education in early childhood</w:t>
      </w:r>
      <w:r w:rsidRPr="00282E09">
        <w:rPr>
          <w:lang w:val="en-US"/>
        </w:rPr>
        <w:t>. UNESCO.</w:t>
      </w:r>
      <w:r w:rsidRPr="00282E09">
        <w:rPr>
          <w:lang w:val="en-US"/>
        </w:rPr>
        <w:br/>
      </w:r>
      <w:hyperlink r:id="rId9" w:history="1">
        <w:r w:rsidR="002F28DF" w:rsidRPr="00282E09">
          <w:rPr>
            <w:rStyle w:val="Hyperlink"/>
            <w:lang w:val="en-US"/>
          </w:rPr>
          <w:t>https://unesdoc.unesco.org/ark:/48223/pf0000216078</w:t>
        </w:r>
      </w:hyperlink>
    </w:p>
    <w:p w14:paraId="3FEF8A02" w14:textId="77777777" w:rsidR="008347D8" w:rsidRDefault="008347D8" w:rsidP="008347D8">
      <w:pPr>
        <w:ind w:left="708" w:hanging="708"/>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Berndt, A. E. (2020). Sampling methods. </w:t>
      </w:r>
      <w:r>
        <w:rPr>
          <w:rFonts w:ascii="Times New Roman" w:hAnsi="Times New Roman" w:cs="Times New Roman"/>
          <w:i/>
          <w:iCs/>
          <w:color w:val="222222"/>
          <w:sz w:val="24"/>
          <w:szCs w:val="24"/>
          <w:shd w:val="clear" w:color="auto" w:fill="FFFFFF"/>
          <w:lang w:val="en-US"/>
        </w:rPr>
        <w:t>Journal of Human Lactation</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36</w:t>
      </w:r>
      <w:r>
        <w:rPr>
          <w:rFonts w:ascii="Times New Roman" w:hAnsi="Times New Roman" w:cs="Times New Roman"/>
          <w:color w:val="222222"/>
          <w:sz w:val="24"/>
          <w:szCs w:val="24"/>
          <w:shd w:val="clear" w:color="auto" w:fill="FFFFFF"/>
          <w:lang w:val="en-US"/>
        </w:rPr>
        <w:t xml:space="preserve">(2), 224-226. </w:t>
      </w:r>
      <w:hyperlink r:id="rId10" w:history="1">
        <w:r>
          <w:rPr>
            <w:rStyle w:val="Hyperlink"/>
            <w:rFonts w:ascii="Times New Roman" w:hAnsi="Times New Roman" w:cs="Times New Roman"/>
            <w:sz w:val="24"/>
            <w:szCs w:val="24"/>
            <w:shd w:val="clear" w:color="auto" w:fill="FFFFFF"/>
            <w:lang w:val="en-US"/>
          </w:rPr>
          <w:t>https://doi.org/10.1177/0890334420906850</w:t>
        </w:r>
      </w:hyperlink>
    </w:p>
    <w:p w14:paraId="638E518E" w14:textId="77777777" w:rsidR="007A6157" w:rsidRPr="00282E09" w:rsidRDefault="007A6157" w:rsidP="007A6157">
      <w:pPr>
        <w:ind w:left="708" w:hanging="708"/>
        <w:rPr>
          <w:rFonts w:ascii="Times New Roman" w:hAnsi="Times New Roman" w:cs="Times New Roman"/>
          <w:color w:val="222222"/>
          <w:sz w:val="24"/>
          <w:szCs w:val="24"/>
          <w:shd w:val="clear" w:color="auto" w:fill="FFFFFF"/>
          <w:lang w:val="en-US"/>
        </w:rPr>
      </w:pPr>
      <w:r w:rsidRPr="00282E09">
        <w:rPr>
          <w:rFonts w:ascii="Times New Roman" w:hAnsi="Times New Roman" w:cs="Times New Roman"/>
          <w:color w:val="222222"/>
          <w:sz w:val="24"/>
          <w:szCs w:val="24"/>
          <w:shd w:val="clear" w:color="auto" w:fill="FFFFFF"/>
          <w:lang w:val="en-US"/>
        </w:rPr>
        <w:t>Cabral, E., &amp; Martin-Jones, M. (2021). Critical ethnography of language policy in the global south: insights from research in Timor-Leste. </w:t>
      </w:r>
      <w:r w:rsidRPr="009F3A1C">
        <w:rPr>
          <w:rFonts w:ascii="Times New Roman" w:hAnsi="Times New Roman" w:cs="Times New Roman"/>
          <w:i/>
          <w:iCs/>
          <w:color w:val="222222"/>
          <w:sz w:val="24"/>
          <w:szCs w:val="24"/>
          <w:shd w:val="clear" w:color="auto" w:fill="FFFFFF"/>
          <w:lang w:val="en-US"/>
        </w:rPr>
        <w:t>Language Policy</w:t>
      </w:r>
      <w:r w:rsidRPr="009F3A1C">
        <w:rPr>
          <w:rFonts w:ascii="Times New Roman" w:hAnsi="Times New Roman" w:cs="Times New Roman"/>
          <w:color w:val="222222"/>
          <w:sz w:val="24"/>
          <w:szCs w:val="24"/>
          <w:shd w:val="clear" w:color="auto" w:fill="FFFFFF"/>
          <w:lang w:val="en-US"/>
        </w:rPr>
        <w:t>, </w:t>
      </w:r>
      <w:r w:rsidRPr="009F3A1C">
        <w:rPr>
          <w:rFonts w:ascii="Times New Roman" w:hAnsi="Times New Roman" w:cs="Times New Roman"/>
          <w:i/>
          <w:iCs/>
          <w:color w:val="222222"/>
          <w:sz w:val="24"/>
          <w:szCs w:val="24"/>
          <w:shd w:val="clear" w:color="auto" w:fill="FFFFFF"/>
          <w:lang w:val="en-US"/>
        </w:rPr>
        <w:t>20</w:t>
      </w:r>
      <w:r w:rsidRPr="009F3A1C">
        <w:rPr>
          <w:rFonts w:ascii="Times New Roman" w:hAnsi="Times New Roman" w:cs="Times New Roman"/>
          <w:color w:val="222222"/>
          <w:sz w:val="24"/>
          <w:szCs w:val="24"/>
          <w:shd w:val="clear" w:color="auto" w:fill="FFFFFF"/>
          <w:lang w:val="en-US"/>
        </w:rPr>
        <w:t xml:space="preserve">(1), 1-25. </w:t>
      </w:r>
      <w:hyperlink r:id="rId11" w:history="1">
        <w:r w:rsidRPr="00282E09">
          <w:rPr>
            <w:rStyle w:val="Hyperlink"/>
            <w:rFonts w:ascii="Times New Roman" w:hAnsi="Times New Roman" w:cs="Times New Roman"/>
            <w:sz w:val="24"/>
            <w:szCs w:val="24"/>
            <w:shd w:val="clear" w:color="auto" w:fill="FFFFFF"/>
            <w:lang w:val="en-US"/>
          </w:rPr>
          <w:t>https://doi.org/10.1007/s10993-020-09570-0</w:t>
        </w:r>
      </w:hyperlink>
    </w:p>
    <w:p w14:paraId="65DBA4D4" w14:textId="77777777" w:rsidR="00071096" w:rsidRPr="00282E09" w:rsidRDefault="00071096" w:rsidP="00071096">
      <w:pPr>
        <w:ind w:left="708" w:hanging="708"/>
        <w:rPr>
          <w:rFonts w:ascii="Times New Roman" w:hAnsi="Times New Roman" w:cs="Times New Roman"/>
          <w:color w:val="000000"/>
          <w:sz w:val="24"/>
          <w:szCs w:val="24"/>
          <w:shd w:val="clear" w:color="auto" w:fill="FFFFFF"/>
          <w:lang w:val="en-US"/>
        </w:rPr>
      </w:pPr>
      <w:r w:rsidRPr="00282E09">
        <w:rPr>
          <w:rStyle w:val="Strong"/>
          <w:rFonts w:ascii="Times New Roman" w:hAnsi="Times New Roman" w:cs="Times New Roman"/>
          <w:b w:val="0"/>
          <w:sz w:val="24"/>
          <w:szCs w:val="24"/>
          <w:lang w:val="en-US"/>
        </w:rPr>
        <w:t>Chainey, J., &amp; Cassity, E. (2021).</w:t>
      </w:r>
      <w:r w:rsidRPr="00282E09">
        <w:rPr>
          <w:rFonts w:ascii="Times New Roman" w:hAnsi="Times New Roman" w:cs="Times New Roman"/>
          <w:sz w:val="24"/>
          <w:szCs w:val="24"/>
          <w:lang w:val="en-US"/>
        </w:rPr>
        <w:t xml:space="preserve"> </w:t>
      </w:r>
      <w:r w:rsidRPr="00282E09">
        <w:rPr>
          <w:rStyle w:val="Emphasis"/>
          <w:rFonts w:ascii="Times New Roman" w:hAnsi="Times New Roman" w:cs="Times New Roman"/>
          <w:sz w:val="24"/>
          <w:szCs w:val="24"/>
          <w:lang w:val="en-US"/>
        </w:rPr>
        <w:t>Timor</w:t>
      </w:r>
      <w:r w:rsidRPr="00282E09">
        <w:rPr>
          <w:rStyle w:val="Emphasis"/>
          <w:rFonts w:ascii="Times New Roman" w:hAnsi="Times New Roman" w:cs="Times New Roman"/>
          <w:sz w:val="24"/>
          <w:szCs w:val="24"/>
          <w:lang w:val="en-US"/>
        </w:rPr>
        <w:noBreakHyphen/>
        <w:t>Leste: Policy insights from a multi-year teaching and learning study series</w:t>
      </w:r>
      <w:r w:rsidRPr="00282E09">
        <w:rPr>
          <w:rFonts w:ascii="Times New Roman" w:hAnsi="Times New Roman" w:cs="Times New Roman"/>
          <w:sz w:val="24"/>
          <w:szCs w:val="24"/>
          <w:lang w:val="en-US"/>
        </w:rPr>
        <w:t xml:space="preserve">. Australian Council for Educational Research. </w:t>
      </w:r>
      <w:hyperlink r:id="rId12" w:history="1">
        <w:r w:rsidRPr="00282E09">
          <w:rPr>
            <w:rStyle w:val="Hyperlink"/>
            <w:rFonts w:ascii="Times New Roman" w:hAnsi="Times New Roman" w:cs="Times New Roman"/>
            <w:sz w:val="24"/>
            <w:szCs w:val="24"/>
            <w:shd w:val="clear" w:color="auto" w:fill="FFFFFF"/>
            <w:lang w:val="en-US"/>
          </w:rPr>
          <w:t>https://research.acer.edu.au/eas/41</w:t>
        </w:r>
      </w:hyperlink>
    </w:p>
    <w:p w14:paraId="364F369A" w14:textId="77777777" w:rsidR="008347D8" w:rsidRDefault="008347D8" w:rsidP="008347D8">
      <w:pPr>
        <w:pStyle w:val="NormalWeb"/>
        <w:rPr>
          <w:color w:val="222222"/>
          <w:shd w:val="clear" w:color="auto" w:fill="FFFFFF"/>
          <w:lang w:val="en-US"/>
        </w:rPr>
      </w:pPr>
      <w:r>
        <w:rPr>
          <w:color w:val="222222"/>
          <w:shd w:val="clear" w:color="auto" w:fill="FFFFFF"/>
          <w:lang w:val="en-US"/>
        </w:rPr>
        <w:t>Casella, G., &amp; Berger, R. (2024). </w:t>
      </w:r>
      <w:r>
        <w:rPr>
          <w:i/>
          <w:iCs/>
          <w:color w:val="222222"/>
          <w:shd w:val="clear" w:color="auto" w:fill="FFFFFF"/>
          <w:lang w:val="en-US"/>
        </w:rPr>
        <w:t>Statistical inference</w:t>
      </w:r>
      <w:r>
        <w:rPr>
          <w:color w:val="222222"/>
          <w:shd w:val="clear" w:color="auto" w:fill="FFFFFF"/>
          <w:lang w:val="en-US"/>
        </w:rPr>
        <w:t>. Chapman and Hall/CRC.</w:t>
      </w:r>
    </w:p>
    <w:p w14:paraId="17EE86C4" w14:textId="77777777" w:rsidR="004E6675" w:rsidRPr="00282E09" w:rsidRDefault="004E6675" w:rsidP="004E6675">
      <w:pPr>
        <w:pStyle w:val="NormalWeb"/>
        <w:spacing w:before="0" w:beforeAutospacing="0" w:after="240" w:afterAutospacing="0"/>
        <w:ind w:left="720" w:hanging="720"/>
        <w:jc w:val="both"/>
        <w:rPr>
          <w:lang w:val="en-US"/>
        </w:rPr>
      </w:pPr>
      <w:r w:rsidRPr="00282E09">
        <w:rPr>
          <w:lang w:val="en-US"/>
        </w:rPr>
        <w:t xml:space="preserve">Cummins, J. (1979). Cognitive/academic language proficiency, linguistic interdependence, the optimum age question and some other matters. </w:t>
      </w:r>
      <w:r w:rsidRPr="00282E09">
        <w:rPr>
          <w:rStyle w:val="Emphasis"/>
          <w:lang w:val="en-US"/>
        </w:rPr>
        <w:t>Working Papers on Bilingualism</w:t>
      </w:r>
      <w:r w:rsidRPr="00282E09">
        <w:rPr>
          <w:lang w:val="en-US"/>
        </w:rPr>
        <w:t xml:space="preserve">, </w:t>
      </w:r>
      <w:r w:rsidRPr="00282E09">
        <w:rPr>
          <w:rStyle w:val="Emphasis"/>
          <w:lang w:val="en-US"/>
        </w:rPr>
        <w:t>19</w:t>
      </w:r>
      <w:r w:rsidRPr="00282E09">
        <w:rPr>
          <w:lang w:val="en-US"/>
        </w:rPr>
        <w:t>, 121–129.</w:t>
      </w:r>
      <w:r w:rsidR="002F28DF" w:rsidRPr="00282E09">
        <w:rPr>
          <w:lang w:val="en-US"/>
        </w:rPr>
        <w:t xml:space="preserve"> </w:t>
      </w:r>
      <w:hyperlink r:id="rId13" w:history="1">
        <w:r w:rsidR="002F28DF" w:rsidRPr="00282E09">
          <w:rPr>
            <w:rStyle w:val="Hyperlink"/>
            <w:lang w:val="en-US"/>
          </w:rPr>
          <w:t>https://eric.ed.gov/?id=ED184334</w:t>
        </w:r>
      </w:hyperlink>
    </w:p>
    <w:p w14:paraId="34B4D85B" w14:textId="77777777" w:rsidR="004E6675" w:rsidRPr="009F3A1C" w:rsidRDefault="004E6675" w:rsidP="004E6675">
      <w:pPr>
        <w:pStyle w:val="NormalWeb"/>
        <w:spacing w:before="0" w:beforeAutospacing="0" w:after="240" w:afterAutospacing="0"/>
        <w:ind w:left="720" w:hanging="720"/>
        <w:jc w:val="both"/>
        <w:rPr>
          <w:color w:val="232323"/>
          <w:shd w:val="clear" w:color="auto" w:fill="FFFFFF"/>
          <w:lang w:val="en-US"/>
        </w:rPr>
      </w:pPr>
      <w:r w:rsidRPr="00282E09">
        <w:rPr>
          <w:lang w:val="en-US"/>
        </w:rPr>
        <w:t xml:space="preserve">Cummins, J. (2000). </w:t>
      </w:r>
      <w:r w:rsidRPr="00282E09">
        <w:rPr>
          <w:rStyle w:val="Emphasis"/>
          <w:lang w:val="en-US"/>
        </w:rPr>
        <w:t>Language, power and pedagogy: Bilingual children in the crossfire</w:t>
      </w:r>
      <w:r w:rsidRPr="00282E09">
        <w:rPr>
          <w:lang w:val="en-US"/>
        </w:rPr>
        <w:t xml:space="preserve"> (Vol. 23). Multilingual Matters. </w:t>
      </w:r>
      <w:hyperlink r:id="rId14" w:history="1">
        <w:r w:rsidR="002F28DF" w:rsidRPr="009F3A1C">
          <w:rPr>
            <w:rStyle w:val="Hyperlink"/>
            <w:shd w:val="clear" w:color="auto" w:fill="FFFFFF"/>
            <w:lang w:val="en-US"/>
          </w:rPr>
          <w:t>https://doi.org/10.21832/9781853596773</w:t>
        </w:r>
      </w:hyperlink>
    </w:p>
    <w:p w14:paraId="18DCFC05" w14:textId="77777777" w:rsidR="00273A8C" w:rsidRPr="00A23014" w:rsidRDefault="00273A8C" w:rsidP="00273A8C">
      <w:pPr>
        <w:spacing w:after="120" w:line="240" w:lineRule="auto"/>
        <w:ind w:left="708" w:hanging="708"/>
        <w:jc w:val="both"/>
        <w:rPr>
          <w:rFonts w:ascii="Times New Roman" w:hAnsi="Times New Roman" w:cs="Times New Roman"/>
          <w:color w:val="222222"/>
          <w:sz w:val="24"/>
          <w:szCs w:val="24"/>
          <w:shd w:val="clear" w:color="auto" w:fill="FFFFFF"/>
          <w:lang w:val="en-US"/>
        </w:rPr>
      </w:pPr>
      <w:r w:rsidRPr="00A23014">
        <w:rPr>
          <w:rFonts w:ascii="Times New Roman" w:hAnsi="Times New Roman" w:cs="Times New Roman"/>
          <w:color w:val="222222"/>
          <w:sz w:val="24"/>
          <w:szCs w:val="24"/>
          <w:shd w:val="clear" w:color="auto" w:fill="FFFFFF"/>
          <w:lang w:val="en-US"/>
        </w:rPr>
        <w:t>Croucher, S. M., &amp; Cronn-Mills, D. (2021). Inferential statistics. In </w:t>
      </w:r>
      <w:r w:rsidRPr="00A23014">
        <w:rPr>
          <w:rFonts w:ascii="Times New Roman" w:hAnsi="Times New Roman" w:cs="Times New Roman"/>
          <w:i/>
          <w:iCs/>
          <w:color w:val="222222"/>
          <w:sz w:val="24"/>
          <w:szCs w:val="24"/>
          <w:shd w:val="clear" w:color="auto" w:fill="FFFFFF"/>
          <w:lang w:val="en-US"/>
        </w:rPr>
        <w:t>Understanding Communication Research Methods</w:t>
      </w:r>
      <w:r w:rsidRPr="00A23014">
        <w:rPr>
          <w:rFonts w:ascii="Times New Roman" w:hAnsi="Times New Roman" w:cs="Times New Roman"/>
          <w:color w:val="222222"/>
          <w:sz w:val="24"/>
          <w:szCs w:val="24"/>
          <w:shd w:val="clear" w:color="auto" w:fill="FFFFFF"/>
          <w:lang w:val="en-US"/>
        </w:rPr>
        <w:t> (pp. 221-248). Routledge.</w:t>
      </w:r>
    </w:p>
    <w:p w14:paraId="70BD00F0" w14:textId="77777777" w:rsidR="004E6675" w:rsidRPr="00282E09" w:rsidRDefault="004E6675" w:rsidP="004E6675">
      <w:pPr>
        <w:pStyle w:val="NormalWeb"/>
        <w:spacing w:before="0" w:beforeAutospacing="0" w:after="240" w:afterAutospacing="0"/>
        <w:ind w:left="720" w:hanging="720"/>
        <w:jc w:val="both"/>
        <w:rPr>
          <w:lang w:val="en-US"/>
        </w:rPr>
      </w:pPr>
      <w:r w:rsidRPr="00CD07C6">
        <w:rPr>
          <w:color w:val="222222"/>
          <w:shd w:val="clear" w:color="auto" w:fill="FFFFFF"/>
          <w:lang w:val="en-US"/>
        </w:rPr>
        <w:t xml:space="preserve">da Costa Cabral, I. (2021). </w:t>
      </w:r>
      <w:r w:rsidRPr="00282E09">
        <w:rPr>
          <w:color w:val="222222"/>
          <w:shd w:val="clear" w:color="auto" w:fill="FFFFFF"/>
          <w:lang w:val="en-US"/>
        </w:rPr>
        <w:t>From discourses about language-in-education policy to language practices in the classroom—a linguistic ethnographic study of a multi-scalar nature in Timor-Leste. </w:t>
      </w:r>
      <w:r w:rsidRPr="00282E09">
        <w:rPr>
          <w:i/>
          <w:iCs/>
          <w:color w:val="222222"/>
          <w:shd w:val="clear" w:color="auto" w:fill="FFFFFF"/>
          <w:lang w:val="en-US"/>
        </w:rPr>
        <w:t>Language Policy</w:t>
      </w:r>
      <w:r w:rsidRPr="00282E09">
        <w:rPr>
          <w:color w:val="222222"/>
          <w:shd w:val="clear" w:color="auto" w:fill="FFFFFF"/>
          <w:lang w:val="en-US"/>
        </w:rPr>
        <w:t>, </w:t>
      </w:r>
      <w:r w:rsidRPr="00282E09">
        <w:rPr>
          <w:i/>
          <w:iCs/>
          <w:color w:val="222222"/>
          <w:shd w:val="clear" w:color="auto" w:fill="FFFFFF"/>
          <w:lang w:val="en-US"/>
        </w:rPr>
        <w:t>20</w:t>
      </w:r>
      <w:r w:rsidRPr="00282E09">
        <w:rPr>
          <w:color w:val="222222"/>
          <w:shd w:val="clear" w:color="auto" w:fill="FFFFFF"/>
          <w:lang w:val="en-US"/>
        </w:rPr>
        <w:t>(1), 27-52.</w:t>
      </w:r>
      <w:r w:rsidR="008108B6">
        <w:rPr>
          <w:color w:val="222222"/>
          <w:shd w:val="clear" w:color="auto" w:fill="FFFFFF"/>
          <w:lang w:val="en-US"/>
        </w:rPr>
        <w:t xml:space="preserve"> </w:t>
      </w:r>
      <w:hyperlink r:id="rId15" w:history="1">
        <w:r w:rsidR="002F28DF" w:rsidRPr="00282E09">
          <w:rPr>
            <w:rStyle w:val="Hyperlink"/>
            <w:lang w:val="en-US"/>
          </w:rPr>
          <w:t>https://doi.org/10.1007/s10993-020-09563-z</w:t>
        </w:r>
      </w:hyperlink>
    </w:p>
    <w:p w14:paraId="1DD9EF13" w14:textId="77777777" w:rsidR="001F2ACD" w:rsidRPr="001F2ACD" w:rsidRDefault="001F2ACD" w:rsidP="001F2ACD">
      <w:pPr>
        <w:ind w:left="708" w:hanging="708"/>
        <w:rPr>
          <w:rFonts w:ascii="Times New Roman" w:hAnsi="Times New Roman" w:cs="Times New Roman"/>
          <w:color w:val="222222"/>
          <w:sz w:val="24"/>
          <w:szCs w:val="24"/>
          <w:shd w:val="clear" w:color="auto" w:fill="FFFFFF"/>
        </w:rPr>
      </w:pPr>
      <w:r w:rsidRPr="00B0507E">
        <w:rPr>
          <w:rFonts w:ascii="Times New Roman" w:hAnsi="Times New Roman" w:cs="Times New Roman"/>
          <w:color w:val="222222"/>
          <w:sz w:val="24"/>
          <w:szCs w:val="24"/>
          <w:shd w:val="clear" w:color="auto" w:fill="FFFFFF"/>
          <w:lang w:val="en-US"/>
        </w:rPr>
        <w:t>dos Reis, P. M. F. (2024). </w:t>
      </w:r>
      <w:r w:rsidRPr="00C30A5E">
        <w:rPr>
          <w:rFonts w:ascii="Times New Roman" w:hAnsi="Times New Roman" w:cs="Times New Roman"/>
          <w:i/>
          <w:iCs/>
          <w:color w:val="222222"/>
          <w:sz w:val="24"/>
          <w:szCs w:val="24"/>
          <w:shd w:val="clear" w:color="auto" w:fill="FFFFFF"/>
        </w:rPr>
        <w:t>Aquisição de uma segunda língua e erosão da língua materna na infância: um estudo de caso no contexto timorense</w:t>
      </w:r>
      <w:r w:rsidRPr="00C30A5E">
        <w:rPr>
          <w:rFonts w:ascii="Times New Roman" w:hAnsi="Times New Roman" w:cs="Times New Roman"/>
          <w:color w:val="222222"/>
          <w:sz w:val="24"/>
          <w:szCs w:val="24"/>
          <w:shd w:val="clear" w:color="auto" w:fill="FFFFFF"/>
        </w:rPr>
        <w:t> (Master's thesis</w:t>
      </w:r>
      <w:r>
        <w:rPr>
          <w:rFonts w:ascii="Times New Roman" w:hAnsi="Times New Roman" w:cs="Times New Roman"/>
          <w:color w:val="222222"/>
          <w:sz w:val="24"/>
          <w:szCs w:val="24"/>
          <w:shd w:val="clear" w:color="auto" w:fill="FFFFFF"/>
        </w:rPr>
        <w:t xml:space="preserve"> published</w:t>
      </w:r>
      <w:r w:rsidRPr="00C30A5E">
        <w:rPr>
          <w:rFonts w:ascii="Times New Roman" w:hAnsi="Times New Roman" w:cs="Times New Roman"/>
          <w:color w:val="222222"/>
          <w:sz w:val="24"/>
          <w:szCs w:val="24"/>
          <w:shd w:val="clear" w:color="auto" w:fill="FFFFFF"/>
        </w:rPr>
        <w:t xml:space="preserve">). Universidade do Minho, Portugal. </w:t>
      </w:r>
      <w:hyperlink r:id="rId16" w:history="1">
        <w:r w:rsidRPr="001F2ACD">
          <w:rPr>
            <w:rStyle w:val="Hyperlink"/>
            <w:rFonts w:ascii="Times New Roman" w:hAnsi="Times New Roman" w:cs="Times New Roman"/>
            <w:sz w:val="24"/>
            <w:szCs w:val="24"/>
            <w:shd w:val="clear" w:color="auto" w:fill="FFFFFF"/>
          </w:rPr>
          <w:t>https://hdl.handle.net/1822/91000</w:t>
        </w:r>
      </w:hyperlink>
    </w:p>
    <w:p w14:paraId="4CB5775B" w14:textId="77777777" w:rsidR="001F2ACD" w:rsidRDefault="001F2ACD" w:rsidP="001F2ACD">
      <w:pPr>
        <w:ind w:left="708" w:hanging="708"/>
        <w:rPr>
          <w:rFonts w:ascii="Times New Roman" w:hAnsi="Times New Roman" w:cs="Times New Roman"/>
          <w:color w:val="222222"/>
          <w:sz w:val="24"/>
          <w:szCs w:val="24"/>
          <w:shd w:val="clear" w:color="auto" w:fill="FFFFFF"/>
          <w:lang w:val="en-US"/>
        </w:rPr>
      </w:pPr>
      <w:r w:rsidRPr="00C30A5E">
        <w:rPr>
          <w:rFonts w:ascii="Times New Roman" w:hAnsi="Times New Roman" w:cs="Times New Roman"/>
          <w:color w:val="222222"/>
          <w:sz w:val="24"/>
          <w:szCs w:val="24"/>
          <w:shd w:val="clear" w:color="auto" w:fill="FFFFFF"/>
        </w:rPr>
        <w:t xml:space="preserve">da Fonseca, S., da Costa Tilman, R., Martins, A. C. D. J. S., Martins, F. M., Araújo, A. G. C. R., &amp; Tilman, C. B. (2025). </w:t>
      </w:r>
      <w:r w:rsidRPr="00C30A5E">
        <w:rPr>
          <w:rFonts w:ascii="Times New Roman" w:hAnsi="Times New Roman" w:cs="Times New Roman"/>
          <w:color w:val="222222"/>
          <w:sz w:val="24"/>
          <w:szCs w:val="24"/>
          <w:shd w:val="clear" w:color="auto" w:fill="FFFFFF"/>
          <w:lang w:val="en-US"/>
        </w:rPr>
        <w:t xml:space="preserve">Teaching of the </w:t>
      </w:r>
      <w:proofErr w:type="spellStart"/>
      <w:r w:rsidR="00AA0556" w:rsidRPr="00C30A5E">
        <w:rPr>
          <w:rFonts w:ascii="Times New Roman" w:hAnsi="Times New Roman" w:cs="Times New Roman"/>
          <w:color w:val="222222"/>
          <w:sz w:val="24"/>
          <w:szCs w:val="24"/>
          <w:shd w:val="clear" w:color="auto" w:fill="FFFFFF"/>
          <w:lang w:val="en-US"/>
        </w:rPr>
        <w:t>portuguese</w:t>
      </w:r>
      <w:proofErr w:type="spellEnd"/>
      <w:r w:rsidR="00AA0556" w:rsidRPr="00C30A5E">
        <w:rPr>
          <w:rFonts w:ascii="Times New Roman" w:hAnsi="Times New Roman" w:cs="Times New Roman"/>
          <w:color w:val="222222"/>
          <w:sz w:val="24"/>
          <w:szCs w:val="24"/>
          <w:shd w:val="clear" w:color="auto" w:fill="FFFFFF"/>
          <w:lang w:val="en-US"/>
        </w:rPr>
        <w:t xml:space="preserve"> language </w:t>
      </w:r>
      <w:r w:rsidRPr="00C30A5E">
        <w:rPr>
          <w:rFonts w:ascii="Times New Roman" w:hAnsi="Times New Roman" w:cs="Times New Roman"/>
          <w:color w:val="222222"/>
          <w:sz w:val="24"/>
          <w:szCs w:val="24"/>
          <w:shd w:val="clear" w:color="auto" w:fill="FFFFFF"/>
          <w:lang w:val="en-US"/>
        </w:rPr>
        <w:t xml:space="preserve">in Timor-Leste </w:t>
      </w:r>
      <w:r w:rsidR="00AA0556" w:rsidRPr="00C30A5E">
        <w:rPr>
          <w:rFonts w:ascii="Times New Roman" w:hAnsi="Times New Roman" w:cs="Times New Roman"/>
          <w:color w:val="222222"/>
          <w:sz w:val="24"/>
          <w:szCs w:val="24"/>
          <w:shd w:val="clear" w:color="auto" w:fill="FFFFFF"/>
          <w:lang w:val="en-US"/>
        </w:rPr>
        <w:t xml:space="preserve">school multilinguist context </w:t>
      </w:r>
      <w:r w:rsidRPr="00C30A5E">
        <w:rPr>
          <w:rFonts w:ascii="Times New Roman" w:hAnsi="Times New Roman" w:cs="Times New Roman"/>
          <w:color w:val="222222"/>
          <w:sz w:val="24"/>
          <w:szCs w:val="24"/>
          <w:shd w:val="clear" w:color="auto" w:fill="FFFFFF"/>
          <w:lang w:val="en-US"/>
        </w:rPr>
        <w:t>to harmonization in future (2025). </w:t>
      </w:r>
      <w:r w:rsidRPr="00C30A5E">
        <w:rPr>
          <w:rFonts w:ascii="Times New Roman" w:hAnsi="Times New Roman" w:cs="Times New Roman"/>
          <w:i/>
          <w:iCs/>
          <w:color w:val="222222"/>
          <w:sz w:val="24"/>
          <w:szCs w:val="24"/>
          <w:shd w:val="clear" w:color="auto" w:fill="FFFFFF"/>
          <w:lang w:val="en-US"/>
        </w:rPr>
        <w:t>American Journal of Medical and Clinical Research &amp; Reviews</w:t>
      </w:r>
      <w:r w:rsidRPr="00C30A5E">
        <w:rPr>
          <w:rFonts w:ascii="Times New Roman" w:hAnsi="Times New Roman" w:cs="Times New Roman"/>
          <w:color w:val="222222"/>
          <w:sz w:val="24"/>
          <w:szCs w:val="24"/>
          <w:shd w:val="clear" w:color="auto" w:fill="FFFFFF"/>
          <w:lang w:val="en-US"/>
        </w:rPr>
        <w:t>, </w:t>
      </w:r>
      <w:r w:rsidRPr="00C30A5E">
        <w:rPr>
          <w:rFonts w:ascii="Times New Roman" w:hAnsi="Times New Roman" w:cs="Times New Roman"/>
          <w:i/>
          <w:iCs/>
          <w:color w:val="222222"/>
          <w:sz w:val="24"/>
          <w:szCs w:val="24"/>
          <w:shd w:val="clear" w:color="auto" w:fill="FFFFFF"/>
          <w:lang w:val="en-US"/>
        </w:rPr>
        <w:t>4</w:t>
      </w:r>
      <w:r w:rsidRPr="00C30A5E">
        <w:rPr>
          <w:rFonts w:ascii="Times New Roman" w:hAnsi="Times New Roman" w:cs="Times New Roman"/>
          <w:color w:val="222222"/>
          <w:sz w:val="24"/>
          <w:szCs w:val="24"/>
          <w:shd w:val="clear" w:color="auto" w:fill="FFFFFF"/>
          <w:lang w:val="en-US"/>
        </w:rPr>
        <w:t xml:space="preserve">(3), 1-14. </w:t>
      </w:r>
      <w:hyperlink r:id="rId17" w:history="1">
        <w:r w:rsidRPr="00BC33D1">
          <w:rPr>
            <w:rStyle w:val="Hyperlink"/>
            <w:rFonts w:ascii="Times New Roman" w:hAnsi="Times New Roman" w:cs="Times New Roman"/>
            <w:sz w:val="24"/>
            <w:szCs w:val="24"/>
            <w:shd w:val="clear" w:color="auto" w:fill="FFFFFF"/>
            <w:lang w:val="en-US"/>
          </w:rPr>
          <w:t>https://doi.org/10.58372/2835-6276.1274</w:t>
        </w:r>
      </w:hyperlink>
    </w:p>
    <w:p w14:paraId="68B0B486" w14:textId="77777777" w:rsidR="00683F6E" w:rsidRDefault="005349F6" w:rsidP="00683F6E">
      <w:pPr>
        <w:spacing w:after="0" w:line="240" w:lineRule="auto"/>
        <w:ind w:left="709" w:hanging="709"/>
        <w:jc w:val="both"/>
        <w:rPr>
          <w:rFonts w:ascii="Times New Roman" w:hAnsi="Times New Roman" w:cs="Times New Roman"/>
          <w:color w:val="222222"/>
          <w:sz w:val="24"/>
          <w:szCs w:val="24"/>
          <w:shd w:val="clear" w:color="auto" w:fill="FFFFFF"/>
          <w:lang w:val="en-US"/>
        </w:rPr>
      </w:pPr>
      <w:r w:rsidRPr="00232411">
        <w:rPr>
          <w:rFonts w:ascii="Times New Roman" w:hAnsi="Times New Roman" w:cs="Times New Roman"/>
          <w:color w:val="222222"/>
          <w:sz w:val="24"/>
          <w:szCs w:val="24"/>
          <w:shd w:val="clear" w:color="auto" w:fill="FFFFFF"/>
        </w:rPr>
        <w:t xml:space="preserve">Du, W., Alias, B. S., &amp; Wahab, J. L. A. (2025). </w:t>
      </w:r>
      <w:r w:rsidRPr="003A5EC2">
        <w:rPr>
          <w:rFonts w:ascii="Times New Roman" w:hAnsi="Times New Roman" w:cs="Times New Roman"/>
          <w:color w:val="222222"/>
          <w:sz w:val="24"/>
          <w:szCs w:val="24"/>
          <w:shd w:val="clear" w:color="auto" w:fill="FFFFFF"/>
          <w:lang w:val="en-US"/>
        </w:rPr>
        <w:t>Ensuring Accuracy: Calculating the Content Validity Index for Teacher Job Satisfaction Surveys among Henan private universities in China. </w:t>
      </w:r>
      <w:r w:rsidRPr="005349F6">
        <w:rPr>
          <w:rFonts w:ascii="Times New Roman" w:hAnsi="Times New Roman" w:cs="Times New Roman"/>
          <w:i/>
          <w:iCs/>
          <w:color w:val="222222"/>
          <w:sz w:val="24"/>
          <w:szCs w:val="24"/>
          <w:shd w:val="clear" w:color="auto" w:fill="FFFFFF"/>
          <w:lang w:val="en-US"/>
        </w:rPr>
        <w:t>Journal of Posthumanism</w:t>
      </w:r>
      <w:r w:rsidRPr="005349F6">
        <w:rPr>
          <w:rFonts w:ascii="Times New Roman" w:hAnsi="Times New Roman" w:cs="Times New Roman"/>
          <w:color w:val="222222"/>
          <w:sz w:val="24"/>
          <w:szCs w:val="24"/>
          <w:shd w:val="clear" w:color="auto" w:fill="FFFFFF"/>
          <w:lang w:val="en-US"/>
        </w:rPr>
        <w:t>, </w:t>
      </w:r>
      <w:r w:rsidRPr="005349F6">
        <w:rPr>
          <w:rFonts w:ascii="Times New Roman" w:hAnsi="Times New Roman" w:cs="Times New Roman"/>
          <w:i/>
          <w:iCs/>
          <w:color w:val="222222"/>
          <w:sz w:val="24"/>
          <w:szCs w:val="24"/>
          <w:shd w:val="clear" w:color="auto" w:fill="FFFFFF"/>
          <w:lang w:val="en-US"/>
        </w:rPr>
        <w:t>5</w:t>
      </w:r>
      <w:r w:rsidRPr="005349F6">
        <w:rPr>
          <w:rFonts w:ascii="Times New Roman" w:hAnsi="Times New Roman" w:cs="Times New Roman"/>
          <w:color w:val="222222"/>
          <w:sz w:val="24"/>
          <w:szCs w:val="24"/>
          <w:shd w:val="clear" w:color="auto" w:fill="FFFFFF"/>
          <w:lang w:val="en-US"/>
        </w:rPr>
        <w:t xml:space="preserve">(3), 391-408. </w:t>
      </w:r>
    </w:p>
    <w:p w14:paraId="5E0A6A0B" w14:textId="77777777" w:rsidR="005349F6" w:rsidRPr="005349F6" w:rsidRDefault="008E1E60" w:rsidP="00683F6E">
      <w:pPr>
        <w:ind w:left="708"/>
        <w:jc w:val="both"/>
        <w:rPr>
          <w:rFonts w:ascii="Times New Roman" w:hAnsi="Times New Roman" w:cs="Times New Roman"/>
          <w:color w:val="222222"/>
          <w:sz w:val="24"/>
          <w:szCs w:val="24"/>
          <w:shd w:val="clear" w:color="auto" w:fill="FFFFFF"/>
          <w:lang w:val="en-US"/>
        </w:rPr>
      </w:pPr>
      <w:hyperlink r:id="rId18" w:history="1">
        <w:r w:rsidR="008108B6" w:rsidRPr="005C5293">
          <w:rPr>
            <w:rStyle w:val="Hyperlink"/>
            <w:rFonts w:ascii="Times New Roman" w:hAnsi="Times New Roman" w:cs="Times New Roman"/>
            <w:sz w:val="24"/>
            <w:szCs w:val="24"/>
            <w:shd w:val="clear" w:color="auto" w:fill="FFFFFF"/>
            <w:lang w:val="en-US"/>
          </w:rPr>
          <w:t>https://doi.org/10.63332/joph.v5i3.745</w:t>
        </w:r>
      </w:hyperlink>
    </w:p>
    <w:p w14:paraId="50932161" w14:textId="77777777" w:rsidR="005349F6" w:rsidRPr="00CD07C6" w:rsidRDefault="005349F6" w:rsidP="005349F6">
      <w:pPr>
        <w:spacing w:after="0" w:line="240" w:lineRule="auto"/>
        <w:ind w:left="708" w:hanging="708"/>
        <w:jc w:val="both"/>
        <w:rPr>
          <w:rFonts w:ascii="Times New Roman" w:hAnsi="Times New Roman" w:cs="Times New Roman"/>
          <w:color w:val="222222"/>
          <w:sz w:val="24"/>
          <w:szCs w:val="24"/>
          <w:shd w:val="clear" w:color="auto" w:fill="FFFFFF"/>
          <w:lang w:val="en-US"/>
        </w:rPr>
      </w:pPr>
      <w:r w:rsidRPr="003A5EC2">
        <w:rPr>
          <w:rFonts w:ascii="Times New Roman" w:hAnsi="Times New Roman" w:cs="Times New Roman"/>
          <w:color w:val="222222"/>
          <w:sz w:val="24"/>
          <w:szCs w:val="24"/>
          <w:shd w:val="clear" w:color="auto" w:fill="FFFFFF"/>
          <w:lang w:val="en-US"/>
        </w:rPr>
        <w:lastRenderedPageBreak/>
        <w:t>Elangovan, N., &amp; Sundaravel, E. (2021). Method of preparing a document for survey instrument validation by experts. </w:t>
      </w:r>
      <w:r w:rsidRPr="00CD07C6">
        <w:rPr>
          <w:rFonts w:ascii="Times New Roman" w:hAnsi="Times New Roman" w:cs="Times New Roman"/>
          <w:i/>
          <w:iCs/>
          <w:color w:val="222222"/>
          <w:sz w:val="24"/>
          <w:szCs w:val="24"/>
          <w:shd w:val="clear" w:color="auto" w:fill="FFFFFF"/>
          <w:lang w:val="en-US"/>
        </w:rPr>
        <w:t>MethodsX</w:t>
      </w:r>
      <w:r w:rsidRPr="00CD07C6">
        <w:rPr>
          <w:rFonts w:ascii="Times New Roman" w:hAnsi="Times New Roman" w:cs="Times New Roman"/>
          <w:color w:val="222222"/>
          <w:sz w:val="24"/>
          <w:szCs w:val="24"/>
          <w:shd w:val="clear" w:color="auto" w:fill="FFFFFF"/>
          <w:lang w:val="en-US"/>
        </w:rPr>
        <w:t>, </w:t>
      </w:r>
      <w:r w:rsidRPr="00CD07C6">
        <w:rPr>
          <w:rFonts w:ascii="Times New Roman" w:hAnsi="Times New Roman" w:cs="Times New Roman"/>
          <w:i/>
          <w:iCs/>
          <w:color w:val="222222"/>
          <w:sz w:val="24"/>
          <w:szCs w:val="24"/>
          <w:shd w:val="clear" w:color="auto" w:fill="FFFFFF"/>
          <w:lang w:val="en-US"/>
        </w:rPr>
        <w:t>8</w:t>
      </w:r>
      <w:r w:rsidRPr="00CD07C6">
        <w:rPr>
          <w:rFonts w:ascii="Times New Roman" w:hAnsi="Times New Roman" w:cs="Times New Roman"/>
          <w:color w:val="222222"/>
          <w:sz w:val="24"/>
          <w:szCs w:val="24"/>
          <w:shd w:val="clear" w:color="auto" w:fill="FFFFFF"/>
          <w:lang w:val="en-US"/>
        </w:rPr>
        <w:t xml:space="preserve">, 101326. </w:t>
      </w:r>
    </w:p>
    <w:p w14:paraId="377469F8" w14:textId="77777777" w:rsidR="005349F6" w:rsidRPr="00CD07C6" w:rsidRDefault="008E1E60" w:rsidP="00CC2370">
      <w:pPr>
        <w:ind w:left="708"/>
        <w:jc w:val="both"/>
        <w:rPr>
          <w:rFonts w:ascii="Times New Roman" w:hAnsi="Times New Roman" w:cs="Times New Roman"/>
          <w:color w:val="222222"/>
          <w:sz w:val="24"/>
          <w:szCs w:val="24"/>
          <w:shd w:val="clear" w:color="auto" w:fill="FFFFFF"/>
          <w:lang w:val="en-US"/>
        </w:rPr>
      </w:pPr>
      <w:hyperlink r:id="rId19" w:history="1">
        <w:r w:rsidR="00683F6E" w:rsidRPr="00CD07C6">
          <w:rPr>
            <w:rStyle w:val="Hyperlink"/>
            <w:rFonts w:ascii="Times New Roman" w:hAnsi="Times New Roman" w:cs="Times New Roman"/>
            <w:sz w:val="24"/>
            <w:szCs w:val="24"/>
            <w:shd w:val="clear" w:color="auto" w:fill="FFFFFF"/>
            <w:lang w:val="en-US"/>
          </w:rPr>
          <w:t>https://doi.org/10.1016/j.mex.2021.101326</w:t>
        </w:r>
      </w:hyperlink>
    </w:p>
    <w:p w14:paraId="08121FDF" w14:textId="77777777" w:rsidR="00E047E3" w:rsidRPr="00A23014" w:rsidRDefault="00E047E3" w:rsidP="00E047E3">
      <w:pPr>
        <w:spacing w:after="120" w:line="240" w:lineRule="auto"/>
        <w:jc w:val="both"/>
        <w:rPr>
          <w:rFonts w:ascii="Times New Roman" w:hAnsi="Times New Roman" w:cs="Times New Roman"/>
          <w:color w:val="222222"/>
          <w:sz w:val="24"/>
          <w:szCs w:val="24"/>
          <w:shd w:val="clear" w:color="auto" w:fill="FFFFFF"/>
          <w:lang w:val="en-US"/>
        </w:rPr>
      </w:pPr>
      <w:r w:rsidRPr="00A23014">
        <w:rPr>
          <w:rFonts w:ascii="Times New Roman" w:hAnsi="Times New Roman" w:cs="Times New Roman"/>
          <w:color w:val="222222"/>
          <w:sz w:val="24"/>
          <w:szCs w:val="24"/>
          <w:shd w:val="clear" w:color="auto" w:fill="FFFFFF"/>
          <w:lang w:val="en-US"/>
        </w:rPr>
        <w:t>Field, A. (2024). </w:t>
      </w:r>
      <w:r w:rsidRPr="00A23014">
        <w:rPr>
          <w:rFonts w:ascii="Times New Roman" w:hAnsi="Times New Roman" w:cs="Times New Roman"/>
          <w:i/>
          <w:iCs/>
          <w:color w:val="222222"/>
          <w:sz w:val="24"/>
          <w:szCs w:val="24"/>
          <w:shd w:val="clear" w:color="auto" w:fill="FFFFFF"/>
          <w:lang w:val="en-US"/>
        </w:rPr>
        <w:t>Discovering statistics using IBM SPSS statistics</w:t>
      </w:r>
      <w:r w:rsidRPr="00A23014">
        <w:rPr>
          <w:rFonts w:ascii="Times New Roman" w:hAnsi="Times New Roman" w:cs="Times New Roman"/>
          <w:color w:val="222222"/>
          <w:sz w:val="24"/>
          <w:szCs w:val="24"/>
          <w:shd w:val="clear" w:color="auto" w:fill="FFFFFF"/>
          <w:lang w:val="en-US"/>
        </w:rPr>
        <w:t>. Sage Publications Limited.</w:t>
      </w:r>
    </w:p>
    <w:p w14:paraId="3A5D5A25" w14:textId="77777777" w:rsidR="004E6675" w:rsidRPr="00282E09" w:rsidRDefault="004E6675" w:rsidP="009F3A1C">
      <w:pPr>
        <w:pStyle w:val="NormalWeb"/>
        <w:spacing w:before="0" w:beforeAutospacing="0" w:after="240" w:afterAutospacing="0"/>
        <w:ind w:left="720" w:hanging="720"/>
        <w:jc w:val="both"/>
        <w:rPr>
          <w:color w:val="222222"/>
          <w:shd w:val="clear" w:color="auto" w:fill="FFFFFF"/>
          <w:lang w:val="en-US"/>
        </w:rPr>
      </w:pPr>
      <w:proofErr w:type="spellStart"/>
      <w:r w:rsidRPr="00282E09">
        <w:rPr>
          <w:color w:val="222222"/>
          <w:shd w:val="clear" w:color="auto" w:fill="FFFFFF"/>
          <w:lang w:val="en-US"/>
        </w:rPr>
        <w:t>Greksakova</w:t>
      </w:r>
      <w:proofErr w:type="spellEnd"/>
      <w:r w:rsidRPr="00282E09">
        <w:rPr>
          <w:color w:val="222222"/>
          <w:shd w:val="clear" w:color="auto" w:fill="FFFFFF"/>
          <w:lang w:val="en-US"/>
        </w:rPr>
        <w:t>, Z. (2018). </w:t>
      </w:r>
      <w:proofErr w:type="spellStart"/>
      <w:r w:rsidRPr="00282E09">
        <w:rPr>
          <w:i/>
          <w:iCs/>
          <w:color w:val="222222"/>
          <w:shd w:val="clear" w:color="auto" w:fill="FFFFFF"/>
          <w:lang w:val="en-US"/>
        </w:rPr>
        <w:t>Tetun</w:t>
      </w:r>
      <w:proofErr w:type="spellEnd"/>
      <w:r w:rsidRPr="00282E09">
        <w:rPr>
          <w:i/>
          <w:iCs/>
          <w:color w:val="222222"/>
          <w:shd w:val="clear" w:color="auto" w:fill="FFFFFF"/>
          <w:lang w:val="en-US"/>
        </w:rPr>
        <w:t xml:space="preserve"> in Timor-Leste: The role of language contact in its development</w:t>
      </w:r>
      <w:r w:rsidRPr="00282E09">
        <w:rPr>
          <w:color w:val="222222"/>
          <w:shd w:val="clear" w:color="auto" w:fill="FFFFFF"/>
          <w:lang w:val="en-US"/>
        </w:rPr>
        <w:t> (Doctoral dissertation</w:t>
      </w:r>
      <w:r w:rsidR="00CA4264">
        <w:rPr>
          <w:color w:val="222222"/>
          <w:shd w:val="clear" w:color="auto" w:fill="FFFFFF"/>
          <w:lang w:val="en-US"/>
        </w:rPr>
        <w:t>)</w:t>
      </w:r>
      <w:r w:rsidRPr="00282E09">
        <w:rPr>
          <w:color w:val="222222"/>
          <w:shd w:val="clear" w:color="auto" w:fill="FFFFFF"/>
          <w:lang w:val="en-US"/>
        </w:rPr>
        <w:t xml:space="preserve"> </w:t>
      </w:r>
      <w:proofErr w:type="spellStart"/>
      <w:r w:rsidRPr="00282E09">
        <w:rPr>
          <w:color w:val="222222"/>
          <w:shd w:val="clear" w:color="auto" w:fill="FFFFFF"/>
          <w:lang w:val="en-US"/>
        </w:rPr>
        <w:t>Universidade</w:t>
      </w:r>
      <w:proofErr w:type="spellEnd"/>
      <w:r w:rsidRPr="00282E09">
        <w:rPr>
          <w:color w:val="222222"/>
          <w:shd w:val="clear" w:color="auto" w:fill="FFFFFF"/>
          <w:lang w:val="en-US"/>
        </w:rPr>
        <w:t xml:space="preserve"> de Coimbra</w:t>
      </w:r>
      <w:r w:rsidR="003B7CDA">
        <w:rPr>
          <w:color w:val="222222"/>
          <w:shd w:val="clear" w:color="auto" w:fill="FFFFFF"/>
          <w:lang w:val="en-US"/>
        </w:rPr>
        <w:t xml:space="preserve">, </w:t>
      </w:r>
      <w:r w:rsidRPr="00282E09">
        <w:rPr>
          <w:color w:val="222222"/>
          <w:shd w:val="clear" w:color="auto" w:fill="FFFFFF"/>
          <w:lang w:val="en-US"/>
        </w:rPr>
        <w:t>Portugal.</w:t>
      </w:r>
    </w:p>
    <w:p w14:paraId="2A5816C2" w14:textId="77777777" w:rsidR="00B85874" w:rsidRPr="00B85874" w:rsidRDefault="00B85874" w:rsidP="00B85874">
      <w:pPr>
        <w:spacing w:after="0" w:line="240" w:lineRule="auto"/>
        <w:ind w:left="708" w:hanging="708"/>
        <w:jc w:val="both"/>
        <w:rPr>
          <w:rFonts w:ascii="Times New Roman" w:hAnsi="Times New Roman" w:cs="Times New Roman"/>
          <w:color w:val="222222"/>
          <w:sz w:val="24"/>
          <w:szCs w:val="24"/>
          <w:shd w:val="clear" w:color="auto" w:fill="FFFFFF"/>
          <w:lang w:val="en-US"/>
        </w:rPr>
      </w:pPr>
      <w:r w:rsidRPr="00B85874">
        <w:rPr>
          <w:rFonts w:ascii="Times New Roman" w:hAnsi="Times New Roman" w:cs="Times New Roman"/>
          <w:color w:val="222222"/>
          <w:sz w:val="24"/>
          <w:szCs w:val="24"/>
          <w:shd w:val="clear" w:color="auto" w:fill="FFFFFF"/>
          <w:lang w:val="en-US"/>
        </w:rPr>
        <w:t>Head, G. (2020). Ethics in educational research: Review boards, ethical issues and researcher development. </w:t>
      </w:r>
      <w:r w:rsidRPr="00B85874">
        <w:rPr>
          <w:rFonts w:ascii="Times New Roman" w:hAnsi="Times New Roman" w:cs="Times New Roman"/>
          <w:i/>
          <w:iCs/>
          <w:color w:val="222222"/>
          <w:sz w:val="24"/>
          <w:szCs w:val="24"/>
          <w:shd w:val="clear" w:color="auto" w:fill="FFFFFF"/>
          <w:lang w:val="en-US"/>
        </w:rPr>
        <w:t>European Educational Research Journal</w:t>
      </w:r>
      <w:r w:rsidRPr="00B85874">
        <w:rPr>
          <w:rFonts w:ascii="Times New Roman" w:hAnsi="Times New Roman" w:cs="Times New Roman"/>
          <w:color w:val="222222"/>
          <w:sz w:val="24"/>
          <w:szCs w:val="24"/>
          <w:shd w:val="clear" w:color="auto" w:fill="FFFFFF"/>
          <w:lang w:val="en-US"/>
        </w:rPr>
        <w:t>, </w:t>
      </w:r>
      <w:r w:rsidRPr="00B85874">
        <w:rPr>
          <w:rFonts w:ascii="Times New Roman" w:hAnsi="Times New Roman" w:cs="Times New Roman"/>
          <w:i/>
          <w:iCs/>
          <w:color w:val="222222"/>
          <w:sz w:val="24"/>
          <w:szCs w:val="24"/>
          <w:shd w:val="clear" w:color="auto" w:fill="FFFFFF"/>
          <w:lang w:val="en-US"/>
        </w:rPr>
        <w:t>19</w:t>
      </w:r>
      <w:r w:rsidRPr="00B85874">
        <w:rPr>
          <w:rFonts w:ascii="Times New Roman" w:hAnsi="Times New Roman" w:cs="Times New Roman"/>
          <w:color w:val="222222"/>
          <w:sz w:val="24"/>
          <w:szCs w:val="24"/>
          <w:shd w:val="clear" w:color="auto" w:fill="FFFFFF"/>
          <w:lang w:val="en-US"/>
        </w:rPr>
        <w:t xml:space="preserve">(1), 72-83. </w:t>
      </w:r>
    </w:p>
    <w:p w14:paraId="106DD7BD" w14:textId="77777777" w:rsidR="00B85874" w:rsidRPr="00B85874" w:rsidRDefault="008E1E60" w:rsidP="00B85874">
      <w:pPr>
        <w:spacing w:after="120" w:line="240" w:lineRule="auto"/>
        <w:ind w:left="708"/>
        <w:jc w:val="both"/>
        <w:rPr>
          <w:rFonts w:ascii="Times New Roman" w:hAnsi="Times New Roman" w:cs="Times New Roman"/>
          <w:color w:val="222222"/>
          <w:sz w:val="24"/>
          <w:szCs w:val="24"/>
          <w:shd w:val="clear" w:color="auto" w:fill="FFFFFF"/>
          <w:lang w:val="en-US"/>
        </w:rPr>
      </w:pPr>
      <w:hyperlink r:id="rId20" w:history="1">
        <w:r w:rsidR="003F7AF4" w:rsidRPr="00071B87">
          <w:rPr>
            <w:rStyle w:val="Hyperlink"/>
            <w:rFonts w:ascii="Times New Roman" w:hAnsi="Times New Roman" w:cs="Times New Roman"/>
            <w:sz w:val="24"/>
            <w:szCs w:val="24"/>
            <w:shd w:val="clear" w:color="auto" w:fill="FFFFFF"/>
            <w:lang w:val="en-US"/>
          </w:rPr>
          <w:t>https://doi.org/10.1177/1474904118796315</w:t>
        </w:r>
      </w:hyperlink>
    </w:p>
    <w:p w14:paraId="60FA172B" w14:textId="77777777" w:rsidR="004E6675" w:rsidRPr="00282E09" w:rsidRDefault="004E6675" w:rsidP="004E6675">
      <w:pPr>
        <w:pStyle w:val="NormalWeb"/>
        <w:spacing w:before="0" w:beforeAutospacing="0" w:after="240" w:afterAutospacing="0"/>
        <w:ind w:left="720" w:hanging="720"/>
        <w:jc w:val="both"/>
        <w:rPr>
          <w:lang w:val="en-US"/>
        </w:rPr>
      </w:pPr>
      <w:r w:rsidRPr="00282E09">
        <w:rPr>
          <w:lang w:val="en-US"/>
        </w:rPr>
        <w:t xml:space="preserve">Hornberger, N. H., &amp; Johnson, D. C. (2007). Slicing the onion ethnographically: Layers and spaces in multilingual language education policy and practice. </w:t>
      </w:r>
      <w:r w:rsidRPr="00282E09">
        <w:rPr>
          <w:rStyle w:val="Emphasis"/>
          <w:lang w:val="en-US"/>
        </w:rPr>
        <w:t>TESOL Quarterly</w:t>
      </w:r>
      <w:r w:rsidRPr="00282E09">
        <w:rPr>
          <w:lang w:val="en-US"/>
        </w:rPr>
        <w:t xml:space="preserve">, </w:t>
      </w:r>
      <w:r w:rsidRPr="00282E09">
        <w:rPr>
          <w:rStyle w:val="Emphasis"/>
          <w:lang w:val="en-US"/>
        </w:rPr>
        <w:t>41</w:t>
      </w:r>
      <w:r w:rsidRPr="00282E09">
        <w:rPr>
          <w:lang w:val="en-US"/>
        </w:rPr>
        <w:t xml:space="preserve">(3), 509–532. </w:t>
      </w:r>
      <w:hyperlink r:id="rId21" w:history="1">
        <w:r w:rsidR="002F28DF" w:rsidRPr="00282E09">
          <w:rPr>
            <w:rStyle w:val="Hyperlink"/>
            <w:lang w:val="en-US"/>
          </w:rPr>
          <w:t>https://doi.org/10.1002/j.1545-7249.2007.tb00083.x</w:t>
        </w:r>
      </w:hyperlink>
    </w:p>
    <w:p w14:paraId="7557BE96" w14:textId="77777777" w:rsidR="008347D8" w:rsidRDefault="008347D8" w:rsidP="008347D8">
      <w:pPr>
        <w:ind w:left="708" w:hanging="708"/>
        <w:rPr>
          <w:rFonts w:ascii="Times New Roman" w:hAnsi="Times New Roman" w:cs="Times New Roman"/>
          <w:color w:val="353535"/>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Kaur, P., Stoltzfus, J., &amp; </w:t>
      </w:r>
      <w:proofErr w:type="spellStart"/>
      <w:r>
        <w:rPr>
          <w:rFonts w:ascii="Times New Roman" w:hAnsi="Times New Roman" w:cs="Times New Roman"/>
          <w:color w:val="222222"/>
          <w:sz w:val="24"/>
          <w:szCs w:val="24"/>
          <w:shd w:val="clear" w:color="auto" w:fill="FFFFFF"/>
          <w:lang w:val="en-US"/>
        </w:rPr>
        <w:t>Yellapu</w:t>
      </w:r>
      <w:proofErr w:type="spellEnd"/>
      <w:r>
        <w:rPr>
          <w:rFonts w:ascii="Times New Roman" w:hAnsi="Times New Roman" w:cs="Times New Roman"/>
          <w:color w:val="222222"/>
          <w:sz w:val="24"/>
          <w:szCs w:val="24"/>
          <w:shd w:val="clear" w:color="auto" w:fill="FFFFFF"/>
          <w:lang w:val="en-US"/>
        </w:rPr>
        <w:t>, V. (2018). Descriptive statistics. </w:t>
      </w:r>
      <w:r>
        <w:rPr>
          <w:rFonts w:ascii="Times New Roman" w:hAnsi="Times New Roman" w:cs="Times New Roman"/>
          <w:i/>
          <w:iCs/>
          <w:color w:val="222222"/>
          <w:sz w:val="24"/>
          <w:szCs w:val="24"/>
          <w:shd w:val="clear" w:color="auto" w:fill="FFFFFF"/>
          <w:lang w:val="en-US"/>
        </w:rPr>
        <w:t>International Journal of Academic Medicine</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4</w:t>
      </w:r>
      <w:r>
        <w:rPr>
          <w:rFonts w:ascii="Times New Roman" w:hAnsi="Times New Roman" w:cs="Times New Roman"/>
          <w:color w:val="222222"/>
          <w:sz w:val="24"/>
          <w:szCs w:val="24"/>
          <w:shd w:val="clear" w:color="auto" w:fill="FFFFFF"/>
          <w:lang w:val="en-US"/>
        </w:rPr>
        <w:t xml:space="preserve">(1), 60-63. </w:t>
      </w:r>
      <w:proofErr w:type="spellStart"/>
      <w:r>
        <w:rPr>
          <w:rFonts w:ascii="Times New Roman" w:hAnsi="Times New Roman" w:cs="Times New Roman"/>
          <w:color w:val="222222"/>
          <w:sz w:val="24"/>
          <w:szCs w:val="24"/>
          <w:shd w:val="clear" w:color="auto" w:fill="FFFFFF"/>
          <w:lang w:val="en-US"/>
        </w:rPr>
        <w:t>doi</w:t>
      </w:r>
      <w:proofErr w:type="spellEnd"/>
      <w:r>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353535"/>
          <w:sz w:val="24"/>
          <w:szCs w:val="24"/>
          <w:shd w:val="clear" w:color="auto" w:fill="FFFFFF"/>
          <w:lang w:val="en-US"/>
        </w:rPr>
        <w:t>10.4103/IJAM.IJAM_7_18</w:t>
      </w:r>
    </w:p>
    <w:p w14:paraId="423764E5" w14:textId="77777777" w:rsidR="004E6675" w:rsidRPr="00282E09" w:rsidRDefault="004E6675" w:rsidP="004E6675">
      <w:pPr>
        <w:pStyle w:val="NormalWeb"/>
        <w:spacing w:before="0" w:beforeAutospacing="0" w:after="240" w:afterAutospacing="0"/>
        <w:ind w:left="720" w:hanging="720"/>
        <w:jc w:val="both"/>
        <w:rPr>
          <w:lang w:val="en-US"/>
        </w:rPr>
      </w:pPr>
      <w:r w:rsidRPr="00282E09">
        <w:rPr>
          <w:color w:val="222222"/>
          <w:shd w:val="clear" w:color="auto" w:fill="FFFFFF"/>
          <w:lang w:val="en-US"/>
        </w:rPr>
        <w:t>Mohamed, N. (2015). The challenge of medium of instruction: A view from Maldivian schools. In </w:t>
      </w:r>
      <w:r w:rsidRPr="00282E09">
        <w:rPr>
          <w:i/>
          <w:iCs/>
          <w:color w:val="222222"/>
          <w:shd w:val="clear" w:color="auto" w:fill="FFFFFF"/>
          <w:lang w:val="en-US"/>
        </w:rPr>
        <w:t>Language planning for medium of instruction in Asia</w:t>
      </w:r>
      <w:r w:rsidRPr="00282E09">
        <w:rPr>
          <w:color w:val="222222"/>
          <w:shd w:val="clear" w:color="auto" w:fill="FFFFFF"/>
          <w:lang w:val="en-US"/>
        </w:rPr>
        <w:t> (pp. 185-203). Routledge.</w:t>
      </w:r>
    </w:p>
    <w:p w14:paraId="62268E50" w14:textId="77777777" w:rsidR="00C94013" w:rsidRPr="00C94013" w:rsidRDefault="00C94013" w:rsidP="00C94013">
      <w:pPr>
        <w:spacing w:after="240" w:line="240" w:lineRule="auto"/>
        <w:ind w:left="720" w:hanging="720"/>
        <w:jc w:val="both"/>
        <w:rPr>
          <w:rFonts w:ascii="Times New Roman" w:hAnsi="Times New Roman" w:cs="Times New Roman"/>
          <w:color w:val="222222"/>
          <w:sz w:val="24"/>
          <w:szCs w:val="24"/>
          <w:shd w:val="clear" w:color="auto" w:fill="FFFFFF"/>
          <w:lang w:val="en-US"/>
        </w:rPr>
      </w:pPr>
      <w:r w:rsidRPr="00C94013">
        <w:rPr>
          <w:rFonts w:ascii="Times New Roman" w:hAnsi="Times New Roman" w:cs="Times New Roman"/>
          <w:color w:val="222222"/>
          <w:sz w:val="24"/>
          <w:szCs w:val="24"/>
          <w:shd w:val="clear" w:color="auto" w:fill="FFFFFF"/>
          <w:lang w:val="en-US"/>
        </w:rPr>
        <w:t xml:space="preserve">Macalister, J. (2024). Language policy and national identity evolution in a new nation: A Timorese </w:t>
      </w:r>
      <w:r w:rsidR="00AA0556" w:rsidRPr="00C94013">
        <w:rPr>
          <w:rFonts w:ascii="Times New Roman" w:hAnsi="Times New Roman" w:cs="Times New Roman"/>
          <w:color w:val="222222"/>
          <w:sz w:val="24"/>
          <w:szCs w:val="24"/>
          <w:shd w:val="clear" w:color="auto" w:fill="FFFFFF"/>
          <w:lang w:val="en-US"/>
        </w:rPr>
        <w:t>linguistic landscape revisited</w:t>
      </w:r>
      <w:r w:rsidRPr="00C94013">
        <w:rPr>
          <w:rFonts w:ascii="Times New Roman" w:hAnsi="Times New Roman" w:cs="Times New Roman"/>
          <w:color w:val="222222"/>
          <w:sz w:val="24"/>
          <w:szCs w:val="24"/>
          <w:shd w:val="clear" w:color="auto" w:fill="FFFFFF"/>
          <w:lang w:val="en-US"/>
        </w:rPr>
        <w:t>. </w:t>
      </w:r>
      <w:r w:rsidRPr="00C94013">
        <w:rPr>
          <w:rFonts w:ascii="Times New Roman" w:hAnsi="Times New Roman" w:cs="Times New Roman"/>
          <w:i/>
          <w:iCs/>
          <w:color w:val="222222"/>
          <w:sz w:val="24"/>
          <w:szCs w:val="24"/>
          <w:shd w:val="clear" w:color="auto" w:fill="FFFFFF"/>
          <w:lang w:val="en-US"/>
        </w:rPr>
        <w:t>Linguistic Landscape</w:t>
      </w:r>
      <w:r w:rsidRPr="00C94013">
        <w:rPr>
          <w:rFonts w:ascii="Times New Roman" w:hAnsi="Times New Roman" w:cs="Times New Roman"/>
          <w:color w:val="222222"/>
          <w:sz w:val="24"/>
          <w:szCs w:val="24"/>
          <w:shd w:val="clear" w:color="auto" w:fill="FFFFFF"/>
          <w:lang w:val="en-US"/>
        </w:rPr>
        <w:t>, </w:t>
      </w:r>
      <w:r w:rsidRPr="00C94013">
        <w:rPr>
          <w:rFonts w:ascii="Times New Roman" w:hAnsi="Times New Roman" w:cs="Times New Roman"/>
          <w:i/>
          <w:iCs/>
          <w:color w:val="222222"/>
          <w:sz w:val="24"/>
          <w:szCs w:val="24"/>
          <w:shd w:val="clear" w:color="auto" w:fill="FFFFFF"/>
          <w:lang w:val="en-US"/>
        </w:rPr>
        <w:t>10</w:t>
      </w:r>
      <w:r w:rsidRPr="00C94013">
        <w:rPr>
          <w:rFonts w:ascii="Times New Roman" w:hAnsi="Times New Roman" w:cs="Times New Roman"/>
          <w:color w:val="222222"/>
          <w:sz w:val="24"/>
          <w:szCs w:val="24"/>
          <w:shd w:val="clear" w:color="auto" w:fill="FFFFFF"/>
          <w:lang w:val="en-US"/>
        </w:rPr>
        <w:t xml:space="preserve">(2), 111-135. </w:t>
      </w:r>
      <w:hyperlink r:id="rId22" w:history="1">
        <w:r w:rsidRPr="00C94013">
          <w:rPr>
            <w:rStyle w:val="Hyperlink"/>
            <w:rFonts w:ascii="Times New Roman" w:hAnsi="Times New Roman" w:cs="Times New Roman"/>
            <w:sz w:val="24"/>
            <w:szCs w:val="24"/>
            <w:shd w:val="clear" w:color="auto" w:fill="FFFFFF"/>
            <w:lang w:val="en-US"/>
          </w:rPr>
          <w:t>https://doi.org/10.1075/ll.23025.mac</w:t>
        </w:r>
      </w:hyperlink>
    </w:p>
    <w:p w14:paraId="7C2E8D31" w14:textId="77777777" w:rsidR="00C94013" w:rsidRPr="000B18C0" w:rsidRDefault="00C94013" w:rsidP="00C94013">
      <w:pPr>
        <w:ind w:left="708" w:hanging="708"/>
        <w:rPr>
          <w:rFonts w:ascii="Times New Roman" w:hAnsi="Times New Roman" w:cs="Times New Roman"/>
          <w:b/>
          <w:sz w:val="24"/>
          <w:szCs w:val="24"/>
          <w:lang w:val="en-US"/>
        </w:rPr>
      </w:pPr>
      <w:r w:rsidRPr="000B18C0">
        <w:rPr>
          <w:rFonts w:ascii="Times New Roman" w:hAnsi="Times New Roman" w:cs="Times New Roman"/>
          <w:color w:val="222222"/>
          <w:sz w:val="24"/>
          <w:szCs w:val="24"/>
          <w:shd w:val="clear" w:color="auto" w:fill="FFFFFF"/>
          <w:lang w:val="en-US"/>
        </w:rPr>
        <w:t xml:space="preserve">Mohanty, A. K., &amp; </w:t>
      </w:r>
      <w:proofErr w:type="spellStart"/>
      <w:r w:rsidRPr="000B18C0">
        <w:rPr>
          <w:rFonts w:ascii="Times New Roman" w:hAnsi="Times New Roman" w:cs="Times New Roman"/>
          <w:color w:val="222222"/>
          <w:sz w:val="24"/>
          <w:szCs w:val="24"/>
          <w:shd w:val="clear" w:color="auto" w:fill="FFFFFF"/>
          <w:lang w:val="en-US"/>
        </w:rPr>
        <w:t>Skutnabb</w:t>
      </w:r>
      <w:proofErr w:type="spellEnd"/>
      <w:r w:rsidRPr="000B18C0">
        <w:rPr>
          <w:rFonts w:ascii="Times New Roman" w:hAnsi="Times New Roman" w:cs="Times New Roman"/>
          <w:color w:val="222222"/>
          <w:sz w:val="24"/>
          <w:szCs w:val="24"/>
          <w:shd w:val="clear" w:color="auto" w:fill="FFFFFF"/>
          <w:lang w:val="en-US"/>
        </w:rPr>
        <w:t>-Kangas, T. (2022). Growing up in multilingual societies: Violations of linguistic human rights in education. </w:t>
      </w:r>
      <w:r w:rsidRPr="000B18C0">
        <w:rPr>
          <w:rFonts w:ascii="Times New Roman" w:hAnsi="Times New Roman" w:cs="Times New Roman"/>
          <w:i/>
          <w:iCs/>
          <w:color w:val="222222"/>
          <w:sz w:val="24"/>
          <w:szCs w:val="24"/>
          <w:shd w:val="clear" w:color="auto" w:fill="FFFFFF"/>
          <w:lang w:val="en-US"/>
        </w:rPr>
        <w:t>The Cambridge handbook of childhood multilingualism</w:t>
      </w:r>
      <w:r w:rsidRPr="000B18C0">
        <w:rPr>
          <w:rFonts w:ascii="Times New Roman" w:hAnsi="Times New Roman" w:cs="Times New Roman"/>
          <w:color w:val="222222"/>
          <w:sz w:val="24"/>
          <w:szCs w:val="24"/>
          <w:shd w:val="clear" w:color="auto" w:fill="FFFFFF"/>
          <w:lang w:val="en-US"/>
        </w:rPr>
        <w:t>, 578-602.</w:t>
      </w:r>
      <w:r w:rsidRPr="000B18C0">
        <w:rPr>
          <w:rFonts w:ascii="Times New Roman" w:hAnsi="Times New Roman" w:cs="Times New Roman"/>
          <w:color w:val="181817"/>
          <w:sz w:val="24"/>
          <w:szCs w:val="24"/>
          <w:shd w:val="clear" w:color="auto" w:fill="FFFFFF" w:themeFill="background1"/>
          <w:lang w:val="en-US"/>
        </w:rPr>
        <w:t>Cambridge University Press.</w:t>
      </w:r>
    </w:p>
    <w:p w14:paraId="20EB93DA" w14:textId="77777777" w:rsidR="008347D8" w:rsidRPr="008347D8" w:rsidRDefault="008347D8" w:rsidP="008347D8">
      <w:pPr>
        <w:ind w:left="708" w:hanging="708"/>
        <w:rPr>
          <w:rFonts w:ascii="Times New Roman" w:hAnsi="Times New Roman" w:cs="Times New Roman"/>
          <w:sz w:val="24"/>
          <w:szCs w:val="24"/>
          <w:lang w:val="en-US"/>
        </w:rPr>
      </w:pPr>
      <w:r w:rsidRPr="008347D8">
        <w:rPr>
          <w:rFonts w:ascii="Times New Roman" w:hAnsi="Times New Roman" w:cs="Times New Roman"/>
          <w:color w:val="222222"/>
          <w:sz w:val="24"/>
          <w:szCs w:val="24"/>
          <w:shd w:val="clear" w:color="auto" w:fill="FFFFFF"/>
          <w:lang w:val="en-US"/>
        </w:rPr>
        <w:t>Noor, S., Tajik, O., &amp; Golzar, J. (2022). Simple random sampling. </w:t>
      </w:r>
      <w:r w:rsidRPr="008347D8">
        <w:rPr>
          <w:rFonts w:ascii="Times New Roman" w:hAnsi="Times New Roman" w:cs="Times New Roman"/>
          <w:i/>
          <w:iCs/>
          <w:sz w:val="24"/>
          <w:szCs w:val="24"/>
          <w:lang w:val="en-US"/>
        </w:rPr>
        <w:t>International Journal of Education &amp; Language Studies</w:t>
      </w:r>
      <w:r w:rsidRPr="008347D8">
        <w:rPr>
          <w:rFonts w:ascii="Times New Roman" w:hAnsi="Times New Roman" w:cs="Times New Roman"/>
          <w:sz w:val="24"/>
          <w:szCs w:val="24"/>
          <w:lang w:val="en-US"/>
        </w:rPr>
        <w:t>, </w:t>
      </w:r>
      <w:r w:rsidRPr="008347D8">
        <w:rPr>
          <w:rFonts w:ascii="Times New Roman" w:hAnsi="Times New Roman" w:cs="Times New Roman"/>
          <w:i/>
          <w:iCs/>
          <w:sz w:val="24"/>
          <w:szCs w:val="24"/>
          <w:lang w:val="en-US"/>
        </w:rPr>
        <w:t>1</w:t>
      </w:r>
      <w:r w:rsidRPr="008347D8">
        <w:rPr>
          <w:rFonts w:ascii="Times New Roman" w:hAnsi="Times New Roman" w:cs="Times New Roman"/>
          <w:sz w:val="24"/>
          <w:szCs w:val="24"/>
          <w:lang w:val="en-US"/>
        </w:rPr>
        <w:t>(2), 78-82.</w:t>
      </w:r>
      <w:r>
        <w:rPr>
          <w:rFonts w:ascii="Times New Roman" w:hAnsi="Times New Roman" w:cs="Times New Roman"/>
          <w:sz w:val="24"/>
          <w:szCs w:val="24"/>
          <w:lang w:val="en-US"/>
        </w:rPr>
        <w:t xml:space="preserve"> </w:t>
      </w:r>
      <w:hyperlink r:id="rId23" w:history="1">
        <w:r w:rsidR="000D6D01" w:rsidRPr="00071B87">
          <w:rPr>
            <w:rStyle w:val="Hyperlink"/>
            <w:rFonts w:ascii="Times New Roman" w:hAnsi="Times New Roman" w:cs="Times New Roman"/>
            <w:sz w:val="24"/>
            <w:szCs w:val="24"/>
            <w:lang w:val="en-US"/>
          </w:rPr>
          <w:t>https://doi.org/10.22034/ijels.2022.162982</w:t>
        </w:r>
      </w:hyperlink>
    </w:p>
    <w:p w14:paraId="0893E033" w14:textId="77777777" w:rsidR="008347D8" w:rsidRDefault="008347D8" w:rsidP="008347D8">
      <w:pPr>
        <w:spacing w:after="0" w:line="240" w:lineRule="auto"/>
        <w:ind w:left="2832" w:hanging="2832"/>
        <w:rPr>
          <w:rFonts w:ascii="Times New Roman" w:hAnsi="Times New Roman" w:cs="Times New Roman"/>
          <w:color w:val="222222"/>
          <w:sz w:val="24"/>
          <w:szCs w:val="24"/>
          <w:shd w:val="clear" w:color="auto" w:fill="FFFFFF"/>
          <w:lang w:val="en-US"/>
        </w:rPr>
      </w:pPr>
      <w:proofErr w:type="spellStart"/>
      <w:r>
        <w:rPr>
          <w:rFonts w:ascii="Times New Roman" w:hAnsi="Times New Roman" w:cs="Times New Roman"/>
          <w:color w:val="222222"/>
          <w:sz w:val="24"/>
          <w:szCs w:val="24"/>
          <w:shd w:val="clear" w:color="auto" w:fill="FFFFFF"/>
          <w:lang w:val="en-US"/>
        </w:rPr>
        <w:t>Obilor</w:t>
      </w:r>
      <w:proofErr w:type="spellEnd"/>
      <w:r>
        <w:rPr>
          <w:rFonts w:ascii="Times New Roman" w:hAnsi="Times New Roman" w:cs="Times New Roman"/>
          <w:color w:val="222222"/>
          <w:sz w:val="24"/>
          <w:szCs w:val="24"/>
          <w:shd w:val="clear" w:color="auto" w:fill="FFFFFF"/>
          <w:lang w:val="en-US"/>
        </w:rPr>
        <w:t xml:space="preserve">, E. I., &amp; </w:t>
      </w:r>
      <w:proofErr w:type="spellStart"/>
      <w:r>
        <w:rPr>
          <w:rFonts w:ascii="Times New Roman" w:hAnsi="Times New Roman" w:cs="Times New Roman"/>
          <w:color w:val="222222"/>
          <w:sz w:val="24"/>
          <w:szCs w:val="24"/>
          <w:shd w:val="clear" w:color="auto" w:fill="FFFFFF"/>
          <w:lang w:val="en-US"/>
        </w:rPr>
        <w:t>Miwari</w:t>
      </w:r>
      <w:proofErr w:type="spellEnd"/>
      <w:r>
        <w:rPr>
          <w:rFonts w:ascii="Times New Roman" w:hAnsi="Times New Roman" w:cs="Times New Roman"/>
          <w:color w:val="222222"/>
          <w:sz w:val="24"/>
          <w:szCs w:val="24"/>
          <w:shd w:val="clear" w:color="auto" w:fill="FFFFFF"/>
          <w:lang w:val="en-US"/>
        </w:rPr>
        <w:t>, G. U. (2022). Content validity in educational assessment. </w:t>
      </w:r>
    </w:p>
    <w:p w14:paraId="2C0CBB60" w14:textId="77777777" w:rsidR="008347D8" w:rsidRDefault="008347D8" w:rsidP="008347D8">
      <w:pPr>
        <w:spacing w:after="120" w:line="240" w:lineRule="auto"/>
        <w:ind w:left="2832" w:hanging="2124"/>
        <w:rPr>
          <w:rFonts w:ascii="Times New Roman" w:hAnsi="Times New Roman" w:cs="Times New Roman"/>
          <w:color w:val="222222"/>
          <w:sz w:val="24"/>
          <w:szCs w:val="24"/>
          <w:shd w:val="clear" w:color="auto" w:fill="FFFFFF"/>
          <w:lang w:val="en-US"/>
        </w:rPr>
      </w:pPr>
      <w:r>
        <w:rPr>
          <w:rFonts w:ascii="Times New Roman" w:hAnsi="Times New Roman" w:cs="Times New Roman"/>
          <w:i/>
          <w:iCs/>
          <w:color w:val="222222"/>
          <w:sz w:val="24"/>
          <w:szCs w:val="24"/>
          <w:shd w:val="clear" w:color="auto" w:fill="FFFFFF"/>
          <w:lang w:val="en-US"/>
        </w:rPr>
        <w:t>International Journal of Innovative Education Research</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10</w:t>
      </w:r>
      <w:r>
        <w:rPr>
          <w:rFonts w:ascii="Times New Roman" w:hAnsi="Times New Roman" w:cs="Times New Roman"/>
          <w:color w:val="222222"/>
          <w:sz w:val="24"/>
          <w:szCs w:val="24"/>
          <w:shd w:val="clear" w:color="auto" w:fill="FFFFFF"/>
          <w:lang w:val="en-US"/>
        </w:rPr>
        <w:t>(2), 57-69.</w:t>
      </w:r>
    </w:p>
    <w:p w14:paraId="7F7D2A36" w14:textId="77777777" w:rsidR="009B2A5F" w:rsidRDefault="00282E09" w:rsidP="009B2A5F">
      <w:pPr>
        <w:spacing w:after="0" w:line="240" w:lineRule="auto"/>
        <w:ind w:left="709" w:hanging="709"/>
        <w:rPr>
          <w:rFonts w:ascii="Times New Roman" w:hAnsi="Times New Roman" w:cs="Times New Roman"/>
          <w:i/>
          <w:sz w:val="24"/>
          <w:szCs w:val="24"/>
          <w:shd w:val="clear" w:color="auto" w:fill="FFFFFF"/>
          <w:lang w:val="en-US"/>
        </w:rPr>
      </w:pPr>
      <w:r w:rsidRPr="00282E09">
        <w:rPr>
          <w:rFonts w:ascii="Times New Roman" w:hAnsi="Times New Roman" w:cs="Times New Roman"/>
          <w:sz w:val="24"/>
          <w:szCs w:val="24"/>
          <w:shd w:val="clear" w:color="auto" w:fill="FFFFFF"/>
          <w:lang w:val="en-US"/>
        </w:rPr>
        <w:t xml:space="preserve">Quinn, M. (2023). Implementing curriculum “more or less” in Timor-Leste. </w:t>
      </w:r>
      <w:r w:rsidRPr="009B2A5F">
        <w:rPr>
          <w:rFonts w:ascii="Times New Roman" w:hAnsi="Times New Roman" w:cs="Times New Roman"/>
          <w:i/>
          <w:sz w:val="24"/>
          <w:szCs w:val="24"/>
          <w:shd w:val="clear" w:color="auto" w:fill="FFFFFF"/>
          <w:lang w:val="en-US"/>
        </w:rPr>
        <w:t>International</w:t>
      </w:r>
      <w:r w:rsidR="009B2A5F">
        <w:rPr>
          <w:rFonts w:ascii="Times New Roman" w:hAnsi="Times New Roman" w:cs="Times New Roman"/>
          <w:i/>
          <w:sz w:val="24"/>
          <w:szCs w:val="24"/>
          <w:shd w:val="clear" w:color="auto" w:fill="FFFFFF"/>
          <w:lang w:val="en-US"/>
        </w:rPr>
        <w:t xml:space="preserve"> </w:t>
      </w:r>
    </w:p>
    <w:p w14:paraId="7FC95FBC" w14:textId="77777777" w:rsidR="009B2A5F" w:rsidRDefault="00282E09" w:rsidP="009B2A5F">
      <w:pPr>
        <w:spacing w:after="0" w:line="240" w:lineRule="auto"/>
        <w:ind w:left="709" w:hanging="1"/>
        <w:rPr>
          <w:rFonts w:ascii="Times New Roman" w:hAnsi="Times New Roman" w:cs="Times New Roman"/>
          <w:sz w:val="24"/>
          <w:szCs w:val="24"/>
          <w:shd w:val="clear" w:color="auto" w:fill="FFFFFF"/>
          <w:lang w:val="en-US"/>
        </w:rPr>
      </w:pPr>
      <w:r w:rsidRPr="009B2A5F">
        <w:rPr>
          <w:rFonts w:ascii="Times New Roman" w:hAnsi="Times New Roman" w:cs="Times New Roman"/>
          <w:i/>
          <w:sz w:val="24"/>
          <w:szCs w:val="24"/>
          <w:shd w:val="clear" w:color="auto" w:fill="FFFFFF"/>
          <w:lang w:val="en-US"/>
        </w:rPr>
        <w:t>Journal on Studies in Education</w:t>
      </w:r>
      <w:r w:rsidRPr="00282E09">
        <w:rPr>
          <w:rFonts w:ascii="Times New Roman" w:hAnsi="Times New Roman" w:cs="Times New Roman"/>
          <w:sz w:val="24"/>
          <w:szCs w:val="24"/>
          <w:shd w:val="clear" w:color="auto" w:fill="FFFFFF"/>
          <w:lang w:val="en-US"/>
        </w:rPr>
        <w:t xml:space="preserve"> (</w:t>
      </w:r>
      <w:proofErr w:type="spellStart"/>
      <w:r w:rsidRPr="00282E09">
        <w:rPr>
          <w:rFonts w:ascii="Times New Roman" w:hAnsi="Times New Roman" w:cs="Times New Roman"/>
          <w:sz w:val="24"/>
          <w:szCs w:val="24"/>
          <w:shd w:val="clear" w:color="auto" w:fill="FFFFFF"/>
          <w:lang w:val="en-US"/>
        </w:rPr>
        <w:t>IJonSE</w:t>
      </w:r>
      <w:proofErr w:type="spellEnd"/>
      <w:r w:rsidRPr="00282E09">
        <w:rPr>
          <w:rFonts w:ascii="Times New Roman" w:hAnsi="Times New Roman" w:cs="Times New Roman"/>
          <w:sz w:val="24"/>
          <w:szCs w:val="24"/>
          <w:shd w:val="clear" w:color="auto" w:fill="FFFFFF"/>
          <w:lang w:val="en-US"/>
        </w:rPr>
        <w:t>), 5(4), 476</w:t>
      </w:r>
      <w:r w:rsidR="009B2A5F">
        <w:rPr>
          <w:rFonts w:ascii="Times New Roman" w:hAnsi="Times New Roman" w:cs="Times New Roman"/>
          <w:sz w:val="24"/>
          <w:szCs w:val="24"/>
          <w:shd w:val="clear" w:color="auto" w:fill="FFFFFF"/>
          <w:lang w:val="en-US"/>
        </w:rPr>
        <w:t>-</w:t>
      </w:r>
      <w:r w:rsidRPr="00282E09">
        <w:rPr>
          <w:rFonts w:ascii="Times New Roman" w:hAnsi="Times New Roman" w:cs="Times New Roman"/>
          <w:sz w:val="24"/>
          <w:szCs w:val="24"/>
          <w:shd w:val="clear" w:color="auto" w:fill="FFFFFF"/>
          <w:lang w:val="en-US"/>
        </w:rPr>
        <w:t>495. </w:t>
      </w:r>
      <w:r w:rsidR="009B2A5F">
        <w:rPr>
          <w:rFonts w:ascii="Times New Roman" w:hAnsi="Times New Roman" w:cs="Times New Roman"/>
          <w:sz w:val="24"/>
          <w:szCs w:val="24"/>
          <w:shd w:val="clear" w:color="auto" w:fill="FFFFFF"/>
          <w:lang w:val="en-US"/>
        </w:rPr>
        <w:t xml:space="preserve"> </w:t>
      </w:r>
    </w:p>
    <w:p w14:paraId="6B6AB4E4" w14:textId="77777777" w:rsidR="00282E09" w:rsidRDefault="008E1E60" w:rsidP="009B2A5F">
      <w:pPr>
        <w:spacing w:line="240" w:lineRule="auto"/>
        <w:ind w:left="709" w:hanging="1"/>
        <w:rPr>
          <w:rStyle w:val="Hyperlink"/>
          <w:rFonts w:ascii="Times New Roman" w:hAnsi="Times New Roman" w:cs="Times New Roman"/>
          <w:color w:val="006798"/>
          <w:sz w:val="24"/>
          <w:szCs w:val="24"/>
          <w:shd w:val="clear" w:color="auto" w:fill="FFFFFF"/>
          <w:lang w:val="en-US"/>
        </w:rPr>
      </w:pPr>
      <w:hyperlink r:id="rId24" w:history="1">
        <w:r w:rsidR="009B2A5F" w:rsidRPr="00BC33D1">
          <w:rPr>
            <w:rStyle w:val="Hyperlink"/>
            <w:rFonts w:ascii="Times New Roman" w:hAnsi="Times New Roman" w:cs="Times New Roman"/>
            <w:sz w:val="24"/>
            <w:szCs w:val="24"/>
            <w:shd w:val="clear" w:color="auto" w:fill="FFFFFF"/>
            <w:lang w:val="en-US"/>
          </w:rPr>
          <w:t>https://doi.org/10.46328/ijonse.148</w:t>
        </w:r>
      </w:hyperlink>
    </w:p>
    <w:p w14:paraId="77AA89EF" w14:textId="77777777" w:rsidR="001422DB" w:rsidRPr="001422DB" w:rsidRDefault="001422DB" w:rsidP="00802735">
      <w:pPr>
        <w:spacing w:after="120"/>
        <w:ind w:left="709" w:hanging="709"/>
        <w:rPr>
          <w:rFonts w:ascii="Times New Roman" w:hAnsi="Times New Roman" w:cs="Times New Roman"/>
          <w:sz w:val="24"/>
          <w:szCs w:val="24"/>
          <w:lang w:val="en-US"/>
        </w:rPr>
      </w:pPr>
      <w:proofErr w:type="spellStart"/>
      <w:r w:rsidRPr="000A1F5E">
        <w:rPr>
          <w:rFonts w:ascii="Times New Roman" w:hAnsi="Times New Roman" w:cs="Times New Roman"/>
          <w:color w:val="222222"/>
          <w:sz w:val="24"/>
          <w:szCs w:val="24"/>
          <w:shd w:val="clear" w:color="auto" w:fill="FFFFFF"/>
          <w:lang w:val="en-US"/>
        </w:rPr>
        <w:t>Sugiyono</w:t>
      </w:r>
      <w:proofErr w:type="spellEnd"/>
      <w:r w:rsidRPr="000A1F5E">
        <w:rPr>
          <w:rFonts w:ascii="Times New Roman" w:hAnsi="Times New Roman" w:cs="Times New Roman"/>
          <w:color w:val="222222"/>
          <w:sz w:val="24"/>
          <w:szCs w:val="24"/>
          <w:shd w:val="clear" w:color="auto" w:fill="FFFFFF"/>
          <w:lang w:val="en-US"/>
        </w:rPr>
        <w:t xml:space="preserve">, S. (2018). </w:t>
      </w:r>
      <w:proofErr w:type="spellStart"/>
      <w:r w:rsidRPr="001422DB">
        <w:rPr>
          <w:rFonts w:ascii="Times New Roman" w:hAnsi="Times New Roman" w:cs="Times New Roman"/>
          <w:i/>
          <w:color w:val="222222"/>
          <w:sz w:val="24"/>
          <w:szCs w:val="24"/>
          <w:shd w:val="clear" w:color="auto" w:fill="FFFFFF"/>
          <w:lang w:val="en-US"/>
        </w:rPr>
        <w:t>Metode</w:t>
      </w:r>
      <w:proofErr w:type="spellEnd"/>
      <w:r w:rsidRPr="001422DB">
        <w:rPr>
          <w:rFonts w:ascii="Times New Roman" w:hAnsi="Times New Roman" w:cs="Times New Roman"/>
          <w:i/>
          <w:color w:val="222222"/>
          <w:sz w:val="24"/>
          <w:szCs w:val="24"/>
          <w:shd w:val="clear" w:color="auto" w:fill="FFFFFF"/>
          <w:lang w:val="en-US"/>
        </w:rPr>
        <w:t xml:space="preserve"> </w:t>
      </w:r>
      <w:proofErr w:type="spellStart"/>
      <w:r w:rsidRPr="001422DB">
        <w:rPr>
          <w:rFonts w:ascii="Times New Roman" w:hAnsi="Times New Roman" w:cs="Times New Roman"/>
          <w:i/>
          <w:color w:val="222222"/>
          <w:sz w:val="24"/>
          <w:szCs w:val="24"/>
          <w:shd w:val="clear" w:color="auto" w:fill="FFFFFF"/>
          <w:lang w:val="en-US"/>
        </w:rPr>
        <w:t>penelitian</w:t>
      </w:r>
      <w:proofErr w:type="spellEnd"/>
      <w:r w:rsidRPr="001422DB">
        <w:rPr>
          <w:rFonts w:ascii="Times New Roman" w:hAnsi="Times New Roman" w:cs="Times New Roman"/>
          <w:i/>
          <w:color w:val="222222"/>
          <w:sz w:val="24"/>
          <w:szCs w:val="24"/>
          <w:shd w:val="clear" w:color="auto" w:fill="FFFFFF"/>
          <w:lang w:val="en-US"/>
        </w:rPr>
        <w:t xml:space="preserve"> </w:t>
      </w:r>
      <w:proofErr w:type="spellStart"/>
      <w:r w:rsidRPr="001422DB">
        <w:rPr>
          <w:rFonts w:ascii="Times New Roman" w:hAnsi="Times New Roman" w:cs="Times New Roman"/>
          <w:i/>
          <w:color w:val="222222"/>
          <w:sz w:val="24"/>
          <w:szCs w:val="24"/>
          <w:shd w:val="clear" w:color="auto" w:fill="FFFFFF"/>
          <w:lang w:val="en-US"/>
        </w:rPr>
        <w:t>pendidikan</w:t>
      </w:r>
      <w:proofErr w:type="spellEnd"/>
      <w:r w:rsidRPr="001422DB">
        <w:rPr>
          <w:rFonts w:ascii="Times New Roman" w:hAnsi="Times New Roman" w:cs="Times New Roman"/>
          <w:i/>
          <w:color w:val="222222"/>
          <w:sz w:val="24"/>
          <w:szCs w:val="24"/>
          <w:shd w:val="clear" w:color="auto" w:fill="FFFFFF"/>
          <w:lang w:val="en-US"/>
        </w:rPr>
        <w:t xml:space="preserve"> </w:t>
      </w:r>
      <w:proofErr w:type="spellStart"/>
      <w:r w:rsidRPr="001422DB">
        <w:rPr>
          <w:rFonts w:ascii="Times New Roman" w:hAnsi="Times New Roman" w:cs="Times New Roman"/>
          <w:i/>
          <w:color w:val="222222"/>
          <w:sz w:val="24"/>
          <w:szCs w:val="24"/>
          <w:shd w:val="clear" w:color="auto" w:fill="FFFFFF"/>
          <w:lang w:val="en-US"/>
        </w:rPr>
        <w:t>pendekatan</w:t>
      </w:r>
      <w:proofErr w:type="spellEnd"/>
      <w:r w:rsidRPr="001422DB">
        <w:rPr>
          <w:rFonts w:ascii="Times New Roman" w:hAnsi="Times New Roman" w:cs="Times New Roman"/>
          <w:i/>
          <w:color w:val="222222"/>
          <w:sz w:val="24"/>
          <w:szCs w:val="24"/>
          <w:shd w:val="clear" w:color="auto" w:fill="FFFFFF"/>
          <w:lang w:val="en-US"/>
        </w:rPr>
        <w:t xml:space="preserve"> </w:t>
      </w:r>
      <w:proofErr w:type="spellStart"/>
      <w:r w:rsidRPr="001422DB">
        <w:rPr>
          <w:rFonts w:ascii="Times New Roman" w:hAnsi="Times New Roman" w:cs="Times New Roman"/>
          <w:i/>
          <w:color w:val="222222"/>
          <w:sz w:val="24"/>
          <w:szCs w:val="24"/>
          <w:shd w:val="clear" w:color="auto" w:fill="FFFFFF"/>
          <w:lang w:val="en-US"/>
        </w:rPr>
        <w:t>kualitatif</w:t>
      </w:r>
      <w:proofErr w:type="spellEnd"/>
      <w:r w:rsidRPr="001422DB">
        <w:rPr>
          <w:rFonts w:ascii="Times New Roman" w:hAnsi="Times New Roman" w:cs="Times New Roman"/>
          <w:i/>
          <w:color w:val="222222"/>
          <w:sz w:val="24"/>
          <w:szCs w:val="24"/>
          <w:shd w:val="clear" w:color="auto" w:fill="FFFFFF"/>
          <w:lang w:val="en-US"/>
        </w:rPr>
        <w:t xml:space="preserve">, </w:t>
      </w:r>
      <w:proofErr w:type="spellStart"/>
      <w:r w:rsidRPr="001422DB">
        <w:rPr>
          <w:rFonts w:ascii="Times New Roman" w:hAnsi="Times New Roman" w:cs="Times New Roman"/>
          <w:i/>
          <w:color w:val="222222"/>
          <w:sz w:val="24"/>
          <w:szCs w:val="24"/>
          <w:shd w:val="clear" w:color="auto" w:fill="FFFFFF"/>
          <w:lang w:val="en-US"/>
        </w:rPr>
        <w:t>kuantitatif</w:t>
      </w:r>
      <w:proofErr w:type="spellEnd"/>
      <w:r w:rsidRPr="001422DB">
        <w:rPr>
          <w:rFonts w:ascii="Times New Roman" w:hAnsi="Times New Roman" w:cs="Times New Roman"/>
          <w:i/>
          <w:color w:val="222222"/>
          <w:sz w:val="24"/>
          <w:szCs w:val="24"/>
          <w:shd w:val="clear" w:color="auto" w:fill="FFFFFF"/>
          <w:lang w:val="en-US"/>
        </w:rPr>
        <w:t xml:space="preserve"> dan R &amp;</w:t>
      </w:r>
      <w:r w:rsidRPr="001422DB">
        <w:rPr>
          <w:rFonts w:ascii="Times New Roman" w:hAnsi="Times New Roman" w:cs="Times New Roman"/>
          <w:color w:val="222222"/>
          <w:sz w:val="24"/>
          <w:szCs w:val="24"/>
          <w:shd w:val="clear" w:color="auto" w:fill="FFFFFF"/>
          <w:lang w:val="en-US"/>
        </w:rPr>
        <w:t xml:space="preserve"> D (Ed. 4th). </w:t>
      </w:r>
      <w:proofErr w:type="spellStart"/>
      <w:r w:rsidRPr="001422DB">
        <w:rPr>
          <w:rFonts w:ascii="Times New Roman" w:hAnsi="Times New Roman" w:cs="Times New Roman"/>
          <w:iCs/>
          <w:color w:val="222222"/>
          <w:sz w:val="24"/>
          <w:szCs w:val="24"/>
          <w:shd w:val="clear" w:color="auto" w:fill="FFFFFF"/>
          <w:lang w:val="en-US"/>
        </w:rPr>
        <w:t>Alfabeta</w:t>
      </w:r>
      <w:proofErr w:type="spellEnd"/>
      <w:r w:rsidRPr="001422DB">
        <w:rPr>
          <w:rFonts w:ascii="Times New Roman" w:hAnsi="Times New Roman" w:cs="Times New Roman"/>
          <w:iCs/>
          <w:color w:val="222222"/>
          <w:sz w:val="24"/>
          <w:szCs w:val="24"/>
          <w:shd w:val="clear" w:color="auto" w:fill="FFFFFF"/>
          <w:lang w:val="en-US"/>
        </w:rPr>
        <w:t>.</w:t>
      </w:r>
    </w:p>
    <w:p w14:paraId="647A8072" w14:textId="77777777" w:rsidR="00802735" w:rsidRPr="009757D9" w:rsidRDefault="00802735" w:rsidP="00802735">
      <w:pPr>
        <w:pStyle w:val="NormalWeb"/>
        <w:spacing w:before="0" w:beforeAutospacing="0" w:after="120" w:afterAutospacing="0"/>
        <w:ind w:left="709" w:hanging="709"/>
        <w:jc w:val="both"/>
        <w:rPr>
          <w:lang w:val="en-US"/>
        </w:rPr>
      </w:pPr>
      <w:r w:rsidRPr="00DE6294">
        <w:rPr>
          <w:lang w:val="en-US"/>
        </w:rPr>
        <w:t xml:space="preserve">Stockemer, D. (2019). </w:t>
      </w:r>
      <w:r w:rsidRPr="00DE6294">
        <w:rPr>
          <w:rStyle w:val="Emphasis"/>
          <w:lang w:val="en-US"/>
        </w:rPr>
        <w:t>Quantitative methods for the social sciences: A practical introduction with examples in SPSS and Stata</w:t>
      </w:r>
      <w:r w:rsidRPr="00DE6294">
        <w:rPr>
          <w:lang w:val="en-US"/>
        </w:rPr>
        <w:t xml:space="preserve">. </w:t>
      </w:r>
      <w:r w:rsidRPr="009757D9">
        <w:rPr>
          <w:lang w:val="en-US"/>
        </w:rPr>
        <w:t xml:space="preserve">Springer Cham. </w:t>
      </w:r>
      <w:hyperlink r:id="rId25" w:history="1">
        <w:r w:rsidRPr="009757D9">
          <w:rPr>
            <w:rStyle w:val="Hyperlink"/>
            <w:u w:val="single"/>
            <w:lang w:val="en-US"/>
          </w:rPr>
          <w:t>https://doi.org/10.1007/978-3-319-99118-4</w:t>
        </w:r>
      </w:hyperlink>
    </w:p>
    <w:p w14:paraId="4A9E8189" w14:textId="77777777" w:rsidR="008347D8" w:rsidRDefault="008347D8" w:rsidP="008347D8">
      <w:pPr>
        <w:ind w:left="708" w:hanging="708"/>
        <w:jc w:val="both"/>
        <w:rPr>
          <w:rFonts w:ascii="Times New Roman" w:hAnsi="Times New Roman" w:cs="Times New Roman"/>
          <w:color w:val="222222"/>
          <w:sz w:val="24"/>
          <w:szCs w:val="24"/>
          <w:shd w:val="clear" w:color="auto" w:fill="FFFFFF"/>
          <w:lang w:val="en-US"/>
        </w:rPr>
      </w:pPr>
      <w:proofErr w:type="spellStart"/>
      <w:r>
        <w:rPr>
          <w:rFonts w:ascii="Times New Roman" w:hAnsi="Times New Roman" w:cs="Times New Roman"/>
          <w:color w:val="222222"/>
          <w:sz w:val="24"/>
          <w:szCs w:val="24"/>
          <w:shd w:val="clear" w:color="auto" w:fill="FFFFFF"/>
          <w:lang w:val="en-US"/>
        </w:rPr>
        <w:t>Taherdoost</w:t>
      </w:r>
      <w:proofErr w:type="spellEnd"/>
      <w:r>
        <w:rPr>
          <w:rFonts w:ascii="Times New Roman" w:hAnsi="Times New Roman" w:cs="Times New Roman"/>
          <w:color w:val="222222"/>
          <w:sz w:val="24"/>
          <w:szCs w:val="24"/>
          <w:shd w:val="clear" w:color="auto" w:fill="FFFFFF"/>
          <w:lang w:val="en-US"/>
        </w:rPr>
        <w:t>, H. (2016). Sampling methods in research methodology: How to choose a sampling technique for research. </w:t>
      </w:r>
      <w:r>
        <w:rPr>
          <w:rFonts w:ascii="Times New Roman" w:hAnsi="Times New Roman" w:cs="Times New Roman"/>
          <w:i/>
          <w:iCs/>
          <w:color w:val="222222"/>
          <w:sz w:val="24"/>
          <w:szCs w:val="24"/>
          <w:shd w:val="clear" w:color="auto" w:fill="FFFFFF"/>
          <w:lang w:val="en-US"/>
        </w:rPr>
        <w:t>International Journal of Academic Research in Management (IJARM)</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5</w:t>
      </w:r>
      <w:r>
        <w:rPr>
          <w:rFonts w:ascii="Times New Roman" w:hAnsi="Times New Roman" w:cs="Times New Roman"/>
          <w:color w:val="222222"/>
          <w:sz w:val="24"/>
          <w:szCs w:val="24"/>
          <w:shd w:val="clear" w:color="auto" w:fill="FFFFFF"/>
          <w:lang w:val="en-US"/>
        </w:rPr>
        <w:t>.</w:t>
      </w:r>
    </w:p>
    <w:p w14:paraId="3DDC42BB" w14:textId="77777777" w:rsidR="008347D8" w:rsidRPr="00282E09" w:rsidRDefault="008347D8" w:rsidP="008347D8">
      <w:pPr>
        <w:pStyle w:val="NormalWeb"/>
        <w:spacing w:before="0" w:beforeAutospacing="0" w:after="240" w:afterAutospacing="0"/>
        <w:ind w:left="720" w:hanging="720"/>
        <w:jc w:val="both"/>
        <w:rPr>
          <w:lang w:val="en-US"/>
        </w:rPr>
      </w:pPr>
      <w:r w:rsidRPr="00282E09">
        <w:rPr>
          <w:color w:val="222222"/>
          <w:shd w:val="clear" w:color="auto" w:fill="FFFFFF"/>
          <w:lang w:val="en-US"/>
        </w:rPr>
        <w:t>Taylor-Leech, K. (2013). The language situation in Timor-Leste. In </w:t>
      </w:r>
      <w:r w:rsidRPr="00282E09">
        <w:rPr>
          <w:i/>
          <w:iCs/>
          <w:color w:val="222222"/>
          <w:shd w:val="clear" w:color="auto" w:fill="FFFFFF"/>
          <w:lang w:val="en-US"/>
        </w:rPr>
        <w:t>Language planning in the Asia Pacific</w:t>
      </w:r>
      <w:r w:rsidRPr="00282E09">
        <w:rPr>
          <w:color w:val="222222"/>
          <w:shd w:val="clear" w:color="auto" w:fill="FFFFFF"/>
          <w:lang w:val="en-US"/>
        </w:rPr>
        <w:t xml:space="preserve"> (pp. 92-159). </w:t>
      </w:r>
      <w:r w:rsidRPr="009F3A1C">
        <w:rPr>
          <w:color w:val="222222"/>
          <w:shd w:val="clear" w:color="auto" w:fill="FFFFFF"/>
          <w:lang w:val="en-US"/>
        </w:rPr>
        <w:t>Routledge.</w:t>
      </w:r>
    </w:p>
    <w:p w14:paraId="45F8D13B" w14:textId="77777777" w:rsidR="004E6675" w:rsidRPr="00282E09" w:rsidRDefault="004E6675" w:rsidP="004E6675">
      <w:pPr>
        <w:pStyle w:val="NormalWeb"/>
        <w:spacing w:before="0" w:beforeAutospacing="0" w:after="240" w:afterAutospacing="0"/>
        <w:ind w:left="720" w:hanging="720"/>
        <w:jc w:val="both"/>
        <w:rPr>
          <w:lang w:val="en-US"/>
        </w:rPr>
      </w:pPr>
      <w:r w:rsidRPr="000B18C0">
        <w:rPr>
          <w:color w:val="222222"/>
          <w:shd w:val="clear" w:color="auto" w:fill="FFFFFF"/>
          <w:lang w:val="en-US"/>
        </w:rPr>
        <w:lastRenderedPageBreak/>
        <w:t xml:space="preserve">Tupas, R., &amp; Sercombe, P. (2014). </w:t>
      </w:r>
      <w:r w:rsidRPr="00282E09">
        <w:rPr>
          <w:color w:val="222222"/>
          <w:shd w:val="clear" w:color="auto" w:fill="FFFFFF"/>
          <w:lang w:val="en-US"/>
        </w:rPr>
        <w:t>Language, education and nation-building in Southeast Asia: An introduction. In </w:t>
      </w:r>
      <w:r w:rsidRPr="00282E09">
        <w:rPr>
          <w:i/>
          <w:iCs/>
          <w:color w:val="222222"/>
          <w:shd w:val="clear" w:color="auto" w:fill="FFFFFF"/>
          <w:lang w:val="en-US"/>
        </w:rPr>
        <w:t>Language, education and nation-building: Assimilation and shift in Southeast Asia</w:t>
      </w:r>
      <w:r w:rsidRPr="00282E09">
        <w:rPr>
          <w:color w:val="222222"/>
          <w:shd w:val="clear" w:color="auto" w:fill="FFFFFF"/>
          <w:lang w:val="en-US"/>
        </w:rPr>
        <w:t> (pp. 1-21). Palgrave Macmillan UK.</w:t>
      </w:r>
    </w:p>
    <w:p w14:paraId="757FA157" w14:textId="77777777" w:rsidR="008A54A4" w:rsidRPr="000A1F5E" w:rsidRDefault="008A54A4" w:rsidP="008A54A4">
      <w:pPr>
        <w:spacing w:after="0" w:line="240" w:lineRule="auto"/>
        <w:ind w:left="1416" w:hanging="1416"/>
        <w:rPr>
          <w:rFonts w:ascii="Times New Roman" w:hAnsi="Times New Roman" w:cs="Times New Roman"/>
          <w:color w:val="222222"/>
          <w:sz w:val="24"/>
          <w:szCs w:val="24"/>
          <w:shd w:val="clear" w:color="auto" w:fill="FFFFFF"/>
          <w:lang w:val="en-US"/>
        </w:rPr>
      </w:pPr>
      <w:r w:rsidRPr="000A1F5E">
        <w:rPr>
          <w:rFonts w:ascii="Times New Roman" w:hAnsi="Times New Roman" w:cs="Times New Roman"/>
          <w:color w:val="222222"/>
          <w:sz w:val="24"/>
          <w:szCs w:val="24"/>
          <w:shd w:val="clear" w:color="auto" w:fill="FFFFFF"/>
          <w:lang w:val="en-US"/>
        </w:rPr>
        <w:t xml:space="preserve">Usmadi, U. (2020). </w:t>
      </w:r>
      <w:proofErr w:type="spellStart"/>
      <w:r w:rsidRPr="000A1F5E">
        <w:rPr>
          <w:rFonts w:ascii="Times New Roman" w:hAnsi="Times New Roman" w:cs="Times New Roman"/>
          <w:color w:val="222222"/>
          <w:sz w:val="24"/>
          <w:szCs w:val="24"/>
          <w:shd w:val="clear" w:color="auto" w:fill="FFFFFF"/>
          <w:lang w:val="en-US"/>
        </w:rPr>
        <w:t>Pengujian</w:t>
      </w:r>
      <w:proofErr w:type="spellEnd"/>
      <w:r w:rsidRPr="000A1F5E">
        <w:rPr>
          <w:rFonts w:ascii="Times New Roman" w:hAnsi="Times New Roman" w:cs="Times New Roman"/>
          <w:color w:val="222222"/>
          <w:sz w:val="24"/>
          <w:szCs w:val="24"/>
          <w:shd w:val="clear" w:color="auto" w:fill="FFFFFF"/>
          <w:lang w:val="en-US"/>
        </w:rPr>
        <w:t xml:space="preserve"> </w:t>
      </w:r>
      <w:proofErr w:type="spellStart"/>
      <w:r w:rsidRPr="000A1F5E">
        <w:rPr>
          <w:rFonts w:ascii="Times New Roman" w:hAnsi="Times New Roman" w:cs="Times New Roman"/>
          <w:color w:val="222222"/>
          <w:sz w:val="24"/>
          <w:szCs w:val="24"/>
          <w:shd w:val="clear" w:color="auto" w:fill="FFFFFF"/>
          <w:lang w:val="en-US"/>
        </w:rPr>
        <w:t>persyaratan</w:t>
      </w:r>
      <w:proofErr w:type="spellEnd"/>
      <w:r w:rsidRPr="000A1F5E">
        <w:rPr>
          <w:rFonts w:ascii="Times New Roman" w:hAnsi="Times New Roman" w:cs="Times New Roman"/>
          <w:color w:val="222222"/>
          <w:sz w:val="24"/>
          <w:szCs w:val="24"/>
          <w:shd w:val="clear" w:color="auto" w:fill="FFFFFF"/>
          <w:lang w:val="en-US"/>
        </w:rPr>
        <w:t xml:space="preserve"> </w:t>
      </w:r>
      <w:proofErr w:type="spellStart"/>
      <w:r w:rsidRPr="000A1F5E">
        <w:rPr>
          <w:rFonts w:ascii="Times New Roman" w:hAnsi="Times New Roman" w:cs="Times New Roman"/>
          <w:color w:val="222222"/>
          <w:sz w:val="24"/>
          <w:szCs w:val="24"/>
          <w:shd w:val="clear" w:color="auto" w:fill="FFFFFF"/>
          <w:lang w:val="en-US"/>
        </w:rPr>
        <w:t>analisis</w:t>
      </w:r>
      <w:proofErr w:type="spellEnd"/>
      <w:r w:rsidRPr="000A1F5E">
        <w:rPr>
          <w:rFonts w:ascii="Times New Roman" w:hAnsi="Times New Roman" w:cs="Times New Roman"/>
          <w:color w:val="222222"/>
          <w:sz w:val="24"/>
          <w:szCs w:val="24"/>
          <w:shd w:val="clear" w:color="auto" w:fill="FFFFFF"/>
          <w:lang w:val="en-US"/>
        </w:rPr>
        <w:t xml:space="preserve"> (Uji </w:t>
      </w:r>
      <w:proofErr w:type="spellStart"/>
      <w:r w:rsidRPr="000A1F5E">
        <w:rPr>
          <w:rFonts w:ascii="Times New Roman" w:hAnsi="Times New Roman" w:cs="Times New Roman"/>
          <w:color w:val="222222"/>
          <w:sz w:val="24"/>
          <w:szCs w:val="24"/>
          <w:shd w:val="clear" w:color="auto" w:fill="FFFFFF"/>
          <w:lang w:val="en-US"/>
        </w:rPr>
        <w:t>homogenitas</w:t>
      </w:r>
      <w:proofErr w:type="spellEnd"/>
      <w:r w:rsidRPr="000A1F5E">
        <w:rPr>
          <w:rFonts w:ascii="Times New Roman" w:hAnsi="Times New Roman" w:cs="Times New Roman"/>
          <w:color w:val="222222"/>
          <w:sz w:val="24"/>
          <w:szCs w:val="24"/>
          <w:shd w:val="clear" w:color="auto" w:fill="FFFFFF"/>
          <w:lang w:val="en-US"/>
        </w:rPr>
        <w:t xml:space="preserve"> dan uji </w:t>
      </w:r>
      <w:proofErr w:type="spellStart"/>
      <w:r w:rsidRPr="000A1F5E">
        <w:rPr>
          <w:rFonts w:ascii="Times New Roman" w:hAnsi="Times New Roman" w:cs="Times New Roman"/>
          <w:color w:val="222222"/>
          <w:sz w:val="24"/>
          <w:szCs w:val="24"/>
          <w:shd w:val="clear" w:color="auto" w:fill="FFFFFF"/>
          <w:lang w:val="en-US"/>
        </w:rPr>
        <w:t>normalitas</w:t>
      </w:r>
      <w:proofErr w:type="spellEnd"/>
      <w:r w:rsidRPr="000A1F5E">
        <w:rPr>
          <w:rFonts w:ascii="Times New Roman" w:hAnsi="Times New Roman" w:cs="Times New Roman"/>
          <w:color w:val="222222"/>
          <w:sz w:val="24"/>
          <w:szCs w:val="24"/>
          <w:shd w:val="clear" w:color="auto" w:fill="FFFFFF"/>
          <w:lang w:val="en-US"/>
        </w:rPr>
        <w:t>). </w:t>
      </w:r>
    </w:p>
    <w:p w14:paraId="3C5D8FCD" w14:textId="77777777" w:rsidR="008A54A4" w:rsidRPr="000A1F5E" w:rsidRDefault="008A54A4" w:rsidP="008A54A4">
      <w:pPr>
        <w:spacing w:line="240" w:lineRule="auto"/>
        <w:ind w:left="1416" w:hanging="708"/>
        <w:rPr>
          <w:rFonts w:ascii="Times New Roman" w:hAnsi="Times New Roman" w:cs="Times New Roman"/>
          <w:color w:val="222222"/>
          <w:sz w:val="24"/>
          <w:szCs w:val="24"/>
          <w:shd w:val="clear" w:color="auto" w:fill="FFFFFF"/>
          <w:lang w:val="en-US"/>
        </w:rPr>
      </w:pPr>
      <w:proofErr w:type="spellStart"/>
      <w:r w:rsidRPr="000A1F5E">
        <w:rPr>
          <w:rFonts w:ascii="Times New Roman" w:hAnsi="Times New Roman" w:cs="Times New Roman"/>
          <w:i/>
          <w:iCs/>
          <w:color w:val="222222"/>
          <w:sz w:val="24"/>
          <w:szCs w:val="24"/>
          <w:shd w:val="clear" w:color="auto" w:fill="FFFFFF"/>
          <w:lang w:val="en-US"/>
        </w:rPr>
        <w:t>Inovasi</w:t>
      </w:r>
      <w:proofErr w:type="spellEnd"/>
      <w:r w:rsidRPr="000A1F5E">
        <w:rPr>
          <w:rFonts w:ascii="Times New Roman" w:hAnsi="Times New Roman" w:cs="Times New Roman"/>
          <w:i/>
          <w:iCs/>
          <w:color w:val="222222"/>
          <w:sz w:val="24"/>
          <w:szCs w:val="24"/>
          <w:shd w:val="clear" w:color="auto" w:fill="FFFFFF"/>
          <w:lang w:val="en-US"/>
        </w:rPr>
        <w:t xml:space="preserve"> Pendidikan</w:t>
      </w:r>
      <w:r w:rsidRPr="000A1F5E">
        <w:rPr>
          <w:rFonts w:ascii="Times New Roman" w:hAnsi="Times New Roman" w:cs="Times New Roman"/>
          <w:color w:val="222222"/>
          <w:sz w:val="24"/>
          <w:szCs w:val="24"/>
          <w:shd w:val="clear" w:color="auto" w:fill="FFFFFF"/>
          <w:lang w:val="en-US"/>
        </w:rPr>
        <w:t>, </w:t>
      </w:r>
      <w:r w:rsidRPr="000A1F5E">
        <w:rPr>
          <w:rFonts w:ascii="Times New Roman" w:hAnsi="Times New Roman" w:cs="Times New Roman"/>
          <w:i/>
          <w:iCs/>
          <w:color w:val="222222"/>
          <w:sz w:val="24"/>
          <w:szCs w:val="24"/>
          <w:shd w:val="clear" w:color="auto" w:fill="FFFFFF"/>
          <w:lang w:val="en-US"/>
        </w:rPr>
        <w:t>7</w:t>
      </w:r>
      <w:r w:rsidRPr="000A1F5E">
        <w:rPr>
          <w:rFonts w:ascii="Times New Roman" w:hAnsi="Times New Roman" w:cs="Times New Roman"/>
          <w:color w:val="222222"/>
          <w:sz w:val="24"/>
          <w:szCs w:val="24"/>
          <w:shd w:val="clear" w:color="auto" w:fill="FFFFFF"/>
          <w:lang w:val="en-US"/>
        </w:rPr>
        <w:t xml:space="preserve">(01). </w:t>
      </w:r>
      <w:hyperlink r:id="rId26" w:history="1">
        <w:r w:rsidRPr="000A1F5E">
          <w:rPr>
            <w:rStyle w:val="Hyperlink"/>
            <w:rFonts w:ascii="Times New Roman" w:hAnsi="Times New Roman" w:cs="Times New Roman"/>
            <w:sz w:val="24"/>
            <w:szCs w:val="24"/>
            <w:shd w:val="clear" w:color="auto" w:fill="FFFFFF"/>
            <w:lang w:val="en-US"/>
          </w:rPr>
          <w:t>https://doi.org/10.31869/ip.v7i1.2281</w:t>
        </w:r>
      </w:hyperlink>
    </w:p>
    <w:p w14:paraId="6C62756D" w14:textId="77777777" w:rsidR="004E6675" w:rsidRPr="009F3A1C" w:rsidRDefault="004E6675" w:rsidP="004E6675">
      <w:pPr>
        <w:pStyle w:val="NormalWeb"/>
        <w:spacing w:before="0" w:beforeAutospacing="0" w:after="240" w:afterAutospacing="0"/>
        <w:ind w:left="720" w:hanging="720"/>
        <w:jc w:val="both"/>
      </w:pPr>
      <w:r w:rsidRPr="000A1F5E">
        <w:rPr>
          <w:lang w:val="en-US"/>
        </w:rPr>
        <w:t xml:space="preserve">UNICEF Timor-Leste. </w:t>
      </w:r>
      <w:r w:rsidRPr="00282E09">
        <w:rPr>
          <w:lang w:val="en-US"/>
        </w:rPr>
        <w:t>(2024, February 21). UNESCO and UNICEF commemorate the 25th anniversary of International Mother Language Day.</w:t>
      </w:r>
      <w:r w:rsidRPr="00282E09">
        <w:rPr>
          <w:lang w:val="en-US"/>
        </w:rPr>
        <w:br/>
      </w:r>
      <w:hyperlink r:id="rId27" w:history="1">
        <w:r w:rsidR="00FC06EF" w:rsidRPr="009F3A1C">
          <w:rPr>
            <w:rStyle w:val="Hyperlink"/>
          </w:rPr>
          <w:t>https://www.unicef.org/timorleste/press-releases/unesco-and-unicef-commemorate-25th-anniversary-international-mother-language-day</w:t>
        </w:r>
      </w:hyperlink>
    </w:p>
    <w:p w14:paraId="183FBB27" w14:textId="77777777" w:rsidR="00282E09" w:rsidRPr="00282E09" w:rsidRDefault="00282E09" w:rsidP="00282E09">
      <w:pPr>
        <w:ind w:left="708" w:hanging="708"/>
        <w:rPr>
          <w:rFonts w:ascii="Times New Roman" w:hAnsi="Times New Roman" w:cs="Times New Roman"/>
          <w:sz w:val="24"/>
          <w:szCs w:val="24"/>
          <w:shd w:val="clear" w:color="auto" w:fill="FFFFFF"/>
          <w:lang w:val="en-US"/>
        </w:rPr>
      </w:pPr>
      <w:r w:rsidRPr="00282E09">
        <w:rPr>
          <w:rFonts w:ascii="Times New Roman" w:hAnsi="Times New Roman" w:cs="Times New Roman"/>
          <w:color w:val="222222"/>
          <w:sz w:val="24"/>
          <w:szCs w:val="24"/>
          <w:shd w:val="clear" w:color="auto" w:fill="FFFFFF"/>
          <w:lang w:val="en-US"/>
        </w:rPr>
        <w:t>Ximenes, S. M. (2025). Challenges and</w:t>
      </w:r>
      <w:r w:rsidR="0095089B" w:rsidRPr="00282E09">
        <w:rPr>
          <w:rFonts w:ascii="Times New Roman" w:hAnsi="Times New Roman" w:cs="Times New Roman"/>
          <w:color w:val="222222"/>
          <w:sz w:val="24"/>
          <w:szCs w:val="24"/>
          <w:shd w:val="clear" w:color="auto" w:fill="FFFFFF"/>
          <w:lang w:val="en-US"/>
        </w:rPr>
        <w:t xml:space="preserve"> opportunities in implementing the 2014 primary education curriculum in </w:t>
      </w:r>
      <w:r w:rsidRPr="00282E09">
        <w:rPr>
          <w:rFonts w:ascii="Times New Roman" w:hAnsi="Times New Roman" w:cs="Times New Roman"/>
          <w:color w:val="222222"/>
          <w:sz w:val="24"/>
          <w:szCs w:val="24"/>
          <w:shd w:val="clear" w:color="auto" w:fill="FFFFFF"/>
          <w:lang w:val="en-US"/>
        </w:rPr>
        <w:t xml:space="preserve">Timor-Leste: A </w:t>
      </w:r>
      <w:r w:rsidR="0095089B" w:rsidRPr="00282E09">
        <w:rPr>
          <w:rFonts w:ascii="Times New Roman" w:hAnsi="Times New Roman" w:cs="Times New Roman"/>
          <w:color w:val="222222"/>
          <w:sz w:val="24"/>
          <w:szCs w:val="24"/>
          <w:shd w:val="clear" w:color="auto" w:fill="FFFFFF"/>
          <w:lang w:val="en-US"/>
        </w:rPr>
        <w:t>critical review of teacher perspectives</w:t>
      </w:r>
      <w:r w:rsidRPr="00282E09">
        <w:rPr>
          <w:rFonts w:ascii="Times New Roman" w:hAnsi="Times New Roman" w:cs="Times New Roman"/>
          <w:color w:val="222222"/>
          <w:sz w:val="24"/>
          <w:szCs w:val="24"/>
          <w:shd w:val="clear" w:color="auto" w:fill="FFFFFF"/>
          <w:lang w:val="en-US"/>
        </w:rPr>
        <w:t xml:space="preserve">. </w:t>
      </w:r>
      <w:r w:rsidRPr="00282E09">
        <w:rPr>
          <w:rFonts w:ascii="Times New Roman" w:hAnsi="Times New Roman" w:cs="Times New Roman"/>
          <w:i/>
          <w:sz w:val="24"/>
          <w:szCs w:val="24"/>
          <w:shd w:val="clear" w:color="auto" w:fill="FFFFFF"/>
          <w:lang w:val="en-US"/>
        </w:rPr>
        <w:t>International Journal of Applied and Advanced Multidisciplinary Research</w:t>
      </w:r>
      <w:r w:rsidRPr="00282E09">
        <w:rPr>
          <w:rFonts w:ascii="Times New Roman" w:hAnsi="Times New Roman" w:cs="Times New Roman"/>
          <w:sz w:val="24"/>
          <w:szCs w:val="24"/>
          <w:shd w:val="clear" w:color="auto" w:fill="FFFFFF"/>
          <w:lang w:val="en-US"/>
        </w:rPr>
        <w:t xml:space="preserve">, </w:t>
      </w:r>
      <w:r w:rsidRPr="00282E09">
        <w:rPr>
          <w:rFonts w:ascii="Times New Roman" w:hAnsi="Times New Roman" w:cs="Times New Roman"/>
          <w:i/>
          <w:sz w:val="24"/>
          <w:szCs w:val="24"/>
          <w:shd w:val="clear" w:color="auto" w:fill="FFFFFF"/>
          <w:lang w:val="en-US"/>
        </w:rPr>
        <w:t>3</w:t>
      </w:r>
      <w:r w:rsidRPr="00282E09">
        <w:rPr>
          <w:rFonts w:ascii="Times New Roman" w:hAnsi="Times New Roman" w:cs="Times New Roman"/>
          <w:sz w:val="24"/>
          <w:szCs w:val="24"/>
          <w:shd w:val="clear" w:color="auto" w:fill="FFFFFF"/>
          <w:lang w:val="en-US"/>
        </w:rPr>
        <w:t xml:space="preserve">(2), 143-152. </w:t>
      </w:r>
      <w:hyperlink r:id="rId28" w:history="1">
        <w:r w:rsidRPr="00282E09">
          <w:rPr>
            <w:rStyle w:val="Hyperlink"/>
            <w:rFonts w:ascii="Times New Roman" w:hAnsi="Times New Roman" w:cs="Times New Roman"/>
            <w:sz w:val="24"/>
            <w:szCs w:val="24"/>
            <w:shd w:val="clear" w:color="auto" w:fill="FFFFFF"/>
            <w:lang w:val="en-US"/>
          </w:rPr>
          <w:t>https://doi.org/10.59890/ijaamr.v3i2.342</w:t>
        </w:r>
      </w:hyperlink>
    </w:p>
    <w:p w14:paraId="5FFB9804" w14:textId="77777777" w:rsidR="004E6675" w:rsidRPr="00B0686C" w:rsidRDefault="004E6675" w:rsidP="00DB724A">
      <w:pPr>
        <w:pStyle w:val="BodyText"/>
        <w:spacing w:before="0" w:after="240"/>
        <w:jc w:val="both"/>
        <w:rPr>
          <w:rFonts w:ascii="Times New Roman" w:hAnsi="Times New Roman" w:cs="Times New Roman"/>
        </w:rPr>
      </w:pPr>
    </w:p>
    <w:p w14:paraId="5203AAEB" w14:textId="77777777" w:rsidR="00A5305E" w:rsidRPr="00A5305E" w:rsidRDefault="00A5305E" w:rsidP="00E34F05">
      <w:pPr>
        <w:spacing w:after="0" w:line="360" w:lineRule="auto"/>
        <w:jc w:val="both"/>
        <w:rPr>
          <w:rFonts w:ascii="Times New Roman" w:hAnsi="Times New Roman" w:cs="Times New Roman"/>
          <w:lang w:val="en-US"/>
        </w:rPr>
      </w:pPr>
    </w:p>
    <w:sectPr w:rsidR="00A5305E" w:rsidRPr="00A5305E" w:rsidSect="00BA56C4">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9BEDE" w14:textId="77777777" w:rsidR="008E1E60" w:rsidRDefault="008E1E60" w:rsidP="00977F10">
      <w:pPr>
        <w:spacing w:after="0" w:line="240" w:lineRule="auto"/>
      </w:pPr>
      <w:r>
        <w:separator/>
      </w:r>
    </w:p>
  </w:endnote>
  <w:endnote w:type="continuationSeparator" w:id="0">
    <w:p w14:paraId="328E9AC3" w14:textId="77777777" w:rsidR="008E1E60" w:rsidRDefault="008E1E60" w:rsidP="0097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1381" w14:textId="77777777" w:rsidR="00977F10" w:rsidRDefault="00977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C1FE" w14:textId="77777777" w:rsidR="00977F10" w:rsidRDefault="00977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40A8" w14:textId="77777777" w:rsidR="00977F10" w:rsidRDefault="0097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F7439" w14:textId="77777777" w:rsidR="008E1E60" w:rsidRDefault="008E1E60" w:rsidP="00977F10">
      <w:pPr>
        <w:spacing w:after="0" w:line="240" w:lineRule="auto"/>
      </w:pPr>
      <w:r>
        <w:separator/>
      </w:r>
    </w:p>
  </w:footnote>
  <w:footnote w:type="continuationSeparator" w:id="0">
    <w:p w14:paraId="02CA56DE" w14:textId="77777777" w:rsidR="008E1E60" w:rsidRDefault="008E1E60" w:rsidP="00977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58A4" w14:textId="04C59CBA" w:rsidR="00977F10" w:rsidRDefault="00977F10">
    <w:pPr>
      <w:pStyle w:val="Header"/>
    </w:pPr>
    <w:r>
      <w:rPr>
        <w:noProof/>
      </w:rPr>
      <w:pict w14:anchorId="47B84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44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4717" w14:textId="102711E8" w:rsidR="00977F10" w:rsidRDefault="00977F10">
    <w:pPr>
      <w:pStyle w:val="Header"/>
    </w:pPr>
    <w:r>
      <w:rPr>
        <w:noProof/>
      </w:rPr>
      <w:pict w14:anchorId="62C73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44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A391" w14:textId="37612F53" w:rsidR="00977F10" w:rsidRDefault="00977F10">
    <w:pPr>
      <w:pStyle w:val="Header"/>
    </w:pPr>
    <w:r>
      <w:rPr>
        <w:noProof/>
      </w:rPr>
      <w:pict w14:anchorId="17732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44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1E9"/>
    <w:multiLevelType w:val="multilevel"/>
    <w:tmpl w:val="DCAEB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B4EAD"/>
    <w:multiLevelType w:val="hybridMultilevel"/>
    <w:tmpl w:val="3246EE3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E7D4A2D"/>
    <w:multiLevelType w:val="hybridMultilevel"/>
    <w:tmpl w:val="B7DE71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2A0C09"/>
    <w:multiLevelType w:val="hybridMultilevel"/>
    <w:tmpl w:val="DA36E5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7AFC61DD"/>
    <w:multiLevelType w:val="hybridMultilevel"/>
    <w:tmpl w:val="3772627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5E"/>
    <w:rsid w:val="00030740"/>
    <w:rsid w:val="00054402"/>
    <w:rsid w:val="00071096"/>
    <w:rsid w:val="00074435"/>
    <w:rsid w:val="00084591"/>
    <w:rsid w:val="000A1F5E"/>
    <w:rsid w:val="000A71F3"/>
    <w:rsid w:val="000B18C0"/>
    <w:rsid w:val="000C41A4"/>
    <w:rsid w:val="000D6D01"/>
    <w:rsid w:val="001055B9"/>
    <w:rsid w:val="00116E6B"/>
    <w:rsid w:val="00141A78"/>
    <w:rsid w:val="001422DB"/>
    <w:rsid w:val="001664A9"/>
    <w:rsid w:val="001843E2"/>
    <w:rsid w:val="00194099"/>
    <w:rsid w:val="001B1478"/>
    <w:rsid w:val="001B2E53"/>
    <w:rsid w:val="001F2ACD"/>
    <w:rsid w:val="00232411"/>
    <w:rsid w:val="0024050B"/>
    <w:rsid w:val="00242584"/>
    <w:rsid w:val="00273A8C"/>
    <w:rsid w:val="0027586F"/>
    <w:rsid w:val="00280D9F"/>
    <w:rsid w:val="002816B5"/>
    <w:rsid w:val="00282E09"/>
    <w:rsid w:val="00293796"/>
    <w:rsid w:val="002958C4"/>
    <w:rsid w:val="002A14B5"/>
    <w:rsid w:val="002A4124"/>
    <w:rsid w:val="002D42A1"/>
    <w:rsid w:val="002D6DCD"/>
    <w:rsid w:val="002F28DF"/>
    <w:rsid w:val="002F7ACD"/>
    <w:rsid w:val="0032169D"/>
    <w:rsid w:val="00357C43"/>
    <w:rsid w:val="00361BBE"/>
    <w:rsid w:val="00380E94"/>
    <w:rsid w:val="0038452E"/>
    <w:rsid w:val="003B4749"/>
    <w:rsid w:val="003B7CDA"/>
    <w:rsid w:val="003C74BA"/>
    <w:rsid w:val="003E2A15"/>
    <w:rsid w:val="003F7AF4"/>
    <w:rsid w:val="004441D0"/>
    <w:rsid w:val="0044571F"/>
    <w:rsid w:val="00445A65"/>
    <w:rsid w:val="004665D7"/>
    <w:rsid w:val="00466962"/>
    <w:rsid w:val="004714BC"/>
    <w:rsid w:val="004A541B"/>
    <w:rsid w:val="004A78AA"/>
    <w:rsid w:val="004D3779"/>
    <w:rsid w:val="004E5AFC"/>
    <w:rsid w:val="004E6675"/>
    <w:rsid w:val="00501342"/>
    <w:rsid w:val="005256FE"/>
    <w:rsid w:val="005349F6"/>
    <w:rsid w:val="00535CCA"/>
    <w:rsid w:val="00537E31"/>
    <w:rsid w:val="005402D4"/>
    <w:rsid w:val="005808BD"/>
    <w:rsid w:val="0058111F"/>
    <w:rsid w:val="005A573A"/>
    <w:rsid w:val="005D5DF8"/>
    <w:rsid w:val="005D6E1A"/>
    <w:rsid w:val="005D7F7B"/>
    <w:rsid w:val="005E005B"/>
    <w:rsid w:val="00605A13"/>
    <w:rsid w:val="00620BB4"/>
    <w:rsid w:val="00641294"/>
    <w:rsid w:val="00650A2D"/>
    <w:rsid w:val="00664189"/>
    <w:rsid w:val="00673539"/>
    <w:rsid w:val="00683F6E"/>
    <w:rsid w:val="00687658"/>
    <w:rsid w:val="006B69A7"/>
    <w:rsid w:val="006C1EE6"/>
    <w:rsid w:val="006D1074"/>
    <w:rsid w:val="006D5866"/>
    <w:rsid w:val="006E5218"/>
    <w:rsid w:val="006F0101"/>
    <w:rsid w:val="00702AE2"/>
    <w:rsid w:val="007063DE"/>
    <w:rsid w:val="00707BC2"/>
    <w:rsid w:val="00712BFF"/>
    <w:rsid w:val="007568BE"/>
    <w:rsid w:val="007611FF"/>
    <w:rsid w:val="007822EB"/>
    <w:rsid w:val="00783FF5"/>
    <w:rsid w:val="007A6157"/>
    <w:rsid w:val="007E61DA"/>
    <w:rsid w:val="007F1811"/>
    <w:rsid w:val="00802133"/>
    <w:rsid w:val="00802735"/>
    <w:rsid w:val="00805780"/>
    <w:rsid w:val="0080794C"/>
    <w:rsid w:val="008108B6"/>
    <w:rsid w:val="008347D8"/>
    <w:rsid w:val="00851B2A"/>
    <w:rsid w:val="00865CBC"/>
    <w:rsid w:val="00876262"/>
    <w:rsid w:val="00880C1F"/>
    <w:rsid w:val="00891370"/>
    <w:rsid w:val="00891E07"/>
    <w:rsid w:val="008A54A4"/>
    <w:rsid w:val="008C1C11"/>
    <w:rsid w:val="008D3F6C"/>
    <w:rsid w:val="008D5304"/>
    <w:rsid w:val="008E1E60"/>
    <w:rsid w:val="00950326"/>
    <w:rsid w:val="0095089B"/>
    <w:rsid w:val="009727F7"/>
    <w:rsid w:val="009757D9"/>
    <w:rsid w:val="00975A04"/>
    <w:rsid w:val="00977F10"/>
    <w:rsid w:val="00986781"/>
    <w:rsid w:val="009B2A5F"/>
    <w:rsid w:val="009B30A1"/>
    <w:rsid w:val="009F3A1C"/>
    <w:rsid w:val="00A01445"/>
    <w:rsid w:val="00A05D68"/>
    <w:rsid w:val="00A40FC9"/>
    <w:rsid w:val="00A5060F"/>
    <w:rsid w:val="00A51CF0"/>
    <w:rsid w:val="00A5305E"/>
    <w:rsid w:val="00A544A0"/>
    <w:rsid w:val="00A92018"/>
    <w:rsid w:val="00AA0556"/>
    <w:rsid w:val="00AF7C9B"/>
    <w:rsid w:val="00B03439"/>
    <w:rsid w:val="00B0507E"/>
    <w:rsid w:val="00B1277E"/>
    <w:rsid w:val="00B134D3"/>
    <w:rsid w:val="00B644F2"/>
    <w:rsid w:val="00B85874"/>
    <w:rsid w:val="00BA2551"/>
    <w:rsid w:val="00BA56C4"/>
    <w:rsid w:val="00BA5EF9"/>
    <w:rsid w:val="00BB2410"/>
    <w:rsid w:val="00BB60B4"/>
    <w:rsid w:val="00BC0255"/>
    <w:rsid w:val="00BF16E1"/>
    <w:rsid w:val="00C10E03"/>
    <w:rsid w:val="00C2622C"/>
    <w:rsid w:val="00C508EB"/>
    <w:rsid w:val="00C64C9E"/>
    <w:rsid w:val="00C7630D"/>
    <w:rsid w:val="00C94013"/>
    <w:rsid w:val="00C94582"/>
    <w:rsid w:val="00CA312E"/>
    <w:rsid w:val="00CA4264"/>
    <w:rsid w:val="00CC2370"/>
    <w:rsid w:val="00CD07C6"/>
    <w:rsid w:val="00CD3253"/>
    <w:rsid w:val="00CE2B94"/>
    <w:rsid w:val="00CF341C"/>
    <w:rsid w:val="00D12FB1"/>
    <w:rsid w:val="00D21223"/>
    <w:rsid w:val="00D223E7"/>
    <w:rsid w:val="00D256C5"/>
    <w:rsid w:val="00D304E6"/>
    <w:rsid w:val="00D416D5"/>
    <w:rsid w:val="00D421E5"/>
    <w:rsid w:val="00D44808"/>
    <w:rsid w:val="00D53026"/>
    <w:rsid w:val="00D64C98"/>
    <w:rsid w:val="00DA19A9"/>
    <w:rsid w:val="00DB724A"/>
    <w:rsid w:val="00DC2244"/>
    <w:rsid w:val="00DC336A"/>
    <w:rsid w:val="00DE46B6"/>
    <w:rsid w:val="00DE703C"/>
    <w:rsid w:val="00E047E3"/>
    <w:rsid w:val="00E20EAB"/>
    <w:rsid w:val="00E26B79"/>
    <w:rsid w:val="00E31ED7"/>
    <w:rsid w:val="00E34F05"/>
    <w:rsid w:val="00E4356D"/>
    <w:rsid w:val="00E73D3D"/>
    <w:rsid w:val="00E92EFD"/>
    <w:rsid w:val="00EA532F"/>
    <w:rsid w:val="00EC46B4"/>
    <w:rsid w:val="00EC4EAC"/>
    <w:rsid w:val="00EE1ECE"/>
    <w:rsid w:val="00F01F71"/>
    <w:rsid w:val="00F2594E"/>
    <w:rsid w:val="00F444AD"/>
    <w:rsid w:val="00F70DB1"/>
    <w:rsid w:val="00F736F2"/>
    <w:rsid w:val="00F7442A"/>
    <w:rsid w:val="00F77CB6"/>
    <w:rsid w:val="00FC06EF"/>
    <w:rsid w:val="00FC155E"/>
    <w:rsid w:val="00FD333C"/>
    <w:rsid w:val="00FE3A67"/>
    <w:rsid w:val="00FF54D9"/>
    <w:rsid w:val="00FF7DB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FA1F16"/>
  <w15:chartTrackingRefBased/>
  <w15:docId w15:val="{52539457-C5EF-4CAE-B101-A9BC7439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305E"/>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BodyText">
    <w:name w:val="Body Text"/>
    <w:basedOn w:val="Normal"/>
    <w:link w:val="BodyTextChar"/>
    <w:qFormat/>
    <w:rsid w:val="00A5305E"/>
    <w:pPr>
      <w:spacing w:before="180" w:after="180" w:line="240" w:lineRule="auto"/>
    </w:pPr>
    <w:rPr>
      <w:sz w:val="24"/>
      <w:szCs w:val="24"/>
      <w:lang w:val="en-US"/>
    </w:rPr>
  </w:style>
  <w:style w:type="character" w:customStyle="1" w:styleId="BodyTextChar">
    <w:name w:val="Body Text Char"/>
    <w:basedOn w:val="DefaultParagraphFont"/>
    <w:link w:val="BodyText"/>
    <w:rsid w:val="00A5305E"/>
    <w:rPr>
      <w:sz w:val="24"/>
      <w:szCs w:val="24"/>
      <w:lang w:val="en-US"/>
    </w:rPr>
  </w:style>
  <w:style w:type="paragraph" w:customStyle="1" w:styleId="FirstParagraph">
    <w:name w:val="First Paragraph"/>
    <w:basedOn w:val="BodyText"/>
    <w:next w:val="BodyText"/>
    <w:qFormat/>
    <w:rsid w:val="00A5305E"/>
  </w:style>
  <w:style w:type="character" w:styleId="Hyperlink">
    <w:name w:val="Hyperlink"/>
    <w:basedOn w:val="DefaultParagraphFont"/>
    <w:rsid w:val="004E6675"/>
    <w:rPr>
      <w:color w:val="4472C4" w:themeColor="accent1"/>
    </w:rPr>
  </w:style>
  <w:style w:type="character" w:styleId="Emphasis">
    <w:name w:val="Emphasis"/>
    <w:basedOn w:val="DefaultParagraphFont"/>
    <w:uiPriority w:val="20"/>
    <w:qFormat/>
    <w:rsid w:val="004E6675"/>
    <w:rPr>
      <w:i/>
      <w:iCs/>
    </w:rPr>
  </w:style>
  <w:style w:type="character" w:styleId="UnresolvedMention">
    <w:name w:val="Unresolved Mention"/>
    <w:basedOn w:val="DefaultParagraphFont"/>
    <w:uiPriority w:val="99"/>
    <w:semiHidden/>
    <w:unhideWhenUsed/>
    <w:rsid w:val="00FC06EF"/>
    <w:rPr>
      <w:color w:val="605E5C"/>
      <w:shd w:val="clear" w:color="auto" w:fill="E1DFDD"/>
    </w:rPr>
  </w:style>
  <w:style w:type="character" w:styleId="Strong">
    <w:name w:val="Strong"/>
    <w:basedOn w:val="DefaultParagraphFont"/>
    <w:uiPriority w:val="22"/>
    <w:qFormat/>
    <w:rsid w:val="00071096"/>
    <w:rPr>
      <w:b/>
      <w:bCs/>
    </w:rPr>
  </w:style>
  <w:style w:type="table" w:styleId="TableGridLight">
    <w:name w:val="Grid Table Light"/>
    <w:basedOn w:val="TableNormal"/>
    <w:uiPriority w:val="40"/>
    <w:rsid w:val="00B644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A56C4"/>
    <w:pPr>
      <w:spacing w:after="0" w:line="240" w:lineRule="auto"/>
    </w:pPr>
    <w:tblPr>
      <w:tblBorders>
        <w:bottom w:val="single" w:sz="4" w:space="0" w:color="auto"/>
        <w:insideH w:val="single" w:sz="4" w:space="0" w:color="auto"/>
      </w:tblBorders>
    </w:tblPr>
  </w:style>
  <w:style w:type="table" w:styleId="PlainTable2">
    <w:name w:val="Plain Table 2"/>
    <w:basedOn w:val="TableNormal"/>
    <w:uiPriority w:val="42"/>
    <w:rsid w:val="001055B9"/>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92EFD"/>
    <w:pPr>
      <w:ind w:left="720"/>
      <w:contextualSpacing/>
    </w:pPr>
  </w:style>
  <w:style w:type="table" w:customStyle="1" w:styleId="Style1">
    <w:name w:val="Style1"/>
    <w:basedOn w:val="TableNormal"/>
    <w:uiPriority w:val="99"/>
    <w:rsid w:val="005402D4"/>
    <w:pPr>
      <w:spacing w:after="0" w:line="240" w:lineRule="auto"/>
    </w:pPr>
    <w:tblPr>
      <w:tblBorders>
        <w:insideH w:val="single" w:sz="4" w:space="0" w:color="auto"/>
      </w:tblBorders>
    </w:tblPr>
  </w:style>
  <w:style w:type="character" w:customStyle="1" w:styleId="il">
    <w:name w:val="il"/>
    <w:basedOn w:val="DefaultParagraphFont"/>
    <w:rsid w:val="00A51CF0"/>
  </w:style>
  <w:style w:type="paragraph" w:styleId="Header">
    <w:name w:val="header"/>
    <w:basedOn w:val="Normal"/>
    <w:link w:val="HeaderChar"/>
    <w:uiPriority w:val="99"/>
    <w:unhideWhenUsed/>
    <w:rsid w:val="00977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F10"/>
  </w:style>
  <w:style w:type="paragraph" w:styleId="Footer">
    <w:name w:val="footer"/>
    <w:basedOn w:val="Normal"/>
    <w:link w:val="FooterChar"/>
    <w:uiPriority w:val="99"/>
    <w:unhideWhenUsed/>
    <w:rsid w:val="00977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9">
      <w:bodyDiv w:val="1"/>
      <w:marLeft w:val="0"/>
      <w:marRight w:val="0"/>
      <w:marTop w:val="0"/>
      <w:marBottom w:val="0"/>
      <w:divBdr>
        <w:top w:val="none" w:sz="0" w:space="0" w:color="auto"/>
        <w:left w:val="none" w:sz="0" w:space="0" w:color="auto"/>
        <w:bottom w:val="none" w:sz="0" w:space="0" w:color="auto"/>
        <w:right w:val="none" w:sz="0" w:space="0" w:color="auto"/>
      </w:divBdr>
    </w:div>
    <w:div w:id="27415427">
      <w:bodyDiv w:val="1"/>
      <w:marLeft w:val="0"/>
      <w:marRight w:val="0"/>
      <w:marTop w:val="0"/>
      <w:marBottom w:val="0"/>
      <w:divBdr>
        <w:top w:val="none" w:sz="0" w:space="0" w:color="auto"/>
        <w:left w:val="none" w:sz="0" w:space="0" w:color="auto"/>
        <w:bottom w:val="none" w:sz="0" w:space="0" w:color="auto"/>
        <w:right w:val="none" w:sz="0" w:space="0" w:color="auto"/>
      </w:divBdr>
    </w:div>
    <w:div w:id="81217966">
      <w:bodyDiv w:val="1"/>
      <w:marLeft w:val="0"/>
      <w:marRight w:val="0"/>
      <w:marTop w:val="0"/>
      <w:marBottom w:val="0"/>
      <w:divBdr>
        <w:top w:val="none" w:sz="0" w:space="0" w:color="auto"/>
        <w:left w:val="none" w:sz="0" w:space="0" w:color="auto"/>
        <w:bottom w:val="none" w:sz="0" w:space="0" w:color="auto"/>
        <w:right w:val="none" w:sz="0" w:space="0" w:color="auto"/>
      </w:divBdr>
    </w:div>
    <w:div w:id="239172002">
      <w:bodyDiv w:val="1"/>
      <w:marLeft w:val="0"/>
      <w:marRight w:val="0"/>
      <w:marTop w:val="0"/>
      <w:marBottom w:val="0"/>
      <w:divBdr>
        <w:top w:val="none" w:sz="0" w:space="0" w:color="auto"/>
        <w:left w:val="none" w:sz="0" w:space="0" w:color="auto"/>
        <w:bottom w:val="none" w:sz="0" w:space="0" w:color="auto"/>
        <w:right w:val="none" w:sz="0" w:space="0" w:color="auto"/>
      </w:divBdr>
    </w:div>
    <w:div w:id="261573493">
      <w:bodyDiv w:val="1"/>
      <w:marLeft w:val="0"/>
      <w:marRight w:val="0"/>
      <w:marTop w:val="0"/>
      <w:marBottom w:val="0"/>
      <w:divBdr>
        <w:top w:val="none" w:sz="0" w:space="0" w:color="auto"/>
        <w:left w:val="none" w:sz="0" w:space="0" w:color="auto"/>
        <w:bottom w:val="none" w:sz="0" w:space="0" w:color="auto"/>
        <w:right w:val="none" w:sz="0" w:space="0" w:color="auto"/>
      </w:divBdr>
    </w:div>
    <w:div w:id="275719159">
      <w:bodyDiv w:val="1"/>
      <w:marLeft w:val="0"/>
      <w:marRight w:val="0"/>
      <w:marTop w:val="0"/>
      <w:marBottom w:val="0"/>
      <w:divBdr>
        <w:top w:val="none" w:sz="0" w:space="0" w:color="auto"/>
        <w:left w:val="none" w:sz="0" w:space="0" w:color="auto"/>
        <w:bottom w:val="none" w:sz="0" w:space="0" w:color="auto"/>
        <w:right w:val="none" w:sz="0" w:space="0" w:color="auto"/>
      </w:divBdr>
    </w:div>
    <w:div w:id="334768278">
      <w:bodyDiv w:val="1"/>
      <w:marLeft w:val="0"/>
      <w:marRight w:val="0"/>
      <w:marTop w:val="0"/>
      <w:marBottom w:val="0"/>
      <w:divBdr>
        <w:top w:val="none" w:sz="0" w:space="0" w:color="auto"/>
        <w:left w:val="none" w:sz="0" w:space="0" w:color="auto"/>
        <w:bottom w:val="none" w:sz="0" w:space="0" w:color="auto"/>
        <w:right w:val="none" w:sz="0" w:space="0" w:color="auto"/>
      </w:divBdr>
    </w:div>
    <w:div w:id="400366775">
      <w:bodyDiv w:val="1"/>
      <w:marLeft w:val="0"/>
      <w:marRight w:val="0"/>
      <w:marTop w:val="0"/>
      <w:marBottom w:val="0"/>
      <w:divBdr>
        <w:top w:val="none" w:sz="0" w:space="0" w:color="auto"/>
        <w:left w:val="none" w:sz="0" w:space="0" w:color="auto"/>
        <w:bottom w:val="none" w:sz="0" w:space="0" w:color="auto"/>
        <w:right w:val="none" w:sz="0" w:space="0" w:color="auto"/>
      </w:divBdr>
    </w:div>
    <w:div w:id="448012585">
      <w:bodyDiv w:val="1"/>
      <w:marLeft w:val="0"/>
      <w:marRight w:val="0"/>
      <w:marTop w:val="0"/>
      <w:marBottom w:val="0"/>
      <w:divBdr>
        <w:top w:val="none" w:sz="0" w:space="0" w:color="auto"/>
        <w:left w:val="none" w:sz="0" w:space="0" w:color="auto"/>
        <w:bottom w:val="none" w:sz="0" w:space="0" w:color="auto"/>
        <w:right w:val="none" w:sz="0" w:space="0" w:color="auto"/>
      </w:divBdr>
    </w:div>
    <w:div w:id="548416541">
      <w:bodyDiv w:val="1"/>
      <w:marLeft w:val="0"/>
      <w:marRight w:val="0"/>
      <w:marTop w:val="0"/>
      <w:marBottom w:val="0"/>
      <w:divBdr>
        <w:top w:val="none" w:sz="0" w:space="0" w:color="auto"/>
        <w:left w:val="none" w:sz="0" w:space="0" w:color="auto"/>
        <w:bottom w:val="none" w:sz="0" w:space="0" w:color="auto"/>
        <w:right w:val="none" w:sz="0" w:space="0" w:color="auto"/>
      </w:divBdr>
    </w:div>
    <w:div w:id="559560591">
      <w:bodyDiv w:val="1"/>
      <w:marLeft w:val="0"/>
      <w:marRight w:val="0"/>
      <w:marTop w:val="0"/>
      <w:marBottom w:val="0"/>
      <w:divBdr>
        <w:top w:val="none" w:sz="0" w:space="0" w:color="auto"/>
        <w:left w:val="none" w:sz="0" w:space="0" w:color="auto"/>
        <w:bottom w:val="none" w:sz="0" w:space="0" w:color="auto"/>
        <w:right w:val="none" w:sz="0" w:space="0" w:color="auto"/>
      </w:divBdr>
    </w:div>
    <w:div w:id="696194428">
      <w:bodyDiv w:val="1"/>
      <w:marLeft w:val="0"/>
      <w:marRight w:val="0"/>
      <w:marTop w:val="0"/>
      <w:marBottom w:val="0"/>
      <w:divBdr>
        <w:top w:val="none" w:sz="0" w:space="0" w:color="auto"/>
        <w:left w:val="none" w:sz="0" w:space="0" w:color="auto"/>
        <w:bottom w:val="none" w:sz="0" w:space="0" w:color="auto"/>
        <w:right w:val="none" w:sz="0" w:space="0" w:color="auto"/>
      </w:divBdr>
    </w:div>
    <w:div w:id="816991801">
      <w:bodyDiv w:val="1"/>
      <w:marLeft w:val="0"/>
      <w:marRight w:val="0"/>
      <w:marTop w:val="0"/>
      <w:marBottom w:val="0"/>
      <w:divBdr>
        <w:top w:val="none" w:sz="0" w:space="0" w:color="auto"/>
        <w:left w:val="none" w:sz="0" w:space="0" w:color="auto"/>
        <w:bottom w:val="none" w:sz="0" w:space="0" w:color="auto"/>
        <w:right w:val="none" w:sz="0" w:space="0" w:color="auto"/>
      </w:divBdr>
    </w:div>
    <w:div w:id="839469134">
      <w:bodyDiv w:val="1"/>
      <w:marLeft w:val="0"/>
      <w:marRight w:val="0"/>
      <w:marTop w:val="0"/>
      <w:marBottom w:val="0"/>
      <w:divBdr>
        <w:top w:val="none" w:sz="0" w:space="0" w:color="auto"/>
        <w:left w:val="none" w:sz="0" w:space="0" w:color="auto"/>
        <w:bottom w:val="none" w:sz="0" w:space="0" w:color="auto"/>
        <w:right w:val="none" w:sz="0" w:space="0" w:color="auto"/>
      </w:divBdr>
    </w:div>
    <w:div w:id="881481221">
      <w:bodyDiv w:val="1"/>
      <w:marLeft w:val="0"/>
      <w:marRight w:val="0"/>
      <w:marTop w:val="0"/>
      <w:marBottom w:val="0"/>
      <w:divBdr>
        <w:top w:val="none" w:sz="0" w:space="0" w:color="auto"/>
        <w:left w:val="none" w:sz="0" w:space="0" w:color="auto"/>
        <w:bottom w:val="none" w:sz="0" w:space="0" w:color="auto"/>
        <w:right w:val="none" w:sz="0" w:space="0" w:color="auto"/>
      </w:divBdr>
    </w:div>
    <w:div w:id="923342843">
      <w:bodyDiv w:val="1"/>
      <w:marLeft w:val="0"/>
      <w:marRight w:val="0"/>
      <w:marTop w:val="0"/>
      <w:marBottom w:val="0"/>
      <w:divBdr>
        <w:top w:val="none" w:sz="0" w:space="0" w:color="auto"/>
        <w:left w:val="none" w:sz="0" w:space="0" w:color="auto"/>
        <w:bottom w:val="none" w:sz="0" w:space="0" w:color="auto"/>
        <w:right w:val="none" w:sz="0" w:space="0" w:color="auto"/>
      </w:divBdr>
    </w:div>
    <w:div w:id="932855292">
      <w:bodyDiv w:val="1"/>
      <w:marLeft w:val="0"/>
      <w:marRight w:val="0"/>
      <w:marTop w:val="0"/>
      <w:marBottom w:val="0"/>
      <w:divBdr>
        <w:top w:val="none" w:sz="0" w:space="0" w:color="auto"/>
        <w:left w:val="none" w:sz="0" w:space="0" w:color="auto"/>
        <w:bottom w:val="none" w:sz="0" w:space="0" w:color="auto"/>
        <w:right w:val="none" w:sz="0" w:space="0" w:color="auto"/>
      </w:divBdr>
    </w:div>
    <w:div w:id="1050883307">
      <w:bodyDiv w:val="1"/>
      <w:marLeft w:val="0"/>
      <w:marRight w:val="0"/>
      <w:marTop w:val="0"/>
      <w:marBottom w:val="0"/>
      <w:divBdr>
        <w:top w:val="none" w:sz="0" w:space="0" w:color="auto"/>
        <w:left w:val="none" w:sz="0" w:space="0" w:color="auto"/>
        <w:bottom w:val="none" w:sz="0" w:space="0" w:color="auto"/>
        <w:right w:val="none" w:sz="0" w:space="0" w:color="auto"/>
      </w:divBdr>
    </w:div>
    <w:div w:id="1050955115">
      <w:bodyDiv w:val="1"/>
      <w:marLeft w:val="0"/>
      <w:marRight w:val="0"/>
      <w:marTop w:val="0"/>
      <w:marBottom w:val="0"/>
      <w:divBdr>
        <w:top w:val="none" w:sz="0" w:space="0" w:color="auto"/>
        <w:left w:val="none" w:sz="0" w:space="0" w:color="auto"/>
        <w:bottom w:val="none" w:sz="0" w:space="0" w:color="auto"/>
        <w:right w:val="none" w:sz="0" w:space="0" w:color="auto"/>
      </w:divBdr>
      <w:divsChild>
        <w:div w:id="1265531419">
          <w:marLeft w:val="0"/>
          <w:marRight w:val="0"/>
          <w:marTop w:val="0"/>
          <w:marBottom w:val="0"/>
          <w:divBdr>
            <w:top w:val="none" w:sz="0" w:space="0" w:color="auto"/>
            <w:left w:val="none" w:sz="0" w:space="0" w:color="auto"/>
            <w:bottom w:val="none" w:sz="0" w:space="0" w:color="auto"/>
            <w:right w:val="none" w:sz="0" w:space="0" w:color="auto"/>
          </w:divBdr>
        </w:div>
        <w:div w:id="2033722701">
          <w:marLeft w:val="0"/>
          <w:marRight w:val="0"/>
          <w:marTop w:val="0"/>
          <w:marBottom w:val="0"/>
          <w:divBdr>
            <w:top w:val="none" w:sz="0" w:space="0" w:color="auto"/>
            <w:left w:val="none" w:sz="0" w:space="0" w:color="auto"/>
            <w:bottom w:val="none" w:sz="0" w:space="0" w:color="auto"/>
            <w:right w:val="none" w:sz="0" w:space="0" w:color="auto"/>
          </w:divBdr>
        </w:div>
        <w:div w:id="125778407">
          <w:marLeft w:val="0"/>
          <w:marRight w:val="0"/>
          <w:marTop w:val="0"/>
          <w:marBottom w:val="0"/>
          <w:divBdr>
            <w:top w:val="none" w:sz="0" w:space="0" w:color="auto"/>
            <w:left w:val="none" w:sz="0" w:space="0" w:color="auto"/>
            <w:bottom w:val="none" w:sz="0" w:space="0" w:color="auto"/>
            <w:right w:val="none" w:sz="0" w:space="0" w:color="auto"/>
          </w:divBdr>
        </w:div>
        <w:div w:id="1885025756">
          <w:marLeft w:val="0"/>
          <w:marRight w:val="0"/>
          <w:marTop w:val="0"/>
          <w:marBottom w:val="0"/>
          <w:divBdr>
            <w:top w:val="none" w:sz="0" w:space="0" w:color="auto"/>
            <w:left w:val="none" w:sz="0" w:space="0" w:color="auto"/>
            <w:bottom w:val="none" w:sz="0" w:space="0" w:color="auto"/>
            <w:right w:val="none" w:sz="0" w:space="0" w:color="auto"/>
          </w:divBdr>
        </w:div>
        <w:div w:id="1120295693">
          <w:marLeft w:val="0"/>
          <w:marRight w:val="0"/>
          <w:marTop w:val="0"/>
          <w:marBottom w:val="0"/>
          <w:divBdr>
            <w:top w:val="none" w:sz="0" w:space="0" w:color="auto"/>
            <w:left w:val="none" w:sz="0" w:space="0" w:color="auto"/>
            <w:bottom w:val="none" w:sz="0" w:space="0" w:color="auto"/>
            <w:right w:val="none" w:sz="0" w:space="0" w:color="auto"/>
          </w:divBdr>
        </w:div>
        <w:div w:id="802769254">
          <w:marLeft w:val="0"/>
          <w:marRight w:val="0"/>
          <w:marTop w:val="0"/>
          <w:marBottom w:val="0"/>
          <w:divBdr>
            <w:top w:val="none" w:sz="0" w:space="0" w:color="auto"/>
            <w:left w:val="none" w:sz="0" w:space="0" w:color="auto"/>
            <w:bottom w:val="none" w:sz="0" w:space="0" w:color="auto"/>
            <w:right w:val="none" w:sz="0" w:space="0" w:color="auto"/>
          </w:divBdr>
        </w:div>
        <w:div w:id="1644116888">
          <w:marLeft w:val="0"/>
          <w:marRight w:val="0"/>
          <w:marTop w:val="0"/>
          <w:marBottom w:val="0"/>
          <w:divBdr>
            <w:top w:val="none" w:sz="0" w:space="0" w:color="auto"/>
            <w:left w:val="none" w:sz="0" w:space="0" w:color="auto"/>
            <w:bottom w:val="none" w:sz="0" w:space="0" w:color="auto"/>
            <w:right w:val="none" w:sz="0" w:space="0" w:color="auto"/>
          </w:divBdr>
        </w:div>
        <w:div w:id="1301617769">
          <w:marLeft w:val="0"/>
          <w:marRight w:val="0"/>
          <w:marTop w:val="0"/>
          <w:marBottom w:val="0"/>
          <w:divBdr>
            <w:top w:val="none" w:sz="0" w:space="0" w:color="auto"/>
            <w:left w:val="none" w:sz="0" w:space="0" w:color="auto"/>
            <w:bottom w:val="none" w:sz="0" w:space="0" w:color="auto"/>
            <w:right w:val="none" w:sz="0" w:space="0" w:color="auto"/>
          </w:divBdr>
        </w:div>
        <w:div w:id="1784350208">
          <w:marLeft w:val="0"/>
          <w:marRight w:val="0"/>
          <w:marTop w:val="0"/>
          <w:marBottom w:val="0"/>
          <w:divBdr>
            <w:top w:val="none" w:sz="0" w:space="0" w:color="auto"/>
            <w:left w:val="none" w:sz="0" w:space="0" w:color="auto"/>
            <w:bottom w:val="none" w:sz="0" w:space="0" w:color="auto"/>
            <w:right w:val="none" w:sz="0" w:space="0" w:color="auto"/>
          </w:divBdr>
        </w:div>
        <w:div w:id="950551855">
          <w:marLeft w:val="0"/>
          <w:marRight w:val="0"/>
          <w:marTop w:val="0"/>
          <w:marBottom w:val="0"/>
          <w:divBdr>
            <w:top w:val="none" w:sz="0" w:space="0" w:color="auto"/>
            <w:left w:val="none" w:sz="0" w:space="0" w:color="auto"/>
            <w:bottom w:val="none" w:sz="0" w:space="0" w:color="auto"/>
            <w:right w:val="none" w:sz="0" w:space="0" w:color="auto"/>
          </w:divBdr>
        </w:div>
      </w:divsChild>
    </w:div>
    <w:div w:id="1053119055">
      <w:bodyDiv w:val="1"/>
      <w:marLeft w:val="0"/>
      <w:marRight w:val="0"/>
      <w:marTop w:val="0"/>
      <w:marBottom w:val="0"/>
      <w:divBdr>
        <w:top w:val="none" w:sz="0" w:space="0" w:color="auto"/>
        <w:left w:val="none" w:sz="0" w:space="0" w:color="auto"/>
        <w:bottom w:val="none" w:sz="0" w:space="0" w:color="auto"/>
        <w:right w:val="none" w:sz="0" w:space="0" w:color="auto"/>
      </w:divBdr>
    </w:div>
    <w:div w:id="1061028102">
      <w:bodyDiv w:val="1"/>
      <w:marLeft w:val="0"/>
      <w:marRight w:val="0"/>
      <w:marTop w:val="0"/>
      <w:marBottom w:val="0"/>
      <w:divBdr>
        <w:top w:val="none" w:sz="0" w:space="0" w:color="auto"/>
        <w:left w:val="none" w:sz="0" w:space="0" w:color="auto"/>
        <w:bottom w:val="none" w:sz="0" w:space="0" w:color="auto"/>
        <w:right w:val="none" w:sz="0" w:space="0" w:color="auto"/>
      </w:divBdr>
    </w:div>
    <w:div w:id="1200507357">
      <w:bodyDiv w:val="1"/>
      <w:marLeft w:val="0"/>
      <w:marRight w:val="0"/>
      <w:marTop w:val="0"/>
      <w:marBottom w:val="0"/>
      <w:divBdr>
        <w:top w:val="none" w:sz="0" w:space="0" w:color="auto"/>
        <w:left w:val="none" w:sz="0" w:space="0" w:color="auto"/>
        <w:bottom w:val="none" w:sz="0" w:space="0" w:color="auto"/>
        <w:right w:val="none" w:sz="0" w:space="0" w:color="auto"/>
      </w:divBdr>
    </w:div>
    <w:div w:id="1309284813">
      <w:bodyDiv w:val="1"/>
      <w:marLeft w:val="0"/>
      <w:marRight w:val="0"/>
      <w:marTop w:val="0"/>
      <w:marBottom w:val="0"/>
      <w:divBdr>
        <w:top w:val="none" w:sz="0" w:space="0" w:color="auto"/>
        <w:left w:val="none" w:sz="0" w:space="0" w:color="auto"/>
        <w:bottom w:val="none" w:sz="0" w:space="0" w:color="auto"/>
        <w:right w:val="none" w:sz="0" w:space="0" w:color="auto"/>
      </w:divBdr>
    </w:div>
    <w:div w:id="1313362639">
      <w:bodyDiv w:val="1"/>
      <w:marLeft w:val="0"/>
      <w:marRight w:val="0"/>
      <w:marTop w:val="0"/>
      <w:marBottom w:val="0"/>
      <w:divBdr>
        <w:top w:val="none" w:sz="0" w:space="0" w:color="auto"/>
        <w:left w:val="none" w:sz="0" w:space="0" w:color="auto"/>
        <w:bottom w:val="none" w:sz="0" w:space="0" w:color="auto"/>
        <w:right w:val="none" w:sz="0" w:space="0" w:color="auto"/>
      </w:divBdr>
    </w:div>
    <w:div w:id="1392266958">
      <w:bodyDiv w:val="1"/>
      <w:marLeft w:val="0"/>
      <w:marRight w:val="0"/>
      <w:marTop w:val="0"/>
      <w:marBottom w:val="0"/>
      <w:divBdr>
        <w:top w:val="none" w:sz="0" w:space="0" w:color="auto"/>
        <w:left w:val="none" w:sz="0" w:space="0" w:color="auto"/>
        <w:bottom w:val="none" w:sz="0" w:space="0" w:color="auto"/>
        <w:right w:val="none" w:sz="0" w:space="0" w:color="auto"/>
      </w:divBdr>
    </w:div>
    <w:div w:id="1481727151">
      <w:bodyDiv w:val="1"/>
      <w:marLeft w:val="0"/>
      <w:marRight w:val="0"/>
      <w:marTop w:val="0"/>
      <w:marBottom w:val="0"/>
      <w:divBdr>
        <w:top w:val="none" w:sz="0" w:space="0" w:color="auto"/>
        <w:left w:val="none" w:sz="0" w:space="0" w:color="auto"/>
        <w:bottom w:val="none" w:sz="0" w:space="0" w:color="auto"/>
        <w:right w:val="none" w:sz="0" w:space="0" w:color="auto"/>
      </w:divBdr>
    </w:div>
    <w:div w:id="1608539602">
      <w:bodyDiv w:val="1"/>
      <w:marLeft w:val="0"/>
      <w:marRight w:val="0"/>
      <w:marTop w:val="0"/>
      <w:marBottom w:val="0"/>
      <w:divBdr>
        <w:top w:val="none" w:sz="0" w:space="0" w:color="auto"/>
        <w:left w:val="none" w:sz="0" w:space="0" w:color="auto"/>
        <w:bottom w:val="none" w:sz="0" w:space="0" w:color="auto"/>
        <w:right w:val="none" w:sz="0" w:space="0" w:color="auto"/>
      </w:divBdr>
    </w:div>
    <w:div w:id="1641229075">
      <w:bodyDiv w:val="1"/>
      <w:marLeft w:val="0"/>
      <w:marRight w:val="0"/>
      <w:marTop w:val="0"/>
      <w:marBottom w:val="0"/>
      <w:divBdr>
        <w:top w:val="none" w:sz="0" w:space="0" w:color="auto"/>
        <w:left w:val="none" w:sz="0" w:space="0" w:color="auto"/>
        <w:bottom w:val="none" w:sz="0" w:space="0" w:color="auto"/>
        <w:right w:val="none" w:sz="0" w:space="0" w:color="auto"/>
      </w:divBdr>
    </w:div>
    <w:div w:id="1673873378">
      <w:bodyDiv w:val="1"/>
      <w:marLeft w:val="0"/>
      <w:marRight w:val="0"/>
      <w:marTop w:val="0"/>
      <w:marBottom w:val="0"/>
      <w:divBdr>
        <w:top w:val="none" w:sz="0" w:space="0" w:color="auto"/>
        <w:left w:val="none" w:sz="0" w:space="0" w:color="auto"/>
        <w:bottom w:val="none" w:sz="0" w:space="0" w:color="auto"/>
        <w:right w:val="none" w:sz="0" w:space="0" w:color="auto"/>
      </w:divBdr>
    </w:div>
    <w:div w:id="1766731058">
      <w:bodyDiv w:val="1"/>
      <w:marLeft w:val="0"/>
      <w:marRight w:val="0"/>
      <w:marTop w:val="0"/>
      <w:marBottom w:val="0"/>
      <w:divBdr>
        <w:top w:val="none" w:sz="0" w:space="0" w:color="auto"/>
        <w:left w:val="none" w:sz="0" w:space="0" w:color="auto"/>
        <w:bottom w:val="none" w:sz="0" w:space="0" w:color="auto"/>
        <w:right w:val="none" w:sz="0" w:space="0" w:color="auto"/>
      </w:divBdr>
    </w:div>
    <w:div w:id="1786584162">
      <w:bodyDiv w:val="1"/>
      <w:marLeft w:val="0"/>
      <w:marRight w:val="0"/>
      <w:marTop w:val="0"/>
      <w:marBottom w:val="0"/>
      <w:divBdr>
        <w:top w:val="none" w:sz="0" w:space="0" w:color="auto"/>
        <w:left w:val="none" w:sz="0" w:space="0" w:color="auto"/>
        <w:bottom w:val="none" w:sz="0" w:space="0" w:color="auto"/>
        <w:right w:val="none" w:sz="0" w:space="0" w:color="auto"/>
      </w:divBdr>
    </w:div>
    <w:div w:id="1860662808">
      <w:bodyDiv w:val="1"/>
      <w:marLeft w:val="0"/>
      <w:marRight w:val="0"/>
      <w:marTop w:val="0"/>
      <w:marBottom w:val="0"/>
      <w:divBdr>
        <w:top w:val="none" w:sz="0" w:space="0" w:color="auto"/>
        <w:left w:val="none" w:sz="0" w:space="0" w:color="auto"/>
        <w:bottom w:val="none" w:sz="0" w:space="0" w:color="auto"/>
        <w:right w:val="none" w:sz="0" w:space="0" w:color="auto"/>
      </w:divBdr>
    </w:div>
    <w:div w:id="1867984640">
      <w:bodyDiv w:val="1"/>
      <w:marLeft w:val="0"/>
      <w:marRight w:val="0"/>
      <w:marTop w:val="0"/>
      <w:marBottom w:val="0"/>
      <w:divBdr>
        <w:top w:val="none" w:sz="0" w:space="0" w:color="auto"/>
        <w:left w:val="none" w:sz="0" w:space="0" w:color="auto"/>
        <w:bottom w:val="none" w:sz="0" w:space="0" w:color="auto"/>
        <w:right w:val="none" w:sz="0" w:space="0" w:color="auto"/>
      </w:divBdr>
    </w:div>
    <w:div w:id="1888368443">
      <w:bodyDiv w:val="1"/>
      <w:marLeft w:val="0"/>
      <w:marRight w:val="0"/>
      <w:marTop w:val="0"/>
      <w:marBottom w:val="0"/>
      <w:divBdr>
        <w:top w:val="none" w:sz="0" w:space="0" w:color="auto"/>
        <w:left w:val="none" w:sz="0" w:space="0" w:color="auto"/>
        <w:bottom w:val="none" w:sz="0" w:space="0" w:color="auto"/>
        <w:right w:val="none" w:sz="0" w:space="0" w:color="auto"/>
      </w:divBdr>
    </w:div>
    <w:div w:id="1920014774">
      <w:bodyDiv w:val="1"/>
      <w:marLeft w:val="0"/>
      <w:marRight w:val="0"/>
      <w:marTop w:val="0"/>
      <w:marBottom w:val="0"/>
      <w:divBdr>
        <w:top w:val="none" w:sz="0" w:space="0" w:color="auto"/>
        <w:left w:val="none" w:sz="0" w:space="0" w:color="auto"/>
        <w:bottom w:val="none" w:sz="0" w:space="0" w:color="auto"/>
        <w:right w:val="none" w:sz="0" w:space="0" w:color="auto"/>
      </w:divBdr>
    </w:div>
    <w:div w:id="200673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ed.gov/?id=ED184334" TargetMode="External"/><Relationship Id="rId18" Type="http://schemas.openxmlformats.org/officeDocument/2006/relationships/hyperlink" Target="https://doi.org/10.63332/joph.v5i3.745" TargetMode="External"/><Relationship Id="rId26" Type="http://schemas.openxmlformats.org/officeDocument/2006/relationships/hyperlink" Target="https://doi.org/10.31869/ip.v7i1.2281" TargetMode="External"/><Relationship Id="rId3" Type="http://schemas.openxmlformats.org/officeDocument/2006/relationships/styles" Target="styles.xml"/><Relationship Id="rId21" Type="http://schemas.openxmlformats.org/officeDocument/2006/relationships/hyperlink" Target="https://doi.org/10.1002/j.1545-7249.2007.tb00083.x"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esearch.acer.edu.au/eas/41" TargetMode="External"/><Relationship Id="rId17" Type="http://schemas.openxmlformats.org/officeDocument/2006/relationships/hyperlink" Target="https://doi.org/10.58372/2835-6276.1274" TargetMode="External"/><Relationship Id="rId25" Type="http://schemas.openxmlformats.org/officeDocument/2006/relationships/hyperlink" Target="https://doi.org/10.1007/978-3-319-99118-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hdl.handle.net/1822/91000" TargetMode="External"/><Relationship Id="rId20" Type="http://schemas.openxmlformats.org/officeDocument/2006/relationships/hyperlink" Target="https://doi.org/10.1177/147490411879631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993-020-09570-0" TargetMode="External"/><Relationship Id="rId24" Type="http://schemas.openxmlformats.org/officeDocument/2006/relationships/hyperlink" Target="https://doi.org/10.46328/ijonse.148"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0993-020-09563-z" TargetMode="External"/><Relationship Id="rId23" Type="http://schemas.openxmlformats.org/officeDocument/2006/relationships/hyperlink" Target="https://doi.org/10.22034/ijels.2022.162982" TargetMode="External"/><Relationship Id="rId28" Type="http://schemas.openxmlformats.org/officeDocument/2006/relationships/hyperlink" Target="https://doi.org/10.59890/ijaamr.v3i2.342" TargetMode="External"/><Relationship Id="rId36" Type="http://schemas.openxmlformats.org/officeDocument/2006/relationships/theme" Target="theme/theme1.xml"/><Relationship Id="rId10" Type="http://schemas.openxmlformats.org/officeDocument/2006/relationships/hyperlink" Target="https://doi.org/10.1177/0890334420906850" TargetMode="External"/><Relationship Id="rId19" Type="http://schemas.openxmlformats.org/officeDocument/2006/relationships/hyperlink" Target="https://doi.org/10.1016/j.mex.2021.10132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esdoc.unesco.org/ark:/48223/pf0000216078" TargetMode="External"/><Relationship Id="rId14" Type="http://schemas.openxmlformats.org/officeDocument/2006/relationships/hyperlink" Target="https://doi.org/10.21832/9781853596773" TargetMode="External"/><Relationship Id="rId22" Type="http://schemas.openxmlformats.org/officeDocument/2006/relationships/hyperlink" Target="https://doi.org/10.1075/ll.23025.mac" TargetMode="External"/><Relationship Id="rId27" Type="http://schemas.openxmlformats.org/officeDocument/2006/relationships/hyperlink" Target="https://www.unicef.org/timorleste/press-releases/unesco-and-unicef-commemorate-25th-anniversary-international-mother-language-day"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38/s41598-023-439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EDA62-597F-4FF3-ADBF-6F397ABC4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20</Pages>
  <Words>7459</Words>
  <Characters>42521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Magno Ximenes</dc:creator>
  <cp:keywords/>
  <dc:description/>
  <cp:lastModifiedBy>SDI 1084</cp:lastModifiedBy>
  <cp:revision>132</cp:revision>
  <dcterms:created xsi:type="dcterms:W3CDTF">2025-07-22T05:40:00Z</dcterms:created>
  <dcterms:modified xsi:type="dcterms:W3CDTF">2025-10-14T06:53:00Z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a3fddbe3-03c9-4292-adc7-5db7f16a39cf</vt:lpwstr>
  </property>
</Properties>
</file>