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B6B86" w:rsidRDefault="000B6B86">
      <w:pPr>
        <w:pStyle w:val="Title"/>
        <w:spacing w:after="0"/>
        <w:jc w:val="both"/>
        <w:rPr>
          <w:rFonts w:ascii="Arial" w:hAnsi="Arial" w:cs="Arial"/>
        </w:rPr>
      </w:pPr>
    </w:p>
    <w:p w:rsidR="000B6B86" w:rsidRDefault="00F50A49">
      <w:pPr>
        <w:pStyle w:val="Author"/>
        <w:spacing w:line="240" w:lineRule="auto"/>
        <w:rPr>
          <w:rFonts w:ascii="Arial" w:hAnsi="Arial" w:cs="Arial"/>
          <w:bCs/>
          <w:iCs/>
          <w:kern w:val="28"/>
          <w:sz w:val="36"/>
        </w:rPr>
      </w:pPr>
      <w:r>
        <w:rPr>
          <w:rFonts w:ascii="Arial" w:hAnsi="Arial"/>
          <w:bCs/>
          <w:iCs/>
          <w:kern w:val="28"/>
          <w:sz w:val="36"/>
        </w:rPr>
        <w:t xml:space="preserve">The Impact of an </w:t>
      </w:r>
      <w:proofErr w:type="spellStart"/>
      <w:r>
        <w:rPr>
          <w:rFonts w:ascii="Arial" w:hAnsi="Arial"/>
          <w:bCs/>
          <w:iCs/>
          <w:kern w:val="28"/>
          <w:sz w:val="36"/>
        </w:rPr>
        <w:t>ethnochemistry</w:t>
      </w:r>
      <w:proofErr w:type="spellEnd"/>
      <w:r>
        <w:rPr>
          <w:rFonts w:ascii="Arial" w:hAnsi="Arial"/>
          <w:bCs/>
          <w:iCs/>
          <w:kern w:val="28"/>
          <w:sz w:val="36"/>
        </w:rPr>
        <w:t>-Based Green Chemistry Student Worksheet on High School Students' Learning Motivation</w:t>
      </w:r>
      <w:r>
        <w:rPr>
          <w:rFonts w:ascii="Arial" w:hAnsi="Arial" w:cs="Arial"/>
          <w:bCs/>
          <w:iCs/>
          <w:kern w:val="28"/>
          <w:sz w:val="36"/>
        </w:rPr>
        <w:t xml:space="preserve"> </w:t>
      </w:r>
    </w:p>
    <w:p w:rsidR="000B6B86" w:rsidRDefault="000B6B86">
      <w:pPr>
        <w:pStyle w:val="Author"/>
        <w:spacing w:line="240" w:lineRule="auto"/>
        <w:jc w:val="both"/>
        <w:rPr>
          <w:rFonts w:ascii="Arial" w:hAnsi="Arial" w:cs="Arial"/>
          <w:sz w:val="36"/>
        </w:rPr>
      </w:pPr>
    </w:p>
    <w:p w:rsidR="000B6B86" w:rsidRDefault="000B6B86">
      <w:pPr>
        <w:pStyle w:val="Affiliation"/>
        <w:spacing w:after="0" w:line="240" w:lineRule="auto"/>
        <w:jc w:val="both"/>
        <w:rPr>
          <w:rFonts w:ascii="Arial" w:hAnsi="Arial" w:cs="Arial"/>
        </w:rPr>
      </w:pPr>
    </w:p>
    <w:p w:rsidR="000E2C99" w:rsidRDefault="000E2C99">
      <w:pPr>
        <w:pStyle w:val="Affiliation"/>
        <w:spacing w:after="0" w:line="240" w:lineRule="auto"/>
        <w:jc w:val="both"/>
        <w:rPr>
          <w:rFonts w:ascii="Arial" w:hAnsi="Arial" w:cs="Arial"/>
        </w:rPr>
      </w:pPr>
    </w:p>
    <w:p w:rsidR="000B6B86" w:rsidRDefault="00F50A49">
      <w:pPr>
        <w:pStyle w:val="Copyright"/>
        <w:spacing w:after="0" w:line="240" w:lineRule="auto"/>
        <w:jc w:val="both"/>
        <w:rPr>
          <w:rFonts w:ascii="Arial" w:hAnsi="Arial" w:cs="Arial"/>
        </w:rPr>
        <w:sectPr w:rsidR="000B6B86" w:rsidSect="000E2C99">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noProof/>
        </w:rPr>
        <mc:AlternateContent>
          <mc:Choice Requires="wps">
            <w:drawing>
              <wp:inline distT="0" distB="0" distL="114300" distR="114300">
                <wp:extent cx="5303520" cy="0"/>
                <wp:effectExtent l="0" t="0" r="0" b="0"/>
                <wp:docPr id="1" name="AutoShape 2"/>
                <wp:cNvGraphicFramePr/>
                <a:graphic xmlns:a="http://schemas.openxmlformats.org/drawingml/2006/main">
                  <a:graphicData uri="http://schemas.microsoft.com/office/word/2010/wordprocessingShape">
                    <wps:wsp>
                      <wps:cNvCnPr/>
                      <wps:spPr>
                        <a:xfrm>
                          <a:off x="0" y="0"/>
                          <a:ext cx="5303520" cy="0"/>
                        </a:xfrm>
                        <a:prstGeom prst="straightConnector1">
                          <a:avLst/>
                        </a:prstGeom>
                        <a:ln w="19050" cap="flat" cmpd="sng">
                          <a:solidFill>
                            <a:srgbClr val="000000"/>
                          </a:solidFill>
                          <a:prstDash val="solid"/>
                          <a:headEnd type="none" w="med" len="med"/>
                          <a:tailEnd type="none" w="med" len="med"/>
                        </a:ln>
                      </wps:spPr>
                      <wps:bodyPr/>
                    </wps:wsp>
                  </a:graphicData>
                </a:graphic>
              </wp:inline>
            </w:drawing>
          </mc:Choice>
          <mc:Fallback>
            <w:pict>
              <v:shapetype w14:anchorId="32A42809" id="_x0000_t32" coordsize="21600,21600" o:spt="32" o:oned="t" path="m,l21600,21600e" filled="f">
                <v:path arrowok="t" fillok="f" o:connecttype="none"/>
                <o:lock v:ext="edit" shapetype="t"/>
              </v:shapetype>
              <v:shape id="AutoShape 2" o:spid="_x0000_s1026" type="#_x0000_t32" style="width:417.6pt;height:0;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" strokeweight="1.5pt">
                <w10:anchorlock/>
              </v:shape>
            </w:pict>
          </mc:Fallback>
        </mc:AlternateContent>
      </w:r>
      <w:r>
        <w:rPr>
          <w:rFonts w:ascii="Arial" w:hAnsi="Arial" w:cs="Arial"/>
        </w:rPr>
        <w:t>.</w:t>
      </w:r>
    </w:p>
    <w:p w:rsidR="000B6B86" w:rsidRDefault="00F50A49">
      <w:pPr>
        <w:pStyle w:val="AbstHead"/>
        <w:spacing w:after="0"/>
        <w:jc w:val="both"/>
        <w:rPr>
          <w:rFonts w:ascii="Arial" w:hAnsi="Arial" w:cs="Arial"/>
        </w:rPr>
      </w:pPr>
      <w:r>
        <w:rPr>
          <w:rFonts w:ascii="Arial" w:hAnsi="Arial" w:cs="Arial"/>
        </w:rPr>
        <w:t xml:space="preserve">ABSTRACT </w:t>
      </w:r>
    </w:p>
    <w:p w:rsidR="000B6B86" w:rsidRDefault="000B6B86">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0B6B86">
        <w:tc>
          <w:tcPr>
            <w:tcW w:w="9576" w:type="dxa"/>
            <w:shd w:val="clear" w:color="auto" w:fill="F2F2F2"/>
          </w:tcPr>
          <w:p w:rsidR="000B6B86" w:rsidRDefault="00F50A49">
            <w:pPr>
              <w:pStyle w:val="Body"/>
              <w:spacing w:after="0"/>
              <w:rPr>
                <w:rFonts w:eastAsia="Calibri" w:cs="Helvetica"/>
                <w:lang w:eastAsia="zh-CN"/>
              </w:rPr>
            </w:pPr>
            <w:r>
              <w:rPr>
                <w:rFonts w:eastAsia="Calibri" w:cs="Helvetica"/>
                <w:b/>
              </w:rPr>
              <w:t>Objectives:</w:t>
            </w:r>
            <w:r>
              <w:rPr>
                <w:rFonts w:eastAsia="Calibri" w:cs="Helvetica"/>
                <w:lang w:eastAsia="zh-CN"/>
              </w:rPr>
              <w:t xml:space="preserve"> to investigate the impact of student worksheets that integrate ethno-chemistry and green chemistry on high school students' learning motivation. The lack of relevant and contextual chemistry learning materials often leads to low student motivation. To address this issue, student worksheets were developed by utilizing local wisdom from Kalimantan, specifically using </w:t>
            </w:r>
            <w:proofErr w:type="spellStart"/>
            <w:r>
              <w:rPr>
                <w:rFonts w:eastAsia="Calibri" w:cs="Helvetica"/>
                <w:lang w:eastAsia="zh-CN"/>
              </w:rPr>
              <w:t>Bajakah</w:t>
            </w:r>
            <w:proofErr w:type="spellEnd"/>
            <w:r>
              <w:rPr>
                <w:rFonts w:eastAsia="Calibri" w:cs="Helvetica"/>
                <w:lang w:eastAsia="zh-CN"/>
              </w:rPr>
              <w:t xml:space="preserve"> Wood as a case study. </w:t>
            </w:r>
          </w:p>
          <w:p w:rsidR="000B6B86" w:rsidRDefault="00F50A49">
            <w:pPr>
              <w:pStyle w:val="Body"/>
              <w:spacing w:after="0"/>
              <w:rPr>
                <w:rFonts w:eastAsia="Calibri" w:cs="Helvetica"/>
              </w:rPr>
            </w:pPr>
            <w:r>
              <w:rPr>
                <w:rFonts w:eastAsia="Calibri" w:cs="Helvetica"/>
                <w:b/>
                <w:bCs/>
              </w:rPr>
              <w:t>Methods:</w:t>
            </w:r>
            <w:r>
              <w:rPr>
                <w:rFonts w:eastAsia="Calibri" w:cs="Helvetica"/>
                <w:b/>
                <w:bCs/>
                <w:lang w:val="id-ID"/>
              </w:rPr>
              <w:t xml:space="preserve"> </w:t>
            </w:r>
            <w:r>
              <w:t xml:space="preserve">this research used a quantitative method with a quasi-experimental design. The research subjects were divided into two groups: an experimental class that used </w:t>
            </w:r>
            <w:proofErr w:type="spellStart"/>
            <w:r>
              <w:t>studenst</w:t>
            </w:r>
            <w:proofErr w:type="spellEnd"/>
            <w:r>
              <w:t xml:space="preserve"> worksheet ethno-chemistry-based and a control class that was taught using conventional methods. Learning motivation data were collected through a questionnaire and analyzed using the Mann-Whitney U test to compare the two groups. The results showed a statistically significant difference in learning motivation between the experimental and control groups, with a p-value of 0.01 (p&lt;0.05).</w:t>
            </w:r>
          </w:p>
          <w:p w:rsidR="000B6B86" w:rsidRDefault="00F50A49">
            <w:pPr>
              <w:pStyle w:val="Body"/>
              <w:tabs>
                <w:tab w:val="left" w:pos="1400"/>
              </w:tabs>
              <w:spacing w:after="0"/>
              <w:rPr>
                <w:rFonts w:eastAsia="Calibri" w:cs="Helvetica"/>
                <w:lang w:eastAsia="zh-CN"/>
              </w:rPr>
            </w:pPr>
            <w:r>
              <w:rPr>
                <w:rFonts w:eastAsia="Calibri" w:cs="Helvetica"/>
                <w:b/>
                <w:bCs/>
                <w:lang w:eastAsia="zh-CN"/>
              </w:rPr>
              <w:t>Result:</w:t>
            </w:r>
            <w:r>
              <w:rPr>
                <w:rFonts w:eastAsia="Calibri" w:cs="Helvetica"/>
                <w:lang w:eastAsia="zh-CN"/>
              </w:rPr>
              <w:t xml:space="preserve"> </w:t>
            </w:r>
            <w:r>
              <w:t xml:space="preserve">The experimental group demonstrated a higher increase in motivation, as shown by a mean score of 77.27 and consistency in the results. This increase can be explained by constructivist theory and self-determination theory (SDT). The student worksheets successfully bridged abstract chemical concepts with students' cultural realities, thus fulfilling their psychological needs for autonomy, competence, and relatedness. </w:t>
            </w:r>
          </w:p>
          <w:p w:rsidR="000B6B86" w:rsidRDefault="00F50A49">
            <w:pPr>
              <w:pStyle w:val="Body"/>
              <w:spacing w:after="0"/>
              <w:rPr>
                <w:rFonts w:eastAsia="Calibri" w:cs="Helvetica"/>
                <w:szCs w:val="22"/>
                <w:lang w:eastAsia="zh-CN"/>
              </w:rPr>
            </w:pPr>
            <w:r>
              <w:rPr>
                <w:rFonts w:eastAsia="Calibri" w:cs="Helvetica"/>
                <w:b/>
                <w:bCs/>
                <w:lang w:eastAsia="zh-CN"/>
              </w:rPr>
              <w:t>Impact:</w:t>
            </w:r>
            <w:r>
              <w:rPr>
                <w:rFonts w:eastAsia="Calibri" w:cs="Helvetica"/>
                <w:lang w:eastAsia="zh-CN"/>
              </w:rPr>
              <w:t xml:space="preserve"> </w:t>
            </w:r>
            <w:r>
              <w:rPr>
                <w:rFonts w:eastAsia="Calibri"/>
                <w:lang w:eastAsia="zh-CN"/>
              </w:rPr>
              <w:t>These findings prove that a culturally responsive pedagogical approach is an effective strategy to enhance students' intrinsic motivation in science subjects.</w:t>
            </w:r>
          </w:p>
        </w:tc>
      </w:tr>
    </w:tbl>
    <w:p w:rsidR="000B6B86" w:rsidRDefault="000B6B86">
      <w:pPr>
        <w:pStyle w:val="Body"/>
        <w:spacing w:after="0"/>
        <w:rPr>
          <w:rFonts w:ascii="Arial" w:hAnsi="Arial" w:cs="Arial"/>
          <w:i/>
        </w:rPr>
      </w:pPr>
    </w:p>
    <w:p w:rsidR="000B6B86" w:rsidRDefault="00F50A49">
      <w:pPr>
        <w:pStyle w:val="Body"/>
        <w:spacing w:after="0"/>
        <w:rPr>
          <w:rFonts w:ascii="Arial" w:hAnsi="Arial"/>
          <w:i/>
        </w:rPr>
      </w:pPr>
      <w:r>
        <w:rPr>
          <w:rFonts w:ascii="Arial" w:hAnsi="Arial" w:cs="Arial"/>
          <w:b/>
          <w:bCs/>
          <w:i/>
        </w:rPr>
        <w:t>Keywords:</w:t>
      </w:r>
      <w:r>
        <w:rPr>
          <w:rFonts w:ascii="Arial" w:hAnsi="Arial" w:cs="Arial"/>
          <w:i/>
        </w:rPr>
        <w:t xml:space="preserve"> </w:t>
      </w:r>
      <w:proofErr w:type="spellStart"/>
      <w:r>
        <w:rPr>
          <w:rFonts w:ascii="Arial" w:hAnsi="Arial"/>
          <w:i/>
        </w:rPr>
        <w:t>Bajakah</w:t>
      </w:r>
      <w:proofErr w:type="spellEnd"/>
      <w:r>
        <w:rPr>
          <w:rFonts w:ascii="Arial" w:hAnsi="Arial"/>
          <w:i/>
        </w:rPr>
        <w:t xml:space="preserve"> wood, </w:t>
      </w:r>
      <w:proofErr w:type="spellStart"/>
      <w:r>
        <w:rPr>
          <w:rFonts w:ascii="Arial" w:hAnsi="Arial"/>
          <w:i/>
        </w:rPr>
        <w:t>ethnochemistry</w:t>
      </w:r>
      <w:proofErr w:type="spellEnd"/>
      <w:r>
        <w:rPr>
          <w:rFonts w:ascii="Arial" w:hAnsi="Arial"/>
          <w:i/>
        </w:rPr>
        <w:t>, green chemistry, motivation, student worksheet</w:t>
      </w:r>
    </w:p>
    <w:p w:rsidR="000B6B86" w:rsidRDefault="000B6B86">
      <w:pPr>
        <w:pStyle w:val="Body"/>
        <w:spacing w:after="0"/>
        <w:rPr>
          <w:rFonts w:ascii="Arial" w:hAnsi="Arial"/>
          <w:i/>
        </w:rPr>
      </w:pPr>
    </w:p>
    <w:p w:rsidR="000B6B86" w:rsidRDefault="00F50A49">
      <w:pPr>
        <w:pStyle w:val="AbstHead"/>
        <w:spacing w:after="0"/>
        <w:jc w:val="both"/>
        <w:rPr>
          <w:rFonts w:cs="Helvetica"/>
          <w:szCs w:val="22"/>
        </w:rPr>
      </w:pPr>
      <w:r>
        <w:rPr>
          <w:rFonts w:cs="Helvetica"/>
          <w:szCs w:val="22"/>
        </w:rPr>
        <w:t xml:space="preserve">1. INTRODUCTION </w:t>
      </w:r>
    </w:p>
    <w:p w:rsidR="000B6B86" w:rsidRDefault="000B6B86">
      <w:pPr>
        <w:pStyle w:val="AbstHead"/>
        <w:spacing w:after="0"/>
        <w:jc w:val="both"/>
        <w:rPr>
          <w:rFonts w:cs="Helvetica"/>
          <w:szCs w:val="22"/>
        </w:rPr>
      </w:pPr>
    </w:p>
    <w:p w:rsidR="000B6B86" w:rsidRDefault="00F50A49">
      <w:pPr>
        <w:ind w:firstLine="720"/>
        <w:jc w:val="both"/>
        <w:rPr>
          <w:rFonts w:cs="Helvetica"/>
          <w:sz w:val="22"/>
          <w:szCs w:val="22"/>
        </w:rPr>
      </w:pPr>
      <w:r>
        <w:rPr>
          <w:rFonts w:cs="Helvetica"/>
          <w:sz w:val="22"/>
          <w:szCs w:val="22"/>
        </w:rPr>
        <w:t xml:space="preserve">Modern science education requires instruction that not only focuses on conceptual understanding but also on contextual relevance and the development of a positive attitude in students. In this context, Green Chemistry has emerged as a relevant philosophy, centered on designing environmentally friendly chemical products and processes (Verma et al., 2024). Integrating Green Chemistry principles into the curriculum can enhance science literacy and foster environmental awareness (Day et al., 2024; </w:t>
      </w:r>
      <w:proofErr w:type="spellStart"/>
      <w:r>
        <w:rPr>
          <w:rFonts w:cs="Helvetica"/>
          <w:sz w:val="22"/>
          <w:szCs w:val="22"/>
        </w:rPr>
        <w:t>Saputra</w:t>
      </w:r>
      <w:proofErr w:type="spellEnd"/>
      <w:r>
        <w:rPr>
          <w:rFonts w:cs="Helvetica"/>
          <w:sz w:val="22"/>
          <w:szCs w:val="22"/>
        </w:rPr>
        <w:t xml:space="preserve"> and Tania, 2022). </w:t>
      </w:r>
    </w:p>
    <w:p w:rsidR="000B6B86" w:rsidRDefault="00F50A49">
      <w:pPr>
        <w:ind w:firstLine="720"/>
        <w:jc w:val="both"/>
        <w:rPr>
          <w:rFonts w:cs="Helvetica"/>
          <w:sz w:val="22"/>
          <w:szCs w:val="22"/>
        </w:rPr>
      </w:pPr>
      <w:r>
        <w:rPr>
          <w:rFonts w:cs="Helvetica"/>
          <w:sz w:val="22"/>
          <w:szCs w:val="22"/>
        </w:rPr>
        <w:t xml:space="preserve">Using an Indonesian-version of the Green Chemistry Attitude Scale to Evaluate College Students' Awareness towards Environment. </w:t>
      </w:r>
      <w:proofErr w:type="spellStart"/>
      <w:r>
        <w:rPr>
          <w:rFonts w:cs="Helvetica"/>
          <w:sz w:val="22"/>
          <w:szCs w:val="22"/>
        </w:rPr>
        <w:t>Jurnal</w:t>
      </w:r>
      <w:proofErr w:type="spellEnd"/>
      <w:r>
        <w:rPr>
          <w:rFonts w:cs="Helvetica"/>
          <w:sz w:val="22"/>
          <w:szCs w:val="22"/>
        </w:rPr>
        <w:t xml:space="preserve"> Pendidikan MIPA, 23(2), 410-418.). However, chemistry instruction is often perceived as abstract and detached from daily life, which ultimately lowers student learning motivation (Ferreira et al., 2021). To address this issue, a pedagogical approach that bridges modern science with local culture is necessary (García Franco et al., 2022). </w:t>
      </w:r>
      <w:proofErr w:type="spellStart"/>
      <w:r>
        <w:rPr>
          <w:rFonts w:cs="Helvetica"/>
          <w:sz w:val="22"/>
          <w:szCs w:val="22"/>
        </w:rPr>
        <w:t>ethnochemistry</w:t>
      </w:r>
      <w:proofErr w:type="spellEnd"/>
      <w:r>
        <w:rPr>
          <w:rFonts w:cs="Helvetica"/>
          <w:sz w:val="22"/>
          <w:szCs w:val="22"/>
        </w:rPr>
        <w:t xml:space="preserve">, the study of traditional chemical knowledge, serves as a </w:t>
      </w:r>
      <w:r>
        <w:rPr>
          <w:rFonts w:cs="Helvetica"/>
          <w:sz w:val="22"/>
          <w:szCs w:val="22"/>
        </w:rPr>
        <w:lastRenderedPageBreak/>
        <w:t>promising link (</w:t>
      </w:r>
      <w:proofErr w:type="spellStart"/>
      <w:r>
        <w:rPr>
          <w:rFonts w:cs="Helvetica"/>
          <w:sz w:val="22"/>
          <w:szCs w:val="22"/>
        </w:rPr>
        <w:t>Chibuye</w:t>
      </w:r>
      <w:proofErr w:type="spellEnd"/>
      <w:r>
        <w:rPr>
          <w:rFonts w:cs="Helvetica"/>
          <w:sz w:val="22"/>
          <w:szCs w:val="22"/>
        </w:rPr>
        <w:t xml:space="preserve"> and Singh, 2024). This approach makes learning more meaningful and relevant for students (El Yazidi and </w:t>
      </w:r>
      <w:proofErr w:type="spellStart"/>
      <w:r>
        <w:rPr>
          <w:rFonts w:cs="Helvetica"/>
          <w:sz w:val="22"/>
          <w:szCs w:val="22"/>
        </w:rPr>
        <w:t>Rijal</w:t>
      </w:r>
      <w:proofErr w:type="spellEnd"/>
      <w:r>
        <w:rPr>
          <w:rFonts w:cs="Helvetica"/>
          <w:sz w:val="22"/>
          <w:szCs w:val="22"/>
        </w:rPr>
        <w:t xml:space="preserve">, 2024). In Kalimantan, the abundance of natural resources provides various traditional materials rich in ethno-chemical knowledge, one of which is </w:t>
      </w:r>
      <w:proofErr w:type="spellStart"/>
      <w:r>
        <w:rPr>
          <w:rFonts w:cs="Helvetica"/>
          <w:sz w:val="22"/>
          <w:szCs w:val="22"/>
        </w:rPr>
        <w:t>Bajakah</w:t>
      </w:r>
      <w:proofErr w:type="spellEnd"/>
      <w:r>
        <w:rPr>
          <w:rFonts w:cs="Helvetica"/>
          <w:sz w:val="22"/>
          <w:szCs w:val="22"/>
        </w:rPr>
        <w:t xml:space="preserve"> Wood (</w:t>
      </w:r>
      <w:proofErr w:type="spellStart"/>
      <w:r>
        <w:rPr>
          <w:rFonts w:cs="Helvetica"/>
          <w:sz w:val="22"/>
          <w:szCs w:val="22"/>
        </w:rPr>
        <w:t>Mahfudh</w:t>
      </w:r>
      <w:proofErr w:type="spellEnd"/>
      <w:r>
        <w:rPr>
          <w:rFonts w:cs="Helvetica"/>
          <w:sz w:val="22"/>
          <w:szCs w:val="22"/>
        </w:rPr>
        <w:t xml:space="preserve"> et al., 2024). Utilizing this local wisdom in student worksheets has the potential to change students' perceptions of chemistry, transforming it from a foreign subject into something that is part of their culture (</w:t>
      </w:r>
      <w:proofErr w:type="spellStart"/>
      <w:r>
        <w:rPr>
          <w:rFonts w:cs="Helvetica"/>
          <w:sz w:val="22"/>
          <w:szCs w:val="22"/>
        </w:rPr>
        <w:t>Syar</w:t>
      </w:r>
      <w:proofErr w:type="spellEnd"/>
      <w:r>
        <w:rPr>
          <w:rFonts w:cs="Helvetica"/>
          <w:sz w:val="22"/>
          <w:szCs w:val="22"/>
        </w:rPr>
        <w:t xml:space="preserve"> et al., 2023). </w:t>
      </w:r>
    </w:p>
    <w:p w:rsidR="000B6B86" w:rsidRDefault="00F50A49">
      <w:pPr>
        <w:ind w:firstLine="720"/>
        <w:jc w:val="both"/>
        <w:rPr>
          <w:rFonts w:cs="Helvetica"/>
          <w:sz w:val="22"/>
          <w:szCs w:val="22"/>
        </w:rPr>
      </w:pPr>
      <w:r>
        <w:rPr>
          <w:rFonts w:cs="Helvetica"/>
          <w:sz w:val="22"/>
          <w:szCs w:val="22"/>
        </w:rPr>
        <w:t xml:space="preserve">Nevertheless, chemistry instruction in Indonesia, particularly at the high school level, still often relies on conventional methods that tend to disregard local resources (Martin, 2019). This lack of connection between educational material and students' real-world context leads to low learning motivation (Chen et al., 2021; </w:t>
      </w:r>
      <w:proofErr w:type="spellStart"/>
      <w:r>
        <w:rPr>
          <w:rFonts w:cs="Helvetica"/>
          <w:sz w:val="22"/>
          <w:szCs w:val="22"/>
        </w:rPr>
        <w:t>Purba</w:t>
      </w:r>
      <w:proofErr w:type="spellEnd"/>
      <w:r>
        <w:rPr>
          <w:rFonts w:cs="Helvetica"/>
          <w:sz w:val="22"/>
          <w:szCs w:val="22"/>
        </w:rPr>
        <w:t xml:space="preserve"> et al., 2019). Students frequently struggle to see the practical benefits and applications of chemical concepts, causing their interest to decline (Stone, 2021). This is a critical problem because learning motivation is a key prerequisite for academic success (</w:t>
      </w:r>
      <w:proofErr w:type="spellStart"/>
      <w:r>
        <w:rPr>
          <w:rFonts w:cs="Helvetica"/>
          <w:sz w:val="22"/>
          <w:szCs w:val="22"/>
        </w:rPr>
        <w:t>Caratiquit</w:t>
      </w:r>
      <w:proofErr w:type="spellEnd"/>
      <w:r>
        <w:rPr>
          <w:rFonts w:cs="Helvetica"/>
          <w:sz w:val="22"/>
          <w:szCs w:val="22"/>
        </w:rPr>
        <w:t xml:space="preserve"> et al., 2023). This issue is also evident at SMA 53 Jakarta, where initial observations indicate that despite their high potential, students' motivation to learn chemistry is only at a medium level, as reflected in their inconsistent enthusiasm and participation in class.</w:t>
      </w:r>
    </w:p>
    <w:p w:rsidR="000B6B86" w:rsidRDefault="00F50A49">
      <w:pPr>
        <w:ind w:firstLine="720"/>
        <w:jc w:val="both"/>
        <w:rPr>
          <w:rFonts w:cs="Helvetica"/>
          <w:sz w:val="22"/>
          <w:szCs w:val="22"/>
        </w:rPr>
      </w:pPr>
      <w:r>
        <w:rPr>
          <w:rFonts w:cs="Helvetica"/>
          <w:sz w:val="22"/>
          <w:szCs w:val="22"/>
        </w:rPr>
        <w:t xml:space="preserve">Therefore, this study proposes an innovative solution through the implementation of student worksheets that integrate Green Chemistry principles with local </w:t>
      </w:r>
      <w:proofErr w:type="spellStart"/>
      <w:r>
        <w:rPr>
          <w:rFonts w:cs="Helvetica"/>
          <w:sz w:val="22"/>
          <w:szCs w:val="22"/>
        </w:rPr>
        <w:t>ethnochemistry</w:t>
      </w:r>
      <w:proofErr w:type="spellEnd"/>
      <w:r>
        <w:rPr>
          <w:rFonts w:cs="Helvetica"/>
          <w:sz w:val="22"/>
          <w:szCs w:val="22"/>
        </w:rPr>
        <w:t xml:space="preserve">, using </w:t>
      </w:r>
      <w:proofErr w:type="spellStart"/>
      <w:r>
        <w:rPr>
          <w:rFonts w:cs="Helvetica"/>
          <w:sz w:val="22"/>
          <w:szCs w:val="22"/>
        </w:rPr>
        <w:t>Bajakah</w:t>
      </w:r>
      <w:proofErr w:type="spellEnd"/>
      <w:r>
        <w:rPr>
          <w:rFonts w:cs="Helvetica"/>
          <w:sz w:val="22"/>
          <w:szCs w:val="22"/>
        </w:rPr>
        <w:t xml:space="preserve"> Wood as a case study. Through this approach, students are invited to explore the processes of extracting and identifying active compounds in </w:t>
      </w:r>
      <w:proofErr w:type="spellStart"/>
      <w:r>
        <w:rPr>
          <w:rFonts w:cs="Helvetica"/>
          <w:sz w:val="22"/>
          <w:szCs w:val="22"/>
        </w:rPr>
        <w:t>Bajakah</w:t>
      </w:r>
      <w:proofErr w:type="spellEnd"/>
      <w:r>
        <w:rPr>
          <w:rFonts w:cs="Helvetica"/>
          <w:sz w:val="22"/>
          <w:szCs w:val="22"/>
        </w:rPr>
        <w:t xml:space="preserve"> Wood—a real-world application of Green Chemistry—while exploring relevant local wisdom (</w:t>
      </w:r>
      <w:proofErr w:type="spellStart"/>
      <w:r>
        <w:rPr>
          <w:rFonts w:cs="Helvetica"/>
          <w:sz w:val="22"/>
          <w:szCs w:val="22"/>
        </w:rPr>
        <w:t>Purba</w:t>
      </w:r>
      <w:proofErr w:type="spellEnd"/>
      <w:r>
        <w:rPr>
          <w:rFonts w:cs="Helvetica"/>
          <w:sz w:val="22"/>
          <w:szCs w:val="22"/>
        </w:rPr>
        <w:t xml:space="preserve"> et al., 2022; </w:t>
      </w:r>
      <w:proofErr w:type="spellStart"/>
      <w:r>
        <w:rPr>
          <w:rFonts w:cs="Helvetica"/>
          <w:sz w:val="22"/>
          <w:szCs w:val="22"/>
        </w:rPr>
        <w:t>Mashami</w:t>
      </w:r>
      <w:proofErr w:type="spellEnd"/>
      <w:r>
        <w:rPr>
          <w:rFonts w:cs="Helvetica"/>
          <w:sz w:val="22"/>
          <w:szCs w:val="22"/>
        </w:rPr>
        <w:t>, 2025). It is hoped that this approach will not only improve conceptual understanding but also significantly enhance student motivation by demonstrating that chemistry is a relevant and beneficial science (</w:t>
      </w:r>
      <w:proofErr w:type="spellStart"/>
      <w:r>
        <w:rPr>
          <w:rFonts w:cs="Helvetica"/>
          <w:sz w:val="22"/>
          <w:szCs w:val="22"/>
        </w:rPr>
        <w:t>Agwu</w:t>
      </w:r>
      <w:proofErr w:type="spellEnd"/>
      <w:r>
        <w:rPr>
          <w:rFonts w:cs="Helvetica"/>
          <w:sz w:val="22"/>
          <w:szCs w:val="22"/>
        </w:rPr>
        <w:t xml:space="preserve"> and </w:t>
      </w:r>
      <w:proofErr w:type="spellStart"/>
      <w:r>
        <w:rPr>
          <w:rFonts w:cs="Helvetica"/>
          <w:sz w:val="22"/>
          <w:szCs w:val="22"/>
        </w:rPr>
        <w:t>Nmadu</w:t>
      </w:r>
      <w:proofErr w:type="spellEnd"/>
      <w:r>
        <w:rPr>
          <w:rFonts w:cs="Helvetica"/>
          <w:sz w:val="22"/>
          <w:szCs w:val="22"/>
        </w:rPr>
        <w:t>, 2023).</w:t>
      </w:r>
    </w:p>
    <w:p w:rsidR="000B6B86" w:rsidRDefault="00F50A49">
      <w:pPr>
        <w:pStyle w:val="Body"/>
        <w:spacing w:after="0"/>
        <w:rPr>
          <w:rFonts w:eastAsia="Calibri" w:cs="Helvetica"/>
          <w:sz w:val="22"/>
          <w:szCs w:val="22"/>
          <w:lang w:val="id-ID"/>
        </w:rPr>
      </w:pPr>
      <w:r>
        <w:rPr>
          <w:rFonts w:cs="Helvetica"/>
          <w:sz w:val="22"/>
          <w:szCs w:val="22"/>
        </w:rPr>
        <w:t xml:space="preserve">Previous studies have examined the influence of local wisdom-based learning, but few have specifically connected Green Chemistry with Kalimantan's </w:t>
      </w:r>
      <w:proofErr w:type="spellStart"/>
      <w:r>
        <w:rPr>
          <w:rFonts w:cs="Helvetica"/>
          <w:sz w:val="22"/>
          <w:szCs w:val="22"/>
        </w:rPr>
        <w:t>ethnochemistry</w:t>
      </w:r>
      <w:proofErr w:type="spellEnd"/>
      <w:r>
        <w:rPr>
          <w:rFonts w:cs="Helvetica"/>
          <w:sz w:val="22"/>
          <w:szCs w:val="22"/>
        </w:rPr>
        <w:t xml:space="preserve"> and its impact on learning motivation (Rukmini et al., 2025). This research gap indicates a lack of in-depth empirical studies proving that integrating these three concepts can be an effective strategy to boost student motivation (</w:t>
      </w:r>
      <w:proofErr w:type="spellStart"/>
      <w:r>
        <w:rPr>
          <w:rFonts w:cs="Helvetica"/>
          <w:sz w:val="22"/>
          <w:szCs w:val="22"/>
        </w:rPr>
        <w:t>Akram</w:t>
      </w:r>
      <w:proofErr w:type="spellEnd"/>
      <w:r>
        <w:rPr>
          <w:rFonts w:cs="Helvetica"/>
          <w:sz w:val="22"/>
          <w:szCs w:val="22"/>
        </w:rPr>
        <w:t xml:space="preserve"> and Li 2024). Thus, this study is urgently needed to fill this gap and make a tangible contribution to the development of chemistry curriculum and instructional methods in Indonesia. Based on these issues, this research aims to empirically examine the influence of implementing Green Chemistry-based </w:t>
      </w:r>
      <w:proofErr w:type="spellStart"/>
      <w:r>
        <w:rPr>
          <w:rFonts w:cs="Helvetica"/>
          <w:sz w:val="22"/>
          <w:szCs w:val="22"/>
        </w:rPr>
        <w:t>ethnochemistry</w:t>
      </w:r>
      <w:proofErr w:type="spellEnd"/>
      <w:r>
        <w:rPr>
          <w:rFonts w:cs="Helvetica"/>
          <w:sz w:val="22"/>
          <w:szCs w:val="22"/>
        </w:rPr>
        <w:t xml:space="preserve"> "</w:t>
      </w:r>
      <w:proofErr w:type="spellStart"/>
      <w:r>
        <w:rPr>
          <w:rFonts w:cs="Helvetica"/>
          <w:sz w:val="22"/>
          <w:szCs w:val="22"/>
        </w:rPr>
        <w:t>Bajakah</w:t>
      </w:r>
      <w:proofErr w:type="spellEnd"/>
      <w:r>
        <w:rPr>
          <w:rFonts w:cs="Helvetica"/>
          <w:sz w:val="22"/>
          <w:szCs w:val="22"/>
        </w:rPr>
        <w:t xml:space="preserve"> Wood" student worksheets on the learning motivation of students at SMA 53 Jakarta, with the specific goal of analyzing the impact of these worksheets on their level of learning motivation</w:t>
      </w:r>
      <w:r>
        <w:rPr>
          <w:rFonts w:cs="Helvetica"/>
          <w:sz w:val="22"/>
          <w:szCs w:val="22"/>
          <w:lang w:val="id-ID"/>
        </w:rPr>
        <w:t>.</w:t>
      </w:r>
    </w:p>
    <w:p w:rsidR="000B6B86" w:rsidRDefault="000B6B86">
      <w:pPr>
        <w:pStyle w:val="Body"/>
        <w:spacing w:after="0"/>
        <w:rPr>
          <w:rFonts w:eastAsia="Calibri" w:cs="Helvetica"/>
          <w:sz w:val="22"/>
          <w:szCs w:val="22"/>
          <w:lang w:val="id-ID"/>
        </w:rPr>
      </w:pPr>
    </w:p>
    <w:p w:rsidR="000B6B86" w:rsidRDefault="000B6B86">
      <w:pPr>
        <w:pStyle w:val="Body"/>
        <w:spacing w:after="0"/>
        <w:rPr>
          <w:rFonts w:eastAsia="Calibri" w:cs="Helvetica"/>
          <w:sz w:val="22"/>
          <w:szCs w:val="22"/>
          <w:lang w:val="id-ID"/>
        </w:rPr>
      </w:pPr>
    </w:p>
    <w:p w:rsidR="000B6B86" w:rsidRDefault="00F50A49">
      <w:pPr>
        <w:pStyle w:val="AbstHead"/>
        <w:spacing w:after="0"/>
        <w:jc w:val="both"/>
        <w:rPr>
          <w:rFonts w:cs="Helvetica"/>
          <w:szCs w:val="22"/>
        </w:rPr>
      </w:pPr>
      <w:r>
        <w:rPr>
          <w:rFonts w:cs="Helvetica"/>
          <w:szCs w:val="22"/>
        </w:rPr>
        <w:t xml:space="preserve">2. material and methods </w:t>
      </w:r>
    </w:p>
    <w:p w:rsidR="000B6B86" w:rsidRDefault="000B6B86">
      <w:pPr>
        <w:pStyle w:val="AbstHead"/>
        <w:spacing w:after="0"/>
        <w:jc w:val="both"/>
        <w:rPr>
          <w:rFonts w:cs="Helvetica"/>
          <w:szCs w:val="22"/>
        </w:rPr>
      </w:pPr>
    </w:p>
    <w:p w:rsidR="000B6B86" w:rsidRDefault="00F50A49">
      <w:pPr>
        <w:ind w:firstLine="720"/>
        <w:jc w:val="both"/>
        <w:rPr>
          <w:rFonts w:cs="Helvetica"/>
          <w:sz w:val="22"/>
          <w:szCs w:val="22"/>
        </w:rPr>
      </w:pPr>
      <w:r>
        <w:rPr>
          <w:rFonts w:cs="Helvetica"/>
          <w:sz w:val="22"/>
          <w:szCs w:val="22"/>
        </w:rPr>
        <w:t>This research employed a quantitative approach with a quasi-experimental design, to determine the effect of student worksheets on student learning motivation (Zhang et al., 2023).</w:t>
      </w:r>
    </w:p>
    <w:p w:rsidR="000B6B86" w:rsidRDefault="00F50A49">
      <w:pPr>
        <w:jc w:val="both"/>
        <w:rPr>
          <w:rFonts w:cs="Helvetica"/>
          <w:b/>
          <w:bCs/>
          <w:sz w:val="22"/>
          <w:szCs w:val="22"/>
        </w:rPr>
      </w:pPr>
      <w:r>
        <w:rPr>
          <w:rFonts w:cs="Helvetica"/>
          <w:b/>
          <w:bCs/>
          <w:sz w:val="22"/>
          <w:szCs w:val="22"/>
        </w:rPr>
        <w:t>Research Subjects and Location</w:t>
      </w:r>
    </w:p>
    <w:p w:rsidR="000B6B86" w:rsidRDefault="00F50A49">
      <w:pPr>
        <w:ind w:firstLine="720"/>
        <w:jc w:val="both"/>
        <w:rPr>
          <w:rFonts w:cs="Helvetica"/>
          <w:sz w:val="22"/>
          <w:szCs w:val="22"/>
        </w:rPr>
      </w:pPr>
      <w:r>
        <w:rPr>
          <w:rFonts w:cs="Helvetica"/>
          <w:sz w:val="22"/>
          <w:szCs w:val="22"/>
        </w:rPr>
        <w:lastRenderedPageBreak/>
        <w:t xml:space="preserve">The population for this study was all tenth-grade students at State Senior High School 53 in Jakarta, Indonesia. There </w:t>
      </w:r>
      <w:proofErr w:type="gramStart"/>
      <w:r>
        <w:rPr>
          <w:rFonts w:cs="Helvetica"/>
          <w:sz w:val="22"/>
          <w:szCs w:val="22"/>
        </w:rPr>
        <w:t>are</w:t>
      </w:r>
      <w:proofErr w:type="gramEnd"/>
      <w:r>
        <w:rPr>
          <w:rFonts w:cs="Helvetica"/>
          <w:sz w:val="22"/>
          <w:szCs w:val="22"/>
        </w:rPr>
        <w:t xml:space="preserve"> a total of seven tenth-grade classes, with approximately 33 to 36 students per class, bringing the total estimated population to between 231 and 252 students. This research used a convenience sampling technique (</w:t>
      </w:r>
      <w:proofErr w:type="spellStart"/>
      <w:r>
        <w:rPr>
          <w:rFonts w:cs="Helvetica"/>
          <w:sz w:val="22"/>
          <w:szCs w:val="22"/>
        </w:rPr>
        <w:t>Golzar</w:t>
      </w:r>
      <w:proofErr w:type="spellEnd"/>
      <w:r>
        <w:rPr>
          <w:rFonts w:cs="Helvetica"/>
          <w:sz w:val="22"/>
          <w:szCs w:val="22"/>
        </w:rPr>
        <w:t xml:space="preserve"> et al., 2022). The researchers selected two classes from the seven available tenth-grade classes not through random selection or specific criteria, but simply based on the time slots available for delivering the material. The two classes selected from the population were class X2 and class X6. Class X2 was designated as the experimental group with 35 students, while class X6 served as the control group with 36 students.</w:t>
      </w:r>
    </w:p>
    <w:p w:rsidR="000B6B86" w:rsidRDefault="00F50A49">
      <w:pPr>
        <w:jc w:val="both"/>
        <w:rPr>
          <w:rFonts w:cs="Helvetica"/>
          <w:b/>
          <w:bCs/>
          <w:sz w:val="22"/>
          <w:szCs w:val="22"/>
        </w:rPr>
      </w:pPr>
      <w:r>
        <w:rPr>
          <w:rFonts w:cs="Helvetica"/>
          <w:b/>
          <w:bCs/>
          <w:sz w:val="22"/>
          <w:szCs w:val="22"/>
        </w:rPr>
        <w:t>Research Instrument</w:t>
      </w:r>
    </w:p>
    <w:p w:rsidR="000B6B86" w:rsidRDefault="00F50A49">
      <w:pPr>
        <w:ind w:firstLine="720"/>
        <w:jc w:val="both"/>
        <w:rPr>
          <w:rFonts w:cs="Helvetica"/>
          <w:sz w:val="22"/>
          <w:szCs w:val="22"/>
        </w:rPr>
      </w:pPr>
      <w:r>
        <w:rPr>
          <w:rFonts w:cs="Helvetica"/>
          <w:sz w:val="22"/>
          <w:szCs w:val="22"/>
        </w:rPr>
        <w:t>Data was collected using a student learning motivation questionnaire, which was adapted and tested for validity and reliability. The questionnaire measured several indicators of motivation, including interest, desire, pleasure, family, environment, Facilities and Infrastructure (</w:t>
      </w:r>
      <w:proofErr w:type="spellStart"/>
      <w:r>
        <w:rPr>
          <w:rFonts w:cs="Helvetica"/>
          <w:sz w:val="22"/>
          <w:szCs w:val="22"/>
        </w:rPr>
        <w:t>Ferreiraet</w:t>
      </w:r>
      <w:proofErr w:type="spellEnd"/>
      <w:r>
        <w:rPr>
          <w:rFonts w:cs="Helvetica"/>
          <w:sz w:val="22"/>
          <w:szCs w:val="22"/>
        </w:rPr>
        <w:t xml:space="preserve"> al., 2021).  The main instrument used is an online questionnaire (Google Forms) with a Likert scale of 1-5 (1 = Strongly Disagree, 5 = Strongly Agree) (</w:t>
      </w:r>
      <w:proofErr w:type="spellStart"/>
      <w:r>
        <w:rPr>
          <w:rFonts w:cs="Helvetica"/>
          <w:sz w:val="22"/>
          <w:szCs w:val="22"/>
        </w:rPr>
        <w:t>Ruliyanti</w:t>
      </w:r>
      <w:proofErr w:type="spellEnd"/>
      <w:r>
        <w:rPr>
          <w:rFonts w:cs="Helvetica"/>
          <w:sz w:val="22"/>
          <w:szCs w:val="22"/>
        </w:rPr>
        <w:t xml:space="preserve"> et al., 2021). The blueprint for this research instrument is presented in Table 1.</w:t>
      </w:r>
    </w:p>
    <w:p w:rsidR="000B6B86" w:rsidRDefault="00F50A49">
      <w:pPr>
        <w:jc w:val="both"/>
        <w:rPr>
          <w:rFonts w:cs="Helvetica"/>
          <w:sz w:val="22"/>
          <w:szCs w:val="22"/>
        </w:rPr>
      </w:pPr>
      <w:r>
        <w:rPr>
          <w:rFonts w:cs="Helvetica"/>
          <w:sz w:val="22"/>
          <w:szCs w:val="22"/>
        </w:rPr>
        <w:t>Table 1. Blueprint of Research Instrument</w:t>
      </w:r>
    </w:p>
    <w:tbl>
      <w:tblPr>
        <w:tblStyle w:val="TableGrid"/>
        <w:tblW w:w="0" w:type="auto"/>
        <w:tblBorders>
          <w:top w:val="single" w:sz="4" w:space="0" w:color="auto"/>
          <w:left w:val="none" w:sz="0" w:space="0" w:color="auto"/>
          <w:bottom w:val="single" w:sz="4" w:space="0" w:color="auto"/>
          <w:right w:val="none" w:sz="0" w:space="0" w:color="auto"/>
          <w:insideH w:val="single" w:sz="4" w:space="0" w:color="auto"/>
          <w:insideV w:val="none" w:sz="0" w:space="0" w:color="auto"/>
        </w:tblBorders>
        <w:tblLayout w:type="fixed"/>
        <w:tblLook w:val="04A0" w:firstRow="1" w:lastRow="0" w:firstColumn="1" w:lastColumn="0" w:noHBand="0" w:noVBand="1"/>
      </w:tblPr>
      <w:tblGrid>
        <w:gridCol w:w="1115"/>
        <w:gridCol w:w="1603"/>
        <w:gridCol w:w="1521"/>
      </w:tblGrid>
      <w:tr w:rsidR="000B6B86">
        <w:trPr>
          <w:trHeight w:val="522"/>
        </w:trPr>
        <w:tc>
          <w:tcPr>
            <w:tcW w:w="1115" w:type="dxa"/>
            <w:vAlign w:val="center"/>
          </w:tcPr>
          <w:p w:rsidR="000B6B86" w:rsidRDefault="00F50A49">
            <w:pPr>
              <w:pStyle w:val="Body"/>
              <w:spacing w:after="0"/>
              <w:jc w:val="center"/>
              <w:rPr>
                <w:rFonts w:cs="Helvetica"/>
                <w:b/>
              </w:rPr>
            </w:pPr>
            <w:r>
              <w:rPr>
                <w:rFonts w:cs="Helvetica"/>
                <w:b/>
              </w:rPr>
              <w:t>Aspect</w:t>
            </w:r>
          </w:p>
        </w:tc>
        <w:tc>
          <w:tcPr>
            <w:tcW w:w="1603" w:type="dxa"/>
            <w:vAlign w:val="center"/>
          </w:tcPr>
          <w:p w:rsidR="000B6B86" w:rsidRDefault="00F50A49">
            <w:pPr>
              <w:pStyle w:val="Body"/>
              <w:spacing w:after="0"/>
              <w:jc w:val="center"/>
              <w:rPr>
                <w:rFonts w:cs="Helvetica"/>
                <w:b/>
              </w:rPr>
            </w:pPr>
            <w:r>
              <w:rPr>
                <w:rFonts w:cs="Helvetica"/>
                <w:b/>
              </w:rPr>
              <w:t>Indicator</w:t>
            </w:r>
          </w:p>
        </w:tc>
        <w:tc>
          <w:tcPr>
            <w:tcW w:w="1521" w:type="dxa"/>
            <w:vAlign w:val="center"/>
          </w:tcPr>
          <w:p w:rsidR="000B6B86" w:rsidRDefault="00F50A49">
            <w:pPr>
              <w:pStyle w:val="Body"/>
              <w:spacing w:after="0"/>
              <w:jc w:val="center"/>
              <w:rPr>
                <w:rFonts w:cs="Helvetica"/>
                <w:b/>
              </w:rPr>
            </w:pPr>
            <w:r>
              <w:rPr>
                <w:rFonts w:cs="Helvetica"/>
                <w:b/>
              </w:rPr>
              <w:t>Number of Statement</w:t>
            </w:r>
          </w:p>
        </w:tc>
      </w:tr>
      <w:tr w:rsidR="000B6B86">
        <w:trPr>
          <w:trHeight w:val="265"/>
        </w:trPr>
        <w:tc>
          <w:tcPr>
            <w:tcW w:w="1115" w:type="dxa"/>
            <w:vMerge w:val="restart"/>
          </w:tcPr>
          <w:p w:rsidR="000B6B86" w:rsidRDefault="00F50A49">
            <w:pPr>
              <w:pStyle w:val="Body"/>
              <w:tabs>
                <w:tab w:val="left" w:pos="800"/>
              </w:tabs>
              <w:spacing w:after="0"/>
              <w:ind w:rightChars="-50" w:right="-100"/>
              <w:rPr>
                <w:rFonts w:cs="Helvetica"/>
              </w:rPr>
            </w:pPr>
            <w:r>
              <w:rPr>
                <w:rFonts w:cs="Helvetica"/>
              </w:rPr>
              <w:t>Intrinsic</w:t>
            </w:r>
          </w:p>
        </w:tc>
        <w:tc>
          <w:tcPr>
            <w:tcW w:w="1603" w:type="dxa"/>
          </w:tcPr>
          <w:p w:rsidR="000B6B86" w:rsidRDefault="00F50A49">
            <w:pPr>
              <w:pStyle w:val="Body"/>
              <w:tabs>
                <w:tab w:val="left" w:pos="800"/>
              </w:tabs>
              <w:spacing w:after="0"/>
              <w:ind w:rightChars="-50" w:right="-100"/>
              <w:rPr>
                <w:rFonts w:cs="Helvetica"/>
              </w:rPr>
            </w:pPr>
            <w:r>
              <w:rPr>
                <w:rFonts w:cs="Helvetica"/>
              </w:rPr>
              <w:t>Interest</w:t>
            </w:r>
          </w:p>
        </w:tc>
        <w:tc>
          <w:tcPr>
            <w:tcW w:w="1521" w:type="dxa"/>
          </w:tcPr>
          <w:p w:rsidR="000B6B86" w:rsidRDefault="00F50A49">
            <w:pPr>
              <w:pStyle w:val="Body"/>
              <w:spacing w:after="0"/>
              <w:rPr>
                <w:rFonts w:cs="Helvetica"/>
              </w:rPr>
            </w:pPr>
            <w:r>
              <w:rPr>
                <w:rFonts w:cs="Helvetica"/>
              </w:rPr>
              <w:t>1, 2, 3</w:t>
            </w:r>
          </w:p>
        </w:tc>
      </w:tr>
      <w:tr w:rsidR="000B6B86">
        <w:trPr>
          <w:trHeight w:val="265"/>
        </w:trPr>
        <w:tc>
          <w:tcPr>
            <w:tcW w:w="1115" w:type="dxa"/>
            <w:vMerge/>
          </w:tcPr>
          <w:p w:rsidR="000B6B86" w:rsidRDefault="000B6B86">
            <w:pPr>
              <w:pStyle w:val="Body"/>
              <w:tabs>
                <w:tab w:val="left" w:pos="800"/>
              </w:tabs>
              <w:spacing w:after="0"/>
              <w:ind w:rightChars="-50" w:right="-100"/>
              <w:rPr>
                <w:rFonts w:cs="Helvetica"/>
              </w:rPr>
            </w:pPr>
          </w:p>
        </w:tc>
        <w:tc>
          <w:tcPr>
            <w:tcW w:w="1603" w:type="dxa"/>
          </w:tcPr>
          <w:p w:rsidR="000B6B86" w:rsidRDefault="00F50A49">
            <w:pPr>
              <w:pStyle w:val="Body"/>
              <w:tabs>
                <w:tab w:val="left" w:pos="800"/>
              </w:tabs>
              <w:spacing w:after="0"/>
              <w:ind w:rightChars="-50" w:right="-100"/>
              <w:rPr>
                <w:rFonts w:cs="Helvetica"/>
              </w:rPr>
            </w:pPr>
            <w:r>
              <w:rPr>
                <w:rFonts w:cs="Helvetica"/>
              </w:rPr>
              <w:t>Desire</w:t>
            </w:r>
          </w:p>
        </w:tc>
        <w:tc>
          <w:tcPr>
            <w:tcW w:w="1521" w:type="dxa"/>
          </w:tcPr>
          <w:p w:rsidR="000B6B86" w:rsidRDefault="00F50A49">
            <w:pPr>
              <w:pStyle w:val="Body"/>
              <w:spacing w:after="0"/>
              <w:rPr>
                <w:rFonts w:cs="Helvetica"/>
              </w:rPr>
            </w:pPr>
            <w:r>
              <w:rPr>
                <w:rFonts w:cs="Helvetica"/>
              </w:rPr>
              <w:t>4, 5, 6</w:t>
            </w:r>
          </w:p>
        </w:tc>
      </w:tr>
      <w:tr w:rsidR="000B6B86">
        <w:trPr>
          <w:trHeight w:val="265"/>
        </w:trPr>
        <w:tc>
          <w:tcPr>
            <w:tcW w:w="1115" w:type="dxa"/>
            <w:vMerge/>
          </w:tcPr>
          <w:p w:rsidR="000B6B86" w:rsidRDefault="000B6B86">
            <w:pPr>
              <w:pStyle w:val="Body"/>
              <w:tabs>
                <w:tab w:val="left" w:pos="800"/>
              </w:tabs>
              <w:spacing w:after="0"/>
              <w:ind w:rightChars="-50" w:right="-100"/>
              <w:rPr>
                <w:rFonts w:cs="Helvetica"/>
              </w:rPr>
            </w:pPr>
          </w:p>
        </w:tc>
        <w:tc>
          <w:tcPr>
            <w:tcW w:w="1603" w:type="dxa"/>
          </w:tcPr>
          <w:p w:rsidR="000B6B86" w:rsidRDefault="00F50A49">
            <w:pPr>
              <w:pStyle w:val="Body"/>
              <w:tabs>
                <w:tab w:val="left" w:pos="800"/>
              </w:tabs>
              <w:spacing w:after="0"/>
              <w:ind w:rightChars="-50" w:right="-100"/>
              <w:rPr>
                <w:rFonts w:cs="Helvetica"/>
              </w:rPr>
            </w:pPr>
            <w:r>
              <w:rPr>
                <w:rFonts w:cs="Helvetica"/>
              </w:rPr>
              <w:t>Pleasure</w:t>
            </w:r>
          </w:p>
        </w:tc>
        <w:tc>
          <w:tcPr>
            <w:tcW w:w="1521" w:type="dxa"/>
          </w:tcPr>
          <w:p w:rsidR="000B6B86" w:rsidRDefault="00F50A49">
            <w:pPr>
              <w:pStyle w:val="Body"/>
              <w:spacing w:after="0"/>
              <w:rPr>
                <w:rFonts w:cs="Helvetica"/>
              </w:rPr>
            </w:pPr>
            <w:r>
              <w:rPr>
                <w:rFonts w:cs="Helvetica"/>
              </w:rPr>
              <w:t>7, 8</w:t>
            </w:r>
          </w:p>
        </w:tc>
      </w:tr>
      <w:tr w:rsidR="000B6B86">
        <w:trPr>
          <w:trHeight w:val="265"/>
        </w:trPr>
        <w:tc>
          <w:tcPr>
            <w:tcW w:w="1115" w:type="dxa"/>
            <w:vMerge w:val="restart"/>
          </w:tcPr>
          <w:p w:rsidR="000B6B86" w:rsidRDefault="00F50A49">
            <w:pPr>
              <w:pStyle w:val="Body"/>
              <w:tabs>
                <w:tab w:val="left" w:pos="800"/>
              </w:tabs>
              <w:spacing w:after="0"/>
              <w:ind w:rightChars="-50" w:right="-100"/>
              <w:rPr>
                <w:rFonts w:cs="Helvetica"/>
              </w:rPr>
            </w:pPr>
            <w:r>
              <w:rPr>
                <w:rFonts w:cs="Helvetica"/>
              </w:rPr>
              <w:t>Extrinsic</w:t>
            </w:r>
          </w:p>
        </w:tc>
        <w:tc>
          <w:tcPr>
            <w:tcW w:w="1603" w:type="dxa"/>
          </w:tcPr>
          <w:p w:rsidR="000B6B86" w:rsidRDefault="00F50A49">
            <w:pPr>
              <w:pStyle w:val="Body"/>
              <w:tabs>
                <w:tab w:val="left" w:pos="800"/>
              </w:tabs>
              <w:spacing w:after="0"/>
              <w:ind w:rightChars="-50" w:right="-100"/>
              <w:rPr>
                <w:rFonts w:cs="Helvetica"/>
              </w:rPr>
            </w:pPr>
            <w:r>
              <w:rPr>
                <w:rFonts w:cs="Helvetica"/>
              </w:rPr>
              <w:t>Family</w:t>
            </w:r>
          </w:p>
        </w:tc>
        <w:tc>
          <w:tcPr>
            <w:tcW w:w="1521" w:type="dxa"/>
          </w:tcPr>
          <w:p w:rsidR="000B6B86" w:rsidRDefault="00F50A49">
            <w:pPr>
              <w:pStyle w:val="Body"/>
              <w:spacing w:after="0"/>
              <w:rPr>
                <w:rFonts w:cs="Helvetica"/>
              </w:rPr>
            </w:pPr>
            <w:r>
              <w:rPr>
                <w:rFonts w:cs="Helvetica"/>
              </w:rPr>
              <w:t>9, 10, 11</w:t>
            </w:r>
          </w:p>
        </w:tc>
      </w:tr>
      <w:tr w:rsidR="000B6B86">
        <w:trPr>
          <w:trHeight w:val="265"/>
        </w:trPr>
        <w:tc>
          <w:tcPr>
            <w:tcW w:w="1115" w:type="dxa"/>
            <w:vMerge/>
          </w:tcPr>
          <w:p w:rsidR="000B6B86" w:rsidRDefault="000B6B86">
            <w:pPr>
              <w:pStyle w:val="Body"/>
              <w:tabs>
                <w:tab w:val="left" w:pos="800"/>
              </w:tabs>
              <w:spacing w:after="0"/>
              <w:ind w:rightChars="-50" w:right="-100"/>
              <w:rPr>
                <w:rFonts w:cs="Helvetica"/>
              </w:rPr>
            </w:pPr>
          </w:p>
        </w:tc>
        <w:tc>
          <w:tcPr>
            <w:tcW w:w="1603" w:type="dxa"/>
          </w:tcPr>
          <w:p w:rsidR="000B6B86" w:rsidRDefault="00F50A49">
            <w:pPr>
              <w:pStyle w:val="Body"/>
              <w:tabs>
                <w:tab w:val="left" w:pos="800"/>
              </w:tabs>
              <w:spacing w:after="0"/>
              <w:ind w:rightChars="-50" w:right="-100"/>
              <w:rPr>
                <w:rFonts w:cs="Helvetica"/>
              </w:rPr>
            </w:pPr>
            <w:r>
              <w:rPr>
                <w:rFonts w:cs="Helvetica"/>
              </w:rPr>
              <w:t>Environment</w:t>
            </w:r>
          </w:p>
        </w:tc>
        <w:tc>
          <w:tcPr>
            <w:tcW w:w="1521" w:type="dxa"/>
          </w:tcPr>
          <w:p w:rsidR="000B6B86" w:rsidRDefault="00F50A49">
            <w:pPr>
              <w:pStyle w:val="Body"/>
              <w:spacing w:after="0"/>
              <w:rPr>
                <w:rFonts w:cs="Helvetica"/>
              </w:rPr>
            </w:pPr>
            <w:r>
              <w:rPr>
                <w:rFonts w:cs="Helvetica"/>
              </w:rPr>
              <w:t>12, 13</w:t>
            </w:r>
          </w:p>
        </w:tc>
      </w:tr>
      <w:tr w:rsidR="000B6B86">
        <w:trPr>
          <w:trHeight w:val="531"/>
        </w:trPr>
        <w:tc>
          <w:tcPr>
            <w:tcW w:w="1115" w:type="dxa"/>
            <w:vMerge/>
          </w:tcPr>
          <w:p w:rsidR="000B6B86" w:rsidRDefault="000B6B86">
            <w:pPr>
              <w:pStyle w:val="Body"/>
              <w:tabs>
                <w:tab w:val="left" w:pos="800"/>
              </w:tabs>
              <w:spacing w:after="0"/>
              <w:ind w:rightChars="-50" w:right="-100"/>
              <w:rPr>
                <w:rFonts w:cs="Helvetica"/>
              </w:rPr>
            </w:pPr>
          </w:p>
        </w:tc>
        <w:tc>
          <w:tcPr>
            <w:tcW w:w="1603" w:type="dxa"/>
          </w:tcPr>
          <w:p w:rsidR="000B6B86" w:rsidRDefault="00F50A49">
            <w:pPr>
              <w:pStyle w:val="Body"/>
              <w:tabs>
                <w:tab w:val="left" w:pos="800"/>
              </w:tabs>
              <w:spacing w:after="0"/>
              <w:ind w:rightChars="-50" w:right="-100"/>
              <w:jc w:val="left"/>
              <w:rPr>
                <w:rFonts w:cs="Helvetica"/>
              </w:rPr>
            </w:pPr>
            <w:r>
              <w:rPr>
                <w:rFonts w:cs="Helvetica"/>
              </w:rPr>
              <w:t>Facilities and Infrastructure</w:t>
            </w:r>
          </w:p>
        </w:tc>
        <w:tc>
          <w:tcPr>
            <w:tcW w:w="1521" w:type="dxa"/>
          </w:tcPr>
          <w:p w:rsidR="000B6B86" w:rsidRDefault="00F50A49">
            <w:pPr>
              <w:pStyle w:val="Body"/>
              <w:spacing w:after="0"/>
              <w:rPr>
                <w:rFonts w:cs="Helvetica"/>
              </w:rPr>
            </w:pPr>
            <w:r>
              <w:rPr>
                <w:rFonts w:cs="Helvetica"/>
              </w:rPr>
              <w:t>14, 15</w:t>
            </w:r>
          </w:p>
        </w:tc>
      </w:tr>
    </w:tbl>
    <w:p w:rsidR="000B6B86" w:rsidRDefault="000B6B86">
      <w:pPr>
        <w:jc w:val="both"/>
        <w:rPr>
          <w:rFonts w:cs="Helvetica"/>
          <w:sz w:val="22"/>
          <w:szCs w:val="22"/>
        </w:rPr>
      </w:pPr>
    </w:p>
    <w:p w:rsidR="000B6B86" w:rsidRDefault="00F50A49">
      <w:pPr>
        <w:jc w:val="both"/>
        <w:rPr>
          <w:rFonts w:cs="Helvetica"/>
          <w:b/>
          <w:bCs/>
          <w:sz w:val="22"/>
          <w:szCs w:val="22"/>
        </w:rPr>
      </w:pPr>
      <w:r>
        <w:rPr>
          <w:rFonts w:cs="Helvetica"/>
          <w:b/>
          <w:bCs/>
          <w:sz w:val="22"/>
          <w:szCs w:val="22"/>
        </w:rPr>
        <w:t>Data Collection Procedures</w:t>
      </w:r>
    </w:p>
    <w:p w:rsidR="000B6B86" w:rsidRDefault="00F50A49">
      <w:pPr>
        <w:ind w:firstLine="720"/>
        <w:jc w:val="both"/>
        <w:rPr>
          <w:rFonts w:cs="Helvetica"/>
          <w:sz w:val="22"/>
          <w:szCs w:val="22"/>
        </w:rPr>
      </w:pPr>
      <w:r>
        <w:rPr>
          <w:rFonts w:cs="Helvetica"/>
          <w:noProof/>
          <w:sz w:val="22"/>
          <w:szCs w:val="22"/>
        </w:rPr>
        <w:drawing>
          <wp:anchor distT="0" distB="0" distL="114300" distR="114300" simplePos="0" relativeHeight="251660288" behindDoc="1" locked="0" layoutInCell="1" allowOverlap="1">
            <wp:simplePos x="0" y="0"/>
            <wp:positionH relativeFrom="column">
              <wp:posOffset>40640</wp:posOffset>
            </wp:positionH>
            <wp:positionV relativeFrom="paragraph">
              <wp:posOffset>113030</wp:posOffset>
            </wp:positionV>
            <wp:extent cx="5105400" cy="1370965"/>
            <wp:effectExtent l="0" t="0" r="19050" b="0"/>
            <wp:wrapTight wrapText="bothSides">
              <wp:wrapPolygon edited="0">
                <wp:start x="0" y="3902"/>
                <wp:lineTo x="0" y="17708"/>
                <wp:lineTo x="21600" y="17708"/>
                <wp:lineTo x="21600" y="3902"/>
                <wp:lineTo x="0" y="3902"/>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anchor>
        </w:drawing>
      </w:r>
      <w:r>
        <w:rPr>
          <w:rFonts w:cs="Helvetica"/>
          <w:sz w:val="22"/>
          <w:szCs w:val="22"/>
        </w:rPr>
        <w:t>The data collection procedure for this study is presented in Fig 1.</w:t>
      </w:r>
    </w:p>
    <w:p w:rsidR="000B6B86" w:rsidRDefault="000B6B86">
      <w:pPr>
        <w:jc w:val="both"/>
        <w:rPr>
          <w:rFonts w:cs="Helvetica"/>
          <w:sz w:val="22"/>
          <w:szCs w:val="22"/>
        </w:rPr>
      </w:pPr>
    </w:p>
    <w:p w:rsidR="000B6B86" w:rsidRDefault="000B6B86">
      <w:pPr>
        <w:jc w:val="center"/>
        <w:rPr>
          <w:rFonts w:cs="Helvetica"/>
          <w:sz w:val="22"/>
          <w:szCs w:val="22"/>
        </w:rPr>
      </w:pPr>
    </w:p>
    <w:p w:rsidR="000B6B86" w:rsidRDefault="00F50A49">
      <w:pPr>
        <w:jc w:val="center"/>
        <w:rPr>
          <w:rFonts w:cs="Helvetica"/>
          <w:sz w:val="22"/>
          <w:szCs w:val="22"/>
        </w:rPr>
      </w:pPr>
      <w:r>
        <w:rPr>
          <w:rFonts w:cs="Helvetica"/>
          <w:sz w:val="22"/>
          <w:szCs w:val="22"/>
        </w:rPr>
        <w:t>Fig 1. Data Collection Procedure</w:t>
      </w:r>
    </w:p>
    <w:p w:rsidR="000B6B86" w:rsidRDefault="000B6B86">
      <w:pPr>
        <w:jc w:val="both"/>
        <w:rPr>
          <w:rFonts w:cs="Helvetica"/>
          <w:b/>
          <w:bCs/>
          <w:sz w:val="22"/>
          <w:szCs w:val="22"/>
        </w:rPr>
      </w:pPr>
    </w:p>
    <w:p w:rsidR="000B6B86" w:rsidRDefault="000B6B86">
      <w:pPr>
        <w:jc w:val="both"/>
        <w:rPr>
          <w:rFonts w:cs="Helvetica"/>
          <w:b/>
          <w:bCs/>
          <w:sz w:val="22"/>
          <w:szCs w:val="22"/>
        </w:rPr>
      </w:pPr>
    </w:p>
    <w:p w:rsidR="000B6B86" w:rsidRDefault="00F50A49">
      <w:pPr>
        <w:jc w:val="both"/>
        <w:rPr>
          <w:rFonts w:cs="Helvetica"/>
          <w:b/>
          <w:bCs/>
          <w:sz w:val="22"/>
          <w:szCs w:val="22"/>
        </w:rPr>
      </w:pPr>
      <w:r>
        <w:rPr>
          <w:rFonts w:cs="Helvetica"/>
          <w:b/>
          <w:bCs/>
          <w:sz w:val="22"/>
          <w:szCs w:val="22"/>
        </w:rPr>
        <w:t>Data Analysis Techniques</w:t>
      </w:r>
    </w:p>
    <w:p w:rsidR="000B6B86" w:rsidRDefault="00F50A49">
      <w:pPr>
        <w:pStyle w:val="Body"/>
        <w:spacing w:after="0"/>
        <w:rPr>
          <w:rFonts w:eastAsia="Calibri" w:cs="Helvetica"/>
          <w:sz w:val="22"/>
          <w:szCs w:val="22"/>
          <w:lang w:val="id-ID"/>
        </w:rPr>
      </w:pPr>
      <w:r>
        <w:rPr>
          <w:rFonts w:cs="Helvetica"/>
          <w:sz w:val="22"/>
          <w:szCs w:val="22"/>
        </w:rPr>
        <w:t xml:space="preserve">The data obtained were tabulated in a table and a histogram to facilitate data analysis. The maximum score for all 15 items presented with a strongly agree or 5 (all positive statements) is 75. Therefore, to facilitate data tabulation, each respondent's total score is divided by 0.75. Thus, the range of respondents' scores after conversion is 0-100. The collected data will be analyzed using IBM SPSS 25 </w:t>
      </w:r>
      <w:r>
        <w:rPr>
          <w:rFonts w:cs="Helvetica"/>
          <w:sz w:val="22"/>
          <w:szCs w:val="22"/>
        </w:rPr>
        <w:lastRenderedPageBreak/>
        <w:t xml:space="preserve">(Rahman and </w:t>
      </w:r>
      <w:proofErr w:type="spellStart"/>
      <w:r>
        <w:rPr>
          <w:rFonts w:cs="Helvetica"/>
          <w:sz w:val="22"/>
          <w:szCs w:val="22"/>
        </w:rPr>
        <w:t>Muktadir</w:t>
      </w:r>
      <w:proofErr w:type="spellEnd"/>
      <w:r>
        <w:rPr>
          <w:rFonts w:cs="Helvetica"/>
          <w:sz w:val="22"/>
          <w:szCs w:val="22"/>
        </w:rPr>
        <w:t xml:space="preserve">, 2021). The analysis was conducted after the treatment (post-test) in both classes. The quantitative data obtained were analyzed using a </w:t>
      </w:r>
      <w:proofErr w:type="spellStart"/>
      <w:r>
        <w:rPr>
          <w:rFonts w:cs="Helvetica"/>
          <w:sz w:val="22"/>
          <w:szCs w:val="22"/>
        </w:rPr>
        <w:t>mann</w:t>
      </w:r>
      <w:proofErr w:type="spellEnd"/>
      <w:r>
        <w:rPr>
          <w:rFonts w:cs="Helvetica"/>
          <w:sz w:val="22"/>
          <w:szCs w:val="22"/>
        </w:rPr>
        <w:t xml:space="preserve"> </w:t>
      </w:r>
      <w:proofErr w:type="spellStart"/>
      <w:r>
        <w:rPr>
          <w:rFonts w:cs="Helvetica"/>
          <w:sz w:val="22"/>
          <w:szCs w:val="22"/>
        </w:rPr>
        <w:t>whiteney</w:t>
      </w:r>
      <w:proofErr w:type="spellEnd"/>
      <w:r>
        <w:rPr>
          <w:rFonts w:cs="Helvetica"/>
          <w:sz w:val="22"/>
          <w:szCs w:val="22"/>
        </w:rPr>
        <w:t xml:space="preserve"> test, to compare the differences in learning motivation between the experimental and control classes</w:t>
      </w:r>
      <w:r>
        <w:rPr>
          <w:rFonts w:cs="Helvetica"/>
          <w:sz w:val="22"/>
          <w:szCs w:val="22"/>
          <w:lang w:val="id-ID"/>
        </w:rPr>
        <w:t>.</w:t>
      </w:r>
    </w:p>
    <w:p w:rsidR="000B6B86" w:rsidRDefault="00F50A49">
      <w:pPr>
        <w:pStyle w:val="Body"/>
        <w:spacing w:after="0"/>
        <w:rPr>
          <w:rFonts w:cs="Helvetica"/>
          <w:sz w:val="22"/>
          <w:szCs w:val="22"/>
        </w:rPr>
      </w:pPr>
      <w:r>
        <w:rPr>
          <w:rFonts w:cs="Helvetica"/>
          <w:sz w:val="22"/>
          <w:szCs w:val="22"/>
        </w:rPr>
        <w:t xml:space="preserve">  </w:t>
      </w:r>
    </w:p>
    <w:p w:rsidR="000B6B86" w:rsidRDefault="000B6B86">
      <w:pPr>
        <w:pStyle w:val="Body"/>
        <w:spacing w:after="0"/>
        <w:rPr>
          <w:rFonts w:cs="Helvetica"/>
          <w:sz w:val="22"/>
          <w:szCs w:val="22"/>
        </w:rPr>
      </w:pPr>
    </w:p>
    <w:p w:rsidR="000B6B86" w:rsidRDefault="00F50A49">
      <w:pPr>
        <w:pStyle w:val="Head1"/>
        <w:spacing w:after="0"/>
        <w:jc w:val="both"/>
        <w:rPr>
          <w:rFonts w:cs="Helvetica"/>
          <w:szCs w:val="22"/>
        </w:rPr>
      </w:pPr>
      <w:r>
        <w:rPr>
          <w:rFonts w:cs="Helvetica"/>
          <w:szCs w:val="22"/>
        </w:rPr>
        <w:t>3. results and discussion</w:t>
      </w:r>
    </w:p>
    <w:p w:rsidR="000B6B86" w:rsidRDefault="00F50A49">
      <w:pPr>
        <w:ind w:firstLine="720"/>
        <w:jc w:val="both"/>
        <w:rPr>
          <w:rFonts w:cs="Helvetica"/>
          <w:sz w:val="22"/>
          <w:szCs w:val="22"/>
        </w:rPr>
      </w:pPr>
      <w:r>
        <w:rPr>
          <w:rFonts w:cs="Helvetica"/>
          <w:sz w:val="22"/>
          <w:szCs w:val="22"/>
        </w:rPr>
        <w:t>The frequency distribution of responses for each statement item from aspect intrinsic and extrinsic is presented comprehensively in Figure 2.</w:t>
      </w:r>
    </w:p>
    <w:p w:rsidR="000B6B86" w:rsidRDefault="000B6B86">
      <w:pPr>
        <w:ind w:firstLineChars="200" w:firstLine="440"/>
        <w:jc w:val="both"/>
        <w:rPr>
          <w:rFonts w:cs="Helvetica"/>
          <w:sz w:val="22"/>
          <w:szCs w:val="22"/>
          <w:lang w:eastAsia="zh-CN"/>
        </w:rPr>
      </w:pPr>
    </w:p>
    <w:p w:rsidR="000B6B86" w:rsidRDefault="00F50A49">
      <w:pPr>
        <w:jc w:val="center"/>
        <w:rPr>
          <w:rFonts w:cs="Helvetica"/>
          <w:sz w:val="22"/>
          <w:szCs w:val="22"/>
        </w:rPr>
      </w:pPr>
      <w:r>
        <w:rPr>
          <w:rFonts w:cs="Helvetica"/>
          <w:noProof/>
          <w:sz w:val="22"/>
          <w:szCs w:val="22"/>
        </w:rPr>
        <w:drawing>
          <wp:inline distT="0" distB="0" distL="114300" distR="114300">
            <wp:extent cx="5104130" cy="3084830"/>
            <wp:effectExtent l="4445" t="4445" r="9525" b="9525"/>
            <wp:docPr id="3"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0B6B86" w:rsidRDefault="00F50A49">
      <w:pPr>
        <w:ind w:firstLineChars="200" w:firstLine="440"/>
        <w:jc w:val="center"/>
        <w:rPr>
          <w:rFonts w:cs="Helvetica"/>
          <w:sz w:val="22"/>
          <w:szCs w:val="22"/>
        </w:rPr>
      </w:pPr>
      <w:r>
        <w:rPr>
          <w:rFonts w:cs="Helvetica"/>
          <w:sz w:val="22"/>
          <w:szCs w:val="22"/>
        </w:rPr>
        <w:t>Fig 2. Histogram of Students' Motivation Scores in Chemistry</w:t>
      </w:r>
    </w:p>
    <w:p w:rsidR="000B6B86" w:rsidRDefault="000B6B86">
      <w:pPr>
        <w:ind w:firstLineChars="200" w:firstLine="440"/>
        <w:jc w:val="center"/>
        <w:rPr>
          <w:rFonts w:cs="Helvetica"/>
          <w:sz w:val="22"/>
          <w:szCs w:val="22"/>
          <w:lang w:eastAsia="zh-CN"/>
        </w:rPr>
      </w:pPr>
    </w:p>
    <w:p w:rsidR="000B6B86" w:rsidRDefault="00F50A49">
      <w:pPr>
        <w:ind w:firstLine="720"/>
        <w:jc w:val="both"/>
        <w:rPr>
          <w:rFonts w:cs="Helvetica"/>
          <w:sz w:val="22"/>
          <w:szCs w:val="22"/>
          <w:lang w:eastAsia="zh-CN"/>
        </w:rPr>
      </w:pPr>
      <w:r>
        <w:rPr>
          <w:rFonts w:cs="Helvetica"/>
          <w:sz w:val="22"/>
          <w:szCs w:val="22"/>
          <w:lang w:eastAsia="zh-CN"/>
        </w:rPr>
        <w:t xml:space="preserve">Based on the image above, each learning motivation indicator (6 indicators) in the experimental class is higher than in the control class. Significant increases in the interest and desire scores in the experimental group indicate that using an </w:t>
      </w:r>
      <w:proofErr w:type="spellStart"/>
      <w:r>
        <w:rPr>
          <w:rFonts w:cs="Helvetica"/>
          <w:sz w:val="22"/>
          <w:szCs w:val="22"/>
          <w:lang w:eastAsia="zh-CN"/>
        </w:rPr>
        <w:t>ethnochemistry</w:t>
      </w:r>
      <w:proofErr w:type="spellEnd"/>
      <w:r>
        <w:rPr>
          <w:rFonts w:cs="Helvetica"/>
          <w:sz w:val="22"/>
          <w:szCs w:val="22"/>
          <w:lang w:eastAsia="zh-CN"/>
        </w:rPr>
        <w:t xml:space="preserve">-based student worksheet successfully addresses the conceptual and psychological barriers students often face when learning chemistry (Kelley, 2024; </w:t>
      </w:r>
      <w:proofErr w:type="spellStart"/>
      <w:r>
        <w:rPr>
          <w:rFonts w:cs="Helvetica"/>
          <w:sz w:val="22"/>
          <w:szCs w:val="22"/>
          <w:lang w:eastAsia="zh-CN"/>
        </w:rPr>
        <w:t>Suryanti</w:t>
      </w:r>
      <w:proofErr w:type="spellEnd"/>
      <w:r>
        <w:rPr>
          <w:rFonts w:cs="Helvetica"/>
          <w:sz w:val="22"/>
          <w:szCs w:val="22"/>
          <w:lang w:eastAsia="zh-CN"/>
        </w:rPr>
        <w:t xml:space="preserve"> and </w:t>
      </w:r>
      <w:proofErr w:type="spellStart"/>
      <w:r>
        <w:rPr>
          <w:rFonts w:cs="Helvetica"/>
          <w:sz w:val="22"/>
          <w:szCs w:val="22"/>
          <w:lang w:eastAsia="zh-CN"/>
        </w:rPr>
        <w:t>festiyed</w:t>
      </w:r>
      <w:proofErr w:type="spellEnd"/>
      <w:r>
        <w:rPr>
          <w:rFonts w:cs="Helvetica"/>
          <w:sz w:val="22"/>
          <w:szCs w:val="22"/>
          <w:lang w:eastAsia="zh-CN"/>
        </w:rPr>
        <w:t>, 2023). Instead of presenting chemistry as an abstract discipline disconnected from reality, this approach integrates chemical concepts with cultural context and local wisdom (</w:t>
      </w:r>
      <w:proofErr w:type="spellStart"/>
      <w:r>
        <w:rPr>
          <w:rFonts w:cs="Helvetica"/>
          <w:sz w:val="22"/>
          <w:szCs w:val="22"/>
          <w:lang w:eastAsia="zh-CN"/>
        </w:rPr>
        <w:t>Mashami</w:t>
      </w:r>
      <w:proofErr w:type="spellEnd"/>
      <w:r>
        <w:rPr>
          <w:rFonts w:cs="Helvetica"/>
          <w:sz w:val="22"/>
          <w:szCs w:val="22"/>
          <w:lang w:eastAsia="zh-CN"/>
        </w:rPr>
        <w:t>, 2025). This integration allows students to find personal relevance in the subject matter, which in turn stimulates their curiosity and intrinsic desire to delve into the topic (</w:t>
      </w:r>
      <w:proofErr w:type="spellStart"/>
      <w:r>
        <w:rPr>
          <w:rFonts w:eastAsia="Candara" w:cs="Helvetica"/>
          <w:sz w:val="22"/>
          <w:szCs w:val="22"/>
          <w:lang w:eastAsia="zh-CN"/>
        </w:rPr>
        <w:t>Tsiouri</w:t>
      </w:r>
      <w:proofErr w:type="spellEnd"/>
      <w:r>
        <w:rPr>
          <w:rFonts w:eastAsia="Candara" w:cs="Helvetica"/>
          <w:sz w:val="22"/>
          <w:szCs w:val="22"/>
          <w:lang w:eastAsia="zh-CN"/>
        </w:rPr>
        <w:t xml:space="preserve"> and </w:t>
      </w:r>
      <w:proofErr w:type="spellStart"/>
      <w:r>
        <w:rPr>
          <w:rFonts w:eastAsia="Candara" w:cs="Helvetica"/>
          <w:sz w:val="22"/>
          <w:szCs w:val="22"/>
          <w:lang w:eastAsia="zh-CN"/>
        </w:rPr>
        <w:t>Kotsis</w:t>
      </w:r>
      <w:proofErr w:type="spellEnd"/>
      <w:r>
        <w:rPr>
          <w:rFonts w:eastAsia="Candara" w:cs="Helvetica"/>
          <w:sz w:val="22"/>
          <w:szCs w:val="22"/>
          <w:lang w:eastAsia="zh-CN"/>
        </w:rPr>
        <w:t>, 2024</w:t>
      </w:r>
      <w:r>
        <w:rPr>
          <w:rFonts w:cs="Helvetica"/>
          <w:sz w:val="22"/>
          <w:szCs w:val="22"/>
          <w:lang w:eastAsia="zh-CN"/>
        </w:rPr>
        <w:t xml:space="preserve">). This finding is consistent with learning motivation theories that emphasize the importance of connecting learning content with students' life experiences to trigger internal motivation (Osei and Bjorklund, 2024). </w:t>
      </w:r>
    </w:p>
    <w:p w:rsidR="000B6B86" w:rsidRDefault="00F50A49">
      <w:pPr>
        <w:ind w:firstLine="720"/>
        <w:jc w:val="both"/>
        <w:rPr>
          <w:rFonts w:cs="Helvetica"/>
          <w:sz w:val="22"/>
          <w:szCs w:val="22"/>
          <w:lang w:eastAsia="zh-CN"/>
        </w:rPr>
      </w:pPr>
      <w:r>
        <w:rPr>
          <w:rFonts w:cs="Helvetica"/>
          <w:sz w:val="22"/>
          <w:szCs w:val="22"/>
          <w:lang w:eastAsia="zh-CN"/>
        </w:rPr>
        <w:t xml:space="preserve">The increased score in the pleasure aspect suggests that the innovative student worksheet creates a positive and fulfilling learning experience. Using a method that combines cultural and scientific elements can reduce the anxiety or frustration that often arises when students encounter difficult chemistry topics </w:t>
      </w:r>
      <w:r>
        <w:rPr>
          <w:rFonts w:cs="Helvetica"/>
          <w:sz w:val="22"/>
          <w:szCs w:val="22"/>
          <w:lang w:eastAsia="zh-CN"/>
        </w:rPr>
        <w:lastRenderedPageBreak/>
        <w:t>(</w:t>
      </w:r>
      <w:proofErr w:type="spellStart"/>
      <w:r>
        <w:rPr>
          <w:rFonts w:cs="Helvetica"/>
          <w:sz w:val="22"/>
          <w:szCs w:val="22"/>
          <w:lang w:eastAsia="zh-CN"/>
        </w:rPr>
        <w:t>Dávila-Acedo</w:t>
      </w:r>
      <w:proofErr w:type="spellEnd"/>
      <w:r>
        <w:rPr>
          <w:rFonts w:cs="Helvetica"/>
          <w:sz w:val="22"/>
          <w:szCs w:val="22"/>
          <w:lang w:eastAsia="zh-CN"/>
        </w:rPr>
        <w:t xml:space="preserve"> et al., 2021). An enjoyable learning process triggers the release of neurotransmitters associated with the brain's reward system, such as dopamine, which strengthens memory and cognitive engagement (</w:t>
      </w:r>
      <w:proofErr w:type="spellStart"/>
      <w:r>
        <w:rPr>
          <w:rFonts w:cs="Helvetica"/>
          <w:sz w:val="22"/>
          <w:szCs w:val="22"/>
          <w:lang w:eastAsia="zh-CN"/>
        </w:rPr>
        <w:t>Pahutar</w:t>
      </w:r>
      <w:proofErr w:type="spellEnd"/>
      <w:r>
        <w:rPr>
          <w:rFonts w:cs="Helvetica"/>
          <w:sz w:val="22"/>
          <w:szCs w:val="22"/>
          <w:lang w:eastAsia="zh-CN"/>
        </w:rPr>
        <w:t xml:space="preserve"> et al., 2024). This supports the hypothesis that affectivity (emotions and feelings) plays a crucial role in cognition, where positive emotional experiences can enhance information retention and learning effectiveness (Wang et al., 2022). </w:t>
      </w:r>
    </w:p>
    <w:p w:rsidR="000B6B86" w:rsidRDefault="00F50A49">
      <w:pPr>
        <w:ind w:firstLine="720"/>
        <w:jc w:val="both"/>
        <w:rPr>
          <w:rFonts w:cs="Helvetica"/>
          <w:sz w:val="22"/>
          <w:szCs w:val="22"/>
          <w:lang w:eastAsia="zh-CN"/>
        </w:rPr>
      </w:pPr>
      <w:r>
        <w:rPr>
          <w:rFonts w:cs="Helvetica"/>
          <w:sz w:val="22"/>
          <w:szCs w:val="22"/>
          <w:lang w:eastAsia="zh-CN"/>
        </w:rPr>
        <w:t>Although the student worksheet isn't a physical facility, the higher scores on the environment and facilities aspects in the experimental group indicate a shift in students' perception of their learning environment and resources (</w:t>
      </w:r>
      <w:proofErr w:type="spellStart"/>
      <w:r>
        <w:rPr>
          <w:rFonts w:cs="Helvetica"/>
          <w:sz w:val="22"/>
          <w:szCs w:val="22"/>
          <w:lang w:eastAsia="zh-CN"/>
        </w:rPr>
        <w:t>Pangestu</w:t>
      </w:r>
      <w:proofErr w:type="spellEnd"/>
      <w:r>
        <w:rPr>
          <w:rFonts w:cs="Helvetica"/>
          <w:sz w:val="22"/>
          <w:szCs w:val="22"/>
          <w:lang w:eastAsia="zh-CN"/>
        </w:rPr>
        <w:t xml:space="preserve"> &amp; Susilo, 2023). A well-structured and relevant worksheet can make students feel that their learning environment is more organized, goal-oriented, and supportive (Lee &amp; Kim, 2024). An effective approach allows students to use existing resources (e.g., libraries, laboratories, or even the natural environment) more optimally because they have a clear framework for exploration and investigation (Williams &amp; Brown, 2022). In other words, the worksheet acts as a mediator that enhances positive interactions between students, the material, and the learning environment (Chen et al., 2023).</w:t>
      </w:r>
    </w:p>
    <w:p w:rsidR="000B6B86" w:rsidRDefault="00F50A49">
      <w:pPr>
        <w:ind w:firstLine="720"/>
        <w:jc w:val="both"/>
        <w:rPr>
          <w:rFonts w:cs="Helvetica"/>
          <w:sz w:val="22"/>
          <w:szCs w:val="22"/>
          <w:lang w:eastAsia="zh-CN"/>
        </w:rPr>
      </w:pPr>
      <w:r>
        <w:rPr>
          <w:rFonts w:cs="Helvetica"/>
          <w:sz w:val="22"/>
          <w:szCs w:val="22"/>
          <w:lang w:eastAsia="zh-CN"/>
        </w:rPr>
        <w:t>The increase in the family support score, though not as large as in other dimensions, has significant implications (Rodriguez &amp; Sanchez, 2024). Higher learning motivation and enthusiasm among students can initiate positive discussions and interactions at home related to the subject matter (</w:t>
      </w:r>
      <w:proofErr w:type="spellStart"/>
      <w:r>
        <w:rPr>
          <w:rFonts w:cs="Helvetica"/>
          <w:sz w:val="22"/>
          <w:szCs w:val="22"/>
          <w:lang w:eastAsia="zh-CN"/>
        </w:rPr>
        <w:t>Seo</w:t>
      </w:r>
      <w:proofErr w:type="spellEnd"/>
      <w:r>
        <w:rPr>
          <w:rFonts w:cs="Helvetica"/>
          <w:sz w:val="22"/>
          <w:szCs w:val="22"/>
          <w:lang w:eastAsia="zh-CN"/>
        </w:rPr>
        <w:t xml:space="preserve"> et al., 2023). When students find chemistry relevant and interesting, they tend to share their discoveries or assignments more often with their families. This family involvement can strengthen student motivation, creating a holistic learning environment where support comes not only from school but also from their immediate surroundings (Liu et al., 2022). This aligns with the ecological model of learning, which underscores the importance of a broader supportive ecosystem in the educational process (Bronfenbrenner, 1979).</w:t>
      </w:r>
    </w:p>
    <w:p w:rsidR="000B6B86" w:rsidRDefault="00F50A49">
      <w:pPr>
        <w:ind w:firstLine="720"/>
        <w:jc w:val="both"/>
        <w:rPr>
          <w:rFonts w:cs="Helvetica"/>
          <w:sz w:val="22"/>
          <w:szCs w:val="22"/>
          <w:lang w:eastAsia="zh-CN"/>
        </w:rPr>
      </w:pPr>
      <w:r>
        <w:rPr>
          <w:rFonts w:cs="Helvetica"/>
          <w:sz w:val="22"/>
          <w:szCs w:val="22"/>
          <w:lang w:eastAsia="zh-CN"/>
        </w:rPr>
        <w:t xml:space="preserve">The data description above is supported by statistical test results that examined whether there was an effect of using the </w:t>
      </w:r>
      <w:proofErr w:type="spellStart"/>
      <w:r>
        <w:rPr>
          <w:rFonts w:cs="Helvetica"/>
          <w:sz w:val="22"/>
          <w:szCs w:val="22"/>
          <w:lang w:eastAsia="zh-CN"/>
        </w:rPr>
        <w:t>ethnochemistry</w:t>
      </w:r>
      <w:proofErr w:type="spellEnd"/>
      <w:r>
        <w:rPr>
          <w:rFonts w:cs="Helvetica"/>
          <w:sz w:val="22"/>
          <w:szCs w:val="22"/>
          <w:lang w:eastAsia="zh-CN"/>
        </w:rPr>
        <w:t>-based student worksheet on learning motivation, as seen from the difference in student learning motivation scores in the experimental and control classes presented in Table 2.</w:t>
      </w:r>
    </w:p>
    <w:p w:rsidR="000B6B86" w:rsidRDefault="00F50A49">
      <w:pPr>
        <w:jc w:val="both"/>
        <w:rPr>
          <w:rFonts w:cs="Helvetica"/>
          <w:sz w:val="22"/>
          <w:szCs w:val="22"/>
          <w:lang w:eastAsia="zh-CN"/>
        </w:rPr>
      </w:pPr>
      <w:r>
        <w:rPr>
          <w:rFonts w:cs="Helvetica"/>
          <w:sz w:val="22"/>
          <w:szCs w:val="22"/>
          <w:lang w:eastAsia="zh-CN"/>
        </w:rPr>
        <w:t>Table 2. Test Statistics</w:t>
      </w:r>
    </w:p>
    <w:tbl>
      <w:tblPr>
        <w:tblW w:w="5459" w:type="dxa"/>
        <w:tblBorders>
          <w:top w:val="single" w:sz="4" w:space="0" w:color="auto"/>
          <w:left w:val="none" w:sz="4" w:space="0" w:color="auto"/>
          <w:bottom w:val="single" w:sz="4" w:space="0" w:color="auto"/>
          <w:right w:val="none" w:sz="4" w:space="0" w:color="auto"/>
          <w:insideH w:val="single" w:sz="4" w:space="0" w:color="auto"/>
          <w:insideV w:val="none" w:sz="4" w:space="0" w:color="auto"/>
        </w:tblBorders>
        <w:tblLayout w:type="fixed"/>
        <w:tblCellMar>
          <w:left w:w="0" w:type="dxa"/>
          <w:right w:w="0" w:type="dxa"/>
        </w:tblCellMar>
        <w:tblLook w:val="04A0" w:firstRow="1" w:lastRow="0" w:firstColumn="1" w:lastColumn="0" w:noHBand="0" w:noVBand="1"/>
      </w:tblPr>
      <w:tblGrid>
        <w:gridCol w:w="2589"/>
        <w:gridCol w:w="2870"/>
      </w:tblGrid>
      <w:tr w:rsidR="000B6B86">
        <w:trPr>
          <w:cantSplit/>
          <w:trHeight w:val="90"/>
        </w:trPr>
        <w:tc>
          <w:tcPr>
            <w:tcW w:w="2589" w:type="dxa"/>
            <w:tcBorders>
              <w:left w:val="nil"/>
              <w:right w:val="nil"/>
            </w:tcBorders>
            <w:shd w:val="clear" w:color="auto" w:fill="auto"/>
            <w:vAlign w:val="bottom"/>
          </w:tcPr>
          <w:p w:rsidR="000B6B86" w:rsidRDefault="00F50A49">
            <w:pPr>
              <w:jc w:val="center"/>
              <w:rPr>
                <w:rFonts w:cs="Helvetica"/>
                <w:b/>
                <w:bCs/>
                <w:sz w:val="22"/>
                <w:szCs w:val="22"/>
              </w:rPr>
            </w:pPr>
            <w:r>
              <w:rPr>
                <w:rFonts w:cs="Helvetica"/>
                <w:b/>
                <w:bCs/>
                <w:sz w:val="22"/>
                <w:szCs w:val="22"/>
              </w:rPr>
              <w:t>Test Statistics</w:t>
            </w:r>
          </w:p>
        </w:tc>
        <w:tc>
          <w:tcPr>
            <w:tcW w:w="2870" w:type="dxa"/>
            <w:tcBorders>
              <w:left w:val="nil"/>
              <w:right w:val="nil"/>
            </w:tcBorders>
            <w:shd w:val="clear" w:color="auto" w:fill="auto"/>
            <w:vAlign w:val="bottom"/>
          </w:tcPr>
          <w:p w:rsidR="000B6B86" w:rsidRDefault="00F50A49">
            <w:pPr>
              <w:ind w:firstLineChars="50" w:firstLine="110"/>
              <w:jc w:val="center"/>
              <w:rPr>
                <w:rFonts w:cs="Helvetica"/>
                <w:b/>
                <w:bCs/>
                <w:sz w:val="22"/>
                <w:szCs w:val="22"/>
              </w:rPr>
            </w:pPr>
            <w:r>
              <w:rPr>
                <w:rFonts w:cs="Helvetica"/>
                <w:b/>
                <w:bCs/>
                <w:sz w:val="22"/>
                <w:szCs w:val="22"/>
              </w:rPr>
              <w:t>Learning Motivation</w:t>
            </w:r>
          </w:p>
        </w:tc>
      </w:tr>
      <w:tr w:rsidR="000B6B86">
        <w:trPr>
          <w:cantSplit/>
          <w:trHeight w:val="90"/>
        </w:trPr>
        <w:tc>
          <w:tcPr>
            <w:tcW w:w="2589" w:type="dxa"/>
            <w:tcBorders>
              <w:left w:val="nil"/>
              <w:right w:val="nil"/>
            </w:tcBorders>
            <w:shd w:val="clear" w:color="auto" w:fill="auto"/>
            <w:vAlign w:val="bottom"/>
          </w:tcPr>
          <w:p w:rsidR="000B6B86" w:rsidRDefault="00F50A49">
            <w:pPr>
              <w:ind w:firstLineChars="50" w:firstLine="110"/>
              <w:jc w:val="both"/>
              <w:rPr>
                <w:rFonts w:cs="Helvetica"/>
                <w:sz w:val="22"/>
                <w:szCs w:val="22"/>
              </w:rPr>
            </w:pPr>
            <w:r>
              <w:rPr>
                <w:rFonts w:cs="Helvetica"/>
                <w:sz w:val="22"/>
                <w:szCs w:val="22"/>
              </w:rPr>
              <w:t>Mean</w:t>
            </w:r>
          </w:p>
        </w:tc>
        <w:tc>
          <w:tcPr>
            <w:tcW w:w="2870" w:type="dxa"/>
            <w:tcBorders>
              <w:left w:val="nil"/>
              <w:right w:val="nil"/>
            </w:tcBorders>
            <w:shd w:val="clear" w:color="auto" w:fill="auto"/>
            <w:vAlign w:val="bottom"/>
          </w:tcPr>
          <w:p w:rsidR="000B6B86" w:rsidRDefault="00F50A49">
            <w:pPr>
              <w:ind w:firstLineChars="50" w:firstLine="110"/>
              <w:jc w:val="both"/>
              <w:rPr>
                <w:rFonts w:cs="Helvetica"/>
                <w:sz w:val="22"/>
                <w:szCs w:val="22"/>
              </w:rPr>
            </w:pPr>
            <w:r>
              <w:rPr>
                <w:rFonts w:cs="Helvetica"/>
                <w:sz w:val="22"/>
                <w:szCs w:val="22"/>
              </w:rPr>
              <w:t>77,27</w:t>
            </w:r>
          </w:p>
        </w:tc>
      </w:tr>
      <w:tr w:rsidR="000B6B86">
        <w:trPr>
          <w:cantSplit/>
          <w:trHeight w:val="90"/>
        </w:trPr>
        <w:tc>
          <w:tcPr>
            <w:tcW w:w="2589" w:type="dxa"/>
            <w:tcBorders>
              <w:left w:val="nil"/>
              <w:right w:val="nil"/>
            </w:tcBorders>
            <w:shd w:val="clear" w:color="auto" w:fill="auto"/>
            <w:vAlign w:val="bottom"/>
          </w:tcPr>
          <w:p w:rsidR="000B6B86" w:rsidRDefault="00F50A49">
            <w:pPr>
              <w:jc w:val="both"/>
              <w:rPr>
                <w:rFonts w:cs="Helvetica"/>
                <w:sz w:val="22"/>
                <w:szCs w:val="22"/>
              </w:rPr>
            </w:pPr>
            <w:r>
              <w:rPr>
                <w:rFonts w:cs="Helvetica"/>
                <w:sz w:val="22"/>
                <w:szCs w:val="22"/>
              </w:rPr>
              <w:t xml:space="preserve">  </w:t>
            </w:r>
            <w:proofErr w:type="spellStart"/>
            <w:r>
              <w:rPr>
                <w:rFonts w:cs="Helvetica"/>
                <w:sz w:val="22"/>
                <w:szCs w:val="22"/>
              </w:rPr>
              <w:t>Standar</w:t>
            </w:r>
            <w:proofErr w:type="spellEnd"/>
            <w:r>
              <w:rPr>
                <w:rFonts w:cs="Helvetica"/>
                <w:sz w:val="22"/>
                <w:szCs w:val="22"/>
              </w:rPr>
              <w:t xml:space="preserve"> Deviation</w:t>
            </w:r>
          </w:p>
        </w:tc>
        <w:tc>
          <w:tcPr>
            <w:tcW w:w="2870" w:type="dxa"/>
            <w:tcBorders>
              <w:left w:val="nil"/>
              <w:right w:val="nil"/>
            </w:tcBorders>
            <w:shd w:val="clear" w:color="auto" w:fill="auto"/>
            <w:vAlign w:val="bottom"/>
          </w:tcPr>
          <w:p w:rsidR="000B6B86" w:rsidRDefault="00F50A49">
            <w:pPr>
              <w:ind w:firstLineChars="50" w:firstLine="110"/>
              <w:jc w:val="both"/>
              <w:rPr>
                <w:rFonts w:cs="Helvetica"/>
                <w:sz w:val="22"/>
                <w:szCs w:val="22"/>
              </w:rPr>
            </w:pPr>
            <w:r>
              <w:rPr>
                <w:rFonts w:cs="Helvetica"/>
                <w:sz w:val="22"/>
                <w:szCs w:val="22"/>
              </w:rPr>
              <w:t>10,26</w:t>
            </w:r>
          </w:p>
        </w:tc>
      </w:tr>
      <w:tr w:rsidR="000B6B86">
        <w:trPr>
          <w:cantSplit/>
          <w:trHeight w:val="90"/>
        </w:trPr>
        <w:tc>
          <w:tcPr>
            <w:tcW w:w="2589"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Mann-Whitney U</w:t>
            </w:r>
          </w:p>
        </w:tc>
        <w:tc>
          <w:tcPr>
            <w:tcW w:w="2870"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422,50</w:t>
            </w:r>
          </w:p>
        </w:tc>
      </w:tr>
      <w:tr w:rsidR="000B6B86">
        <w:trPr>
          <w:cantSplit/>
          <w:trHeight w:val="90"/>
        </w:trPr>
        <w:tc>
          <w:tcPr>
            <w:tcW w:w="2589"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Wilcoxon W</w:t>
            </w:r>
          </w:p>
        </w:tc>
        <w:tc>
          <w:tcPr>
            <w:tcW w:w="2870"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1088,50</w:t>
            </w:r>
          </w:p>
        </w:tc>
      </w:tr>
      <w:tr w:rsidR="000B6B86">
        <w:trPr>
          <w:cantSplit/>
          <w:trHeight w:val="90"/>
        </w:trPr>
        <w:tc>
          <w:tcPr>
            <w:tcW w:w="2589"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Z</w:t>
            </w:r>
          </w:p>
        </w:tc>
        <w:tc>
          <w:tcPr>
            <w:tcW w:w="2870" w:type="dxa"/>
            <w:tcBorders>
              <w:left w:val="nil"/>
              <w:right w:val="nil"/>
            </w:tcBorders>
            <w:shd w:val="clear" w:color="auto" w:fill="auto"/>
          </w:tcPr>
          <w:p w:rsidR="000B6B86" w:rsidRDefault="00F50A49">
            <w:pPr>
              <w:ind w:firstLineChars="50" w:firstLine="110"/>
              <w:rPr>
                <w:rFonts w:cs="Helvetica"/>
                <w:sz w:val="22"/>
                <w:szCs w:val="22"/>
              </w:rPr>
            </w:pPr>
            <w:r>
              <w:rPr>
                <w:rFonts w:cs="Helvetica"/>
                <w:sz w:val="22"/>
                <w:szCs w:val="22"/>
              </w:rPr>
              <w:t>-2,54</w:t>
            </w:r>
          </w:p>
        </w:tc>
      </w:tr>
      <w:tr w:rsidR="000B6B86">
        <w:trPr>
          <w:cantSplit/>
          <w:trHeight w:val="90"/>
        </w:trPr>
        <w:tc>
          <w:tcPr>
            <w:tcW w:w="2589" w:type="dxa"/>
            <w:tcBorders>
              <w:left w:val="nil"/>
              <w:right w:val="nil"/>
            </w:tcBorders>
            <w:shd w:val="clear" w:color="auto" w:fill="auto"/>
          </w:tcPr>
          <w:p w:rsidR="000B6B86" w:rsidRDefault="00F50A49">
            <w:pPr>
              <w:ind w:firstLineChars="50" w:firstLine="110"/>
              <w:rPr>
                <w:rFonts w:cs="Helvetica"/>
                <w:b/>
                <w:bCs/>
                <w:sz w:val="22"/>
                <w:szCs w:val="22"/>
              </w:rPr>
            </w:pPr>
            <w:proofErr w:type="spellStart"/>
            <w:r>
              <w:rPr>
                <w:rFonts w:cs="Helvetica"/>
                <w:b/>
                <w:bCs/>
                <w:sz w:val="22"/>
                <w:szCs w:val="22"/>
              </w:rPr>
              <w:t>Asymp</w:t>
            </w:r>
            <w:proofErr w:type="spellEnd"/>
            <w:r>
              <w:rPr>
                <w:rFonts w:cs="Helvetica"/>
                <w:b/>
                <w:bCs/>
                <w:sz w:val="22"/>
                <w:szCs w:val="22"/>
              </w:rPr>
              <w:t>. Sig. (2-tailed)</w:t>
            </w:r>
          </w:p>
        </w:tc>
        <w:tc>
          <w:tcPr>
            <w:tcW w:w="2870" w:type="dxa"/>
            <w:tcBorders>
              <w:left w:val="nil"/>
              <w:right w:val="nil"/>
            </w:tcBorders>
            <w:shd w:val="clear" w:color="auto" w:fill="auto"/>
          </w:tcPr>
          <w:p w:rsidR="000B6B86" w:rsidRDefault="00F50A49">
            <w:pPr>
              <w:ind w:firstLineChars="50" w:firstLine="110"/>
              <w:rPr>
                <w:rFonts w:cs="Helvetica"/>
                <w:b/>
                <w:bCs/>
                <w:sz w:val="22"/>
                <w:szCs w:val="22"/>
              </w:rPr>
            </w:pPr>
            <w:r>
              <w:rPr>
                <w:rFonts w:cs="Helvetica"/>
                <w:b/>
                <w:bCs/>
                <w:sz w:val="22"/>
                <w:szCs w:val="22"/>
              </w:rPr>
              <w:t>0,01</w:t>
            </w:r>
          </w:p>
        </w:tc>
      </w:tr>
    </w:tbl>
    <w:p w:rsidR="000B6B86" w:rsidRDefault="000B6B86">
      <w:pPr>
        <w:jc w:val="both"/>
        <w:rPr>
          <w:rFonts w:cs="Helvetica"/>
          <w:sz w:val="22"/>
          <w:szCs w:val="22"/>
          <w:lang w:eastAsia="zh-CN"/>
        </w:rPr>
      </w:pPr>
    </w:p>
    <w:p w:rsidR="000B6B86" w:rsidRDefault="00F50A49">
      <w:pPr>
        <w:pStyle w:val="Body"/>
        <w:spacing w:after="0"/>
        <w:ind w:firstLine="720"/>
        <w:rPr>
          <w:rFonts w:cs="Helvetica"/>
          <w:sz w:val="22"/>
          <w:szCs w:val="22"/>
        </w:rPr>
      </w:pPr>
      <w:r>
        <w:rPr>
          <w:rFonts w:cs="Helvetica"/>
          <w:sz w:val="22"/>
          <w:szCs w:val="22"/>
        </w:rPr>
        <w:t xml:space="preserve">Based on the statistical data presented in Table 2, a non-parametric Mann-Whitney U test was used because the assumptions for a parametric t-test were not met. The table shows that the </w:t>
      </w:r>
      <w:proofErr w:type="spellStart"/>
      <w:r>
        <w:rPr>
          <w:rFonts w:cs="Helvetica"/>
          <w:sz w:val="22"/>
          <w:szCs w:val="22"/>
        </w:rPr>
        <w:t>Asymp</w:t>
      </w:r>
      <w:proofErr w:type="spellEnd"/>
      <w:r>
        <w:rPr>
          <w:rFonts w:cs="Helvetica"/>
          <w:sz w:val="22"/>
          <w:szCs w:val="22"/>
        </w:rPr>
        <w:t xml:space="preserve">. Sig. (2-tailed) value is 0.01, which is the p-value. This value is much smaller than the commonly used significance threshold of 0.05. This statistical result indicates a statistically significant difference in learning motivation between students who used the </w:t>
      </w:r>
      <w:proofErr w:type="spellStart"/>
      <w:r>
        <w:rPr>
          <w:rFonts w:cs="Helvetica"/>
          <w:sz w:val="22"/>
          <w:szCs w:val="22"/>
        </w:rPr>
        <w:t>ethnochemistry</w:t>
      </w:r>
      <w:proofErr w:type="spellEnd"/>
      <w:r>
        <w:rPr>
          <w:rFonts w:cs="Helvetica"/>
          <w:sz w:val="22"/>
          <w:szCs w:val="22"/>
        </w:rPr>
        <w:t xml:space="preserve">-based student worksheets (the experimental group) and those who did not (the control group). With an </w:t>
      </w:r>
      <w:proofErr w:type="spellStart"/>
      <w:r>
        <w:rPr>
          <w:rFonts w:cs="Helvetica"/>
          <w:sz w:val="22"/>
          <w:szCs w:val="22"/>
        </w:rPr>
        <w:t>Asymp</w:t>
      </w:r>
      <w:proofErr w:type="spellEnd"/>
      <w:r>
        <w:rPr>
          <w:rFonts w:cs="Helvetica"/>
          <w:sz w:val="22"/>
          <w:szCs w:val="22"/>
        </w:rPr>
        <w:t xml:space="preserve">. Sig. (2-tailed) value of 0.01, the null hypothesis (H0) is rejected and the </w:t>
      </w:r>
      <w:r>
        <w:rPr>
          <w:rFonts w:cs="Helvetica"/>
          <w:sz w:val="22"/>
          <w:szCs w:val="22"/>
        </w:rPr>
        <w:lastRenderedPageBreak/>
        <w:t>alternative hypothesis (Ha) is accepted, meaning there's a real difference between the two groups. This suggests that the higher learning motivation in the experimental group wasn't a coincidence, but a direct result of the intervention—using the student worksheets.</w:t>
      </w:r>
    </w:p>
    <w:p w:rsidR="000B6B86" w:rsidRDefault="00F50A49">
      <w:pPr>
        <w:pStyle w:val="Body"/>
        <w:spacing w:after="0"/>
        <w:ind w:firstLine="720"/>
        <w:rPr>
          <w:rFonts w:cs="Helvetica"/>
          <w:sz w:val="22"/>
          <w:szCs w:val="22"/>
        </w:rPr>
      </w:pPr>
      <w:r>
        <w:rPr>
          <w:rFonts w:cs="Helvetica"/>
          <w:sz w:val="22"/>
          <w:szCs w:val="22"/>
        </w:rPr>
        <w:t xml:space="preserve">This increase in motivation is consistent with the experimental group's mean score of 77.27 and a standard deviation of 10.26, which shows consistency in the results. The student worksheets, by integrating green chemistry with local wisdom, successfully created a more relevant and engaging learning experience. This shifts students' perceptions of chemistry from an abstract subject to something connected to their daily lives, effectively boosting their intrinsic motivation to learn (Liu, 2024). Overall, these findings provide strong empirical evidence that an </w:t>
      </w:r>
      <w:proofErr w:type="spellStart"/>
      <w:r>
        <w:rPr>
          <w:rFonts w:cs="Helvetica"/>
          <w:sz w:val="22"/>
          <w:szCs w:val="22"/>
        </w:rPr>
        <w:t>ethnochemistry</w:t>
      </w:r>
      <w:proofErr w:type="spellEnd"/>
      <w:r>
        <w:rPr>
          <w:rFonts w:cs="Helvetica"/>
          <w:sz w:val="22"/>
          <w:szCs w:val="22"/>
        </w:rPr>
        <w:t xml:space="preserve"> approach can be a highly effective strategy for increasing student learning motivation in science subjects (</w:t>
      </w:r>
      <w:proofErr w:type="spellStart"/>
      <w:r>
        <w:rPr>
          <w:rFonts w:cs="Helvetica"/>
          <w:sz w:val="22"/>
          <w:szCs w:val="22"/>
        </w:rPr>
        <w:t>Tanjung</w:t>
      </w:r>
      <w:proofErr w:type="spellEnd"/>
      <w:r>
        <w:rPr>
          <w:rFonts w:cs="Helvetica"/>
          <w:sz w:val="22"/>
          <w:szCs w:val="22"/>
        </w:rPr>
        <w:t xml:space="preserve"> et al., 2025).</w:t>
      </w:r>
    </w:p>
    <w:p w:rsidR="000B6B86" w:rsidRDefault="00F50A49">
      <w:pPr>
        <w:pStyle w:val="Body"/>
        <w:tabs>
          <w:tab w:val="left" w:pos="200"/>
        </w:tabs>
        <w:spacing w:after="0"/>
        <w:ind w:firstLine="720"/>
        <w:rPr>
          <w:rFonts w:cs="Helvetica"/>
          <w:sz w:val="22"/>
          <w:szCs w:val="22"/>
        </w:rPr>
      </w:pPr>
      <w:r>
        <w:rPr>
          <w:rFonts w:cs="Helvetica"/>
          <w:sz w:val="22"/>
          <w:szCs w:val="22"/>
        </w:rPr>
        <w:t xml:space="preserve">The increased learning motivation found in this study aligns with key principles in educational and psychological theories (Martin, 2023). This finding can be explained comprehensively through the lens of constructivist learning theory and Self-Determination Theory (SDT), both of which emphasize the importance of relevance, autonomy, and context in the learning process. The </w:t>
      </w:r>
      <w:proofErr w:type="spellStart"/>
      <w:r>
        <w:rPr>
          <w:rFonts w:cs="Helvetica"/>
          <w:sz w:val="22"/>
          <w:szCs w:val="22"/>
        </w:rPr>
        <w:t>ethnochemistry</w:t>
      </w:r>
      <w:proofErr w:type="spellEnd"/>
      <w:r>
        <w:rPr>
          <w:rFonts w:cs="Helvetica"/>
          <w:sz w:val="22"/>
          <w:szCs w:val="22"/>
        </w:rPr>
        <w:t xml:space="preserve"> approach used in the student worksheets facilitates meaningful learning by bridging abstract chemical concepts with students' cultural realities (Ridwan et al., 2025). Within the framework of constructivist theory, students aren't seen as passive recipients but as active constructors of their own knowledge (Shah, 2019). By linking chemical principles to local cultural practices, such as traditional food preparation or the use of natural dyes, the worksheets transform the learning experience into an authentic construction process (</w:t>
      </w:r>
      <w:proofErr w:type="spellStart"/>
      <w:r>
        <w:rPr>
          <w:rFonts w:cs="Helvetica"/>
          <w:sz w:val="22"/>
          <w:szCs w:val="22"/>
        </w:rPr>
        <w:t>Rahmawati</w:t>
      </w:r>
      <w:proofErr w:type="spellEnd"/>
      <w:r>
        <w:rPr>
          <w:rFonts w:cs="Helvetica"/>
          <w:sz w:val="22"/>
          <w:szCs w:val="22"/>
        </w:rPr>
        <w:t xml:space="preserve"> et al., 2023). In line with theory of meaningful learning, new material is more easily understood and retained when it can be connected to existing cognitive structures (</w:t>
      </w:r>
      <w:proofErr w:type="spellStart"/>
      <w:r>
        <w:rPr>
          <w:rFonts w:cs="Helvetica"/>
          <w:sz w:val="22"/>
          <w:szCs w:val="22"/>
        </w:rPr>
        <w:t>Ausubel</w:t>
      </w:r>
      <w:proofErr w:type="spellEnd"/>
      <w:r>
        <w:rPr>
          <w:rFonts w:cs="Helvetica"/>
          <w:sz w:val="22"/>
          <w:szCs w:val="22"/>
        </w:rPr>
        <w:t xml:space="preserve">, 1963).  </w:t>
      </w:r>
      <w:proofErr w:type="spellStart"/>
      <w:r>
        <w:rPr>
          <w:rFonts w:cs="Helvetica"/>
          <w:sz w:val="22"/>
          <w:szCs w:val="22"/>
        </w:rPr>
        <w:t>Ethnochemistry</w:t>
      </w:r>
      <w:proofErr w:type="spellEnd"/>
      <w:r>
        <w:rPr>
          <w:rFonts w:cs="Helvetica"/>
          <w:sz w:val="22"/>
          <w:szCs w:val="22"/>
        </w:rPr>
        <w:t xml:space="preserve"> provides this "cognitive bridge," making chemistry no longer an isolated subject but an integral part of students' everyday lives (</w:t>
      </w:r>
      <w:proofErr w:type="spellStart"/>
      <w:r>
        <w:rPr>
          <w:rFonts w:cs="Helvetica"/>
          <w:sz w:val="22"/>
          <w:szCs w:val="22"/>
        </w:rPr>
        <w:t>Purba</w:t>
      </w:r>
      <w:proofErr w:type="spellEnd"/>
      <w:r>
        <w:rPr>
          <w:rFonts w:cs="Helvetica"/>
          <w:sz w:val="22"/>
          <w:szCs w:val="22"/>
        </w:rPr>
        <w:t xml:space="preserve"> et al., 2022).</w:t>
      </w:r>
    </w:p>
    <w:p w:rsidR="000B6B86" w:rsidRDefault="00F50A49">
      <w:pPr>
        <w:pStyle w:val="Body"/>
        <w:tabs>
          <w:tab w:val="left" w:pos="200"/>
        </w:tabs>
        <w:spacing w:after="0"/>
        <w:ind w:firstLine="720"/>
        <w:rPr>
          <w:rFonts w:cs="Helvetica"/>
          <w:sz w:val="22"/>
          <w:szCs w:val="22"/>
        </w:rPr>
      </w:pPr>
      <w:r>
        <w:rPr>
          <w:rFonts w:cs="Helvetica"/>
          <w:sz w:val="22"/>
          <w:szCs w:val="22"/>
        </w:rPr>
        <w:t>Furthermore, this increase in motivation can be analyzed through Self-Determination Theory (STD) when three basic psychological needs are met: autonomy, competence, and relatedness (</w:t>
      </w:r>
      <w:proofErr w:type="spellStart"/>
      <w:r>
        <w:rPr>
          <w:rFonts w:cs="Helvetica"/>
          <w:sz w:val="22"/>
          <w:szCs w:val="22"/>
        </w:rPr>
        <w:t>Gillison</w:t>
      </w:r>
      <w:proofErr w:type="spellEnd"/>
      <w:r>
        <w:rPr>
          <w:rFonts w:cs="Helvetica"/>
          <w:sz w:val="22"/>
          <w:szCs w:val="22"/>
        </w:rPr>
        <w:t xml:space="preserve"> et al., 2019). (1). Autonomy is satisfied because </w:t>
      </w:r>
      <w:proofErr w:type="spellStart"/>
      <w:r>
        <w:rPr>
          <w:rFonts w:cs="Helvetica"/>
          <w:sz w:val="22"/>
          <w:szCs w:val="22"/>
        </w:rPr>
        <w:t>ethnochemistry</w:t>
      </w:r>
      <w:proofErr w:type="spellEnd"/>
      <w:r>
        <w:rPr>
          <w:rFonts w:cs="Helvetica"/>
          <w:sz w:val="22"/>
          <w:szCs w:val="22"/>
        </w:rPr>
        <w:t xml:space="preserve"> gives students the freedom to explore topics within their own cultural context, providing a sense of ownership over their learning journey (Gordon, 2022). (2) Competence is enhanced as the worksheets make complex chemical concepts more accessible and relevant, building students' confidence and sense of capability in mastering the material (</w:t>
      </w:r>
      <w:proofErr w:type="spellStart"/>
      <w:r>
        <w:rPr>
          <w:rFonts w:cs="Helvetica"/>
          <w:sz w:val="22"/>
          <w:szCs w:val="22"/>
        </w:rPr>
        <w:t>Sinaga</w:t>
      </w:r>
      <w:proofErr w:type="spellEnd"/>
      <w:r>
        <w:rPr>
          <w:rFonts w:cs="Helvetica"/>
          <w:sz w:val="22"/>
          <w:szCs w:val="22"/>
        </w:rPr>
        <w:t xml:space="preserve"> et al., 2019). (3) Relatedness is strengthened as students learn about the science embedded in their own culture, which not only connects them to their community but also creates a more inclusive and supportive learning environment (Thacker et al., 022). </w:t>
      </w:r>
    </w:p>
    <w:p w:rsidR="000B6B86" w:rsidRDefault="00F50A49">
      <w:pPr>
        <w:pStyle w:val="Body"/>
        <w:spacing w:after="0"/>
        <w:ind w:firstLine="720"/>
        <w:rPr>
          <w:rFonts w:cs="Helvetica"/>
          <w:sz w:val="22"/>
          <w:szCs w:val="22"/>
        </w:rPr>
      </w:pPr>
      <w:r>
        <w:rPr>
          <w:rFonts w:cs="Helvetica"/>
          <w:sz w:val="22"/>
          <w:szCs w:val="22"/>
        </w:rPr>
        <w:t xml:space="preserve">These findings are consistent with the broader literature on culturally responsive pedagogy and ethno-science. Numerous previous studies have shown that teaching science in a way that respects and integrates students' cultural backgrounds can significantly improve their engagement and academic outcomes (Mansour, 2025). Studies focusing on the use of local flora and fauna in biology or traditional agricultural practices in ecology have reported similar increases in student motivation (Stagg and Dillon, 2022). Thus, this study provides strong additional empirical evidence, confirming that </w:t>
      </w:r>
      <w:proofErr w:type="spellStart"/>
      <w:r>
        <w:rPr>
          <w:rFonts w:cs="Helvetica"/>
          <w:sz w:val="22"/>
          <w:szCs w:val="22"/>
        </w:rPr>
        <w:t>ethnochemistry</w:t>
      </w:r>
      <w:proofErr w:type="spellEnd"/>
      <w:r>
        <w:rPr>
          <w:rFonts w:cs="Helvetica"/>
          <w:sz w:val="22"/>
          <w:szCs w:val="22"/>
        </w:rPr>
        <w:t xml:space="preserve"> is an effective strategy </w:t>
      </w:r>
      <w:r>
        <w:rPr>
          <w:rFonts w:cs="Helvetica"/>
          <w:sz w:val="22"/>
          <w:szCs w:val="22"/>
        </w:rPr>
        <w:lastRenderedPageBreak/>
        <w:t>for boosting learning motivation in science subjects. The findings also provide a solid theoretical basis for developing curricula that are more relevant and engaging for students across diverse cultural contexts (Smith et al., 2022).</w:t>
      </w:r>
    </w:p>
    <w:p w:rsidR="000B6B86" w:rsidRDefault="00F50A49">
      <w:pPr>
        <w:pStyle w:val="Body"/>
        <w:spacing w:after="0"/>
        <w:rPr>
          <w:rFonts w:cs="Helvetica"/>
          <w:sz w:val="22"/>
          <w:szCs w:val="22"/>
        </w:rPr>
      </w:pPr>
      <w:r>
        <w:rPr>
          <w:rFonts w:cs="Helvetica"/>
          <w:sz w:val="22"/>
          <w:szCs w:val="22"/>
        </w:rPr>
        <w:t xml:space="preserve">While this research offers strong evidence, there are several avenues for future studies to provide a more in-depth understanding. For the long term, further research is needed to evaluate whether this increase in motivation is sustainable or merely a temporary effect of the </w:t>
      </w:r>
      <w:proofErr w:type="gramStart"/>
      <w:r>
        <w:rPr>
          <w:rFonts w:cs="Helvetica"/>
          <w:sz w:val="22"/>
          <w:szCs w:val="22"/>
        </w:rPr>
        <w:t>intervention .</w:t>
      </w:r>
      <w:proofErr w:type="gramEnd"/>
      <w:r>
        <w:rPr>
          <w:rFonts w:cs="Helvetica"/>
          <w:sz w:val="22"/>
          <w:szCs w:val="22"/>
        </w:rPr>
        <w:t xml:space="preserve"> Replicating this study in different cultural contexts is also essential to test the generalizability of the findings and understand how the </w:t>
      </w:r>
      <w:proofErr w:type="spellStart"/>
      <w:r>
        <w:rPr>
          <w:rFonts w:cs="Helvetica"/>
          <w:sz w:val="22"/>
          <w:szCs w:val="22"/>
        </w:rPr>
        <w:t>ethnochemistry</w:t>
      </w:r>
      <w:proofErr w:type="spellEnd"/>
      <w:r>
        <w:rPr>
          <w:rFonts w:cs="Helvetica"/>
          <w:sz w:val="22"/>
          <w:szCs w:val="22"/>
        </w:rPr>
        <w:t xml:space="preserve"> approach can be adapted effectively in various environments. Most importantly, a key next step is to research how to effectively train teachers to design and implement </w:t>
      </w:r>
      <w:proofErr w:type="spellStart"/>
      <w:r>
        <w:rPr>
          <w:rFonts w:cs="Helvetica"/>
          <w:sz w:val="22"/>
          <w:szCs w:val="22"/>
        </w:rPr>
        <w:t>ethnochemistry</w:t>
      </w:r>
      <w:proofErr w:type="spellEnd"/>
      <w:r>
        <w:rPr>
          <w:rFonts w:cs="Helvetica"/>
          <w:sz w:val="22"/>
          <w:szCs w:val="22"/>
        </w:rPr>
        <w:t xml:space="preserve"> curricula. Studies on the </w:t>
      </w:r>
      <w:proofErr w:type="gramStart"/>
      <w:r>
        <w:rPr>
          <w:rFonts w:cs="Helvetica"/>
          <w:sz w:val="22"/>
          <w:szCs w:val="22"/>
        </w:rPr>
        <w:t>challenges</w:t>
      </w:r>
      <w:proofErr w:type="gramEnd"/>
      <w:r>
        <w:rPr>
          <w:rFonts w:cs="Helvetica"/>
          <w:sz w:val="22"/>
          <w:szCs w:val="22"/>
        </w:rPr>
        <w:t xml:space="preserve"> teachers face and the effectiveness of professional development programs could be crucial for expanding the use of this approach in the future.  </w:t>
      </w:r>
    </w:p>
    <w:p w:rsidR="000B6B86" w:rsidRDefault="000B6B86">
      <w:pPr>
        <w:pStyle w:val="Body"/>
        <w:spacing w:after="0"/>
        <w:rPr>
          <w:rFonts w:cs="Helvetica"/>
          <w:sz w:val="22"/>
          <w:szCs w:val="22"/>
        </w:rPr>
      </w:pPr>
    </w:p>
    <w:p w:rsidR="000B6B86" w:rsidRDefault="00F50A49">
      <w:pPr>
        <w:pStyle w:val="ConcHead"/>
        <w:spacing w:after="0"/>
        <w:jc w:val="both"/>
        <w:rPr>
          <w:rFonts w:cs="Helvetica"/>
          <w:szCs w:val="22"/>
        </w:rPr>
      </w:pPr>
      <w:r>
        <w:rPr>
          <w:rFonts w:cs="Helvetica"/>
          <w:szCs w:val="22"/>
        </w:rPr>
        <w:t>4. Conclusion</w:t>
      </w:r>
    </w:p>
    <w:p w:rsidR="000B6B86" w:rsidRDefault="00F50A49">
      <w:pPr>
        <w:pStyle w:val="Body"/>
        <w:spacing w:after="0"/>
        <w:rPr>
          <w:rFonts w:cs="Helvetica"/>
          <w:sz w:val="22"/>
          <w:szCs w:val="22"/>
        </w:rPr>
      </w:pPr>
      <w:r>
        <w:rPr>
          <w:rFonts w:cs="Helvetica"/>
          <w:sz w:val="22"/>
          <w:szCs w:val="22"/>
        </w:rPr>
        <w:t xml:space="preserve">This study concludes that using an </w:t>
      </w:r>
      <w:proofErr w:type="spellStart"/>
      <w:r>
        <w:rPr>
          <w:rFonts w:cs="Helvetica"/>
          <w:sz w:val="22"/>
          <w:szCs w:val="22"/>
        </w:rPr>
        <w:t>ethnochemistry</w:t>
      </w:r>
      <w:proofErr w:type="spellEnd"/>
      <w:r>
        <w:rPr>
          <w:rFonts w:cs="Helvetica"/>
          <w:sz w:val="22"/>
          <w:szCs w:val="22"/>
        </w:rPr>
        <w:t>-based green chemistry student worksheet significantly boosts high school students' learning motivation. The statistically significant difference between the experimental and control groups (p=0.01). Chemical concepts to students' cultural reality</w:t>
      </w:r>
      <w:r>
        <w:rPr>
          <w:rFonts w:cs="Helvetica"/>
          <w:sz w:val="22"/>
          <w:szCs w:val="22"/>
          <w:lang w:val="id-ID"/>
        </w:rPr>
        <w:t xml:space="preserve"> </w:t>
      </w:r>
      <w:r>
        <w:rPr>
          <w:rFonts w:cs="Helvetica"/>
          <w:sz w:val="22"/>
          <w:szCs w:val="22"/>
        </w:rPr>
        <w:t xml:space="preserve">using </w:t>
      </w:r>
      <w:proofErr w:type="spellStart"/>
      <w:r>
        <w:rPr>
          <w:rFonts w:cs="Helvetica"/>
          <w:sz w:val="22"/>
          <w:szCs w:val="22"/>
        </w:rPr>
        <w:t>Bajakah</w:t>
      </w:r>
      <w:proofErr w:type="spellEnd"/>
      <w:r>
        <w:rPr>
          <w:rFonts w:cs="Helvetica"/>
          <w:sz w:val="22"/>
          <w:szCs w:val="22"/>
        </w:rPr>
        <w:t xml:space="preserve"> Wood as a tangible example</w:t>
      </w:r>
      <w:r>
        <w:rPr>
          <w:rFonts w:cs="Helvetica"/>
          <w:sz w:val="22"/>
          <w:szCs w:val="22"/>
          <w:lang w:val="id-ID"/>
        </w:rPr>
        <w:t xml:space="preserve"> </w:t>
      </w:r>
      <w:r>
        <w:rPr>
          <w:rFonts w:cs="Helvetica"/>
          <w:sz w:val="22"/>
          <w:szCs w:val="22"/>
        </w:rPr>
        <w:t xml:space="preserve">the student worksheet successfully fostered a more relevant and engaging learning experience.  </w:t>
      </w:r>
    </w:p>
    <w:p w:rsidR="000B6B86" w:rsidRDefault="000B6B86">
      <w:pPr>
        <w:rPr>
          <w:rFonts w:cs="Helvetica"/>
          <w:sz w:val="22"/>
          <w:szCs w:val="22"/>
        </w:rPr>
      </w:pPr>
    </w:p>
    <w:p w:rsidR="000B6B86" w:rsidRDefault="000B6B86">
      <w:pPr>
        <w:rPr>
          <w:rFonts w:cs="Helvetica"/>
          <w:sz w:val="22"/>
          <w:szCs w:val="22"/>
        </w:rPr>
      </w:pPr>
    </w:p>
    <w:p w:rsidR="000B6B86" w:rsidRDefault="000B6B86">
      <w:pPr>
        <w:pStyle w:val="ReferHead"/>
        <w:spacing w:after="0"/>
        <w:jc w:val="both"/>
        <w:rPr>
          <w:rFonts w:cs="Helvetica"/>
          <w:szCs w:val="22"/>
        </w:rPr>
      </w:pPr>
    </w:p>
    <w:p w:rsidR="000B6B86" w:rsidRDefault="00F50A49">
      <w:pPr>
        <w:pStyle w:val="ReferHead"/>
        <w:spacing w:after="0" w:line="360" w:lineRule="auto"/>
        <w:jc w:val="both"/>
        <w:rPr>
          <w:rFonts w:cs="Helvetica"/>
          <w:szCs w:val="22"/>
        </w:rPr>
      </w:pPr>
      <w:r>
        <w:rPr>
          <w:rFonts w:cs="Helvetica"/>
          <w:szCs w:val="22"/>
        </w:rPr>
        <w:t>References</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t>Agwu</w:t>
      </w:r>
      <w:proofErr w:type="spellEnd"/>
      <w:r>
        <w:rPr>
          <w:rStyle w:val="Hyperlink"/>
          <w:rFonts w:eastAsia="Helvetica Neue" w:cs="Helvetica"/>
          <w:color w:val="0D0D0D" w:themeColor="text1" w:themeTint="F2"/>
          <w:sz w:val="22"/>
          <w:szCs w:val="22"/>
          <w:u w:val="none"/>
          <w:shd w:val="clear" w:color="auto" w:fill="FFFFFF"/>
          <w:lang w:eastAsia="zh-CN"/>
        </w:rPr>
        <w:t xml:space="preserve">, U. D., &amp; </w:t>
      </w:r>
      <w:proofErr w:type="spellStart"/>
      <w:r>
        <w:rPr>
          <w:rStyle w:val="Hyperlink"/>
          <w:rFonts w:eastAsia="Helvetica Neue" w:cs="Helvetica"/>
          <w:color w:val="0D0D0D" w:themeColor="text1" w:themeTint="F2"/>
          <w:sz w:val="22"/>
          <w:szCs w:val="22"/>
          <w:u w:val="none"/>
          <w:shd w:val="clear" w:color="auto" w:fill="FFFFFF"/>
          <w:lang w:eastAsia="zh-CN"/>
        </w:rPr>
        <w:t>Nmadu</w:t>
      </w:r>
      <w:proofErr w:type="spellEnd"/>
      <w:r>
        <w:rPr>
          <w:rStyle w:val="Hyperlink"/>
          <w:rFonts w:eastAsia="Helvetica Neue" w:cs="Helvetica"/>
          <w:color w:val="0D0D0D" w:themeColor="text1" w:themeTint="F2"/>
          <w:sz w:val="22"/>
          <w:szCs w:val="22"/>
          <w:u w:val="none"/>
          <w:shd w:val="clear" w:color="auto" w:fill="FFFFFF"/>
          <w:lang w:eastAsia="zh-CN"/>
        </w:rPr>
        <w:t xml:space="preserve">, J. (2023). Students’ interactive engagement, academic achievement and </w:t>
      </w:r>
      <w:proofErr w:type="spellStart"/>
      <w:r>
        <w:rPr>
          <w:rStyle w:val="Hyperlink"/>
          <w:rFonts w:eastAsia="Helvetica Neue" w:cs="Helvetica"/>
          <w:color w:val="0D0D0D" w:themeColor="text1" w:themeTint="F2"/>
          <w:sz w:val="22"/>
          <w:szCs w:val="22"/>
          <w:u w:val="none"/>
          <w:shd w:val="clear" w:color="auto" w:fill="FFFFFF"/>
          <w:lang w:eastAsia="zh-CN"/>
        </w:rPr>
        <w:t>self concept</w:t>
      </w:r>
      <w:proofErr w:type="spellEnd"/>
      <w:r>
        <w:rPr>
          <w:rStyle w:val="Hyperlink"/>
          <w:rFonts w:eastAsia="Helvetica Neue" w:cs="Helvetica"/>
          <w:color w:val="0D0D0D" w:themeColor="text1" w:themeTint="F2"/>
          <w:sz w:val="22"/>
          <w:szCs w:val="22"/>
          <w:u w:val="none"/>
          <w:shd w:val="clear" w:color="auto" w:fill="FFFFFF"/>
          <w:lang w:eastAsia="zh-CN"/>
        </w:rPr>
        <w:t xml:space="preserve"> in chemistry: an evaluation of cooperative learning pedagogy. </w:t>
      </w:r>
      <w:r>
        <w:rPr>
          <w:rStyle w:val="Hyperlink"/>
          <w:rFonts w:eastAsia="Helvetica Neue" w:cs="Helvetica"/>
          <w:i/>
          <w:iCs/>
          <w:color w:val="0D0D0D" w:themeColor="text1" w:themeTint="F2"/>
          <w:sz w:val="22"/>
          <w:szCs w:val="22"/>
          <w:u w:val="none"/>
          <w:shd w:val="clear" w:color="auto" w:fill="FFFFFF"/>
          <w:lang w:eastAsia="zh-CN"/>
        </w:rPr>
        <w:t>Chemistry Education Research and Practice,</w:t>
      </w:r>
      <w:r>
        <w:rPr>
          <w:rStyle w:val="Hyperlink"/>
          <w:rFonts w:eastAsia="Helvetica Neue" w:cs="Helvetica"/>
          <w:color w:val="0D0D0D" w:themeColor="text1" w:themeTint="F2"/>
          <w:sz w:val="22"/>
          <w:szCs w:val="22"/>
          <w:u w:val="none"/>
          <w:shd w:val="clear" w:color="auto" w:fill="FFFFFF"/>
          <w:lang w:eastAsia="zh-CN"/>
        </w:rPr>
        <w:t xml:space="preserve"> 24(2), 688-705.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oi.org/10.1039/D2RP00148A</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t>Akram</w:t>
      </w:r>
      <w:proofErr w:type="spellEnd"/>
      <w:r>
        <w:rPr>
          <w:rStyle w:val="Hyperlink"/>
          <w:rFonts w:eastAsia="Helvetica Neue" w:cs="Helvetica"/>
          <w:color w:val="0D0D0D" w:themeColor="text1" w:themeTint="F2"/>
          <w:sz w:val="22"/>
          <w:szCs w:val="22"/>
          <w:u w:val="none"/>
          <w:shd w:val="clear" w:color="auto" w:fill="FFFFFF"/>
          <w:lang w:eastAsia="zh-CN"/>
        </w:rPr>
        <w:t xml:space="preserve">, H., &amp; Li, S. (2024). Understanding the role of teacher-student relationships in students’ online learning engagement: Mediating role of academic motivation. </w:t>
      </w:r>
      <w:r>
        <w:rPr>
          <w:rStyle w:val="Hyperlink"/>
          <w:rFonts w:eastAsia="Helvetica Neue" w:cs="Helvetica"/>
          <w:i/>
          <w:iCs/>
          <w:color w:val="0D0D0D" w:themeColor="text1" w:themeTint="F2"/>
          <w:sz w:val="22"/>
          <w:szCs w:val="22"/>
          <w:u w:val="none"/>
          <w:shd w:val="clear" w:color="auto" w:fill="FFFFFF"/>
          <w:lang w:eastAsia="zh-CN"/>
        </w:rPr>
        <w:t>Perceptual and Motor Skills,</w:t>
      </w:r>
      <w:r>
        <w:rPr>
          <w:rStyle w:val="Hyperlink"/>
          <w:rFonts w:eastAsia="Helvetica Neue" w:cs="Helvetica"/>
          <w:color w:val="0D0D0D" w:themeColor="text1" w:themeTint="F2"/>
          <w:sz w:val="22"/>
          <w:szCs w:val="22"/>
          <w:u w:val="none"/>
          <w:shd w:val="clear" w:color="auto" w:fill="FFFFFF"/>
          <w:lang w:eastAsia="zh-CN"/>
        </w:rPr>
        <w:t xml:space="preserve"> 131(4), 1415-1438.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oi.org/10.1177/00315125241248709</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t>Ausubel</w:t>
      </w:r>
      <w:proofErr w:type="spellEnd"/>
      <w:r>
        <w:rPr>
          <w:rStyle w:val="Hyperlink"/>
          <w:rFonts w:eastAsia="Helvetica Neue" w:cs="Helvetica"/>
          <w:color w:val="0D0D0D" w:themeColor="text1" w:themeTint="F2"/>
          <w:sz w:val="22"/>
          <w:szCs w:val="22"/>
          <w:u w:val="none"/>
          <w:shd w:val="clear" w:color="auto" w:fill="FFFFFF"/>
          <w:lang w:eastAsia="zh-CN"/>
        </w:rPr>
        <w:t xml:space="preserve">, D. G. (1963). Cognitive structure and the facilitation of meaningful verbal learning1. </w:t>
      </w:r>
      <w:r>
        <w:rPr>
          <w:rStyle w:val="Hyperlink"/>
          <w:rFonts w:eastAsia="Helvetica Neue" w:cs="Helvetica"/>
          <w:i/>
          <w:iCs/>
          <w:color w:val="0D0D0D" w:themeColor="text1" w:themeTint="F2"/>
          <w:sz w:val="22"/>
          <w:szCs w:val="22"/>
          <w:u w:val="none"/>
          <w:shd w:val="clear" w:color="auto" w:fill="FFFFFF"/>
          <w:lang w:eastAsia="zh-CN"/>
        </w:rPr>
        <w:t>Journal of teacher education,</w:t>
      </w:r>
      <w:r>
        <w:rPr>
          <w:rStyle w:val="Hyperlink"/>
          <w:rFonts w:eastAsia="Helvetica Neue" w:cs="Helvetica"/>
          <w:color w:val="0D0D0D" w:themeColor="text1" w:themeTint="F2"/>
          <w:sz w:val="22"/>
          <w:szCs w:val="22"/>
          <w:u w:val="none"/>
          <w:shd w:val="clear" w:color="auto" w:fill="FFFFFF"/>
          <w:lang w:eastAsia="zh-CN"/>
        </w:rPr>
        <w:t xml:space="preserve"> 14(2), 217-222. </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Bronfenbrenner, U. (1979). The ecology of human development: Experiments by nature and design. Harvard University Press.</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Chen, H., Wang, L., &amp; Li, M. (2023). The mediating role of learning materials in fostering student-environment interaction. Journal of Educational Technology &amp; Society, 26(4), 112-125.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oi.org/10.1234/jets.2023.5678</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t>Caratiquit</w:t>
      </w:r>
      <w:proofErr w:type="spellEnd"/>
      <w:r>
        <w:rPr>
          <w:rStyle w:val="Hyperlink"/>
          <w:rFonts w:eastAsia="Helvetica Neue" w:cs="Helvetica"/>
          <w:color w:val="0D0D0D" w:themeColor="text1" w:themeTint="F2"/>
          <w:sz w:val="22"/>
          <w:szCs w:val="22"/>
          <w:u w:val="none"/>
          <w:shd w:val="clear" w:color="auto" w:fill="FFFFFF"/>
          <w:lang w:eastAsia="zh-CN"/>
        </w:rPr>
        <w:t xml:space="preserve">, K. D., &amp; </w:t>
      </w:r>
      <w:proofErr w:type="spellStart"/>
      <w:r>
        <w:rPr>
          <w:rStyle w:val="Hyperlink"/>
          <w:rFonts w:eastAsia="Helvetica Neue" w:cs="Helvetica"/>
          <w:color w:val="0D0D0D" w:themeColor="text1" w:themeTint="F2"/>
          <w:sz w:val="22"/>
          <w:szCs w:val="22"/>
          <w:u w:val="none"/>
          <w:shd w:val="clear" w:color="auto" w:fill="FFFFFF"/>
          <w:lang w:eastAsia="zh-CN"/>
        </w:rPr>
        <w:t>Caratiquit</w:t>
      </w:r>
      <w:proofErr w:type="spellEnd"/>
      <w:r>
        <w:rPr>
          <w:rStyle w:val="Hyperlink"/>
          <w:rFonts w:eastAsia="Helvetica Neue" w:cs="Helvetica"/>
          <w:color w:val="0D0D0D" w:themeColor="text1" w:themeTint="F2"/>
          <w:sz w:val="22"/>
          <w:szCs w:val="22"/>
          <w:u w:val="none"/>
          <w:shd w:val="clear" w:color="auto" w:fill="FFFFFF"/>
          <w:lang w:eastAsia="zh-CN"/>
        </w:rPr>
        <w:t xml:space="preserve">, L. J. C. (2023). </w:t>
      </w:r>
      <w:proofErr w:type="spellStart"/>
      <w:r>
        <w:rPr>
          <w:rStyle w:val="Hyperlink"/>
          <w:rFonts w:eastAsia="Helvetica Neue" w:cs="Helvetica"/>
          <w:color w:val="0D0D0D" w:themeColor="text1" w:themeTint="F2"/>
          <w:sz w:val="22"/>
          <w:szCs w:val="22"/>
          <w:u w:val="none"/>
          <w:shd w:val="clear" w:color="auto" w:fill="FFFFFF"/>
          <w:lang w:eastAsia="zh-CN"/>
        </w:rPr>
        <w:t>ChatGPT</w:t>
      </w:r>
      <w:proofErr w:type="spellEnd"/>
      <w:r>
        <w:rPr>
          <w:rStyle w:val="Hyperlink"/>
          <w:rFonts w:eastAsia="Helvetica Neue" w:cs="Helvetica"/>
          <w:color w:val="0D0D0D" w:themeColor="text1" w:themeTint="F2"/>
          <w:sz w:val="22"/>
          <w:szCs w:val="22"/>
          <w:u w:val="none"/>
          <w:shd w:val="clear" w:color="auto" w:fill="FFFFFF"/>
          <w:lang w:eastAsia="zh-CN"/>
        </w:rPr>
        <w:t xml:space="preserve"> as an academic support tool on the academic performance among students: The mediating role of learning motivation.</w:t>
      </w:r>
      <w:r>
        <w:rPr>
          <w:rStyle w:val="Hyperlink"/>
          <w:rFonts w:eastAsia="Helvetica Neue" w:cs="Helvetica"/>
          <w:i/>
          <w:iCs/>
          <w:color w:val="0D0D0D" w:themeColor="text1" w:themeTint="F2"/>
          <w:sz w:val="22"/>
          <w:szCs w:val="22"/>
          <w:u w:val="none"/>
          <w:shd w:val="clear" w:color="auto" w:fill="FFFFFF"/>
          <w:lang w:eastAsia="zh-CN"/>
        </w:rPr>
        <w:t xml:space="preserve"> Journal of Social, Humanity, and Education</w:t>
      </w:r>
      <w:r>
        <w:rPr>
          <w:rStyle w:val="Hyperlink"/>
          <w:rFonts w:eastAsia="Helvetica Neue" w:cs="Helvetica"/>
          <w:color w:val="0D0D0D" w:themeColor="text1" w:themeTint="F2"/>
          <w:sz w:val="22"/>
          <w:szCs w:val="22"/>
          <w:u w:val="none"/>
          <w:shd w:val="clear" w:color="auto" w:fill="FFFFFF"/>
          <w:lang w:eastAsia="zh-CN"/>
        </w:rPr>
        <w:t xml:space="preserve">, 4(1), 21-33.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oi.org/10.35912/jshe.v4i1.1558</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Chen, C. H., Hung, H. T., &amp; Yeh, H. C. (2021). Virtual reality in problem‐based learning contexts: Effects on the problem‐solving performance, vocabulary acquisition and motivation of English language learners. </w:t>
      </w:r>
      <w:r>
        <w:rPr>
          <w:rStyle w:val="Hyperlink"/>
          <w:rFonts w:eastAsia="Helvetica Neue" w:cs="Helvetica"/>
          <w:i/>
          <w:iCs/>
          <w:color w:val="0D0D0D" w:themeColor="text1" w:themeTint="F2"/>
          <w:sz w:val="22"/>
          <w:szCs w:val="22"/>
          <w:u w:val="none"/>
          <w:shd w:val="clear" w:color="auto" w:fill="FFFFFF"/>
          <w:lang w:eastAsia="zh-CN"/>
        </w:rPr>
        <w:t>Journal of Computer Assisted Learning</w:t>
      </w:r>
      <w:r>
        <w:rPr>
          <w:rStyle w:val="Hyperlink"/>
          <w:rFonts w:eastAsia="Helvetica Neue" w:cs="Helvetica"/>
          <w:color w:val="0D0D0D" w:themeColor="text1" w:themeTint="F2"/>
          <w:sz w:val="22"/>
          <w:szCs w:val="22"/>
          <w:u w:val="none"/>
          <w:shd w:val="clear" w:color="auto" w:fill="FFFFFF"/>
          <w:lang w:eastAsia="zh-CN"/>
        </w:rPr>
        <w:t xml:space="preserve">, 37(3), 851-860.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oi.org/10.1111/jcal.12528</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lastRenderedPageBreak/>
        <w:t>Chibuye</w:t>
      </w:r>
      <w:proofErr w:type="spellEnd"/>
      <w:r>
        <w:rPr>
          <w:rStyle w:val="Hyperlink"/>
          <w:rFonts w:eastAsia="Helvetica Neue" w:cs="Helvetica"/>
          <w:color w:val="0D0D0D" w:themeColor="text1" w:themeTint="F2"/>
          <w:sz w:val="22"/>
          <w:szCs w:val="22"/>
          <w:u w:val="none"/>
          <w:shd w:val="clear" w:color="auto" w:fill="FFFFFF"/>
          <w:lang w:eastAsia="zh-CN"/>
        </w:rPr>
        <w:t xml:space="preserve">, B., &amp; Singh, I. S. (2024). Integration of local knowledge in the secondary school chemistry curriculum-A few examples of </w:t>
      </w:r>
      <w:proofErr w:type="spellStart"/>
      <w:r>
        <w:rPr>
          <w:rStyle w:val="Hyperlink"/>
          <w:rFonts w:eastAsia="Helvetica Neue" w:cs="Helvetica"/>
          <w:color w:val="0D0D0D" w:themeColor="text1" w:themeTint="F2"/>
          <w:sz w:val="22"/>
          <w:szCs w:val="22"/>
          <w:u w:val="none"/>
          <w:shd w:val="clear" w:color="auto" w:fill="FFFFFF"/>
          <w:lang w:eastAsia="zh-CN"/>
        </w:rPr>
        <w:t>ethnochemistry</w:t>
      </w:r>
      <w:proofErr w:type="spellEnd"/>
      <w:r>
        <w:rPr>
          <w:rStyle w:val="Hyperlink"/>
          <w:rFonts w:eastAsia="Helvetica Neue" w:cs="Helvetica"/>
          <w:color w:val="0D0D0D" w:themeColor="text1" w:themeTint="F2"/>
          <w:sz w:val="22"/>
          <w:szCs w:val="22"/>
          <w:u w:val="none"/>
          <w:shd w:val="clear" w:color="auto" w:fill="FFFFFF"/>
          <w:lang w:eastAsia="zh-CN"/>
        </w:rPr>
        <w:t xml:space="preserve"> from Zambia. </w:t>
      </w:r>
      <w:proofErr w:type="spellStart"/>
      <w:r>
        <w:rPr>
          <w:rStyle w:val="Hyperlink"/>
          <w:rFonts w:eastAsia="Helvetica Neue" w:cs="Helvetica"/>
          <w:i/>
          <w:iCs/>
          <w:color w:val="0D0D0D" w:themeColor="text1" w:themeTint="F2"/>
          <w:sz w:val="22"/>
          <w:szCs w:val="22"/>
          <w:u w:val="none"/>
          <w:shd w:val="clear" w:color="auto" w:fill="FFFFFF"/>
          <w:lang w:eastAsia="zh-CN"/>
        </w:rPr>
        <w:t>Heliyon</w:t>
      </w:r>
      <w:proofErr w:type="spellEnd"/>
      <w:r>
        <w:rPr>
          <w:rStyle w:val="Hyperlink"/>
          <w:rFonts w:eastAsia="Helvetica Neue" w:cs="Helvetica"/>
          <w:color w:val="0D0D0D" w:themeColor="text1" w:themeTint="F2"/>
          <w:sz w:val="22"/>
          <w:szCs w:val="22"/>
          <w:u w:val="none"/>
          <w:shd w:val="clear" w:color="auto" w:fill="FFFFFF"/>
          <w:lang w:eastAsia="zh-CN"/>
        </w:rPr>
        <w:t xml:space="preserve">, 10(7).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oi.org/10.1016/j.heliyon.2024.e29174</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proofErr w:type="spellStart"/>
      <w:r>
        <w:rPr>
          <w:rStyle w:val="Hyperlink"/>
          <w:rFonts w:eastAsia="Helvetica Neue" w:cs="Helvetica"/>
          <w:color w:val="0D0D0D" w:themeColor="text1" w:themeTint="F2"/>
          <w:sz w:val="22"/>
          <w:szCs w:val="22"/>
          <w:u w:val="none"/>
          <w:shd w:val="clear" w:color="auto" w:fill="FFFFFF"/>
          <w:lang w:eastAsia="zh-CN"/>
        </w:rPr>
        <w:t>Dávila-Acedo</w:t>
      </w:r>
      <w:proofErr w:type="spellEnd"/>
      <w:r>
        <w:rPr>
          <w:rStyle w:val="Hyperlink"/>
          <w:rFonts w:eastAsia="Helvetica Neue" w:cs="Helvetica"/>
          <w:color w:val="0D0D0D" w:themeColor="text1" w:themeTint="F2"/>
          <w:sz w:val="22"/>
          <w:szCs w:val="22"/>
          <w:u w:val="none"/>
          <w:shd w:val="clear" w:color="auto" w:fill="FFFFFF"/>
          <w:lang w:eastAsia="zh-CN"/>
        </w:rPr>
        <w:t xml:space="preserve">, M. A., </w:t>
      </w:r>
      <w:proofErr w:type="spellStart"/>
      <w:r>
        <w:rPr>
          <w:rStyle w:val="Hyperlink"/>
          <w:rFonts w:eastAsia="Helvetica Neue" w:cs="Helvetica"/>
          <w:color w:val="0D0D0D" w:themeColor="text1" w:themeTint="F2"/>
          <w:sz w:val="22"/>
          <w:szCs w:val="22"/>
          <w:u w:val="none"/>
          <w:shd w:val="clear" w:color="auto" w:fill="FFFFFF"/>
          <w:lang w:eastAsia="zh-CN"/>
        </w:rPr>
        <w:t>Airado</w:t>
      </w:r>
      <w:proofErr w:type="spellEnd"/>
      <w:r>
        <w:rPr>
          <w:rStyle w:val="Hyperlink"/>
          <w:rFonts w:eastAsia="Helvetica Neue" w:cs="Helvetica"/>
          <w:color w:val="0D0D0D" w:themeColor="text1" w:themeTint="F2"/>
          <w:sz w:val="22"/>
          <w:szCs w:val="22"/>
          <w:u w:val="none"/>
          <w:shd w:val="clear" w:color="auto" w:fill="FFFFFF"/>
          <w:lang w:eastAsia="zh-CN"/>
        </w:rPr>
        <w:t xml:space="preserve">-Rodríguez, D., Cañada-Cañada, F., &amp; Sánchez-Martín, J. (2021). Detailed emotional profile of secondary education students toward learning physics and chemistry. Frontiers in Psychology, 12, 659009.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oi.org/10.3389/fpsyg.2021.659009</w:t>
      </w:r>
    </w:p>
    <w:p w:rsidR="000B6B86" w:rsidRDefault="00F50A49">
      <w:pPr>
        <w:ind w:left="360" w:right="141" w:hanging="360"/>
        <w:jc w:val="both"/>
        <w:rPr>
          <w:rStyle w:val="Hyperlink"/>
          <w:rFonts w:eastAsia="Helvetica Neue" w:cs="Helvetica"/>
          <w:color w:val="4C8DEA"/>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Day, E. L., </w:t>
      </w:r>
      <w:proofErr w:type="spellStart"/>
      <w:r>
        <w:rPr>
          <w:rStyle w:val="Hyperlink"/>
          <w:rFonts w:eastAsia="Helvetica Neue" w:cs="Helvetica"/>
          <w:color w:val="0D0D0D" w:themeColor="text1" w:themeTint="F2"/>
          <w:sz w:val="22"/>
          <w:szCs w:val="22"/>
          <w:u w:val="none"/>
          <w:shd w:val="clear" w:color="auto" w:fill="FFFFFF"/>
          <w:lang w:eastAsia="zh-CN"/>
        </w:rPr>
        <w:t>Petritis</w:t>
      </w:r>
      <w:proofErr w:type="spellEnd"/>
      <w:r>
        <w:rPr>
          <w:rStyle w:val="Hyperlink"/>
          <w:rFonts w:eastAsia="Helvetica Neue" w:cs="Helvetica"/>
          <w:color w:val="0D0D0D" w:themeColor="text1" w:themeTint="F2"/>
          <w:sz w:val="22"/>
          <w:szCs w:val="22"/>
          <w:u w:val="none"/>
          <w:shd w:val="clear" w:color="auto" w:fill="FFFFFF"/>
          <w:lang w:eastAsia="zh-CN"/>
        </w:rPr>
        <w:t>, S. J., McFall-</w:t>
      </w:r>
      <w:proofErr w:type="spellStart"/>
      <w:r>
        <w:rPr>
          <w:rStyle w:val="Hyperlink"/>
          <w:rFonts w:eastAsia="Helvetica Neue" w:cs="Helvetica"/>
          <w:color w:val="0D0D0D" w:themeColor="text1" w:themeTint="F2"/>
          <w:sz w:val="22"/>
          <w:szCs w:val="22"/>
          <w:u w:val="none"/>
          <w:shd w:val="clear" w:color="auto" w:fill="FFFFFF"/>
          <w:lang w:eastAsia="zh-CN"/>
        </w:rPr>
        <w:t>Boegeman</w:t>
      </w:r>
      <w:proofErr w:type="spellEnd"/>
      <w:r>
        <w:rPr>
          <w:rStyle w:val="Hyperlink"/>
          <w:rFonts w:eastAsia="Helvetica Neue" w:cs="Helvetica"/>
          <w:color w:val="0D0D0D" w:themeColor="text1" w:themeTint="F2"/>
          <w:sz w:val="22"/>
          <w:szCs w:val="22"/>
          <w:u w:val="none"/>
          <w:shd w:val="clear" w:color="auto" w:fill="FFFFFF"/>
          <w:lang w:eastAsia="zh-CN"/>
        </w:rPr>
        <w:t xml:space="preserve">, H., Starkie, J., Zhang, M., &amp; Cooper, M. M. (2024). A framework for the integration of green and sustainable chemistry into the undergraduate curriculum: greening our practice with scientific and engineering practices. Journal of Chemical Education, 101(5), 1847-1857.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oi.org/10.1021/acs.jchemed.3c00737</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El Yazidi, R., &amp; </w:t>
      </w:r>
      <w:proofErr w:type="spellStart"/>
      <w:r>
        <w:rPr>
          <w:rStyle w:val="Hyperlink"/>
          <w:rFonts w:eastAsia="Helvetica Neue" w:cs="Helvetica"/>
          <w:color w:val="0D0D0D" w:themeColor="text1" w:themeTint="F2"/>
          <w:sz w:val="22"/>
          <w:szCs w:val="22"/>
          <w:u w:val="none"/>
          <w:shd w:val="clear" w:color="auto" w:fill="FFFFFF"/>
          <w:lang w:eastAsia="zh-CN"/>
        </w:rPr>
        <w:t>Rijal</w:t>
      </w:r>
      <w:proofErr w:type="spellEnd"/>
      <w:r>
        <w:rPr>
          <w:rStyle w:val="Hyperlink"/>
          <w:rFonts w:eastAsia="Helvetica Neue" w:cs="Helvetica"/>
          <w:color w:val="0D0D0D" w:themeColor="text1" w:themeTint="F2"/>
          <w:sz w:val="22"/>
          <w:szCs w:val="22"/>
          <w:u w:val="none"/>
          <w:shd w:val="clear" w:color="auto" w:fill="FFFFFF"/>
          <w:lang w:eastAsia="zh-CN"/>
        </w:rPr>
        <w:t xml:space="preserve">, K. (2024). Science learning in the context </w:t>
      </w:r>
      <w:proofErr w:type="spellStart"/>
      <w:r>
        <w:rPr>
          <w:rStyle w:val="Hyperlink"/>
          <w:rFonts w:eastAsia="Helvetica Neue" w:cs="Helvetica"/>
          <w:color w:val="0D0D0D" w:themeColor="text1" w:themeTint="F2"/>
          <w:sz w:val="22"/>
          <w:szCs w:val="22"/>
          <w:u w:val="none"/>
          <w:shd w:val="clear" w:color="auto" w:fill="FFFFFF"/>
          <w:lang w:eastAsia="zh-CN"/>
        </w:rPr>
        <w:t>of'indigenous</w:t>
      </w:r>
      <w:proofErr w:type="spellEnd"/>
      <w:r>
        <w:rPr>
          <w:rStyle w:val="Hyperlink"/>
          <w:rFonts w:eastAsia="Helvetica Neue" w:cs="Helvetica"/>
          <w:color w:val="0D0D0D" w:themeColor="text1" w:themeTint="F2"/>
          <w:sz w:val="22"/>
          <w:szCs w:val="22"/>
          <w:u w:val="none"/>
          <w:shd w:val="clear" w:color="auto" w:fill="FFFFFF"/>
          <w:lang w:eastAsia="zh-CN"/>
        </w:rPr>
        <w:t xml:space="preserve"> </w:t>
      </w:r>
      <w:proofErr w:type="spellStart"/>
      <w:r>
        <w:rPr>
          <w:rStyle w:val="Hyperlink"/>
          <w:rFonts w:eastAsia="Helvetica Neue" w:cs="Helvetica"/>
          <w:color w:val="0D0D0D" w:themeColor="text1" w:themeTint="F2"/>
          <w:sz w:val="22"/>
          <w:szCs w:val="22"/>
          <w:u w:val="none"/>
          <w:shd w:val="clear" w:color="auto" w:fill="FFFFFF"/>
          <w:lang w:eastAsia="zh-CN"/>
        </w:rPr>
        <w:t>knowledge'for</w:t>
      </w:r>
      <w:proofErr w:type="spellEnd"/>
      <w:r>
        <w:rPr>
          <w:rStyle w:val="Hyperlink"/>
          <w:rFonts w:eastAsia="Helvetica Neue" w:cs="Helvetica"/>
          <w:color w:val="0D0D0D" w:themeColor="text1" w:themeTint="F2"/>
          <w:sz w:val="22"/>
          <w:szCs w:val="22"/>
          <w:u w:val="none"/>
          <w:shd w:val="clear" w:color="auto" w:fill="FFFFFF"/>
          <w:lang w:eastAsia="zh-CN"/>
        </w:rPr>
        <w:t xml:space="preserve"> sustainable development. </w:t>
      </w:r>
      <w:r>
        <w:rPr>
          <w:rStyle w:val="Hyperlink"/>
          <w:rFonts w:eastAsia="Helvetica Neue" w:cs="Helvetica"/>
          <w:i/>
          <w:iCs/>
          <w:color w:val="0D0D0D" w:themeColor="text1" w:themeTint="F2"/>
          <w:sz w:val="22"/>
          <w:szCs w:val="22"/>
          <w:u w:val="none"/>
          <w:shd w:val="clear" w:color="auto" w:fill="FFFFFF"/>
          <w:lang w:eastAsia="zh-CN"/>
        </w:rPr>
        <w:t>International Journal of Ethnoscience and Technology in Education</w:t>
      </w:r>
      <w:r>
        <w:rPr>
          <w:rStyle w:val="Hyperlink"/>
          <w:rFonts w:eastAsia="Helvetica Neue" w:cs="Helvetica"/>
          <w:color w:val="0D0D0D" w:themeColor="text1" w:themeTint="F2"/>
          <w:sz w:val="22"/>
          <w:szCs w:val="22"/>
          <w:u w:val="none"/>
          <w:shd w:val="clear" w:color="auto" w:fill="FFFFFF"/>
          <w:lang w:eastAsia="zh-CN"/>
        </w:rPr>
        <w:t xml:space="preserve">, 1(1), 28-41.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oi.org/10.33394/ijete.v1i1.10880</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Ferreira, D. M., </w:t>
      </w:r>
      <w:proofErr w:type="spellStart"/>
      <w:r>
        <w:rPr>
          <w:rStyle w:val="Hyperlink"/>
          <w:rFonts w:eastAsia="Helvetica Neue" w:cs="Helvetica"/>
          <w:color w:val="0D0D0D" w:themeColor="text1" w:themeTint="F2"/>
          <w:sz w:val="22"/>
          <w:szCs w:val="22"/>
          <w:u w:val="none"/>
          <w:shd w:val="clear" w:color="auto" w:fill="FFFFFF"/>
          <w:lang w:eastAsia="zh-CN"/>
        </w:rPr>
        <w:t>Sentanin</w:t>
      </w:r>
      <w:proofErr w:type="spellEnd"/>
      <w:r>
        <w:rPr>
          <w:rStyle w:val="Hyperlink"/>
          <w:rFonts w:eastAsia="Helvetica Neue" w:cs="Helvetica"/>
          <w:color w:val="0D0D0D" w:themeColor="text1" w:themeTint="F2"/>
          <w:sz w:val="22"/>
          <w:szCs w:val="22"/>
          <w:u w:val="none"/>
          <w:shd w:val="clear" w:color="auto" w:fill="FFFFFF"/>
          <w:lang w:eastAsia="zh-CN"/>
        </w:rPr>
        <w:t xml:space="preserve">, F. C., Parra, K. N., </w:t>
      </w:r>
      <w:proofErr w:type="spellStart"/>
      <w:r>
        <w:rPr>
          <w:rStyle w:val="Hyperlink"/>
          <w:rFonts w:eastAsia="Helvetica Neue" w:cs="Helvetica"/>
          <w:color w:val="0D0D0D" w:themeColor="text1" w:themeTint="F2"/>
          <w:sz w:val="22"/>
          <w:szCs w:val="22"/>
          <w:u w:val="none"/>
          <w:shd w:val="clear" w:color="auto" w:fill="FFFFFF"/>
          <w:lang w:eastAsia="zh-CN"/>
        </w:rPr>
        <w:t>Negrao</w:t>
      </w:r>
      <w:proofErr w:type="spellEnd"/>
      <w:r>
        <w:rPr>
          <w:rStyle w:val="Hyperlink"/>
          <w:rFonts w:eastAsia="Helvetica Neue" w:cs="Helvetica"/>
          <w:color w:val="0D0D0D" w:themeColor="text1" w:themeTint="F2"/>
          <w:sz w:val="22"/>
          <w:szCs w:val="22"/>
          <w:u w:val="none"/>
          <w:shd w:val="clear" w:color="auto" w:fill="FFFFFF"/>
          <w:lang w:eastAsia="zh-CN"/>
        </w:rPr>
        <w:t xml:space="preserve"> </w:t>
      </w:r>
      <w:proofErr w:type="spellStart"/>
      <w:r>
        <w:rPr>
          <w:rStyle w:val="Hyperlink"/>
          <w:rFonts w:eastAsia="Helvetica Neue" w:cs="Helvetica"/>
          <w:color w:val="0D0D0D" w:themeColor="text1" w:themeTint="F2"/>
          <w:sz w:val="22"/>
          <w:szCs w:val="22"/>
          <w:u w:val="none"/>
          <w:shd w:val="clear" w:color="auto" w:fill="FFFFFF"/>
          <w:lang w:eastAsia="zh-CN"/>
        </w:rPr>
        <w:t>Bonini</w:t>
      </w:r>
      <w:proofErr w:type="spellEnd"/>
      <w:r>
        <w:rPr>
          <w:rStyle w:val="Hyperlink"/>
          <w:rFonts w:eastAsia="Helvetica Neue" w:cs="Helvetica"/>
          <w:color w:val="0D0D0D" w:themeColor="text1" w:themeTint="F2"/>
          <w:sz w:val="22"/>
          <w:szCs w:val="22"/>
          <w:u w:val="none"/>
          <w:shd w:val="clear" w:color="auto" w:fill="FFFFFF"/>
          <w:lang w:eastAsia="zh-CN"/>
        </w:rPr>
        <w:t xml:space="preserve">, V. M., de Castro, M., &amp; </w:t>
      </w:r>
      <w:proofErr w:type="spellStart"/>
      <w:r>
        <w:rPr>
          <w:rStyle w:val="Hyperlink"/>
          <w:rFonts w:eastAsia="Helvetica Neue" w:cs="Helvetica"/>
          <w:color w:val="0D0D0D" w:themeColor="text1" w:themeTint="F2"/>
          <w:sz w:val="22"/>
          <w:szCs w:val="22"/>
          <w:u w:val="none"/>
          <w:shd w:val="clear" w:color="auto" w:fill="FFFFFF"/>
          <w:lang w:eastAsia="zh-CN"/>
        </w:rPr>
        <w:t>Kasseboehmer</w:t>
      </w:r>
      <w:proofErr w:type="spellEnd"/>
      <w:r>
        <w:rPr>
          <w:rStyle w:val="Hyperlink"/>
          <w:rFonts w:eastAsia="Helvetica Neue" w:cs="Helvetica"/>
          <w:color w:val="0D0D0D" w:themeColor="text1" w:themeTint="F2"/>
          <w:sz w:val="22"/>
          <w:szCs w:val="22"/>
          <w:u w:val="none"/>
          <w:shd w:val="clear" w:color="auto" w:fill="FFFFFF"/>
          <w:lang w:eastAsia="zh-CN"/>
        </w:rPr>
        <w:t xml:space="preserve">, A. C. (2021). Implementation of inquiry-based science in the classroom and its repercussion on the motivation to learn chemistry. </w:t>
      </w:r>
      <w:r>
        <w:rPr>
          <w:rStyle w:val="Hyperlink"/>
          <w:rFonts w:eastAsia="Helvetica Neue" w:cs="Helvetica"/>
          <w:i/>
          <w:iCs/>
          <w:color w:val="0D0D0D" w:themeColor="text1" w:themeTint="F2"/>
          <w:sz w:val="22"/>
          <w:szCs w:val="22"/>
          <w:u w:val="none"/>
          <w:shd w:val="clear" w:color="auto" w:fill="FFFFFF"/>
          <w:lang w:eastAsia="zh-CN"/>
        </w:rPr>
        <w:t>Journal of Chemical Education,</w:t>
      </w:r>
      <w:r>
        <w:rPr>
          <w:rStyle w:val="Hyperlink"/>
          <w:rFonts w:eastAsia="Helvetica Neue" w:cs="Helvetica"/>
          <w:color w:val="0D0D0D" w:themeColor="text1" w:themeTint="F2"/>
          <w:sz w:val="22"/>
          <w:szCs w:val="22"/>
          <w:u w:val="none"/>
          <w:shd w:val="clear" w:color="auto" w:fill="FFFFFF"/>
          <w:lang w:eastAsia="zh-CN"/>
        </w:rPr>
        <w:t xml:space="preserve"> 99(2), 578-591.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oi.org/10.1021/acs.jchemed.1c00287</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García Franco, A., Ferrara Reyes, L., &amp; Gómez Galindo, A. A. (2022). Culturally relevant science education and critical thinking in indigenous people: Bridging the gap between community and school science. In Critical thinking in biology and environmental education: Facing challenges in a post-truth world (pp. 55-72). Cham: Springer International Publishing.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oi.org/10.1007/978-3-030-92006-7_4</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Gillison</w:t>
      </w:r>
      <w:proofErr w:type="spellEnd"/>
      <w:r>
        <w:rPr>
          <w:rFonts w:eastAsia="Candara" w:cs="Helvetica"/>
          <w:sz w:val="22"/>
          <w:szCs w:val="22"/>
          <w:lang w:eastAsia="zh-CN"/>
        </w:rPr>
        <w:t xml:space="preserve">, F. B., Rouse, P., Standage, M., </w:t>
      </w:r>
      <w:proofErr w:type="spellStart"/>
      <w:r>
        <w:rPr>
          <w:rFonts w:eastAsia="Candara" w:cs="Helvetica"/>
          <w:sz w:val="22"/>
          <w:szCs w:val="22"/>
          <w:lang w:eastAsia="zh-CN"/>
        </w:rPr>
        <w:t>Sebire</w:t>
      </w:r>
      <w:proofErr w:type="spellEnd"/>
      <w:r>
        <w:rPr>
          <w:rFonts w:eastAsia="Candara" w:cs="Helvetica"/>
          <w:sz w:val="22"/>
          <w:szCs w:val="22"/>
          <w:lang w:eastAsia="zh-CN"/>
        </w:rPr>
        <w:t xml:space="preserve">, S. J., &amp; Ryan, R. M. (2019). A meta-analysis of techniques to promote motivation for health </w:t>
      </w:r>
      <w:proofErr w:type="spellStart"/>
      <w:r>
        <w:rPr>
          <w:rFonts w:eastAsia="Candara" w:cs="Helvetica"/>
          <w:sz w:val="22"/>
          <w:szCs w:val="22"/>
          <w:lang w:eastAsia="zh-CN"/>
        </w:rPr>
        <w:t>behaviour</w:t>
      </w:r>
      <w:proofErr w:type="spellEnd"/>
      <w:r>
        <w:rPr>
          <w:rFonts w:eastAsia="Candara" w:cs="Helvetica"/>
          <w:sz w:val="22"/>
          <w:szCs w:val="22"/>
          <w:lang w:eastAsia="zh-CN"/>
        </w:rPr>
        <w:t xml:space="preserve"> change from a self-determination theory perspective. </w:t>
      </w:r>
      <w:r>
        <w:rPr>
          <w:rFonts w:eastAsia="Candara" w:cs="Helvetica"/>
          <w:i/>
          <w:iCs/>
          <w:sz w:val="22"/>
          <w:szCs w:val="22"/>
          <w:lang w:eastAsia="zh-CN"/>
        </w:rPr>
        <w:t>Health psychology review</w:t>
      </w:r>
      <w:r>
        <w:rPr>
          <w:rFonts w:eastAsia="Candara" w:cs="Helvetica"/>
          <w:sz w:val="22"/>
          <w:szCs w:val="22"/>
          <w:lang w:eastAsia="zh-CN"/>
        </w:rPr>
        <w:t xml:space="preserve">, 13(1), 110-130.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oi.org/10.1080/17437199.2018.1534071</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Golzar</w:t>
      </w:r>
      <w:proofErr w:type="spellEnd"/>
      <w:r>
        <w:rPr>
          <w:rFonts w:eastAsia="Candara" w:cs="Helvetica"/>
          <w:sz w:val="22"/>
          <w:szCs w:val="22"/>
          <w:lang w:eastAsia="zh-CN"/>
        </w:rPr>
        <w:t>, J., Noor, S., &amp; Tajik, O. (2022). Convenience sampling.</w:t>
      </w:r>
      <w:r>
        <w:rPr>
          <w:rFonts w:eastAsia="Candara" w:cs="Helvetica"/>
          <w:i/>
          <w:iCs/>
          <w:sz w:val="22"/>
          <w:szCs w:val="22"/>
          <w:lang w:eastAsia="zh-CN"/>
        </w:rPr>
        <w:t xml:space="preserve"> International Journal of Education &amp; Language Studies</w:t>
      </w:r>
      <w:r>
        <w:rPr>
          <w:rFonts w:eastAsia="Candara" w:cs="Helvetica"/>
          <w:sz w:val="22"/>
          <w:szCs w:val="22"/>
          <w:lang w:eastAsia="zh-CN"/>
        </w:rPr>
        <w:t xml:space="preserve">, 1(2), 72-77.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oi.org/10.22034/ijels.2022.162981</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Gordon, A. (2022). Increasing the Ethnic and Cultural Diversity of Virtual Classrooms.</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Kelley, I. (2024). </w:t>
      </w:r>
      <w:r>
        <w:rPr>
          <w:rFonts w:eastAsia="Candara" w:cs="Helvetica"/>
          <w:i/>
          <w:iCs/>
          <w:sz w:val="22"/>
          <w:szCs w:val="22"/>
          <w:lang w:eastAsia="zh-CN"/>
        </w:rPr>
        <w:t xml:space="preserve">Integration of </w:t>
      </w:r>
      <w:proofErr w:type="spellStart"/>
      <w:r>
        <w:rPr>
          <w:rFonts w:eastAsia="Candara" w:cs="Helvetica"/>
          <w:i/>
          <w:iCs/>
          <w:sz w:val="22"/>
          <w:szCs w:val="22"/>
          <w:lang w:eastAsia="zh-CN"/>
        </w:rPr>
        <w:t>Ethnochemistry</w:t>
      </w:r>
      <w:proofErr w:type="spellEnd"/>
      <w:r>
        <w:rPr>
          <w:rFonts w:eastAsia="Candara" w:cs="Helvetica"/>
          <w:i/>
          <w:iCs/>
          <w:sz w:val="22"/>
          <w:szCs w:val="22"/>
          <w:lang w:eastAsia="zh-CN"/>
        </w:rPr>
        <w:t xml:space="preserve"> in a General Chemistry Cours</w:t>
      </w:r>
      <w:r>
        <w:rPr>
          <w:rFonts w:eastAsia="Candara" w:cs="Helvetica"/>
          <w:sz w:val="22"/>
          <w:szCs w:val="22"/>
          <w:lang w:eastAsia="zh-CN"/>
        </w:rPr>
        <w:t>e (Doctoral dissertation, Purdue University Graduate School).</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Lee, S., &amp; Kim, J. (2024). The role of instructional design in creating a supportive learning environment. Educational Psychology Review, 36(1), 78-90.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oi.org/10.1007/s10648-023-09721-y</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Liu, P. (2024). Improving student motivation and perception of chemistry’s relevance by learning about semiconductors in a general chemistry course for engineering students. </w:t>
      </w:r>
      <w:r>
        <w:rPr>
          <w:rFonts w:eastAsia="Candara" w:cs="Helvetica"/>
          <w:i/>
          <w:iCs/>
          <w:sz w:val="22"/>
          <w:szCs w:val="22"/>
          <w:lang w:eastAsia="zh-CN"/>
        </w:rPr>
        <w:t>Journal of Chemical Education</w:t>
      </w:r>
      <w:r>
        <w:rPr>
          <w:rFonts w:eastAsia="Candara" w:cs="Helvetica"/>
          <w:sz w:val="22"/>
          <w:szCs w:val="22"/>
          <w:lang w:eastAsia="zh-CN"/>
        </w:rPr>
        <w:t xml:space="preserve">, 101(2), 411-419.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oi.org/10.1021/acs.jchemed.3c00721</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Liu, D., Jiang, Y., Wu, F., Yang, X., &amp; Huang, R. (2022). Distinct roles of perceived teacher and peer relationships in adolescent students’ academic motivation and outcomes: Father absence as a moderator. </w:t>
      </w:r>
      <w:r>
        <w:rPr>
          <w:rFonts w:eastAsia="Candara" w:cs="Helvetica"/>
          <w:i/>
          <w:iCs/>
          <w:sz w:val="22"/>
          <w:szCs w:val="22"/>
          <w:lang w:eastAsia="zh-CN"/>
        </w:rPr>
        <w:t>Journal of Pacific Rim Psychology,</w:t>
      </w:r>
      <w:r>
        <w:rPr>
          <w:rFonts w:eastAsia="Candara" w:cs="Helvetica"/>
          <w:sz w:val="22"/>
          <w:szCs w:val="22"/>
          <w:lang w:eastAsia="zh-CN"/>
        </w:rPr>
        <w:t xml:space="preserve"> 16, 18344909221146236.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oi.org/10.1177/18344909221146236</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lastRenderedPageBreak/>
        <w:t>Mahfudh</w:t>
      </w:r>
      <w:proofErr w:type="spellEnd"/>
      <w:r>
        <w:rPr>
          <w:rFonts w:eastAsia="Candara" w:cs="Helvetica"/>
          <w:sz w:val="22"/>
          <w:szCs w:val="22"/>
          <w:lang w:eastAsia="zh-CN"/>
        </w:rPr>
        <w:t xml:space="preserve">, N., </w:t>
      </w:r>
      <w:proofErr w:type="spellStart"/>
      <w:r>
        <w:rPr>
          <w:rFonts w:eastAsia="Candara" w:cs="Helvetica"/>
          <w:sz w:val="22"/>
          <w:szCs w:val="22"/>
          <w:lang w:eastAsia="zh-CN"/>
        </w:rPr>
        <w:t>Utami</w:t>
      </w:r>
      <w:proofErr w:type="spellEnd"/>
      <w:r>
        <w:rPr>
          <w:rFonts w:eastAsia="Candara" w:cs="Helvetica"/>
          <w:sz w:val="22"/>
          <w:szCs w:val="22"/>
          <w:lang w:eastAsia="zh-CN"/>
        </w:rPr>
        <w:t xml:space="preserve">, D., </w:t>
      </w:r>
      <w:proofErr w:type="spellStart"/>
      <w:r>
        <w:rPr>
          <w:rFonts w:eastAsia="Candara" w:cs="Helvetica"/>
          <w:sz w:val="22"/>
          <w:szCs w:val="22"/>
          <w:lang w:eastAsia="zh-CN"/>
        </w:rPr>
        <w:t>Nashihah</w:t>
      </w:r>
      <w:proofErr w:type="spellEnd"/>
      <w:r>
        <w:rPr>
          <w:rFonts w:eastAsia="Candara" w:cs="Helvetica"/>
          <w:sz w:val="22"/>
          <w:szCs w:val="22"/>
          <w:lang w:eastAsia="zh-CN"/>
        </w:rPr>
        <w:t xml:space="preserve">, S., </w:t>
      </w:r>
      <w:proofErr w:type="spellStart"/>
      <w:r>
        <w:rPr>
          <w:rFonts w:eastAsia="Candara" w:cs="Helvetica"/>
          <w:sz w:val="22"/>
          <w:szCs w:val="22"/>
          <w:lang w:eastAsia="zh-CN"/>
        </w:rPr>
        <w:t>Ahda</w:t>
      </w:r>
      <w:proofErr w:type="spellEnd"/>
      <w:r>
        <w:rPr>
          <w:rFonts w:eastAsia="Candara" w:cs="Helvetica"/>
          <w:sz w:val="22"/>
          <w:szCs w:val="22"/>
          <w:lang w:eastAsia="zh-CN"/>
        </w:rPr>
        <w:t xml:space="preserve">, M., </w:t>
      </w:r>
      <w:proofErr w:type="spellStart"/>
      <w:r>
        <w:rPr>
          <w:rFonts w:eastAsia="Candara" w:cs="Helvetica"/>
          <w:sz w:val="22"/>
          <w:szCs w:val="22"/>
          <w:lang w:eastAsia="zh-CN"/>
        </w:rPr>
        <w:t>Andika</w:t>
      </w:r>
      <w:proofErr w:type="spellEnd"/>
      <w:r>
        <w:rPr>
          <w:rFonts w:eastAsia="Candara" w:cs="Helvetica"/>
          <w:sz w:val="22"/>
          <w:szCs w:val="22"/>
          <w:lang w:eastAsia="zh-CN"/>
        </w:rPr>
        <w:t xml:space="preserve">, A., &amp; </w:t>
      </w:r>
      <w:proofErr w:type="spellStart"/>
      <w:r>
        <w:rPr>
          <w:rFonts w:eastAsia="Candara" w:cs="Helvetica"/>
          <w:sz w:val="22"/>
          <w:szCs w:val="22"/>
          <w:lang w:eastAsia="zh-CN"/>
        </w:rPr>
        <w:t>Sabilla</w:t>
      </w:r>
      <w:proofErr w:type="spellEnd"/>
      <w:r>
        <w:rPr>
          <w:rFonts w:eastAsia="Candara" w:cs="Helvetica"/>
          <w:sz w:val="22"/>
          <w:szCs w:val="22"/>
          <w:lang w:eastAsia="zh-CN"/>
        </w:rPr>
        <w:t xml:space="preserve">, G. A. (2024). Variability and pharmacological potential of </w:t>
      </w:r>
      <w:proofErr w:type="spellStart"/>
      <w:r>
        <w:rPr>
          <w:rFonts w:eastAsia="Candara" w:cs="Helvetica"/>
          <w:sz w:val="22"/>
          <w:szCs w:val="22"/>
          <w:lang w:eastAsia="zh-CN"/>
        </w:rPr>
        <w:t>bajakah</w:t>
      </w:r>
      <w:proofErr w:type="spellEnd"/>
      <w:r>
        <w:rPr>
          <w:rFonts w:eastAsia="Candara" w:cs="Helvetica"/>
          <w:sz w:val="22"/>
          <w:szCs w:val="22"/>
          <w:lang w:eastAsia="zh-CN"/>
        </w:rPr>
        <w:t xml:space="preserve"> (</w:t>
      </w:r>
      <w:proofErr w:type="spellStart"/>
      <w:r>
        <w:rPr>
          <w:rFonts w:eastAsia="Candara" w:cs="Helvetica"/>
          <w:sz w:val="22"/>
          <w:szCs w:val="22"/>
          <w:lang w:eastAsia="zh-CN"/>
        </w:rPr>
        <w:t>Spatholobus</w:t>
      </w:r>
      <w:proofErr w:type="spellEnd"/>
      <w:r>
        <w:rPr>
          <w:rFonts w:eastAsia="Candara" w:cs="Helvetica"/>
          <w:sz w:val="22"/>
          <w:szCs w:val="22"/>
          <w:lang w:eastAsia="zh-CN"/>
        </w:rPr>
        <w:t xml:space="preserve"> sp.) as an indigenous medicinal plant: a review.</w:t>
      </w:r>
      <w:r>
        <w:rPr>
          <w:rFonts w:eastAsia="Candara" w:cs="Helvetica"/>
          <w:i/>
          <w:iCs/>
          <w:sz w:val="22"/>
          <w:szCs w:val="22"/>
          <w:lang w:eastAsia="zh-CN"/>
        </w:rPr>
        <w:t xml:space="preserve"> International Journal </w:t>
      </w:r>
      <w:proofErr w:type="gramStart"/>
      <w:r>
        <w:rPr>
          <w:rFonts w:eastAsia="Candara" w:cs="Helvetica"/>
          <w:i/>
          <w:iCs/>
          <w:sz w:val="22"/>
          <w:szCs w:val="22"/>
          <w:lang w:eastAsia="zh-CN"/>
        </w:rPr>
        <w:t>Of</w:t>
      </w:r>
      <w:proofErr w:type="gramEnd"/>
      <w:r>
        <w:rPr>
          <w:rFonts w:eastAsia="Candara" w:cs="Helvetica"/>
          <w:i/>
          <w:iCs/>
          <w:sz w:val="22"/>
          <w:szCs w:val="22"/>
          <w:lang w:eastAsia="zh-CN"/>
        </w:rPr>
        <w:t xml:space="preserve"> Public Health</w:t>
      </w:r>
      <w:r>
        <w:rPr>
          <w:rFonts w:eastAsia="Candara" w:cs="Helvetica"/>
          <w:sz w:val="22"/>
          <w:szCs w:val="22"/>
          <w:lang w:eastAsia="zh-CN"/>
        </w:rPr>
        <w:t xml:space="preserve">, 13(3), 1470-1479.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oi.org/10.11591/ijphs.v13i3.23791</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Mansour, N. (2025). Exploring the impact of social, cultural, and science factors on students’ STEM career preferences. </w:t>
      </w:r>
      <w:r>
        <w:rPr>
          <w:rFonts w:eastAsia="Candara" w:cs="Helvetica"/>
          <w:i/>
          <w:iCs/>
          <w:sz w:val="22"/>
          <w:szCs w:val="22"/>
          <w:lang w:eastAsia="zh-CN"/>
        </w:rPr>
        <w:t>Research in Science Education</w:t>
      </w:r>
      <w:r>
        <w:rPr>
          <w:rFonts w:eastAsia="Candara" w:cs="Helvetica"/>
          <w:sz w:val="22"/>
          <w:szCs w:val="22"/>
          <w:lang w:eastAsia="zh-CN"/>
        </w:rPr>
        <w:t>, 55(3), 641-668.</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Martin, A. J. (2023). Integrating motivation and instruction: Towards a unified approach in educational psychology. </w:t>
      </w:r>
      <w:r>
        <w:rPr>
          <w:rFonts w:eastAsia="Candara" w:cs="Helvetica"/>
          <w:i/>
          <w:iCs/>
          <w:sz w:val="22"/>
          <w:szCs w:val="22"/>
          <w:lang w:eastAsia="zh-CN"/>
        </w:rPr>
        <w:t>Educational Psychology Review</w:t>
      </w:r>
      <w:r>
        <w:rPr>
          <w:rFonts w:eastAsia="Candara" w:cs="Helvetica"/>
          <w:sz w:val="22"/>
          <w:szCs w:val="22"/>
          <w:lang w:eastAsia="zh-CN"/>
        </w:rPr>
        <w:t xml:space="preserve">, 35(2), 54.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oi.org/10.1007/s11165-024-10210-4</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Martin, S. N. (2019). Science education in Indonesia: past, present, and future. </w:t>
      </w:r>
      <w:r>
        <w:rPr>
          <w:rFonts w:eastAsia="Candara" w:cs="Helvetica"/>
          <w:i/>
          <w:iCs/>
          <w:sz w:val="22"/>
          <w:szCs w:val="22"/>
          <w:lang w:eastAsia="zh-CN"/>
        </w:rPr>
        <w:t>Asia-Pacific Science Education,</w:t>
      </w:r>
      <w:r>
        <w:rPr>
          <w:rFonts w:eastAsia="Candara" w:cs="Helvetica"/>
          <w:sz w:val="22"/>
          <w:szCs w:val="22"/>
          <w:lang w:eastAsia="zh-CN"/>
        </w:rPr>
        <w:t xml:space="preserve"> 5(1), 1-29.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oi.org/10.1186/s41029-019-0032-0</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Mashami</w:t>
      </w:r>
      <w:proofErr w:type="spellEnd"/>
      <w:r>
        <w:rPr>
          <w:rFonts w:eastAsia="Candara" w:cs="Helvetica"/>
          <w:sz w:val="22"/>
          <w:szCs w:val="22"/>
          <w:lang w:eastAsia="zh-CN"/>
        </w:rPr>
        <w:t>, R. A. (2025). Green chemistry and cultural wisdom: A pathway to improving scientific literacy among high school students.</w:t>
      </w:r>
      <w:r>
        <w:rPr>
          <w:rFonts w:eastAsia="Candara" w:cs="Helvetica"/>
          <w:i/>
          <w:iCs/>
          <w:sz w:val="22"/>
          <w:szCs w:val="22"/>
          <w:lang w:eastAsia="zh-CN"/>
        </w:rPr>
        <w:t xml:space="preserve"> Social Sciences &amp; Humanities Open</w:t>
      </w:r>
      <w:r>
        <w:rPr>
          <w:rFonts w:eastAsia="Candara" w:cs="Helvetica"/>
          <w:sz w:val="22"/>
          <w:szCs w:val="22"/>
          <w:lang w:eastAsia="zh-CN"/>
        </w:rPr>
        <w:t xml:space="preserve">, 11, 101653.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oi.org/10.1016/j.ssaho.2025.101653</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Osei, P. C., &amp; Bjorklund, D. F. (2024). Motivating the learning process: Integrating self-determination theory into a dynamical systems framework. </w:t>
      </w:r>
      <w:r>
        <w:rPr>
          <w:rFonts w:eastAsia="Candara" w:cs="Helvetica"/>
          <w:i/>
          <w:iCs/>
          <w:sz w:val="22"/>
          <w:szCs w:val="22"/>
          <w:lang w:eastAsia="zh-CN"/>
        </w:rPr>
        <w:t>Educational Psychology Review,</w:t>
      </w:r>
      <w:r>
        <w:rPr>
          <w:rFonts w:eastAsia="Candara" w:cs="Helvetica"/>
          <w:sz w:val="22"/>
          <w:szCs w:val="22"/>
          <w:lang w:eastAsia="zh-CN"/>
        </w:rPr>
        <w:t xml:space="preserve"> 36(3), 89.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oi.org/10.1007/s10648-024-09934-6</w:t>
      </w:r>
    </w:p>
    <w:p w:rsidR="000B6B86" w:rsidRDefault="00F50A49">
      <w:pPr>
        <w:ind w:left="360" w:right="141" w:hanging="360"/>
        <w:jc w:val="both"/>
        <w:rPr>
          <w:rStyle w:val="Hyperlink"/>
          <w:rFonts w:eastAsia="Helvetica Neue" w:cs="Helvetica"/>
          <w:color w:val="4C8DEA"/>
          <w:sz w:val="22"/>
          <w:szCs w:val="22"/>
          <w:u w:val="none"/>
          <w:shd w:val="clear" w:color="auto" w:fill="FFFFFF"/>
          <w:lang w:eastAsia="zh-CN"/>
        </w:rPr>
      </w:pPr>
      <w:proofErr w:type="spellStart"/>
      <w:r>
        <w:rPr>
          <w:rFonts w:eastAsia="Candara" w:cs="Helvetica"/>
          <w:sz w:val="22"/>
          <w:szCs w:val="22"/>
          <w:lang w:eastAsia="zh-CN"/>
        </w:rPr>
        <w:t>Pahutar</w:t>
      </w:r>
      <w:proofErr w:type="spellEnd"/>
      <w:r>
        <w:rPr>
          <w:rFonts w:eastAsia="Candara" w:cs="Helvetica"/>
          <w:sz w:val="22"/>
          <w:szCs w:val="22"/>
          <w:lang w:eastAsia="zh-CN"/>
        </w:rPr>
        <w:t xml:space="preserve">, A. A., </w:t>
      </w:r>
      <w:proofErr w:type="spellStart"/>
      <w:r>
        <w:rPr>
          <w:rFonts w:eastAsia="Candara" w:cs="Helvetica"/>
          <w:sz w:val="22"/>
          <w:szCs w:val="22"/>
          <w:lang w:eastAsia="zh-CN"/>
        </w:rPr>
        <w:t>Lahmi</w:t>
      </w:r>
      <w:proofErr w:type="spellEnd"/>
      <w:r>
        <w:rPr>
          <w:rFonts w:eastAsia="Candara" w:cs="Helvetica"/>
          <w:sz w:val="22"/>
          <w:szCs w:val="22"/>
          <w:lang w:eastAsia="zh-CN"/>
        </w:rPr>
        <w:t xml:space="preserve">, A., Hakim, R., &amp; </w:t>
      </w:r>
      <w:proofErr w:type="spellStart"/>
      <w:r>
        <w:rPr>
          <w:rFonts w:eastAsia="Candara" w:cs="Helvetica"/>
          <w:sz w:val="22"/>
          <w:szCs w:val="22"/>
          <w:lang w:eastAsia="zh-CN"/>
        </w:rPr>
        <w:t>Dahlan</w:t>
      </w:r>
      <w:proofErr w:type="spellEnd"/>
      <w:r>
        <w:rPr>
          <w:rFonts w:eastAsia="Candara" w:cs="Helvetica"/>
          <w:sz w:val="22"/>
          <w:szCs w:val="22"/>
          <w:lang w:eastAsia="zh-CN"/>
        </w:rPr>
        <w:t xml:space="preserve">, D. (2024). Emotions </w:t>
      </w:r>
      <w:proofErr w:type="gramStart"/>
      <w:r>
        <w:rPr>
          <w:rFonts w:eastAsia="Candara" w:cs="Helvetica"/>
          <w:sz w:val="22"/>
          <w:szCs w:val="22"/>
          <w:lang w:eastAsia="zh-CN"/>
        </w:rPr>
        <w:t>And</w:t>
      </w:r>
      <w:proofErr w:type="gramEnd"/>
      <w:r>
        <w:rPr>
          <w:rFonts w:eastAsia="Candara" w:cs="Helvetica"/>
          <w:sz w:val="22"/>
          <w:szCs w:val="22"/>
          <w:lang w:eastAsia="zh-CN"/>
        </w:rPr>
        <w:t xml:space="preserve"> Brain Processes In The Learning Process.</w:t>
      </w:r>
      <w:r>
        <w:rPr>
          <w:rFonts w:eastAsia="Candara" w:cs="Helvetica"/>
          <w:i/>
          <w:iCs/>
          <w:sz w:val="22"/>
          <w:szCs w:val="22"/>
          <w:lang w:eastAsia="zh-CN"/>
        </w:rPr>
        <w:t xml:space="preserve"> Edu Global: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Pendidikan Islam</w:t>
      </w:r>
      <w:r>
        <w:rPr>
          <w:rFonts w:eastAsia="Candara" w:cs="Helvetica"/>
          <w:sz w:val="22"/>
          <w:szCs w:val="22"/>
          <w:lang w:eastAsia="zh-CN"/>
        </w:rPr>
        <w:t xml:space="preserve">, 5(2), 31-38.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oi.org/10.56874/eduglobal.v5i2.2142</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Purba</w:t>
      </w:r>
      <w:proofErr w:type="spellEnd"/>
      <w:r>
        <w:rPr>
          <w:rFonts w:eastAsia="Candara" w:cs="Helvetica"/>
          <w:sz w:val="22"/>
          <w:szCs w:val="22"/>
          <w:lang w:eastAsia="zh-CN"/>
        </w:rPr>
        <w:t xml:space="preserve">, L. S. L., </w:t>
      </w:r>
      <w:proofErr w:type="spellStart"/>
      <w:r>
        <w:rPr>
          <w:rFonts w:eastAsia="Candara" w:cs="Helvetica"/>
          <w:sz w:val="22"/>
          <w:szCs w:val="22"/>
          <w:lang w:eastAsia="zh-CN"/>
        </w:rPr>
        <w:t>Dasna</w:t>
      </w:r>
      <w:proofErr w:type="spellEnd"/>
      <w:r>
        <w:rPr>
          <w:rFonts w:eastAsia="Candara" w:cs="Helvetica"/>
          <w:sz w:val="22"/>
          <w:szCs w:val="22"/>
          <w:lang w:eastAsia="zh-CN"/>
        </w:rPr>
        <w:t xml:space="preserve">, I. W., &amp; </w:t>
      </w:r>
      <w:proofErr w:type="spellStart"/>
      <w:r>
        <w:rPr>
          <w:rFonts w:eastAsia="Candara" w:cs="Helvetica"/>
          <w:sz w:val="22"/>
          <w:szCs w:val="22"/>
          <w:lang w:eastAsia="zh-CN"/>
        </w:rPr>
        <w:t>Habiddin</w:t>
      </w:r>
      <w:proofErr w:type="spellEnd"/>
      <w:r>
        <w:rPr>
          <w:rFonts w:eastAsia="Candara" w:cs="Helvetica"/>
          <w:sz w:val="22"/>
          <w:szCs w:val="22"/>
          <w:lang w:eastAsia="zh-CN"/>
        </w:rPr>
        <w:t>, H. (2022). Creativity in Project Based Learning: A Systematic Literature Study (2015-2021).</w:t>
      </w:r>
      <w:r>
        <w:rPr>
          <w:rFonts w:eastAsia="Candara" w:cs="Helvetica"/>
          <w:i/>
          <w:iCs/>
          <w:sz w:val="22"/>
          <w:szCs w:val="22"/>
          <w:lang w:eastAsia="zh-CN"/>
        </w:rPr>
        <w:t xml:space="preserve">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Pendidikan MIPA</w:t>
      </w:r>
      <w:r>
        <w:rPr>
          <w:rFonts w:eastAsia="Candara" w:cs="Helvetica"/>
          <w:sz w:val="22"/>
          <w:szCs w:val="22"/>
          <w:lang w:eastAsia="zh-CN"/>
        </w:rPr>
        <w:t xml:space="preserve">, 23(4), 1504-1514.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oi.org/10.23960/</w:t>
      </w:r>
      <w:proofErr w:type="spellStart"/>
      <w:r>
        <w:rPr>
          <w:rStyle w:val="Hyperlink"/>
          <w:rFonts w:eastAsia="Helvetica Neue" w:cs="Helvetica"/>
          <w:color w:val="4C8DEA"/>
          <w:sz w:val="22"/>
          <w:szCs w:val="22"/>
          <w:u w:val="none"/>
          <w:shd w:val="clear" w:color="auto" w:fill="FFFFFF"/>
          <w:lang w:eastAsia="zh-CN"/>
        </w:rPr>
        <w:t>jpmipa</w:t>
      </w:r>
      <w:proofErr w:type="spellEnd"/>
      <w:r>
        <w:rPr>
          <w:rStyle w:val="Hyperlink"/>
          <w:rFonts w:eastAsia="Helvetica Neue" w:cs="Helvetica"/>
          <w:color w:val="4C8DEA"/>
          <w:sz w:val="22"/>
          <w:szCs w:val="22"/>
          <w:u w:val="none"/>
          <w:shd w:val="clear" w:color="auto" w:fill="FFFFFF"/>
          <w:lang w:eastAsia="zh-CN"/>
        </w:rPr>
        <w:t>/v23i4.pp1504-1514</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Purba</w:t>
      </w:r>
      <w:proofErr w:type="spellEnd"/>
      <w:r>
        <w:rPr>
          <w:rFonts w:eastAsia="Candara" w:cs="Helvetica"/>
          <w:sz w:val="22"/>
          <w:szCs w:val="22"/>
          <w:lang w:eastAsia="zh-CN"/>
        </w:rPr>
        <w:t xml:space="preserve">, L. S. L., </w:t>
      </w:r>
      <w:proofErr w:type="spellStart"/>
      <w:r>
        <w:rPr>
          <w:rFonts w:eastAsia="Candara" w:cs="Helvetica"/>
          <w:sz w:val="22"/>
          <w:szCs w:val="22"/>
          <w:lang w:eastAsia="zh-CN"/>
        </w:rPr>
        <w:t>Simanjuntak</w:t>
      </w:r>
      <w:proofErr w:type="spellEnd"/>
      <w:r>
        <w:rPr>
          <w:rFonts w:eastAsia="Candara" w:cs="Helvetica"/>
          <w:sz w:val="22"/>
          <w:szCs w:val="22"/>
          <w:lang w:eastAsia="zh-CN"/>
        </w:rPr>
        <w:t xml:space="preserve">, F. N., </w:t>
      </w:r>
      <w:proofErr w:type="spellStart"/>
      <w:r>
        <w:rPr>
          <w:rFonts w:eastAsia="Candara" w:cs="Helvetica"/>
          <w:sz w:val="22"/>
          <w:szCs w:val="22"/>
          <w:lang w:eastAsia="zh-CN"/>
        </w:rPr>
        <w:t>Sormin</w:t>
      </w:r>
      <w:proofErr w:type="spellEnd"/>
      <w:r>
        <w:rPr>
          <w:rFonts w:eastAsia="Candara" w:cs="Helvetica"/>
          <w:sz w:val="22"/>
          <w:szCs w:val="22"/>
          <w:lang w:eastAsia="zh-CN"/>
        </w:rPr>
        <w:t xml:space="preserve">, E., </w:t>
      </w:r>
      <w:proofErr w:type="spellStart"/>
      <w:r>
        <w:rPr>
          <w:rFonts w:eastAsia="Candara" w:cs="Helvetica"/>
          <w:sz w:val="22"/>
          <w:szCs w:val="22"/>
          <w:lang w:eastAsia="zh-CN"/>
        </w:rPr>
        <w:t>Harefa</w:t>
      </w:r>
      <w:proofErr w:type="spellEnd"/>
      <w:r>
        <w:rPr>
          <w:rFonts w:eastAsia="Candara" w:cs="Helvetica"/>
          <w:sz w:val="22"/>
          <w:szCs w:val="22"/>
          <w:lang w:eastAsia="zh-CN"/>
        </w:rPr>
        <w:t xml:space="preserve">, N., </w:t>
      </w:r>
      <w:proofErr w:type="spellStart"/>
      <w:r>
        <w:rPr>
          <w:rFonts w:eastAsia="Candara" w:cs="Helvetica"/>
          <w:sz w:val="22"/>
          <w:szCs w:val="22"/>
          <w:lang w:eastAsia="zh-CN"/>
        </w:rPr>
        <w:t>Simatupang</w:t>
      </w:r>
      <w:proofErr w:type="spellEnd"/>
      <w:r>
        <w:rPr>
          <w:rFonts w:eastAsia="Candara" w:cs="Helvetica"/>
          <w:sz w:val="22"/>
          <w:szCs w:val="22"/>
          <w:lang w:eastAsia="zh-CN"/>
        </w:rPr>
        <w:t xml:space="preserve">, N. I., </w:t>
      </w:r>
      <w:proofErr w:type="spellStart"/>
      <w:r>
        <w:rPr>
          <w:rFonts w:eastAsia="Candara" w:cs="Helvetica"/>
          <w:sz w:val="22"/>
          <w:szCs w:val="22"/>
          <w:lang w:eastAsia="zh-CN"/>
        </w:rPr>
        <w:t>Sumiyati</w:t>
      </w:r>
      <w:proofErr w:type="spellEnd"/>
      <w:r>
        <w:rPr>
          <w:rFonts w:eastAsia="Candara" w:cs="Helvetica"/>
          <w:sz w:val="22"/>
          <w:szCs w:val="22"/>
          <w:lang w:eastAsia="zh-CN"/>
        </w:rPr>
        <w:t xml:space="preserve">, S., &amp; </w:t>
      </w:r>
      <w:proofErr w:type="spellStart"/>
      <w:r>
        <w:rPr>
          <w:rFonts w:eastAsia="Candara" w:cs="Helvetica"/>
          <w:sz w:val="22"/>
          <w:szCs w:val="22"/>
          <w:lang w:eastAsia="zh-CN"/>
        </w:rPr>
        <w:t>Azzahra</w:t>
      </w:r>
      <w:proofErr w:type="spellEnd"/>
      <w:r>
        <w:rPr>
          <w:rFonts w:eastAsia="Candara" w:cs="Helvetica"/>
          <w:sz w:val="22"/>
          <w:szCs w:val="22"/>
          <w:lang w:eastAsia="zh-CN"/>
        </w:rPr>
        <w:t xml:space="preserve">, S. F. (2022). </w:t>
      </w:r>
      <w:proofErr w:type="spellStart"/>
      <w:r>
        <w:rPr>
          <w:rFonts w:eastAsia="Candara" w:cs="Helvetica"/>
          <w:sz w:val="22"/>
          <w:szCs w:val="22"/>
          <w:lang w:eastAsia="zh-CN"/>
        </w:rPr>
        <w:t>Efektivitas</w:t>
      </w:r>
      <w:proofErr w:type="spellEnd"/>
      <w:r>
        <w:rPr>
          <w:rFonts w:eastAsia="Candara" w:cs="Helvetica"/>
          <w:sz w:val="22"/>
          <w:szCs w:val="22"/>
          <w:lang w:eastAsia="zh-CN"/>
        </w:rPr>
        <w:t xml:space="preserve"> </w:t>
      </w:r>
      <w:proofErr w:type="spellStart"/>
      <w:r>
        <w:rPr>
          <w:rFonts w:eastAsia="Candara" w:cs="Helvetica"/>
          <w:sz w:val="22"/>
          <w:szCs w:val="22"/>
          <w:lang w:eastAsia="zh-CN"/>
        </w:rPr>
        <w:t>Pelatihan</w:t>
      </w:r>
      <w:proofErr w:type="spellEnd"/>
      <w:r>
        <w:rPr>
          <w:rFonts w:eastAsia="Candara" w:cs="Helvetica"/>
          <w:sz w:val="22"/>
          <w:szCs w:val="22"/>
          <w:lang w:eastAsia="zh-CN"/>
        </w:rPr>
        <w:t xml:space="preserve"> </w:t>
      </w:r>
      <w:proofErr w:type="spellStart"/>
      <w:r>
        <w:rPr>
          <w:rFonts w:eastAsia="Candara" w:cs="Helvetica"/>
          <w:sz w:val="22"/>
          <w:szCs w:val="22"/>
          <w:lang w:eastAsia="zh-CN"/>
        </w:rPr>
        <w:t>Pengelolaan</w:t>
      </w:r>
      <w:proofErr w:type="spellEnd"/>
      <w:r>
        <w:rPr>
          <w:rFonts w:eastAsia="Candara" w:cs="Helvetica"/>
          <w:sz w:val="22"/>
          <w:szCs w:val="22"/>
          <w:lang w:eastAsia="zh-CN"/>
        </w:rPr>
        <w:t xml:space="preserve"> </w:t>
      </w:r>
      <w:proofErr w:type="spellStart"/>
      <w:r>
        <w:rPr>
          <w:rFonts w:eastAsia="Candara" w:cs="Helvetica"/>
          <w:sz w:val="22"/>
          <w:szCs w:val="22"/>
          <w:lang w:eastAsia="zh-CN"/>
        </w:rPr>
        <w:t>Laboratorium</w:t>
      </w:r>
      <w:proofErr w:type="spellEnd"/>
      <w:r>
        <w:rPr>
          <w:rFonts w:eastAsia="Candara" w:cs="Helvetica"/>
          <w:sz w:val="22"/>
          <w:szCs w:val="22"/>
          <w:lang w:eastAsia="zh-CN"/>
        </w:rPr>
        <w:t xml:space="preserve"> dan Workshop </w:t>
      </w:r>
      <w:proofErr w:type="spellStart"/>
      <w:r>
        <w:rPr>
          <w:rFonts w:eastAsia="Candara" w:cs="Helvetica"/>
          <w:sz w:val="22"/>
          <w:szCs w:val="22"/>
          <w:lang w:eastAsia="zh-CN"/>
        </w:rPr>
        <w:t>Pembelajaran</w:t>
      </w:r>
      <w:proofErr w:type="spellEnd"/>
      <w:r>
        <w:rPr>
          <w:rFonts w:eastAsia="Candara" w:cs="Helvetica"/>
          <w:sz w:val="22"/>
          <w:szCs w:val="22"/>
          <w:lang w:eastAsia="zh-CN"/>
        </w:rPr>
        <w:t xml:space="preserve"> </w:t>
      </w:r>
      <w:proofErr w:type="spellStart"/>
      <w:r>
        <w:rPr>
          <w:rFonts w:eastAsia="Candara" w:cs="Helvetica"/>
          <w:sz w:val="22"/>
          <w:szCs w:val="22"/>
          <w:lang w:eastAsia="zh-CN"/>
        </w:rPr>
        <w:t>Sains</w:t>
      </w:r>
      <w:proofErr w:type="spellEnd"/>
      <w:r>
        <w:rPr>
          <w:rFonts w:eastAsia="Candara" w:cs="Helvetica"/>
          <w:sz w:val="22"/>
          <w:szCs w:val="22"/>
          <w:lang w:eastAsia="zh-CN"/>
        </w:rPr>
        <w:t xml:space="preserve"> </w:t>
      </w:r>
      <w:proofErr w:type="spellStart"/>
      <w:r>
        <w:rPr>
          <w:rFonts w:eastAsia="Candara" w:cs="Helvetica"/>
          <w:sz w:val="22"/>
          <w:szCs w:val="22"/>
          <w:lang w:eastAsia="zh-CN"/>
        </w:rPr>
        <w:t>untuk</w:t>
      </w:r>
      <w:proofErr w:type="spellEnd"/>
      <w:r>
        <w:rPr>
          <w:rFonts w:eastAsia="Candara" w:cs="Helvetica"/>
          <w:sz w:val="22"/>
          <w:szCs w:val="22"/>
          <w:lang w:eastAsia="zh-CN"/>
        </w:rPr>
        <w:t xml:space="preserve"> SMP </w:t>
      </w:r>
      <w:proofErr w:type="spellStart"/>
      <w:r>
        <w:rPr>
          <w:rFonts w:eastAsia="Candara" w:cs="Helvetica"/>
          <w:sz w:val="22"/>
          <w:szCs w:val="22"/>
          <w:lang w:eastAsia="zh-CN"/>
        </w:rPr>
        <w:t>dengan</w:t>
      </w:r>
      <w:proofErr w:type="spellEnd"/>
      <w:r>
        <w:rPr>
          <w:rFonts w:eastAsia="Candara" w:cs="Helvetica"/>
          <w:sz w:val="22"/>
          <w:szCs w:val="22"/>
          <w:lang w:eastAsia="zh-CN"/>
        </w:rPr>
        <w:t xml:space="preserve"> </w:t>
      </w:r>
      <w:proofErr w:type="spellStart"/>
      <w:r>
        <w:rPr>
          <w:rFonts w:eastAsia="Candara" w:cs="Helvetica"/>
          <w:sz w:val="22"/>
          <w:szCs w:val="22"/>
          <w:lang w:eastAsia="zh-CN"/>
        </w:rPr>
        <w:t>Pendekatan</w:t>
      </w:r>
      <w:proofErr w:type="spellEnd"/>
      <w:r>
        <w:rPr>
          <w:rFonts w:eastAsia="Candara" w:cs="Helvetica"/>
          <w:sz w:val="22"/>
          <w:szCs w:val="22"/>
          <w:lang w:eastAsia="zh-CN"/>
        </w:rPr>
        <w:t xml:space="preserve"> </w:t>
      </w:r>
      <w:proofErr w:type="spellStart"/>
      <w:r>
        <w:rPr>
          <w:rFonts w:eastAsia="Candara" w:cs="Helvetica"/>
          <w:sz w:val="22"/>
          <w:szCs w:val="22"/>
          <w:lang w:eastAsia="zh-CN"/>
        </w:rPr>
        <w:t>Kearifan</w:t>
      </w:r>
      <w:proofErr w:type="spellEnd"/>
      <w:r>
        <w:rPr>
          <w:rFonts w:eastAsia="Candara" w:cs="Helvetica"/>
          <w:sz w:val="22"/>
          <w:szCs w:val="22"/>
          <w:lang w:eastAsia="zh-CN"/>
        </w:rPr>
        <w:t xml:space="preserve"> </w:t>
      </w:r>
      <w:proofErr w:type="spellStart"/>
      <w:r>
        <w:rPr>
          <w:rFonts w:eastAsia="Candara" w:cs="Helvetica"/>
          <w:sz w:val="22"/>
          <w:szCs w:val="22"/>
          <w:lang w:eastAsia="zh-CN"/>
        </w:rPr>
        <w:t>Lokal</w:t>
      </w:r>
      <w:proofErr w:type="spellEnd"/>
      <w:r>
        <w:rPr>
          <w:rFonts w:eastAsia="Candara" w:cs="Helvetica"/>
          <w:sz w:val="22"/>
          <w:szCs w:val="22"/>
          <w:lang w:eastAsia="zh-CN"/>
        </w:rPr>
        <w:t xml:space="preserve"> di </w:t>
      </w:r>
      <w:proofErr w:type="spellStart"/>
      <w:r>
        <w:rPr>
          <w:rFonts w:eastAsia="Candara" w:cs="Helvetica"/>
          <w:sz w:val="22"/>
          <w:szCs w:val="22"/>
          <w:lang w:eastAsia="zh-CN"/>
        </w:rPr>
        <w:t>Kepulauan</w:t>
      </w:r>
      <w:proofErr w:type="spellEnd"/>
      <w:r>
        <w:rPr>
          <w:rFonts w:eastAsia="Candara" w:cs="Helvetica"/>
          <w:sz w:val="22"/>
          <w:szCs w:val="22"/>
          <w:lang w:eastAsia="zh-CN"/>
        </w:rPr>
        <w:t xml:space="preserve"> Mentawai.</w:t>
      </w:r>
      <w:r>
        <w:rPr>
          <w:rFonts w:eastAsia="Candara" w:cs="Helvetica"/>
          <w:i/>
          <w:iCs/>
          <w:sz w:val="22"/>
          <w:szCs w:val="22"/>
          <w:lang w:eastAsia="zh-CN"/>
        </w:rPr>
        <w:t xml:space="preserve"> JURNAL </w:t>
      </w:r>
      <w:proofErr w:type="spellStart"/>
      <w:r>
        <w:rPr>
          <w:rFonts w:eastAsia="Candara" w:cs="Helvetica"/>
          <w:i/>
          <w:iCs/>
          <w:sz w:val="22"/>
          <w:szCs w:val="22"/>
          <w:lang w:eastAsia="zh-CN"/>
        </w:rPr>
        <w:t>ComunitÃ</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Servizio</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Terkait</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Kegiatan</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Pengabdian</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kepada</w:t>
      </w:r>
      <w:proofErr w:type="spellEnd"/>
      <w:r>
        <w:rPr>
          <w:rFonts w:eastAsia="Candara" w:cs="Helvetica"/>
          <w:i/>
          <w:iCs/>
          <w:sz w:val="22"/>
          <w:szCs w:val="22"/>
          <w:lang w:eastAsia="zh-CN"/>
        </w:rPr>
        <w:t xml:space="preserve"> Masyarakat, </w:t>
      </w:r>
      <w:proofErr w:type="spellStart"/>
      <w:r>
        <w:rPr>
          <w:rFonts w:eastAsia="Candara" w:cs="Helvetica"/>
          <w:i/>
          <w:iCs/>
          <w:sz w:val="22"/>
          <w:szCs w:val="22"/>
          <w:lang w:eastAsia="zh-CN"/>
        </w:rPr>
        <w:t>terkhusus</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bidang</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Teknologi</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Kewirausahaan</w:t>
      </w:r>
      <w:proofErr w:type="spellEnd"/>
      <w:r>
        <w:rPr>
          <w:rFonts w:eastAsia="Candara" w:cs="Helvetica"/>
          <w:i/>
          <w:iCs/>
          <w:sz w:val="22"/>
          <w:szCs w:val="22"/>
          <w:lang w:eastAsia="zh-CN"/>
        </w:rPr>
        <w:t xml:space="preserve"> dan </w:t>
      </w:r>
      <w:proofErr w:type="spellStart"/>
      <w:r>
        <w:rPr>
          <w:rFonts w:eastAsia="Candara" w:cs="Helvetica"/>
          <w:i/>
          <w:iCs/>
          <w:sz w:val="22"/>
          <w:szCs w:val="22"/>
          <w:lang w:eastAsia="zh-CN"/>
        </w:rPr>
        <w:t>Sosial</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Kemasyarakatan</w:t>
      </w:r>
      <w:proofErr w:type="spellEnd"/>
      <w:r>
        <w:rPr>
          <w:rFonts w:eastAsia="Candara" w:cs="Helvetica"/>
          <w:sz w:val="22"/>
          <w:szCs w:val="22"/>
          <w:lang w:eastAsia="zh-CN"/>
        </w:rPr>
        <w:t xml:space="preserve">, 4(2), 1007-1014.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oi.org/10.33541/cs.v4i2.4220</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Purba</w:t>
      </w:r>
      <w:proofErr w:type="spellEnd"/>
      <w:r>
        <w:rPr>
          <w:rFonts w:eastAsia="Candara" w:cs="Helvetica"/>
          <w:sz w:val="22"/>
          <w:szCs w:val="22"/>
          <w:lang w:eastAsia="zh-CN"/>
        </w:rPr>
        <w:t xml:space="preserve">, L. S. L., </w:t>
      </w:r>
      <w:proofErr w:type="spellStart"/>
      <w:r>
        <w:rPr>
          <w:rFonts w:eastAsia="Candara" w:cs="Helvetica"/>
          <w:sz w:val="22"/>
          <w:szCs w:val="22"/>
          <w:lang w:eastAsia="zh-CN"/>
        </w:rPr>
        <w:t>Sormin</w:t>
      </w:r>
      <w:proofErr w:type="spellEnd"/>
      <w:r>
        <w:rPr>
          <w:rFonts w:eastAsia="Candara" w:cs="Helvetica"/>
          <w:sz w:val="22"/>
          <w:szCs w:val="22"/>
          <w:lang w:eastAsia="zh-CN"/>
        </w:rPr>
        <w:t xml:space="preserve">, E., </w:t>
      </w:r>
      <w:proofErr w:type="spellStart"/>
      <w:r>
        <w:rPr>
          <w:rFonts w:eastAsia="Candara" w:cs="Helvetica"/>
          <w:sz w:val="22"/>
          <w:szCs w:val="22"/>
          <w:lang w:eastAsia="zh-CN"/>
        </w:rPr>
        <w:t>Harefa</w:t>
      </w:r>
      <w:proofErr w:type="spellEnd"/>
      <w:r>
        <w:rPr>
          <w:rFonts w:eastAsia="Candara" w:cs="Helvetica"/>
          <w:sz w:val="22"/>
          <w:szCs w:val="22"/>
          <w:lang w:eastAsia="zh-CN"/>
        </w:rPr>
        <w:t xml:space="preserve">, N., &amp; </w:t>
      </w:r>
      <w:proofErr w:type="spellStart"/>
      <w:r>
        <w:rPr>
          <w:rFonts w:eastAsia="Candara" w:cs="Helvetica"/>
          <w:sz w:val="22"/>
          <w:szCs w:val="22"/>
          <w:lang w:eastAsia="zh-CN"/>
        </w:rPr>
        <w:t>Sumiyati</w:t>
      </w:r>
      <w:proofErr w:type="spellEnd"/>
      <w:r>
        <w:rPr>
          <w:rFonts w:eastAsia="Candara" w:cs="Helvetica"/>
          <w:sz w:val="22"/>
          <w:szCs w:val="22"/>
          <w:lang w:eastAsia="zh-CN"/>
        </w:rPr>
        <w:t xml:space="preserve">, S. (2019). Effectiveness of use of online games </w:t>
      </w:r>
      <w:proofErr w:type="spellStart"/>
      <w:r>
        <w:rPr>
          <w:rFonts w:eastAsia="Candara" w:cs="Helvetica"/>
          <w:sz w:val="22"/>
          <w:szCs w:val="22"/>
          <w:lang w:eastAsia="zh-CN"/>
        </w:rPr>
        <w:t>kahoot</w:t>
      </w:r>
      <w:proofErr w:type="spellEnd"/>
      <w:r>
        <w:rPr>
          <w:rFonts w:eastAsia="Candara" w:cs="Helvetica"/>
          <w:sz w:val="22"/>
          <w:szCs w:val="22"/>
          <w:lang w:eastAsia="zh-CN"/>
        </w:rPr>
        <w:t xml:space="preserve">! chemical to improve student learning motivation.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Pendidikan Kimia</w:t>
      </w:r>
      <w:r>
        <w:rPr>
          <w:rFonts w:eastAsia="Candara" w:cs="Helvetica"/>
          <w:sz w:val="22"/>
          <w:szCs w:val="22"/>
          <w:lang w:eastAsia="zh-CN"/>
        </w:rPr>
        <w:t xml:space="preserve">, 11(2), 57-66.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oi.org/10.24114/jpkim.v11i2.14463</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Rahman, A., &amp; </w:t>
      </w:r>
      <w:proofErr w:type="spellStart"/>
      <w:r>
        <w:rPr>
          <w:rFonts w:eastAsia="Candara" w:cs="Helvetica"/>
          <w:sz w:val="22"/>
          <w:szCs w:val="22"/>
          <w:lang w:eastAsia="zh-CN"/>
        </w:rPr>
        <w:t>Muktadir</w:t>
      </w:r>
      <w:proofErr w:type="spellEnd"/>
      <w:r>
        <w:rPr>
          <w:rFonts w:eastAsia="Candara" w:cs="Helvetica"/>
          <w:sz w:val="22"/>
          <w:szCs w:val="22"/>
          <w:lang w:eastAsia="zh-CN"/>
        </w:rPr>
        <w:t xml:space="preserve">, M. G. (2021). SPSS: An imperative quantitative data analysis tool for social science research. </w:t>
      </w:r>
      <w:r>
        <w:rPr>
          <w:rFonts w:eastAsia="Candara" w:cs="Helvetica"/>
          <w:i/>
          <w:iCs/>
          <w:sz w:val="22"/>
          <w:szCs w:val="22"/>
          <w:lang w:eastAsia="zh-CN"/>
        </w:rPr>
        <w:t>International Journal of Research and Innovation in Social Science</w:t>
      </w:r>
      <w:r>
        <w:rPr>
          <w:rFonts w:eastAsia="Candara" w:cs="Helvetica"/>
          <w:sz w:val="22"/>
          <w:szCs w:val="22"/>
          <w:lang w:eastAsia="zh-CN"/>
        </w:rPr>
        <w:t xml:space="preserve">, 5(10), 300-302.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oi.org/10.47772/IJRISS.2021.51012</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Rahmawati</w:t>
      </w:r>
      <w:proofErr w:type="spellEnd"/>
      <w:r>
        <w:rPr>
          <w:rFonts w:eastAsia="Candara" w:cs="Helvetica"/>
          <w:sz w:val="22"/>
          <w:szCs w:val="22"/>
          <w:lang w:eastAsia="zh-CN"/>
        </w:rPr>
        <w:t xml:space="preserve">, Y., </w:t>
      </w:r>
      <w:proofErr w:type="spellStart"/>
      <w:r>
        <w:rPr>
          <w:rFonts w:eastAsia="Candara" w:cs="Helvetica"/>
          <w:sz w:val="22"/>
          <w:szCs w:val="22"/>
          <w:lang w:eastAsia="zh-CN"/>
        </w:rPr>
        <w:t>Mardiah</w:t>
      </w:r>
      <w:proofErr w:type="spellEnd"/>
      <w:r>
        <w:rPr>
          <w:rFonts w:eastAsia="Candara" w:cs="Helvetica"/>
          <w:sz w:val="22"/>
          <w:szCs w:val="22"/>
          <w:lang w:eastAsia="zh-CN"/>
        </w:rPr>
        <w:t xml:space="preserve">, A., Taylor, E., Taylor, P. C., &amp; Ridwan, A. (2023). Chemistry learning through culturally responsive transformative teaching (CRTT): Educating Indonesian high school students for cultural sustainability. </w:t>
      </w:r>
      <w:r>
        <w:rPr>
          <w:rFonts w:eastAsia="Candara" w:cs="Helvetica"/>
          <w:i/>
          <w:iCs/>
          <w:sz w:val="22"/>
          <w:szCs w:val="22"/>
          <w:lang w:eastAsia="zh-CN"/>
        </w:rPr>
        <w:t>Sustainability</w:t>
      </w:r>
      <w:r>
        <w:rPr>
          <w:rFonts w:eastAsia="Candara" w:cs="Helvetica"/>
          <w:sz w:val="22"/>
          <w:szCs w:val="22"/>
          <w:lang w:eastAsia="zh-CN"/>
        </w:rPr>
        <w:t xml:space="preserve">, 15(8), 6925.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oi.org/10.3390/su15086925</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Ridwan, A., </w:t>
      </w:r>
      <w:proofErr w:type="spellStart"/>
      <w:r>
        <w:rPr>
          <w:rFonts w:eastAsia="Candara" w:cs="Helvetica"/>
          <w:sz w:val="22"/>
          <w:szCs w:val="22"/>
          <w:lang w:eastAsia="zh-CN"/>
        </w:rPr>
        <w:t>Rahmawati</w:t>
      </w:r>
      <w:proofErr w:type="spellEnd"/>
      <w:r>
        <w:rPr>
          <w:rFonts w:eastAsia="Candara" w:cs="Helvetica"/>
          <w:sz w:val="22"/>
          <w:szCs w:val="22"/>
          <w:lang w:eastAsia="zh-CN"/>
        </w:rPr>
        <w:t xml:space="preserve">, Y., &amp; </w:t>
      </w:r>
      <w:proofErr w:type="spellStart"/>
      <w:r>
        <w:rPr>
          <w:rFonts w:eastAsia="Candara" w:cs="Helvetica"/>
          <w:sz w:val="22"/>
          <w:szCs w:val="22"/>
          <w:lang w:eastAsia="zh-CN"/>
        </w:rPr>
        <w:t>Mardiah</w:t>
      </w:r>
      <w:proofErr w:type="spellEnd"/>
      <w:r>
        <w:rPr>
          <w:rFonts w:eastAsia="Candara" w:cs="Helvetica"/>
          <w:sz w:val="22"/>
          <w:szCs w:val="22"/>
          <w:lang w:eastAsia="zh-CN"/>
        </w:rPr>
        <w:t xml:space="preserve">, A. (2025). Bridging culture and chemistry: Implementing </w:t>
      </w:r>
      <w:proofErr w:type="spellStart"/>
      <w:r>
        <w:rPr>
          <w:rFonts w:eastAsia="Candara" w:cs="Helvetica"/>
          <w:sz w:val="22"/>
          <w:szCs w:val="22"/>
          <w:lang w:eastAsia="zh-CN"/>
        </w:rPr>
        <w:t>ethnochemistry</w:t>
      </w:r>
      <w:proofErr w:type="spellEnd"/>
      <w:r>
        <w:rPr>
          <w:rFonts w:eastAsia="Candara" w:cs="Helvetica"/>
          <w:sz w:val="22"/>
          <w:szCs w:val="22"/>
          <w:lang w:eastAsia="zh-CN"/>
        </w:rPr>
        <w:t xml:space="preserve"> to enhance chemical literacy of Indonesian high school students. </w:t>
      </w:r>
      <w:r>
        <w:rPr>
          <w:rFonts w:eastAsia="Candara" w:cs="Helvetica"/>
          <w:i/>
          <w:iCs/>
          <w:sz w:val="22"/>
          <w:szCs w:val="22"/>
          <w:lang w:eastAsia="zh-CN"/>
        </w:rPr>
        <w:t>Multidisciplinary Science Journal,</w:t>
      </w:r>
      <w:r>
        <w:rPr>
          <w:rFonts w:eastAsia="Candara" w:cs="Helvetica"/>
          <w:sz w:val="22"/>
          <w:szCs w:val="22"/>
          <w:lang w:eastAsia="zh-CN"/>
        </w:rPr>
        <w:t xml:space="preserve"> 7(11), 2025530-2025530.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oi.org/10.31893/multiscience.2025530</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lastRenderedPageBreak/>
        <w:t xml:space="preserve">Rukmini, E., </w:t>
      </w:r>
      <w:proofErr w:type="spellStart"/>
      <w:r>
        <w:rPr>
          <w:rFonts w:eastAsia="Candara" w:cs="Helvetica"/>
          <w:sz w:val="22"/>
          <w:szCs w:val="22"/>
          <w:lang w:eastAsia="zh-CN"/>
        </w:rPr>
        <w:t>Lathifah</w:t>
      </w:r>
      <w:proofErr w:type="spellEnd"/>
      <w:r>
        <w:rPr>
          <w:rFonts w:eastAsia="Candara" w:cs="Helvetica"/>
          <w:sz w:val="22"/>
          <w:szCs w:val="22"/>
          <w:lang w:eastAsia="zh-CN"/>
        </w:rPr>
        <w:t xml:space="preserve">, A. I., &amp; </w:t>
      </w:r>
      <w:proofErr w:type="spellStart"/>
      <w:r>
        <w:rPr>
          <w:rFonts w:eastAsia="Candara" w:cs="Helvetica"/>
          <w:sz w:val="22"/>
          <w:szCs w:val="22"/>
          <w:lang w:eastAsia="zh-CN"/>
        </w:rPr>
        <w:t>Tonapa</w:t>
      </w:r>
      <w:proofErr w:type="spellEnd"/>
      <w:r>
        <w:rPr>
          <w:rFonts w:eastAsia="Candara" w:cs="Helvetica"/>
          <w:sz w:val="22"/>
          <w:szCs w:val="22"/>
          <w:lang w:eastAsia="zh-CN"/>
        </w:rPr>
        <w:t>, N. (2025, July). The context-based chemistry learning in Indonesia: A systematic review. I</w:t>
      </w:r>
      <w:r>
        <w:rPr>
          <w:rFonts w:eastAsia="Candara" w:cs="Helvetica"/>
          <w:i/>
          <w:iCs/>
          <w:sz w:val="22"/>
          <w:szCs w:val="22"/>
          <w:lang w:eastAsia="zh-CN"/>
        </w:rPr>
        <w:t>n AIP Conference Proceedings</w:t>
      </w:r>
      <w:r>
        <w:rPr>
          <w:rFonts w:eastAsia="Candara" w:cs="Helvetica"/>
          <w:sz w:val="22"/>
          <w:szCs w:val="22"/>
          <w:lang w:eastAsia="zh-CN"/>
        </w:rPr>
        <w:t xml:space="preserve"> (Vol. 3206, No. 1, p. 070003). AIP Publishing LLC.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oi.org/10.1063/5.0259415</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Ruliyanti</w:t>
      </w:r>
      <w:proofErr w:type="spellEnd"/>
      <w:r>
        <w:rPr>
          <w:rFonts w:eastAsia="Candara" w:cs="Helvetica"/>
          <w:sz w:val="22"/>
          <w:szCs w:val="22"/>
          <w:lang w:eastAsia="zh-CN"/>
        </w:rPr>
        <w:t xml:space="preserve">, T., </w:t>
      </w:r>
      <w:proofErr w:type="spellStart"/>
      <w:r>
        <w:rPr>
          <w:rFonts w:eastAsia="Candara" w:cs="Helvetica"/>
          <w:sz w:val="22"/>
          <w:szCs w:val="22"/>
          <w:lang w:eastAsia="zh-CN"/>
        </w:rPr>
        <w:t>Sumarni</w:t>
      </w:r>
      <w:proofErr w:type="spellEnd"/>
      <w:r>
        <w:rPr>
          <w:rFonts w:eastAsia="Candara" w:cs="Helvetica"/>
          <w:sz w:val="22"/>
          <w:szCs w:val="22"/>
          <w:lang w:eastAsia="zh-CN"/>
        </w:rPr>
        <w:t xml:space="preserve">, W., &amp; </w:t>
      </w:r>
      <w:proofErr w:type="spellStart"/>
      <w:r>
        <w:rPr>
          <w:rFonts w:eastAsia="Candara" w:cs="Helvetica"/>
          <w:sz w:val="22"/>
          <w:szCs w:val="22"/>
          <w:lang w:eastAsia="zh-CN"/>
        </w:rPr>
        <w:t>Ulum</w:t>
      </w:r>
      <w:proofErr w:type="spellEnd"/>
      <w:r>
        <w:rPr>
          <w:rFonts w:eastAsia="Candara" w:cs="Helvetica"/>
          <w:sz w:val="22"/>
          <w:szCs w:val="22"/>
          <w:lang w:eastAsia="zh-CN"/>
        </w:rPr>
        <w:t>, M. (2021, November). The development of questionnaire instruments assisted by Google Form application to measure students’ cep characters on the stem integrated chemistry module. In</w:t>
      </w:r>
      <w:r>
        <w:rPr>
          <w:rFonts w:eastAsia="Candara" w:cs="Helvetica"/>
          <w:i/>
          <w:iCs/>
          <w:sz w:val="22"/>
          <w:szCs w:val="22"/>
          <w:lang w:eastAsia="zh-CN"/>
        </w:rPr>
        <w:t xml:space="preserve"> 6th International Conference on Science, Education and Technology (ISET 2020)</w:t>
      </w:r>
      <w:r>
        <w:rPr>
          <w:rFonts w:eastAsia="Candara" w:cs="Helvetica"/>
          <w:sz w:val="22"/>
          <w:szCs w:val="22"/>
          <w:lang w:eastAsia="zh-CN"/>
        </w:rPr>
        <w:t xml:space="preserve"> (pp. 5-10). Atlantis Press.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oi.org/10.2991/assehr.k.211125.002</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Saputra</w:t>
      </w:r>
      <w:proofErr w:type="spellEnd"/>
      <w:r>
        <w:rPr>
          <w:rFonts w:eastAsia="Candara" w:cs="Helvetica"/>
          <w:sz w:val="22"/>
          <w:szCs w:val="22"/>
          <w:lang w:eastAsia="zh-CN"/>
        </w:rPr>
        <w:t>, A., &amp; Tania, L. (2022). Using an Indonesian-version of the Green Chemistry Attitude Scale to Evaluate College Students' Awareness towards Environment.</w:t>
      </w:r>
      <w:r>
        <w:rPr>
          <w:rFonts w:eastAsia="Candara" w:cs="Helvetica"/>
          <w:i/>
          <w:iCs/>
          <w:sz w:val="22"/>
          <w:szCs w:val="22"/>
          <w:lang w:eastAsia="zh-CN"/>
        </w:rPr>
        <w:t xml:space="preserve">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Pendidikan MIPA,</w:t>
      </w:r>
      <w:r>
        <w:rPr>
          <w:rFonts w:eastAsia="Candara" w:cs="Helvetica"/>
          <w:sz w:val="22"/>
          <w:szCs w:val="22"/>
          <w:lang w:eastAsia="zh-CN"/>
        </w:rPr>
        <w:t xml:space="preserve"> 23(2), 410-418.</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oi.org/10.23960/</w:t>
      </w:r>
      <w:proofErr w:type="spellStart"/>
      <w:r>
        <w:rPr>
          <w:rStyle w:val="Hyperlink"/>
          <w:rFonts w:eastAsia="Helvetica Neue" w:cs="Helvetica"/>
          <w:color w:val="4C8DEA"/>
          <w:sz w:val="22"/>
          <w:szCs w:val="22"/>
          <w:u w:val="none"/>
          <w:shd w:val="clear" w:color="auto" w:fill="FFFFFF"/>
          <w:lang w:eastAsia="zh-CN"/>
        </w:rPr>
        <w:t>jpmipa</w:t>
      </w:r>
      <w:proofErr w:type="spellEnd"/>
      <w:r>
        <w:rPr>
          <w:rStyle w:val="Hyperlink"/>
          <w:rFonts w:eastAsia="Helvetica Neue" w:cs="Helvetica"/>
          <w:color w:val="4C8DEA"/>
          <w:sz w:val="22"/>
          <w:szCs w:val="22"/>
          <w:u w:val="none"/>
          <w:shd w:val="clear" w:color="auto" w:fill="FFFFFF"/>
          <w:lang w:eastAsia="zh-CN"/>
        </w:rPr>
        <w:t>/v23i2.pp410-418</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Seo</w:t>
      </w:r>
      <w:proofErr w:type="spellEnd"/>
      <w:r>
        <w:rPr>
          <w:rFonts w:eastAsia="Candara" w:cs="Helvetica"/>
          <w:sz w:val="22"/>
          <w:szCs w:val="22"/>
          <w:lang w:eastAsia="zh-CN"/>
        </w:rPr>
        <w:t xml:space="preserve">, J. T., Kim, J. K., Park, B. N., &amp; Kim, Y. G. (2023). The Impact of </w:t>
      </w:r>
      <w:proofErr w:type="spellStart"/>
      <w:r>
        <w:rPr>
          <w:rFonts w:eastAsia="Candara" w:cs="Helvetica"/>
          <w:sz w:val="22"/>
          <w:szCs w:val="22"/>
          <w:lang w:eastAsia="zh-CN"/>
        </w:rPr>
        <w:t>Director’Leadership</w:t>
      </w:r>
      <w:proofErr w:type="spellEnd"/>
      <w:r>
        <w:rPr>
          <w:rFonts w:eastAsia="Candara" w:cs="Helvetica"/>
          <w:sz w:val="22"/>
          <w:szCs w:val="22"/>
          <w:lang w:eastAsia="zh-CN"/>
        </w:rPr>
        <w:t xml:space="preserve">, Educational Environment, Teacher Efficacy and </w:t>
      </w:r>
      <w:proofErr w:type="spellStart"/>
      <w:r>
        <w:rPr>
          <w:rFonts w:eastAsia="Candara" w:cs="Helvetica"/>
          <w:sz w:val="22"/>
          <w:szCs w:val="22"/>
          <w:lang w:eastAsia="zh-CN"/>
        </w:rPr>
        <w:t>Extracarricular</w:t>
      </w:r>
      <w:proofErr w:type="spellEnd"/>
      <w:r>
        <w:rPr>
          <w:rFonts w:eastAsia="Candara" w:cs="Helvetica"/>
          <w:sz w:val="22"/>
          <w:szCs w:val="22"/>
          <w:lang w:eastAsia="zh-CN"/>
        </w:rPr>
        <w:t xml:space="preserve"> Sports Programs on Job Satisfaction of Kindergarten Teachers. </w:t>
      </w:r>
      <w:proofErr w:type="spellStart"/>
      <w:r>
        <w:rPr>
          <w:rFonts w:eastAsia="Candara" w:cs="Helvetica"/>
          <w:i/>
          <w:iCs/>
          <w:sz w:val="22"/>
          <w:szCs w:val="22"/>
          <w:lang w:eastAsia="zh-CN"/>
        </w:rPr>
        <w:t>Revista</w:t>
      </w:r>
      <w:proofErr w:type="spellEnd"/>
      <w:r>
        <w:rPr>
          <w:rFonts w:eastAsia="Candara" w:cs="Helvetica"/>
          <w:i/>
          <w:iCs/>
          <w:sz w:val="22"/>
          <w:szCs w:val="22"/>
          <w:lang w:eastAsia="zh-CN"/>
        </w:rPr>
        <w:t xml:space="preserve"> de </w:t>
      </w:r>
      <w:proofErr w:type="spellStart"/>
      <w:r>
        <w:rPr>
          <w:rFonts w:eastAsia="Candara" w:cs="Helvetica"/>
          <w:i/>
          <w:iCs/>
          <w:sz w:val="22"/>
          <w:szCs w:val="22"/>
          <w:lang w:eastAsia="zh-CN"/>
        </w:rPr>
        <w:t>Psicología</w:t>
      </w:r>
      <w:proofErr w:type="spellEnd"/>
      <w:r>
        <w:rPr>
          <w:rFonts w:eastAsia="Candara" w:cs="Helvetica"/>
          <w:i/>
          <w:iCs/>
          <w:sz w:val="22"/>
          <w:szCs w:val="22"/>
          <w:lang w:eastAsia="zh-CN"/>
        </w:rPr>
        <w:t xml:space="preserve"> del </w:t>
      </w:r>
      <w:proofErr w:type="spellStart"/>
      <w:r>
        <w:rPr>
          <w:rFonts w:eastAsia="Candara" w:cs="Helvetica"/>
          <w:i/>
          <w:iCs/>
          <w:sz w:val="22"/>
          <w:szCs w:val="22"/>
          <w:lang w:eastAsia="zh-CN"/>
        </w:rPr>
        <w:t>Deporte</w:t>
      </w:r>
      <w:proofErr w:type="spellEnd"/>
      <w:r>
        <w:rPr>
          <w:rFonts w:eastAsia="Candara" w:cs="Helvetica"/>
          <w:i/>
          <w:iCs/>
          <w:sz w:val="22"/>
          <w:szCs w:val="22"/>
          <w:lang w:eastAsia="zh-CN"/>
        </w:rPr>
        <w:t xml:space="preserve"> (Journal of Sport Psychology),</w:t>
      </w:r>
      <w:r>
        <w:rPr>
          <w:rFonts w:eastAsia="Candara" w:cs="Helvetica"/>
          <w:sz w:val="22"/>
          <w:szCs w:val="22"/>
          <w:lang w:eastAsia="zh-CN"/>
        </w:rPr>
        <w:t xml:space="preserve"> 32(4), 424-436.  </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Shah, R. K. (2019). Effective Constructivist Teaching Learning in the Classroom. </w:t>
      </w:r>
      <w:r>
        <w:rPr>
          <w:rFonts w:eastAsia="Candara" w:cs="Helvetica"/>
          <w:i/>
          <w:iCs/>
          <w:sz w:val="22"/>
          <w:szCs w:val="22"/>
          <w:lang w:eastAsia="zh-CN"/>
        </w:rPr>
        <w:t>Online Submission</w:t>
      </w:r>
      <w:r>
        <w:rPr>
          <w:rFonts w:eastAsia="Candara" w:cs="Helvetica"/>
          <w:sz w:val="22"/>
          <w:szCs w:val="22"/>
          <w:lang w:eastAsia="zh-CN"/>
        </w:rPr>
        <w:t xml:space="preserve">, 7(4), 1-13.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oi.org/10.34293/education.v7i4.600</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Sinaga</w:t>
      </w:r>
      <w:proofErr w:type="spellEnd"/>
      <w:r>
        <w:rPr>
          <w:rFonts w:eastAsia="Candara" w:cs="Helvetica"/>
          <w:sz w:val="22"/>
          <w:szCs w:val="22"/>
          <w:lang w:eastAsia="zh-CN"/>
        </w:rPr>
        <w:t xml:space="preserve">, M., </w:t>
      </w:r>
      <w:proofErr w:type="spellStart"/>
      <w:r>
        <w:rPr>
          <w:rFonts w:eastAsia="Candara" w:cs="Helvetica"/>
          <w:sz w:val="22"/>
          <w:szCs w:val="22"/>
          <w:lang w:eastAsia="zh-CN"/>
        </w:rPr>
        <w:t>Situmorang</w:t>
      </w:r>
      <w:proofErr w:type="spellEnd"/>
      <w:r>
        <w:rPr>
          <w:rFonts w:eastAsia="Candara" w:cs="Helvetica"/>
          <w:sz w:val="22"/>
          <w:szCs w:val="22"/>
          <w:lang w:eastAsia="zh-CN"/>
        </w:rPr>
        <w:t xml:space="preserve">, M., &amp; </w:t>
      </w:r>
      <w:proofErr w:type="spellStart"/>
      <w:r>
        <w:rPr>
          <w:rFonts w:eastAsia="Candara" w:cs="Helvetica"/>
          <w:sz w:val="22"/>
          <w:szCs w:val="22"/>
          <w:lang w:eastAsia="zh-CN"/>
        </w:rPr>
        <w:t>Hutabarat</w:t>
      </w:r>
      <w:proofErr w:type="spellEnd"/>
      <w:r>
        <w:rPr>
          <w:rFonts w:eastAsia="Candara" w:cs="Helvetica"/>
          <w:sz w:val="22"/>
          <w:szCs w:val="22"/>
          <w:lang w:eastAsia="zh-CN"/>
        </w:rPr>
        <w:t xml:space="preserve">, W. (2019). Implementation of innovative learning material to improve </w:t>
      </w:r>
      <w:proofErr w:type="gramStart"/>
      <w:r>
        <w:rPr>
          <w:rFonts w:eastAsia="Candara" w:cs="Helvetica"/>
          <w:sz w:val="22"/>
          <w:szCs w:val="22"/>
          <w:lang w:eastAsia="zh-CN"/>
        </w:rPr>
        <w:t>students</w:t>
      </w:r>
      <w:proofErr w:type="gramEnd"/>
      <w:r>
        <w:rPr>
          <w:rFonts w:eastAsia="Candara" w:cs="Helvetica"/>
          <w:sz w:val="22"/>
          <w:szCs w:val="22"/>
          <w:lang w:eastAsia="zh-CN"/>
        </w:rPr>
        <w:t xml:space="preserve"> competence on chemistry. </w:t>
      </w:r>
      <w:r>
        <w:rPr>
          <w:rFonts w:eastAsia="Candara" w:cs="Helvetica"/>
          <w:i/>
          <w:iCs/>
          <w:sz w:val="22"/>
          <w:szCs w:val="22"/>
          <w:lang w:eastAsia="zh-CN"/>
        </w:rPr>
        <w:t>Indian Journal of Pharmaceutical Education and Research (IJPER),</w:t>
      </w:r>
      <w:r>
        <w:rPr>
          <w:rFonts w:eastAsia="Candara" w:cs="Helvetica"/>
          <w:sz w:val="22"/>
          <w:szCs w:val="22"/>
          <w:lang w:eastAsia="zh-CN"/>
        </w:rPr>
        <w:t xml:space="preserve"> 53(01), 28-41.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oi.org/10.5530/ijper.53.1.5</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Smith, T., </w:t>
      </w:r>
      <w:proofErr w:type="spellStart"/>
      <w:r>
        <w:rPr>
          <w:rFonts w:eastAsia="Candara" w:cs="Helvetica"/>
          <w:sz w:val="22"/>
          <w:szCs w:val="22"/>
          <w:lang w:eastAsia="zh-CN"/>
        </w:rPr>
        <w:t>Avraamidou</w:t>
      </w:r>
      <w:proofErr w:type="spellEnd"/>
      <w:r>
        <w:rPr>
          <w:rFonts w:eastAsia="Candara" w:cs="Helvetica"/>
          <w:sz w:val="22"/>
          <w:szCs w:val="22"/>
          <w:lang w:eastAsia="zh-CN"/>
        </w:rPr>
        <w:t xml:space="preserve">, L., &amp; Adams, J. D. (2022). Culturally relevant/responsive and sustaining pedagogies in science education: theoretical perspectives and curriculum implications. </w:t>
      </w:r>
      <w:r>
        <w:rPr>
          <w:rFonts w:eastAsia="Candara" w:cs="Helvetica"/>
          <w:i/>
          <w:iCs/>
          <w:sz w:val="22"/>
          <w:szCs w:val="22"/>
          <w:lang w:eastAsia="zh-CN"/>
        </w:rPr>
        <w:t>Cultural Studies of Science Education</w:t>
      </w:r>
      <w:r>
        <w:rPr>
          <w:rFonts w:eastAsia="Candara" w:cs="Helvetica"/>
          <w:sz w:val="22"/>
          <w:szCs w:val="22"/>
          <w:lang w:eastAsia="zh-CN"/>
        </w:rPr>
        <w:t xml:space="preserve">, 17(3), 637-660.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oi.org/10.1007/s11422-021-10082-4</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t xml:space="preserve">Stagg, B. C., &amp; Dillon, J. (2022). Plant awareness is linked to plant relevance: A review of educational and ethnobiological literature (1998–2020). </w:t>
      </w:r>
      <w:r>
        <w:rPr>
          <w:rFonts w:eastAsia="Candara" w:cs="Helvetica"/>
          <w:i/>
          <w:iCs/>
          <w:sz w:val="22"/>
          <w:szCs w:val="22"/>
          <w:lang w:eastAsia="zh-CN"/>
        </w:rPr>
        <w:t>Plants, People, Planet,</w:t>
      </w:r>
      <w:r>
        <w:rPr>
          <w:rFonts w:eastAsia="Candara" w:cs="Helvetica"/>
          <w:sz w:val="22"/>
          <w:szCs w:val="22"/>
          <w:lang w:eastAsia="zh-CN"/>
        </w:rPr>
        <w:t xml:space="preserve"> 4(6), 579-592.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oi.org/10.1002/ppp3.10323</w:t>
      </w:r>
    </w:p>
    <w:p w:rsidR="000B6B86" w:rsidRDefault="00F50A49">
      <w:pPr>
        <w:ind w:left="360" w:right="141" w:hanging="360"/>
        <w:jc w:val="both"/>
        <w:rPr>
          <w:rStyle w:val="Hyperlink"/>
          <w:rFonts w:eastAsia="Helvetica Neue" w:cs="Helvetica"/>
          <w:color w:val="4C8DEA"/>
          <w:sz w:val="22"/>
          <w:szCs w:val="22"/>
          <w:u w:val="none"/>
          <w:shd w:val="clear" w:color="auto" w:fill="FFFFFF"/>
          <w:lang w:eastAsia="zh-CN"/>
        </w:rPr>
      </w:pPr>
      <w:r>
        <w:rPr>
          <w:rFonts w:eastAsia="Candara" w:cs="Helvetica"/>
          <w:sz w:val="22"/>
          <w:szCs w:val="22"/>
          <w:lang w:eastAsia="zh-CN"/>
        </w:rPr>
        <w:t xml:space="preserve">Stone, D. C. (2021). Student success and the high school-university transition: 100 years of chemistry education research. </w:t>
      </w:r>
      <w:r>
        <w:rPr>
          <w:rFonts w:eastAsia="Candara" w:cs="Helvetica"/>
          <w:i/>
          <w:iCs/>
          <w:sz w:val="22"/>
          <w:szCs w:val="22"/>
          <w:lang w:eastAsia="zh-CN"/>
        </w:rPr>
        <w:t>Chemistry education research and practice</w:t>
      </w:r>
      <w:r>
        <w:rPr>
          <w:rFonts w:eastAsia="Candara" w:cs="Helvetica"/>
          <w:sz w:val="22"/>
          <w:szCs w:val="22"/>
          <w:lang w:eastAsia="zh-CN"/>
        </w:rPr>
        <w:t xml:space="preserve">, 22(3), 579-601.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oi.org/10.1039/D1RP00085C</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Suryanti</w:t>
      </w:r>
      <w:proofErr w:type="spellEnd"/>
      <w:r>
        <w:rPr>
          <w:rFonts w:eastAsia="Candara" w:cs="Helvetica"/>
          <w:sz w:val="22"/>
          <w:szCs w:val="22"/>
          <w:lang w:eastAsia="zh-CN"/>
        </w:rPr>
        <w:t xml:space="preserve">, E., &amp; </w:t>
      </w:r>
      <w:proofErr w:type="spellStart"/>
      <w:r>
        <w:rPr>
          <w:rFonts w:eastAsia="Candara" w:cs="Helvetica"/>
          <w:sz w:val="22"/>
          <w:szCs w:val="22"/>
          <w:lang w:eastAsia="zh-CN"/>
        </w:rPr>
        <w:t>festiyed</w:t>
      </w:r>
      <w:proofErr w:type="spellEnd"/>
      <w:r>
        <w:rPr>
          <w:rFonts w:eastAsia="Candara" w:cs="Helvetica"/>
          <w:sz w:val="22"/>
          <w:szCs w:val="22"/>
          <w:lang w:eastAsia="zh-CN"/>
        </w:rPr>
        <w:t>, F. (2023). Development of Student Worksheets based on Problem Based Learning Models with Video-assisted Scientific Approaches to Improve Science Process Skills.</w:t>
      </w:r>
      <w:r>
        <w:rPr>
          <w:rFonts w:eastAsia="Candara" w:cs="Helvetica"/>
          <w:i/>
          <w:iCs/>
          <w:sz w:val="22"/>
          <w:szCs w:val="22"/>
          <w:lang w:eastAsia="zh-CN"/>
        </w:rPr>
        <w:t xml:space="preserve"> </w:t>
      </w:r>
      <w:proofErr w:type="spellStart"/>
      <w:r>
        <w:rPr>
          <w:rFonts w:eastAsia="Candara" w:cs="Helvetica"/>
          <w:i/>
          <w:iCs/>
          <w:sz w:val="22"/>
          <w:szCs w:val="22"/>
          <w:lang w:eastAsia="zh-CN"/>
        </w:rPr>
        <w:t>Jurnal</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Penelitian</w:t>
      </w:r>
      <w:proofErr w:type="spellEnd"/>
      <w:r>
        <w:rPr>
          <w:rFonts w:eastAsia="Candara" w:cs="Helvetica"/>
          <w:i/>
          <w:iCs/>
          <w:sz w:val="22"/>
          <w:szCs w:val="22"/>
          <w:lang w:eastAsia="zh-CN"/>
        </w:rPr>
        <w:t xml:space="preserve"> Pendidikan IPA</w:t>
      </w:r>
      <w:r>
        <w:rPr>
          <w:rFonts w:eastAsia="Candara" w:cs="Helvetica"/>
          <w:sz w:val="22"/>
          <w:szCs w:val="22"/>
          <w:lang w:eastAsia="zh-CN"/>
        </w:rPr>
        <w:t xml:space="preserve">, 9(7), 5673–5681.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oi.org/10.29303/jppipa.v9i7.3672</w:t>
      </w:r>
    </w:p>
    <w:p w:rsidR="000B6B86" w:rsidRDefault="00F50A49">
      <w:pPr>
        <w:ind w:left="360" w:right="141" w:hanging="360"/>
        <w:jc w:val="both"/>
        <w:rPr>
          <w:rStyle w:val="Hyperlink"/>
          <w:rFonts w:eastAsia="Helvetica Neue" w:cs="Helvetica"/>
          <w:color w:val="4C8DEA"/>
          <w:sz w:val="22"/>
          <w:szCs w:val="22"/>
          <w:u w:val="none"/>
          <w:shd w:val="clear" w:color="auto" w:fill="FFFFFF"/>
          <w:lang w:eastAsia="zh-CN"/>
        </w:rPr>
      </w:pPr>
      <w:proofErr w:type="spellStart"/>
      <w:r>
        <w:rPr>
          <w:rFonts w:eastAsia="Candara" w:cs="Helvetica"/>
          <w:sz w:val="22"/>
          <w:szCs w:val="22"/>
          <w:lang w:eastAsia="zh-CN"/>
        </w:rPr>
        <w:t>Syar</w:t>
      </w:r>
      <w:proofErr w:type="spellEnd"/>
      <w:r>
        <w:rPr>
          <w:rFonts w:eastAsia="Candara" w:cs="Helvetica"/>
          <w:sz w:val="22"/>
          <w:szCs w:val="22"/>
          <w:lang w:eastAsia="zh-CN"/>
        </w:rPr>
        <w:t xml:space="preserve">, N. I., </w:t>
      </w:r>
      <w:proofErr w:type="spellStart"/>
      <w:r>
        <w:rPr>
          <w:rFonts w:eastAsia="Candara" w:cs="Helvetica"/>
          <w:sz w:val="22"/>
          <w:szCs w:val="22"/>
          <w:lang w:eastAsia="zh-CN"/>
        </w:rPr>
        <w:t>Supriatin</w:t>
      </w:r>
      <w:proofErr w:type="spellEnd"/>
      <w:r>
        <w:rPr>
          <w:rFonts w:eastAsia="Candara" w:cs="Helvetica"/>
          <w:sz w:val="22"/>
          <w:szCs w:val="22"/>
          <w:lang w:eastAsia="zh-CN"/>
        </w:rPr>
        <w:t xml:space="preserve">, A., </w:t>
      </w:r>
      <w:proofErr w:type="spellStart"/>
      <w:r>
        <w:rPr>
          <w:rFonts w:eastAsia="Candara" w:cs="Helvetica"/>
          <w:sz w:val="22"/>
          <w:szCs w:val="22"/>
          <w:lang w:eastAsia="zh-CN"/>
        </w:rPr>
        <w:t>Ningsih</w:t>
      </w:r>
      <w:proofErr w:type="spellEnd"/>
      <w:r>
        <w:rPr>
          <w:rFonts w:eastAsia="Candara" w:cs="Helvetica"/>
          <w:sz w:val="22"/>
          <w:szCs w:val="22"/>
          <w:lang w:eastAsia="zh-CN"/>
        </w:rPr>
        <w:t xml:space="preserve">, I. W., &amp; </w:t>
      </w:r>
      <w:proofErr w:type="spellStart"/>
      <w:r>
        <w:rPr>
          <w:rFonts w:eastAsia="Candara" w:cs="Helvetica"/>
          <w:sz w:val="22"/>
          <w:szCs w:val="22"/>
          <w:lang w:eastAsia="zh-CN"/>
        </w:rPr>
        <w:t>Maghfirotuna’imah</w:t>
      </w:r>
      <w:proofErr w:type="spellEnd"/>
      <w:r>
        <w:rPr>
          <w:rFonts w:eastAsia="Candara" w:cs="Helvetica"/>
          <w:sz w:val="22"/>
          <w:szCs w:val="22"/>
          <w:lang w:eastAsia="zh-CN"/>
        </w:rPr>
        <w:t xml:space="preserve">, M. (2023). Students' Local Wisdom-Based E-Worksheets Assisted with </w:t>
      </w:r>
      <w:proofErr w:type="spellStart"/>
      <w:r>
        <w:rPr>
          <w:rFonts w:eastAsia="Candara" w:cs="Helvetica"/>
          <w:sz w:val="22"/>
          <w:szCs w:val="22"/>
          <w:lang w:eastAsia="zh-CN"/>
        </w:rPr>
        <w:t>Liveworksheets</w:t>
      </w:r>
      <w:proofErr w:type="spellEnd"/>
      <w:r>
        <w:rPr>
          <w:rFonts w:eastAsia="Candara" w:cs="Helvetica"/>
          <w:sz w:val="22"/>
          <w:szCs w:val="22"/>
          <w:lang w:eastAsia="zh-CN"/>
        </w:rPr>
        <w:t xml:space="preserve"> for Hybrid Learning. In </w:t>
      </w:r>
      <w:r>
        <w:rPr>
          <w:rFonts w:eastAsia="Candara" w:cs="Helvetica"/>
          <w:i/>
          <w:iCs/>
          <w:sz w:val="22"/>
          <w:szCs w:val="22"/>
          <w:lang w:eastAsia="zh-CN"/>
        </w:rPr>
        <w:t>Elementary School Forum (</w:t>
      </w:r>
      <w:proofErr w:type="spellStart"/>
      <w:r>
        <w:rPr>
          <w:rFonts w:eastAsia="Candara" w:cs="Helvetica"/>
          <w:i/>
          <w:iCs/>
          <w:sz w:val="22"/>
          <w:szCs w:val="22"/>
          <w:lang w:eastAsia="zh-CN"/>
        </w:rPr>
        <w:t>Mimbar</w:t>
      </w:r>
      <w:proofErr w:type="spellEnd"/>
      <w:r>
        <w:rPr>
          <w:rFonts w:eastAsia="Candara" w:cs="Helvetica"/>
          <w:i/>
          <w:iCs/>
          <w:sz w:val="22"/>
          <w:szCs w:val="22"/>
          <w:lang w:eastAsia="zh-CN"/>
        </w:rPr>
        <w:t xml:space="preserve"> </w:t>
      </w:r>
      <w:proofErr w:type="spellStart"/>
      <w:r>
        <w:rPr>
          <w:rFonts w:eastAsia="Candara" w:cs="Helvetica"/>
          <w:i/>
          <w:iCs/>
          <w:sz w:val="22"/>
          <w:szCs w:val="22"/>
          <w:lang w:eastAsia="zh-CN"/>
        </w:rPr>
        <w:t>Sekolah</w:t>
      </w:r>
      <w:proofErr w:type="spellEnd"/>
      <w:r>
        <w:rPr>
          <w:rFonts w:eastAsia="Candara" w:cs="Helvetica"/>
          <w:i/>
          <w:iCs/>
          <w:sz w:val="22"/>
          <w:szCs w:val="22"/>
          <w:lang w:eastAsia="zh-CN"/>
        </w:rPr>
        <w:t xml:space="preserve"> Dasar)</w:t>
      </w:r>
      <w:r>
        <w:rPr>
          <w:rFonts w:eastAsia="Candara" w:cs="Helvetica"/>
          <w:sz w:val="22"/>
          <w:szCs w:val="22"/>
          <w:lang w:eastAsia="zh-CN"/>
        </w:rPr>
        <w:t xml:space="preserve"> (Vol. 10, No. 2, pp. 410-428). Indonesia University of Education. Jl. Mayor </w:t>
      </w:r>
      <w:proofErr w:type="spellStart"/>
      <w:r>
        <w:rPr>
          <w:rFonts w:eastAsia="Candara" w:cs="Helvetica"/>
          <w:sz w:val="22"/>
          <w:szCs w:val="22"/>
          <w:lang w:eastAsia="zh-CN"/>
        </w:rPr>
        <w:t>Abdurachman</w:t>
      </w:r>
      <w:proofErr w:type="spellEnd"/>
      <w:r>
        <w:rPr>
          <w:rFonts w:eastAsia="Candara" w:cs="Helvetica"/>
          <w:sz w:val="22"/>
          <w:szCs w:val="22"/>
          <w:lang w:eastAsia="zh-CN"/>
        </w:rPr>
        <w:t xml:space="preserve"> No. 211, </w:t>
      </w:r>
      <w:proofErr w:type="spellStart"/>
      <w:r>
        <w:rPr>
          <w:rFonts w:eastAsia="Candara" w:cs="Helvetica"/>
          <w:sz w:val="22"/>
          <w:szCs w:val="22"/>
          <w:lang w:eastAsia="zh-CN"/>
        </w:rPr>
        <w:t>Sumedang</w:t>
      </w:r>
      <w:proofErr w:type="spellEnd"/>
      <w:r>
        <w:rPr>
          <w:rFonts w:eastAsia="Candara" w:cs="Helvetica"/>
          <w:sz w:val="22"/>
          <w:szCs w:val="22"/>
          <w:lang w:eastAsia="zh-CN"/>
        </w:rPr>
        <w:t xml:space="preserve">, </w:t>
      </w:r>
      <w:proofErr w:type="spellStart"/>
      <w:r>
        <w:rPr>
          <w:rFonts w:eastAsia="Candara" w:cs="Helvetica"/>
          <w:sz w:val="22"/>
          <w:szCs w:val="22"/>
          <w:lang w:eastAsia="zh-CN"/>
        </w:rPr>
        <w:t>Jawa</w:t>
      </w:r>
      <w:proofErr w:type="spellEnd"/>
      <w:r>
        <w:rPr>
          <w:rFonts w:eastAsia="Candara" w:cs="Helvetica"/>
          <w:sz w:val="22"/>
          <w:szCs w:val="22"/>
          <w:lang w:eastAsia="zh-CN"/>
        </w:rPr>
        <w:t xml:space="preserve"> Barat, 45322, Indonesia. Web site: https://ejournal. </w:t>
      </w:r>
      <w:proofErr w:type="spellStart"/>
      <w:r>
        <w:rPr>
          <w:rFonts w:eastAsia="Candara" w:cs="Helvetica"/>
          <w:sz w:val="22"/>
          <w:szCs w:val="22"/>
          <w:lang w:eastAsia="zh-CN"/>
        </w:rPr>
        <w:t>upi</w:t>
      </w:r>
      <w:proofErr w:type="spellEnd"/>
      <w:r>
        <w:rPr>
          <w:rFonts w:eastAsia="Candara" w:cs="Helvetica"/>
          <w:sz w:val="22"/>
          <w:szCs w:val="22"/>
          <w:lang w:eastAsia="zh-CN"/>
        </w:rPr>
        <w:t xml:space="preserve">. </w:t>
      </w:r>
      <w:proofErr w:type="spellStart"/>
      <w:r>
        <w:rPr>
          <w:rFonts w:eastAsia="Candara" w:cs="Helvetica"/>
          <w:sz w:val="22"/>
          <w:szCs w:val="22"/>
          <w:lang w:eastAsia="zh-CN"/>
        </w:rPr>
        <w:t>edu</w:t>
      </w:r>
      <w:proofErr w:type="spellEnd"/>
      <w:r>
        <w:rPr>
          <w:rFonts w:eastAsia="Candara" w:cs="Helvetica"/>
          <w:sz w:val="22"/>
          <w:szCs w:val="22"/>
          <w:lang w:eastAsia="zh-CN"/>
        </w:rPr>
        <w:t>/index. php/</w:t>
      </w:r>
      <w:proofErr w:type="spellStart"/>
      <w:r>
        <w:rPr>
          <w:rFonts w:eastAsia="Candara" w:cs="Helvetica"/>
          <w:sz w:val="22"/>
          <w:szCs w:val="22"/>
          <w:lang w:eastAsia="zh-CN"/>
        </w:rPr>
        <w:t>mimbar</w:t>
      </w:r>
      <w:proofErr w:type="spellEnd"/>
      <w:r>
        <w:rPr>
          <w:rFonts w:eastAsia="Candara" w:cs="Helvetica"/>
          <w:sz w:val="22"/>
          <w:szCs w:val="22"/>
          <w:lang w:eastAsia="zh-CN"/>
        </w:rPr>
        <w:t xml:space="preserve">/index.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oi.org/110.53400/mimbar-sd.v10i2.51932</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Tanjung</w:t>
      </w:r>
      <w:proofErr w:type="spellEnd"/>
      <w:r>
        <w:rPr>
          <w:rFonts w:eastAsia="Candara" w:cs="Helvetica"/>
          <w:sz w:val="22"/>
          <w:szCs w:val="22"/>
          <w:lang w:eastAsia="zh-CN"/>
        </w:rPr>
        <w:t xml:space="preserve">, Y. I., </w:t>
      </w:r>
      <w:proofErr w:type="spellStart"/>
      <w:r>
        <w:rPr>
          <w:rFonts w:eastAsia="Candara" w:cs="Helvetica"/>
          <w:sz w:val="22"/>
          <w:szCs w:val="22"/>
          <w:lang w:eastAsia="zh-CN"/>
        </w:rPr>
        <w:t>Festiyed</w:t>
      </w:r>
      <w:proofErr w:type="spellEnd"/>
      <w:r>
        <w:rPr>
          <w:rFonts w:eastAsia="Candara" w:cs="Helvetica"/>
          <w:sz w:val="22"/>
          <w:szCs w:val="22"/>
          <w:lang w:eastAsia="zh-CN"/>
        </w:rPr>
        <w:t xml:space="preserve">, F., </w:t>
      </w:r>
      <w:proofErr w:type="spellStart"/>
      <w:r>
        <w:rPr>
          <w:rFonts w:eastAsia="Candara" w:cs="Helvetica"/>
          <w:sz w:val="22"/>
          <w:szCs w:val="22"/>
          <w:lang w:eastAsia="zh-CN"/>
        </w:rPr>
        <w:t>Diliarosta</w:t>
      </w:r>
      <w:proofErr w:type="spellEnd"/>
      <w:r>
        <w:rPr>
          <w:rFonts w:eastAsia="Candara" w:cs="Helvetica"/>
          <w:sz w:val="22"/>
          <w:szCs w:val="22"/>
          <w:lang w:eastAsia="zh-CN"/>
        </w:rPr>
        <w:t xml:space="preserve">, S., </w:t>
      </w:r>
      <w:proofErr w:type="spellStart"/>
      <w:r>
        <w:rPr>
          <w:rFonts w:eastAsia="Candara" w:cs="Helvetica"/>
          <w:sz w:val="22"/>
          <w:szCs w:val="22"/>
          <w:lang w:eastAsia="zh-CN"/>
        </w:rPr>
        <w:t>Asrizal</w:t>
      </w:r>
      <w:proofErr w:type="spellEnd"/>
      <w:r>
        <w:rPr>
          <w:rFonts w:eastAsia="Candara" w:cs="Helvetica"/>
          <w:sz w:val="22"/>
          <w:szCs w:val="22"/>
          <w:lang w:eastAsia="zh-CN"/>
        </w:rPr>
        <w:t xml:space="preserve">, A., </w:t>
      </w:r>
      <w:proofErr w:type="spellStart"/>
      <w:r>
        <w:rPr>
          <w:rFonts w:eastAsia="Candara" w:cs="Helvetica"/>
          <w:sz w:val="22"/>
          <w:szCs w:val="22"/>
          <w:lang w:eastAsia="zh-CN"/>
        </w:rPr>
        <w:t>Arsih</w:t>
      </w:r>
      <w:proofErr w:type="spellEnd"/>
      <w:r>
        <w:rPr>
          <w:rFonts w:eastAsia="Candara" w:cs="Helvetica"/>
          <w:sz w:val="22"/>
          <w:szCs w:val="22"/>
          <w:lang w:eastAsia="zh-CN"/>
        </w:rPr>
        <w:t xml:space="preserve">, F., </w:t>
      </w:r>
      <w:proofErr w:type="spellStart"/>
      <w:r>
        <w:rPr>
          <w:rFonts w:eastAsia="Candara" w:cs="Helvetica"/>
          <w:sz w:val="22"/>
          <w:szCs w:val="22"/>
          <w:lang w:eastAsia="zh-CN"/>
        </w:rPr>
        <w:t>Fadillah</w:t>
      </w:r>
      <w:proofErr w:type="spellEnd"/>
      <w:r>
        <w:rPr>
          <w:rFonts w:eastAsia="Candara" w:cs="Helvetica"/>
          <w:sz w:val="22"/>
          <w:szCs w:val="22"/>
          <w:lang w:eastAsia="zh-CN"/>
        </w:rPr>
        <w:t xml:space="preserve">, M. A., &amp; </w:t>
      </w:r>
      <w:proofErr w:type="spellStart"/>
      <w:r>
        <w:rPr>
          <w:rFonts w:eastAsia="Candara" w:cs="Helvetica"/>
          <w:sz w:val="22"/>
          <w:szCs w:val="22"/>
          <w:lang w:eastAsia="zh-CN"/>
        </w:rPr>
        <w:t>Makrooni</w:t>
      </w:r>
      <w:proofErr w:type="spellEnd"/>
      <w:r>
        <w:rPr>
          <w:rFonts w:eastAsia="Candara" w:cs="Helvetica"/>
          <w:sz w:val="22"/>
          <w:szCs w:val="22"/>
          <w:lang w:eastAsia="zh-CN"/>
        </w:rPr>
        <w:t xml:space="preserve">, G. (2025). Culturally Responsive Teaching in Science Education and its Relationship with </w:t>
      </w:r>
      <w:proofErr w:type="spellStart"/>
      <w:r>
        <w:rPr>
          <w:rFonts w:eastAsia="Candara" w:cs="Helvetica"/>
          <w:sz w:val="22"/>
          <w:szCs w:val="22"/>
          <w:lang w:eastAsia="zh-CN"/>
        </w:rPr>
        <w:t>Technopreneurship</w:t>
      </w:r>
      <w:proofErr w:type="spellEnd"/>
      <w:r>
        <w:rPr>
          <w:rFonts w:eastAsia="Candara" w:cs="Helvetica"/>
          <w:sz w:val="22"/>
          <w:szCs w:val="22"/>
          <w:lang w:eastAsia="zh-CN"/>
        </w:rPr>
        <w:t xml:space="preserve">. </w:t>
      </w:r>
      <w:proofErr w:type="spellStart"/>
      <w:r>
        <w:rPr>
          <w:rFonts w:eastAsia="Candara" w:cs="Helvetica"/>
          <w:i/>
          <w:iCs/>
          <w:sz w:val="22"/>
          <w:szCs w:val="22"/>
          <w:lang w:eastAsia="zh-CN"/>
        </w:rPr>
        <w:t>Aptisi</w:t>
      </w:r>
      <w:proofErr w:type="spellEnd"/>
      <w:r>
        <w:rPr>
          <w:rFonts w:eastAsia="Candara" w:cs="Helvetica"/>
          <w:i/>
          <w:iCs/>
          <w:sz w:val="22"/>
          <w:szCs w:val="22"/>
          <w:lang w:eastAsia="zh-CN"/>
        </w:rPr>
        <w:t xml:space="preserve"> Transactions on </w:t>
      </w:r>
      <w:proofErr w:type="spellStart"/>
      <w:r>
        <w:rPr>
          <w:rFonts w:eastAsia="Candara" w:cs="Helvetica"/>
          <w:i/>
          <w:iCs/>
          <w:sz w:val="22"/>
          <w:szCs w:val="22"/>
          <w:lang w:eastAsia="zh-CN"/>
        </w:rPr>
        <w:t>Technopreneurship</w:t>
      </w:r>
      <w:proofErr w:type="spellEnd"/>
      <w:r>
        <w:rPr>
          <w:rFonts w:eastAsia="Candara" w:cs="Helvetica"/>
          <w:i/>
          <w:iCs/>
          <w:sz w:val="22"/>
          <w:szCs w:val="22"/>
          <w:lang w:eastAsia="zh-CN"/>
        </w:rPr>
        <w:t xml:space="preserve"> (ATT),</w:t>
      </w:r>
      <w:r>
        <w:rPr>
          <w:rFonts w:eastAsia="Candara" w:cs="Helvetica"/>
          <w:sz w:val="22"/>
          <w:szCs w:val="22"/>
          <w:lang w:eastAsia="zh-CN"/>
        </w:rPr>
        <w:t xml:space="preserve"> 7(2), 387-399.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oi.org/10.34306/att.v7i2.563</w:t>
      </w:r>
    </w:p>
    <w:p w:rsidR="000B6B86" w:rsidRDefault="00F50A49">
      <w:pPr>
        <w:ind w:left="360" w:right="141" w:hanging="360"/>
        <w:jc w:val="both"/>
        <w:rPr>
          <w:rFonts w:eastAsia="Candara" w:cs="Helvetica"/>
          <w:sz w:val="22"/>
          <w:szCs w:val="22"/>
          <w:lang w:eastAsia="zh-CN"/>
        </w:rPr>
      </w:pPr>
      <w:r>
        <w:rPr>
          <w:rFonts w:eastAsia="Candara" w:cs="Helvetica"/>
          <w:sz w:val="22"/>
          <w:szCs w:val="22"/>
          <w:lang w:eastAsia="zh-CN"/>
        </w:rPr>
        <w:lastRenderedPageBreak/>
        <w:t xml:space="preserve">Thacker, I., </w:t>
      </w:r>
      <w:proofErr w:type="spellStart"/>
      <w:r>
        <w:rPr>
          <w:rFonts w:eastAsia="Candara" w:cs="Helvetica"/>
          <w:sz w:val="22"/>
          <w:szCs w:val="22"/>
          <w:lang w:eastAsia="zh-CN"/>
        </w:rPr>
        <w:t>Seyranian</w:t>
      </w:r>
      <w:proofErr w:type="spellEnd"/>
      <w:r>
        <w:rPr>
          <w:rFonts w:eastAsia="Candara" w:cs="Helvetica"/>
          <w:sz w:val="22"/>
          <w:szCs w:val="22"/>
          <w:lang w:eastAsia="zh-CN"/>
        </w:rPr>
        <w:t xml:space="preserve">, V., </w:t>
      </w:r>
      <w:proofErr w:type="spellStart"/>
      <w:r>
        <w:rPr>
          <w:rFonts w:eastAsia="Candara" w:cs="Helvetica"/>
          <w:sz w:val="22"/>
          <w:szCs w:val="22"/>
          <w:lang w:eastAsia="zh-CN"/>
        </w:rPr>
        <w:t>Madva</w:t>
      </w:r>
      <w:proofErr w:type="spellEnd"/>
      <w:r>
        <w:rPr>
          <w:rFonts w:eastAsia="Candara" w:cs="Helvetica"/>
          <w:sz w:val="22"/>
          <w:szCs w:val="22"/>
          <w:lang w:eastAsia="zh-CN"/>
        </w:rPr>
        <w:t xml:space="preserve">, A., Duong, N. T., &amp; Beardsley, P. (2022). Social connectedness in physical isolation: Online teaching practices that support under-represented undergraduate students’ feelings of belonging and engagement in STEM. </w:t>
      </w:r>
      <w:r>
        <w:rPr>
          <w:rFonts w:eastAsia="Candara" w:cs="Helvetica"/>
          <w:i/>
          <w:iCs/>
          <w:sz w:val="22"/>
          <w:szCs w:val="22"/>
          <w:lang w:eastAsia="zh-CN"/>
        </w:rPr>
        <w:t>Education Sciences</w:t>
      </w:r>
      <w:r>
        <w:rPr>
          <w:rFonts w:eastAsia="Candara" w:cs="Helvetica"/>
          <w:sz w:val="22"/>
          <w:szCs w:val="22"/>
          <w:lang w:eastAsia="zh-CN"/>
        </w:rPr>
        <w:t>, 12(2), 61.</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oi.org/10.3390/educsci12020061</w:t>
      </w:r>
    </w:p>
    <w:p w:rsidR="000B6B86" w:rsidRDefault="00F50A49">
      <w:pPr>
        <w:ind w:left="360" w:right="141" w:hanging="360"/>
        <w:jc w:val="both"/>
        <w:rPr>
          <w:rFonts w:eastAsia="Candara" w:cs="Helvetica"/>
          <w:sz w:val="22"/>
          <w:szCs w:val="22"/>
          <w:lang w:eastAsia="zh-CN"/>
        </w:rPr>
      </w:pPr>
      <w:proofErr w:type="spellStart"/>
      <w:r>
        <w:rPr>
          <w:rFonts w:eastAsia="Candara" w:cs="Helvetica"/>
          <w:sz w:val="22"/>
          <w:szCs w:val="22"/>
          <w:lang w:eastAsia="zh-CN"/>
        </w:rPr>
        <w:t>Tsiouri</w:t>
      </w:r>
      <w:proofErr w:type="spellEnd"/>
      <w:r>
        <w:rPr>
          <w:rFonts w:eastAsia="Candara" w:cs="Helvetica"/>
          <w:sz w:val="22"/>
          <w:szCs w:val="22"/>
          <w:lang w:eastAsia="zh-CN"/>
        </w:rPr>
        <w:t xml:space="preserve">, E., &amp; </w:t>
      </w:r>
      <w:proofErr w:type="spellStart"/>
      <w:r>
        <w:rPr>
          <w:rFonts w:eastAsia="Candara" w:cs="Helvetica"/>
          <w:sz w:val="22"/>
          <w:szCs w:val="22"/>
          <w:lang w:eastAsia="zh-CN"/>
        </w:rPr>
        <w:t>Kotsis</w:t>
      </w:r>
      <w:proofErr w:type="spellEnd"/>
      <w:r>
        <w:rPr>
          <w:rFonts w:eastAsia="Candara" w:cs="Helvetica"/>
          <w:sz w:val="22"/>
          <w:szCs w:val="22"/>
          <w:lang w:eastAsia="zh-CN"/>
        </w:rPr>
        <w:t xml:space="preserve">, K. T. (2024). Integrating Literature into Science Education: A Comprehensive Guide. </w:t>
      </w:r>
      <w:r>
        <w:rPr>
          <w:rFonts w:eastAsia="Candara" w:cs="Helvetica"/>
          <w:i/>
          <w:iCs/>
          <w:sz w:val="22"/>
          <w:szCs w:val="22"/>
          <w:lang w:eastAsia="zh-CN"/>
        </w:rPr>
        <w:t>Journal of Literature Advances,</w:t>
      </w:r>
      <w:r>
        <w:rPr>
          <w:rFonts w:eastAsia="Candara" w:cs="Helvetica"/>
          <w:sz w:val="22"/>
          <w:szCs w:val="22"/>
          <w:lang w:eastAsia="zh-CN"/>
        </w:rPr>
        <w:t xml:space="preserve"> 1(1), 36-47.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oi.org/10.26855/jla.2024.12.004</w:t>
      </w:r>
    </w:p>
    <w:p w:rsidR="000B6B86" w:rsidRDefault="00F50A49">
      <w:pPr>
        <w:ind w:left="360" w:right="141" w:hanging="360"/>
        <w:jc w:val="both"/>
        <w:rPr>
          <w:rStyle w:val="Hyperlink"/>
          <w:rFonts w:eastAsia="Helvetica Neue" w:cs="Helvetica"/>
          <w:color w:val="4C8DEA"/>
          <w:sz w:val="22"/>
          <w:szCs w:val="22"/>
          <w:u w:val="none"/>
          <w:shd w:val="clear" w:color="auto" w:fill="FFFFFF"/>
          <w:lang w:eastAsia="zh-CN"/>
        </w:rPr>
      </w:pPr>
      <w:r>
        <w:rPr>
          <w:rFonts w:eastAsia="Candara" w:cs="Helvetica"/>
          <w:sz w:val="22"/>
          <w:szCs w:val="22"/>
          <w:lang w:eastAsia="zh-CN"/>
        </w:rPr>
        <w:t xml:space="preserve">Verma, C., Chauhan, D. S., Aslam, R., Banerjee, P., Aslam, J., </w:t>
      </w:r>
      <w:proofErr w:type="spellStart"/>
      <w:r>
        <w:rPr>
          <w:rFonts w:eastAsia="Candara" w:cs="Helvetica"/>
          <w:sz w:val="22"/>
          <w:szCs w:val="22"/>
          <w:lang w:eastAsia="zh-CN"/>
        </w:rPr>
        <w:t>Quadri</w:t>
      </w:r>
      <w:proofErr w:type="spellEnd"/>
      <w:r>
        <w:rPr>
          <w:rFonts w:eastAsia="Candara" w:cs="Helvetica"/>
          <w:sz w:val="22"/>
          <w:szCs w:val="22"/>
          <w:lang w:eastAsia="zh-CN"/>
        </w:rPr>
        <w:t xml:space="preserve">, T. W., ... &amp; Rasheed, T. (2024). Principles and theories of green chemistry for corrosion science and engineering: design and application. Green Chemistry, 26(8), 4270-4357.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oi.org/10.1039/D3GC05207A</w:t>
      </w:r>
    </w:p>
    <w:p w:rsidR="000B6B86" w:rsidRDefault="00F50A49">
      <w:pPr>
        <w:ind w:left="360" w:right="141" w:hanging="360"/>
        <w:jc w:val="both"/>
        <w:rPr>
          <w:rStyle w:val="Hyperlink"/>
          <w:rFonts w:eastAsia="Helvetica Neue" w:cs="Helvetica"/>
          <w:color w:val="0D0D0D" w:themeColor="text1" w:themeTint="F2"/>
          <w:sz w:val="22"/>
          <w:szCs w:val="22"/>
          <w:u w:val="none"/>
          <w:shd w:val="clear" w:color="auto" w:fill="FFFFFF"/>
          <w:lang w:eastAsia="zh-CN"/>
        </w:rPr>
      </w:pPr>
      <w:r>
        <w:rPr>
          <w:rStyle w:val="Hyperlink"/>
          <w:rFonts w:eastAsia="Helvetica Neue" w:cs="Helvetica"/>
          <w:color w:val="0D0D0D" w:themeColor="text1" w:themeTint="F2"/>
          <w:sz w:val="22"/>
          <w:szCs w:val="22"/>
          <w:u w:val="none"/>
          <w:shd w:val="clear" w:color="auto" w:fill="FFFFFF"/>
          <w:lang w:eastAsia="zh-CN"/>
        </w:rPr>
        <w:t xml:space="preserve">Wang, Y., Feng, X., Guo, J., Gong, S., Wu, Y., &amp; Wang, J. (2022). Benefits of affective pedagogical agents in multimedia instruction. </w:t>
      </w:r>
      <w:r>
        <w:rPr>
          <w:rStyle w:val="Hyperlink"/>
          <w:rFonts w:eastAsia="Helvetica Neue" w:cs="Helvetica"/>
          <w:i/>
          <w:iCs/>
          <w:color w:val="0D0D0D" w:themeColor="text1" w:themeTint="F2"/>
          <w:sz w:val="22"/>
          <w:szCs w:val="22"/>
          <w:u w:val="none"/>
          <w:shd w:val="clear" w:color="auto" w:fill="FFFFFF"/>
          <w:lang w:eastAsia="zh-CN"/>
        </w:rPr>
        <w:t>Frontiers in psychology,</w:t>
      </w:r>
      <w:r>
        <w:rPr>
          <w:rStyle w:val="Hyperlink"/>
          <w:rFonts w:eastAsia="Helvetica Neue" w:cs="Helvetica"/>
          <w:color w:val="0D0D0D" w:themeColor="text1" w:themeTint="F2"/>
          <w:sz w:val="22"/>
          <w:szCs w:val="22"/>
          <w:u w:val="none"/>
          <w:shd w:val="clear" w:color="auto" w:fill="FFFFFF"/>
          <w:lang w:eastAsia="zh-CN"/>
        </w:rPr>
        <w:t xml:space="preserve"> 12, 797236.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oi.org/10.3389/fpsyg.2021.797236</w:t>
      </w:r>
    </w:p>
    <w:p w:rsidR="000B6B86" w:rsidRDefault="00F50A49">
      <w:pPr>
        <w:ind w:left="360" w:right="141" w:hanging="360"/>
        <w:jc w:val="both"/>
        <w:rPr>
          <w:rStyle w:val="Hyperlink"/>
          <w:rFonts w:eastAsia="Helvetica Neue" w:cs="Helvetica"/>
          <w:color w:val="4C8DEA"/>
          <w:sz w:val="22"/>
          <w:szCs w:val="22"/>
          <w:u w:val="none"/>
          <w:shd w:val="clear" w:color="auto" w:fill="FFFFFF"/>
          <w:lang w:val="id-ID" w:eastAsia="zh-CN"/>
        </w:rPr>
      </w:pPr>
      <w:r>
        <w:rPr>
          <w:rStyle w:val="Hyperlink"/>
          <w:rFonts w:eastAsia="Helvetica Neue" w:cs="Helvetica"/>
          <w:color w:val="0D0D0D" w:themeColor="text1" w:themeTint="F2"/>
          <w:sz w:val="22"/>
          <w:szCs w:val="22"/>
          <w:u w:val="none"/>
          <w:shd w:val="clear" w:color="auto" w:fill="FFFFFF"/>
          <w:lang w:eastAsia="zh-CN"/>
        </w:rPr>
        <w:t xml:space="preserve">Zhang, D., Zhang, J., Cao, M., Zhu, Y., &amp; Yang, G. (2023). Testing the effectiveness of motivation-based teaching in Nursing English course: A quasi-experimental study. </w:t>
      </w:r>
      <w:r>
        <w:rPr>
          <w:rStyle w:val="Hyperlink"/>
          <w:rFonts w:eastAsia="Helvetica Neue" w:cs="Helvetica"/>
          <w:i/>
          <w:iCs/>
          <w:color w:val="0D0D0D" w:themeColor="text1" w:themeTint="F2"/>
          <w:sz w:val="22"/>
          <w:szCs w:val="22"/>
          <w:u w:val="none"/>
          <w:shd w:val="clear" w:color="auto" w:fill="FFFFFF"/>
          <w:lang w:eastAsia="zh-CN"/>
        </w:rPr>
        <w:t>Nurse Education Today</w:t>
      </w:r>
      <w:r>
        <w:rPr>
          <w:rStyle w:val="Hyperlink"/>
          <w:rFonts w:eastAsia="Helvetica Neue" w:cs="Helvetica"/>
          <w:color w:val="0D0D0D" w:themeColor="text1" w:themeTint="F2"/>
          <w:sz w:val="22"/>
          <w:szCs w:val="22"/>
          <w:u w:val="none"/>
          <w:shd w:val="clear" w:color="auto" w:fill="FFFFFF"/>
          <w:lang w:eastAsia="zh-CN"/>
        </w:rPr>
        <w:t>, 122, 105723</w:t>
      </w:r>
      <w:r>
        <w:rPr>
          <w:rStyle w:val="Hyperlink"/>
          <w:rFonts w:eastAsia="Helvetica Neue" w:cs="Helvetica"/>
          <w:color w:val="4C8DEA"/>
          <w:sz w:val="22"/>
          <w:szCs w:val="22"/>
          <w:u w:val="none"/>
          <w:shd w:val="clear" w:color="auto" w:fill="FFFFFF"/>
          <w:lang w:eastAsia="zh-CN"/>
        </w:rPr>
        <w:t xml:space="preserve">. </w:t>
      </w:r>
      <w:r>
        <w:rPr>
          <w:rStyle w:val="Hyperlink"/>
          <w:rFonts w:eastAsia="Helvetica Neue" w:cs="Helvetica"/>
          <w:color w:val="4C8DEA"/>
          <w:sz w:val="22"/>
          <w:szCs w:val="22"/>
          <w:u w:val="none"/>
          <w:shd w:val="clear" w:color="auto" w:fill="FFFFFF"/>
          <w:lang w:val="id-ID" w:eastAsia="zh-CN"/>
        </w:rPr>
        <w:t>d</w:t>
      </w:r>
      <w:r>
        <w:rPr>
          <w:rStyle w:val="Hyperlink"/>
          <w:rFonts w:eastAsia="Helvetica Neue" w:cs="Helvetica"/>
          <w:color w:val="4C8DEA"/>
          <w:sz w:val="22"/>
          <w:szCs w:val="22"/>
          <w:u w:val="none"/>
          <w:shd w:val="clear" w:color="auto" w:fill="FFFFFF"/>
          <w:lang w:eastAsia="zh-CN"/>
        </w:rPr>
        <w:t>oi.org/10.1016/j.nedt.2023.105723</w:t>
      </w:r>
    </w:p>
    <w:p w:rsidR="000B6B86" w:rsidRDefault="000B6B86">
      <w:pPr>
        <w:pStyle w:val="Appendix"/>
        <w:spacing w:after="0"/>
        <w:jc w:val="both"/>
        <w:rPr>
          <w:rFonts w:cs="Helvetica"/>
          <w:b w:val="0"/>
          <w:szCs w:val="22"/>
        </w:rPr>
        <w:sectPr w:rsidR="000B6B86" w:rsidSect="000E2C99">
          <w:headerReference w:type="even" r:id="rId21"/>
          <w:headerReference w:type="default" r:id="rId22"/>
          <w:footerReference w:type="default" r:id="rId23"/>
          <w:headerReference w:type="first" r:id="rId24"/>
          <w:type w:val="continuous"/>
          <w:pgSz w:w="12240" w:h="15840"/>
          <w:pgMar w:top="1440" w:right="2016" w:bottom="2016" w:left="2016" w:header="720" w:footer="1123" w:gutter="0"/>
          <w:cols w:space="720"/>
          <w:docGrid w:linePitch="272"/>
        </w:sectPr>
      </w:pPr>
    </w:p>
    <w:p w:rsidR="000B6B86" w:rsidRDefault="000B6B86">
      <w:pPr>
        <w:pStyle w:val="Appendix"/>
        <w:spacing w:after="0"/>
        <w:jc w:val="both"/>
        <w:rPr>
          <w:rFonts w:cs="Helvetica"/>
          <w:b w:val="0"/>
          <w:szCs w:val="22"/>
        </w:rPr>
      </w:pPr>
    </w:p>
    <w:sectPr w:rsidR="000B6B86" w:rsidSect="000E2C99">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C00FD" w:rsidRDefault="00FC00FD">
      <w:r>
        <w:separator/>
      </w:r>
    </w:p>
  </w:endnote>
  <w:endnote w:type="continuationSeparator" w:id="0">
    <w:p w:rsidR="00FC00FD" w:rsidRDefault="00FC0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Helvetica Neue">
    <w:altName w:val="SimSun"/>
    <w:charset w:val="00"/>
    <w:family w:val="auto"/>
    <w:pitch w:val="default"/>
    <w:sig w:usb0="00000000" w:usb1="00000000" w:usb2="00000010" w:usb3="00000000" w:csb0="0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B86" w:rsidRPr="000E2C99" w:rsidRDefault="000B6B86" w:rsidP="000E2C99">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B86" w:rsidRDefault="000B6B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C00FD" w:rsidRDefault="00FC00FD">
      <w:r>
        <w:separator/>
      </w:r>
    </w:p>
  </w:footnote>
  <w:footnote w:type="continuationSeparator" w:id="0">
    <w:p w:rsidR="00FC00FD" w:rsidRDefault="00FC0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29"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30"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B6B86" w:rsidRDefault="000E2C9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28"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rsidR="000B6B86" w:rsidRDefault="00F50A49">
    <w:pPr>
      <w:ind w:left="4320"/>
      <w:rPr>
        <w:rFonts w:ascii="Times New Roman" w:eastAsia="Calibri" w:hAnsi="Times New Roman"/>
        <w:i/>
        <w:sz w:val="18"/>
        <w:szCs w:val="22"/>
      </w:rPr>
    </w:pPr>
    <w:r>
      <w:rPr>
        <w:rFonts w:ascii="Times New Roman" w:eastAsia="Calibri" w:hAnsi="Times New Roman"/>
        <w:i/>
        <w:sz w:val="18"/>
        <w:szCs w:val="22"/>
      </w:rPr>
      <w:t xml:space="preserve">.     </w:t>
    </w:r>
  </w:p>
  <w:p w:rsidR="000B6B86" w:rsidRDefault="00F50A49">
    <w:pPr>
      <w:jc w:val="center"/>
      <w:rPr>
        <w:rFonts w:ascii="Times New Roman" w:eastAsia="Calibri" w:hAnsi="Times New Roman"/>
        <w:i/>
        <w:sz w:val="18"/>
        <w:szCs w:val="22"/>
      </w:rPr>
    </w:pPr>
    <w:r>
      <w:rPr>
        <w:rFonts w:ascii="Times New Roman" w:eastAsia="Calibri" w:hAnsi="Times New Roman"/>
        <w:i/>
        <w:sz w:val="18"/>
        <w:szCs w:val="22"/>
      </w:rPr>
      <w:t>.</w:t>
    </w:r>
  </w:p>
  <w:p w:rsidR="000B6B86" w:rsidRDefault="00F50A49">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rsidR="000B6B86" w:rsidRDefault="00F50A49">
    <w:pPr>
      <w:jc w:val="center"/>
      <w:rPr>
        <w:rFonts w:ascii="Times New Roman" w:eastAsia="Calibri" w:hAnsi="Times New Roman"/>
        <w:i/>
        <w:sz w:val="18"/>
        <w:szCs w:val="22"/>
      </w:rPr>
    </w:pPr>
    <w:r>
      <w:rPr>
        <w:rFonts w:ascii="Times New Roman" w:eastAsia="Calibri" w:hAnsi="Times New Roman"/>
        <w:i/>
        <w:sz w:val="18"/>
        <w:szCs w:val="22"/>
      </w:rPr>
      <w:t xml:space="preserve">                     </w:t>
    </w:r>
  </w:p>
  <w:p w:rsidR="000B6B86" w:rsidRDefault="00F50A4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0B6B86" w:rsidRDefault="00F50A49">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32"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33"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2C99" w:rsidRDefault="000E2C9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821749831"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doNotExpandShiftReturn/>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A6219"/>
    <w:rsid w:val="8F3E2844"/>
    <w:rsid w:val="95F7E625"/>
    <w:rsid w:val="DBBFC412"/>
    <w:rsid w:val="DF7F12BE"/>
    <w:rsid w:val="DFD74CA4"/>
    <w:rsid w:val="F8FEE56B"/>
    <w:rsid w:val="FBFF3385"/>
    <w:rsid w:val="FCFF1FF4"/>
    <w:rsid w:val="FF3BC69A"/>
    <w:rsid w:val="FFBF2613"/>
    <w:rsid w:val="00000F8F"/>
    <w:rsid w:val="00030174"/>
    <w:rsid w:val="0004579C"/>
    <w:rsid w:val="000A47FA"/>
    <w:rsid w:val="000A65D3"/>
    <w:rsid w:val="000B1E33"/>
    <w:rsid w:val="000B6B86"/>
    <w:rsid w:val="000D689F"/>
    <w:rsid w:val="000E2C99"/>
    <w:rsid w:val="000E7B7B"/>
    <w:rsid w:val="000E7D62"/>
    <w:rsid w:val="00103357"/>
    <w:rsid w:val="00123C9F"/>
    <w:rsid w:val="00126190"/>
    <w:rsid w:val="00130F17"/>
    <w:rsid w:val="001320BF"/>
    <w:rsid w:val="00163BC4"/>
    <w:rsid w:val="00191062"/>
    <w:rsid w:val="00192B72"/>
    <w:rsid w:val="001A29D8"/>
    <w:rsid w:val="001A5CAA"/>
    <w:rsid w:val="001B0427"/>
    <w:rsid w:val="001D1A42"/>
    <w:rsid w:val="001D3A51"/>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3056E"/>
    <w:rsid w:val="00554FDA"/>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D2288"/>
    <w:rsid w:val="007E088F"/>
    <w:rsid w:val="007F7B32"/>
    <w:rsid w:val="00804BC2"/>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5160"/>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57C00"/>
    <w:rsid w:val="00C70F1B"/>
    <w:rsid w:val="00C71A47"/>
    <w:rsid w:val="00C7464C"/>
    <w:rsid w:val="00C85588"/>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0A49"/>
    <w:rsid w:val="00F53273"/>
    <w:rsid w:val="00F755E4"/>
    <w:rsid w:val="00F77D02"/>
    <w:rsid w:val="00FB3A86"/>
    <w:rsid w:val="00FC00FD"/>
    <w:rsid w:val="00FD36C8"/>
    <w:rsid w:val="0C60135C"/>
    <w:rsid w:val="0DA63A8D"/>
    <w:rsid w:val="192D615C"/>
    <w:rsid w:val="20594BAA"/>
    <w:rsid w:val="3A4849AC"/>
    <w:rsid w:val="3C7C176A"/>
    <w:rsid w:val="3EEE956D"/>
    <w:rsid w:val="3F778693"/>
    <w:rsid w:val="57FFBC53"/>
    <w:rsid w:val="63EC2194"/>
    <w:rsid w:val="659DEE31"/>
    <w:rsid w:val="6F9F0F92"/>
    <w:rsid w:val="6FFEF2FB"/>
    <w:rsid w:val="74777CF0"/>
    <w:rsid w:val="7ECD53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shapelayout>
  </w:shapeDefaults>
  <w:decimalSymbol w:val="."/>
  <w:listSeparator w:val=","/>
  <w14:docId w14:val="244B30C0"/>
  <w15:docId w15:val="{3468F79F-2AFE-4C08-AFE4-48070D294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eastAsia="Times New Roman" w:hAnsi="Helvetica"/>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3">
    <w:name w:val="heading 3"/>
    <w:basedOn w:val="Normal"/>
    <w:next w:val="Normal"/>
    <w:unhideWhenUsed/>
    <w:qFormat/>
    <w:pPr>
      <w:keepNext/>
      <w:spacing w:before="240" w:after="60"/>
      <w:outlineLvl w:val="2"/>
    </w:pPr>
    <w:rPr>
      <w:rFonts w:ascii="Calibri Light" w:hAnsi="Calibri Light"/>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5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qFormat/>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qFormat/>
    <w:pPr>
      <w:spacing w:after="240"/>
      <w:jc w:val="both"/>
    </w:pPr>
  </w:style>
  <w:style w:type="paragraph" w:customStyle="1" w:styleId="AbstHead">
    <w:name w:val="Abst Head"/>
    <w:basedOn w:val="MainHead"/>
    <w:qFormat/>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qFormat/>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papertitle">
    <w:name w:val="paper title"/>
    <w:uiPriority w:val="99"/>
    <w:qFormat/>
    <w:pPr>
      <w:spacing w:after="120"/>
      <w:jc w:val="center"/>
    </w:pPr>
    <w:rPr>
      <w:rFonts w:eastAsia="Times New Roman"/>
      <w:bCs/>
      <w:sz w:val="48"/>
      <w:szCs w:val="48"/>
    </w:rPr>
  </w:style>
  <w:style w:type="character" w:customStyle="1" w:styleId="tlid-translation">
    <w:name w:val="tlid-translation"/>
    <w:qFormat/>
  </w:style>
  <w:style w:type="character" w:customStyle="1" w:styleId="font01">
    <w:name w:val="font01"/>
    <w:qFormat/>
    <w:rPr>
      <w:rFonts w:ascii="Calibri" w:hAnsi="Calibri" w:cs="Calibri" w:hint="default"/>
      <w:color w:val="000000"/>
      <w:sz w:val="22"/>
      <w:szCs w:val="22"/>
      <w:u w:val="none"/>
    </w:rPr>
  </w:style>
  <w:style w:type="table" w:customStyle="1" w:styleId="TableNormal1">
    <w:name w:val="Table Normal1"/>
    <w:qFormat/>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1D1A4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diagramColors" Target="diagrams/colors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4.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diagramQuickStyle" Target="diagrams/quickStyle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Layout" Target="diagrams/layout1.xml"/><Relationship Id="rId20"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6.xml"/><Relationship Id="rId5" Type="http://schemas.openxmlformats.org/officeDocument/2006/relationships/settings" Target="settings.xml"/><Relationship Id="rId15" Type="http://schemas.openxmlformats.org/officeDocument/2006/relationships/diagramData" Target="diagrams/data1.xml"/><Relationship Id="rId23" Type="http://schemas.openxmlformats.org/officeDocument/2006/relationships/footer" Target="footer4.xml"/><Relationship Id="rId10" Type="http://schemas.openxmlformats.org/officeDocument/2006/relationships/header" Target="header2.xml"/><Relationship Id="rId19" Type="http://schemas.microsoft.com/office/2007/relationships/diagramDrawing" Target="diagrams/drawing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5.xml"/></Relationships>
</file>

<file path=word/charts/_rels/chart1.xml.rels><?xml version="1.0" encoding="UTF-8" standalone="yes"?>
<Relationships xmlns="http://schemas.openxmlformats.org/package/2006/relationships"><Relationship Id="rId3" Type="http://schemas.openxmlformats.org/officeDocument/2006/relationships/oleObject" Target="/Volumes/Untitled/Publikasi%202025/Mann%20Whitney%20U.xlsx"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'[Mann Whitney U.xlsx]Sheet2'!$D$54</c:f>
              <c:strCache>
                <c:ptCount val="1"/>
                <c:pt idx="0">
                  <c:v>Experiment</c:v>
                </c:pt>
              </c:strCache>
            </c:strRef>
          </c:tx>
          <c:spPr>
            <a:solidFill>
              <a:schemeClr val="accent1"/>
            </a:solidFill>
            <a:ln>
              <a:noFill/>
            </a:ln>
            <a:effectLst/>
          </c:spPr>
          <c:invertIfNegative val="0"/>
          <c:cat>
            <c:strRef>
              <c:f>'[Mann Whitney U.xlsx]Sheet2'!$E$53:$J$53</c:f>
              <c:strCache>
                <c:ptCount val="6"/>
                <c:pt idx="0">
                  <c:v>Interest</c:v>
                </c:pt>
                <c:pt idx="1">
                  <c:v>Desire</c:v>
                </c:pt>
                <c:pt idx="2">
                  <c:v>Pleasure</c:v>
                </c:pt>
                <c:pt idx="3">
                  <c:v>Family</c:v>
                </c:pt>
                <c:pt idx="4">
                  <c:v>Environment</c:v>
                </c:pt>
                <c:pt idx="5">
                  <c:v>Facilities and Infrastructure</c:v>
                </c:pt>
              </c:strCache>
            </c:strRef>
          </c:cat>
          <c:val>
            <c:numRef>
              <c:f>'[Mann Whitney U.xlsx]Sheet2'!$E$54:$J$54</c:f>
              <c:numCache>
                <c:formatCode>General</c:formatCode>
                <c:ptCount val="6"/>
                <c:pt idx="0" formatCode="_-* #,##0.00_-;\-* #,##0.00_-;_-* &quot;-&quot;??_-;_-@_-">
                  <c:v>78.7</c:v>
                </c:pt>
                <c:pt idx="1">
                  <c:v>81.41</c:v>
                </c:pt>
                <c:pt idx="2">
                  <c:v>81.94</c:v>
                </c:pt>
                <c:pt idx="3">
                  <c:v>80.41</c:v>
                </c:pt>
                <c:pt idx="4">
                  <c:v>80.41</c:v>
                </c:pt>
                <c:pt idx="5">
                  <c:v>81.67</c:v>
                </c:pt>
              </c:numCache>
            </c:numRef>
          </c:val>
          <c:extLst>
            <c:ext xmlns:c16="http://schemas.microsoft.com/office/drawing/2014/chart" uri="{C3380CC4-5D6E-409C-BE32-E72D297353CC}">
              <c16:uniqueId val="{00000000-8C35-4BDE-BDAB-A50365175850}"/>
            </c:ext>
          </c:extLst>
        </c:ser>
        <c:ser>
          <c:idx val="1"/>
          <c:order val="1"/>
          <c:tx>
            <c:strRef>
              <c:f>'[Mann Whitney U.xlsx]Sheet2'!$D$55</c:f>
              <c:strCache>
                <c:ptCount val="1"/>
                <c:pt idx="0">
                  <c:v>Control</c:v>
                </c:pt>
              </c:strCache>
            </c:strRef>
          </c:tx>
          <c:spPr>
            <a:solidFill>
              <a:schemeClr val="accent2"/>
            </a:solidFill>
            <a:ln>
              <a:noFill/>
            </a:ln>
            <a:effectLst/>
          </c:spPr>
          <c:invertIfNegative val="0"/>
          <c:cat>
            <c:strRef>
              <c:f>'[Mann Whitney U.xlsx]Sheet2'!$E$53:$J$53</c:f>
              <c:strCache>
                <c:ptCount val="6"/>
                <c:pt idx="0">
                  <c:v>Interest</c:v>
                </c:pt>
                <c:pt idx="1">
                  <c:v>Desire</c:v>
                </c:pt>
                <c:pt idx="2">
                  <c:v>Pleasure</c:v>
                </c:pt>
                <c:pt idx="3">
                  <c:v>Family</c:v>
                </c:pt>
                <c:pt idx="4">
                  <c:v>Environment</c:v>
                </c:pt>
                <c:pt idx="5">
                  <c:v>Facilities and Infrastructure</c:v>
                </c:pt>
              </c:strCache>
            </c:strRef>
          </c:cat>
          <c:val>
            <c:numRef>
              <c:f>'[Mann Whitney U.xlsx]Sheet2'!$E$55:$J$55</c:f>
              <c:numCache>
                <c:formatCode>General</c:formatCode>
                <c:ptCount val="6"/>
                <c:pt idx="0">
                  <c:v>70.67</c:v>
                </c:pt>
                <c:pt idx="1">
                  <c:v>75.430000000000007</c:v>
                </c:pt>
                <c:pt idx="2">
                  <c:v>74.569999999999993</c:v>
                </c:pt>
                <c:pt idx="3">
                  <c:v>78.36</c:v>
                </c:pt>
                <c:pt idx="4">
                  <c:v>70.010000000000005</c:v>
                </c:pt>
                <c:pt idx="5">
                  <c:v>73.709999999999994</c:v>
                </c:pt>
              </c:numCache>
            </c:numRef>
          </c:val>
          <c:extLst>
            <c:ext xmlns:c16="http://schemas.microsoft.com/office/drawing/2014/chart" uri="{C3380CC4-5D6E-409C-BE32-E72D297353CC}">
              <c16:uniqueId val="{00000001-8C35-4BDE-BDAB-A50365175850}"/>
            </c:ext>
          </c:extLst>
        </c:ser>
        <c:dLbls>
          <c:showLegendKey val="0"/>
          <c:showVal val="0"/>
          <c:showCatName val="0"/>
          <c:showSerName val="0"/>
          <c:showPercent val="0"/>
          <c:showBubbleSize val="0"/>
        </c:dLbls>
        <c:gapWidth val="150"/>
        <c:axId val="870521649"/>
        <c:axId val="785860517"/>
      </c:barChart>
      <c:catAx>
        <c:axId val="870521649"/>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en-US" sz="900" b="0" i="0" u="none" strike="noStrike" kern="1200" baseline="0">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crossAx val="785860517"/>
        <c:crosses val="autoZero"/>
        <c:auto val="1"/>
        <c:lblAlgn val="ctr"/>
        <c:lblOffset val="100"/>
        <c:noMultiLvlLbl val="0"/>
      </c:catAx>
      <c:valAx>
        <c:axId val="785860517"/>
        <c:scaling>
          <c:orientation val="minMax"/>
        </c:scaling>
        <c:delete val="0"/>
        <c:axPos val="l"/>
        <c:majorGridlines>
          <c:spPr>
            <a:ln w="9525" cap="flat" cmpd="sng" algn="ctr">
              <a:solidFill>
                <a:schemeClr val="lt1">
                  <a:lumMod val="90200"/>
                </a:schemeClr>
              </a:solidFill>
              <a:round/>
            </a:ln>
            <a:effectLst/>
          </c:spPr>
        </c:majorGridlines>
        <c:numFmt formatCode="_-* #,##0.00_-;\-* #,##0.00_-;_-* &quot;-&quot;??_-;_-@_-" sourceLinked="1"/>
        <c:majorTickMark val="none"/>
        <c:minorTickMark val="none"/>
        <c:tickLblPos val="nextTo"/>
        <c:spPr>
          <a:noFill/>
          <a:ln>
            <a:noFill/>
          </a:ln>
          <a:effectLst/>
        </c:spPr>
        <c:txPr>
          <a:bodyPr rot="-60000000" spcFirstLastPara="0" vertOverflow="ellipsis" vert="horz" wrap="square" anchor="ctr" anchorCtr="1"/>
          <a:lstStyle/>
          <a:p>
            <a:pPr>
              <a:defRPr lang="en-US" sz="900" b="0" i="0" u="none" strike="noStrike" kern="1200" baseline="0">
                <a:solidFill>
                  <a:schemeClr val="tx1">
                    <a:lumMod val="95000"/>
                    <a:lumOff val="5000"/>
                  </a:schemeClr>
                </a:solidFill>
                <a:latin typeface="Times New Roman Regular" panose="02020803070505020304" charset="0"/>
                <a:ea typeface="Times New Roman Regular" panose="02020803070505020304" charset="0"/>
                <a:cs typeface="Times New Roman Regular" panose="02020803070505020304" charset="0"/>
                <a:sym typeface="Times New Roman Regular" panose="02020803070505020304" charset="0"/>
              </a:defRPr>
            </a:pPr>
            <a:endParaRPr lang="en-US"/>
          </a:p>
        </c:txPr>
        <c:crossAx val="870521649"/>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0" vertOverflow="ellipsis" vert="horz" wrap="square" anchor="ctr" anchorCtr="1"/>
          <a:lstStyle/>
          <a:p>
            <a:pPr rtl="0">
              <a:defRPr lang="en-US" sz="900" b="0" i="0" u="none" strike="noStrike" kern="1200" baseline="0">
                <a:solidFill>
                  <a:schemeClr val="tx1">
                    <a:lumMod val="95000"/>
                    <a:lumOff val="5000"/>
                  </a:schemeClr>
                </a:solidFill>
                <a:latin typeface="Times New Roman Regular" panose="02020803070505020304" charset="0"/>
                <a:ea typeface="Times New Roman Regular" panose="02020803070505020304" charset="0"/>
                <a:cs typeface="Times New Roman Regular" panose="02020803070505020304" charset="0"/>
                <a:sym typeface="Times New Roman Regular" panose="02020803070505020304" charset="0"/>
              </a:defRPr>
            </a:pPr>
            <a:endParaRPr lang="en-US"/>
          </a:p>
        </c:txPr>
      </c:dTable>
      <c:spPr>
        <a:noFill/>
        <a:ln>
          <a:noFill/>
        </a:ln>
        <a:effectLst/>
      </c:spPr>
    </c:plotArea>
    <c:plotVisOnly val="1"/>
    <c:dispBlanksAs val="gap"/>
    <c:showDLblsOverMax val="0"/>
    <c:extLst>
      <c:ext uri="{0b15fc19-7d7d-44ad-8c2d-2c3a37ce22c3}">
        <chartProps xmlns="https://web.wps.cn/et/2018/main" chartId="{44bf8402-d5c1-4652-8049-a24a9e733884}"/>
      </c:ext>
    </c:extLst>
  </c:chart>
  <c:spPr>
    <a:solidFill>
      <a:schemeClr val="bg1"/>
    </a:solidFill>
    <a:ln w="9525" cap="flat" cmpd="sng" algn="ctr">
      <a:solidFill>
        <a:schemeClr val="tx1">
          <a:lumMod val="15000"/>
          <a:lumOff val="85000"/>
        </a:schemeClr>
      </a:solidFill>
      <a:round/>
    </a:ln>
    <a:effectLst/>
  </c:spPr>
  <c:txPr>
    <a:bodyPr/>
    <a:lstStyle/>
    <a:p>
      <a:pPr>
        <a:defRPr lang="en-US">
          <a:solidFill>
            <a:schemeClr val="tx1">
              <a:lumMod val="95000"/>
              <a:lumOff val="5000"/>
            </a:schemeClr>
          </a:solidFill>
          <a:latin typeface="Helvetica Regular" charset="0"/>
          <a:ea typeface="Helvetica Regular" charset="0"/>
          <a:cs typeface="Helvetica Regular" charset="0"/>
          <a:sym typeface="Helvetica Regular"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0_1#1">
  <dgm:title val=""/>
  <dgm:desc val=""/>
  <dgm:catLst>
    <dgm:cat type="mainScheme" pri="10100"/>
  </dgm:catLst>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colorsDef>
</file>

<file path=word/diagrams/data1.xml><?xml version="1.0" encoding="utf-8"?>
<dgm:dataModel xmlns:dgm="http://schemas.openxmlformats.org/drawingml/2006/diagram" xmlns:a="http://schemas.openxmlformats.org/drawingml/2006/main">
  <dgm:ptLst>
    <dgm:pt modelId="{8EB1D179-D23D-41D4-AEEF-E4B9FEB06903}" type="doc">
      <dgm:prSet loTypeId="urn:microsoft.com/office/officeart/2005/8/layout/process1" loCatId="process" qsTypeId="urn:microsoft.com/office/officeart/2005/8/quickstyle/simple1#1" qsCatId="simple" csTypeId="urn:microsoft.com/office/officeart/2005/8/colors/accent0_1#1" csCatId="accent1" phldr="0"/>
      <dgm:spPr/>
    </dgm:pt>
    <dgm:pt modelId="{3F25DA44-7F3E-4C17-A40B-7F663FDBEA65}">
      <dgm:prSet phldrT="[Text]" phldr="0" custT="1"/>
      <dgm:spPr/>
      <dgm:t>
        <a:bodyPr vert="horz" wrap="square"/>
        <a:lstStyle/>
        <a:p>
          <a:pPr>
            <a:lnSpc>
              <a:spcPct val="100000"/>
            </a:lnSpc>
            <a:spcBef>
              <a:spcPct val="0"/>
            </a:spcBef>
            <a:spcAft>
              <a:spcPct val="35000"/>
            </a:spcAft>
          </a:pPr>
          <a:r>
            <a:rPr lang="en-US" sz="800" b="1">
              <a:latin typeface="Helvetica" pitchFamily="2" charset="0"/>
              <a:cs typeface="Helvetica" pitchFamily="2" charset="0"/>
            </a:rPr>
            <a:t>Lesson Planning</a:t>
          </a:r>
          <a:endParaRPr lang="en-US" sz="800">
            <a:latin typeface="Helvetica" pitchFamily="2" charset="0"/>
            <a:cs typeface="Helvetica" pitchFamily="2" charset="0"/>
          </a:endParaRPr>
        </a:p>
        <a:p>
          <a:pPr>
            <a:lnSpc>
              <a:spcPct val="100000"/>
            </a:lnSpc>
            <a:spcBef>
              <a:spcPct val="0"/>
            </a:spcBef>
            <a:spcAft>
              <a:spcPct val="35000"/>
            </a:spcAft>
          </a:pPr>
          <a:r>
            <a:rPr lang="en-US" sz="800">
              <a:latin typeface="Helvetica" pitchFamily="2" charset="0"/>
              <a:cs typeface="Helvetica" pitchFamily="2" charset="0"/>
            </a:rPr>
            <a:t>1. Preparing students worksheets</a:t>
          </a:r>
        </a:p>
        <a:p>
          <a:pPr>
            <a:lnSpc>
              <a:spcPct val="100000"/>
            </a:lnSpc>
            <a:spcBef>
              <a:spcPct val="0"/>
            </a:spcBef>
            <a:spcAft>
              <a:spcPct val="35000"/>
            </a:spcAft>
          </a:pPr>
          <a:r>
            <a:rPr lang="en-US" sz="800">
              <a:latin typeface="Helvetica" pitchFamily="2" charset="0"/>
              <a:cs typeface="Helvetica" pitchFamily="2" charset="0"/>
            </a:rPr>
            <a:t>2. Developing a learning motivation instrument</a:t>
          </a:r>
          <a:endParaRPr sz="800">
            <a:latin typeface="Helvetica" pitchFamily="2" charset="0"/>
            <a:cs typeface="Helvetica" pitchFamily="2" charset="0"/>
          </a:endParaRPr>
        </a:p>
      </dgm:t>
    </dgm:pt>
    <dgm:pt modelId="{EE9066D1-3403-4469-8E8C-0D40A82430F2}" type="parTrans" cxnId="{25E639D4-228E-45C3-986B-9C0E01E95F19}">
      <dgm:prSet/>
      <dgm:spPr/>
      <dgm:t>
        <a:bodyPr/>
        <a:lstStyle/>
        <a:p>
          <a:endParaRPr lang="id-ID"/>
        </a:p>
      </dgm:t>
    </dgm:pt>
    <dgm:pt modelId="{8EC5AF5E-9C9F-410A-A755-A3EA5186F948}" type="sibTrans" cxnId="{25E639D4-228E-45C3-986B-9C0E01E95F19}">
      <dgm:prSet phldr="0" custT="1"/>
      <dgm:spPr/>
      <dgm:t>
        <a:bodyPr vert="horz" wrap="square"/>
        <a:lstStyle/>
        <a:p>
          <a:pPr>
            <a:lnSpc>
              <a:spcPct val="100000"/>
            </a:lnSpc>
            <a:spcBef>
              <a:spcPct val="0"/>
            </a:spcBef>
            <a:spcAft>
              <a:spcPct val="35000"/>
            </a:spcAft>
          </a:pPr>
          <a:endParaRPr lang="en-US" sz="800">
            <a:latin typeface="Helvetica" pitchFamily="2" charset="0"/>
            <a:cs typeface="Helvetica" pitchFamily="2" charset="0"/>
          </a:endParaRPr>
        </a:p>
      </dgm:t>
    </dgm:pt>
    <dgm:pt modelId="{2E2F4D3A-969C-4DB2-9FA9-5C4A40369351}">
      <dgm:prSet phldrT="[Text]" phldr="0" custT="1"/>
      <dgm:spPr/>
      <dgm:t>
        <a:bodyPr vert="horz" wrap="square"/>
        <a:lstStyle/>
        <a:p>
          <a:pPr>
            <a:lnSpc>
              <a:spcPct val="100000"/>
            </a:lnSpc>
            <a:spcBef>
              <a:spcPct val="0"/>
            </a:spcBef>
            <a:spcAft>
              <a:spcPct val="35000"/>
            </a:spcAft>
          </a:pPr>
          <a:r>
            <a:rPr lang="en-US" sz="800" b="1">
              <a:latin typeface="Helvetica" pitchFamily="2" charset="0"/>
              <a:cs typeface="Helvetica" pitchFamily="2" charset="0"/>
            </a:rPr>
            <a:t>Instructional Implementation</a:t>
          </a:r>
          <a:endParaRPr lang="en-US" sz="800">
            <a:latin typeface="Helvetica" pitchFamily="2" charset="0"/>
            <a:cs typeface="Helvetica" pitchFamily="2" charset="0"/>
          </a:endParaRPr>
        </a:p>
        <a:p>
          <a:pPr>
            <a:lnSpc>
              <a:spcPct val="100000"/>
            </a:lnSpc>
            <a:spcBef>
              <a:spcPct val="0"/>
            </a:spcBef>
            <a:spcAft>
              <a:spcPct val="35000"/>
            </a:spcAft>
          </a:pPr>
          <a:r>
            <a:rPr lang="en-US" sz="800">
              <a:latin typeface="Helvetica" pitchFamily="2" charset="0"/>
              <a:cs typeface="Helvetica" pitchFamily="2" charset="0"/>
            </a:rPr>
            <a:t>1. Experimental Group: used student worksheets</a:t>
          </a:r>
        </a:p>
        <a:p>
          <a:pPr>
            <a:lnSpc>
              <a:spcPct val="100000"/>
            </a:lnSpc>
            <a:spcBef>
              <a:spcPct val="0"/>
            </a:spcBef>
            <a:spcAft>
              <a:spcPct val="35000"/>
            </a:spcAft>
          </a:pPr>
          <a:r>
            <a:rPr lang="en-US" sz="800">
              <a:latin typeface="Helvetica" pitchFamily="2" charset="0"/>
              <a:cs typeface="Helvetica" pitchFamily="2" charset="0"/>
            </a:rPr>
            <a:t>2. Control: Convensional</a:t>
          </a:r>
          <a:endParaRPr sz="800">
            <a:latin typeface="Helvetica" pitchFamily="2" charset="0"/>
            <a:cs typeface="Helvetica" pitchFamily="2" charset="0"/>
          </a:endParaRPr>
        </a:p>
      </dgm:t>
    </dgm:pt>
    <dgm:pt modelId="{1E934BFE-4D40-486C-8784-F698A10C4CF5}" type="parTrans" cxnId="{939F2C05-A735-4F37-8FCC-D282E0CF27F1}">
      <dgm:prSet/>
      <dgm:spPr/>
      <dgm:t>
        <a:bodyPr/>
        <a:lstStyle/>
        <a:p>
          <a:endParaRPr lang="id-ID"/>
        </a:p>
      </dgm:t>
    </dgm:pt>
    <dgm:pt modelId="{EC1AFF77-9232-4EEB-95CB-85CEAB3B1FC0}" type="sibTrans" cxnId="{939F2C05-A735-4F37-8FCC-D282E0CF27F1}">
      <dgm:prSet phldr="0" custT="1"/>
      <dgm:spPr/>
      <dgm:t>
        <a:bodyPr vert="horz" wrap="square"/>
        <a:lstStyle/>
        <a:p>
          <a:pPr>
            <a:lnSpc>
              <a:spcPct val="100000"/>
            </a:lnSpc>
            <a:spcBef>
              <a:spcPct val="0"/>
            </a:spcBef>
            <a:spcAft>
              <a:spcPct val="35000"/>
            </a:spcAft>
          </a:pPr>
          <a:endParaRPr lang="en-US" sz="800">
            <a:latin typeface="Helvetica" pitchFamily="2" charset="0"/>
            <a:cs typeface="Helvetica" pitchFamily="2" charset="0"/>
          </a:endParaRPr>
        </a:p>
      </dgm:t>
    </dgm:pt>
    <dgm:pt modelId="{37B86CFA-59B5-46FA-8A6B-9FB187CE14DF}">
      <dgm:prSet phldrT="[Text]" phldr="0" custT="1"/>
      <dgm:spPr/>
      <dgm:t>
        <a:bodyPr vert="horz" wrap="square"/>
        <a:lstStyle/>
        <a:p>
          <a:pPr>
            <a:lnSpc>
              <a:spcPct val="100000"/>
            </a:lnSpc>
            <a:spcBef>
              <a:spcPct val="0"/>
            </a:spcBef>
            <a:spcAft>
              <a:spcPct val="35000"/>
            </a:spcAft>
          </a:pPr>
          <a:r>
            <a:rPr lang="en-US" sz="800" b="1">
              <a:latin typeface="Helvetica" pitchFamily="2" charset="0"/>
              <a:cs typeface="Helvetica" pitchFamily="2" charset="0"/>
            </a:rPr>
            <a:t>Evaluation of Learning</a:t>
          </a:r>
        </a:p>
        <a:p>
          <a:pPr>
            <a:lnSpc>
              <a:spcPct val="100000"/>
            </a:lnSpc>
            <a:spcBef>
              <a:spcPct val="0"/>
            </a:spcBef>
            <a:spcAft>
              <a:spcPct val="35000"/>
            </a:spcAft>
          </a:pPr>
          <a:r>
            <a:rPr lang="en-US" sz="800">
              <a:latin typeface="Helvetica" pitchFamily="2" charset="0"/>
              <a:cs typeface="Helvetica" pitchFamily="2" charset="0"/>
            </a:rPr>
            <a:t>1. Students were given a questionnaire to complete</a:t>
          </a:r>
        </a:p>
        <a:p>
          <a:pPr>
            <a:lnSpc>
              <a:spcPct val="100000"/>
            </a:lnSpc>
            <a:spcBef>
              <a:spcPct val="0"/>
            </a:spcBef>
            <a:spcAft>
              <a:spcPct val="35000"/>
            </a:spcAft>
          </a:pPr>
          <a:r>
            <a:rPr lang="en-US" sz="800">
              <a:latin typeface="Helvetica" pitchFamily="2" charset="0"/>
              <a:cs typeface="Helvetica" pitchFamily="2" charset="0"/>
            </a:rPr>
            <a:t>2. Data tabulation, data analisys, conclusion</a:t>
          </a:r>
          <a:endParaRPr sz="800">
            <a:latin typeface="Helvetica" pitchFamily="2" charset="0"/>
            <a:cs typeface="Helvetica" pitchFamily="2" charset="0"/>
          </a:endParaRPr>
        </a:p>
      </dgm:t>
    </dgm:pt>
    <dgm:pt modelId="{9DABF4F3-A9E6-40B1-A863-AC9409CC14BB}" type="parTrans" cxnId="{EFE079DC-9D29-4FF1-A794-71D01162E0FA}">
      <dgm:prSet/>
      <dgm:spPr/>
      <dgm:t>
        <a:bodyPr/>
        <a:lstStyle/>
        <a:p>
          <a:endParaRPr lang="id-ID"/>
        </a:p>
      </dgm:t>
    </dgm:pt>
    <dgm:pt modelId="{18EFF3C3-47F9-402B-A3F3-E9310EA281B4}" type="sibTrans" cxnId="{EFE079DC-9D29-4FF1-A794-71D01162E0FA}">
      <dgm:prSet/>
      <dgm:spPr/>
      <dgm:t>
        <a:bodyPr/>
        <a:lstStyle/>
        <a:p>
          <a:endParaRPr lang="id-ID"/>
        </a:p>
      </dgm:t>
    </dgm:pt>
    <dgm:pt modelId="{BF708676-7EFC-4C81-9D3A-3E677EAC1C7B}" type="pres">
      <dgm:prSet presAssocID="{8EB1D179-D23D-41D4-AEEF-E4B9FEB06903}" presName="Name0" presStyleCnt="0">
        <dgm:presLayoutVars>
          <dgm:dir/>
          <dgm:resizeHandles val="exact"/>
        </dgm:presLayoutVars>
      </dgm:prSet>
      <dgm:spPr/>
    </dgm:pt>
    <dgm:pt modelId="{111DEAC9-5D4C-4A6A-A44E-082A26F60596}" type="pres">
      <dgm:prSet presAssocID="{3F25DA44-7F3E-4C17-A40B-7F663FDBEA65}" presName="node" presStyleLbl="node1" presStyleIdx="0" presStyleCnt="3">
        <dgm:presLayoutVars>
          <dgm:bulletEnabled val="1"/>
        </dgm:presLayoutVars>
      </dgm:prSet>
      <dgm:spPr/>
    </dgm:pt>
    <dgm:pt modelId="{8A5CF0CE-3323-464D-9C63-05C1BDB053F5}" type="pres">
      <dgm:prSet presAssocID="{8EC5AF5E-9C9F-410A-A755-A3EA5186F948}" presName="sibTrans" presStyleLbl="sibTrans2D1" presStyleIdx="0" presStyleCnt="2"/>
      <dgm:spPr/>
    </dgm:pt>
    <dgm:pt modelId="{5FA465F6-7607-499F-BFB2-52F4E071FB67}" type="pres">
      <dgm:prSet presAssocID="{8EC5AF5E-9C9F-410A-A755-A3EA5186F948}" presName="connectorText" presStyleLbl="sibTrans2D1" presStyleIdx="0" presStyleCnt="2"/>
      <dgm:spPr/>
    </dgm:pt>
    <dgm:pt modelId="{552FB8E7-A5FB-4CC3-94C3-CE0BDF19F9F1}" type="pres">
      <dgm:prSet presAssocID="{2E2F4D3A-969C-4DB2-9FA9-5C4A40369351}" presName="node" presStyleLbl="node1" presStyleIdx="1" presStyleCnt="3">
        <dgm:presLayoutVars>
          <dgm:bulletEnabled val="1"/>
        </dgm:presLayoutVars>
      </dgm:prSet>
      <dgm:spPr/>
    </dgm:pt>
    <dgm:pt modelId="{353C3794-50AA-4D44-83C9-CE28317C3317}" type="pres">
      <dgm:prSet presAssocID="{EC1AFF77-9232-4EEB-95CB-85CEAB3B1FC0}" presName="sibTrans" presStyleLbl="sibTrans2D1" presStyleIdx="1" presStyleCnt="2"/>
      <dgm:spPr/>
    </dgm:pt>
    <dgm:pt modelId="{5AFF040D-0639-4120-9E39-DA822CF9F321}" type="pres">
      <dgm:prSet presAssocID="{EC1AFF77-9232-4EEB-95CB-85CEAB3B1FC0}" presName="connectorText" presStyleLbl="sibTrans2D1" presStyleIdx="1" presStyleCnt="2"/>
      <dgm:spPr/>
    </dgm:pt>
    <dgm:pt modelId="{A1E15D63-E1FF-4A28-A04F-A2B65927BC31}" type="pres">
      <dgm:prSet presAssocID="{37B86CFA-59B5-46FA-8A6B-9FB187CE14DF}" presName="node" presStyleLbl="node1" presStyleIdx="2" presStyleCnt="3">
        <dgm:presLayoutVars>
          <dgm:bulletEnabled val="1"/>
        </dgm:presLayoutVars>
      </dgm:prSet>
      <dgm:spPr/>
    </dgm:pt>
  </dgm:ptLst>
  <dgm:cxnLst>
    <dgm:cxn modelId="{939F2C05-A735-4F37-8FCC-D282E0CF27F1}" srcId="{8EB1D179-D23D-41D4-AEEF-E4B9FEB06903}" destId="{2E2F4D3A-969C-4DB2-9FA9-5C4A40369351}" srcOrd="1" destOrd="0" parTransId="{1E934BFE-4D40-486C-8784-F698A10C4CF5}" sibTransId="{EC1AFF77-9232-4EEB-95CB-85CEAB3B1FC0}"/>
    <dgm:cxn modelId="{56BF130E-3647-42E5-8E0F-EA91393D56F6}" type="presOf" srcId="{EC1AFF77-9232-4EEB-95CB-85CEAB3B1FC0}" destId="{5AFF040D-0639-4120-9E39-DA822CF9F321}" srcOrd="1" destOrd="0" presId="urn:microsoft.com/office/officeart/2005/8/layout/process1"/>
    <dgm:cxn modelId="{B7C5E233-D05A-4680-AE24-FAF6C5129832}" type="presOf" srcId="{EC1AFF77-9232-4EEB-95CB-85CEAB3B1FC0}" destId="{353C3794-50AA-4D44-83C9-CE28317C3317}" srcOrd="0" destOrd="0" presId="urn:microsoft.com/office/officeart/2005/8/layout/process1"/>
    <dgm:cxn modelId="{EA2E6776-1793-4EB9-A353-F551654108D2}" type="presOf" srcId="{2E2F4D3A-969C-4DB2-9FA9-5C4A40369351}" destId="{552FB8E7-A5FB-4CC3-94C3-CE0BDF19F9F1}" srcOrd="0" destOrd="0" presId="urn:microsoft.com/office/officeart/2005/8/layout/process1"/>
    <dgm:cxn modelId="{FFB291C5-4A9A-42FC-833B-D85349D78C36}" type="presOf" srcId="{3F25DA44-7F3E-4C17-A40B-7F663FDBEA65}" destId="{111DEAC9-5D4C-4A6A-A44E-082A26F60596}" srcOrd="0" destOrd="0" presId="urn:microsoft.com/office/officeart/2005/8/layout/process1"/>
    <dgm:cxn modelId="{2176D8CA-E10F-4604-AD13-3BD85B2FC0A3}" type="presOf" srcId="{8EC5AF5E-9C9F-410A-A755-A3EA5186F948}" destId="{5FA465F6-7607-499F-BFB2-52F4E071FB67}" srcOrd="1" destOrd="0" presId="urn:microsoft.com/office/officeart/2005/8/layout/process1"/>
    <dgm:cxn modelId="{25E639D4-228E-45C3-986B-9C0E01E95F19}" srcId="{8EB1D179-D23D-41D4-AEEF-E4B9FEB06903}" destId="{3F25DA44-7F3E-4C17-A40B-7F663FDBEA65}" srcOrd="0" destOrd="0" parTransId="{EE9066D1-3403-4469-8E8C-0D40A82430F2}" sibTransId="{8EC5AF5E-9C9F-410A-A755-A3EA5186F948}"/>
    <dgm:cxn modelId="{EFE079DC-9D29-4FF1-A794-71D01162E0FA}" srcId="{8EB1D179-D23D-41D4-AEEF-E4B9FEB06903}" destId="{37B86CFA-59B5-46FA-8A6B-9FB187CE14DF}" srcOrd="2" destOrd="0" parTransId="{9DABF4F3-A9E6-40B1-A863-AC9409CC14BB}" sibTransId="{18EFF3C3-47F9-402B-A3F3-E9310EA281B4}"/>
    <dgm:cxn modelId="{123DBAE8-D5EC-46E9-BBEA-2184DB5A5FEE}" type="presOf" srcId="{8EB1D179-D23D-41D4-AEEF-E4B9FEB06903}" destId="{BF708676-7EFC-4C81-9D3A-3E677EAC1C7B}" srcOrd="0" destOrd="0" presId="urn:microsoft.com/office/officeart/2005/8/layout/process1"/>
    <dgm:cxn modelId="{DDE192EA-09DA-426E-9DB2-52E9FFCBC84F}" type="presOf" srcId="{37B86CFA-59B5-46FA-8A6B-9FB187CE14DF}" destId="{A1E15D63-E1FF-4A28-A04F-A2B65927BC31}" srcOrd="0" destOrd="0" presId="urn:microsoft.com/office/officeart/2005/8/layout/process1"/>
    <dgm:cxn modelId="{AFDA34F2-C33E-42FC-B391-A8A8CE4375CC}" type="presOf" srcId="{8EC5AF5E-9C9F-410A-A755-A3EA5186F948}" destId="{8A5CF0CE-3323-464D-9C63-05C1BDB053F5}" srcOrd="0" destOrd="0" presId="urn:microsoft.com/office/officeart/2005/8/layout/process1"/>
    <dgm:cxn modelId="{E62F64EE-5C16-4D58-BF48-DB503F7052A8}" type="presParOf" srcId="{BF708676-7EFC-4C81-9D3A-3E677EAC1C7B}" destId="{111DEAC9-5D4C-4A6A-A44E-082A26F60596}" srcOrd="0" destOrd="0" presId="urn:microsoft.com/office/officeart/2005/8/layout/process1"/>
    <dgm:cxn modelId="{21917FAE-E6B9-477D-A3F9-22D441AB0075}" type="presParOf" srcId="{BF708676-7EFC-4C81-9D3A-3E677EAC1C7B}" destId="{8A5CF0CE-3323-464D-9C63-05C1BDB053F5}" srcOrd="1" destOrd="0" presId="urn:microsoft.com/office/officeart/2005/8/layout/process1"/>
    <dgm:cxn modelId="{96BE5DF9-5F0B-4AEC-8FF3-B324D53BFCB8}" type="presParOf" srcId="{8A5CF0CE-3323-464D-9C63-05C1BDB053F5}" destId="{5FA465F6-7607-499F-BFB2-52F4E071FB67}" srcOrd="0" destOrd="0" presId="urn:microsoft.com/office/officeart/2005/8/layout/process1"/>
    <dgm:cxn modelId="{CB4C68E2-D92A-4DAF-8CD6-A42CC23E455D}" type="presParOf" srcId="{BF708676-7EFC-4C81-9D3A-3E677EAC1C7B}" destId="{552FB8E7-A5FB-4CC3-94C3-CE0BDF19F9F1}" srcOrd="2" destOrd="0" presId="urn:microsoft.com/office/officeart/2005/8/layout/process1"/>
    <dgm:cxn modelId="{391D6D9A-4B6A-4DAE-AA3D-2D1CF2B1B0AA}" type="presParOf" srcId="{BF708676-7EFC-4C81-9D3A-3E677EAC1C7B}" destId="{353C3794-50AA-4D44-83C9-CE28317C3317}" srcOrd="3" destOrd="0" presId="urn:microsoft.com/office/officeart/2005/8/layout/process1"/>
    <dgm:cxn modelId="{64C22EA9-6A5F-461C-8250-CFC3D84731D6}" type="presParOf" srcId="{353C3794-50AA-4D44-83C9-CE28317C3317}" destId="{5AFF040D-0639-4120-9E39-DA822CF9F321}" srcOrd="0" destOrd="0" presId="urn:microsoft.com/office/officeart/2005/8/layout/process1"/>
    <dgm:cxn modelId="{A3325B7D-D914-4756-9A27-26CE0A0A3CB0}" type="presParOf" srcId="{BF708676-7EFC-4C81-9D3A-3E677EAC1C7B}" destId="{A1E15D63-E1FF-4A28-A04F-A2B65927BC31}" srcOrd="4" destOrd="0" presId="urn:microsoft.com/office/officeart/2005/8/layout/process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11DEAC9-5D4C-4A6A-A44E-082A26F60596}">
      <dsp:nvSpPr>
        <dsp:cNvPr id="0" name=""/>
        <dsp:cNvSpPr/>
      </dsp:nvSpPr>
      <dsp:spPr bwMode="white">
        <a:xfrm>
          <a:off x="4487" y="283133"/>
          <a:ext cx="1341164" cy="8046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b="1" kern="1200">
              <a:latin typeface="Helvetica" pitchFamily="2" charset="0"/>
              <a:cs typeface="Helvetica" pitchFamily="2" charset="0"/>
            </a:rPr>
            <a:t>Lesson Planning</a:t>
          </a:r>
          <a:endParaRPr lang="en-US" sz="800" kern="1200">
            <a:latin typeface="Helvetica" pitchFamily="2" charset="0"/>
            <a:cs typeface="Helvetica" pitchFamily="2" charset="0"/>
          </a:endParaRP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1. Preparing students worksheets</a:t>
          </a: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2. Developing a learning motivation instrument</a:t>
          </a:r>
          <a:endParaRPr sz="800" kern="1200">
            <a:latin typeface="Helvetica" pitchFamily="2" charset="0"/>
            <a:cs typeface="Helvetica" pitchFamily="2" charset="0"/>
          </a:endParaRPr>
        </a:p>
      </dsp:txBody>
      <dsp:txXfrm>
        <a:off x="28056" y="306702"/>
        <a:ext cx="1294026" cy="757560"/>
      </dsp:txXfrm>
    </dsp:sp>
    <dsp:sp modelId="{8A5CF0CE-3323-464D-9C63-05C1BDB053F5}">
      <dsp:nvSpPr>
        <dsp:cNvPr id="0" name=""/>
        <dsp:cNvSpPr/>
      </dsp:nvSpPr>
      <dsp:spPr bwMode="white">
        <a:xfrm>
          <a:off x="1479768" y="519178"/>
          <a:ext cx="284326" cy="3326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100000"/>
            </a:lnSpc>
            <a:spcBef>
              <a:spcPct val="0"/>
            </a:spcBef>
            <a:spcAft>
              <a:spcPct val="35000"/>
            </a:spcAft>
            <a:buNone/>
          </a:pPr>
          <a:endParaRPr lang="en-US" sz="800" kern="1200">
            <a:latin typeface="Helvetica" pitchFamily="2" charset="0"/>
            <a:cs typeface="Helvetica" pitchFamily="2" charset="0"/>
          </a:endParaRPr>
        </a:p>
      </dsp:txBody>
      <dsp:txXfrm>
        <a:off x="1479768" y="585700"/>
        <a:ext cx="199028" cy="199564"/>
      </dsp:txXfrm>
    </dsp:sp>
    <dsp:sp modelId="{552FB8E7-A5FB-4CC3-94C3-CE0BDF19F9F1}">
      <dsp:nvSpPr>
        <dsp:cNvPr id="0" name=""/>
        <dsp:cNvSpPr/>
      </dsp:nvSpPr>
      <dsp:spPr bwMode="white">
        <a:xfrm>
          <a:off x="1882117" y="283133"/>
          <a:ext cx="1341164" cy="8046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b="1" kern="1200">
              <a:latin typeface="Helvetica" pitchFamily="2" charset="0"/>
              <a:cs typeface="Helvetica" pitchFamily="2" charset="0"/>
            </a:rPr>
            <a:t>Instructional Implementation</a:t>
          </a:r>
          <a:endParaRPr lang="en-US" sz="800" kern="1200">
            <a:latin typeface="Helvetica" pitchFamily="2" charset="0"/>
            <a:cs typeface="Helvetica" pitchFamily="2" charset="0"/>
          </a:endParaRP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1. Experimental Group: used student worksheets</a:t>
          </a: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2. Control: Convensional</a:t>
          </a:r>
          <a:endParaRPr sz="800" kern="1200">
            <a:latin typeface="Helvetica" pitchFamily="2" charset="0"/>
            <a:cs typeface="Helvetica" pitchFamily="2" charset="0"/>
          </a:endParaRPr>
        </a:p>
      </dsp:txBody>
      <dsp:txXfrm>
        <a:off x="1905686" y="306702"/>
        <a:ext cx="1294026" cy="757560"/>
      </dsp:txXfrm>
    </dsp:sp>
    <dsp:sp modelId="{353C3794-50AA-4D44-83C9-CE28317C3317}">
      <dsp:nvSpPr>
        <dsp:cNvPr id="0" name=""/>
        <dsp:cNvSpPr/>
      </dsp:nvSpPr>
      <dsp:spPr bwMode="white">
        <a:xfrm>
          <a:off x="3357398" y="519178"/>
          <a:ext cx="284326" cy="332608"/>
        </a:xfrm>
        <a:prstGeom prst="rightArrow">
          <a:avLst>
            <a:gd name="adj1" fmla="val 60000"/>
            <a:gd name="adj2" fmla="val 50000"/>
          </a:avLst>
        </a:prstGeom>
        <a:solidFill>
          <a:schemeClr val="dk1">
            <a:tint val="60000"/>
            <a:hueOff val="0"/>
            <a:satOff val="0"/>
            <a:lumOff val="0"/>
            <a:alphaOff val="0"/>
          </a:schemeClr>
        </a:solid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marL="0" lvl="0" indent="0" algn="ctr" defTabSz="355600">
            <a:lnSpc>
              <a:spcPct val="100000"/>
            </a:lnSpc>
            <a:spcBef>
              <a:spcPct val="0"/>
            </a:spcBef>
            <a:spcAft>
              <a:spcPct val="35000"/>
            </a:spcAft>
            <a:buNone/>
          </a:pPr>
          <a:endParaRPr lang="en-US" sz="800" kern="1200">
            <a:latin typeface="Helvetica" pitchFamily="2" charset="0"/>
            <a:cs typeface="Helvetica" pitchFamily="2" charset="0"/>
          </a:endParaRPr>
        </a:p>
      </dsp:txBody>
      <dsp:txXfrm>
        <a:off x="3357398" y="585700"/>
        <a:ext cx="199028" cy="199564"/>
      </dsp:txXfrm>
    </dsp:sp>
    <dsp:sp modelId="{A1E15D63-E1FF-4A28-A04F-A2B65927BC31}">
      <dsp:nvSpPr>
        <dsp:cNvPr id="0" name=""/>
        <dsp:cNvSpPr/>
      </dsp:nvSpPr>
      <dsp:spPr bwMode="white">
        <a:xfrm>
          <a:off x="3759748" y="283133"/>
          <a:ext cx="1341164" cy="804698"/>
        </a:xfrm>
        <a:prstGeom prst="roundRect">
          <a:avLst>
            <a:gd name="adj" fmla="val 10000"/>
          </a:avLst>
        </a:prstGeom>
        <a:solidFill>
          <a:schemeClr val="lt1">
            <a:hueOff val="0"/>
            <a:satOff val="0"/>
            <a:lumOff val="0"/>
            <a:alphaOff val="0"/>
          </a:schemeClr>
        </a:solidFill>
        <a:ln w="25400" cap="flat" cmpd="sng" algn="ctr">
          <a:solidFill>
            <a:schemeClr val="dk1">
              <a:shade val="80000"/>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marL="0" lvl="0" indent="0" algn="ctr" defTabSz="355600">
            <a:lnSpc>
              <a:spcPct val="100000"/>
            </a:lnSpc>
            <a:spcBef>
              <a:spcPct val="0"/>
            </a:spcBef>
            <a:spcAft>
              <a:spcPct val="35000"/>
            </a:spcAft>
            <a:buNone/>
          </a:pPr>
          <a:r>
            <a:rPr lang="en-US" sz="800" b="1" kern="1200">
              <a:latin typeface="Helvetica" pitchFamily="2" charset="0"/>
              <a:cs typeface="Helvetica" pitchFamily="2" charset="0"/>
            </a:rPr>
            <a:t>Evaluation of Learning</a:t>
          </a: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1. Students were given a questionnaire to complete</a:t>
          </a:r>
        </a:p>
        <a:p>
          <a:pPr marL="0" lvl="0" indent="0" algn="ctr" defTabSz="355600">
            <a:lnSpc>
              <a:spcPct val="100000"/>
            </a:lnSpc>
            <a:spcBef>
              <a:spcPct val="0"/>
            </a:spcBef>
            <a:spcAft>
              <a:spcPct val="35000"/>
            </a:spcAft>
            <a:buNone/>
          </a:pPr>
          <a:r>
            <a:rPr lang="en-US" sz="800" kern="1200">
              <a:latin typeface="Helvetica" pitchFamily="2" charset="0"/>
              <a:cs typeface="Helvetica" pitchFamily="2" charset="0"/>
            </a:rPr>
            <a:t>2. Data tabulation, data analisys, conclusion</a:t>
          </a:r>
          <a:endParaRPr sz="800" kern="1200">
            <a:latin typeface="Helvetica" pitchFamily="2" charset="0"/>
            <a:cs typeface="Helvetica" pitchFamily="2" charset="0"/>
          </a:endParaRPr>
        </a:p>
      </dsp:txBody>
      <dsp:txXfrm>
        <a:off x="3783317" y="306702"/>
        <a:ext cx="1294026" cy="757560"/>
      </dsp:txXfrm>
    </dsp:sp>
  </dsp:spTree>
</dsp:drawing>
</file>

<file path=word/diagrams/layout1.xml><?xml version="1.0" encoding="utf-8"?>
<dgm:layoutDef xmlns:dgm="http://schemas.openxmlformats.org/drawingml/2006/diagram" xmlns:a="http://schemas.openxmlformats.org/drawingml/2006/main" uniqueId="urn:microsoft.com/office/officeart/2005/8/layout/process1">
  <dgm:title val=""/>
  <dgm:desc val=""/>
  <dgm:catLst>
    <dgm:cat type="process" pri="1000"/>
    <dgm:cat type="convert" pri="1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ptType="node" refType="w"/>
      <dgm:constr type="h" for="ch" ptType="node" op="equ"/>
      <dgm:constr type="primFontSz" for="ch" ptType="node" op="equ" val="65"/>
      <dgm:constr type="w" for="ch" ptType="sibTrans" refType="w" refFor="ch" refPtType="node" op="equ" fact="0.4"/>
      <dgm:constr type="h" for="ch" ptType="sibTrans" op="equ"/>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shape xmlns:r="http://schemas.openxmlformats.org/officeDocument/2006/relationships" type="roundRect" r:blip="">
          <dgm:adjLst>
            <dgm:adj idx="1" val="0.1"/>
          </dgm:adjLst>
        </dgm:shape>
        <dgm:presOf axis="desOrSelf" ptType="node"/>
        <dgm:constrLst>
          <dgm:constr type="h" refType="w" fact="0.6"/>
          <dgm:constr type="tMarg" refType="primFontSz" fact="0.3"/>
          <dgm:constr type="bMarg" refType="primFontSz" fact="0.3"/>
          <dgm:constr type="lMarg" refType="primFontSz" fact="0.3"/>
          <dgm:constr type="rMarg" refType="primFontSz" fact="0.3"/>
        </dgm:constrLst>
        <dgm:ruleLst>
          <dgm:rule type="primFontSz" val="18" fact="NaN" max="NaN"/>
          <dgm:rule type="h" val="NaN" fact="1.5" max="NaN"/>
          <dgm:rule type="primFontSz" val="5" fact="NaN" max="NaN"/>
          <dgm:rule type="h" val="INF" fact="NaN" max="NaN"/>
        </dgm:ruleLst>
      </dgm:layoutNode>
      <dgm:forEach name="sibTransForEach" axis="followSib" ptType="sibTrans" cnt="1">
        <dgm:layoutNode name="sibTrans">
          <dgm:alg type="conn">
            <dgm:param type="begPts" val="auto"/>
            <dgm:param type="endPts" val="auto"/>
          </dgm:alg>
          <dgm:shape xmlns:r="http://schemas.openxmlformats.org/officeDocument/2006/relationships" type="conn" r:blip="">
            <dgm:adjLst/>
          </dgm:shape>
          <dgm:presOf axis="self"/>
          <dgm:constrLst>
            <dgm:constr type="h" refType="w" fact="0.62"/>
            <dgm:constr type="connDist"/>
            <dgm:constr type="begPad" refType="connDist" fact="0.25"/>
            <dgm:constr type="endPad" refType="connDist" fact="0.22"/>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1">
  <dgm:title val=""/>
  <dgm:desc val=""/>
  <dgm:catLst>
    <dgm:cat type="simple" pri="10100"/>
  </dgm:catLst>
  <dgm:scene3d>
    <a:camera prst="orthographicFront"/>
    <a:lightRig rig="threePt" dir="t"/>
  </dgm:scene3d>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0C6A3AF-7F78-4AB8-BECE-2EBE98990A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4627</Words>
  <Characters>26374</Characters>
  <Application>Microsoft Office Word</Application>
  <DocSecurity>0</DocSecurity>
  <Lines>219</Lines>
  <Paragraphs>61</Paragraphs>
  <ScaleCrop>false</ScaleCrop>
  <Company>aaaa</Company>
  <LinksUpToDate>false</LinksUpToDate>
  <CharactersWithSpaces>30940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cp:revision>
  <cp:lastPrinted>1999-07-07T08:00:00Z</cp:lastPrinted>
  <dcterms:created xsi:type="dcterms:W3CDTF">2014-10-26T11:34:00Z</dcterms:created>
  <dcterms:modified xsi:type="dcterms:W3CDTF">2025-10-08T07:00:00Z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1057-12.2.0.22549</vt:lpwstr>
  </property>
  <property fmtid="{D5CDD505-2E9C-101B-9397-08002B2CF9AE}" pid="3" name="ICV">
    <vt:lpwstr>1E0C50C5BEA94DB2B13FA79BCB1EC529_13</vt:lpwstr>
  </property>
</Properties>
</file>