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EAEC7" w14:textId="77777777" w:rsidR="008E3BDD" w:rsidRDefault="0048279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SOURCE OF KNOWLEDGE ON DIETARY SUPPLEMENT USE AMONG FEMALE ADULTS IN ACCRA, GHANA</w:t>
      </w:r>
    </w:p>
    <w:p w14:paraId="02D55860" w14:textId="77777777" w:rsidR="002D669B" w:rsidRDefault="002D669B">
      <w:pPr>
        <w:spacing w:line="360" w:lineRule="auto"/>
        <w:jc w:val="center"/>
        <w:rPr>
          <w:rFonts w:ascii="Times New Roman" w:hAnsi="Times New Roman" w:cs="Times New Roman"/>
          <w:b/>
          <w:bCs/>
          <w:sz w:val="24"/>
          <w:szCs w:val="24"/>
        </w:rPr>
      </w:pPr>
    </w:p>
    <w:p w14:paraId="71D505CF" w14:textId="77777777" w:rsidR="003500E1" w:rsidRDefault="003500E1">
      <w:pPr>
        <w:spacing w:line="360" w:lineRule="auto"/>
        <w:jc w:val="both"/>
        <w:rPr>
          <w:rFonts w:ascii="Times New Roman" w:hAnsi="Times New Roman" w:cs="Times New Roman"/>
          <w:b/>
          <w:bCs/>
          <w:sz w:val="24"/>
          <w:szCs w:val="24"/>
        </w:rPr>
      </w:pPr>
    </w:p>
    <w:p w14:paraId="3F25A86C" w14:textId="77777777" w:rsidR="008E3BDD" w:rsidRDefault="00482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2BB02EA"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Objective:</w:t>
      </w:r>
      <w:r>
        <w:rPr>
          <w:rFonts w:ascii="Times New Roman" w:hAnsi="Times New Roman" w:cs="Times New Roman"/>
          <w:sz w:val="24"/>
          <w:szCs w:val="24"/>
        </w:rPr>
        <w:t xml:space="preserve"> This study investigated on the source of knowledge on dietary use among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w:t>
      </w:r>
    </w:p>
    <w:p w14:paraId="7B6B9003"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xml:space="preserve"> A cross-sectional study design was used with a sample size of 392 </w:t>
      </w:r>
      <w:proofErr w:type="gramStart"/>
      <w:r>
        <w:rPr>
          <w:rFonts w:ascii="Times New Roman" w:hAnsi="Times New Roman" w:cs="Times New Roman"/>
          <w:sz w:val="24"/>
          <w:szCs w:val="24"/>
        </w:rPr>
        <w:t>females</w:t>
      </w:r>
      <w:proofErr w:type="gramEnd"/>
      <w:r>
        <w:rPr>
          <w:rFonts w:ascii="Times New Roman" w:hAnsi="Times New Roman" w:cs="Times New Roman"/>
          <w:sz w:val="24"/>
          <w:szCs w:val="24"/>
        </w:rPr>
        <w:t xml:space="preserve"> adults in Accra, Ghana. The study’s respondents answered a valid and reliable questionnaire (Cronbach's alpha = 0.665 and valid at 2-tailed significant value). Pie Chart and Chi-squ</w:t>
      </w:r>
      <w:r>
        <w:rPr>
          <w:rFonts w:ascii="Times New Roman" w:hAnsi="Times New Roman" w:cs="Times New Roman"/>
          <w:sz w:val="24"/>
          <w:szCs w:val="24"/>
        </w:rPr>
        <w:t xml:space="preserve">are analyses were used to identify the significant difference between the objective. </w:t>
      </w:r>
    </w:p>
    <w:p w14:paraId="6880CE74"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According to the report, all respondents had knowledge about dietary supplements. 38% of respondents acquired their dietary information from the internet, 32% fr</w:t>
      </w:r>
      <w:r>
        <w:rPr>
          <w:rFonts w:ascii="Times New Roman" w:hAnsi="Times New Roman" w:cs="Times New Roman"/>
          <w:sz w:val="24"/>
          <w:szCs w:val="24"/>
        </w:rPr>
        <w:t>om health professionals, 2% from friends and family, 8% from the media. In addition, it discovered an association between knowledge and dietary supplement use among female adults in Accra, Ghana. Younger female adults had more knowledge about dietary suppl</w:t>
      </w:r>
      <w:r>
        <w:rPr>
          <w:rFonts w:ascii="Times New Roman" w:hAnsi="Times New Roman" w:cs="Times New Roman"/>
          <w:sz w:val="24"/>
          <w:szCs w:val="24"/>
        </w:rPr>
        <w:t xml:space="preserve">ements than older female adults. </w:t>
      </w:r>
    </w:p>
    <w:p w14:paraId="307D32A6"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In conclusion, health promotion needs to be channeled towards the internet other than the media and health facilities only, to provide the right education on dietary supplements among females to ensure the safe</w:t>
      </w:r>
      <w:r>
        <w:rPr>
          <w:rFonts w:ascii="Times New Roman" w:hAnsi="Times New Roman" w:cs="Times New Roman"/>
          <w:sz w:val="24"/>
          <w:szCs w:val="24"/>
        </w:rPr>
        <w:t>ness of dietary supplement consumption.</w:t>
      </w:r>
    </w:p>
    <w:p w14:paraId="4E0CE378" w14:textId="77777777" w:rsidR="008E3BDD" w:rsidRDefault="008E3BDD">
      <w:pPr>
        <w:spacing w:line="360" w:lineRule="auto"/>
        <w:jc w:val="both"/>
        <w:rPr>
          <w:rFonts w:ascii="Times New Roman" w:hAnsi="Times New Roman" w:cs="Times New Roman"/>
          <w:sz w:val="24"/>
          <w:szCs w:val="24"/>
        </w:rPr>
      </w:pPr>
    </w:p>
    <w:p w14:paraId="5F7F5247" w14:textId="77777777" w:rsidR="008E3BDD" w:rsidRDefault="008E3BDD">
      <w:pPr>
        <w:spacing w:line="360" w:lineRule="auto"/>
        <w:jc w:val="both"/>
        <w:rPr>
          <w:rFonts w:ascii="Times New Roman" w:hAnsi="Times New Roman" w:cs="Times New Roman"/>
          <w:sz w:val="24"/>
          <w:szCs w:val="24"/>
        </w:rPr>
      </w:pPr>
    </w:p>
    <w:p w14:paraId="328445E9" w14:textId="77777777" w:rsidR="008E3BDD" w:rsidRDefault="008E3BDD">
      <w:pPr>
        <w:spacing w:line="360" w:lineRule="auto"/>
        <w:jc w:val="both"/>
        <w:rPr>
          <w:rFonts w:ascii="Times New Roman" w:hAnsi="Times New Roman" w:cs="Times New Roman"/>
          <w:sz w:val="24"/>
          <w:szCs w:val="24"/>
        </w:rPr>
      </w:pPr>
    </w:p>
    <w:p w14:paraId="177AC680" w14:textId="77777777" w:rsidR="008E3BDD" w:rsidRDefault="008E3BDD">
      <w:pPr>
        <w:spacing w:line="360" w:lineRule="auto"/>
        <w:jc w:val="both"/>
        <w:rPr>
          <w:rFonts w:ascii="Times New Roman" w:hAnsi="Times New Roman" w:cs="Times New Roman"/>
          <w:sz w:val="24"/>
          <w:szCs w:val="24"/>
        </w:rPr>
      </w:pPr>
    </w:p>
    <w:p w14:paraId="5C1DE195" w14:textId="77777777" w:rsidR="008E3BDD" w:rsidRDefault="008E3BDD">
      <w:pPr>
        <w:spacing w:line="360" w:lineRule="auto"/>
        <w:jc w:val="both"/>
        <w:rPr>
          <w:rFonts w:ascii="Times New Roman" w:hAnsi="Times New Roman" w:cs="Times New Roman"/>
          <w:sz w:val="24"/>
          <w:szCs w:val="24"/>
        </w:rPr>
      </w:pPr>
    </w:p>
    <w:p w14:paraId="73F19E77" w14:textId="0C9FE599" w:rsidR="008E3BDD" w:rsidRDefault="008E3BDD">
      <w:pPr>
        <w:spacing w:line="360" w:lineRule="auto"/>
        <w:jc w:val="both"/>
        <w:rPr>
          <w:rFonts w:ascii="Times New Roman" w:hAnsi="Times New Roman" w:cs="Times New Roman"/>
          <w:b/>
          <w:bCs/>
          <w:sz w:val="24"/>
          <w:szCs w:val="24"/>
        </w:rPr>
      </w:pPr>
    </w:p>
    <w:p w14:paraId="6D37C83D" w14:textId="1009CC11" w:rsidR="001C1294" w:rsidRDefault="001C1294">
      <w:pPr>
        <w:spacing w:line="360" w:lineRule="auto"/>
        <w:jc w:val="both"/>
        <w:rPr>
          <w:rFonts w:ascii="Times New Roman" w:hAnsi="Times New Roman" w:cs="Times New Roman"/>
          <w:b/>
          <w:bCs/>
          <w:sz w:val="24"/>
          <w:szCs w:val="24"/>
        </w:rPr>
      </w:pPr>
    </w:p>
    <w:p w14:paraId="62E65E0C" w14:textId="3AB2E334" w:rsidR="001C1294" w:rsidRDefault="001C1294">
      <w:pPr>
        <w:spacing w:line="360" w:lineRule="auto"/>
        <w:jc w:val="both"/>
        <w:rPr>
          <w:rFonts w:ascii="Times New Roman" w:hAnsi="Times New Roman" w:cs="Times New Roman"/>
          <w:b/>
          <w:bCs/>
          <w:sz w:val="24"/>
          <w:szCs w:val="24"/>
        </w:rPr>
      </w:pPr>
    </w:p>
    <w:p w14:paraId="7BC30A7E" w14:textId="77777777" w:rsidR="001C1294" w:rsidRDefault="001C1294">
      <w:pPr>
        <w:spacing w:line="360" w:lineRule="auto"/>
        <w:jc w:val="both"/>
        <w:rPr>
          <w:rFonts w:ascii="Times New Roman" w:hAnsi="Times New Roman" w:cs="Times New Roman"/>
          <w:b/>
          <w:bCs/>
          <w:sz w:val="24"/>
          <w:szCs w:val="24"/>
        </w:rPr>
      </w:pPr>
    </w:p>
    <w:p w14:paraId="17593B23" w14:textId="77777777" w:rsidR="008E3BDD" w:rsidRDefault="008E3BDD">
      <w:pPr>
        <w:spacing w:line="360" w:lineRule="auto"/>
        <w:jc w:val="both"/>
        <w:rPr>
          <w:rFonts w:ascii="Times New Roman" w:hAnsi="Times New Roman" w:cs="Times New Roman"/>
          <w:b/>
          <w:bCs/>
          <w:sz w:val="24"/>
          <w:szCs w:val="24"/>
        </w:rPr>
      </w:pPr>
    </w:p>
    <w:p w14:paraId="553E6F20" w14:textId="77777777" w:rsidR="008E3BDD" w:rsidRDefault="008E3BDD">
      <w:pPr>
        <w:spacing w:line="360" w:lineRule="auto"/>
        <w:jc w:val="both"/>
        <w:rPr>
          <w:rFonts w:ascii="Times New Roman" w:hAnsi="Times New Roman" w:cs="Times New Roman"/>
          <w:b/>
          <w:bCs/>
          <w:sz w:val="24"/>
          <w:szCs w:val="24"/>
        </w:rPr>
      </w:pPr>
    </w:p>
    <w:p w14:paraId="573A0E6B"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dietary, supplement, Ghana, Accra, knowledge, female</w:t>
      </w:r>
    </w:p>
    <w:p w14:paraId="6947F902" w14:textId="77777777" w:rsidR="008E3BDD" w:rsidRDefault="008E3BDD">
      <w:pPr>
        <w:spacing w:line="360" w:lineRule="auto"/>
        <w:jc w:val="both"/>
        <w:rPr>
          <w:rFonts w:ascii="Times New Roman" w:hAnsi="Times New Roman" w:cs="Times New Roman"/>
          <w:b/>
          <w:bCs/>
          <w:sz w:val="24"/>
          <w:szCs w:val="24"/>
        </w:rPr>
      </w:pPr>
    </w:p>
    <w:p w14:paraId="0928AF47" w14:textId="77777777" w:rsidR="008E3BDD" w:rsidRDefault="00482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78D8D955"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Dietary supplements (DSs) are profitable for the food industry because they meet a need for the cutting-edge nutritional suppleme</w:t>
      </w:r>
      <w:r>
        <w:rPr>
          <w:rFonts w:ascii="Times New Roman" w:hAnsi="Times New Roman" w:cs="Times New Roman"/>
          <w:sz w:val="24"/>
          <w:szCs w:val="24"/>
        </w:rPr>
        <w:t>nts that promote health (1). The use of DSs have increased, and they are quite popular in some countries (2). DSs are in different range such as herbs, botanicals, sports and weight-loss aids, and meal alternatives, which are available in both isolated and</w:t>
      </w:r>
      <w:r>
        <w:rPr>
          <w:rFonts w:ascii="Times New Roman" w:hAnsi="Times New Roman" w:cs="Times New Roman"/>
          <w:sz w:val="24"/>
          <w:szCs w:val="24"/>
        </w:rPr>
        <w:t xml:space="preserve"> concentrated forms (3, 4). Dietary supplements are consumed in specific doses, whether in tablet, powder, or liquid form. In the past, people often used dietary supplements to make up for a diet lacking essential nutrients or in maintaining a good health </w:t>
      </w:r>
      <w:r>
        <w:rPr>
          <w:rFonts w:ascii="Times New Roman" w:hAnsi="Times New Roman" w:cs="Times New Roman"/>
          <w:sz w:val="24"/>
          <w:szCs w:val="24"/>
        </w:rPr>
        <w:t xml:space="preserve">(3). </w:t>
      </w:r>
    </w:p>
    <w:p w14:paraId="321687F8"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The prevalence of multivitamin or mineral supplement use among adults, especially those aged 60 and beyond, exceeds 60% in developed countries (3). In 2018, individuals in the United States allocated around $30.7 billion towards the purchase of dieta</w:t>
      </w:r>
      <w:r>
        <w:rPr>
          <w:rFonts w:ascii="Times New Roman" w:hAnsi="Times New Roman" w:cs="Times New Roman"/>
          <w:sz w:val="24"/>
          <w:szCs w:val="24"/>
        </w:rPr>
        <w:t>ry supplements and vitamins (5, 6). Research indicates that individuals take DS for many purposes, including maintaining a good health, compensating for vitamin deficiencies in their diet, and enhancing their cognitive and physical abilities (7, 8). Access</w:t>
      </w:r>
      <w:r>
        <w:rPr>
          <w:rFonts w:ascii="Times New Roman" w:hAnsi="Times New Roman" w:cs="Times New Roman"/>
          <w:sz w:val="24"/>
          <w:szCs w:val="24"/>
        </w:rPr>
        <w:t xml:space="preserve"> to DS is unrestricted in many countries because of the absence of regulations governing its usage (9). It is widely acknowledged that DS, especially herbal DS, can have negative interactions with other drugs (10). </w:t>
      </w:r>
    </w:p>
    <w:p w14:paraId="256AF2C3"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However, Americans who receive prescriptions for chronic health issues reportedly use DS (9). This emphasizes the need for pharmacists to comprehend and use of DS. Community pharmacists are in an advantageous position to provide guidance and discuss altern</w:t>
      </w:r>
      <w:r>
        <w:rPr>
          <w:rFonts w:ascii="Times New Roman" w:hAnsi="Times New Roman" w:cs="Times New Roman"/>
          <w:sz w:val="24"/>
          <w:szCs w:val="24"/>
        </w:rPr>
        <w:t>ative choices, as DS are easily accessible in their area. The occurrence of such conversations between the consumer and the pharmacist may be subject to doubt due to a perceived absence or insufficient level of knowledge. Studies indicates that community p</w:t>
      </w:r>
      <w:r>
        <w:rPr>
          <w:rFonts w:ascii="Times New Roman" w:hAnsi="Times New Roman" w:cs="Times New Roman"/>
          <w:sz w:val="24"/>
          <w:szCs w:val="24"/>
        </w:rPr>
        <w:t xml:space="preserve">harmacists lack knowledge and awareness about nutritional and herbal supplements (11). </w:t>
      </w:r>
    </w:p>
    <w:p w14:paraId="12EFE920" w14:textId="77777777" w:rsidR="008E3BDD" w:rsidRDefault="0048279F">
      <w:pPr>
        <w:spacing w:line="360" w:lineRule="auto"/>
        <w:jc w:val="both"/>
        <w:rPr>
          <w:rFonts w:ascii="Times New Roman" w:hAnsi="Times New Roman"/>
          <w:sz w:val="24"/>
          <w:szCs w:val="24"/>
        </w:rPr>
      </w:pPr>
      <w:r>
        <w:rPr>
          <w:rFonts w:ascii="Times New Roman" w:hAnsi="Times New Roman" w:cs="Times New Roman"/>
          <w:sz w:val="24"/>
          <w:szCs w:val="24"/>
        </w:rPr>
        <w:t>Nevertheless, it seems that pharmacists are resolute in their commitment to fulfill DS requirements (7). Pharmacists who have direct contact with patients must get trai</w:t>
      </w:r>
      <w:r>
        <w:rPr>
          <w:rFonts w:ascii="Times New Roman" w:hAnsi="Times New Roman" w:cs="Times New Roman"/>
          <w:sz w:val="24"/>
          <w:szCs w:val="24"/>
        </w:rPr>
        <w:t xml:space="preserve">ning on drug screens (DS) and possible drug interactions. Patients should also get an impartial, evidence-based assessment on the safe use of DS from health professionals (11). </w:t>
      </w:r>
      <w:r>
        <w:rPr>
          <w:rFonts w:ascii="Times New Roman" w:hAnsi="Times New Roman"/>
          <w:sz w:val="24"/>
          <w:szCs w:val="24"/>
        </w:rPr>
        <w:t xml:space="preserve">The Dietary Supplement Health and Education Act of 1994 (DSHEA) (12) </w:t>
      </w:r>
      <w:proofErr w:type="spellStart"/>
      <w:r>
        <w:rPr>
          <w:rFonts w:ascii="Times New Roman" w:hAnsi="Times New Roman"/>
          <w:sz w:val="24"/>
          <w:szCs w:val="24"/>
        </w:rPr>
        <w:t>categorise</w:t>
      </w:r>
      <w:r>
        <w:rPr>
          <w:rFonts w:ascii="Times New Roman" w:hAnsi="Times New Roman"/>
          <w:sz w:val="24"/>
          <w:szCs w:val="24"/>
        </w:rPr>
        <w:t>s</w:t>
      </w:r>
      <w:proofErr w:type="spellEnd"/>
      <w:r>
        <w:rPr>
          <w:rFonts w:ascii="Times New Roman" w:hAnsi="Times New Roman"/>
          <w:sz w:val="24"/>
          <w:szCs w:val="24"/>
        </w:rPr>
        <w:t xml:space="preserve"> items containing compounds intended to augment the diet as dietary supplements (DSs). The nutritional constituents included in dietary supplements are </w:t>
      </w:r>
      <w:r>
        <w:rPr>
          <w:rFonts w:ascii="Times New Roman" w:hAnsi="Times New Roman"/>
          <w:sz w:val="24"/>
          <w:szCs w:val="24"/>
        </w:rPr>
        <w:lastRenderedPageBreak/>
        <w:t>vitamins C, E, B-6, B-12, and A, magnesium, and zinc, along with amino acids and botanicals (13). Despi</w:t>
      </w:r>
      <w:r>
        <w:rPr>
          <w:rFonts w:ascii="Times New Roman" w:hAnsi="Times New Roman"/>
          <w:sz w:val="24"/>
          <w:szCs w:val="24"/>
        </w:rPr>
        <w:t xml:space="preserve">te the significance of dietary supplements for health, particularly for women of reproductive age approaching pregnancy, there is a paucity of studies examining the dietary supplement status of this demographic, especially in Africa. </w:t>
      </w:r>
    </w:p>
    <w:p w14:paraId="18CF32A4" w14:textId="77777777" w:rsidR="008E3BDD" w:rsidRDefault="0048279F">
      <w:pPr>
        <w:spacing w:line="360" w:lineRule="auto"/>
        <w:jc w:val="both"/>
        <w:rPr>
          <w:rFonts w:ascii="Times New Roman" w:hAnsi="Times New Roman" w:cs="Times New Roman"/>
          <w:sz w:val="24"/>
          <w:szCs w:val="24"/>
        </w:rPr>
      </w:pPr>
      <w:r>
        <w:rPr>
          <w:rFonts w:ascii="Times New Roman" w:hAnsi="Times New Roman"/>
          <w:sz w:val="24"/>
          <w:szCs w:val="24"/>
        </w:rPr>
        <w:t>Ghana is among many A</w:t>
      </w:r>
      <w:r>
        <w:rPr>
          <w:rFonts w:ascii="Times New Roman" w:hAnsi="Times New Roman"/>
          <w:sz w:val="24"/>
          <w:szCs w:val="24"/>
        </w:rPr>
        <w:t xml:space="preserve">frican nations with the dual challenge of malnutrition, which is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the coexistence of undernutrition and overnutrition. Diabetes and cardiovascular disease are among the top ten causes of mortality in Ghana, along with newborn diseases such </w:t>
      </w:r>
      <w:r>
        <w:rPr>
          <w:rFonts w:ascii="Times New Roman" w:hAnsi="Times New Roman"/>
          <w:sz w:val="24"/>
          <w:szCs w:val="24"/>
        </w:rPr>
        <w:t xml:space="preserve">as preterm birth, and insufficient dietary supplement consumption is associated with these health outcomes (14). In 2017, 47% of pregnant women in Sub-Saharan Africa exhibited </w:t>
      </w:r>
      <w:proofErr w:type="spellStart"/>
      <w:r>
        <w:rPr>
          <w:rFonts w:ascii="Times New Roman" w:hAnsi="Times New Roman"/>
          <w:sz w:val="24"/>
          <w:szCs w:val="24"/>
        </w:rPr>
        <w:t>anaemia</w:t>
      </w:r>
      <w:proofErr w:type="spellEnd"/>
      <w:r>
        <w:rPr>
          <w:rFonts w:ascii="Times New Roman" w:hAnsi="Times New Roman"/>
          <w:sz w:val="24"/>
          <w:szCs w:val="24"/>
        </w:rPr>
        <w:t>, while 14% suffered from vitamin A insufficiency. The 2017 Ghana Nutriti</w:t>
      </w:r>
      <w:r>
        <w:rPr>
          <w:rFonts w:ascii="Times New Roman" w:hAnsi="Times New Roman"/>
          <w:sz w:val="24"/>
          <w:szCs w:val="24"/>
        </w:rPr>
        <w:t xml:space="preserve">on Policy states that </w:t>
      </w:r>
      <w:proofErr w:type="spellStart"/>
      <w:r>
        <w:rPr>
          <w:rFonts w:ascii="Times New Roman" w:hAnsi="Times New Roman"/>
          <w:sz w:val="24"/>
          <w:szCs w:val="24"/>
        </w:rPr>
        <w:t>anaemia</w:t>
      </w:r>
      <w:proofErr w:type="spellEnd"/>
      <w:r>
        <w:rPr>
          <w:rFonts w:ascii="Times New Roman" w:hAnsi="Times New Roman"/>
          <w:sz w:val="24"/>
          <w:szCs w:val="24"/>
        </w:rPr>
        <w:t xml:space="preserve"> adversely impacts the mental and physical development of children, as well as contributing to preterm delivery and low birth weight (15). The 2022 Ghana Demographic and Health Survey indicates an </w:t>
      </w:r>
      <w:proofErr w:type="spellStart"/>
      <w:r>
        <w:rPr>
          <w:rFonts w:ascii="Times New Roman" w:hAnsi="Times New Roman"/>
          <w:sz w:val="24"/>
          <w:szCs w:val="24"/>
        </w:rPr>
        <w:t>anaemia</w:t>
      </w:r>
      <w:proofErr w:type="spellEnd"/>
      <w:r>
        <w:rPr>
          <w:rFonts w:ascii="Times New Roman" w:hAnsi="Times New Roman"/>
          <w:sz w:val="24"/>
          <w:szCs w:val="24"/>
        </w:rPr>
        <w:t xml:space="preserve"> prevalence rate of 51%</w:t>
      </w:r>
      <w:r>
        <w:rPr>
          <w:rFonts w:ascii="Times New Roman" w:hAnsi="Times New Roman"/>
          <w:sz w:val="24"/>
          <w:szCs w:val="24"/>
        </w:rPr>
        <w:t xml:space="preserve"> in pregnant women and 40% in non-pregnant women. The incidence of </w:t>
      </w:r>
      <w:proofErr w:type="spellStart"/>
      <w:r>
        <w:rPr>
          <w:rFonts w:ascii="Times New Roman" w:hAnsi="Times New Roman"/>
          <w:sz w:val="24"/>
          <w:szCs w:val="24"/>
        </w:rPr>
        <w:t>anaemia</w:t>
      </w:r>
      <w:proofErr w:type="spellEnd"/>
      <w:r>
        <w:rPr>
          <w:rFonts w:ascii="Times New Roman" w:hAnsi="Times New Roman"/>
          <w:sz w:val="24"/>
          <w:szCs w:val="24"/>
        </w:rPr>
        <w:t xml:space="preserve"> in Ghana exceeds 40% (16)</w:t>
      </w:r>
      <w:r>
        <w:rPr>
          <w:rFonts w:ascii="Times New Roman" w:hAnsi="Times New Roman" w:cs="Times New Roman"/>
          <w:sz w:val="24"/>
          <w:szCs w:val="24"/>
        </w:rPr>
        <w:t>.</w:t>
      </w:r>
    </w:p>
    <w:p w14:paraId="5FD67207" w14:textId="77777777" w:rsidR="008E3BDD" w:rsidRDefault="008E3BDD">
      <w:pPr>
        <w:spacing w:line="360" w:lineRule="auto"/>
        <w:jc w:val="both"/>
        <w:rPr>
          <w:rFonts w:ascii="Times New Roman" w:hAnsi="Times New Roman" w:cs="Times New Roman"/>
          <w:sz w:val="24"/>
          <w:szCs w:val="24"/>
        </w:rPr>
      </w:pPr>
    </w:p>
    <w:p w14:paraId="40E15614" w14:textId="77777777" w:rsidR="008E3BDD" w:rsidRDefault="0048279F">
      <w:pPr>
        <w:spacing w:line="360" w:lineRule="auto"/>
        <w:jc w:val="both"/>
        <w:rPr>
          <w:rFonts w:ascii="Times New Roman" w:hAnsi="Times New Roman"/>
          <w:sz w:val="24"/>
          <w:szCs w:val="24"/>
        </w:rPr>
      </w:pPr>
      <w:r>
        <w:rPr>
          <w:rFonts w:ascii="Times New Roman" w:hAnsi="Times New Roman"/>
          <w:b/>
          <w:bCs/>
          <w:sz w:val="24"/>
          <w:szCs w:val="24"/>
        </w:rPr>
        <w:t>Objective</w:t>
      </w:r>
    </w:p>
    <w:p w14:paraId="1FB00772" w14:textId="77777777" w:rsidR="008E3BDD" w:rsidRDefault="0048279F">
      <w:pPr>
        <w:spacing w:line="360" w:lineRule="auto"/>
        <w:jc w:val="both"/>
        <w:rPr>
          <w:rFonts w:ascii="Times New Roman" w:hAnsi="Times New Roman"/>
          <w:sz w:val="24"/>
          <w:szCs w:val="24"/>
        </w:rPr>
      </w:pPr>
      <w:r>
        <w:rPr>
          <w:rFonts w:ascii="Times New Roman" w:hAnsi="Times New Roman" w:cs="Times New Roman"/>
          <w:sz w:val="24"/>
          <w:szCs w:val="24"/>
        </w:rPr>
        <w:t>This study seeks to investigate on source of knowledge and dietary use among female adults in Accra, Ghana</w:t>
      </w:r>
      <w:r>
        <w:rPr>
          <w:rFonts w:ascii="Times New Roman" w:hAnsi="Times New Roman"/>
          <w:sz w:val="24"/>
          <w:szCs w:val="24"/>
        </w:rPr>
        <w:t xml:space="preserve">. This study will provide statistics </w:t>
      </w:r>
      <w:r>
        <w:rPr>
          <w:rFonts w:ascii="Times New Roman" w:hAnsi="Times New Roman"/>
          <w:sz w:val="24"/>
          <w:szCs w:val="24"/>
        </w:rPr>
        <w:t>on the source of knowledge of dietary supplement use. This study will provide health professionals with scientific facts on source of dietary supplements information as well as identify the right platform to share dietary supplement education to female adu</w:t>
      </w:r>
      <w:r>
        <w:rPr>
          <w:rFonts w:ascii="Times New Roman" w:hAnsi="Times New Roman"/>
          <w:sz w:val="24"/>
          <w:szCs w:val="24"/>
        </w:rPr>
        <w:t>lts or the general public to improve their health and well-being.</w:t>
      </w:r>
    </w:p>
    <w:p w14:paraId="3F1A7383" w14:textId="77777777" w:rsidR="008E3BDD" w:rsidRDefault="008E3BDD">
      <w:pPr>
        <w:spacing w:line="360" w:lineRule="auto"/>
        <w:jc w:val="both"/>
        <w:rPr>
          <w:rFonts w:ascii="Times New Roman" w:hAnsi="Times New Roman"/>
          <w:b/>
          <w:bCs/>
          <w:sz w:val="24"/>
          <w:szCs w:val="24"/>
        </w:rPr>
      </w:pPr>
    </w:p>
    <w:p w14:paraId="74CE2CEC" w14:textId="77777777" w:rsidR="008E3BDD" w:rsidRDefault="0048279F">
      <w:pPr>
        <w:spacing w:line="360" w:lineRule="auto"/>
        <w:jc w:val="both"/>
        <w:rPr>
          <w:rFonts w:ascii="Times New Roman" w:hAnsi="Times New Roman"/>
          <w:sz w:val="24"/>
          <w:szCs w:val="24"/>
        </w:rPr>
      </w:pPr>
      <w:r>
        <w:rPr>
          <w:rFonts w:ascii="Times New Roman" w:hAnsi="Times New Roman"/>
          <w:b/>
          <w:bCs/>
          <w:sz w:val="24"/>
          <w:szCs w:val="24"/>
        </w:rPr>
        <w:t>Hypotheses</w:t>
      </w:r>
    </w:p>
    <w:p w14:paraId="249E4CC0"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O</w:t>
      </w:r>
      <w:r>
        <w:rPr>
          <w:rFonts w:ascii="Times New Roman" w:hAnsi="Times New Roman"/>
          <w:sz w:val="24"/>
          <w:szCs w:val="24"/>
        </w:rPr>
        <w:t>: There is no significant correlation amid source of knowledge and use of dietary supplements.</w:t>
      </w:r>
    </w:p>
    <w:p w14:paraId="67F334B2"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perscript"/>
        </w:rPr>
        <w:t>1</w:t>
      </w:r>
      <w:r>
        <w:rPr>
          <w:rFonts w:ascii="Times New Roman" w:hAnsi="Times New Roman"/>
          <w:sz w:val="24"/>
          <w:szCs w:val="24"/>
        </w:rPr>
        <w:t>: There is a significant correlation amid source of knowledge and use of dietar</w:t>
      </w:r>
      <w:r>
        <w:rPr>
          <w:rFonts w:ascii="Times New Roman" w:hAnsi="Times New Roman"/>
          <w:sz w:val="24"/>
          <w:szCs w:val="24"/>
        </w:rPr>
        <w:t>y supplements.</w:t>
      </w:r>
    </w:p>
    <w:p w14:paraId="78396D6C" w14:textId="77777777" w:rsidR="008E3BDD" w:rsidRDefault="008E3BDD">
      <w:pPr>
        <w:spacing w:line="360" w:lineRule="auto"/>
        <w:jc w:val="both"/>
        <w:rPr>
          <w:rFonts w:ascii="Times New Roman" w:hAnsi="Times New Roman" w:cs="Times New Roman"/>
          <w:sz w:val="24"/>
          <w:szCs w:val="24"/>
        </w:rPr>
      </w:pPr>
    </w:p>
    <w:p w14:paraId="4E27C37E" w14:textId="77777777" w:rsidR="008E3BDD" w:rsidRDefault="00482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6838AF8"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cross-sectional study was explored in Accra, Ghana, across 29 districts of the region. Ghana was selected for the research due to the high rate of nutrient </w:t>
      </w:r>
      <w:r>
        <w:rPr>
          <w:rFonts w:ascii="Times New Roman" w:hAnsi="Times New Roman" w:cs="Times New Roman"/>
          <w:sz w:val="24"/>
          <w:szCs w:val="24"/>
        </w:rPr>
        <w:lastRenderedPageBreak/>
        <w:t xml:space="preserve">deficiencies in Ghana. Accra was selected due to most of </w:t>
      </w:r>
      <w:r>
        <w:rPr>
          <w:rFonts w:ascii="Times New Roman" w:hAnsi="Times New Roman" w:cs="Times New Roman"/>
          <w:sz w:val="24"/>
          <w:szCs w:val="24"/>
        </w:rPr>
        <w:t>the Ghanaian residents, live in Accra. Data was taken once in a specific duration (May 2023 - December 2023).</w:t>
      </w:r>
    </w:p>
    <w:p w14:paraId="5F772FE6"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Sampling</w:t>
      </w:r>
    </w:p>
    <w:p w14:paraId="7A75624B"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t xml:space="preserve">In Greater Accra, 54% of adult females are employed in the workforce. This research uses probability sampling methods. The sample size </w:t>
      </w:r>
      <w:r>
        <w:rPr>
          <w:rFonts w:ascii="Times New Roman" w:hAnsi="Times New Roman"/>
          <w:sz w:val="24"/>
          <w:szCs w:val="24"/>
        </w:rPr>
        <w:t xml:space="preserve">was determined using the Cochrane algorithm, based on a prevalence rate of 54% among working-class female adults. The sample size was determined to be 380, with an additional 12 included to account for oversight in questionnaire completion, resulting in a </w:t>
      </w:r>
      <w:r>
        <w:rPr>
          <w:rFonts w:ascii="Times New Roman" w:hAnsi="Times New Roman"/>
          <w:sz w:val="24"/>
          <w:szCs w:val="24"/>
        </w:rPr>
        <w:t>total of 392 female adults in Accra. A simple random sampling method was used to guarantee that each lady aged 21 to 40 years throughout the 29 districts in Accra had an equal probability of selection for the research. This study focused on females aged 21</w:t>
      </w:r>
      <w:r>
        <w:rPr>
          <w:rFonts w:ascii="Times New Roman" w:hAnsi="Times New Roman"/>
          <w:sz w:val="24"/>
          <w:szCs w:val="24"/>
        </w:rPr>
        <w:t>-40 years due to their concerns regarding skin appearance, heightened susceptibility to chronic illnesses, and experiences of mental stress stemming from work, family obligations, menstrual cycles, pregnancy, breastfeeding, and other hormonal fluctuations.</w:t>
      </w:r>
    </w:p>
    <w:p w14:paraId="0448CBFD" w14:textId="77777777" w:rsidR="008E3BDD" w:rsidRDefault="008E3BDD">
      <w:pPr>
        <w:spacing w:line="360" w:lineRule="auto"/>
        <w:jc w:val="both"/>
        <w:rPr>
          <w:rFonts w:ascii="Times New Roman" w:hAnsi="Times New Roman"/>
          <w:sz w:val="24"/>
          <w:szCs w:val="24"/>
        </w:rPr>
      </w:pPr>
    </w:p>
    <w:p w14:paraId="77C65C62"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Sample Size Recruitment</w:t>
      </w:r>
    </w:p>
    <w:p w14:paraId="0FD313A4" w14:textId="77777777" w:rsidR="008E3BDD" w:rsidRDefault="0048279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officer selected respondents from major popular towns in Accra such as Ga West, Okai Kwei South, Okai Kwei North, Ga East, Ga South, Ga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West,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North, </w:t>
      </w:r>
      <w:proofErr w:type="spellStart"/>
      <w:r>
        <w:rPr>
          <w:rFonts w:ascii="Times New Roman" w:hAnsi="Times New Roman" w:cs="Times New Roman"/>
          <w:sz w:val="24"/>
          <w:szCs w:val="24"/>
        </w:rPr>
        <w:t>Ayawaso</w:t>
      </w:r>
      <w:proofErr w:type="spellEnd"/>
      <w:r>
        <w:rPr>
          <w:rFonts w:ascii="Times New Roman" w:hAnsi="Times New Roman" w:cs="Times New Roman"/>
          <w:sz w:val="24"/>
          <w:szCs w:val="24"/>
        </w:rPr>
        <w:t xml:space="preserve"> East.</w:t>
      </w:r>
    </w:p>
    <w:p w14:paraId="2FA52DC1" w14:textId="77777777" w:rsidR="008E3BDD" w:rsidRDefault="0048279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if they coul</w:t>
      </w:r>
      <w:r>
        <w:rPr>
          <w:rFonts w:ascii="Times New Roman" w:hAnsi="Times New Roman" w:cs="Times New Roman"/>
          <w:sz w:val="24"/>
          <w:szCs w:val="24"/>
        </w:rPr>
        <w:t>d join in a research study, those who agreed continued.</w:t>
      </w:r>
    </w:p>
    <w:p w14:paraId="6ED92146" w14:textId="77777777" w:rsidR="008E3BDD" w:rsidRDefault="0048279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were asked whether they are between the ages of 21-40 years, those who were above and below were thanked and told they could not participate.</w:t>
      </w:r>
    </w:p>
    <w:p w14:paraId="1ADE644E" w14:textId="77777777" w:rsidR="008E3BDD" w:rsidRDefault="0048279F">
      <w:pPr>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who fit the age range, completed t</w:t>
      </w:r>
      <w:r>
        <w:rPr>
          <w:rFonts w:ascii="Times New Roman" w:hAnsi="Times New Roman" w:cs="Times New Roman"/>
          <w:sz w:val="24"/>
          <w:szCs w:val="24"/>
        </w:rPr>
        <w:t>he questionnaire.</w:t>
      </w:r>
    </w:p>
    <w:p w14:paraId="60BAD123" w14:textId="77777777" w:rsidR="008E3BDD" w:rsidRDefault="008E3BDD">
      <w:pPr>
        <w:spacing w:line="360" w:lineRule="auto"/>
        <w:jc w:val="both"/>
        <w:rPr>
          <w:rFonts w:ascii="Times New Roman" w:hAnsi="Times New Roman" w:cs="Times New Roman"/>
          <w:sz w:val="24"/>
          <w:szCs w:val="24"/>
        </w:rPr>
      </w:pPr>
    </w:p>
    <w:p w14:paraId="79F60C85" w14:textId="77777777" w:rsidR="008E3BDD" w:rsidRDefault="0048279F">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Data Collection</w:t>
      </w:r>
    </w:p>
    <w:p w14:paraId="6F4B3E3A" w14:textId="77777777" w:rsidR="008E3BDD" w:rsidRDefault="0048279F">
      <w:pPr>
        <w:spacing w:line="360" w:lineRule="auto"/>
        <w:jc w:val="both"/>
        <w:rPr>
          <w:rFonts w:ascii="Times New Roman" w:hAnsi="Times New Roman" w:cs="Times New Roman"/>
          <w:sz w:val="24"/>
          <w:szCs w:val="24"/>
        </w:rPr>
      </w:pPr>
      <w:r>
        <w:rPr>
          <w:rFonts w:ascii="Times New Roman" w:hAnsi="Times New Roman"/>
          <w:sz w:val="24"/>
          <w:szCs w:val="24"/>
        </w:rPr>
        <w:t>An English language self-structured questionnaire was administered to the study’s participants. The development of the questionnaire addressed the research purpose of providing data about the source of knowledge of dietar</w:t>
      </w:r>
      <w:r>
        <w:rPr>
          <w:rFonts w:ascii="Times New Roman" w:hAnsi="Times New Roman"/>
          <w:sz w:val="24"/>
          <w:szCs w:val="24"/>
        </w:rPr>
        <w:t>y supplements in Ghana. Participants completed a valid and trustworthy online questionnaire, with a Cronbach's alpha of 0.665 and a significant two-tailed value. Data collection adhered to the guidelines set by the American Psychological Association, ensur</w:t>
      </w:r>
      <w:r>
        <w:rPr>
          <w:rFonts w:ascii="Times New Roman" w:hAnsi="Times New Roman"/>
          <w:sz w:val="24"/>
          <w:szCs w:val="24"/>
        </w:rPr>
        <w:t>ing the total anonymity of all information gathered.</w:t>
      </w:r>
      <w:r>
        <w:rPr>
          <w:rFonts w:ascii="Times New Roman" w:hAnsi="Times New Roman" w:cs="Times New Roman"/>
          <w:sz w:val="24"/>
          <w:szCs w:val="24"/>
        </w:rPr>
        <w:t xml:space="preserve"> </w:t>
      </w:r>
    </w:p>
    <w:p w14:paraId="349F3746" w14:textId="77777777" w:rsidR="008E3BDD" w:rsidRDefault="008E3BDD">
      <w:pPr>
        <w:spacing w:line="360" w:lineRule="auto"/>
        <w:jc w:val="both"/>
        <w:rPr>
          <w:rFonts w:ascii="Times New Roman" w:hAnsi="Times New Roman" w:cs="Times New Roman"/>
          <w:sz w:val="24"/>
          <w:szCs w:val="24"/>
        </w:rPr>
      </w:pPr>
    </w:p>
    <w:p w14:paraId="5B184A2D"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Data analysis</w:t>
      </w:r>
    </w:p>
    <w:p w14:paraId="4DE280B4"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t xml:space="preserve">On the day of data collection, errors were rectified by reviewing the completed questionnaires for consistency and completeness. Researcher meticulously cleaned, </w:t>
      </w:r>
      <w:proofErr w:type="spellStart"/>
      <w:r>
        <w:rPr>
          <w:rFonts w:ascii="Times New Roman" w:hAnsi="Times New Roman"/>
          <w:sz w:val="24"/>
          <w:szCs w:val="24"/>
        </w:rPr>
        <w:t>organised</w:t>
      </w:r>
      <w:proofErr w:type="spellEnd"/>
      <w:r>
        <w:rPr>
          <w:rFonts w:ascii="Times New Roman" w:hAnsi="Times New Roman"/>
          <w:sz w:val="24"/>
          <w:szCs w:val="24"/>
        </w:rPr>
        <w:t xml:space="preserve">, and coded the </w:t>
      </w:r>
      <w:r>
        <w:rPr>
          <w:rFonts w:ascii="Times New Roman" w:hAnsi="Times New Roman"/>
          <w:sz w:val="24"/>
          <w:szCs w:val="24"/>
        </w:rPr>
        <w:t xml:space="preserve">data before entering it into SPSS version 22. The sample population was </w:t>
      </w:r>
      <w:proofErr w:type="spellStart"/>
      <w:r>
        <w:rPr>
          <w:rFonts w:ascii="Times New Roman" w:hAnsi="Times New Roman"/>
          <w:sz w:val="24"/>
          <w:szCs w:val="24"/>
        </w:rPr>
        <w:t>characterised</w:t>
      </w:r>
      <w:proofErr w:type="spellEnd"/>
      <w:r>
        <w:rPr>
          <w:rFonts w:ascii="Times New Roman" w:hAnsi="Times New Roman"/>
          <w:sz w:val="24"/>
          <w:szCs w:val="24"/>
        </w:rPr>
        <w:t xml:space="preserve"> by descriptive statistics, yielding frequencies and percentages of the respondents' attributes for engaging in the research. The independent variable is the source of kno</w:t>
      </w:r>
      <w:r>
        <w:rPr>
          <w:rFonts w:ascii="Times New Roman" w:hAnsi="Times New Roman"/>
          <w:sz w:val="24"/>
          <w:szCs w:val="24"/>
        </w:rPr>
        <w:t>wledge and dietary practices, whereas the dependent variable is female adults in Accra, Ghana. The researcher used cross-tabulation and chi-square testing to check the Pearson chi-square value, which looks at the differences between what was actually obser</w:t>
      </w:r>
      <w:r>
        <w:rPr>
          <w:rFonts w:ascii="Times New Roman" w:hAnsi="Times New Roman"/>
          <w:sz w:val="24"/>
          <w:szCs w:val="24"/>
        </w:rPr>
        <w:t>ved and what was expected in a table, to find out if there is a relationship between the variables. A p-value of 0.05 is deemed statistically significant. Pie Chat presents the statistics of knowledge about dietary supplements, together with the sources of</w:t>
      </w:r>
      <w:r>
        <w:rPr>
          <w:rFonts w:ascii="Times New Roman" w:hAnsi="Times New Roman"/>
          <w:sz w:val="24"/>
          <w:szCs w:val="24"/>
        </w:rPr>
        <w:t xml:space="preserve"> information used by adult females concerning the dietary supplements they take in.</w:t>
      </w:r>
    </w:p>
    <w:p w14:paraId="057069DD" w14:textId="77777777" w:rsidR="008E3BDD" w:rsidRDefault="008E3BDD">
      <w:pPr>
        <w:spacing w:line="360" w:lineRule="auto"/>
        <w:jc w:val="both"/>
        <w:rPr>
          <w:rFonts w:ascii="Times New Roman" w:hAnsi="Times New Roman"/>
          <w:sz w:val="24"/>
          <w:szCs w:val="24"/>
        </w:rPr>
      </w:pPr>
    </w:p>
    <w:p w14:paraId="4499E90D"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Data Analysis Sub-section</w:t>
      </w:r>
    </w:p>
    <w:p w14:paraId="5F8E602D"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indicated a Pearson chi-square Value (23.062) measures the discrepancy between the observed and expected frequencies in a contingency table. It quantifies how much the observed data diverge from what we would expect under the null hypothesis. The</w:t>
      </w:r>
      <w:r>
        <w:rPr>
          <w:rFonts w:ascii="Times New Roman" w:hAnsi="Times New Roman" w:cs="Times New Roman"/>
          <w:sz w:val="24"/>
          <w:szCs w:val="24"/>
        </w:rPr>
        <w:t xml:space="preserve"> p-value (0.000) indicates the probability of obtaining a chi-square statistic at least as extreme as the one observed, assuming that the null hypothesis is true. It helps us determine whether the observed association is statistically significant. </w:t>
      </w:r>
    </w:p>
    <w:p w14:paraId="740C90FC" w14:textId="77777777" w:rsidR="008E3BDD" w:rsidRDefault="008E3BDD">
      <w:pPr>
        <w:spacing w:line="360" w:lineRule="auto"/>
        <w:jc w:val="both"/>
        <w:rPr>
          <w:rFonts w:ascii="Times New Roman" w:hAnsi="Times New Roman" w:cs="Times New Roman"/>
          <w:b/>
          <w:bCs/>
          <w:sz w:val="24"/>
          <w:szCs w:val="24"/>
        </w:rPr>
      </w:pPr>
    </w:p>
    <w:p w14:paraId="2123104E" w14:textId="77777777" w:rsidR="008E3BDD" w:rsidRDefault="0048279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Result</w:t>
      </w:r>
      <w:r>
        <w:rPr>
          <w:rFonts w:ascii="Times New Roman" w:hAnsi="Times New Roman" w:cs="Times New Roman"/>
          <w:b/>
          <w:bCs/>
          <w:sz w:val="24"/>
          <w:szCs w:val="24"/>
        </w:rPr>
        <w:t>s</w:t>
      </w:r>
    </w:p>
    <w:p w14:paraId="59354472"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u w:val="single"/>
        </w:rPr>
        <w:t>Socio-demographic Characteristics</w:t>
      </w:r>
    </w:p>
    <w:p w14:paraId="6B8FA786"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involved 392 female adults in Accra, Ghana. As shown in Table 1. 100% of the respondents were aged below 40 years old, with majority at the rate of over 80% being between 21-30 years, showing that data been ske</w:t>
      </w:r>
      <w:r>
        <w:rPr>
          <w:rFonts w:ascii="Times New Roman" w:hAnsi="Times New Roman" w:cs="Times New Roman"/>
          <w:sz w:val="24"/>
          <w:szCs w:val="24"/>
        </w:rPr>
        <w:t>wed towards younger adult respondents. Majority of the respondents were tertiary educated women, who live in urban areas and are employees.</w:t>
      </w:r>
    </w:p>
    <w:p w14:paraId="011A9EEB" w14:textId="77777777" w:rsidR="008E3BDD" w:rsidRDefault="008E3BDD">
      <w:pPr>
        <w:spacing w:line="360" w:lineRule="auto"/>
        <w:jc w:val="both"/>
        <w:rPr>
          <w:rFonts w:ascii="Times New Roman" w:hAnsi="Times New Roman" w:cs="Times New Roman"/>
          <w:sz w:val="24"/>
          <w:szCs w:val="24"/>
        </w:rPr>
      </w:pPr>
    </w:p>
    <w:p w14:paraId="754F4BC0"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u w:val="single"/>
        </w:rPr>
        <w:t>Definitions</w:t>
      </w:r>
    </w:p>
    <w:p w14:paraId="7E19EF4C"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No formal education means a person who did not attend the formal school system</w:t>
      </w:r>
    </w:p>
    <w:p w14:paraId="43FE273A"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BECE: Basic Education Ce</w:t>
      </w:r>
      <w:r>
        <w:rPr>
          <w:rFonts w:ascii="Times New Roman" w:hAnsi="Times New Roman"/>
          <w:sz w:val="24"/>
          <w:szCs w:val="24"/>
        </w:rPr>
        <w:t>rtificate Examination</w:t>
      </w:r>
    </w:p>
    <w:p w14:paraId="0833B636"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lastRenderedPageBreak/>
        <w:t>WASSCE: West African Senior School Certificate Examination</w:t>
      </w:r>
    </w:p>
    <w:p w14:paraId="42E1FCCD"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TERTIARY: University education</w:t>
      </w:r>
    </w:p>
    <w:p w14:paraId="72AC0D60"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Urban: cities, town</w:t>
      </w:r>
    </w:p>
    <w:p w14:paraId="4D8A11F6"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Rural: village, slums</w:t>
      </w:r>
    </w:p>
    <w:p w14:paraId="44DFEE66" w14:textId="77777777" w:rsidR="008E3BDD" w:rsidRDefault="0048279F">
      <w:pPr>
        <w:numPr>
          <w:ilvl w:val="0"/>
          <w:numId w:val="2"/>
        </w:numPr>
        <w:spacing w:line="360" w:lineRule="auto"/>
        <w:jc w:val="both"/>
        <w:rPr>
          <w:rFonts w:ascii="Times New Roman" w:hAnsi="Times New Roman"/>
          <w:sz w:val="24"/>
          <w:szCs w:val="24"/>
        </w:rPr>
      </w:pPr>
      <w:proofErr w:type="spellStart"/>
      <w:r>
        <w:rPr>
          <w:rFonts w:ascii="Times New Roman" w:hAnsi="Times New Roman"/>
          <w:sz w:val="24"/>
          <w:szCs w:val="24"/>
        </w:rPr>
        <w:t>Self employed</w:t>
      </w:r>
      <w:proofErr w:type="spellEnd"/>
      <w:r>
        <w:rPr>
          <w:rFonts w:ascii="Times New Roman" w:hAnsi="Times New Roman"/>
          <w:sz w:val="24"/>
          <w:szCs w:val="24"/>
        </w:rPr>
        <w:t>: Entrepreneur, Business owner</w:t>
      </w:r>
    </w:p>
    <w:p w14:paraId="5DC98556"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Employed: public and private staff of a company</w:t>
      </w:r>
    </w:p>
    <w:p w14:paraId="170D1C9F" w14:textId="77777777" w:rsidR="008E3BDD" w:rsidRDefault="0048279F">
      <w:pPr>
        <w:numPr>
          <w:ilvl w:val="0"/>
          <w:numId w:val="2"/>
        </w:numPr>
        <w:spacing w:line="360" w:lineRule="auto"/>
        <w:jc w:val="both"/>
        <w:rPr>
          <w:rFonts w:ascii="Times New Roman" w:hAnsi="Times New Roman"/>
          <w:sz w:val="24"/>
          <w:szCs w:val="24"/>
        </w:rPr>
      </w:pPr>
      <w:r>
        <w:rPr>
          <w:rFonts w:ascii="Times New Roman" w:hAnsi="Times New Roman"/>
          <w:sz w:val="24"/>
          <w:szCs w:val="24"/>
        </w:rPr>
        <w:t>Unemployed</w:t>
      </w:r>
      <w:r>
        <w:rPr>
          <w:rFonts w:ascii="Times New Roman" w:hAnsi="Times New Roman"/>
          <w:sz w:val="24"/>
          <w:szCs w:val="24"/>
        </w:rPr>
        <w:t>: not working to earn an income</w:t>
      </w:r>
    </w:p>
    <w:p w14:paraId="6D0FB436" w14:textId="77777777" w:rsidR="008E3BDD" w:rsidRDefault="008E3BDD">
      <w:pPr>
        <w:spacing w:line="360" w:lineRule="auto"/>
        <w:jc w:val="both"/>
        <w:rPr>
          <w:rFonts w:ascii="Times New Roman" w:hAnsi="Times New Roman" w:cs="Times New Roman"/>
          <w:sz w:val="24"/>
          <w:szCs w:val="24"/>
        </w:rPr>
      </w:pPr>
    </w:p>
    <w:p w14:paraId="0E815B27" w14:textId="77777777" w:rsidR="008E3BDD" w:rsidRDefault="008E3BDD">
      <w:pPr>
        <w:spacing w:line="360" w:lineRule="auto"/>
        <w:jc w:val="both"/>
        <w:rPr>
          <w:rFonts w:ascii="Times New Roman" w:hAnsi="Times New Roman" w:cs="Times New Roman"/>
          <w:sz w:val="24"/>
          <w:szCs w:val="24"/>
        </w:rPr>
      </w:pPr>
    </w:p>
    <w:p w14:paraId="1392B16D" w14:textId="77777777" w:rsidR="008E3BDD" w:rsidRDefault="0048279F">
      <w:pPr>
        <w:spacing w:line="360" w:lineRule="auto"/>
        <w:jc w:val="both"/>
        <w:rPr>
          <w:rFonts w:ascii="Times New Roman" w:hAnsi="Times New Roman" w:cs="Times New Roman"/>
          <w:i/>
          <w:iCs/>
          <w:sz w:val="24"/>
          <w:szCs w:val="24"/>
          <w:u w:val="single"/>
        </w:rPr>
      </w:pPr>
      <w:r>
        <w:rPr>
          <w:rFonts w:ascii="Times New Roman" w:hAnsi="Times New Roman" w:cs="Times New Roman"/>
          <w:sz w:val="24"/>
          <w:szCs w:val="24"/>
        </w:rPr>
        <w:t xml:space="preserve">Table 1: </w:t>
      </w:r>
      <w:r>
        <w:rPr>
          <w:rFonts w:ascii="Times New Roman" w:hAnsi="Times New Roman" w:cs="Times New Roman"/>
          <w:i/>
          <w:iCs/>
          <w:sz w:val="24"/>
          <w:szCs w:val="24"/>
          <w:u w:val="single"/>
        </w:rPr>
        <w:t>Summary of a frequency table on participants socio-demographic characteristics</w:t>
      </w:r>
    </w:p>
    <w:tbl>
      <w:tblPr>
        <w:tblStyle w:val="TableGrid"/>
        <w:tblW w:w="0" w:type="auto"/>
        <w:tblLook w:val="04A0" w:firstRow="1" w:lastRow="0" w:firstColumn="1" w:lastColumn="0" w:noHBand="0" w:noVBand="1"/>
      </w:tblPr>
      <w:tblGrid>
        <w:gridCol w:w="2130"/>
        <w:gridCol w:w="2700"/>
        <w:gridCol w:w="1561"/>
        <w:gridCol w:w="2131"/>
      </w:tblGrid>
      <w:tr w:rsidR="008E3BDD" w14:paraId="0E850915" w14:textId="77777777">
        <w:tc>
          <w:tcPr>
            <w:tcW w:w="2130" w:type="dxa"/>
            <w:tcBorders>
              <w:left w:val="nil"/>
              <w:right w:val="nil"/>
            </w:tcBorders>
          </w:tcPr>
          <w:p w14:paraId="7DAD564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Variable</w:t>
            </w:r>
          </w:p>
        </w:tc>
        <w:tc>
          <w:tcPr>
            <w:tcW w:w="2700" w:type="dxa"/>
            <w:tcBorders>
              <w:left w:val="nil"/>
              <w:right w:val="nil"/>
            </w:tcBorders>
          </w:tcPr>
          <w:p w14:paraId="7DD4882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Category</w:t>
            </w:r>
          </w:p>
        </w:tc>
        <w:tc>
          <w:tcPr>
            <w:tcW w:w="1561" w:type="dxa"/>
            <w:tcBorders>
              <w:left w:val="nil"/>
              <w:right w:val="nil"/>
            </w:tcBorders>
          </w:tcPr>
          <w:p w14:paraId="5D79668A"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Frequency</w:t>
            </w:r>
          </w:p>
        </w:tc>
        <w:tc>
          <w:tcPr>
            <w:tcW w:w="2131" w:type="dxa"/>
            <w:tcBorders>
              <w:left w:val="nil"/>
              <w:right w:val="nil"/>
            </w:tcBorders>
          </w:tcPr>
          <w:p w14:paraId="155F9287"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Percentage</w:t>
            </w:r>
          </w:p>
        </w:tc>
      </w:tr>
      <w:tr w:rsidR="008E3BDD" w14:paraId="3911136E" w14:textId="77777777">
        <w:tc>
          <w:tcPr>
            <w:tcW w:w="2130" w:type="dxa"/>
            <w:tcBorders>
              <w:left w:val="nil"/>
              <w:right w:val="nil"/>
            </w:tcBorders>
          </w:tcPr>
          <w:p w14:paraId="20BA1B69"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2700" w:type="dxa"/>
            <w:tcBorders>
              <w:left w:val="nil"/>
              <w:right w:val="nil"/>
            </w:tcBorders>
          </w:tcPr>
          <w:p w14:paraId="1EBA482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p w14:paraId="6B6E3B0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1561" w:type="dxa"/>
            <w:tcBorders>
              <w:left w:val="nil"/>
              <w:right w:val="nil"/>
            </w:tcBorders>
          </w:tcPr>
          <w:p w14:paraId="7EDAA2D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333</w:t>
            </w:r>
          </w:p>
          <w:p w14:paraId="24A5767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59</w:t>
            </w:r>
          </w:p>
        </w:tc>
        <w:tc>
          <w:tcPr>
            <w:tcW w:w="2131" w:type="dxa"/>
            <w:tcBorders>
              <w:left w:val="nil"/>
              <w:right w:val="nil"/>
            </w:tcBorders>
          </w:tcPr>
          <w:p w14:paraId="7ABE3F71"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84.9</w:t>
            </w:r>
          </w:p>
          <w:p w14:paraId="6F94C331"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15.1</w:t>
            </w:r>
          </w:p>
        </w:tc>
      </w:tr>
      <w:tr w:rsidR="008E3BDD" w14:paraId="011B3328" w14:textId="77777777">
        <w:tc>
          <w:tcPr>
            <w:tcW w:w="2130" w:type="dxa"/>
            <w:tcBorders>
              <w:left w:val="nil"/>
              <w:right w:val="nil"/>
            </w:tcBorders>
          </w:tcPr>
          <w:p w14:paraId="5F233AB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Education</w:t>
            </w:r>
          </w:p>
        </w:tc>
        <w:tc>
          <w:tcPr>
            <w:tcW w:w="2700" w:type="dxa"/>
            <w:tcBorders>
              <w:left w:val="nil"/>
              <w:right w:val="nil"/>
            </w:tcBorders>
          </w:tcPr>
          <w:p w14:paraId="658FD9C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No formal education</w:t>
            </w:r>
          </w:p>
          <w:p w14:paraId="5AA20DE4"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BECE</w:t>
            </w:r>
          </w:p>
          <w:p w14:paraId="15FBCDEE"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WASSCE</w:t>
            </w:r>
          </w:p>
          <w:p w14:paraId="7817DEBA"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TERTIARY</w:t>
            </w:r>
          </w:p>
        </w:tc>
        <w:tc>
          <w:tcPr>
            <w:tcW w:w="1561" w:type="dxa"/>
            <w:tcBorders>
              <w:left w:val="nil"/>
              <w:right w:val="nil"/>
            </w:tcBorders>
          </w:tcPr>
          <w:p w14:paraId="46C87969"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13</w:t>
            </w:r>
          </w:p>
          <w:p w14:paraId="13E68418"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0</w:t>
            </w:r>
          </w:p>
          <w:p w14:paraId="0D66431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9</w:t>
            </w:r>
          </w:p>
          <w:p w14:paraId="2729AAC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370</w:t>
            </w:r>
          </w:p>
        </w:tc>
        <w:tc>
          <w:tcPr>
            <w:tcW w:w="2131" w:type="dxa"/>
            <w:tcBorders>
              <w:left w:val="nil"/>
              <w:right w:val="nil"/>
            </w:tcBorders>
          </w:tcPr>
          <w:p w14:paraId="0489FFD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3.3</w:t>
            </w:r>
          </w:p>
          <w:p w14:paraId="3D29C47C"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0</w:t>
            </w:r>
          </w:p>
          <w:p w14:paraId="0663A4EA"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2.3</w:t>
            </w:r>
          </w:p>
          <w:p w14:paraId="37BA4CA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94.4</w:t>
            </w:r>
          </w:p>
        </w:tc>
      </w:tr>
      <w:tr w:rsidR="008E3BDD" w14:paraId="19F83FAD" w14:textId="77777777">
        <w:tc>
          <w:tcPr>
            <w:tcW w:w="2130" w:type="dxa"/>
            <w:tcBorders>
              <w:left w:val="nil"/>
              <w:right w:val="nil"/>
            </w:tcBorders>
          </w:tcPr>
          <w:p w14:paraId="0B86378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Residence</w:t>
            </w:r>
          </w:p>
        </w:tc>
        <w:tc>
          <w:tcPr>
            <w:tcW w:w="2700" w:type="dxa"/>
            <w:tcBorders>
              <w:left w:val="nil"/>
              <w:right w:val="nil"/>
            </w:tcBorders>
          </w:tcPr>
          <w:p w14:paraId="370C55FD"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Urban</w:t>
            </w:r>
          </w:p>
          <w:p w14:paraId="6F4B8F21"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Rural</w:t>
            </w:r>
          </w:p>
        </w:tc>
        <w:tc>
          <w:tcPr>
            <w:tcW w:w="1561" w:type="dxa"/>
            <w:tcBorders>
              <w:left w:val="nil"/>
              <w:right w:val="nil"/>
            </w:tcBorders>
          </w:tcPr>
          <w:p w14:paraId="40BEE0C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374</w:t>
            </w:r>
          </w:p>
          <w:p w14:paraId="75C1C21A"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2131" w:type="dxa"/>
            <w:tcBorders>
              <w:left w:val="nil"/>
              <w:right w:val="nil"/>
            </w:tcBorders>
          </w:tcPr>
          <w:p w14:paraId="254045CD"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95.4</w:t>
            </w:r>
          </w:p>
          <w:p w14:paraId="2DC281B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4.6</w:t>
            </w:r>
          </w:p>
        </w:tc>
      </w:tr>
      <w:tr w:rsidR="008E3BDD" w14:paraId="09321B3D" w14:textId="77777777">
        <w:tc>
          <w:tcPr>
            <w:tcW w:w="2130" w:type="dxa"/>
            <w:tcBorders>
              <w:left w:val="nil"/>
              <w:right w:val="nil"/>
            </w:tcBorders>
          </w:tcPr>
          <w:p w14:paraId="63AF87A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Employment Status</w:t>
            </w:r>
          </w:p>
        </w:tc>
        <w:tc>
          <w:tcPr>
            <w:tcW w:w="2700" w:type="dxa"/>
            <w:tcBorders>
              <w:left w:val="nil"/>
              <w:right w:val="nil"/>
            </w:tcBorders>
          </w:tcPr>
          <w:p w14:paraId="5FF4915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Self Employed</w:t>
            </w:r>
          </w:p>
          <w:p w14:paraId="4477EDB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Employee</w:t>
            </w:r>
          </w:p>
          <w:p w14:paraId="47E6CFF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Unemployed</w:t>
            </w:r>
          </w:p>
        </w:tc>
        <w:tc>
          <w:tcPr>
            <w:tcW w:w="1561" w:type="dxa"/>
            <w:tcBorders>
              <w:left w:val="nil"/>
              <w:right w:val="nil"/>
            </w:tcBorders>
          </w:tcPr>
          <w:p w14:paraId="7CC5B5DC"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93</w:t>
            </w:r>
          </w:p>
          <w:p w14:paraId="47DEA56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215</w:t>
            </w:r>
          </w:p>
          <w:p w14:paraId="437CD44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84</w:t>
            </w:r>
          </w:p>
        </w:tc>
        <w:tc>
          <w:tcPr>
            <w:tcW w:w="2131" w:type="dxa"/>
            <w:tcBorders>
              <w:left w:val="nil"/>
              <w:right w:val="nil"/>
            </w:tcBorders>
          </w:tcPr>
          <w:p w14:paraId="26E9BDC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23.7</w:t>
            </w:r>
          </w:p>
          <w:p w14:paraId="702173E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54.8</w:t>
            </w:r>
          </w:p>
          <w:p w14:paraId="4E680FC7"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21.4</w:t>
            </w:r>
          </w:p>
        </w:tc>
      </w:tr>
    </w:tbl>
    <w:p w14:paraId="624BB3BF" w14:textId="77777777" w:rsidR="008E3BDD" w:rsidRDefault="008E3BDD">
      <w:pPr>
        <w:spacing w:line="360" w:lineRule="auto"/>
        <w:jc w:val="both"/>
        <w:rPr>
          <w:rFonts w:ascii="Times New Roman" w:hAnsi="Times New Roman" w:cs="Times New Roman"/>
          <w:sz w:val="24"/>
          <w:szCs w:val="24"/>
        </w:rPr>
      </w:pPr>
    </w:p>
    <w:p w14:paraId="0D3B9642"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(Table 1) indicates that younger female adults (21-30 years old) have knowledge on </w:t>
      </w:r>
      <w:r>
        <w:rPr>
          <w:rFonts w:ascii="Times New Roman" w:hAnsi="Times New Roman" w:cs="Times New Roman"/>
          <w:sz w:val="24"/>
          <w:szCs w:val="24"/>
        </w:rPr>
        <w:t>dietary supplements more than older female adults (31-40 years old). In addition, tertiary graduates, employees as well as female adults who live in urban areas have knowledge on dietary supplements more than female adults who are not in these categories.</w:t>
      </w:r>
    </w:p>
    <w:p w14:paraId="42001CB8" w14:textId="77777777" w:rsidR="008E3BDD" w:rsidRDefault="008E3BDD">
      <w:pPr>
        <w:spacing w:line="360" w:lineRule="auto"/>
        <w:jc w:val="both"/>
        <w:rPr>
          <w:rFonts w:ascii="Times New Roman" w:hAnsi="Times New Roman" w:cs="Times New Roman"/>
          <w:sz w:val="24"/>
          <w:szCs w:val="24"/>
        </w:rPr>
      </w:pPr>
    </w:p>
    <w:p w14:paraId="195AA845" w14:textId="77777777" w:rsidR="008E3BDD" w:rsidRDefault="008E3BDD">
      <w:pPr>
        <w:spacing w:line="360" w:lineRule="auto"/>
        <w:jc w:val="both"/>
        <w:rPr>
          <w:rFonts w:ascii="Times New Roman" w:hAnsi="Times New Roman" w:cs="Times New Roman"/>
          <w:sz w:val="24"/>
          <w:szCs w:val="24"/>
          <w:u w:val="single"/>
        </w:rPr>
      </w:pPr>
    </w:p>
    <w:p w14:paraId="45F62859" w14:textId="77777777" w:rsidR="008E3BDD" w:rsidRDefault="008E3BDD">
      <w:pPr>
        <w:spacing w:line="360" w:lineRule="auto"/>
        <w:jc w:val="both"/>
        <w:rPr>
          <w:rFonts w:ascii="Times New Roman" w:hAnsi="Times New Roman" w:cs="Times New Roman"/>
          <w:sz w:val="24"/>
          <w:szCs w:val="24"/>
          <w:u w:val="single"/>
        </w:rPr>
      </w:pPr>
    </w:p>
    <w:p w14:paraId="0F76AA8A" w14:textId="77777777" w:rsidR="008E3BDD" w:rsidRDefault="008E3BDD">
      <w:pPr>
        <w:spacing w:line="360" w:lineRule="auto"/>
        <w:jc w:val="both"/>
        <w:rPr>
          <w:rFonts w:ascii="Times New Roman" w:hAnsi="Times New Roman" w:cs="Times New Roman"/>
          <w:sz w:val="24"/>
          <w:szCs w:val="24"/>
          <w:u w:val="single"/>
        </w:rPr>
      </w:pPr>
    </w:p>
    <w:p w14:paraId="56791931" w14:textId="77777777" w:rsidR="008E3BDD" w:rsidRDefault="0048279F">
      <w:pPr>
        <w:spacing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Objective Testing</w:t>
      </w:r>
    </w:p>
    <w:p w14:paraId="7EC85B51"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Figure 1:</w:t>
      </w:r>
      <w:r>
        <w:rPr>
          <w:rFonts w:ascii="Times New Roman" w:hAnsi="Times New Roman" w:cs="Times New Roman"/>
          <w:i/>
          <w:iCs/>
          <w:sz w:val="24"/>
          <w:szCs w:val="24"/>
          <w:u w:val="single"/>
        </w:rPr>
        <w:t xml:space="preserve"> Knowledge and Dietary supplements use among female adults in Accra </w:t>
      </w:r>
    </w:p>
    <w:p w14:paraId="67642F8E"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54319C55" wp14:editId="0E473EFA">
            <wp:extent cx="3735705" cy="2092960"/>
            <wp:effectExtent l="4445" t="4445" r="6350" b="10795"/>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cs="Times New Roman"/>
          <w:sz w:val="24"/>
          <w:szCs w:val="24"/>
        </w:rPr>
        <w:t xml:space="preserve">  </w:t>
      </w:r>
    </w:p>
    <w:p w14:paraId="0981419E" w14:textId="77777777" w:rsidR="008E3BDD" w:rsidRDefault="008E3BDD">
      <w:pPr>
        <w:spacing w:line="360" w:lineRule="auto"/>
        <w:jc w:val="both"/>
        <w:rPr>
          <w:rFonts w:ascii="Times New Roman" w:hAnsi="Times New Roman" w:cs="Times New Roman"/>
          <w:sz w:val="24"/>
          <w:szCs w:val="24"/>
        </w:rPr>
      </w:pPr>
    </w:p>
    <w:p w14:paraId="3EBEF482"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In the pie chart above (Figure 1), the study indicated that, 100% of respondents have knowledge about dietary supplements.</w:t>
      </w:r>
    </w:p>
    <w:p w14:paraId="3EB6FC37" w14:textId="77777777" w:rsidR="008E3BDD" w:rsidRDefault="008E3BDD">
      <w:pPr>
        <w:spacing w:line="360" w:lineRule="auto"/>
        <w:jc w:val="both"/>
        <w:rPr>
          <w:rFonts w:ascii="Times New Roman" w:hAnsi="Times New Roman" w:cs="Times New Roman"/>
          <w:sz w:val="24"/>
          <w:szCs w:val="24"/>
        </w:rPr>
      </w:pPr>
    </w:p>
    <w:p w14:paraId="0CF68D6B"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Figure 2:</w:t>
      </w:r>
      <w:r>
        <w:rPr>
          <w:rFonts w:ascii="Times New Roman" w:hAnsi="Times New Roman" w:cs="Times New Roman"/>
          <w:i/>
          <w:iCs/>
          <w:sz w:val="24"/>
          <w:szCs w:val="24"/>
          <w:u w:val="single"/>
        </w:rPr>
        <w:t xml:space="preserve"> Summary data on t</w:t>
      </w:r>
      <w:r>
        <w:rPr>
          <w:rFonts w:ascii="Times New Roman" w:hAnsi="Times New Roman" w:cs="Times New Roman"/>
          <w:i/>
          <w:iCs/>
          <w:sz w:val="24"/>
          <w:szCs w:val="24"/>
          <w:u w:val="single"/>
        </w:rPr>
        <w:t xml:space="preserve">he source of knowledge on the utilization of dietary supplement among female adults in Accra </w:t>
      </w:r>
    </w:p>
    <w:p w14:paraId="699C07A1"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114300" distR="114300" wp14:anchorId="5E47A4FB" wp14:editId="7D9118CE">
            <wp:extent cx="4649470" cy="3221990"/>
            <wp:effectExtent l="5080" t="4445" r="6350" b="5715"/>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DD8973"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In the pie chart above (Figure 2), the study indicated that 38% of respondents acquired their dietary information from the internet, 32% from health professiona</w:t>
      </w:r>
      <w:r>
        <w:rPr>
          <w:rFonts w:ascii="Times New Roman" w:hAnsi="Times New Roman" w:cs="Times New Roman"/>
          <w:sz w:val="24"/>
          <w:szCs w:val="24"/>
        </w:rPr>
        <w:t xml:space="preserve">ls, 2% from friends and family, 8% from the media. </w:t>
      </w:r>
    </w:p>
    <w:p w14:paraId="4AEED213" w14:textId="77777777" w:rsidR="008E3BDD" w:rsidRDefault="008E3BDD">
      <w:pPr>
        <w:spacing w:line="360" w:lineRule="auto"/>
        <w:jc w:val="both"/>
        <w:rPr>
          <w:rFonts w:ascii="Times New Roman" w:hAnsi="Times New Roman" w:cs="Times New Roman"/>
          <w:sz w:val="24"/>
          <w:szCs w:val="24"/>
        </w:rPr>
      </w:pPr>
    </w:p>
    <w:p w14:paraId="46FDFFD0"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2: </w:t>
      </w:r>
      <w:r>
        <w:rPr>
          <w:rFonts w:ascii="Times New Roman" w:hAnsi="Times New Roman" w:cs="Times New Roman"/>
          <w:i/>
          <w:iCs/>
          <w:sz w:val="24"/>
          <w:szCs w:val="24"/>
          <w:u w:val="single"/>
        </w:rPr>
        <w:t>Summary of a Chi-Square Table on Source of Knowledge on Dietary Supplement use.</w:t>
      </w:r>
    </w:p>
    <w:tbl>
      <w:tblPr>
        <w:tblStyle w:val="TableGrid"/>
        <w:tblW w:w="0" w:type="auto"/>
        <w:tblLook w:val="04A0" w:firstRow="1" w:lastRow="0" w:firstColumn="1" w:lastColumn="0" w:noHBand="0" w:noVBand="1"/>
      </w:tblPr>
      <w:tblGrid>
        <w:gridCol w:w="1755"/>
        <w:gridCol w:w="974"/>
        <w:gridCol w:w="1515"/>
        <w:gridCol w:w="1283"/>
        <w:gridCol w:w="994"/>
        <w:gridCol w:w="1184"/>
        <w:gridCol w:w="817"/>
      </w:tblGrid>
      <w:tr w:rsidR="008E3BDD" w14:paraId="27F5D5A1" w14:textId="77777777">
        <w:tc>
          <w:tcPr>
            <w:tcW w:w="1755" w:type="dxa"/>
            <w:tcBorders>
              <w:left w:val="nil"/>
              <w:right w:val="nil"/>
            </w:tcBorders>
          </w:tcPr>
          <w:p w14:paraId="194BB16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Age</w:t>
            </w:r>
          </w:p>
        </w:tc>
        <w:tc>
          <w:tcPr>
            <w:tcW w:w="974" w:type="dxa"/>
            <w:tcBorders>
              <w:left w:val="nil"/>
              <w:right w:val="nil"/>
            </w:tcBorders>
          </w:tcPr>
          <w:p w14:paraId="07E1399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Internet</w:t>
            </w:r>
          </w:p>
        </w:tc>
        <w:tc>
          <w:tcPr>
            <w:tcW w:w="1515" w:type="dxa"/>
            <w:tcBorders>
              <w:left w:val="nil"/>
              <w:right w:val="nil"/>
            </w:tcBorders>
          </w:tcPr>
          <w:p w14:paraId="666A739F"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Health Professionals</w:t>
            </w:r>
          </w:p>
        </w:tc>
        <w:tc>
          <w:tcPr>
            <w:tcW w:w="1283" w:type="dxa"/>
            <w:tcBorders>
              <w:left w:val="nil"/>
              <w:right w:val="nil"/>
            </w:tcBorders>
          </w:tcPr>
          <w:p w14:paraId="1CE295F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Family &amp; Friends</w:t>
            </w:r>
          </w:p>
        </w:tc>
        <w:tc>
          <w:tcPr>
            <w:tcW w:w="994" w:type="dxa"/>
            <w:tcBorders>
              <w:left w:val="nil"/>
              <w:right w:val="nil"/>
            </w:tcBorders>
          </w:tcPr>
          <w:p w14:paraId="3B9F3011"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Media</w:t>
            </w:r>
          </w:p>
        </w:tc>
        <w:tc>
          <w:tcPr>
            <w:tcW w:w="1184" w:type="dxa"/>
            <w:tcBorders>
              <w:left w:val="nil"/>
              <w:right w:val="nil"/>
            </w:tcBorders>
          </w:tcPr>
          <w:p w14:paraId="6503DD2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Pearson Value</w:t>
            </w:r>
          </w:p>
        </w:tc>
        <w:tc>
          <w:tcPr>
            <w:tcW w:w="817" w:type="dxa"/>
            <w:tcBorders>
              <w:left w:val="nil"/>
              <w:right w:val="nil"/>
            </w:tcBorders>
          </w:tcPr>
          <w:p w14:paraId="60473CD6"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P-Value</w:t>
            </w:r>
          </w:p>
        </w:tc>
      </w:tr>
      <w:tr w:rsidR="008E3BDD" w14:paraId="69C9E60F" w14:textId="77777777">
        <w:tc>
          <w:tcPr>
            <w:tcW w:w="1755" w:type="dxa"/>
            <w:tcBorders>
              <w:left w:val="nil"/>
              <w:right w:val="nil"/>
            </w:tcBorders>
          </w:tcPr>
          <w:p w14:paraId="1D114CF2"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21-30 years old</w:t>
            </w:r>
          </w:p>
        </w:tc>
        <w:tc>
          <w:tcPr>
            <w:tcW w:w="974" w:type="dxa"/>
            <w:tcBorders>
              <w:left w:val="nil"/>
              <w:right w:val="nil"/>
            </w:tcBorders>
          </w:tcPr>
          <w:p w14:paraId="3BC19005"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131</w:t>
            </w:r>
          </w:p>
        </w:tc>
        <w:tc>
          <w:tcPr>
            <w:tcW w:w="1515" w:type="dxa"/>
            <w:tcBorders>
              <w:left w:val="nil"/>
              <w:right w:val="nil"/>
            </w:tcBorders>
          </w:tcPr>
          <w:p w14:paraId="0BBEDAD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108</w:t>
            </w:r>
          </w:p>
        </w:tc>
        <w:tc>
          <w:tcPr>
            <w:tcW w:w="1283" w:type="dxa"/>
            <w:tcBorders>
              <w:left w:val="nil"/>
              <w:right w:val="nil"/>
            </w:tcBorders>
          </w:tcPr>
          <w:p w14:paraId="33DD7D50"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76</w:t>
            </w:r>
          </w:p>
        </w:tc>
        <w:tc>
          <w:tcPr>
            <w:tcW w:w="994" w:type="dxa"/>
            <w:tcBorders>
              <w:left w:val="nil"/>
              <w:right w:val="nil"/>
            </w:tcBorders>
          </w:tcPr>
          <w:p w14:paraId="531D236E"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184" w:type="dxa"/>
            <w:tcBorders>
              <w:left w:val="nil"/>
              <w:right w:val="nil"/>
            </w:tcBorders>
          </w:tcPr>
          <w:p w14:paraId="1FE503BC"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23.062</w:t>
            </w:r>
          </w:p>
        </w:tc>
        <w:tc>
          <w:tcPr>
            <w:tcW w:w="817" w:type="dxa"/>
            <w:tcBorders>
              <w:left w:val="nil"/>
              <w:right w:val="nil"/>
            </w:tcBorders>
          </w:tcPr>
          <w:p w14:paraId="2FCD15CB"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0.000</w:t>
            </w:r>
          </w:p>
        </w:tc>
      </w:tr>
      <w:tr w:rsidR="008E3BDD" w14:paraId="704FC7A1" w14:textId="77777777">
        <w:tc>
          <w:tcPr>
            <w:tcW w:w="1755" w:type="dxa"/>
            <w:tcBorders>
              <w:left w:val="nil"/>
              <w:right w:val="nil"/>
            </w:tcBorders>
          </w:tcPr>
          <w:p w14:paraId="018BBB13"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31-40 years old</w:t>
            </w:r>
          </w:p>
        </w:tc>
        <w:tc>
          <w:tcPr>
            <w:tcW w:w="974" w:type="dxa"/>
            <w:tcBorders>
              <w:left w:val="nil"/>
              <w:right w:val="nil"/>
            </w:tcBorders>
          </w:tcPr>
          <w:p w14:paraId="68947169"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515" w:type="dxa"/>
            <w:tcBorders>
              <w:left w:val="nil"/>
              <w:right w:val="nil"/>
            </w:tcBorders>
          </w:tcPr>
          <w:p w14:paraId="21CFBB1D"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1283" w:type="dxa"/>
            <w:tcBorders>
              <w:left w:val="nil"/>
              <w:right w:val="nil"/>
            </w:tcBorders>
          </w:tcPr>
          <w:p w14:paraId="394A110A"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994" w:type="dxa"/>
            <w:tcBorders>
              <w:left w:val="nil"/>
              <w:right w:val="nil"/>
            </w:tcBorders>
          </w:tcPr>
          <w:p w14:paraId="697C8DBD" w14:textId="77777777" w:rsidR="008E3BDD" w:rsidRDefault="0048279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1184" w:type="dxa"/>
            <w:tcBorders>
              <w:left w:val="nil"/>
              <w:right w:val="nil"/>
            </w:tcBorders>
          </w:tcPr>
          <w:p w14:paraId="6A567515" w14:textId="77777777" w:rsidR="008E3BDD" w:rsidRDefault="008E3BDD">
            <w:pPr>
              <w:spacing w:line="360" w:lineRule="auto"/>
              <w:rPr>
                <w:rFonts w:ascii="Times New Roman" w:hAnsi="Times New Roman" w:cs="Times New Roman"/>
                <w:sz w:val="24"/>
                <w:szCs w:val="24"/>
              </w:rPr>
            </w:pPr>
          </w:p>
        </w:tc>
        <w:tc>
          <w:tcPr>
            <w:tcW w:w="817" w:type="dxa"/>
            <w:tcBorders>
              <w:left w:val="nil"/>
              <w:right w:val="nil"/>
            </w:tcBorders>
          </w:tcPr>
          <w:p w14:paraId="11D69646" w14:textId="77777777" w:rsidR="008E3BDD" w:rsidRDefault="008E3BDD">
            <w:pPr>
              <w:spacing w:line="360" w:lineRule="auto"/>
              <w:rPr>
                <w:rFonts w:ascii="Times New Roman" w:hAnsi="Times New Roman" w:cs="Times New Roman"/>
                <w:sz w:val="24"/>
                <w:szCs w:val="24"/>
              </w:rPr>
            </w:pPr>
          </w:p>
        </w:tc>
      </w:tr>
    </w:tbl>
    <w:p w14:paraId="3FAA6147" w14:textId="77777777" w:rsidR="008E3BDD" w:rsidRDefault="008E3BDD">
      <w:pPr>
        <w:spacing w:line="360" w:lineRule="auto"/>
        <w:jc w:val="both"/>
        <w:rPr>
          <w:rFonts w:ascii="Times New Roman" w:hAnsi="Times New Roman" w:cs="Times New Roman"/>
          <w:sz w:val="24"/>
          <w:szCs w:val="24"/>
        </w:rPr>
      </w:pPr>
    </w:p>
    <w:p w14:paraId="0662A8F4"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table (Table 2), the chi-square is a statistical test used to determine whether there is a significant association between two categorical variables. The </w:t>
      </w:r>
      <w:proofErr w:type="spellStart"/>
      <w:r>
        <w:rPr>
          <w:rFonts w:ascii="Times New Roman" w:hAnsi="Times New Roman" w:cs="Times New Roman"/>
          <w:sz w:val="24"/>
          <w:szCs w:val="24"/>
        </w:rPr>
        <w:t>pearson</w:t>
      </w:r>
      <w:proofErr w:type="spellEnd"/>
      <w:r>
        <w:rPr>
          <w:rFonts w:ascii="Times New Roman" w:hAnsi="Times New Roman" w:cs="Times New Roman"/>
          <w:sz w:val="24"/>
          <w:szCs w:val="24"/>
        </w:rPr>
        <w:t xml:space="preserve"> chi-square Value (23.062) measures the discrepancy between the observed and expected frequencies in a contingency table. A higher chi-square value typically indicates a greater difference between these frequencies. The p-value (0.000) indicates the probab</w:t>
      </w:r>
      <w:r>
        <w:rPr>
          <w:rFonts w:ascii="Times New Roman" w:hAnsi="Times New Roman" w:cs="Times New Roman"/>
          <w:sz w:val="24"/>
          <w:szCs w:val="24"/>
        </w:rPr>
        <w:t xml:space="preserve">ility of obtaining a chi-square statistic at least as extreme as the one observed, assuming that the null hypothesis is true. It helps us determine whether the observed association is statistically significant. This indicates that there is a statistically </w:t>
      </w:r>
      <w:r>
        <w:rPr>
          <w:rFonts w:ascii="Times New Roman" w:hAnsi="Times New Roman" w:cs="Times New Roman"/>
          <w:sz w:val="24"/>
          <w:szCs w:val="24"/>
        </w:rPr>
        <w:t xml:space="preserve">significant association between knowledge and dietary supplement use among female adults in Accra, Ghana.  </w:t>
      </w:r>
    </w:p>
    <w:p w14:paraId="11F8490C" w14:textId="77777777" w:rsidR="008E3BDD" w:rsidRDefault="008E3BDD">
      <w:pPr>
        <w:spacing w:line="360" w:lineRule="auto"/>
        <w:jc w:val="both"/>
        <w:rPr>
          <w:rFonts w:ascii="Times New Roman" w:hAnsi="Times New Roman" w:cs="Times New Roman"/>
          <w:sz w:val="24"/>
          <w:szCs w:val="24"/>
        </w:rPr>
      </w:pPr>
    </w:p>
    <w:p w14:paraId="7D1711DF"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Discussion</w:t>
      </w:r>
    </w:p>
    <w:p w14:paraId="791580E8"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the study findings, 100% of female adults in Accra-Ghana, have knowledge about dietary supplements. 38% of respondents acqu</w:t>
      </w:r>
      <w:r>
        <w:rPr>
          <w:rFonts w:ascii="Times New Roman" w:hAnsi="Times New Roman" w:cs="Times New Roman"/>
          <w:sz w:val="24"/>
          <w:szCs w:val="24"/>
        </w:rPr>
        <w:t>ired their dietary information from the internet, 32% from health professionals, 2% from friends and family, 8% from the media. In addition, there is a statistically significant association between knowledge and dietary supplement use among female adults i</w:t>
      </w:r>
      <w:r>
        <w:rPr>
          <w:rFonts w:ascii="Times New Roman" w:hAnsi="Times New Roman" w:cs="Times New Roman"/>
          <w:sz w:val="24"/>
          <w:szCs w:val="24"/>
        </w:rPr>
        <w:t xml:space="preserve">n Accra, Ghana. Younger female adults have more knowledge about dietary supplements than older female adults. </w:t>
      </w:r>
    </w:p>
    <w:p w14:paraId="48FF4FDF"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A growing proportion of individuals in rapidly developing countries are resorting to the internet as a means to get the necessary health informat</w:t>
      </w:r>
      <w:r>
        <w:rPr>
          <w:rFonts w:ascii="Times New Roman" w:hAnsi="Times New Roman" w:cs="Times New Roman"/>
          <w:sz w:val="24"/>
          <w:szCs w:val="24"/>
        </w:rPr>
        <w:t>ion. Industrialized countries like the United States and Japan mirror this phenomenon, with over 70% of their population relying on the internet as their primary information source, particularly for health management (17, 18). This inclination is not surpr</w:t>
      </w:r>
      <w:r>
        <w:rPr>
          <w:rFonts w:ascii="Times New Roman" w:hAnsi="Times New Roman" w:cs="Times New Roman"/>
          <w:sz w:val="24"/>
          <w:szCs w:val="24"/>
        </w:rPr>
        <w:t xml:space="preserve">ising, considering the widespread accessibility to the internet and the advanced technical education of today's young generation. Furthermore, the complex environments in </w:t>
      </w:r>
      <w:r>
        <w:rPr>
          <w:rFonts w:ascii="Times New Roman" w:hAnsi="Times New Roman" w:cs="Times New Roman"/>
          <w:sz w:val="24"/>
          <w:szCs w:val="24"/>
        </w:rPr>
        <w:lastRenderedPageBreak/>
        <w:t>which these online health treatments or programs operate make their implementation so</w:t>
      </w:r>
      <w:r>
        <w:rPr>
          <w:rFonts w:ascii="Times New Roman" w:hAnsi="Times New Roman" w:cs="Times New Roman"/>
          <w:sz w:val="24"/>
          <w:szCs w:val="24"/>
        </w:rPr>
        <w:t xml:space="preserve">lely through technical means unfeasible (19). </w:t>
      </w:r>
    </w:p>
    <w:p w14:paraId="05A80724"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Therefore, in the realm of digital health literacy, it is crucial to ensure that the development of electronic materials for consumers aligns with their literacy levels. An essential competency for eHealth use</w:t>
      </w:r>
      <w:r>
        <w:rPr>
          <w:rFonts w:ascii="Times New Roman" w:hAnsi="Times New Roman" w:cs="Times New Roman"/>
          <w:sz w:val="24"/>
          <w:szCs w:val="24"/>
        </w:rPr>
        <w:t>rs is "eHealth literacy," which refers to the ability to read, understand, and assess health information obtained online and then use that knowledge to address a health concern (20). The eHealth literacy scale consists of five levels that represent the ran</w:t>
      </w:r>
      <w:r>
        <w:rPr>
          <w:rFonts w:ascii="Times New Roman" w:hAnsi="Times New Roman" w:cs="Times New Roman"/>
          <w:sz w:val="24"/>
          <w:szCs w:val="24"/>
        </w:rPr>
        <w:t>ge of skills required to actively engage in the use of information technology to improve health. Skill in operation and navigation constitute the lowest tiers of the scale, whereas the higher tiers need proficiency in information selection and assessment (</w:t>
      </w:r>
      <w:r>
        <w:rPr>
          <w:rFonts w:ascii="Times New Roman" w:hAnsi="Times New Roman" w:cs="Times New Roman"/>
          <w:sz w:val="24"/>
          <w:szCs w:val="24"/>
        </w:rPr>
        <w:t xml:space="preserve">21). </w:t>
      </w:r>
    </w:p>
    <w:p w14:paraId="1A269D7D"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Enhanced eHealth literacy may benefit developing countries by facilitating better availability of online health information resources. Developed countries like the US, Finland, China, and Japan have primarily conducted research on eHealth literacy, f</w:t>
      </w:r>
      <w:r>
        <w:rPr>
          <w:rFonts w:ascii="Times New Roman" w:hAnsi="Times New Roman" w:cs="Times New Roman"/>
          <w:sz w:val="24"/>
          <w:szCs w:val="24"/>
        </w:rPr>
        <w:t xml:space="preserve">ocusing specifically on college students and young adults (22, 23). Limited research has examined the correlation between eHealth literacy and health behaviors in general, and even fewer studies have investigated its relationship with the health behaviors </w:t>
      </w:r>
      <w:r>
        <w:rPr>
          <w:rFonts w:ascii="Times New Roman" w:hAnsi="Times New Roman" w:cs="Times New Roman"/>
          <w:sz w:val="24"/>
          <w:szCs w:val="24"/>
        </w:rPr>
        <w:t xml:space="preserve">of young people in developing countries, particularly (24). Despite the growing reliance of impoverished countries on online health services, the industrialized world's concept of eHealth literacy remains largely unexplored (25). </w:t>
      </w:r>
    </w:p>
    <w:p w14:paraId="56747ABB"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Researchers propose techn</w:t>
      </w:r>
      <w:r>
        <w:rPr>
          <w:rFonts w:ascii="Times New Roman" w:hAnsi="Times New Roman" w:cs="Times New Roman"/>
          <w:sz w:val="24"/>
          <w:szCs w:val="24"/>
        </w:rPr>
        <w:t>ology-based health information as a technique to enhance health literacy, but comprehensive research on Ghanaian health literacy levels, particularly among those seeking health-related education, is lacking (26, 27). Despite Ghanaians' widespread use of th</w:t>
      </w:r>
      <w:r>
        <w:rPr>
          <w:rFonts w:ascii="Times New Roman" w:hAnsi="Times New Roman" w:cs="Times New Roman"/>
          <w:sz w:val="24"/>
          <w:szCs w:val="24"/>
        </w:rPr>
        <w:t>e internet to acquire knowledge about various supplements and make well-informed decisions regarding their use, the Ministry of Health in Ghana does not have jurisdiction over online health education. Due to the predominant presence of younger female inter</w:t>
      </w:r>
      <w:r>
        <w:rPr>
          <w:rFonts w:ascii="Times New Roman" w:hAnsi="Times New Roman" w:cs="Times New Roman"/>
          <w:sz w:val="24"/>
          <w:szCs w:val="24"/>
        </w:rPr>
        <w:t>net users, it becomes particularly difficult to confirm their adherence to the prescribed medications.</w:t>
      </w:r>
    </w:p>
    <w:p w14:paraId="4D954C39"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Tarid</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al’s</w:t>
      </w:r>
      <w:proofErr w:type="spellEnd"/>
      <w:r>
        <w:rPr>
          <w:rFonts w:ascii="Times New Roman" w:hAnsi="Times New Roman" w:cs="Times New Roman"/>
          <w:sz w:val="24"/>
          <w:szCs w:val="24"/>
        </w:rPr>
        <w:t xml:space="preserve"> study, 99% of the 401 participants reported using Google for health-related information, and 365 individuals reported using it regularly</w:t>
      </w:r>
      <w:r>
        <w:rPr>
          <w:rFonts w:ascii="Times New Roman" w:hAnsi="Times New Roman" w:cs="Times New Roman"/>
          <w:sz w:val="24"/>
          <w:szCs w:val="24"/>
        </w:rPr>
        <w:t xml:space="preserve"> overall. Among the other social media platforms examined, 196 out of 311 Facebook users, 179 out of 287 Wikipedia users, and 40 out of 265 Twitter users reported using these platforms to seek or provide health-related information. Researchers found no sig</w:t>
      </w:r>
      <w:r>
        <w:rPr>
          <w:rFonts w:ascii="Times New Roman" w:hAnsi="Times New Roman" w:cs="Times New Roman"/>
          <w:sz w:val="24"/>
          <w:szCs w:val="24"/>
        </w:rPr>
        <w:t xml:space="preserve">nificant </w:t>
      </w:r>
      <w:r>
        <w:rPr>
          <w:rFonts w:ascii="Times New Roman" w:hAnsi="Times New Roman" w:cs="Times New Roman"/>
          <w:sz w:val="24"/>
          <w:szCs w:val="24"/>
        </w:rPr>
        <w:lastRenderedPageBreak/>
        <w:t>correlation between perceived eHealth literacy and the usage of these specific social media platforms (28).</w:t>
      </w:r>
    </w:p>
    <w:p w14:paraId="7399FCF2" w14:textId="77777777" w:rsidR="008E3BDD" w:rsidRDefault="008E3BDD">
      <w:pPr>
        <w:spacing w:line="360" w:lineRule="auto"/>
        <w:jc w:val="both"/>
        <w:rPr>
          <w:rFonts w:ascii="Times New Roman" w:hAnsi="Times New Roman" w:cs="Times New Roman"/>
          <w:b/>
          <w:bCs/>
          <w:sz w:val="24"/>
          <w:szCs w:val="24"/>
        </w:rPr>
      </w:pPr>
    </w:p>
    <w:p w14:paraId="4DB7546B" w14:textId="77777777" w:rsidR="008E3BDD" w:rsidRDefault="008E3BDD">
      <w:pPr>
        <w:spacing w:line="360" w:lineRule="auto"/>
        <w:jc w:val="both"/>
        <w:rPr>
          <w:rFonts w:ascii="Times New Roman" w:hAnsi="Times New Roman" w:cs="Times New Roman"/>
          <w:sz w:val="24"/>
          <w:szCs w:val="24"/>
        </w:rPr>
      </w:pPr>
    </w:p>
    <w:p w14:paraId="0D2E66F0"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w:t>
      </w:r>
    </w:p>
    <w:p w14:paraId="482FC567"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investigated on the source of knowledge and dietary use among female adults in Accra, Ghana. It was discovered that</w:t>
      </w:r>
      <w:r>
        <w:rPr>
          <w:rFonts w:ascii="Times New Roman" w:hAnsi="Times New Roman" w:cs="Times New Roman"/>
          <w:sz w:val="24"/>
          <w:szCs w:val="24"/>
        </w:rPr>
        <w:t xml:space="preserve"> 100% of female adults in Accra, Ghana have knowledge about dietary supplements. 38% of respondents acquired their dietary information from the internet, 32% from health professionals, 2% from friends and family, 8% from the media. In addition, there is a </w:t>
      </w:r>
      <w:r>
        <w:rPr>
          <w:rFonts w:ascii="Times New Roman" w:hAnsi="Times New Roman" w:cs="Times New Roman"/>
          <w:sz w:val="24"/>
          <w:szCs w:val="24"/>
        </w:rPr>
        <w:t>statistically significant association between knowledge and dietary supplement use among female adults in Accra, Ghana. Younger female adults have more knowledge about dietary supplements than older female adults. This study recommends that, health promoti</w:t>
      </w:r>
      <w:r>
        <w:rPr>
          <w:rFonts w:ascii="Times New Roman" w:hAnsi="Times New Roman" w:cs="Times New Roman"/>
          <w:sz w:val="24"/>
          <w:szCs w:val="24"/>
        </w:rPr>
        <w:t xml:space="preserve">on needs to be channeled towards the internet other than the media and health facilities only, to provide the right education on dietary supplements among females to ensure the safety and efficacy of dietary supplement consumption. Further studies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w:t>
      </w:r>
      <w:r>
        <w:rPr>
          <w:rFonts w:ascii="Times New Roman" w:hAnsi="Times New Roman" w:cs="Times New Roman"/>
          <w:sz w:val="24"/>
          <w:szCs w:val="24"/>
        </w:rPr>
        <w:t xml:space="preserve"> be conducted on why reproductive aged females prefer using the internet to source dietary information instead of the healthcare professionals.</w:t>
      </w:r>
    </w:p>
    <w:p w14:paraId="58834F1F" w14:textId="77777777" w:rsidR="00762C1F" w:rsidRDefault="00762C1F" w:rsidP="00762C1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Strength and Limitations</w:t>
      </w:r>
    </w:p>
    <w:p w14:paraId="407F4296" w14:textId="77777777" w:rsidR="00762C1F" w:rsidRDefault="00762C1F" w:rsidP="00762C1F">
      <w:pPr>
        <w:spacing w:line="360" w:lineRule="auto"/>
        <w:jc w:val="both"/>
        <w:rPr>
          <w:rFonts w:ascii="Times New Roman" w:hAnsi="Times New Roman" w:cs="Times New Roman"/>
          <w:sz w:val="24"/>
          <w:szCs w:val="24"/>
        </w:rPr>
      </w:pPr>
      <w:r>
        <w:rPr>
          <w:rFonts w:ascii="Times New Roman" w:hAnsi="Times New Roman"/>
          <w:sz w:val="24"/>
          <w:szCs w:val="24"/>
        </w:rPr>
        <w:t>The study's design is its most robust aspect, using a comprehensive methodology to address the little-explored scientific issue. The author highlights a limitation despite the study's successful conclusion. This kind of research may be susceptible to response biases, including cultural or linguistic biases. As the subject matter was a self-administered questionnaire, data collection mostly relied on the respondents' capacity to properly and honestly disclose their sources of knowledge on dietary supplement use. However, this research provides valuable insights into an area that has not received much attention in the Ghanaian context.</w:t>
      </w:r>
    </w:p>
    <w:p w14:paraId="245E1092" w14:textId="77777777" w:rsidR="00762C1F" w:rsidRDefault="00762C1F">
      <w:pPr>
        <w:spacing w:line="360" w:lineRule="auto"/>
        <w:jc w:val="both"/>
        <w:rPr>
          <w:rFonts w:ascii="Times New Roman" w:hAnsi="Times New Roman" w:cs="Times New Roman"/>
          <w:sz w:val="24"/>
          <w:szCs w:val="24"/>
        </w:rPr>
      </w:pPr>
    </w:p>
    <w:p w14:paraId="429DEE46" w14:textId="77777777" w:rsidR="008E3BDD" w:rsidRDefault="008E3BDD">
      <w:pPr>
        <w:spacing w:line="360" w:lineRule="auto"/>
        <w:jc w:val="both"/>
        <w:rPr>
          <w:rFonts w:ascii="Times New Roman" w:hAnsi="Times New Roman"/>
          <w:b/>
          <w:bCs/>
          <w:sz w:val="24"/>
          <w:szCs w:val="24"/>
        </w:rPr>
      </w:pPr>
      <w:bookmarkStart w:id="0" w:name="_GoBack"/>
      <w:bookmarkEnd w:id="0"/>
    </w:p>
    <w:p w14:paraId="3FCABB70" w14:textId="77777777" w:rsidR="008E3BDD" w:rsidRDefault="0048279F">
      <w:pPr>
        <w:spacing w:line="360" w:lineRule="auto"/>
        <w:jc w:val="both"/>
        <w:rPr>
          <w:rFonts w:ascii="Times New Roman" w:hAnsi="Times New Roman"/>
          <w:sz w:val="24"/>
          <w:szCs w:val="24"/>
        </w:rPr>
      </w:pPr>
      <w:r>
        <w:rPr>
          <w:rFonts w:ascii="Times New Roman" w:hAnsi="Times New Roman"/>
          <w:b/>
          <w:bCs/>
          <w:sz w:val="24"/>
          <w:szCs w:val="24"/>
        </w:rPr>
        <w:t>Conflict of Interest</w:t>
      </w:r>
    </w:p>
    <w:p w14:paraId="5F858084"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t>The author declares there are no conflict of interest</w:t>
      </w:r>
    </w:p>
    <w:p w14:paraId="1FA03713" w14:textId="77777777" w:rsidR="008E3BDD" w:rsidRDefault="008E3BDD">
      <w:pPr>
        <w:spacing w:line="360" w:lineRule="auto"/>
        <w:jc w:val="both"/>
        <w:rPr>
          <w:rFonts w:ascii="Times New Roman" w:hAnsi="Times New Roman"/>
          <w:sz w:val="24"/>
          <w:szCs w:val="24"/>
        </w:rPr>
      </w:pPr>
    </w:p>
    <w:p w14:paraId="606D95B0" w14:textId="77777777" w:rsidR="008E3BDD" w:rsidRDefault="0048279F">
      <w:pPr>
        <w:spacing w:line="360" w:lineRule="auto"/>
        <w:jc w:val="both"/>
        <w:rPr>
          <w:rFonts w:ascii="Times New Roman" w:hAnsi="Times New Roman"/>
          <w:b/>
          <w:bCs/>
          <w:sz w:val="24"/>
          <w:szCs w:val="24"/>
        </w:rPr>
      </w:pPr>
      <w:r>
        <w:rPr>
          <w:rFonts w:ascii="Times New Roman" w:hAnsi="Times New Roman"/>
          <w:b/>
          <w:bCs/>
          <w:sz w:val="24"/>
          <w:szCs w:val="24"/>
        </w:rPr>
        <w:t>Ethical approval and consent to Participate</w:t>
      </w:r>
    </w:p>
    <w:p w14:paraId="67146D35" w14:textId="77777777" w:rsidR="008E3BDD" w:rsidRDefault="0048279F">
      <w:pPr>
        <w:spacing w:line="360" w:lineRule="auto"/>
        <w:jc w:val="both"/>
        <w:rPr>
          <w:rFonts w:ascii="Times New Roman" w:hAnsi="Times New Roman"/>
          <w:sz w:val="24"/>
          <w:szCs w:val="24"/>
        </w:rPr>
      </w:pPr>
      <w:r>
        <w:rPr>
          <w:rFonts w:ascii="Times New Roman" w:hAnsi="Times New Roman"/>
          <w:sz w:val="24"/>
          <w:szCs w:val="24"/>
        </w:rPr>
        <w:lastRenderedPageBreak/>
        <w:t>The study was conducted according to the guidelines of the Declaration of Helsinki, 2013 and approved by the Committee of Human Research, Publication and Ethics at the Kwame Nkrumah University of Science and Technology before data was collected from the pa</w:t>
      </w:r>
      <w:r>
        <w:rPr>
          <w:rFonts w:ascii="Times New Roman" w:hAnsi="Times New Roman"/>
          <w:sz w:val="24"/>
          <w:szCs w:val="24"/>
        </w:rPr>
        <w:t xml:space="preserve">rticipants (CHRPE/AP/239/23). All study participants consented for participation in this study. There were no risks in this research and participation was voluntary with freedom to withdraw at any time </w:t>
      </w:r>
    </w:p>
    <w:p w14:paraId="15AE7627" w14:textId="77777777" w:rsidR="008E3BDD" w:rsidRDefault="008E3BDD">
      <w:pPr>
        <w:spacing w:line="360" w:lineRule="auto"/>
        <w:jc w:val="both"/>
        <w:rPr>
          <w:rFonts w:ascii="Times New Roman" w:hAnsi="Times New Roman"/>
          <w:sz w:val="24"/>
          <w:szCs w:val="24"/>
        </w:rPr>
      </w:pPr>
    </w:p>
    <w:p w14:paraId="360D34EC" w14:textId="77777777" w:rsidR="008E3BDD" w:rsidRDefault="008E3BDD">
      <w:pPr>
        <w:spacing w:line="360" w:lineRule="auto"/>
        <w:jc w:val="both"/>
        <w:rPr>
          <w:rFonts w:ascii="Times New Roman" w:hAnsi="Times New Roman" w:cs="Times New Roman"/>
          <w:b/>
          <w:bCs/>
          <w:sz w:val="24"/>
          <w:szCs w:val="24"/>
        </w:rPr>
      </w:pPr>
    </w:p>
    <w:p w14:paraId="33B41A60" w14:textId="77777777" w:rsidR="008E3BDD" w:rsidRDefault="008E3BDD">
      <w:pPr>
        <w:spacing w:line="360" w:lineRule="auto"/>
        <w:jc w:val="both"/>
        <w:rPr>
          <w:rFonts w:ascii="Times New Roman" w:hAnsi="Times New Roman" w:cs="Times New Roman"/>
          <w:b/>
          <w:bCs/>
          <w:sz w:val="24"/>
          <w:szCs w:val="24"/>
        </w:rPr>
      </w:pPr>
    </w:p>
    <w:p w14:paraId="1BAA661E" w14:textId="77777777" w:rsidR="007B7C19" w:rsidRPr="007B7C19" w:rsidRDefault="007B7C19" w:rsidP="007B7C19">
      <w:pPr>
        <w:spacing w:after="200" w:line="276" w:lineRule="auto"/>
        <w:jc w:val="both"/>
        <w:outlineLvl w:val="0"/>
        <w:rPr>
          <w:rFonts w:ascii="Arial" w:eastAsia="Times New Roman" w:hAnsi="Arial" w:cs="Arial"/>
          <w:sz w:val="22"/>
          <w:szCs w:val="22"/>
          <w:lang w:val="en-GB" w:eastAsia="en-GB"/>
        </w:rPr>
      </w:pPr>
      <w:r w:rsidRPr="007B7C19">
        <w:rPr>
          <w:rFonts w:ascii="Arial" w:eastAsia="Times New Roman" w:hAnsi="Arial" w:cs="Arial"/>
          <w:b/>
          <w:bCs/>
          <w:sz w:val="22"/>
          <w:szCs w:val="22"/>
          <w:lang w:val="en-GB" w:eastAsia="en-GB"/>
        </w:rPr>
        <w:t>COMPETING INTERESTS DISCLAIMER:</w:t>
      </w:r>
    </w:p>
    <w:p w14:paraId="731C585A" w14:textId="77777777" w:rsidR="007B7C19" w:rsidRPr="007B7C19" w:rsidRDefault="007B7C19" w:rsidP="007B7C19">
      <w:pPr>
        <w:spacing w:after="200" w:line="276" w:lineRule="auto"/>
        <w:rPr>
          <w:rFonts w:ascii="Calibri" w:eastAsia="Times New Roman" w:hAnsi="Calibri" w:cs="Times New Roman"/>
          <w:sz w:val="22"/>
          <w:szCs w:val="22"/>
          <w:lang w:val="en-GB" w:eastAsia="en-GB"/>
        </w:rPr>
      </w:pPr>
      <w:r w:rsidRPr="007B7C19">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1F64AA25" w14:textId="77777777" w:rsidR="008E3BDD" w:rsidRDefault="008E3BDD">
      <w:pPr>
        <w:spacing w:line="360" w:lineRule="auto"/>
        <w:jc w:val="both"/>
        <w:rPr>
          <w:rFonts w:ascii="Times New Roman" w:hAnsi="Times New Roman" w:cs="Times New Roman"/>
          <w:b/>
          <w:bCs/>
          <w:sz w:val="24"/>
          <w:szCs w:val="24"/>
        </w:rPr>
      </w:pPr>
    </w:p>
    <w:p w14:paraId="73E01C0A" w14:textId="77777777" w:rsidR="008E3BDD" w:rsidRDefault="008E3BDD">
      <w:pPr>
        <w:spacing w:line="360" w:lineRule="auto"/>
        <w:jc w:val="both"/>
        <w:rPr>
          <w:rFonts w:ascii="Times New Roman" w:hAnsi="Times New Roman" w:cs="Times New Roman"/>
          <w:b/>
          <w:bCs/>
          <w:sz w:val="24"/>
          <w:szCs w:val="24"/>
        </w:rPr>
      </w:pPr>
    </w:p>
    <w:p w14:paraId="77A09A39" w14:textId="77777777" w:rsidR="008E3BDD" w:rsidRDefault="008E3BDD">
      <w:pPr>
        <w:spacing w:line="360" w:lineRule="auto"/>
        <w:jc w:val="both"/>
        <w:rPr>
          <w:rFonts w:ascii="Times New Roman" w:hAnsi="Times New Roman" w:cs="Times New Roman"/>
          <w:b/>
          <w:bCs/>
          <w:sz w:val="24"/>
          <w:szCs w:val="24"/>
        </w:rPr>
      </w:pPr>
    </w:p>
    <w:p w14:paraId="674980CE" w14:textId="77777777" w:rsidR="008E3BDD" w:rsidRDefault="008E3BDD">
      <w:pPr>
        <w:spacing w:line="360" w:lineRule="auto"/>
        <w:jc w:val="both"/>
        <w:rPr>
          <w:rFonts w:ascii="Times New Roman" w:hAnsi="Times New Roman" w:cs="Times New Roman"/>
          <w:b/>
          <w:bCs/>
          <w:sz w:val="24"/>
          <w:szCs w:val="24"/>
        </w:rPr>
      </w:pPr>
    </w:p>
    <w:p w14:paraId="09DF41AC" w14:textId="77777777" w:rsidR="008E3BDD" w:rsidRDefault="008E3BDD">
      <w:pPr>
        <w:spacing w:line="360" w:lineRule="auto"/>
        <w:jc w:val="both"/>
        <w:rPr>
          <w:rFonts w:ascii="Times New Roman" w:hAnsi="Times New Roman" w:cs="Times New Roman"/>
          <w:b/>
          <w:bCs/>
          <w:sz w:val="24"/>
          <w:szCs w:val="24"/>
        </w:rPr>
      </w:pPr>
    </w:p>
    <w:p w14:paraId="54E70700" w14:textId="77777777" w:rsidR="008E3BDD" w:rsidRDefault="008E3BDD">
      <w:pPr>
        <w:spacing w:line="360" w:lineRule="auto"/>
        <w:jc w:val="both"/>
        <w:rPr>
          <w:rFonts w:ascii="Times New Roman" w:hAnsi="Times New Roman" w:cs="Times New Roman"/>
          <w:b/>
          <w:bCs/>
          <w:sz w:val="24"/>
          <w:szCs w:val="24"/>
        </w:rPr>
      </w:pPr>
    </w:p>
    <w:p w14:paraId="3E046896" w14:textId="77777777" w:rsidR="008E3BDD" w:rsidRDefault="008E3BDD">
      <w:pPr>
        <w:spacing w:line="360" w:lineRule="auto"/>
        <w:jc w:val="both"/>
        <w:rPr>
          <w:rFonts w:ascii="Times New Roman" w:hAnsi="Times New Roman" w:cs="Times New Roman"/>
          <w:b/>
          <w:bCs/>
          <w:sz w:val="24"/>
          <w:szCs w:val="24"/>
        </w:rPr>
      </w:pPr>
    </w:p>
    <w:p w14:paraId="4A2D1750" w14:textId="77777777" w:rsidR="008E3BDD" w:rsidRDefault="008E3BDD">
      <w:pPr>
        <w:spacing w:line="360" w:lineRule="auto"/>
        <w:jc w:val="both"/>
        <w:rPr>
          <w:rFonts w:ascii="Times New Roman" w:hAnsi="Times New Roman" w:cs="Times New Roman"/>
          <w:b/>
          <w:bCs/>
          <w:sz w:val="24"/>
          <w:szCs w:val="24"/>
        </w:rPr>
      </w:pPr>
    </w:p>
    <w:p w14:paraId="3EE42337" w14:textId="77777777" w:rsidR="008E3BDD" w:rsidRDefault="0048279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5127D5F0"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lang w:bidi="ar"/>
        </w:rPr>
      </w:pPr>
      <w:r>
        <w:rPr>
          <w:rFonts w:ascii="Times New Roman" w:eastAsia="Cambria" w:hAnsi="Times New Roman" w:cs="Times New Roman"/>
          <w:color w:val="212121"/>
          <w:sz w:val="24"/>
          <w:szCs w:val="24"/>
          <w:shd w:val="clear" w:color="auto" w:fill="FFFFFF"/>
          <w:lang w:bidi="ar"/>
        </w:rPr>
        <w:t xml:space="preserve"> De Jong N, </w:t>
      </w:r>
      <w:proofErr w:type="spellStart"/>
      <w:r>
        <w:rPr>
          <w:rFonts w:ascii="Times New Roman" w:eastAsia="Cambria" w:hAnsi="Times New Roman" w:cs="Times New Roman"/>
          <w:color w:val="212121"/>
          <w:sz w:val="24"/>
          <w:szCs w:val="24"/>
          <w:shd w:val="clear" w:color="auto" w:fill="FFFFFF"/>
          <w:lang w:bidi="ar"/>
        </w:rPr>
        <w:t>Ocké</w:t>
      </w:r>
      <w:proofErr w:type="spellEnd"/>
      <w:r>
        <w:rPr>
          <w:rFonts w:ascii="Times New Roman" w:eastAsia="Cambria" w:hAnsi="Times New Roman" w:cs="Times New Roman"/>
          <w:color w:val="212121"/>
          <w:sz w:val="24"/>
          <w:szCs w:val="24"/>
          <w:shd w:val="clear" w:color="auto" w:fill="FFFFFF"/>
          <w:lang w:bidi="ar"/>
        </w:rPr>
        <w:t xml:space="preserve"> MC, </w:t>
      </w:r>
      <w:proofErr w:type="spellStart"/>
      <w:r>
        <w:rPr>
          <w:rFonts w:ascii="Times New Roman" w:eastAsia="Cambria" w:hAnsi="Times New Roman" w:cs="Times New Roman"/>
          <w:color w:val="212121"/>
          <w:sz w:val="24"/>
          <w:szCs w:val="24"/>
          <w:shd w:val="clear" w:color="auto" w:fill="FFFFFF"/>
          <w:lang w:bidi="ar"/>
        </w:rPr>
        <w:t>Branderhorst</w:t>
      </w:r>
      <w:proofErr w:type="spellEnd"/>
      <w:r>
        <w:rPr>
          <w:rFonts w:ascii="Times New Roman" w:eastAsia="Cambria" w:hAnsi="Times New Roman" w:cs="Times New Roman"/>
          <w:color w:val="212121"/>
          <w:sz w:val="24"/>
          <w:szCs w:val="24"/>
          <w:shd w:val="clear" w:color="auto" w:fill="FFFFFF"/>
          <w:lang w:bidi="ar"/>
        </w:rPr>
        <w:t xml:space="preserve"> HAC, Friele R. Demographic and lifestyle characteristics of functional food consumers and dietary supplement users. </w:t>
      </w:r>
      <w:r>
        <w:rPr>
          <w:rFonts w:ascii="Times New Roman" w:eastAsia="Cambria" w:hAnsi="Times New Roman" w:cs="Times New Roman"/>
          <w:i/>
          <w:iCs/>
          <w:color w:val="212121"/>
          <w:sz w:val="24"/>
          <w:szCs w:val="24"/>
          <w:shd w:val="clear" w:color="auto" w:fill="FFFFFF"/>
          <w:lang w:bidi="ar"/>
        </w:rPr>
        <w:t>Br J Nutr. </w:t>
      </w:r>
      <w:r>
        <w:rPr>
          <w:rFonts w:ascii="Times New Roman" w:eastAsia="Cambria" w:hAnsi="Times New Roman" w:cs="Times New Roman"/>
          <w:color w:val="212121"/>
          <w:sz w:val="24"/>
          <w:szCs w:val="24"/>
          <w:shd w:val="clear" w:color="auto" w:fill="FFFFFF"/>
          <w:lang w:bidi="ar"/>
        </w:rPr>
        <w:t xml:space="preserve">2003 Feb;89(2):273–81. </w:t>
      </w:r>
      <w:proofErr w:type="spellStart"/>
      <w:r>
        <w:rPr>
          <w:rFonts w:ascii="Times New Roman" w:eastAsia="Cambria" w:hAnsi="Times New Roman" w:cs="Times New Roman"/>
          <w:color w:val="212121"/>
          <w:sz w:val="24"/>
          <w:szCs w:val="24"/>
          <w:shd w:val="clear" w:color="auto" w:fill="FFFFFF"/>
          <w:lang w:bidi="ar"/>
        </w:rPr>
        <w:t>doi</w:t>
      </w:r>
      <w:proofErr w:type="spellEnd"/>
      <w:r>
        <w:rPr>
          <w:rFonts w:ascii="Times New Roman" w:eastAsia="Cambria" w:hAnsi="Times New Roman" w:cs="Times New Roman"/>
          <w:color w:val="212121"/>
          <w:sz w:val="24"/>
          <w:szCs w:val="24"/>
          <w:shd w:val="clear" w:color="auto" w:fill="FFFFFF"/>
          <w:lang w:bidi="ar"/>
        </w:rPr>
        <w:t>: 10.1079/BJN2002772. </w:t>
      </w:r>
    </w:p>
    <w:p w14:paraId="004733AE"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lang w:bidi="ar"/>
        </w:rPr>
        <w:t xml:space="preserve">Lieberman </w:t>
      </w:r>
      <w:r>
        <w:rPr>
          <w:rFonts w:ascii="Times New Roman" w:eastAsia="Cambria" w:hAnsi="Times New Roman" w:cs="Times New Roman"/>
          <w:color w:val="212121"/>
          <w:sz w:val="24"/>
          <w:szCs w:val="24"/>
          <w:shd w:val="clear" w:color="auto" w:fill="FFFFFF"/>
          <w:lang w:bidi="ar"/>
        </w:rPr>
        <w:t>HR, Marriott BP, Williams C, Judelson DA, Glickman EL, Geiselman PJ, Dotson L, Mahoney CR. Patterns of dietary supplement use among college students. </w:t>
      </w:r>
      <w:r>
        <w:rPr>
          <w:rFonts w:ascii="Times New Roman" w:eastAsia="Cambria" w:hAnsi="Times New Roman" w:cs="Times New Roman"/>
          <w:i/>
          <w:iCs/>
          <w:color w:val="212121"/>
          <w:sz w:val="24"/>
          <w:szCs w:val="24"/>
          <w:shd w:val="clear" w:color="auto" w:fill="FFFFFF"/>
          <w:lang w:bidi="ar"/>
        </w:rPr>
        <w:t>Clin Nutr. </w:t>
      </w:r>
      <w:r>
        <w:rPr>
          <w:rFonts w:ascii="Times New Roman" w:eastAsia="Cambria" w:hAnsi="Times New Roman" w:cs="Times New Roman"/>
          <w:color w:val="212121"/>
          <w:sz w:val="24"/>
          <w:szCs w:val="24"/>
          <w:shd w:val="clear" w:color="auto" w:fill="FFFFFF"/>
          <w:lang w:bidi="ar"/>
        </w:rPr>
        <w:t>2015 Oct;34(5):976–85. doi: 10.1016/j.clnu.2014.10.010. </w:t>
      </w:r>
      <w:hyperlink r:id="rId10" w:tgtFrame="https://www.ncbi.nlm.nih.gov/pmc/articles/PMC7490677/_blank" w:history="1">
        <w:r w:rsidR="008E3BDD">
          <w:rPr>
            <w:rStyle w:val="Hyperlink"/>
            <w:rFonts w:ascii="Times New Roman" w:eastAsia="Cambria" w:hAnsi="Times New Roman" w:cs="Times New Roman"/>
            <w:color w:val="376FAA"/>
            <w:sz w:val="24"/>
            <w:szCs w:val="24"/>
            <w:shd w:val="clear" w:color="auto" w:fill="FFFFFF"/>
          </w:rPr>
          <w:t>https://linkinghub.elsevier.com/retrieve/pii/S0261-5614(14)00262-3</w:t>
        </w:r>
      </w:hyperlink>
      <w:r>
        <w:rPr>
          <w:rFonts w:ascii="Times New Roman" w:eastAsia="Cambria" w:hAnsi="Times New Roman" w:cs="Times New Roman"/>
          <w:color w:val="212121"/>
          <w:sz w:val="24"/>
          <w:szCs w:val="24"/>
          <w:shd w:val="clear" w:color="auto" w:fill="FFFFFF"/>
          <w:lang w:bidi="ar"/>
        </w:rPr>
        <w:t xml:space="preserve">. </w:t>
      </w:r>
    </w:p>
    <w:p w14:paraId="4696455F"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Weeden A, Remig V, Holcomb CA, Herald TJ, Baybutt RC. Vitamin and mineral supp</w:t>
      </w:r>
      <w:r>
        <w:rPr>
          <w:rFonts w:ascii="Times New Roman" w:eastAsia="Cambria" w:hAnsi="Times New Roman" w:cs="Times New Roman"/>
          <w:color w:val="212121"/>
          <w:sz w:val="24"/>
          <w:szCs w:val="24"/>
          <w:shd w:val="clear" w:color="auto" w:fill="FFFFFF"/>
        </w:rPr>
        <w:t xml:space="preserve">lements have a nutritionally significant impact on micronutrient </w:t>
      </w:r>
      <w:r>
        <w:rPr>
          <w:rFonts w:ascii="Times New Roman" w:eastAsia="Cambria" w:hAnsi="Times New Roman" w:cs="Times New Roman"/>
          <w:color w:val="212121"/>
          <w:sz w:val="24"/>
          <w:szCs w:val="24"/>
          <w:shd w:val="clear" w:color="auto" w:fill="FFFFFF"/>
        </w:rPr>
        <w:lastRenderedPageBreak/>
        <w:t xml:space="preserve">intakes of older adults attending senior centers. J </w:t>
      </w:r>
      <w:proofErr w:type="spellStart"/>
      <w:r>
        <w:rPr>
          <w:rFonts w:ascii="Times New Roman" w:eastAsia="Cambria" w:hAnsi="Times New Roman" w:cs="Times New Roman"/>
          <w:color w:val="212121"/>
          <w:sz w:val="24"/>
          <w:szCs w:val="24"/>
          <w:shd w:val="clear" w:color="auto" w:fill="FFFFFF"/>
        </w:rPr>
        <w:t>Nutr</w:t>
      </w:r>
      <w:proofErr w:type="spellEnd"/>
      <w:r>
        <w:rPr>
          <w:rFonts w:ascii="Times New Roman" w:eastAsia="Cambria" w:hAnsi="Times New Roman" w:cs="Times New Roman"/>
          <w:color w:val="212121"/>
          <w:sz w:val="24"/>
          <w:szCs w:val="24"/>
          <w:shd w:val="clear" w:color="auto" w:fill="FFFFFF"/>
        </w:rPr>
        <w:t xml:space="preserve"> Elder </w:t>
      </w:r>
      <w:proofErr w:type="gramStart"/>
      <w:r>
        <w:rPr>
          <w:rFonts w:ascii="Times New Roman" w:eastAsia="Cambria" w:hAnsi="Times New Roman" w:cs="Times New Roman"/>
          <w:color w:val="212121"/>
          <w:sz w:val="24"/>
          <w:szCs w:val="24"/>
          <w:shd w:val="clear" w:color="auto" w:fill="FFFFFF"/>
        </w:rPr>
        <w:t>2010;29:41</w:t>
      </w:r>
      <w:proofErr w:type="gramEnd"/>
      <w:r>
        <w:rPr>
          <w:rFonts w:ascii="Times New Roman" w:eastAsia="Cambria" w:hAnsi="Times New Roman" w:cs="Times New Roman"/>
          <w:color w:val="212121"/>
          <w:sz w:val="24"/>
          <w:szCs w:val="24"/>
          <w:shd w:val="clear" w:color="auto" w:fill="FFFFFF"/>
        </w:rPr>
        <w:t xml:space="preserve">–54.  </w:t>
      </w:r>
    </w:p>
    <w:p w14:paraId="0DF018F8"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Briefel</w:t>
      </w:r>
      <w:proofErr w:type="spellEnd"/>
      <w:r>
        <w:rPr>
          <w:rFonts w:ascii="Times New Roman" w:eastAsia="Cambria" w:hAnsi="Times New Roman" w:cs="Times New Roman"/>
          <w:color w:val="212121"/>
          <w:sz w:val="24"/>
          <w:szCs w:val="24"/>
          <w:shd w:val="clear" w:color="auto" w:fill="FFFFFF"/>
        </w:rPr>
        <w:t xml:space="preserve"> R, Hanson C, Fox MK, Novak T, Ziegler P. Feeding infants and </w:t>
      </w:r>
      <w:proofErr w:type="gramStart"/>
      <w:r>
        <w:rPr>
          <w:rFonts w:ascii="Times New Roman" w:eastAsia="Cambria" w:hAnsi="Times New Roman" w:cs="Times New Roman"/>
          <w:color w:val="212121"/>
          <w:sz w:val="24"/>
          <w:szCs w:val="24"/>
          <w:shd w:val="clear" w:color="auto" w:fill="FFFFFF"/>
        </w:rPr>
        <w:t>toddlers</w:t>
      </w:r>
      <w:proofErr w:type="gramEnd"/>
      <w:r>
        <w:rPr>
          <w:rFonts w:ascii="Times New Roman" w:eastAsia="Cambria" w:hAnsi="Times New Roman" w:cs="Times New Roman"/>
          <w:color w:val="212121"/>
          <w:sz w:val="24"/>
          <w:szCs w:val="24"/>
          <w:shd w:val="clear" w:color="auto" w:fill="FFFFFF"/>
        </w:rPr>
        <w:t xml:space="preserve"> study: Do vitamin and mineral sup</w:t>
      </w:r>
      <w:r>
        <w:rPr>
          <w:rFonts w:ascii="Times New Roman" w:eastAsia="Cambria" w:hAnsi="Times New Roman" w:cs="Times New Roman"/>
          <w:color w:val="212121"/>
          <w:sz w:val="24"/>
          <w:szCs w:val="24"/>
          <w:shd w:val="clear" w:color="auto" w:fill="FFFFFF"/>
        </w:rPr>
        <w:t xml:space="preserve">plements contribute to nutrient adequacy or excess among US infants and toddlers? J Am Diet Assoc 2006; </w:t>
      </w:r>
      <w:proofErr w:type="gramStart"/>
      <w:r>
        <w:rPr>
          <w:rFonts w:ascii="Times New Roman" w:eastAsia="Cambria" w:hAnsi="Times New Roman" w:cs="Times New Roman"/>
          <w:color w:val="212121"/>
          <w:sz w:val="24"/>
          <w:szCs w:val="24"/>
          <w:shd w:val="clear" w:color="auto" w:fill="FFFFFF"/>
        </w:rPr>
        <w:t>106:52.e</w:t>
      </w:r>
      <w:proofErr w:type="gramEnd"/>
      <w:r>
        <w:rPr>
          <w:rFonts w:ascii="Times New Roman" w:eastAsia="Cambria" w:hAnsi="Times New Roman" w:cs="Times New Roman"/>
          <w:color w:val="212121"/>
          <w:sz w:val="24"/>
          <w:szCs w:val="24"/>
          <w:shd w:val="clear" w:color="auto" w:fill="FFFFFF"/>
        </w:rPr>
        <w:t xml:space="preserve">1– e15. https://doi.org/10.1016/j.jada.2005.09.041. </w:t>
      </w:r>
    </w:p>
    <w:p w14:paraId="4EFAA095"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Stang J, Story MT, </w:t>
      </w:r>
      <w:proofErr w:type="spellStart"/>
      <w:r>
        <w:rPr>
          <w:rFonts w:ascii="Times New Roman" w:eastAsia="Cambria" w:hAnsi="Times New Roman" w:cs="Times New Roman"/>
          <w:color w:val="212121"/>
          <w:sz w:val="24"/>
          <w:szCs w:val="24"/>
          <w:shd w:val="clear" w:color="auto" w:fill="FFFFFF"/>
        </w:rPr>
        <w:t>Harnack</w:t>
      </w:r>
      <w:proofErr w:type="spellEnd"/>
      <w:r>
        <w:rPr>
          <w:rFonts w:ascii="Times New Roman" w:eastAsia="Cambria" w:hAnsi="Times New Roman" w:cs="Times New Roman"/>
          <w:color w:val="212121"/>
          <w:sz w:val="24"/>
          <w:szCs w:val="24"/>
          <w:shd w:val="clear" w:color="auto" w:fill="FFFFFF"/>
        </w:rPr>
        <w:t xml:space="preserve"> L, </w:t>
      </w:r>
      <w:proofErr w:type="spellStart"/>
      <w:r>
        <w:rPr>
          <w:rFonts w:ascii="Times New Roman" w:eastAsia="Cambria" w:hAnsi="Times New Roman" w:cs="Times New Roman"/>
          <w:color w:val="212121"/>
          <w:sz w:val="24"/>
          <w:szCs w:val="24"/>
          <w:shd w:val="clear" w:color="auto" w:fill="FFFFFF"/>
        </w:rPr>
        <w:t>Neumark-Sztainer</w:t>
      </w:r>
      <w:proofErr w:type="spellEnd"/>
      <w:r>
        <w:rPr>
          <w:rFonts w:ascii="Times New Roman" w:eastAsia="Cambria" w:hAnsi="Times New Roman" w:cs="Times New Roman"/>
          <w:color w:val="212121"/>
          <w:sz w:val="24"/>
          <w:szCs w:val="24"/>
          <w:shd w:val="clear" w:color="auto" w:fill="FFFFFF"/>
        </w:rPr>
        <w:t xml:space="preserve"> D. Relationships between vitamin and mineral</w:t>
      </w:r>
      <w:r>
        <w:rPr>
          <w:rFonts w:ascii="Times New Roman" w:eastAsia="Cambria" w:hAnsi="Times New Roman" w:cs="Times New Roman"/>
          <w:color w:val="212121"/>
          <w:sz w:val="24"/>
          <w:szCs w:val="24"/>
          <w:shd w:val="clear" w:color="auto" w:fill="FFFFFF"/>
        </w:rPr>
        <w:t xml:space="preserve"> supplement use, dietary intake, and dietary adequacy among adolescents. J Am Diet Assoc 2000; 100:905–10. https://doi.org/10.1016/S0002-8223(00)00262-5. </w:t>
      </w:r>
    </w:p>
    <w:p w14:paraId="7FEF60B2"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Mason P. One is okay, more is better? Pharmacological aspects and safe limits of nutritional suppleme</w:t>
      </w:r>
      <w:r>
        <w:rPr>
          <w:rFonts w:ascii="Times New Roman" w:eastAsia="Cambria" w:hAnsi="Times New Roman" w:cs="Times New Roman"/>
          <w:color w:val="212121"/>
          <w:sz w:val="24"/>
          <w:szCs w:val="24"/>
          <w:shd w:val="clear" w:color="auto" w:fill="FFFFFF"/>
        </w:rPr>
        <w:t xml:space="preserve">nts. Proc </w:t>
      </w:r>
      <w:proofErr w:type="spellStart"/>
      <w:r>
        <w:rPr>
          <w:rFonts w:ascii="Times New Roman" w:eastAsia="Cambria" w:hAnsi="Times New Roman" w:cs="Times New Roman"/>
          <w:color w:val="212121"/>
          <w:sz w:val="24"/>
          <w:szCs w:val="24"/>
          <w:shd w:val="clear" w:color="auto" w:fill="FFFFFF"/>
        </w:rPr>
        <w:t>Nutr</w:t>
      </w:r>
      <w:proofErr w:type="spellEnd"/>
      <w:r>
        <w:rPr>
          <w:rFonts w:ascii="Times New Roman" w:eastAsia="Cambria" w:hAnsi="Times New Roman" w:cs="Times New Roman"/>
          <w:color w:val="212121"/>
          <w:sz w:val="24"/>
          <w:szCs w:val="24"/>
          <w:shd w:val="clear" w:color="auto" w:fill="FFFFFF"/>
        </w:rPr>
        <w:t xml:space="preserve"> Soc India 2007; 66:493–507. https://doi.org/10.1017/S0029665107005812. </w:t>
      </w:r>
    </w:p>
    <w:p w14:paraId="1D5D9470"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Axon DR, </w:t>
      </w:r>
      <w:proofErr w:type="spellStart"/>
      <w:r>
        <w:rPr>
          <w:rFonts w:ascii="Times New Roman" w:eastAsia="Cambria" w:hAnsi="Times New Roman" w:cs="Times New Roman"/>
          <w:color w:val="212121"/>
          <w:sz w:val="24"/>
          <w:szCs w:val="24"/>
          <w:shd w:val="clear" w:color="auto" w:fill="FFFFFF"/>
        </w:rPr>
        <w:t>Vanova</w:t>
      </w:r>
      <w:proofErr w:type="spellEnd"/>
      <w:r>
        <w:rPr>
          <w:rFonts w:ascii="Times New Roman" w:eastAsia="Cambria" w:hAnsi="Times New Roman" w:cs="Times New Roman"/>
          <w:color w:val="212121"/>
          <w:sz w:val="24"/>
          <w:szCs w:val="24"/>
          <w:shd w:val="clear" w:color="auto" w:fill="FFFFFF"/>
        </w:rPr>
        <w:t xml:space="preserve"> J, </w:t>
      </w:r>
      <w:proofErr w:type="spellStart"/>
      <w:r>
        <w:rPr>
          <w:rFonts w:ascii="Times New Roman" w:eastAsia="Cambria" w:hAnsi="Times New Roman" w:cs="Times New Roman"/>
          <w:color w:val="212121"/>
          <w:sz w:val="24"/>
          <w:szCs w:val="24"/>
          <w:shd w:val="clear" w:color="auto" w:fill="FFFFFF"/>
        </w:rPr>
        <w:t>Edel</w:t>
      </w:r>
      <w:proofErr w:type="spellEnd"/>
      <w:r>
        <w:rPr>
          <w:rFonts w:ascii="Times New Roman" w:eastAsia="Cambria" w:hAnsi="Times New Roman" w:cs="Times New Roman"/>
          <w:color w:val="212121"/>
          <w:sz w:val="24"/>
          <w:szCs w:val="24"/>
          <w:shd w:val="clear" w:color="auto" w:fill="FFFFFF"/>
        </w:rPr>
        <w:t xml:space="preserve"> C, Slack M. Dietary supplement use, knowledge, and perceptions among student pharmacists. Am J Pharm Educ 2017; 81:1–12. </w:t>
      </w:r>
      <w:hyperlink r:id="rId11" w:history="1">
        <w:r w:rsidR="008E3BDD">
          <w:rPr>
            <w:rStyle w:val="Hyperlink"/>
            <w:rFonts w:ascii="Times New Roman" w:eastAsia="Cambria" w:hAnsi="Times New Roman" w:cs="Times New Roman"/>
            <w:sz w:val="24"/>
            <w:szCs w:val="24"/>
            <w:shd w:val="clear" w:color="auto" w:fill="FFFFFF"/>
          </w:rPr>
          <w:t>https://doi.org/10.5688/ajpe81592.</w:t>
        </w:r>
      </w:hyperlink>
    </w:p>
    <w:p w14:paraId="2A144543"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Balzo</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Vd</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Vitiello</w:t>
      </w:r>
      <w:proofErr w:type="spellEnd"/>
      <w:r>
        <w:rPr>
          <w:rFonts w:ascii="Times New Roman" w:eastAsia="Cambria" w:hAnsi="Times New Roman" w:cs="Times New Roman"/>
          <w:color w:val="212121"/>
          <w:sz w:val="24"/>
          <w:szCs w:val="24"/>
          <w:shd w:val="clear" w:color="auto" w:fill="FFFFFF"/>
        </w:rPr>
        <w:t xml:space="preserve"> V, Germani A, </w:t>
      </w:r>
      <w:proofErr w:type="spellStart"/>
      <w:r>
        <w:rPr>
          <w:rFonts w:ascii="Times New Roman" w:eastAsia="Cambria" w:hAnsi="Times New Roman" w:cs="Times New Roman"/>
          <w:color w:val="212121"/>
          <w:sz w:val="24"/>
          <w:szCs w:val="24"/>
          <w:shd w:val="clear" w:color="auto" w:fill="FFFFFF"/>
        </w:rPr>
        <w:t>Donini</w:t>
      </w:r>
      <w:proofErr w:type="spellEnd"/>
      <w:r>
        <w:rPr>
          <w:rFonts w:ascii="Times New Roman" w:eastAsia="Cambria" w:hAnsi="Times New Roman" w:cs="Times New Roman"/>
          <w:color w:val="212121"/>
          <w:sz w:val="24"/>
          <w:szCs w:val="24"/>
          <w:shd w:val="clear" w:color="auto" w:fill="FFFFFF"/>
        </w:rPr>
        <w:t xml:space="preserve"> LM, </w:t>
      </w:r>
      <w:proofErr w:type="spellStart"/>
      <w:r>
        <w:rPr>
          <w:rFonts w:ascii="Times New Roman" w:eastAsia="Cambria" w:hAnsi="Times New Roman" w:cs="Times New Roman"/>
          <w:color w:val="212121"/>
          <w:sz w:val="24"/>
          <w:szCs w:val="24"/>
          <w:shd w:val="clear" w:color="auto" w:fill="FFFFFF"/>
        </w:rPr>
        <w:t>Poggiogalle</w:t>
      </w:r>
      <w:proofErr w:type="spellEnd"/>
      <w:r>
        <w:rPr>
          <w:rFonts w:ascii="Times New Roman" w:eastAsia="Cambria" w:hAnsi="Times New Roman" w:cs="Times New Roman"/>
          <w:color w:val="212121"/>
          <w:sz w:val="24"/>
          <w:szCs w:val="24"/>
          <w:shd w:val="clear" w:color="auto" w:fill="FFFFFF"/>
        </w:rPr>
        <w:t xml:space="preserve"> E, Pinto A. A cross sectional survey on dietary supplements consumption among Italian teenagers. </w:t>
      </w:r>
      <w:proofErr w:type="spellStart"/>
      <w:r>
        <w:rPr>
          <w:rFonts w:ascii="Times New Roman" w:eastAsia="Cambria" w:hAnsi="Times New Roman" w:cs="Times New Roman"/>
          <w:color w:val="212121"/>
          <w:sz w:val="24"/>
          <w:szCs w:val="24"/>
          <w:shd w:val="clear" w:color="auto" w:fill="FFFFFF"/>
        </w:rPr>
        <w:t>PLoS</w:t>
      </w:r>
      <w:proofErr w:type="spellEnd"/>
      <w:r>
        <w:rPr>
          <w:rFonts w:ascii="Times New Roman" w:eastAsia="Cambria" w:hAnsi="Times New Roman" w:cs="Times New Roman"/>
          <w:color w:val="212121"/>
          <w:sz w:val="24"/>
          <w:szCs w:val="24"/>
          <w:shd w:val="clear" w:color="auto" w:fill="FFFFFF"/>
        </w:rPr>
        <w:t xml:space="preserve"> One 2014; 9:1–6. </w:t>
      </w:r>
      <w:hyperlink r:id="rId12" w:history="1">
        <w:r w:rsidR="008E3BDD">
          <w:rPr>
            <w:rStyle w:val="Hyperlink"/>
            <w:rFonts w:ascii="Times New Roman" w:eastAsia="Cambria" w:hAnsi="Times New Roman" w:cs="Times New Roman"/>
            <w:sz w:val="24"/>
            <w:szCs w:val="24"/>
            <w:shd w:val="clear" w:color="auto" w:fill="FFFFFF"/>
          </w:rPr>
          <w:t>https://doi.org/10.1371/journal.pone.0100508.</w:t>
        </w:r>
      </w:hyperlink>
    </w:p>
    <w:p w14:paraId="66B1D422"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Asher GN, Corbett AH, Hawke RL. Common herbal dietary supplement-drug interactions. Am Fam Physician 2017; 96:101–7.</w:t>
      </w:r>
    </w:p>
    <w:p w14:paraId="4F24106A"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Amadi</w:t>
      </w:r>
      <w:proofErr w:type="spellEnd"/>
      <w:r>
        <w:rPr>
          <w:rFonts w:ascii="Times New Roman" w:eastAsia="Cambria" w:hAnsi="Times New Roman" w:cs="Times New Roman"/>
          <w:color w:val="212121"/>
          <w:sz w:val="24"/>
          <w:szCs w:val="24"/>
          <w:shd w:val="clear" w:color="auto" w:fill="FFFFFF"/>
        </w:rPr>
        <w:t xml:space="preserve"> CN, </w:t>
      </w:r>
      <w:proofErr w:type="spellStart"/>
      <w:r>
        <w:rPr>
          <w:rFonts w:ascii="Times New Roman" w:eastAsia="Cambria" w:hAnsi="Times New Roman" w:cs="Times New Roman"/>
          <w:color w:val="212121"/>
          <w:sz w:val="24"/>
          <w:szCs w:val="24"/>
          <w:shd w:val="clear" w:color="auto" w:fill="FFFFFF"/>
        </w:rPr>
        <w:t>Mgbahurike</w:t>
      </w:r>
      <w:proofErr w:type="spellEnd"/>
      <w:r>
        <w:rPr>
          <w:rFonts w:ascii="Times New Roman" w:eastAsia="Cambria" w:hAnsi="Times New Roman" w:cs="Times New Roman"/>
          <w:color w:val="212121"/>
          <w:sz w:val="24"/>
          <w:szCs w:val="24"/>
          <w:shd w:val="clear" w:color="auto" w:fill="FFFFFF"/>
        </w:rPr>
        <w:t xml:space="preserve"> AA. Selected food/herb-drug i</w:t>
      </w:r>
      <w:r>
        <w:rPr>
          <w:rFonts w:ascii="Times New Roman" w:eastAsia="Cambria" w:hAnsi="Times New Roman" w:cs="Times New Roman"/>
          <w:color w:val="212121"/>
          <w:sz w:val="24"/>
          <w:szCs w:val="24"/>
          <w:shd w:val="clear" w:color="auto" w:fill="FFFFFF"/>
        </w:rPr>
        <w:t xml:space="preserve">nteractions: Mechanisms and clinical relevance. Am J Ther 2018; </w:t>
      </w:r>
      <w:proofErr w:type="gramStart"/>
      <w:r>
        <w:rPr>
          <w:rFonts w:ascii="Times New Roman" w:eastAsia="Cambria" w:hAnsi="Times New Roman" w:cs="Times New Roman"/>
          <w:color w:val="212121"/>
          <w:sz w:val="24"/>
          <w:szCs w:val="24"/>
          <w:shd w:val="clear" w:color="auto" w:fill="FFFFFF"/>
        </w:rPr>
        <w:t>25:e</w:t>
      </w:r>
      <w:proofErr w:type="gramEnd"/>
      <w:r>
        <w:rPr>
          <w:rFonts w:ascii="Times New Roman" w:eastAsia="Cambria" w:hAnsi="Times New Roman" w:cs="Times New Roman"/>
          <w:color w:val="212121"/>
          <w:sz w:val="24"/>
          <w:szCs w:val="24"/>
          <w:shd w:val="clear" w:color="auto" w:fill="FFFFFF"/>
        </w:rPr>
        <w:t xml:space="preserve">423–e33. https://doi.org/10.1097/MJT.0000000000000705. </w:t>
      </w:r>
    </w:p>
    <w:p w14:paraId="35969A36"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Shraim</w:t>
      </w:r>
      <w:proofErr w:type="spellEnd"/>
      <w:r>
        <w:rPr>
          <w:rFonts w:ascii="Times New Roman" w:eastAsia="Cambria" w:hAnsi="Times New Roman" w:cs="Times New Roman"/>
          <w:color w:val="212121"/>
          <w:sz w:val="24"/>
          <w:szCs w:val="24"/>
          <w:shd w:val="clear" w:color="auto" w:fill="FFFFFF"/>
        </w:rPr>
        <w:t xml:space="preserve"> NY, </w:t>
      </w:r>
      <w:proofErr w:type="spellStart"/>
      <w:r>
        <w:rPr>
          <w:rFonts w:ascii="Times New Roman" w:eastAsia="Cambria" w:hAnsi="Times New Roman" w:cs="Times New Roman"/>
          <w:color w:val="212121"/>
          <w:sz w:val="24"/>
          <w:szCs w:val="24"/>
          <w:shd w:val="clear" w:color="auto" w:fill="FFFFFF"/>
        </w:rPr>
        <w:t>Shawahna</w:t>
      </w:r>
      <w:proofErr w:type="spellEnd"/>
      <w:r>
        <w:rPr>
          <w:rFonts w:ascii="Times New Roman" w:eastAsia="Cambria" w:hAnsi="Times New Roman" w:cs="Times New Roman"/>
          <w:color w:val="212121"/>
          <w:sz w:val="24"/>
          <w:szCs w:val="24"/>
          <w:shd w:val="clear" w:color="auto" w:fill="FFFFFF"/>
        </w:rPr>
        <w:t xml:space="preserve"> R, </w:t>
      </w:r>
      <w:proofErr w:type="spellStart"/>
      <w:r>
        <w:rPr>
          <w:rFonts w:ascii="Times New Roman" w:eastAsia="Cambria" w:hAnsi="Times New Roman" w:cs="Times New Roman"/>
          <w:color w:val="212121"/>
          <w:sz w:val="24"/>
          <w:szCs w:val="24"/>
          <w:shd w:val="clear" w:color="auto" w:fill="FFFFFF"/>
        </w:rPr>
        <w:t>Sorady</w:t>
      </w:r>
      <w:proofErr w:type="spellEnd"/>
      <w:r>
        <w:rPr>
          <w:rFonts w:ascii="Times New Roman" w:eastAsia="Cambria" w:hAnsi="Times New Roman" w:cs="Times New Roman"/>
          <w:color w:val="212121"/>
          <w:sz w:val="24"/>
          <w:szCs w:val="24"/>
          <w:shd w:val="clear" w:color="auto" w:fill="FFFFFF"/>
        </w:rPr>
        <w:t xml:space="preserve"> MA, </w:t>
      </w:r>
      <w:proofErr w:type="spellStart"/>
      <w:r>
        <w:rPr>
          <w:rFonts w:ascii="Times New Roman" w:eastAsia="Cambria" w:hAnsi="Times New Roman" w:cs="Times New Roman"/>
          <w:color w:val="212121"/>
          <w:sz w:val="24"/>
          <w:szCs w:val="24"/>
          <w:shd w:val="clear" w:color="auto" w:fill="FFFFFF"/>
        </w:rPr>
        <w:t>Aiesh</w:t>
      </w:r>
      <w:proofErr w:type="spellEnd"/>
      <w:r>
        <w:rPr>
          <w:rFonts w:ascii="Times New Roman" w:eastAsia="Cambria" w:hAnsi="Times New Roman" w:cs="Times New Roman"/>
          <w:color w:val="212121"/>
          <w:sz w:val="24"/>
          <w:szCs w:val="24"/>
          <w:shd w:val="clear" w:color="auto" w:fill="FFFFFF"/>
        </w:rPr>
        <w:t xml:space="preserve"> BM, </w:t>
      </w:r>
      <w:proofErr w:type="spellStart"/>
      <w:r>
        <w:rPr>
          <w:rFonts w:ascii="Times New Roman" w:eastAsia="Cambria" w:hAnsi="Times New Roman" w:cs="Times New Roman"/>
          <w:color w:val="212121"/>
          <w:sz w:val="24"/>
          <w:szCs w:val="24"/>
          <w:shd w:val="clear" w:color="auto" w:fill="FFFFFF"/>
        </w:rPr>
        <w:t>Alashqar</w:t>
      </w:r>
      <w:proofErr w:type="spellEnd"/>
      <w:r>
        <w:rPr>
          <w:rFonts w:ascii="Times New Roman" w:eastAsia="Cambria" w:hAnsi="Times New Roman" w:cs="Times New Roman"/>
          <w:color w:val="212121"/>
          <w:sz w:val="24"/>
          <w:szCs w:val="24"/>
          <w:shd w:val="clear" w:color="auto" w:fill="FFFFFF"/>
        </w:rPr>
        <w:t xml:space="preserve"> GS, </w:t>
      </w:r>
      <w:proofErr w:type="spellStart"/>
      <w:r>
        <w:rPr>
          <w:rFonts w:ascii="Times New Roman" w:eastAsia="Cambria" w:hAnsi="Times New Roman" w:cs="Times New Roman"/>
          <w:color w:val="212121"/>
          <w:sz w:val="24"/>
          <w:szCs w:val="24"/>
          <w:shd w:val="clear" w:color="auto" w:fill="FFFFFF"/>
        </w:rPr>
        <w:t>Jitan</w:t>
      </w:r>
      <w:proofErr w:type="spellEnd"/>
      <w:r>
        <w:rPr>
          <w:rFonts w:ascii="Times New Roman" w:eastAsia="Cambria" w:hAnsi="Times New Roman" w:cs="Times New Roman"/>
          <w:color w:val="212121"/>
          <w:sz w:val="24"/>
          <w:szCs w:val="24"/>
          <w:shd w:val="clear" w:color="auto" w:fill="FFFFFF"/>
        </w:rPr>
        <w:t xml:space="preserve"> RI, et al. Community pharmacist’ knowledge, practices and beliefs abo</w:t>
      </w:r>
      <w:r>
        <w:rPr>
          <w:rFonts w:ascii="Times New Roman" w:eastAsia="Cambria" w:hAnsi="Times New Roman" w:cs="Times New Roman"/>
          <w:color w:val="212121"/>
          <w:sz w:val="24"/>
          <w:szCs w:val="24"/>
          <w:shd w:val="clear" w:color="auto" w:fill="FFFFFF"/>
        </w:rPr>
        <w:t xml:space="preserve">ut complementary and alternative medicine in Palestine: A cross-sectional study. BMC Complement Altern Med 2017; 17:429. </w:t>
      </w:r>
      <w:hyperlink r:id="rId13" w:history="1">
        <w:r w:rsidR="008E3BDD">
          <w:rPr>
            <w:rStyle w:val="Hyperlink"/>
            <w:rFonts w:ascii="Times New Roman" w:eastAsia="Cambria" w:hAnsi="Times New Roman" w:cs="Times New Roman"/>
            <w:sz w:val="24"/>
            <w:szCs w:val="24"/>
            <w:shd w:val="clear" w:color="auto" w:fill="FFFFFF"/>
          </w:rPr>
          <w:t>https://doi.org/10.1186/s12906-017-1940-8.</w:t>
        </w:r>
      </w:hyperlink>
    </w:p>
    <w:p w14:paraId="6DA6CC13"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lastRenderedPageBreak/>
        <w:t xml:space="preserve">National </w:t>
      </w:r>
      <w:proofErr w:type="spellStart"/>
      <w:r>
        <w:rPr>
          <w:rFonts w:ascii="Times New Roman" w:eastAsia="Cambria" w:hAnsi="Times New Roman" w:cs="Times New Roman"/>
          <w:color w:val="212121"/>
          <w:sz w:val="24"/>
          <w:szCs w:val="24"/>
          <w:shd w:val="clear" w:color="auto" w:fill="FFFFFF"/>
        </w:rPr>
        <w:t>Institues</w:t>
      </w:r>
      <w:proofErr w:type="spellEnd"/>
      <w:r>
        <w:rPr>
          <w:rFonts w:ascii="Times New Roman" w:eastAsia="Cambria" w:hAnsi="Times New Roman" w:cs="Times New Roman"/>
          <w:color w:val="212121"/>
          <w:sz w:val="24"/>
          <w:szCs w:val="24"/>
          <w:shd w:val="clear" w:color="auto" w:fill="FFFFFF"/>
        </w:rPr>
        <w:t xml:space="preserve"> of Health. Office of Dietary Supplements. Dietary Supplement Health and Education Act of 1994. Public Low 103-417. 108 Stat 4325. </w:t>
      </w:r>
    </w:p>
    <w:p w14:paraId="32EFF987"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Shahwan M., Al Abdin </w:t>
      </w:r>
      <w:proofErr w:type="gramStart"/>
      <w:r>
        <w:rPr>
          <w:rFonts w:ascii="Times New Roman" w:eastAsia="Cambria" w:hAnsi="Times New Roman" w:cs="Times New Roman"/>
          <w:color w:val="212121"/>
          <w:sz w:val="24"/>
          <w:szCs w:val="24"/>
          <w:shd w:val="clear" w:color="auto" w:fill="FFFFFF"/>
        </w:rPr>
        <w:t>S.M.Z. ,</w:t>
      </w:r>
      <w:proofErr w:type="gramEnd"/>
      <w:r>
        <w:rPr>
          <w:rFonts w:ascii="Times New Roman" w:eastAsia="Cambria" w:hAnsi="Times New Roman" w:cs="Times New Roman"/>
          <w:color w:val="212121"/>
          <w:sz w:val="24"/>
          <w:szCs w:val="24"/>
          <w:shd w:val="clear" w:color="auto" w:fill="FFFFFF"/>
        </w:rPr>
        <w:t xml:space="preserve"> Knowledge and practice of dietary supplement and micronutrients among medical students at Ajma</w:t>
      </w:r>
      <w:r>
        <w:rPr>
          <w:rFonts w:ascii="Times New Roman" w:eastAsia="Cambria" w:hAnsi="Times New Roman" w:cs="Times New Roman"/>
          <w:color w:val="212121"/>
          <w:sz w:val="24"/>
          <w:szCs w:val="24"/>
          <w:shd w:val="clear" w:color="auto" w:fill="FFFFFF"/>
        </w:rPr>
        <w:t xml:space="preserve">n university, J. </w:t>
      </w:r>
      <w:proofErr w:type="spellStart"/>
      <w:r>
        <w:rPr>
          <w:rFonts w:ascii="Times New Roman" w:eastAsia="Cambria" w:hAnsi="Times New Roman" w:cs="Times New Roman"/>
          <w:color w:val="212121"/>
          <w:sz w:val="24"/>
          <w:szCs w:val="24"/>
          <w:shd w:val="clear" w:color="auto" w:fill="FFFFFF"/>
        </w:rPr>
        <w:t>Pharmaceut</w:t>
      </w:r>
      <w:proofErr w:type="spellEnd"/>
      <w:r>
        <w:rPr>
          <w:rFonts w:ascii="Times New Roman" w:eastAsia="Cambria" w:hAnsi="Times New Roman" w:cs="Times New Roman"/>
          <w:color w:val="212121"/>
          <w:sz w:val="24"/>
          <w:szCs w:val="24"/>
          <w:shd w:val="clear" w:color="auto" w:fill="FFFFFF"/>
        </w:rPr>
        <w:t>. Sci. Res. 10 (1) (2018) 85–90.</w:t>
      </w:r>
    </w:p>
    <w:p w14:paraId="3B447700"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CDC (2019). CDC in Ghana. Retrieved from </w:t>
      </w:r>
      <w:hyperlink r:id="rId14" w:history="1">
        <w:r w:rsidR="008E3BDD">
          <w:rPr>
            <w:rStyle w:val="Hyperlink"/>
            <w:rFonts w:ascii="Times New Roman" w:eastAsia="Cambria" w:hAnsi="Times New Roman" w:cs="Times New Roman"/>
            <w:sz w:val="24"/>
            <w:szCs w:val="24"/>
            <w:shd w:val="clear" w:color="auto" w:fill="FFFFFF"/>
          </w:rPr>
          <w:t>https://www.cdc.gov/globalhealth/countries/ghana/pdf/Ghana_Factsheet.pdf</w:t>
        </w:r>
      </w:hyperlink>
    </w:p>
    <w:p w14:paraId="4C96155D"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Ministry of Health, Ghana Health Service (2017). National Nutritional Policy 2013-2017. </w:t>
      </w:r>
    </w:p>
    <w:p w14:paraId="34BE6CDF"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Ghana Health Service. Ghana Demographic and Health Survey 2022 Report. 2022</w:t>
      </w:r>
    </w:p>
    <w:p w14:paraId="086389EC"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Fox S, Duggan M. Pew Research Center - Internet &amp; Technology. 2013. Information Tria</w:t>
      </w:r>
      <w:r>
        <w:rPr>
          <w:rFonts w:ascii="Times New Roman" w:eastAsia="Cambria" w:hAnsi="Times New Roman" w:cs="Times New Roman"/>
          <w:color w:val="212121"/>
          <w:sz w:val="24"/>
          <w:szCs w:val="24"/>
          <w:shd w:val="clear" w:color="auto" w:fill="FFFFFF"/>
        </w:rPr>
        <w:t xml:space="preserve">ge </w:t>
      </w:r>
      <w:hyperlink r:id="rId15" w:history="1">
        <w:r w:rsidR="008E3BDD">
          <w:rPr>
            <w:rStyle w:val="Hyperlink"/>
            <w:rFonts w:ascii="Times New Roman" w:eastAsia="Cambria" w:hAnsi="Times New Roman" w:cs="Times New Roman"/>
            <w:sz w:val="24"/>
            <w:szCs w:val="24"/>
            <w:shd w:val="clear" w:color="auto" w:fill="FFFFFF"/>
          </w:rPr>
          <w:t>https://www.pewresearch.org/internet/2013/01/15/information-triage/</w:t>
        </w:r>
      </w:hyperlink>
    </w:p>
    <w:p w14:paraId="6DAECD37"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Mitsutake</w:t>
      </w:r>
      <w:proofErr w:type="spellEnd"/>
      <w:r>
        <w:rPr>
          <w:rFonts w:ascii="Times New Roman" w:eastAsia="Cambria" w:hAnsi="Times New Roman" w:cs="Times New Roman"/>
          <w:color w:val="212121"/>
          <w:sz w:val="24"/>
          <w:szCs w:val="24"/>
          <w:shd w:val="clear" w:color="auto" w:fill="FFFFFF"/>
        </w:rPr>
        <w:t xml:space="preserve"> S, Shibata A, Ishii K, Oka K. Associations of eHealth Literacy </w:t>
      </w:r>
      <w:proofErr w:type="gramStart"/>
      <w:r>
        <w:rPr>
          <w:rFonts w:ascii="Times New Roman" w:eastAsia="Cambria" w:hAnsi="Times New Roman" w:cs="Times New Roman"/>
          <w:color w:val="212121"/>
          <w:sz w:val="24"/>
          <w:szCs w:val="24"/>
          <w:shd w:val="clear" w:color="auto" w:fill="FFFFFF"/>
        </w:rPr>
        <w:t>With</w:t>
      </w:r>
      <w:proofErr w:type="gramEnd"/>
      <w:r>
        <w:rPr>
          <w:rFonts w:ascii="Times New Roman" w:eastAsia="Cambria" w:hAnsi="Times New Roman" w:cs="Times New Roman"/>
          <w:color w:val="212121"/>
          <w:sz w:val="24"/>
          <w:szCs w:val="24"/>
          <w:shd w:val="clear" w:color="auto" w:fill="FFFFFF"/>
        </w:rPr>
        <w:t xml:space="preserve"> Health Behavior Among A</w:t>
      </w:r>
      <w:r>
        <w:rPr>
          <w:rFonts w:ascii="Times New Roman" w:eastAsia="Cambria" w:hAnsi="Times New Roman" w:cs="Times New Roman"/>
          <w:color w:val="212121"/>
          <w:sz w:val="24"/>
          <w:szCs w:val="24"/>
          <w:shd w:val="clear" w:color="auto" w:fill="FFFFFF"/>
        </w:rPr>
        <w:t>dult Internet Users. J Med Internet Res. 2016 Jul;18(7</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192.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xml:space="preserve">: 10.2196/jmir.5413. http://www.jmir.org/2016/7/e192/ </w:t>
      </w:r>
    </w:p>
    <w:p w14:paraId="6603B6CE"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Tariq A, Durrani S. mHealth Innovation in Asia. Dordrecht (NL): Springer; 2017. One size does not fit all: The importance of contextuall</w:t>
      </w:r>
      <w:r>
        <w:rPr>
          <w:rFonts w:ascii="Times New Roman" w:eastAsia="Cambria" w:hAnsi="Times New Roman" w:cs="Times New Roman"/>
          <w:color w:val="212121"/>
          <w:sz w:val="24"/>
          <w:szCs w:val="24"/>
          <w:shd w:val="clear" w:color="auto" w:fill="FFFFFF"/>
        </w:rPr>
        <w:t xml:space="preserve">y sensitive mHealth strategies for frontline female health workers; pp. 7–29. </w:t>
      </w:r>
    </w:p>
    <w:p w14:paraId="3788F88B"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Norman CD, Skinner HA. eHealth Literacy: Essential Skills for Consumer Health in a Networked World. J Med Internet Res. 2006 Jun 16;8(2</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9.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10.2196/jmir.8.</w:t>
      </w:r>
      <w:proofErr w:type="gramStart"/>
      <w:r>
        <w:rPr>
          <w:rFonts w:ascii="Times New Roman" w:eastAsia="Cambria" w:hAnsi="Times New Roman" w:cs="Times New Roman"/>
          <w:color w:val="212121"/>
          <w:sz w:val="24"/>
          <w:szCs w:val="24"/>
          <w:shd w:val="clear" w:color="auto" w:fill="FFFFFF"/>
        </w:rPr>
        <w:t>2.e</w:t>
      </w:r>
      <w:proofErr w:type="gramEnd"/>
      <w:r>
        <w:rPr>
          <w:rFonts w:ascii="Times New Roman" w:eastAsia="Cambria" w:hAnsi="Times New Roman" w:cs="Times New Roman"/>
          <w:color w:val="212121"/>
          <w:sz w:val="24"/>
          <w:szCs w:val="24"/>
          <w:shd w:val="clear" w:color="auto" w:fill="FFFFFF"/>
        </w:rPr>
        <w:t xml:space="preserve">9. </w:t>
      </w:r>
    </w:p>
    <w:p w14:paraId="1CB3C211"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Chan CV, </w:t>
      </w:r>
      <w:r>
        <w:rPr>
          <w:rFonts w:ascii="Times New Roman" w:eastAsia="Cambria" w:hAnsi="Times New Roman" w:cs="Times New Roman"/>
          <w:color w:val="212121"/>
          <w:sz w:val="24"/>
          <w:szCs w:val="24"/>
          <w:shd w:val="clear" w:color="auto" w:fill="FFFFFF"/>
        </w:rPr>
        <w:t>Kaufman DR. A framework for characterizing eHealth literacy demands and barriers. J Med Internet Res. 2011 Nov;13(4</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94.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xml:space="preserve">: 10.2196/jmir.1750. http://www.jmir.org/2011/4/e94/ </w:t>
      </w:r>
    </w:p>
    <w:p w14:paraId="3728CA49"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Dashti S, Peyman N, </w:t>
      </w:r>
      <w:proofErr w:type="spellStart"/>
      <w:r>
        <w:rPr>
          <w:rFonts w:ascii="Times New Roman" w:eastAsia="Cambria" w:hAnsi="Times New Roman" w:cs="Times New Roman"/>
          <w:color w:val="212121"/>
          <w:sz w:val="24"/>
          <w:szCs w:val="24"/>
          <w:shd w:val="clear" w:color="auto" w:fill="FFFFFF"/>
        </w:rPr>
        <w:t>Tajfard</w:t>
      </w:r>
      <w:proofErr w:type="spellEnd"/>
      <w:r>
        <w:rPr>
          <w:rFonts w:ascii="Times New Roman" w:eastAsia="Cambria" w:hAnsi="Times New Roman" w:cs="Times New Roman"/>
          <w:color w:val="212121"/>
          <w:sz w:val="24"/>
          <w:szCs w:val="24"/>
          <w:shd w:val="clear" w:color="auto" w:fill="FFFFFF"/>
        </w:rPr>
        <w:t xml:space="preserve"> M, </w:t>
      </w:r>
      <w:proofErr w:type="spellStart"/>
      <w:r>
        <w:rPr>
          <w:rFonts w:ascii="Times New Roman" w:eastAsia="Cambria" w:hAnsi="Times New Roman" w:cs="Times New Roman"/>
          <w:color w:val="212121"/>
          <w:sz w:val="24"/>
          <w:szCs w:val="24"/>
          <w:shd w:val="clear" w:color="auto" w:fill="FFFFFF"/>
        </w:rPr>
        <w:t>Esmaeeli</w:t>
      </w:r>
      <w:proofErr w:type="spellEnd"/>
      <w:r>
        <w:rPr>
          <w:rFonts w:ascii="Times New Roman" w:eastAsia="Cambria" w:hAnsi="Times New Roman" w:cs="Times New Roman"/>
          <w:color w:val="212121"/>
          <w:sz w:val="24"/>
          <w:szCs w:val="24"/>
          <w:shd w:val="clear" w:color="auto" w:fill="FFFFFF"/>
        </w:rPr>
        <w:t xml:space="preserve"> H. E-Health literacy of medical and h</w:t>
      </w:r>
      <w:r>
        <w:rPr>
          <w:rFonts w:ascii="Times New Roman" w:eastAsia="Cambria" w:hAnsi="Times New Roman" w:cs="Times New Roman"/>
          <w:color w:val="212121"/>
          <w:sz w:val="24"/>
          <w:szCs w:val="24"/>
          <w:shd w:val="clear" w:color="auto" w:fill="FFFFFF"/>
        </w:rPr>
        <w:t xml:space="preserve">ealth sciences university students in Mashhad, Iran in 2016: a pilot </w:t>
      </w:r>
      <w:r>
        <w:rPr>
          <w:rFonts w:ascii="Times New Roman" w:eastAsia="Cambria" w:hAnsi="Times New Roman" w:cs="Times New Roman"/>
          <w:color w:val="212121"/>
          <w:sz w:val="24"/>
          <w:szCs w:val="24"/>
          <w:shd w:val="clear" w:color="auto" w:fill="FFFFFF"/>
        </w:rPr>
        <w:lastRenderedPageBreak/>
        <w:t xml:space="preserve">study. Electron Physician. 2017 Mar;9(3):3966–3973. </w:t>
      </w:r>
      <w:proofErr w:type="spellStart"/>
      <w:r>
        <w:rPr>
          <w:rFonts w:ascii="Times New Roman" w:eastAsia="Cambria" w:hAnsi="Times New Roman" w:cs="Times New Roman"/>
          <w:color w:val="212121"/>
          <w:sz w:val="24"/>
          <w:szCs w:val="24"/>
          <w:shd w:val="clear" w:color="auto" w:fill="FFFFFF"/>
        </w:rPr>
        <w:t>doi</w:t>
      </w:r>
      <w:proofErr w:type="spellEnd"/>
      <w:r>
        <w:rPr>
          <w:rFonts w:ascii="Times New Roman" w:eastAsia="Cambria" w:hAnsi="Times New Roman" w:cs="Times New Roman"/>
          <w:color w:val="212121"/>
          <w:sz w:val="24"/>
          <w:szCs w:val="24"/>
          <w:shd w:val="clear" w:color="auto" w:fill="FFFFFF"/>
        </w:rPr>
        <w:t xml:space="preserve">: 10.19082/3966. http://europepmc.org/abstract/MED/28461871. </w:t>
      </w:r>
    </w:p>
    <w:p w14:paraId="32E530A1"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Athanasopoulou Christina, Välimäki </w:t>
      </w:r>
      <w:proofErr w:type="spellStart"/>
      <w:r>
        <w:rPr>
          <w:rFonts w:ascii="Times New Roman" w:eastAsia="Cambria" w:hAnsi="Times New Roman" w:cs="Times New Roman"/>
          <w:color w:val="212121"/>
          <w:sz w:val="24"/>
          <w:szCs w:val="24"/>
          <w:shd w:val="clear" w:color="auto" w:fill="FFFFFF"/>
        </w:rPr>
        <w:t>Maritta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Koutra</w:t>
      </w:r>
      <w:proofErr w:type="spellEnd"/>
      <w:r>
        <w:rPr>
          <w:rFonts w:ascii="Times New Roman" w:eastAsia="Cambria" w:hAnsi="Times New Roman" w:cs="Times New Roman"/>
          <w:color w:val="212121"/>
          <w:sz w:val="24"/>
          <w:szCs w:val="24"/>
          <w:shd w:val="clear" w:color="auto" w:fill="FFFFFF"/>
        </w:rPr>
        <w:t xml:space="preserve"> Katerina, </w:t>
      </w:r>
      <w:proofErr w:type="spellStart"/>
      <w:r>
        <w:rPr>
          <w:rFonts w:ascii="Times New Roman" w:eastAsia="Cambria" w:hAnsi="Times New Roman" w:cs="Times New Roman"/>
          <w:color w:val="212121"/>
          <w:sz w:val="24"/>
          <w:szCs w:val="24"/>
          <w:shd w:val="clear" w:color="auto" w:fill="FFFFFF"/>
        </w:rPr>
        <w:t>Löttyniemi</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Eliisa</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Bertsias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Antonios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Basta</w:t>
      </w:r>
      <w:proofErr w:type="spellEnd"/>
      <w:r>
        <w:rPr>
          <w:rFonts w:ascii="Times New Roman" w:eastAsia="Cambria" w:hAnsi="Times New Roman" w:cs="Times New Roman"/>
          <w:color w:val="212121"/>
          <w:sz w:val="24"/>
          <w:szCs w:val="24"/>
          <w:shd w:val="clear" w:color="auto" w:fill="FFFFFF"/>
        </w:rPr>
        <w:t xml:space="preserve"> Maria, </w:t>
      </w:r>
      <w:proofErr w:type="spellStart"/>
      <w:r>
        <w:rPr>
          <w:rFonts w:ascii="Times New Roman" w:eastAsia="Cambria" w:hAnsi="Times New Roman" w:cs="Times New Roman"/>
          <w:color w:val="212121"/>
          <w:sz w:val="24"/>
          <w:szCs w:val="24"/>
          <w:shd w:val="clear" w:color="auto" w:fill="FFFFFF"/>
        </w:rPr>
        <w:t>Vgontzas</w:t>
      </w:r>
      <w:proofErr w:type="spellEnd"/>
      <w:r>
        <w:rPr>
          <w:rFonts w:ascii="Times New Roman" w:eastAsia="Cambria" w:hAnsi="Times New Roman" w:cs="Times New Roman"/>
          <w:color w:val="212121"/>
          <w:sz w:val="24"/>
          <w:szCs w:val="24"/>
          <w:shd w:val="clear" w:color="auto" w:fill="FFFFFF"/>
        </w:rPr>
        <w:t xml:space="preserve"> Alexandros N, </w:t>
      </w:r>
      <w:proofErr w:type="spellStart"/>
      <w:r>
        <w:rPr>
          <w:rFonts w:ascii="Times New Roman" w:eastAsia="Cambria" w:hAnsi="Times New Roman" w:cs="Times New Roman"/>
          <w:color w:val="212121"/>
          <w:sz w:val="24"/>
          <w:szCs w:val="24"/>
          <w:shd w:val="clear" w:color="auto" w:fill="FFFFFF"/>
        </w:rPr>
        <w:t>Lionis</w:t>
      </w:r>
      <w:proofErr w:type="spellEnd"/>
      <w:r>
        <w:rPr>
          <w:rFonts w:ascii="Times New Roman" w:eastAsia="Cambria" w:hAnsi="Times New Roman" w:cs="Times New Roman"/>
          <w:color w:val="212121"/>
          <w:sz w:val="24"/>
          <w:szCs w:val="24"/>
          <w:shd w:val="clear" w:color="auto" w:fill="FFFFFF"/>
        </w:rPr>
        <w:t xml:space="preserve"> Christos. Internet use, eHealth literacy and attitudes toward computer/internet among people with schizophrenia spectrum disorders: a cross-sectional study in two distant Euro</w:t>
      </w:r>
      <w:r>
        <w:rPr>
          <w:rFonts w:ascii="Times New Roman" w:eastAsia="Cambria" w:hAnsi="Times New Roman" w:cs="Times New Roman"/>
          <w:color w:val="212121"/>
          <w:sz w:val="24"/>
          <w:szCs w:val="24"/>
          <w:shd w:val="clear" w:color="auto" w:fill="FFFFFF"/>
        </w:rPr>
        <w:t xml:space="preserve">pean regions. BMC Med Inform </w:t>
      </w:r>
      <w:proofErr w:type="spellStart"/>
      <w:r>
        <w:rPr>
          <w:rFonts w:ascii="Times New Roman" w:eastAsia="Cambria" w:hAnsi="Times New Roman" w:cs="Times New Roman"/>
          <w:color w:val="212121"/>
          <w:sz w:val="24"/>
          <w:szCs w:val="24"/>
          <w:shd w:val="clear" w:color="auto" w:fill="FFFFFF"/>
        </w:rPr>
        <w:t>Decis</w:t>
      </w:r>
      <w:proofErr w:type="spellEnd"/>
      <w:r>
        <w:rPr>
          <w:rFonts w:ascii="Times New Roman" w:eastAsia="Cambria" w:hAnsi="Times New Roman" w:cs="Times New Roman"/>
          <w:color w:val="212121"/>
          <w:sz w:val="24"/>
          <w:szCs w:val="24"/>
          <w:shd w:val="clear" w:color="auto" w:fill="FFFFFF"/>
        </w:rPr>
        <w:t xml:space="preserve"> </w:t>
      </w:r>
      <w:proofErr w:type="spellStart"/>
      <w:r>
        <w:rPr>
          <w:rFonts w:ascii="Times New Roman" w:eastAsia="Cambria" w:hAnsi="Times New Roman" w:cs="Times New Roman"/>
          <w:color w:val="212121"/>
          <w:sz w:val="24"/>
          <w:szCs w:val="24"/>
          <w:shd w:val="clear" w:color="auto" w:fill="FFFFFF"/>
        </w:rPr>
        <w:t>Mak</w:t>
      </w:r>
      <w:proofErr w:type="spellEnd"/>
      <w:r>
        <w:rPr>
          <w:rFonts w:ascii="Times New Roman" w:eastAsia="Cambria" w:hAnsi="Times New Roman" w:cs="Times New Roman"/>
          <w:color w:val="212121"/>
          <w:sz w:val="24"/>
          <w:szCs w:val="24"/>
          <w:shd w:val="clear" w:color="auto" w:fill="FFFFFF"/>
        </w:rPr>
        <w:t xml:space="preserve">. 2017 Sep 20;17(1):136. </w:t>
      </w:r>
    </w:p>
    <w:p w14:paraId="1D876FB9"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Griebel</w:t>
      </w:r>
      <w:proofErr w:type="spellEnd"/>
      <w:r>
        <w:rPr>
          <w:rFonts w:ascii="Times New Roman" w:eastAsia="Cambria" w:hAnsi="Times New Roman" w:cs="Times New Roman"/>
          <w:color w:val="212121"/>
          <w:sz w:val="24"/>
          <w:szCs w:val="24"/>
          <w:shd w:val="clear" w:color="auto" w:fill="FFFFFF"/>
        </w:rPr>
        <w:t xml:space="preserve"> Lena, </w:t>
      </w:r>
      <w:proofErr w:type="spellStart"/>
      <w:r>
        <w:rPr>
          <w:rFonts w:ascii="Times New Roman" w:eastAsia="Cambria" w:hAnsi="Times New Roman" w:cs="Times New Roman"/>
          <w:color w:val="212121"/>
          <w:sz w:val="24"/>
          <w:szCs w:val="24"/>
          <w:shd w:val="clear" w:color="auto" w:fill="FFFFFF"/>
        </w:rPr>
        <w:t>Enwald</w:t>
      </w:r>
      <w:proofErr w:type="spellEnd"/>
      <w:r>
        <w:rPr>
          <w:rFonts w:ascii="Times New Roman" w:eastAsia="Cambria" w:hAnsi="Times New Roman" w:cs="Times New Roman"/>
          <w:color w:val="212121"/>
          <w:sz w:val="24"/>
          <w:szCs w:val="24"/>
          <w:shd w:val="clear" w:color="auto" w:fill="FFFFFF"/>
        </w:rPr>
        <w:t xml:space="preserve"> Heidi, </w:t>
      </w:r>
      <w:proofErr w:type="spellStart"/>
      <w:r>
        <w:rPr>
          <w:rFonts w:ascii="Times New Roman" w:eastAsia="Cambria" w:hAnsi="Times New Roman" w:cs="Times New Roman"/>
          <w:color w:val="212121"/>
          <w:sz w:val="24"/>
          <w:szCs w:val="24"/>
          <w:shd w:val="clear" w:color="auto" w:fill="FFFFFF"/>
        </w:rPr>
        <w:t>Gilstad</w:t>
      </w:r>
      <w:proofErr w:type="spellEnd"/>
      <w:r>
        <w:rPr>
          <w:rFonts w:ascii="Times New Roman" w:eastAsia="Cambria" w:hAnsi="Times New Roman" w:cs="Times New Roman"/>
          <w:color w:val="212121"/>
          <w:sz w:val="24"/>
          <w:szCs w:val="24"/>
          <w:shd w:val="clear" w:color="auto" w:fill="FFFFFF"/>
        </w:rPr>
        <w:t xml:space="preserve"> Heidi, Pohl Anna-Lena, Moreland Julia, Sedlmayr Martin. eHealth literacy research-Quo </w:t>
      </w:r>
      <w:proofErr w:type="spellStart"/>
      <w:r>
        <w:rPr>
          <w:rFonts w:ascii="Times New Roman" w:eastAsia="Cambria" w:hAnsi="Times New Roman" w:cs="Times New Roman"/>
          <w:color w:val="212121"/>
          <w:sz w:val="24"/>
          <w:szCs w:val="24"/>
          <w:shd w:val="clear" w:color="auto" w:fill="FFFFFF"/>
        </w:rPr>
        <w:t>vadis</w:t>
      </w:r>
      <w:proofErr w:type="spellEnd"/>
      <w:r>
        <w:rPr>
          <w:rFonts w:ascii="Times New Roman" w:eastAsia="Cambria" w:hAnsi="Times New Roman" w:cs="Times New Roman"/>
          <w:color w:val="212121"/>
          <w:sz w:val="24"/>
          <w:szCs w:val="24"/>
          <w:shd w:val="clear" w:color="auto" w:fill="FFFFFF"/>
        </w:rPr>
        <w:t xml:space="preserve">? Inform Health Soc Care. 2018 Dec;43(4):427–442.  </w:t>
      </w:r>
    </w:p>
    <w:p w14:paraId="6FD5E0E0"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proofErr w:type="spellStart"/>
      <w:r>
        <w:rPr>
          <w:rFonts w:ascii="Times New Roman" w:eastAsia="Cambria" w:hAnsi="Times New Roman" w:cs="Times New Roman"/>
          <w:color w:val="212121"/>
          <w:sz w:val="24"/>
          <w:szCs w:val="24"/>
          <w:shd w:val="clear" w:color="auto" w:fill="FFFFFF"/>
        </w:rPr>
        <w:t>Poushter</w:t>
      </w:r>
      <w:proofErr w:type="spellEnd"/>
      <w:r>
        <w:rPr>
          <w:rFonts w:ascii="Times New Roman" w:eastAsia="Cambria" w:hAnsi="Times New Roman" w:cs="Times New Roman"/>
          <w:color w:val="212121"/>
          <w:sz w:val="24"/>
          <w:szCs w:val="24"/>
          <w:shd w:val="clear" w:color="auto" w:fill="FFFFFF"/>
        </w:rPr>
        <w:t xml:space="preserve"> J. S</w:t>
      </w:r>
      <w:r>
        <w:rPr>
          <w:rFonts w:ascii="Times New Roman" w:eastAsia="Cambria" w:hAnsi="Times New Roman" w:cs="Times New Roman"/>
          <w:color w:val="212121"/>
          <w:sz w:val="24"/>
          <w:szCs w:val="24"/>
          <w:shd w:val="clear" w:color="auto" w:fill="FFFFFF"/>
        </w:rPr>
        <w:t xml:space="preserve">martphone ownership and internet usage continues to climb in emerging economies. Pew Research Center. </w:t>
      </w:r>
      <w:proofErr w:type="gramStart"/>
      <w:r>
        <w:rPr>
          <w:rFonts w:ascii="Times New Roman" w:eastAsia="Cambria" w:hAnsi="Times New Roman" w:cs="Times New Roman"/>
          <w:color w:val="212121"/>
          <w:sz w:val="24"/>
          <w:szCs w:val="24"/>
          <w:shd w:val="clear" w:color="auto" w:fill="FFFFFF"/>
        </w:rPr>
        <w:t>2016;22:1</w:t>
      </w:r>
      <w:proofErr w:type="gramEnd"/>
      <w:r>
        <w:rPr>
          <w:rFonts w:ascii="Times New Roman" w:eastAsia="Cambria" w:hAnsi="Times New Roman" w:cs="Times New Roman"/>
          <w:color w:val="212121"/>
          <w:sz w:val="24"/>
          <w:szCs w:val="24"/>
          <w:shd w:val="clear" w:color="auto" w:fill="FFFFFF"/>
        </w:rPr>
        <w:t xml:space="preserve">–44. http://www.pewglobal.org/2016/02/22/smartphone-ownership-and-internet-usage-continues-to-climb-in-emerging-economies/ </w:t>
      </w:r>
    </w:p>
    <w:p w14:paraId="7B20D4F4"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Sabzwari SR. Health l</w:t>
      </w:r>
      <w:r>
        <w:rPr>
          <w:rFonts w:ascii="Times New Roman" w:eastAsia="Cambria" w:hAnsi="Times New Roman" w:cs="Times New Roman"/>
          <w:color w:val="212121"/>
          <w:sz w:val="24"/>
          <w:szCs w:val="24"/>
          <w:shd w:val="clear" w:color="auto" w:fill="FFFFFF"/>
        </w:rPr>
        <w:t xml:space="preserve">iteracy in Pakistan: Exploring new ways of addressing an old challenge. J Pak Med Assoc. 2017 Dec;67(12):1901–1904. http://jpma.org.pk/full_article-text.php?article_id=8488. </w:t>
      </w:r>
    </w:p>
    <w:p w14:paraId="35967DEA"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 xml:space="preserve">Moazzam M, </w:t>
      </w:r>
      <w:proofErr w:type="spellStart"/>
      <w:r>
        <w:rPr>
          <w:rFonts w:ascii="Times New Roman" w:eastAsia="Cambria" w:hAnsi="Times New Roman" w:cs="Times New Roman"/>
          <w:color w:val="212121"/>
          <w:sz w:val="24"/>
          <w:szCs w:val="24"/>
          <w:shd w:val="clear" w:color="auto" w:fill="FFFFFF"/>
        </w:rPr>
        <w:t>Anwer</w:t>
      </w:r>
      <w:proofErr w:type="spellEnd"/>
      <w:r>
        <w:rPr>
          <w:rFonts w:ascii="Times New Roman" w:eastAsia="Cambria" w:hAnsi="Times New Roman" w:cs="Times New Roman"/>
          <w:color w:val="212121"/>
          <w:sz w:val="24"/>
          <w:szCs w:val="24"/>
          <w:shd w:val="clear" w:color="auto" w:fill="FFFFFF"/>
        </w:rPr>
        <w:t xml:space="preserve"> F, </w:t>
      </w:r>
      <w:proofErr w:type="spellStart"/>
      <w:r>
        <w:rPr>
          <w:rFonts w:ascii="Times New Roman" w:eastAsia="Cambria" w:hAnsi="Times New Roman" w:cs="Times New Roman"/>
          <w:color w:val="212121"/>
          <w:sz w:val="24"/>
          <w:szCs w:val="24"/>
          <w:shd w:val="clear" w:color="auto" w:fill="FFFFFF"/>
        </w:rPr>
        <w:t>Atique</w:t>
      </w:r>
      <w:proofErr w:type="spellEnd"/>
      <w:r>
        <w:rPr>
          <w:rFonts w:ascii="Times New Roman" w:eastAsia="Cambria" w:hAnsi="Times New Roman" w:cs="Times New Roman"/>
          <w:color w:val="212121"/>
          <w:sz w:val="24"/>
          <w:szCs w:val="24"/>
          <w:shd w:val="clear" w:color="auto" w:fill="FFFFFF"/>
        </w:rPr>
        <w:t xml:space="preserve"> S, </w:t>
      </w:r>
      <w:proofErr w:type="spellStart"/>
      <w:r>
        <w:rPr>
          <w:rFonts w:ascii="Times New Roman" w:eastAsia="Cambria" w:hAnsi="Times New Roman" w:cs="Times New Roman"/>
          <w:color w:val="212121"/>
          <w:sz w:val="24"/>
          <w:szCs w:val="24"/>
          <w:shd w:val="clear" w:color="auto" w:fill="FFFFFF"/>
        </w:rPr>
        <w:t>Kanwal</w:t>
      </w:r>
      <w:proofErr w:type="spellEnd"/>
      <w:r>
        <w:rPr>
          <w:rFonts w:ascii="Times New Roman" w:eastAsia="Cambria" w:hAnsi="Times New Roman" w:cs="Times New Roman"/>
          <w:color w:val="212121"/>
          <w:sz w:val="24"/>
          <w:szCs w:val="24"/>
          <w:shd w:val="clear" w:color="auto" w:fill="FFFFFF"/>
        </w:rPr>
        <w:t xml:space="preserve"> S, Afzal S, Bashir A, Sarwar S, Alshammari M</w:t>
      </w:r>
      <w:r>
        <w:rPr>
          <w:rFonts w:ascii="Times New Roman" w:eastAsia="Cambria" w:hAnsi="Times New Roman" w:cs="Times New Roman"/>
          <w:color w:val="212121"/>
          <w:sz w:val="24"/>
          <w:szCs w:val="24"/>
          <w:shd w:val="clear" w:color="auto" w:fill="FFFFFF"/>
        </w:rPr>
        <w:t xml:space="preserve">, Tanveer R, Gilani SA. Perceived Health Literacy and Health Information Seeking Behavior among University Students in Pakistan. AMDHS. 2018 Dec 30;1(1):05–07.  </w:t>
      </w:r>
    </w:p>
    <w:p w14:paraId="69695BC9" w14:textId="77777777" w:rsidR="008E3BDD" w:rsidRDefault="0048279F">
      <w:pPr>
        <w:numPr>
          <w:ilvl w:val="0"/>
          <w:numId w:val="3"/>
        </w:numPr>
        <w:shd w:val="clear" w:color="auto" w:fill="FFFFFF"/>
        <w:spacing w:before="200" w:after="200" w:line="360" w:lineRule="auto"/>
        <w:ind w:left="1440" w:hangingChars="600" w:hanging="1440"/>
        <w:jc w:val="both"/>
        <w:rPr>
          <w:rFonts w:ascii="Times New Roman" w:eastAsia="Cambria" w:hAnsi="Times New Roman" w:cs="Times New Roman"/>
          <w:color w:val="212121"/>
          <w:sz w:val="24"/>
          <w:szCs w:val="24"/>
          <w:shd w:val="clear" w:color="auto" w:fill="FFFFFF"/>
        </w:rPr>
      </w:pPr>
      <w:r>
        <w:rPr>
          <w:rFonts w:ascii="Times New Roman" w:eastAsia="Cambria" w:hAnsi="Times New Roman" w:cs="Times New Roman"/>
          <w:color w:val="212121"/>
          <w:sz w:val="24"/>
          <w:szCs w:val="24"/>
          <w:shd w:val="clear" w:color="auto" w:fill="FFFFFF"/>
        </w:rPr>
        <w:t>Tariq A, Khan SR, Basharat A. Internet Use, eHealth Literacy, and Dietary Supplement Use Among</w:t>
      </w:r>
      <w:r>
        <w:rPr>
          <w:rFonts w:ascii="Times New Roman" w:eastAsia="Cambria" w:hAnsi="Times New Roman" w:cs="Times New Roman"/>
          <w:color w:val="212121"/>
          <w:sz w:val="24"/>
          <w:szCs w:val="24"/>
          <w:shd w:val="clear" w:color="auto" w:fill="FFFFFF"/>
        </w:rPr>
        <w:t xml:space="preserve"> Young Adults in Pakistan: Cross-Sectional Study. J Med Internet Res. 2020 Jun 10;22(6</w:t>
      </w:r>
      <w:proofErr w:type="gramStart"/>
      <w:r>
        <w:rPr>
          <w:rFonts w:ascii="Times New Roman" w:eastAsia="Cambria" w:hAnsi="Times New Roman" w:cs="Times New Roman"/>
          <w:color w:val="212121"/>
          <w:sz w:val="24"/>
          <w:szCs w:val="24"/>
          <w:shd w:val="clear" w:color="auto" w:fill="FFFFFF"/>
        </w:rPr>
        <w:t>):e</w:t>
      </w:r>
      <w:proofErr w:type="gramEnd"/>
      <w:r>
        <w:rPr>
          <w:rFonts w:ascii="Times New Roman" w:eastAsia="Cambria" w:hAnsi="Times New Roman" w:cs="Times New Roman"/>
          <w:color w:val="212121"/>
          <w:sz w:val="24"/>
          <w:szCs w:val="24"/>
          <w:shd w:val="clear" w:color="auto" w:fill="FFFFFF"/>
        </w:rPr>
        <w:t xml:space="preserve">17014. </w:t>
      </w:r>
    </w:p>
    <w:p w14:paraId="09F32FCD" w14:textId="77777777" w:rsidR="008E3BDD" w:rsidRDefault="008E3BDD">
      <w:pPr>
        <w:shd w:val="clear" w:color="auto" w:fill="FFFFFF"/>
        <w:spacing w:before="200" w:after="200" w:line="360" w:lineRule="auto"/>
        <w:jc w:val="both"/>
        <w:rPr>
          <w:rFonts w:ascii="Times New Roman" w:eastAsia="Cambria" w:hAnsi="Times New Roman" w:cs="Times New Roman"/>
          <w:color w:val="212121"/>
          <w:sz w:val="24"/>
          <w:szCs w:val="24"/>
          <w:shd w:val="clear" w:color="auto" w:fill="FFFFFF"/>
        </w:rPr>
      </w:pPr>
    </w:p>
    <w:p w14:paraId="517D6FAA" w14:textId="77777777" w:rsidR="008E3BDD" w:rsidRDefault="008E3BDD">
      <w:pPr>
        <w:spacing w:line="360" w:lineRule="auto"/>
        <w:jc w:val="both"/>
        <w:rPr>
          <w:rFonts w:ascii="Times New Roman" w:hAnsi="Times New Roman" w:cs="Times New Roman"/>
          <w:sz w:val="24"/>
          <w:szCs w:val="24"/>
        </w:rPr>
      </w:pPr>
    </w:p>
    <w:sectPr w:rsidR="008E3BDD">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F084E" w14:textId="77777777" w:rsidR="0048279F" w:rsidRDefault="0048279F">
      <w:r>
        <w:separator/>
      </w:r>
    </w:p>
  </w:endnote>
  <w:endnote w:type="continuationSeparator" w:id="0">
    <w:p w14:paraId="7827B055" w14:textId="77777777" w:rsidR="0048279F" w:rsidRDefault="0048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B09FC" w14:textId="77777777" w:rsidR="001C1294" w:rsidRDefault="001C12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4706" w14:textId="77777777" w:rsidR="008E3BDD" w:rsidRDefault="0048279F">
    <w:pPr>
      <w:pStyle w:val="Footer"/>
    </w:pPr>
    <w:r>
      <w:rPr>
        <w:noProof/>
      </w:rPr>
      <mc:AlternateContent>
        <mc:Choice Requires="wps">
          <w:drawing>
            <wp:anchor distT="0" distB="0" distL="114300" distR="114300" simplePos="0" relativeHeight="251659264" behindDoc="0" locked="0" layoutInCell="1" allowOverlap="1" wp14:anchorId="5971BE7B" wp14:editId="7BA563E0">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777F" w14:textId="77777777" w:rsidR="008E3BDD" w:rsidRDefault="0048279F">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71BE7B" id="_x0000_t202" coordsize="21600,21600" o:spt="202" path="m,l,21600r21600,l21600,xe">
              <v:stroke joinstyle="miter"/>
              <v:path gradientshapeok="t" o:connecttype="rect"/>
            </v:shapetype>
            <v:shape id="Text Box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12F5777F" w14:textId="77777777" w:rsidR="008E3BDD" w:rsidRDefault="0048279F">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B24D" w14:textId="77777777" w:rsidR="001C1294" w:rsidRDefault="001C12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30AD2" w14:textId="77777777" w:rsidR="0048279F" w:rsidRDefault="0048279F">
      <w:r>
        <w:separator/>
      </w:r>
    </w:p>
  </w:footnote>
  <w:footnote w:type="continuationSeparator" w:id="0">
    <w:p w14:paraId="00F5A904" w14:textId="77777777" w:rsidR="0048279F" w:rsidRDefault="00482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3ED8" w14:textId="49838EF0" w:rsidR="001C1294" w:rsidRDefault="001C1294">
    <w:pPr>
      <w:pStyle w:val="Header"/>
    </w:pPr>
    <w:r>
      <w:rPr>
        <w:noProof/>
      </w:rPr>
      <w:pict w14:anchorId="392E8A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9" o:spid="_x0000_s2050"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4B080" w14:textId="0E841472" w:rsidR="001C1294" w:rsidRDefault="001C1294">
    <w:pPr>
      <w:pStyle w:val="Header"/>
    </w:pPr>
    <w:r>
      <w:rPr>
        <w:noProof/>
      </w:rPr>
      <w:pict w14:anchorId="28598D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20" o:spid="_x0000_s2051" type="#_x0000_t136" style="position:absolute;margin-left:0;margin-top:0;width:493.05pt;height:92.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19308" w14:textId="1D12857C" w:rsidR="001C1294" w:rsidRDefault="001C1294">
    <w:pPr>
      <w:pStyle w:val="Header"/>
    </w:pPr>
    <w:r>
      <w:rPr>
        <w:noProof/>
      </w:rPr>
      <w:pict w14:anchorId="67F0D4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645718" o:spid="_x0000_s2049"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F8730EA"/>
    <w:multiLevelType w:val="singleLevel"/>
    <w:tmpl w:val="AF8730E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7F9CF0C"/>
    <w:multiLevelType w:val="singleLevel"/>
    <w:tmpl w:val="37F9CF0C"/>
    <w:lvl w:ilvl="0">
      <w:start w:val="1"/>
      <w:numFmt w:val="decimal"/>
      <w:lvlText w:val="%1."/>
      <w:lvlJc w:val="left"/>
      <w:pPr>
        <w:tabs>
          <w:tab w:val="left" w:pos="312"/>
        </w:tabs>
      </w:pPr>
    </w:lvl>
  </w:abstractNum>
  <w:abstractNum w:abstractNumId="2" w15:restartNumberingAfterBreak="0">
    <w:nsid w:val="75ECE039"/>
    <w:multiLevelType w:val="singleLevel"/>
    <w:tmpl w:val="75ECE039"/>
    <w:lvl w:ilvl="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15664E"/>
    <w:rsid w:val="000534FE"/>
    <w:rsid w:val="00112028"/>
    <w:rsid w:val="001C1294"/>
    <w:rsid w:val="002A56D0"/>
    <w:rsid w:val="002D669B"/>
    <w:rsid w:val="003500E1"/>
    <w:rsid w:val="0048279F"/>
    <w:rsid w:val="005C5919"/>
    <w:rsid w:val="00602060"/>
    <w:rsid w:val="00762C1F"/>
    <w:rsid w:val="00792A7C"/>
    <w:rsid w:val="007B7C19"/>
    <w:rsid w:val="008E3BDD"/>
    <w:rsid w:val="00A408BC"/>
    <w:rsid w:val="00AA6396"/>
    <w:rsid w:val="00AA76DE"/>
    <w:rsid w:val="00AF75F9"/>
    <w:rsid w:val="00D7369D"/>
    <w:rsid w:val="00FD5020"/>
    <w:rsid w:val="07BB37EA"/>
    <w:rsid w:val="0C1C796E"/>
    <w:rsid w:val="0EA36F73"/>
    <w:rsid w:val="11BE0F59"/>
    <w:rsid w:val="11F81747"/>
    <w:rsid w:val="13BD0461"/>
    <w:rsid w:val="13F40F42"/>
    <w:rsid w:val="16A85139"/>
    <w:rsid w:val="1C6A7020"/>
    <w:rsid w:val="1CC53D48"/>
    <w:rsid w:val="213E1ADC"/>
    <w:rsid w:val="236E6E5D"/>
    <w:rsid w:val="249E248A"/>
    <w:rsid w:val="275B12AA"/>
    <w:rsid w:val="2B236555"/>
    <w:rsid w:val="2C0853A7"/>
    <w:rsid w:val="2C0F0959"/>
    <w:rsid w:val="2C906B0E"/>
    <w:rsid w:val="2D3B7F60"/>
    <w:rsid w:val="2E020D89"/>
    <w:rsid w:val="329D0CE5"/>
    <w:rsid w:val="35E52705"/>
    <w:rsid w:val="36F75539"/>
    <w:rsid w:val="3B977B51"/>
    <w:rsid w:val="3D6F7E19"/>
    <w:rsid w:val="3F7457B7"/>
    <w:rsid w:val="40697EC2"/>
    <w:rsid w:val="4D3B296C"/>
    <w:rsid w:val="517605DA"/>
    <w:rsid w:val="5A5A29C9"/>
    <w:rsid w:val="65D07668"/>
    <w:rsid w:val="66D16F81"/>
    <w:rsid w:val="67026690"/>
    <w:rsid w:val="67223341"/>
    <w:rsid w:val="700069FE"/>
    <w:rsid w:val="7415664E"/>
    <w:rsid w:val="74191818"/>
    <w:rsid w:val="747B5B27"/>
    <w:rsid w:val="75752DF1"/>
    <w:rsid w:val="75784746"/>
    <w:rsid w:val="7A3D151B"/>
    <w:rsid w:val="7B4B4C93"/>
    <w:rsid w:val="7D757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2D02253"/>
  <w15:docId w15:val="{60469613-6D6F-4545-8D11-58FD625AB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qFormat/>
    <w:rPr>
      <w:color w:val="0000FF"/>
      <w:u w:val="single"/>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186/s12906-017-1940-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371/journal.pone.01005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688/ajpe81592." TargetMode="External"/><Relationship Id="rId5" Type="http://schemas.openxmlformats.org/officeDocument/2006/relationships/webSettings" Target="webSettings.xml"/><Relationship Id="rId15" Type="http://schemas.openxmlformats.org/officeDocument/2006/relationships/hyperlink" Target="https://www.pewresearch.org/internet/2013/01/15/information-triage/" TargetMode="External"/><Relationship Id="rId23" Type="http://schemas.openxmlformats.org/officeDocument/2006/relationships/theme" Target="theme/theme1.xml"/><Relationship Id="rId10" Type="http://schemas.openxmlformats.org/officeDocument/2006/relationships/hyperlink" Target="https://linkinghub.elsevier.com/retrieve/pii/S0261-5614(14)00262-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cdc.gov/globalhealth/countries/ghana/pdf/Ghana_Factsheet.pdf"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05AD-4540-80C3-E4BE069CF873}"/>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05AD-4540-80C3-E4BE069CF873}"/>
              </c:ext>
            </c:extLst>
          </c:dPt>
          <c:dLbls>
            <c:dLbl>
              <c:idx val="0"/>
              <c:layout>
                <c:manualLayout>
                  <c:x val="0.15043345232024499"/>
                  <c:y val="0"/>
                </c:manualLayout>
              </c:layout>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1"/>
                        </a:solidFill>
                        <a:latin typeface="+mn-lt"/>
                        <a:ea typeface="+mn-ea"/>
                        <a:cs typeface="+mn-cs"/>
                      </a:defRPr>
                    </a:pPr>
                    <a:r>
                      <a:rPr lang="en-US"/>
                      <a:t>Yes - 100%</a:t>
                    </a:r>
                  </a:p>
                </c:rich>
              </c:tx>
              <c:spPr>
                <a:noFill/>
                <a:ln>
                  <a:noFill/>
                </a:ln>
                <a:effectLst/>
              </c:sp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99218086010539"/>
                      <c:h val="0.16444174757281599"/>
                    </c:manualLayout>
                  </c15:layout>
                </c:ext>
                <c:ext xmlns:c16="http://schemas.microsoft.com/office/drawing/2014/chart" uri="{C3380CC4-5D6E-409C-BE32-E72D297353CC}">
                  <c16:uniqueId val="{00000001-05AD-4540-80C3-E4BE069CF873}"/>
                </c:ext>
              </c:extLst>
            </c:dLbl>
            <c:dLbl>
              <c:idx val="1"/>
              <c:tx>
                <c:rich>
                  <a:bodyPr rot="0" spcFirstLastPara="0" vertOverflow="ellipsis" vert="horz" wrap="square" lIns="38100" tIns="19050" rIns="38100" bIns="19050" anchor="ctr" anchorCtr="1"/>
                  <a:lstStyle/>
                  <a:p>
                    <a:pPr defTabSz="914400">
                      <a:defRPr lang="en-US" sz="1000" b="1" i="0" u="none" strike="noStrike" kern="1200" spc="0" baseline="0">
                        <a:solidFill>
                          <a:schemeClr val="accent2"/>
                        </a:solidFill>
                        <a:latin typeface="+mn-lt"/>
                        <a:ea typeface="+mn-ea"/>
                        <a:cs typeface="+mn-cs"/>
                      </a:defRPr>
                    </a:pPr>
                    <a:r>
                      <a:rPr lang="en-US"/>
                      <a:t>No - 0%</a:t>
                    </a:r>
                  </a:p>
                </c:rich>
              </c:tx>
              <c:spPr>
                <a:noFill/>
                <a:ln>
                  <a:noFill/>
                </a:ln>
                <a:effectLst/>
              </c:sp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05AD-4540-80C3-E4BE069CF873}"/>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Yes</c:v>
                </c:pt>
                <c:pt idx="1">
                  <c:v>No</c:v>
                </c:pt>
              </c:strCache>
            </c:strRef>
          </c:cat>
          <c:val>
            <c:numRef>
              <c:f>Sheet1!$B$2:$B$3</c:f>
              <c:numCache>
                <c:formatCode>General</c:formatCode>
                <c:ptCount val="2"/>
                <c:pt idx="0">
                  <c:v>100</c:v>
                </c:pt>
                <c:pt idx="1">
                  <c:v>0</c:v>
                </c:pt>
              </c:numCache>
            </c:numRef>
          </c:val>
          <c:extLst>
            <c:ext xmlns:c16="http://schemas.microsoft.com/office/drawing/2014/chart" uri="{C3380CC4-5D6E-409C-BE32-E72D297353CC}">
              <c16:uniqueId val="{00000004-05AD-4540-80C3-E4BE069CF873}"/>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85952e3b-98f8-4d11-a1c1-8c5887732e6c}"/>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0" vertOverflow="ellipsis" vert="horz" wrap="square" anchor="ctr" anchorCtr="1"/>
        <a:lstStyle/>
        <a:p>
          <a:pPr>
            <a:defRPr lang="en-US" sz="1400" b="1" i="0" u="none" strike="noStrike" kern="1200" baseline="0">
              <a:solidFill>
                <a:schemeClr val="tx1">
                  <a:lumMod val="75000"/>
                  <a:lumOff val="25000"/>
                </a:schemeClr>
              </a:solidFill>
              <a:latin typeface="+mn-lt"/>
              <a:ea typeface="+mn-ea"/>
              <a:cs typeface="+mn-cs"/>
            </a:defRPr>
          </a:pPr>
          <a:endParaRPr lang="en-US"/>
        </a:p>
      </c:tx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Source of knowledge on the utilization of dietary supplement</c:v>
                </c:pt>
              </c:strCache>
            </c:strRef>
          </c:tx>
          <c:spPr>
            <a:scene3d>
              <a:camera prst="orthographicFront"/>
              <a:lightRig rig="threePt" dir="t"/>
            </a:scene3d>
            <a:sp3d contourW="9525"/>
          </c:spPr>
          <c:dPt>
            <c:idx val="0"/>
            <c:bubble3D val="0"/>
            <c:spPr>
              <a:solidFill>
                <a:schemeClr val="accent1"/>
              </a:solidFill>
              <a:ln>
                <a:solidFill>
                  <a:schemeClr val="bg1"/>
                </a:solidFill>
              </a:ln>
              <a:effectLst/>
            </c:spPr>
            <c:extLst>
              <c:ext xmlns:c16="http://schemas.microsoft.com/office/drawing/2014/chart" uri="{C3380CC4-5D6E-409C-BE32-E72D297353CC}">
                <c16:uniqueId val="{00000001-EF49-482C-8E36-3F547BED7C9A}"/>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EF49-482C-8E36-3F547BED7C9A}"/>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EF49-482C-8E36-3F547BED7C9A}"/>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EF49-482C-8E36-3F547BED7C9A}"/>
              </c:ext>
            </c:extLst>
          </c:dPt>
          <c:dLbls>
            <c:dLbl>
              <c:idx val="0"/>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EF49-482C-8E36-3F547BED7C9A}"/>
                </c:ext>
              </c:extLst>
            </c:dLbl>
            <c:dLbl>
              <c:idx val="1"/>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EF49-482C-8E36-3F547BED7C9A}"/>
                </c:ext>
              </c:extLst>
            </c:dLbl>
            <c:dLbl>
              <c:idx val="2"/>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EF49-482C-8E36-3F547BED7C9A}"/>
                </c:ext>
              </c:extLst>
            </c:dLbl>
            <c:dLbl>
              <c:idx val="3"/>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EF49-482C-8E36-3F547BED7C9A}"/>
                </c:ext>
              </c:extLst>
            </c:dLbl>
            <c:spPr>
              <a:noFill/>
              <a:ln>
                <a:noFill/>
              </a:ln>
              <a:effectLst/>
            </c:spPr>
            <c:txPr>
              <a:bodyPr rot="0" spcFirstLastPara="0" vertOverflow="ellipsis" vert="horz" wrap="square" lIns="38100" tIns="19050" rIns="38100" bIns="19050" anchor="ctr" anchorCtr="1"/>
              <a:lstStyle/>
              <a:p>
                <a:pPr>
                  <a:defRPr lang="en-US"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Family and Friends</c:v>
                </c:pt>
                <c:pt idx="1">
                  <c:v>Health Professional</c:v>
                </c:pt>
                <c:pt idx="2">
                  <c:v>Internet</c:v>
                </c:pt>
                <c:pt idx="3">
                  <c:v>Media</c:v>
                </c:pt>
              </c:strCache>
            </c:strRef>
          </c:cat>
          <c:val>
            <c:numRef>
              <c:f>Sheet1!$B$2:$B$5</c:f>
              <c:numCache>
                <c:formatCode>General</c:formatCode>
                <c:ptCount val="4"/>
                <c:pt idx="0">
                  <c:v>22.2</c:v>
                </c:pt>
                <c:pt idx="1">
                  <c:v>32.1</c:v>
                </c:pt>
                <c:pt idx="2">
                  <c:v>37.5</c:v>
                </c:pt>
                <c:pt idx="3">
                  <c:v>8.1999999999999993</c:v>
                </c:pt>
              </c:numCache>
            </c:numRef>
          </c:val>
          <c:extLst>
            <c:ext xmlns:c16="http://schemas.microsoft.com/office/drawing/2014/chart" uri="{C3380CC4-5D6E-409C-BE32-E72D297353CC}">
              <c16:uniqueId val="{00000008-EF49-482C-8E36-3F547BED7C9A}"/>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extLst>
      <c:ext uri="{0b15fc19-7d7d-44ad-8c2d-2c3a37ce22c3}">
        <chartProps xmlns="https://web.wps.cn/et/2018/main" chartId="{f7e6d4cd-7bc7-48e7-8005-c6c29abf26ba}"/>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3801</Words>
  <Characters>21670</Characters>
  <Application>Microsoft Office Word</Application>
  <DocSecurity>0</DocSecurity>
  <Lines>180</Lines>
  <Paragraphs>50</Paragraphs>
  <ScaleCrop>false</ScaleCrop>
  <Company/>
  <LinksUpToDate>false</LinksUpToDate>
  <CharactersWithSpaces>25421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mcmil</dc:creator>
  <cp:lastModifiedBy>SDI 1084</cp:lastModifiedBy>
  <cp:revision>21</cp:revision>
  <dcterms:created xsi:type="dcterms:W3CDTF">2024-08-19T11:01:00Z</dcterms:created>
  <dcterms:modified xsi:type="dcterms:W3CDTF">2025-10-06T12:45:00Z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FF24E18A96E64C6288ED2A0550340026_11</vt:lpwstr>
  </property>
</Properties>
</file>