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3F1BC" w14:textId="77777777" w:rsidR="00754C9A" w:rsidRDefault="00754C9A" w:rsidP="00441B6F">
      <w:pPr>
        <w:pStyle w:val="Title"/>
        <w:spacing w:after="0"/>
        <w:jc w:val="both"/>
        <w:rPr>
          <w:rFonts w:ascii="Arial" w:hAnsi="Arial" w:cs="Arial"/>
        </w:rPr>
      </w:pPr>
    </w:p>
    <w:p w14:paraId="7C2D856C" w14:textId="77777777" w:rsidR="00163BC4" w:rsidRPr="00163BC4" w:rsidRDefault="00810335" w:rsidP="00441B6F">
      <w:pPr>
        <w:pStyle w:val="Author"/>
        <w:spacing w:line="240" w:lineRule="auto"/>
        <w:rPr>
          <w:rFonts w:ascii="Arial" w:hAnsi="Arial" w:cs="Arial"/>
          <w:bCs/>
          <w:iCs/>
          <w:kern w:val="28"/>
          <w:sz w:val="36"/>
        </w:rPr>
      </w:pPr>
      <w:r w:rsidRPr="00810335">
        <w:rPr>
          <w:rFonts w:ascii="Arial" w:hAnsi="Arial" w:cs="Arial"/>
          <w:bCs/>
          <w:iCs/>
          <w:kern w:val="28"/>
          <w:sz w:val="36"/>
        </w:rPr>
        <w:t>Barriers, Reasons, and Motivation in Learning Filipino in Blended Modality: Perspectives of Students in the Alternative Learning System</w:t>
      </w:r>
    </w:p>
    <w:p w14:paraId="79646F0D" w14:textId="77777777" w:rsidR="00A258C3" w:rsidRPr="00790ADA" w:rsidRDefault="00A258C3" w:rsidP="00441B6F">
      <w:pPr>
        <w:pStyle w:val="Author"/>
        <w:spacing w:line="240" w:lineRule="auto"/>
        <w:jc w:val="both"/>
        <w:rPr>
          <w:rFonts w:ascii="Arial" w:hAnsi="Arial" w:cs="Arial"/>
          <w:sz w:val="36"/>
        </w:rPr>
      </w:pPr>
    </w:p>
    <w:p w14:paraId="60DDC6C5" w14:textId="77777777" w:rsidR="002C57D2" w:rsidRPr="00FB3A86" w:rsidRDefault="002C57D2" w:rsidP="00441B6F">
      <w:pPr>
        <w:pStyle w:val="Affiliation"/>
        <w:spacing w:after="0" w:line="240" w:lineRule="auto"/>
        <w:jc w:val="both"/>
        <w:rPr>
          <w:rFonts w:ascii="Arial" w:hAnsi="Arial" w:cs="Arial"/>
        </w:rPr>
      </w:pPr>
    </w:p>
    <w:p w14:paraId="371F61B6" w14:textId="77777777" w:rsidR="00B01FCD" w:rsidRPr="00FB3A86" w:rsidRDefault="00421E15" w:rsidP="00441B6F">
      <w:pPr>
        <w:pStyle w:val="Copyright"/>
        <w:spacing w:after="0" w:line="240" w:lineRule="auto"/>
        <w:jc w:val="both"/>
        <w:rPr>
          <w:rFonts w:ascii="Arial" w:hAnsi="Arial" w:cs="Arial"/>
        </w:rPr>
        <w:sectPr w:rsidR="00B01FCD" w:rsidRPr="00FB3A86" w:rsidSect="007950C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602251D1" wp14:editId="1FA9AD26">
                <wp:extent cx="5303520" cy="0"/>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A8085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49F45D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D82554B" w14:textId="77777777" w:rsidTr="001E44FE">
        <w:tc>
          <w:tcPr>
            <w:tcW w:w="9576" w:type="dxa"/>
            <w:shd w:val="clear" w:color="auto" w:fill="F2F2F2"/>
          </w:tcPr>
          <w:p w14:paraId="3EB033E6" w14:textId="77777777" w:rsidR="00CB44F7" w:rsidRPr="00CB44F7" w:rsidRDefault="00CB44F7" w:rsidP="00CB44F7">
            <w:pPr>
              <w:pStyle w:val="Body"/>
              <w:jc w:val="left"/>
              <w:rPr>
                <w:rFonts w:ascii="Arial" w:eastAsia="Calibri" w:hAnsi="Arial" w:cs="Arial"/>
                <w:b/>
                <w:sz w:val="22"/>
                <w:szCs w:val="22"/>
              </w:rPr>
            </w:pPr>
            <w:r w:rsidRPr="00CB44F7">
              <w:rPr>
                <w:rFonts w:ascii="Arial" w:eastAsia="Calibri" w:hAnsi="Arial" w:cs="Arial"/>
                <w:b/>
                <w:sz w:val="22"/>
                <w:szCs w:val="22"/>
              </w:rPr>
              <w:t>ABSTRACT</w:t>
            </w:r>
          </w:p>
          <w:p w14:paraId="08C3E596" w14:textId="77777777" w:rsidR="00CB44F7" w:rsidRPr="00CB44F7" w:rsidRDefault="00CB44F7" w:rsidP="00CB44F7">
            <w:pPr>
              <w:pStyle w:val="Body"/>
              <w:rPr>
                <w:rFonts w:ascii="Arial" w:eastAsia="Calibri" w:hAnsi="Arial" w:cs="Arial"/>
                <w:sz w:val="22"/>
                <w:szCs w:val="22"/>
              </w:rPr>
            </w:pPr>
            <w:r w:rsidRPr="00CB44F7">
              <w:rPr>
                <w:rFonts w:ascii="Arial" w:eastAsia="Calibri" w:hAnsi="Arial" w:cs="Arial"/>
                <w:sz w:val="22"/>
                <w:szCs w:val="22"/>
              </w:rPr>
              <w:t xml:space="preserve">Aims: </w:t>
            </w:r>
            <w:r w:rsidR="00A713D3" w:rsidRPr="00A713D3">
              <w:rPr>
                <w:rFonts w:ascii="Arial" w:eastAsia="Calibri" w:hAnsi="Arial" w:cs="Arial"/>
                <w:sz w:val="22"/>
                <w:szCs w:val="22"/>
              </w:rPr>
              <w:t>This study aims to provide a deeper understanding of the barriers, reasons, and motivations experienced by senior high school learners enrolled in the Alternative Learning System (ALS) as they learn the Filipino language through a blended learning modality. Specifically, it seeks to identify the various linguistic, technological, and socio-economic challenges that affect learners’ participation and achievement in Filipino, as well as the internal and external factors that drive them to persist despite these difficulties. The study also aims to contribute to the growing body of research on inclusive and flexible education by highlighting the lived experiences of ALS learners, who often represent marginalized or underserved sectors of society. Through this exploration, the study hopes to provide actionable insights that can inform policy decisions, curriculum development, and instructional design for the ALS program.</w:t>
            </w:r>
          </w:p>
          <w:p w14:paraId="5E4B559A" w14:textId="77777777" w:rsidR="00A713D3" w:rsidRDefault="00CB44F7" w:rsidP="00CB44F7">
            <w:pPr>
              <w:pStyle w:val="Body"/>
              <w:rPr>
                <w:rFonts w:ascii="Arial" w:eastAsia="Calibri" w:hAnsi="Arial" w:cs="Arial"/>
                <w:sz w:val="22"/>
                <w:szCs w:val="22"/>
              </w:rPr>
            </w:pPr>
            <w:r w:rsidRPr="00CB44F7">
              <w:rPr>
                <w:rFonts w:ascii="Arial" w:eastAsia="Calibri" w:hAnsi="Arial" w:cs="Arial"/>
                <w:sz w:val="22"/>
                <w:szCs w:val="22"/>
              </w:rPr>
              <w:t xml:space="preserve">Study design: </w:t>
            </w:r>
            <w:r w:rsidR="00A713D3" w:rsidRPr="00A713D3">
              <w:rPr>
                <w:rFonts w:ascii="Arial" w:eastAsia="Calibri" w:hAnsi="Arial" w:cs="Arial"/>
                <w:sz w:val="22"/>
                <w:szCs w:val="22"/>
              </w:rPr>
              <w:t>This research utilized a descriptive qualitative design to capture the authentic voices and experiences of ALS learners. The qualitative approach was deemed most appropriate as it allowed for an in-depth exploration of personal narratives, perceptions, and motivations that quantitative data alone could not reveal. The study was grounded on the COM-B framework (Capability, Opportunity, Motivation–Behavior), which provides a structured lens for understanding the behavioral factors influencing learning persistence and engagement. By situating learner experiences within this framework, the research offers a holistic understanding of how environmental, personal, and motivational aspects interact to shape Filipino language learning outcomes.</w:t>
            </w:r>
          </w:p>
          <w:p w14:paraId="0B1FD1EF" w14:textId="77777777" w:rsidR="00A713D3" w:rsidRDefault="00CB44F7" w:rsidP="00CB44F7">
            <w:pPr>
              <w:pStyle w:val="Body"/>
              <w:rPr>
                <w:rFonts w:ascii="Arial" w:eastAsia="Calibri" w:hAnsi="Arial" w:cs="Arial"/>
                <w:sz w:val="22"/>
                <w:szCs w:val="22"/>
              </w:rPr>
            </w:pPr>
            <w:r w:rsidRPr="00CB44F7">
              <w:rPr>
                <w:rFonts w:ascii="Arial" w:eastAsia="Calibri" w:hAnsi="Arial" w:cs="Arial"/>
                <w:sz w:val="22"/>
                <w:szCs w:val="22"/>
              </w:rPr>
              <w:t xml:space="preserve">Place and duration of study: </w:t>
            </w:r>
            <w:r w:rsidR="00A713D3" w:rsidRPr="00A713D3">
              <w:rPr>
                <w:rFonts w:ascii="Arial" w:eastAsia="Calibri" w:hAnsi="Arial" w:cs="Arial"/>
                <w:sz w:val="22"/>
                <w:szCs w:val="22"/>
              </w:rPr>
              <w:t>The study was conducted at an Alternative Learning Syst</w:t>
            </w:r>
            <w:r w:rsidR="00A713D3">
              <w:rPr>
                <w:rFonts w:ascii="Arial" w:eastAsia="Calibri" w:hAnsi="Arial" w:cs="Arial"/>
                <w:sz w:val="22"/>
                <w:szCs w:val="22"/>
              </w:rPr>
              <w:t xml:space="preserve">em Center located in Mariano Peralta National High School in </w:t>
            </w:r>
            <w:proofErr w:type="spellStart"/>
            <w:r w:rsidR="00A713D3">
              <w:rPr>
                <w:rFonts w:ascii="Arial" w:eastAsia="Calibri" w:hAnsi="Arial" w:cs="Arial"/>
                <w:sz w:val="22"/>
                <w:szCs w:val="22"/>
              </w:rPr>
              <w:t>Poblacion</w:t>
            </w:r>
            <w:proofErr w:type="spellEnd"/>
            <w:r w:rsidR="00A713D3">
              <w:rPr>
                <w:rFonts w:ascii="Arial" w:eastAsia="Calibri" w:hAnsi="Arial" w:cs="Arial"/>
                <w:sz w:val="22"/>
                <w:szCs w:val="22"/>
              </w:rPr>
              <w:t xml:space="preserve"> </w:t>
            </w:r>
            <w:proofErr w:type="spellStart"/>
            <w:r w:rsidR="00A713D3">
              <w:rPr>
                <w:rFonts w:ascii="Arial" w:eastAsia="Calibri" w:hAnsi="Arial" w:cs="Arial"/>
                <w:sz w:val="22"/>
                <w:szCs w:val="22"/>
              </w:rPr>
              <w:t>Malita</w:t>
            </w:r>
            <w:proofErr w:type="spellEnd"/>
            <w:r w:rsidR="00A713D3" w:rsidRPr="00A713D3">
              <w:rPr>
                <w:rFonts w:ascii="Arial" w:eastAsia="Calibri" w:hAnsi="Arial" w:cs="Arial"/>
                <w:sz w:val="22"/>
                <w:szCs w:val="22"/>
              </w:rPr>
              <w:t>, Davao Occidental, Philippines, during the school year 2023–2024. The site was selected because it represents a typical rural ALS context where learners face challenges such as limited internet access, economic instability, and competing life responsibilities. Conducting the study over several months ensured that the researcher could build rapport with participants and capture experiences across different phases of the blended learning cycle.</w:t>
            </w:r>
          </w:p>
          <w:p w14:paraId="5EC58142" w14:textId="77777777" w:rsidR="00CB44F7" w:rsidRPr="00CB44F7" w:rsidRDefault="00CB44F7" w:rsidP="00CB44F7">
            <w:pPr>
              <w:pStyle w:val="Body"/>
              <w:rPr>
                <w:rFonts w:ascii="Arial" w:eastAsia="Calibri" w:hAnsi="Arial" w:cs="Arial"/>
                <w:sz w:val="22"/>
                <w:szCs w:val="22"/>
              </w:rPr>
            </w:pPr>
            <w:r w:rsidRPr="00CB44F7">
              <w:rPr>
                <w:rFonts w:ascii="Arial" w:eastAsia="Calibri" w:hAnsi="Arial" w:cs="Arial"/>
                <w:sz w:val="22"/>
                <w:szCs w:val="22"/>
              </w:rPr>
              <w:t xml:space="preserve">Methodology: </w:t>
            </w:r>
            <w:r w:rsidR="00A713D3" w:rsidRPr="00A713D3">
              <w:rPr>
                <w:rFonts w:ascii="Arial" w:eastAsia="Calibri" w:hAnsi="Arial" w:cs="Arial"/>
                <w:sz w:val="22"/>
                <w:szCs w:val="22"/>
              </w:rPr>
              <w:t>A total of ten</w:t>
            </w:r>
            <w:r w:rsidR="00A713D3">
              <w:rPr>
                <w:rFonts w:ascii="Arial" w:eastAsia="Calibri" w:hAnsi="Arial" w:cs="Arial"/>
                <w:sz w:val="22"/>
                <w:szCs w:val="22"/>
              </w:rPr>
              <w:t xml:space="preserve"> (10)</w:t>
            </w:r>
            <w:r w:rsidR="00A713D3" w:rsidRPr="00A713D3">
              <w:rPr>
                <w:rFonts w:ascii="Arial" w:eastAsia="Calibri" w:hAnsi="Arial" w:cs="Arial"/>
                <w:sz w:val="22"/>
                <w:szCs w:val="22"/>
              </w:rPr>
              <w:t xml:space="preserve"> ALS learners participated in the study, selected through purposive sampling to ensure that participants had direct experience with the blended learning approach. Five learners participated in individual in-depth </w:t>
            </w:r>
            <w:r w:rsidR="00A713D3" w:rsidRPr="00A713D3">
              <w:rPr>
                <w:rFonts w:ascii="Arial" w:eastAsia="Calibri" w:hAnsi="Arial" w:cs="Arial"/>
                <w:sz w:val="22"/>
                <w:szCs w:val="22"/>
              </w:rPr>
              <w:lastRenderedPageBreak/>
              <w:t>interviews, while another five joined a focus group discussion (FGD) to encourage interactive reflection. Data were collected using a validated semi-structured interview guide and analyzed through thematic analysis following Braun and Clarke’s (2012) procedure. The COM-B model guided the interpretation of data, allowing themes to emerge according to learners’ capability (skills and knowledge), opportunity (environmental and social context), and motivation (personal and emotional drivers). Credibility was ensured through triangulation, member checking, and expert validation.</w:t>
            </w:r>
          </w:p>
          <w:p w14:paraId="59FCAD19" w14:textId="77777777" w:rsidR="00CB44F7" w:rsidRPr="00CB44F7" w:rsidRDefault="00CB44F7" w:rsidP="00CB44F7">
            <w:pPr>
              <w:pStyle w:val="Body"/>
              <w:rPr>
                <w:rFonts w:ascii="Arial" w:eastAsia="Calibri" w:hAnsi="Arial" w:cs="Arial"/>
                <w:sz w:val="22"/>
                <w:szCs w:val="22"/>
              </w:rPr>
            </w:pPr>
            <w:r w:rsidRPr="00CB44F7">
              <w:rPr>
                <w:rFonts w:ascii="Arial" w:eastAsia="Calibri" w:hAnsi="Arial" w:cs="Arial"/>
                <w:sz w:val="22"/>
                <w:szCs w:val="22"/>
              </w:rPr>
              <w:t xml:space="preserve">Results: </w:t>
            </w:r>
            <w:r w:rsidR="00A713D3" w:rsidRPr="00A713D3">
              <w:rPr>
                <w:rFonts w:ascii="Arial" w:eastAsia="Calibri" w:hAnsi="Arial" w:cs="Arial"/>
                <w:sz w:val="22"/>
                <w:szCs w:val="22"/>
              </w:rPr>
              <w:t>Findings revealed multiple interconnected barriers to learning Filipino. The most prominent obstacles were limited study time due to work and family obligations, difficulty comprehending complex vocabulary and grammar, and the lack of opportunities for real-time discussions with teachers. Learners also reported limited access to digital learning tools and fear of making mistakes when speaking Filipino, especially for those whose first language is a local dialect. Nevertheless, learners demonstrated strong persistence and commitment to their studies, fueled by intrinsic motivation—such as personal growth and self-improvement—and extrinsic factors, including encouragement from teachers, peers, and family members. The study highlights the crucial role of emotional support and self-efficacy in sustaining learner engagement within flexible education systems.</w:t>
            </w:r>
          </w:p>
          <w:p w14:paraId="4D89760B" w14:textId="77777777" w:rsidR="00505F06" w:rsidRPr="00CB44F7" w:rsidRDefault="00CB44F7" w:rsidP="00CB44F7">
            <w:pPr>
              <w:pStyle w:val="Body"/>
              <w:rPr>
                <w:rFonts w:ascii="Arial" w:eastAsia="Calibri" w:hAnsi="Arial" w:cs="Arial"/>
                <w:b/>
                <w:sz w:val="22"/>
                <w:szCs w:val="22"/>
              </w:rPr>
            </w:pPr>
            <w:r w:rsidRPr="00CB44F7">
              <w:rPr>
                <w:rFonts w:ascii="Arial" w:eastAsia="Calibri" w:hAnsi="Arial" w:cs="Arial"/>
                <w:sz w:val="22"/>
                <w:szCs w:val="22"/>
              </w:rPr>
              <w:t xml:space="preserve">Conclusion: </w:t>
            </w:r>
            <w:r w:rsidR="00A713D3" w:rsidRPr="00A713D3">
              <w:rPr>
                <w:rFonts w:ascii="Arial" w:eastAsia="Calibri" w:hAnsi="Arial" w:cs="Arial"/>
                <w:sz w:val="22"/>
                <w:szCs w:val="22"/>
              </w:rPr>
              <w:t>The study concludes that while blended learning in ALS offers flexibility, it must be complemented by responsive instructional support and inclusive teaching methods. Strengthening the availability of culturally relevant materials, improving technological infrastructure, and providing consistent feedback mechanisms are vital for improving learning outcomes. The findings underscore that motivation, particularly when reinforced by family and peer support, remains the most powerful driver of success for ALS learners navigating the complexities of blended Filipino language education.</w:t>
            </w:r>
          </w:p>
        </w:tc>
      </w:tr>
    </w:tbl>
    <w:p w14:paraId="7C0EFB27" w14:textId="77777777" w:rsidR="00CB44F7" w:rsidRPr="00FB3A86" w:rsidRDefault="00CB44F7" w:rsidP="00441B6F">
      <w:pPr>
        <w:pStyle w:val="AbstHead"/>
        <w:spacing w:after="0"/>
        <w:jc w:val="both"/>
        <w:rPr>
          <w:rFonts w:ascii="Arial" w:hAnsi="Arial" w:cs="Arial"/>
        </w:rPr>
      </w:pPr>
    </w:p>
    <w:p w14:paraId="65C6105C" w14:textId="77777777" w:rsidR="00CB44F7" w:rsidRPr="00CB44F7" w:rsidRDefault="00CB44F7" w:rsidP="00CB44F7">
      <w:pPr>
        <w:pStyle w:val="Body"/>
        <w:jc w:val="left"/>
        <w:rPr>
          <w:rFonts w:ascii="Arial" w:hAnsi="Arial" w:cs="Arial"/>
          <w:b/>
          <w:sz w:val="22"/>
        </w:rPr>
      </w:pPr>
      <w:r w:rsidRPr="00CB44F7">
        <w:rPr>
          <w:rFonts w:ascii="Arial" w:hAnsi="Arial" w:cs="Arial"/>
          <w:b/>
          <w:sz w:val="22"/>
        </w:rPr>
        <w:t>1. INTRODUCTION</w:t>
      </w:r>
    </w:p>
    <w:p w14:paraId="7A6E89BC" w14:textId="77777777" w:rsidR="00A713D3" w:rsidRPr="00A713D3" w:rsidRDefault="00A713D3" w:rsidP="00A713D3">
      <w:pPr>
        <w:pStyle w:val="Body"/>
        <w:rPr>
          <w:rFonts w:ascii="Arial" w:hAnsi="Arial" w:cs="Arial"/>
        </w:rPr>
      </w:pPr>
      <w:r w:rsidRPr="00A713D3">
        <w:rPr>
          <w:rFonts w:ascii="Arial" w:hAnsi="Arial" w:cs="Arial"/>
        </w:rPr>
        <w:t>Education is widely recognized as a fundamental human right and a powerful tool for social transformation. However, despite the constitutional guarantee of free basic education in the Philippines, not all individuals are able to complete formal schooling due to poverty, early employment, migration, or family responsibilities. To address this enduring educational gap, the Alternative Learning System (ALS) was established by the Department of Education (DepEd) as a parallel learning system that provides out-of-school youth and adults with opportunities to continue and complete their basic education outside the traditional classroom setting. The ALS program thus embodies inclusivity, flexibility, and accessibility—three pillars that ensure every Filipino has a chance to learn, regardless</w:t>
      </w:r>
      <w:r>
        <w:rPr>
          <w:rFonts w:ascii="Arial" w:hAnsi="Arial" w:cs="Arial"/>
        </w:rPr>
        <w:t xml:space="preserve"> of background or circumstance.</w:t>
      </w:r>
    </w:p>
    <w:p w14:paraId="7DA6FC36" w14:textId="77777777" w:rsidR="00A713D3" w:rsidRPr="00A713D3" w:rsidRDefault="00A713D3" w:rsidP="00A713D3">
      <w:pPr>
        <w:pStyle w:val="Body"/>
        <w:rPr>
          <w:rFonts w:ascii="Arial" w:hAnsi="Arial" w:cs="Arial"/>
        </w:rPr>
      </w:pPr>
      <w:r w:rsidRPr="00A713D3">
        <w:rPr>
          <w:rFonts w:ascii="Arial" w:hAnsi="Arial" w:cs="Arial"/>
        </w:rPr>
        <w:t xml:space="preserve">Within this system, the Senior High School (SHS) component of ALS represents a major milestone, allowing learners to pursue advanced competencies aligned with the K–12 curriculum. Yet, ALS learners face multiple obstacles in meeting academic expectations, particularly in subjects such as Filipino, which demand both linguistic competence and critical literacy skills. Filipino, as a subject, is not only an academic requirement but also a key to understanding national identity, heritage, and citizenship. For learners whose first language is </w:t>
      </w:r>
      <w:r w:rsidRPr="00A713D3">
        <w:rPr>
          <w:rFonts w:ascii="Arial" w:hAnsi="Arial" w:cs="Arial"/>
        </w:rPr>
        <w:lastRenderedPageBreak/>
        <w:t>a regional dialect, mastering Filipino in an academic context can be challenging, especial</w:t>
      </w:r>
      <w:r>
        <w:rPr>
          <w:rFonts w:ascii="Arial" w:hAnsi="Arial" w:cs="Arial"/>
        </w:rPr>
        <w:t>ly in a blended learning setup.</w:t>
      </w:r>
    </w:p>
    <w:p w14:paraId="0A269AD5" w14:textId="77777777" w:rsidR="00A713D3" w:rsidRPr="00A713D3" w:rsidRDefault="00A713D3" w:rsidP="00A713D3">
      <w:pPr>
        <w:pStyle w:val="Body"/>
        <w:rPr>
          <w:rFonts w:ascii="Arial" w:hAnsi="Arial" w:cs="Arial"/>
        </w:rPr>
      </w:pPr>
      <w:r w:rsidRPr="00A713D3">
        <w:rPr>
          <w:rFonts w:ascii="Arial" w:hAnsi="Arial" w:cs="Arial"/>
        </w:rPr>
        <w:t>The blended learning modality, which combines face-to-face instruction, modular lessons, and digital learning tools, has gained prominence in recent years as a response to diverse learner needs and pandemic-related constraints. While this model offers flexibility, it also introduces new barriers—especially for ALS learners in rural areas with limited access to stable internet connections, devices, and digital literacy training. UNICEF (2020) emphasized that while low- or no-tech solutions can support continuity of learning, they must be accompanied by strong pedagogical strategies and sustained teacher gui</w:t>
      </w:r>
      <w:r>
        <w:rPr>
          <w:rFonts w:ascii="Arial" w:hAnsi="Arial" w:cs="Arial"/>
        </w:rPr>
        <w:t>dance to be effective.</w:t>
      </w:r>
    </w:p>
    <w:p w14:paraId="060E908F" w14:textId="77777777" w:rsidR="00790ADA" w:rsidRDefault="00A713D3" w:rsidP="00A713D3">
      <w:pPr>
        <w:pStyle w:val="Body"/>
        <w:spacing w:after="0"/>
        <w:rPr>
          <w:rFonts w:ascii="Arial" w:hAnsi="Arial" w:cs="Arial"/>
        </w:rPr>
      </w:pPr>
      <w:r w:rsidRPr="00A713D3">
        <w:rPr>
          <w:rFonts w:ascii="Arial" w:hAnsi="Arial" w:cs="Arial"/>
        </w:rPr>
        <w:t>Given this context, it is crucial to examine how ALS learners navigate the complexities of studying Filipino through blended learning. This study investigates their barriers, reasons, and motivations, providing insight into both their struggles and successes. Guided by the COM-B framework (Capability, Opportunity, Motivation–Behavior) developed by Michie et al. (2011), this study explores how personal capabilities, environmental opportunities, and internal motivations interact to influence learner behavior and persistence. Ultimately, the research aims to provide data-driven recommendations for improving ALS instruction, fostering learner engagement, and promoting educational e</w:t>
      </w:r>
      <w:r>
        <w:rPr>
          <w:rFonts w:ascii="Arial" w:hAnsi="Arial" w:cs="Arial"/>
        </w:rPr>
        <w:t>quity in the Philippine context</w:t>
      </w:r>
      <w:r w:rsidR="00CB44F7" w:rsidRPr="00CB44F7">
        <w:rPr>
          <w:rFonts w:ascii="Arial" w:hAnsi="Arial" w:cs="Arial"/>
        </w:rPr>
        <w:t>.</w:t>
      </w:r>
    </w:p>
    <w:p w14:paraId="77CC73BF" w14:textId="77777777" w:rsidR="00CB44F7" w:rsidRPr="00FB3A86" w:rsidRDefault="00CB44F7" w:rsidP="00CB44F7">
      <w:pPr>
        <w:pStyle w:val="Body"/>
        <w:spacing w:after="0"/>
        <w:rPr>
          <w:rFonts w:ascii="Arial" w:hAnsi="Arial" w:cs="Arial"/>
        </w:rPr>
      </w:pPr>
    </w:p>
    <w:p w14:paraId="79815042" w14:textId="77777777" w:rsidR="00790ADA" w:rsidRPr="00FB3A86" w:rsidRDefault="00790ADA" w:rsidP="00CB44F7">
      <w:pPr>
        <w:pStyle w:val="AbstHead"/>
        <w:spacing w:after="0"/>
        <w:jc w:val="both"/>
        <w:rPr>
          <w:rFonts w:ascii="Arial" w:hAnsi="Arial" w:cs="Arial"/>
        </w:rPr>
      </w:pPr>
    </w:p>
    <w:p w14:paraId="70F0E724" w14:textId="77777777" w:rsidR="00CB44F7" w:rsidRPr="00CB44F7" w:rsidRDefault="00CB44F7" w:rsidP="00CB44F7">
      <w:pPr>
        <w:pStyle w:val="Body"/>
        <w:rPr>
          <w:rFonts w:ascii="Arial" w:hAnsi="Arial" w:cs="Arial"/>
          <w:b/>
          <w:sz w:val="22"/>
        </w:rPr>
      </w:pPr>
      <w:r w:rsidRPr="00CB44F7">
        <w:rPr>
          <w:rFonts w:ascii="Arial" w:hAnsi="Arial" w:cs="Arial"/>
          <w:b/>
          <w:sz w:val="22"/>
        </w:rPr>
        <w:t>2. MATERIAL AND METHODS</w:t>
      </w:r>
    </w:p>
    <w:p w14:paraId="64E030F5" w14:textId="77777777" w:rsidR="00BE6C91" w:rsidRPr="00BE6C91" w:rsidRDefault="00BE6C91" w:rsidP="00BE6C91">
      <w:pPr>
        <w:pStyle w:val="Body"/>
        <w:rPr>
          <w:rFonts w:ascii="Arial" w:hAnsi="Arial" w:cs="Arial"/>
          <w:b/>
        </w:rPr>
      </w:pPr>
      <w:r>
        <w:rPr>
          <w:rFonts w:ascii="Arial" w:hAnsi="Arial" w:cs="Arial"/>
          <w:b/>
        </w:rPr>
        <w:t>2.1 Study Design and Setting</w:t>
      </w:r>
    </w:p>
    <w:p w14:paraId="07C321F7" w14:textId="77777777" w:rsidR="00BE6C91" w:rsidRPr="00BE6C91" w:rsidRDefault="00BE6C91" w:rsidP="00BE6C91">
      <w:pPr>
        <w:pStyle w:val="Body"/>
        <w:rPr>
          <w:rFonts w:ascii="Arial" w:hAnsi="Arial" w:cs="Arial"/>
        </w:rPr>
      </w:pPr>
      <w:r w:rsidRPr="00BE6C91">
        <w:rPr>
          <w:rFonts w:ascii="Arial" w:hAnsi="Arial" w:cs="Arial"/>
        </w:rPr>
        <w:t xml:space="preserve">This research utilized a descriptive qualitative design to explore the lived experiences and perceptions of ALS-SHS learners. The qualitative approach allowed for a rich understanding of participants’ realities within their sociocultural and educational contexts. The study was conducted at the ALS Center of Mariano Peralta National High School, located in </w:t>
      </w:r>
      <w:proofErr w:type="spellStart"/>
      <w:r w:rsidRPr="00BE6C91">
        <w:rPr>
          <w:rFonts w:ascii="Arial" w:hAnsi="Arial" w:cs="Arial"/>
        </w:rPr>
        <w:t>Poblacion</w:t>
      </w:r>
      <w:proofErr w:type="spellEnd"/>
      <w:r w:rsidRPr="00BE6C91">
        <w:rPr>
          <w:rFonts w:ascii="Arial" w:hAnsi="Arial" w:cs="Arial"/>
        </w:rPr>
        <w:t xml:space="preserve">, </w:t>
      </w:r>
      <w:proofErr w:type="spellStart"/>
      <w:r w:rsidRPr="00BE6C91">
        <w:rPr>
          <w:rFonts w:ascii="Arial" w:hAnsi="Arial" w:cs="Arial"/>
        </w:rPr>
        <w:t>Malita</w:t>
      </w:r>
      <w:proofErr w:type="spellEnd"/>
      <w:r w:rsidRPr="00BE6C91">
        <w:rPr>
          <w:rFonts w:ascii="Arial" w:hAnsi="Arial" w:cs="Arial"/>
        </w:rPr>
        <w:t>, Davao Occidental. The setting was chosen because it represents a typical rural learning environment where most ALS learners balance multiple roles—as students, workers, and family members—while accessing limited educational resources. The location also reflects the technological divide faced by many marginalized communities, making it an ideal site for investigating the impact of blended learning.</w:t>
      </w:r>
    </w:p>
    <w:p w14:paraId="63FAB6FA" w14:textId="77777777" w:rsidR="00BE6C91" w:rsidRPr="00BE6C91" w:rsidRDefault="00BE6C91" w:rsidP="00BE6C91">
      <w:pPr>
        <w:pStyle w:val="Body"/>
        <w:rPr>
          <w:rFonts w:ascii="Arial" w:hAnsi="Arial" w:cs="Arial"/>
          <w:b/>
        </w:rPr>
      </w:pPr>
      <w:r>
        <w:rPr>
          <w:rFonts w:ascii="Arial" w:hAnsi="Arial" w:cs="Arial"/>
          <w:b/>
        </w:rPr>
        <w:t>2.2 Participants and Sampling</w:t>
      </w:r>
    </w:p>
    <w:p w14:paraId="244A8225" w14:textId="77777777" w:rsidR="00BE6C91" w:rsidRPr="00BE6C91" w:rsidRDefault="00BE6C91" w:rsidP="00BE6C91">
      <w:pPr>
        <w:pStyle w:val="Body"/>
        <w:rPr>
          <w:rFonts w:ascii="Arial" w:hAnsi="Arial" w:cs="Arial"/>
        </w:rPr>
      </w:pPr>
      <w:r w:rsidRPr="00BE6C91">
        <w:rPr>
          <w:rFonts w:ascii="Arial" w:hAnsi="Arial" w:cs="Arial"/>
        </w:rPr>
        <w:t>Ten learners currently enrolled in the ALS-SHS program participated in the study. Participants were selected through purposive sampling, a method appropriate for qualitative research that aims to select information-rich cases relevant to the research objectives (</w:t>
      </w:r>
      <w:proofErr w:type="spellStart"/>
      <w:r w:rsidRPr="00BE6C91">
        <w:rPr>
          <w:rFonts w:ascii="Arial" w:hAnsi="Arial" w:cs="Arial"/>
        </w:rPr>
        <w:t>Etikan</w:t>
      </w:r>
      <w:proofErr w:type="spellEnd"/>
      <w:r w:rsidRPr="00BE6C91">
        <w:rPr>
          <w:rFonts w:ascii="Arial" w:hAnsi="Arial" w:cs="Arial"/>
        </w:rPr>
        <w:t xml:space="preserve">, Musa, &amp; </w:t>
      </w:r>
      <w:proofErr w:type="spellStart"/>
      <w:r w:rsidRPr="00BE6C91">
        <w:rPr>
          <w:rFonts w:ascii="Arial" w:hAnsi="Arial" w:cs="Arial"/>
        </w:rPr>
        <w:t>Alkassim</w:t>
      </w:r>
      <w:proofErr w:type="spellEnd"/>
      <w:r w:rsidRPr="00BE6C91">
        <w:rPr>
          <w:rFonts w:ascii="Arial" w:hAnsi="Arial" w:cs="Arial"/>
        </w:rPr>
        <w:t>, 2016). The selection criteria included: (1) active participation in blended learning sessions, (2) willingness to share experiences, and (3) ability to communicate insights clearly. The participants’ ages ranged from 17 to 26 years, and most were either working part-time or managing household responsibilities. To gather diverse perspectives, five learners participated in in-depth interviews, while another five joined a focus group discussion (FGD).</w:t>
      </w:r>
    </w:p>
    <w:p w14:paraId="596F7971" w14:textId="77777777" w:rsidR="00BE6C91" w:rsidRPr="00BE6C91" w:rsidRDefault="00BE6C91" w:rsidP="00BE6C91">
      <w:pPr>
        <w:pStyle w:val="Body"/>
        <w:rPr>
          <w:rFonts w:ascii="Arial" w:hAnsi="Arial" w:cs="Arial"/>
          <w:b/>
        </w:rPr>
      </w:pPr>
    </w:p>
    <w:p w14:paraId="2492C024" w14:textId="77777777" w:rsidR="00BE6C91" w:rsidRPr="00BE6C91" w:rsidRDefault="00BE6C91" w:rsidP="00BE6C91">
      <w:pPr>
        <w:pStyle w:val="Body"/>
        <w:rPr>
          <w:rFonts w:ascii="Arial" w:hAnsi="Arial" w:cs="Arial"/>
          <w:b/>
        </w:rPr>
      </w:pPr>
      <w:r>
        <w:rPr>
          <w:rFonts w:ascii="Arial" w:hAnsi="Arial" w:cs="Arial"/>
          <w:b/>
        </w:rPr>
        <w:t>2.3 Data Collection</w:t>
      </w:r>
    </w:p>
    <w:p w14:paraId="2CE1E19F" w14:textId="77777777" w:rsidR="00BE6C91" w:rsidRPr="00BE6C91" w:rsidRDefault="00BE6C91" w:rsidP="00BE6C91">
      <w:pPr>
        <w:pStyle w:val="Body"/>
        <w:rPr>
          <w:rFonts w:ascii="Arial" w:hAnsi="Arial" w:cs="Arial"/>
        </w:rPr>
      </w:pPr>
      <w:r w:rsidRPr="00BE6C91">
        <w:rPr>
          <w:rFonts w:ascii="Arial" w:hAnsi="Arial" w:cs="Arial"/>
        </w:rPr>
        <w:t xml:space="preserve">Data were collected using a semi-structured interview guide, designed to elicit comprehensive insights into learners’ challenges, motivations, and coping mechanisms. The guide underwent expert validation to ensure content relevance and clarity. Participants were briefed about the </w:t>
      </w:r>
      <w:r w:rsidRPr="00BE6C91">
        <w:rPr>
          <w:rFonts w:ascii="Arial" w:hAnsi="Arial" w:cs="Arial"/>
        </w:rPr>
        <w:lastRenderedPageBreak/>
        <w:t>study’s purpose and provided informed consent prior to participation. Interviews and discussions were conducted in Filipino and local dialects, recorded with permission, and later transcribed verbatim. The researcher maintained a reflective journal to document contextual observations and emerging patterns throughout data collection.</w:t>
      </w:r>
    </w:p>
    <w:p w14:paraId="7099619B" w14:textId="77777777" w:rsidR="00BE6C91" w:rsidRPr="00BE6C91" w:rsidRDefault="00BE6C91" w:rsidP="00BE6C91">
      <w:pPr>
        <w:pStyle w:val="Body"/>
        <w:rPr>
          <w:rFonts w:ascii="Arial" w:hAnsi="Arial" w:cs="Arial"/>
          <w:b/>
        </w:rPr>
      </w:pPr>
      <w:r>
        <w:rPr>
          <w:rFonts w:ascii="Arial" w:hAnsi="Arial" w:cs="Arial"/>
          <w:b/>
        </w:rPr>
        <w:t>2.4 Data Analysis</w:t>
      </w:r>
    </w:p>
    <w:p w14:paraId="47427723" w14:textId="77777777" w:rsidR="00BE6C91" w:rsidRDefault="00BE6C91" w:rsidP="00BE6C91">
      <w:pPr>
        <w:pStyle w:val="Body"/>
        <w:spacing w:after="0"/>
        <w:rPr>
          <w:rFonts w:ascii="Arial" w:hAnsi="Arial" w:cs="Arial"/>
        </w:rPr>
      </w:pPr>
      <w:r w:rsidRPr="00BE6C91">
        <w:rPr>
          <w:rFonts w:ascii="Arial" w:hAnsi="Arial" w:cs="Arial"/>
        </w:rPr>
        <w:t>The data were analyzed using thematic analysis following the six-phase procedure outlined by Braun and Clarke (2012): familiarization, coding, theme generation, reviewing, defining, and reporting. The COM-B model guided the analysis, categorizing findings into three domains: (1) Capability – learners’ knowledge, language proficiency, and study skills; (2) Opportunity – availability of materials, access to technology, and social support; and (3) Motivation – intrinsic and extrinsic reasons for persistence. Triangulation between interview and FGD data enhanced the study’s credibility, while member checking ensured the accuracy of interpretations.</w:t>
      </w:r>
    </w:p>
    <w:p w14:paraId="5BE14F0F" w14:textId="77777777" w:rsidR="00BE6C91" w:rsidRPr="00BE6C91" w:rsidRDefault="00BE6C91" w:rsidP="00BE6C91">
      <w:pPr>
        <w:pStyle w:val="Body"/>
        <w:spacing w:after="0"/>
        <w:rPr>
          <w:rFonts w:ascii="Arial" w:hAnsi="Arial" w:cs="Arial"/>
        </w:rPr>
      </w:pPr>
    </w:p>
    <w:p w14:paraId="6DA2C804" w14:textId="77777777" w:rsidR="00732670" w:rsidRDefault="00000F8F" w:rsidP="00732670">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8E02BEE" w14:textId="77777777" w:rsidR="00732670" w:rsidRPr="00732670" w:rsidRDefault="00732670" w:rsidP="00732670">
      <w:pPr>
        <w:pStyle w:val="Head1"/>
        <w:spacing w:after="0"/>
        <w:jc w:val="both"/>
        <w:rPr>
          <w:rFonts w:ascii="Arial" w:hAnsi="Arial" w:cs="Arial"/>
        </w:rPr>
      </w:pPr>
    </w:p>
    <w:p w14:paraId="6B020148" w14:textId="77777777" w:rsidR="00732670" w:rsidRPr="00732670" w:rsidRDefault="00732670" w:rsidP="00732670">
      <w:pPr>
        <w:pStyle w:val="Body"/>
        <w:rPr>
          <w:rFonts w:ascii="Arial" w:hAnsi="Arial" w:cs="Arial"/>
          <w:b/>
        </w:rPr>
      </w:pPr>
      <w:r w:rsidRPr="00732670">
        <w:rPr>
          <w:rFonts w:ascii="Arial" w:hAnsi="Arial" w:cs="Arial"/>
          <w:b/>
        </w:rPr>
        <w:t>3.1 Barriers to Learning</w:t>
      </w:r>
    </w:p>
    <w:p w14:paraId="46F80D5C" w14:textId="77777777" w:rsidR="00BE6C91" w:rsidRPr="00BE6C91" w:rsidRDefault="00BE6C91" w:rsidP="00BE6C91">
      <w:pPr>
        <w:pStyle w:val="Body"/>
        <w:rPr>
          <w:rFonts w:ascii="Arial" w:hAnsi="Arial" w:cs="Arial"/>
        </w:rPr>
      </w:pPr>
      <w:r w:rsidRPr="00BE6C91">
        <w:rPr>
          <w:rFonts w:ascii="Arial" w:hAnsi="Arial" w:cs="Arial"/>
        </w:rPr>
        <w:t xml:space="preserve">The findings revealed that learners encountered multiple barriers in learning Filipino under blended modalities. Linguistic challenges were the most frequently cited, with participants struggling to understand deep or academic Filipino vocabulary and complex grammatical structures. Because most learners spoke regional dialects such as Cebuano or </w:t>
      </w:r>
      <w:proofErr w:type="spellStart"/>
      <w:r w:rsidRPr="00BE6C91">
        <w:rPr>
          <w:rFonts w:ascii="Arial" w:hAnsi="Arial" w:cs="Arial"/>
        </w:rPr>
        <w:t>Tagakaulo</w:t>
      </w:r>
      <w:proofErr w:type="spellEnd"/>
      <w:r w:rsidRPr="00BE6C91">
        <w:rPr>
          <w:rFonts w:ascii="Arial" w:hAnsi="Arial" w:cs="Arial"/>
        </w:rPr>
        <w:t xml:space="preserve"> at home, they found it difficult to express themselves formally in Filipino. Some reported that the modules contained advanced words unfamiliar to their everyday speech, leading to</w:t>
      </w:r>
      <w:r>
        <w:rPr>
          <w:rFonts w:ascii="Arial" w:hAnsi="Arial" w:cs="Arial"/>
        </w:rPr>
        <w:t xml:space="preserve"> frustration and disengagement.</w:t>
      </w:r>
    </w:p>
    <w:p w14:paraId="352552F9" w14:textId="77777777" w:rsidR="00BE6C91" w:rsidRDefault="00BE6C91" w:rsidP="00BE6C91">
      <w:pPr>
        <w:pStyle w:val="Body"/>
        <w:rPr>
          <w:rFonts w:ascii="Arial" w:hAnsi="Arial" w:cs="Arial"/>
        </w:rPr>
      </w:pPr>
      <w:r w:rsidRPr="00BE6C91">
        <w:rPr>
          <w:rFonts w:ascii="Arial" w:hAnsi="Arial" w:cs="Arial"/>
        </w:rPr>
        <w:t xml:space="preserve">Time constraints were another major barrier. Many participants worked during the day and could only study late at night or on weekends. This dual burden resulted in fatigue, lack of focus, and irregular study schedules. Similarly, technological limitations—such as weak internet connectivity, lack of gadgets, and expensive mobile data—restricted participation in online components of blended learning. These findings align with </w:t>
      </w:r>
      <w:proofErr w:type="spellStart"/>
      <w:r w:rsidRPr="00BE6C91">
        <w:rPr>
          <w:rFonts w:ascii="Arial" w:hAnsi="Arial" w:cs="Arial"/>
        </w:rPr>
        <w:t>Darolia</w:t>
      </w:r>
      <w:proofErr w:type="spellEnd"/>
      <w:r w:rsidRPr="00BE6C91">
        <w:rPr>
          <w:rFonts w:ascii="Arial" w:hAnsi="Arial" w:cs="Arial"/>
        </w:rPr>
        <w:t xml:space="preserve"> (2014), who noted that students juggling work and studies often struggle to maintain consistent academic performance. Moreover, limited teacher interaction reduced opportunities for feedback and clarification, making self-directed learning more challenging.</w:t>
      </w:r>
    </w:p>
    <w:p w14:paraId="73ECD80C" w14:textId="77777777" w:rsidR="00732670" w:rsidRPr="00732670" w:rsidRDefault="00732670" w:rsidP="00BE6C91">
      <w:pPr>
        <w:pStyle w:val="Body"/>
        <w:rPr>
          <w:rFonts w:ascii="Arial" w:hAnsi="Arial" w:cs="Arial"/>
          <w:b/>
        </w:rPr>
      </w:pPr>
      <w:r w:rsidRPr="00732670">
        <w:rPr>
          <w:rFonts w:ascii="Arial" w:hAnsi="Arial" w:cs="Arial"/>
          <w:b/>
        </w:rPr>
        <w:t>3.2 Motivation and Support Systems</w:t>
      </w:r>
    </w:p>
    <w:p w14:paraId="60292A09" w14:textId="77777777" w:rsidR="00BE6C91" w:rsidRPr="00BE6C91" w:rsidRDefault="00BE6C91" w:rsidP="00BE6C91">
      <w:pPr>
        <w:pStyle w:val="Body"/>
        <w:rPr>
          <w:rFonts w:ascii="Arial" w:hAnsi="Arial" w:cs="Arial"/>
        </w:rPr>
      </w:pPr>
      <w:r w:rsidRPr="00BE6C91">
        <w:rPr>
          <w:rFonts w:ascii="Arial" w:hAnsi="Arial" w:cs="Arial"/>
        </w:rPr>
        <w:t>Despite these obstacles, the study found that learners maintained strong intrinsic motivation to continue studying. Many expressed a personal determination to complete their education, driven by goals of improving employment prospects, gaining self-confidence, and being role models for their children. One participant noted, “I want to prove to myself that it’s never too late to finish school and learn Filipino properly.”</w:t>
      </w:r>
    </w:p>
    <w:p w14:paraId="263E87D8" w14:textId="77777777" w:rsidR="00BE6C91" w:rsidRPr="00BE6C91" w:rsidRDefault="00BE6C91" w:rsidP="00BE6C91">
      <w:pPr>
        <w:pStyle w:val="Body"/>
        <w:rPr>
          <w:rFonts w:ascii="Arial" w:hAnsi="Arial" w:cs="Arial"/>
        </w:rPr>
      </w:pPr>
    </w:p>
    <w:p w14:paraId="47EE2483" w14:textId="77777777" w:rsidR="00BE6C91" w:rsidRDefault="00BE6C91" w:rsidP="00BE6C91">
      <w:pPr>
        <w:pStyle w:val="Body"/>
        <w:rPr>
          <w:rFonts w:ascii="Arial" w:hAnsi="Arial" w:cs="Arial"/>
        </w:rPr>
      </w:pPr>
      <w:r w:rsidRPr="00BE6C91">
        <w:rPr>
          <w:rFonts w:ascii="Arial" w:hAnsi="Arial" w:cs="Arial"/>
        </w:rPr>
        <w:t>Extrinsic motivation also played a vital role. Learners highlighted the importance of family encouragement, teacher patience, and peer support in sustaining their enthusiasm. Teachers who provided motivational messages, flexible deadlines, and personalized feedback significantly boosted learners’ confidence. These findings affirm that social and emotional support systems act as protective factors that buffer the stress of flexible learning environments.</w:t>
      </w:r>
    </w:p>
    <w:p w14:paraId="15FB9487" w14:textId="77777777" w:rsidR="00732670" w:rsidRPr="00732670" w:rsidRDefault="00732670" w:rsidP="00BE6C91">
      <w:pPr>
        <w:pStyle w:val="Body"/>
        <w:rPr>
          <w:rFonts w:ascii="Arial" w:hAnsi="Arial" w:cs="Arial"/>
          <w:b/>
        </w:rPr>
      </w:pPr>
      <w:r w:rsidRPr="00732670">
        <w:rPr>
          <w:rFonts w:ascii="Arial" w:hAnsi="Arial" w:cs="Arial"/>
          <w:b/>
        </w:rPr>
        <w:lastRenderedPageBreak/>
        <w:t>3.3 Instructional Challenges in Blended Modality</w:t>
      </w:r>
    </w:p>
    <w:p w14:paraId="6F7DB7D6" w14:textId="77777777" w:rsidR="00BE6C91" w:rsidRDefault="00BE6C91" w:rsidP="00732670">
      <w:pPr>
        <w:pStyle w:val="Body"/>
        <w:rPr>
          <w:rFonts w:ascii="Arial" w:hAnsi="Arial" w:cs="Arial"/>
        </w:rPr>
      </w:pPr>
      <w:r w:rsidRPr="00BE6C91">
        <w:rPr>
          <w:rFonts w:ascii="Arial" w:hAnsi="Arial" w:cs="Arial"/>
        </w:rPr>
        <w:t>The blended learning approach offered learners flexibility to study at their own pace but also created new forms of disengagement. Participants described some modules as unclear or overly text-heavy, with few examples or illustrations to aid understanding. Those with limited digital literacy found it difficult to navigate online platforms, while others relied heavily on printed modules because of unstable internet. The lack of real-time teacher feedback often led to misconceptions, and learners reported feeling isolated from peers. According to Gibson (2008), such challenges are common in distance education, emphasizing the need for ongoing interaction and feedback to maintain learner engagement.</w:t>
      </w:r>
    </w:p>
    <w:p w14:paraId="450280CE" w14:textId="77777777" w:rsidR="00732670" w:rsidRPr="00732670" w:rsidRDefault="00732670" w:rsidP="00732670">
      <w:pPr>
        <w:pStyle w:val="Body"/>
        <w:rPr>
          <w:rFonts w:ascii="Arial" w:hAnsi="Arial" w:cs="Arial"/>
          <w:b/>
        </w:rPr>
      </w:pPr>
      <w:r w:rsidRPr="00732670">
        <w:rPr>
          <w:rFonts w:ascii="Arial" w:hAnsi="Arial" w:cs="Arial"/>
          <w:b/>
        </w:rPr>
        <w:t>3.4 Implications</w:t>
      </w:r>
    </w:p>
    <w:p w14:paraId="0C14469D" w14:textId="77777777" w:rsidR="00C30A0F" w:rsidRDefault="00BE6C91" w:rsidP="00732670">
      <w:pPr>
        <w:pStyle w:val="Body"/>
        <w:spacing w:after="0"/>
        <w:rPr>
          <w:rFonts w:ascii="Arial" w:hAnsi="Arial" w:cs="Arial"/>
        </w:rPr>
      </w:pPr>
      <w:r w:rsidRPr="00BE6C91">
        <w:rPr>
          <w:rFonts w:ascii="Arial" w:hAnsi="Arial" w:cs="Arial"/>
        </w:rPr>
        <w:t>The results suggest that ALS implementers must prioritize strategies that balance flexibility with guidance. Providing contextualized learning materials that integrate local culture, language, and examples can make Filipino lessons more relevant. Additionally, teacher training should emphasize how to design and deliver blended instruction that fosters engagement and comprehension. Establishing peer learning groups and incorporating gamified learning tools may further enhance motivation. Partnerships with local government units and NGOs could also help supply technological resources and ensure continuity of learning for disadvantaged learners.</w:t>
      </w:r>
    </w:p>
    <w:p w14:paraId="00E5BE78" w14:textId="77777777" w:rsidR="00E053D0" w:rsidRDefault="00E053D0" w:rsidP="00441B6F">
      <w:pPr>
        <w:pStyle w:val="Body"/>
        <w:spacing w:after="0"/>
        <w:rPr>
          <w:rFonts w:ascii="Arial" w:hAnsi="Arial" w:cs="Arial"/>
        </w:rPr>
      </w:pPr>
    </w:p>
    <w:p w14:paraId="08C8B55F" w14:textId="77777777" w:rsidR="00790ADA" w:rsidRPr="00FB3A86" w:rsidRDefault="00790ADA" w:rsidP="00441B6F">
      <w:pPr>
        <w:pStyle w:val="Body"/>
        <w:spacing w:after="0"/>
        <w:rPr>
          <w:rFonts w:ascii="Arial" w:hAnsi="Arial" w:cs="Arial"/>
        </w:rPr>
      </w:pPr>
    </w:p>
    <w:p w14:paraId="16E2C4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A0B513" w14:textId="77777777" w:rsidR="00790ADA" w:rsidRPr="00FB3A86" w:rsidRDefault="00790ADA" w:rsidP="00441B6F">
      <w:pPr>
        <w:pStyle w:val="ConcHead"/>
        <w:spacing w:after="0"/>
        <w:jc w:val="both"/>
        <w:rPr>
          <w:rFonts w:ascii="Arial" w:hAnsi="Arial" w:cs="Arial"/>
        </w:rPr>
      </w:pPr>
    </w:p>
    <w:p w14:paraId="744F51E9" w14:textId="77777777" w:rsidR="00BE6C91" w:rsidRPr="00BE6C91" w:rsidRDefault="00BE6C91" w:rsidP="00BE6C91">
      <w:pPr>
        <w:pStyle w:val="Body"/>
        <w:rPr>
          <w:rFonts w:ascii="Arial" w:hAnsi="Arial" w:cs="Arial"/>
        </w:rPr>
      </w:pPr>
      <w:r w:rsidRPr="00BE6C91">
        <w:rPr>
          <w:rFonts w:ascii="Arial" w:hAnsi="Arial" w:cs="Arial"/>
        </w:rPr>
        <w:t>This study concludes that ALS learners experience intertwined linguistic, technological, and time-related barriers in studying Filipino through blended learning. However, their persistence demonstrates remarkable resilience and motivation. The support of family, peers, and teachers plays a crucial role in sus</w:t>
      </w:r>
      <w:r>
        <w:rPr>
          <w:rFonts w:ascii="Arial" w:hAnsi="Arial" w:cs="Arial"/>
        </w:rPr>
        <w:t>taining their learning journey.</w:t>
      </w:r>
    </w:p>
    <w:p w14:paraId="22063C17" w14:textId="77777777" w:rsidR="00732670" w:rsidRDefault="00BE6C91" w:rsidP="00BE6C91">
      <w:pPr>
        <w:pStyle w:val="Body"/>
        <w:spacing w:after="0"/>
        <w:rPr>
          <w:rFonts w:ascii="Arial" w:hAnsi="Arial" w:cs="Arial"/>
        </w:rPr>
      </w:pPr>
      <w:r w:rsidRPr="00BE6C91">
        <w:rPr>
          <w:rFonts w:ascii="Arial" w:hAnsi="Arial" w:cs="Arial"/>
        </w:rPr>
        <w:t>To improve ALS outcomes, policy interventions must focus on developing simplified and culturally relevant materials, strengthening digital infrastructure in rural areas, and providing continuous teacher professional development. Most importantly, instructional approaches should be learner-centered, acknowledging the diverse needs and realities of ALS learners. Future research may build upon these findings by exploring the long-term impact of blended learning on literacy and language proficiency in non-formal education contexts.</w:t>
      </w:r>
    </w:p>
    <w:p w14:paraId="643BF188" w14:textId="77777777" w:rsidR="00BE6C91" w:rsidRPr="00FB3A86" w:rsidRDefault="00BE6C91" w:rsidP="00BE6C91">
      <w:pPr>
        <w:pStyle w:val="Body"/>
        <w:spacing w:after="0"/>
        <w:rPr>
          <w:rFonts w:ascii="Arial" w:hAnsi="Arial" w:cs="Arial"/>
        </w:rPr>
      </w:pPr>
    </w:p>
    <w:p w14:paraId="00A03793" w14:textId="77777777" w:rsidR="00315186" w:rsidRPr="00315186" w:rsidRDefault="00315186" w:rsidP="00441B6F"/>
    <w:p w14:paraId="77BE409D"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58C1AE6F" w14:textId="77777777" w:rsidR="005C784C" w:rsidRPr="002B685A" w:rsidRDefault="005C784C" w:rsidP="00441B6F">
      <w:pPr>
        <w:pStyle w:val="ReferHead"/>
        <w:spacing w:after="0"/>
        <w:jc w:val="both"/>
        <w:rPr>
          <w:rFonts w:ascii="Arial" w:hAnsi="Arial" w:cs="Arial"/>
          <w:bCs/>
        </w:rPr>
      </w:pPr>
    </w:p>
    <w:p w14:paraId="194DCBA4" w14:textId="77777777" w:rsidR="00860000" w:rsidRDefault="00732670" w:rsidP="00441B6F">
      <w:pPr>
        <w:pStyle w:val="ReferHead"/>
        <w:spacing w:after="0"/>
        <w:jc w:val="both"/>
        <w:rPr>
          <w:rFonts w:ascii="Arial" w:hAnsi="Arial" w:cs="Arial"/>
          <w:b w:val="0"/>
          <w:caps w:val="0"/>
          <w:sz w:val="20"/>
        </w:rPr>
      </w:pPr>
      <w:r w:rsidRPr="00732670">
        <w:rPr>
          <w:rFonts w:ascii="Arial" w:hAnsi="Arial" w:cs="Arial"/>
          <w:b w:val="0"/>
          <w:caps w:val="0"/>
          <w:sz w:val="20"/>
        </w:rPr>
        <w:t>All participants provided informed consent. The study was approved by the appropriate educational ethics committee.</w:t>
      </w:r>
    </w:p>
    <w:p w14:paraId="6126D9B6" w14:textId="77777777" w:rsidR="002B1B92" w:rsidRDefault="002B1B92" w:rsidP="00441B6F">
      <w:pPr>
        <w:pStyle w:val="ReferHead"/>
        <w:spacing w:after="0"/>
        <w:jc w:val="both"/>
        <w:rPr>
          <w:rFonts w:ascii="Arial" w:hAnsi="Arial" w:cs="Arial"/>
          <w:b w:val="0"/>
          <w:caps w:val="0"/>
          <w:sz w:val="20"/>
        </w:rPr>
      </w:pPr>
    </w:p>
    <w:p w14:paraId="6F39AD15" w14:textId="77777777" w:rsidR="002B1B92" w:rsidRDefault="002B1B92" w:rsidP="00441B6F">
      <w:pPr>
        <w:pStyle w:val="ReferHead"/>
        <w:spacing w:after="0"/>
        <w:jc w:val="both"/>
        <w:rPr>
          <w:rFonts w:ascii="Arial" w:hAnsi="Arial" w:cs="Arial"/>
          <w:b w:val="0"/>
          <w:caps w:val="0"/>
          <w:sz w:val="20"/>
        </w:rPr>
      </w:pPr>
    </w:p>
    <w:p w14:paraId="2F54F3AC" w14:textId="77777777" w:rsidR="002B1B92" w:rsidRPr="002B1B92" w:rsidRDefault="002B1B92" w:rsidP="002B1B92">
      <w:pPr>
        <w:spacing w:after="200" w:line="276" w:lineRule="auto"/>
        <w:jc w:val="both"/>
        <w:outlineLvl w:val="0"/>
        <w:rPr>
          <w:rFonts w:ascii="Arial" w:eastAsiaTheme="minorEastAsia" w:hAnsi="Arial" w:cs="Arial"/>
          <w:sz w:val="22"/>
          <w:szCs w:val="22"/>
          <w:lang w:val="en-GB" w:eastAsia="en-GB"/>
        </w:rPr>
      </w:pPr>
      <w:r w:rsidRPr="002B1B92">
        <w:rPr>
          <w:rFonts w:ascii="Arial" w:eastAsiaTheme="minorEastAsia" w:hAnsi="Arial" w:cs="Arial"/>
          <w:b/>
          <w:bCs/>
          <w:sz w:val="22"/>
          <w:szCs w:val="22"/>
          <w:lang w:val="en-GB" w:eastAsia="en-GB"/>
        </w:rPr>
        <w:t>COMPETING INTERESTS DISCLAIMER:</w:t>
      </w:r>
    </w:p>
    <w:p w14:paraId="6914E885" w14:textId="77777777" w:rsidR="002B1B92" w:rsidRPr="002B1B92" w:rsidRDefault="002B1B92" w:rsidP="002B1B92">
      <w:pPr>
        <w:spacing w:after="200" w:line="276" w:lineRule="auto"/>
        <w:rPr>
          <w:rFonts w:asciiTheme="minorHAnsi" w:eastAsiaTheme="minorEastAsia" w:hAnsiTheme="minorHAnsi" w:cstheme="minorBidi"/>
          <w:sz w:val="22"/>
          <w:szCs w:val="22"/>
          <w:lang w:val="en-GB" w:eastAsia="en-GB"/>
        </w:rPr>
      </w:pPr>
      <w:r w:rsidRPr="002B1B9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F6E5870" w14:textId="77777777" w:rsidR="002B1B92" w:rsidRDefault="002B1B92" w:rsidP="00441B6F">
      <w:pPr>
        <w:pStyle w:val="ReferHead"/>
        <w:spacing w:after="0"/>
        <w:jc w:val="both"/>
        <w:rPr>
          <w:rFonts w:ascii="Arial" w:hAnsi="Arial" w:cs="Arial"/>
          <w:b w:val="0"/>
          <w:caps w:val="0"/>
          <w:sz w:val="20"/>
        </w:rPr>
      </w:pPr>
    </w:p>
    <w:p w14:paraId="588A1AF5" w14:textId="77777777" w:rsidR="00732670" w:rsidRDefault="00732670" w:rsidP="00441B6F">
      <w:pPr>
        <w:pStyle w:val="ReferHead"/>
        <w:spacing w:after="0"/>
        <w:jc w:val="both"/>
        <w:rPr>
          <w:rFonts w:ascii="Arial" w:hAnsi="Arial" w:cs="Arial"/>
        </w:rPr>
      </w:pPr>
    </w:p>
    <w:p w14:paraId="453914A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9DB0B5D" w14:textId="77777777" w:rsidR="00790ADA" w:rsidRPr="00FB3A86" w:rsidRDefault="00790ADA" w:rsidP="00441B6F">
      <w:pPr>
        <w:pStyle w:val="ReferHead"/>
        <w:spacing w:after="0"/>
        <w:jc w:val="both"/>
        <w:rPr>
          <w:rFonts w:ascii="Arial" w:hAnsi="Arial" w:cs="Arial"/>
        </w:rPr>
      </w:pPr>
    </w:p>
    <w:p w14:paraId="234FB273" w14:textId="77777777" w:rsidR="00732670" w:rsidRDefault="00732670" w:rsidP="00732670">
      <w:pPr>
        <w:pStyle w:val="Body"/>
      </w:pPr>
      <w:r>
        <w:t>Braun, V., &amp; Clarke, V. (2012). Thematic analysis: A practical guide to research methods.</w:t>
      </w:r>
    </w:p>
    <w:p w14:paraId="437D9A14" w14:textId="77777777" w:rsidR="00732670" w:rsidRDefault="00732670" w:rsidP="00732670">
      <w:pPr>
        <w:pStyle w:val="Body"/>
      </w:pPr>
      <w:proofErr w:type="spellStart"/>
      <w:r>
        <w:t>Darolia</w:t>
      </w:r>
      <w:proofErr w:type="spellEnd"/>
      <w:r>
        <w:t>, R. (2014). Working and learning: The impact of work intensity on student outcomes. Economics of Education Review, 32(2), 385-428.</w:t>
      </w:r>
    </w:p>
    <w:p w14:paraId="448CC2DD" w14:textId="77777777" w:rsidR="00732670" w:rsidRDefault="00732670" w:rsidP="00732670">
      <w:pPr>
        <w:pStyle w:val="Body"/>
      </w:pPr>
      <w:proofErr w:type="spellStart"/>
      <w:r>
        <w:t>Etikan</w:t>
      </w:r>
      <w:proofErr w:type="spellEnd"/>
      <w:r>
        <w:t>, I., Musa, S. A., &amp; Alkassim, R. S. (2016). Comparison of convenience sampling and purposive sampling. American Journal of Theoretical and Applied Statistics, 5(1), 1–4.</w:t>
      </w:r>
    </w:p>
    <w:p w14:paraId="671C6AB4" w14:textId="77777777" w:rsidR="00732670" w:rsidRDefault="00732670" w:rsidP="00732670">
      <w:pPr>
        <w:pStyle w:val="Body"/>
      </w:pPr>
      <w:r>
        <w:t>Gibson, J. W. (2008). A comparison of student outcomes in traditional vs. online learning. Journal of College Teaching &amp; Learning, 5(8), 1–9.</w:t>
      </w:r>
    </w:p>
    <w:p w14:paraId="4836741A" w14:textId="77777777" w:rsidR="00732670" w:rsidRDefault="00732670" w:rsidP="00732670">
      <w:pPr>
        <w:pStyle w:val="Body"/>
      </w:pPr>
      <w:r>
        <w:t xml:space="preserve">Michie, S., van Stralen, M. M., &amp; West, R. (2011). The COM-B model of </w:t>
      </w:r>
      <w:proofErr w:type="spellStart"/>
      <w:r>
        <w:t>behaviour</w:t>
      </w:r>
      <w:proofErr w:type="spellEnd"/>
      <w:r>
        <w:t xml:space="preserve"> change. Implementation Science, 6(42).</w:t>
      </w:r>
    </w:p>
    <w:p w14:paraId="6C10D4D2" w14:textId="77777777" w:rsidR="00441B6F" w:rsidRDefault="00732670" w:rsidP="00732670">
      <w:pPr>
        <w:pStyle w:val="Body"/>
        <w:spacing w:after="0"/>
        <w:jc w:val="left"/>
      </w:pPr>
      <w:r>
        <w:t>UNICEF. (2020). Home learning modalities and the role of technology in education. UNICEF Regional Office for South Asia.</w:t>
      </w:r>
    </w:p>
    <w:p w14:paraId="5CC17226" w14:textId="77777777" w:rsidR="00441B6F" w:rsidRDefault="00441B6F" w:rsidP="00441B6F">
      <w:pPr>
        <w:pStyle w:val="Body"/>
        <w:spacing w:after="0"/>
        <w:jc w:val="left"/>
        <w:rPr>
          <w:rFonts w:ascii="Arial" w:hAnsi="Arial" w:cs="Arial"/>
        </w:rPr>
      </w:pPr>
    </w:p>
    <w:p w14:paraId="0445115F" w14:textId="77777777" w:rsidR="00BE6C91" w:rsidRPr="00BE6C91" w:rsidRDefault="00BE6C91" w:rsidP="00BE6C91">
      <w:pPr>
        <w:pStyle w:val="Body"/>
        <w:rPr>
          <w:rFonts w:ascii="Arial" w:hAnsi="Arial" w:cs="Arial"/>
        </w:rPr>
      </w:pPr>
      <w:r w:rsidRPr="00BE6C91">
        <w:rPr>
          <w:rFonts w:ascii="Arial" w:hAnsi="Arial" w:cs="Arial"/>
        </w:rPr>
        <w:t>Adling, N. M. J. (2022). Flexible blended learning experiences of Filipino students in an English as a Second Language (ESL) learning context. Language Literacy: Journal of Linguistics, Literature, and Language Teaching, 6(1), 28–38. https://www.jurnal.uisu.ac.id/index.php/lan</w:t>
      </w:r>
      <w:r>
        <w:rPr>
          <w:rFonts w:ascii="Arial" w:hAnsi="Arial" w:cs="Arial"/>
        </w:rPr>
        <w:t>guageliteracy/article/view/5104</w:t>
      </w:r>
    </w:p>
    <w:p w14:paraId="68B81CC3" w14:textId="77777777" w:rsidR="00BE6C91" w:rsidRPr="00BE6C91" w:rsidRDefault="00BE6C91" w:rsidP="00BE6C91">
      <w:pPr>
        <w:pStyle w:val="Body"/>
        <w:rPr>
          <w:rFonts w:ascii="Arial" w:hAnsi="Arial" w:cs="Arial"/>
        </w:rPr>
      </w:pPr>
      <w:proofErr w:type="spellStart"/>
      <w:r w:rsidRPr="00BE6C91">
        <w:rPr>
          <w:rFonts w:ascii="Arial" w:hAnsi="Arial" w:cs="Arial"/>
        </w:rPr>
        <w:t>Bobila</w:t>
      </w:r>
      <w:proofErr w:type="spellEnd"/>
      <w:r w:rsidRPr="00BE6C91">
        <w:rPr>
          <w:rFonts w:ascii="Arial" w:hAnsi="Arial" w:cs="Arial"/>
        </w:rPr>
        <w:t xml:space="preserve">, S. J., &amp; </w:t>
      </w:r>
      <w:proofErr w:type="spellStart"/>
      <w:r w:rsidRPr="00BE6C91">
        <w:rPr>
          <w:rFonts w:ascii="Arial" w:hAnsi="Arial" w:cs="Arial"/>
        </w:rPr>
        <w:t>Daing</w:t>
      </w:r>
      <w:proofErr w:type="spellEnd"/>
      <w:r w:rsidRPr="00BE6C91">
        <w:rPr>
          <w:rFonts w:ascii="Arial" w:hAnsi="Arial" w:cs="Arial"/>
        </w:rPr>
        <w:t>, C. A. (2022). Blended learning: Strategies and challenges in teaching 21st century literature of the Philippines and the world to Grade 12 students. English Language Teaching and Linguistics Studies, 4(3). https://www.scholink.org/ojs/in</w:t>
      </w:r>
      <w:r>
        <w:rPr>
          <w:rFonts w:ascii="Arial" w:hAnsi="Arial" w:cs="Arial"/>
        </w:rPr>
        <w:t>dex.php/eltls/article/view/5034</w:t>
      </w:r>
    </w:p>
    <w:p w14:paraId="7A3447F7" w14:textId="77777777" w:rsidR="00BE6C91" w:rsidRPr="00BE6C91" w:rsidRDefault="00BE6C91" w:rsidP="00BE6C91">
      <w:pPr>
        <w:pStyle w:val="Body"/>
        <w:rPr>
          <w:rFonts w:ascii="Arial" w:hAnsi="Arial" w:cs="Arial"/>
        </w:rPr>
      </w:pPr>
      <w:r w:rsidRPr="00BE6C91">
        <w:rPr>
          <w:rFonts w:ascii="Arial" w:hAnsi="Arial" w:cs="Arial"/>
        </w:rPr>
        <w:t>Magno, J. M., Indal, R. S., Chavez, J. V., Garil, B. A., &amp; Delos Reyes, R. B. (2024). Alternative teaching strategies in learning Filipino language among dominant English speakers. Forum for Linguistic Studies, 6(4), 404–419. https://journals.bilpubgroup.com/index.php/fls/article/view/6742</w:t>
      </w:r>
    </w:p>
    <w:p w14:paraId="42B9DAD9" w14:textId="77777777" w:rsidR="00BE6C91" w:rsidRPr="00BE6C91" w:rsidRDefault="00BE6C91" w:rsidP="00BE6C91">
      <w:pPr>
        <w:pStyle w:val="Body"/>
        <w:rPr>
          <w:rFonts w:ascii="Arial" w:hAnsi="Arial" w:cs="Arial"/>
        </w:rPr>
      </w:pPr>
      <w:r w:rsidRPr="00BE6C91">
        <w:rPr>
          <w:rFonts w:ascii="Arial" w:hAnsi="Arial" w:cs="Arial"/>
        </w:rPr>
        <w:t>Mahinay, R. B. D., &amp; Manla, E. C. (2025). Qualitative insights on the implementation of the Alternative Learning System in the Philippines. European Journal of Education and Pedagogy, 6(1), Article 896. https://www.ej-edu.org/index.php/ejedu/</w:t>
      </w:r>
      <w:r>
        <w:rPr>
          <w:rFonts w:ascii="Arial" w:hAnsi="Arial" w:cs="Arial"/>
        </w:rPr>
        <w:t>article/view/896</w:t>
      </w:r>
    </w:p>
    <w:p w14:paraId="6F0D8415" w14:textId="77777777" w:rsidR="00BE6C91" w:rsidRPr="00BE6C91" w:rsidRDefault="00BE6C91" w:rsidP="00BE6C91">
      <w:pPr>
        <w:pStyle w:val="Body"/>
        <w:rPr>
          <w:rFonts w:ascii="Arial" w:hAnsi="Arial" w:cs="Arial"/>
        </w:rPr>
      </w:pPr>
      <w:r w:rsidRPr="00BE6C91">
        <w:rPr>
          <w:rFonts w:ascii="Arial" w:hAnsi="Arial" w:cs="Arial"/>
        </w:rPr>
        <w:t xml:space="preserve">Sagun, D. J. B., </w:t>
      </w:r>
      <w:proofErr w:type="spellStart"/>
      <w:r w:rsidRPr="00BE6C91">
        <w:rPr>
          <w:rFonts w:ascii="Arial" w:hAnsi="Arial" w:cs="Arial"/>
        </w:rPr>
        <w:t>Pawilen</w:t>
      </w:r>
      <w:proofErr w:type="spellEnd"/>
      <w:r w:rsidRPr="00BE6C91">
        <w:rPr>
          <w:rFonts w:ascii="Arial" w:hAnsi="Arial" w:cs="Arial"/>
        </w:rPr>
        <w:t xml:space="preserve">, G. T., </w:t>
      </w:r>
      <w:proofErr w:type="spellStart"/>
      <w:r w:rsidRPr="00BE6C91">
        <w:rPr>
          <w:rFonts w:ascii="Arial" w:hAnsi="Arial" w:cs="Arial"/>
        </w:rPr>
        <w:t>Paccarangan</w:t>
      </w:r>
      <w:proofErr w:type="spellEnd"/>
      <w:r w:rsidRPr="00BE6C91">
        <w:rPr>
          <w:rFonts w:ascii="Arial" w:hAnsi="Arial" w:cs="Arial"/>
        </w:rPr>
        <w:t xml:space="preserve">, S. J. C., Albor, R. G. Z., </w:t>
      </w:r>
      <w:proofErr w:type="spellStart"/>
      <w:r w:rsidRPr="00BE6C91">
        <w:rPr>
          <w:rFonts w:ascii="Arial" w:hAnsi="Arial" w:cs="Arial"/>
        </w:rPr>
        <w:t>Patindol</w:t>
      </w:r>
      <w:proofErr w:type="spellEnd"/>
      <w:r w:rsidRPr="00BE6C91">
        <w:rPr>
          <w:rFonts w:ascii="Arial" w:hAnsi="Arial" w:cs="Arial"/>
        </w:rPr>
        <w:t>, H. L., Almeda, P. P., &amp; Pelegrina, D. V. (2024). Assessing the complex operation of blended learning for English instruction in a public high school in the Philippines. IJORER: International Journal of Recent Educational Research, 5(3), 639–655. https://journal.ia-education.com/in</w:t>
      </w:r>
      <w:r>
        <w:rPr>
          <w:rFonts w:ascii="Arial" w:hAnsi="Arial" w:cs="Arial"/>
        </w:rPr>
        <w:t>dex.php/ijorer/article/view/596</w:t>
      </w:r>
    </w:p>
    <w:p w14:paraId="7490FDE1" w14:textId="77777777" w:rsidR="00BE6C91" w:rsidRPr="00BE6C91" w:rsidRDefault="00BE6C91" w:rsidP="00BE6C91">
      <w:pPr>
        <w:pStyle w:val="Body"/>
        <w:rPr>
          <w:rFonts w:ascii="Arial" w:hAnsi="Arial" w:cs="Arial"/>
        </w:rPr>
      </w:pPr>
      <w:proofErr w:type="spellStart"/>
      <w:r w:rsidRPr="00BE6C91">
        <w:rPr>
          <w:rFonts w:ascii="Arial" w:hAnsi="Arial" w:cs="Arial"/>
        </w:rPr>
        <w:t>Talite</w:t>
      </w:r>
      <w:proofErr w:type="spellEnd"/>
      <w:r w:rsidRPr="00BE6C91">
        <w:rPr>
          <w:rFonts w:ascii="Arial" w:hAnsi="Arial" w:cs="Arial"/>
        </w:rPr>
        <w:t xml:space="preserve">, E. P., &amp; </w:t>
      </w:r>
      <w:proofErr w:type="spellStart"/>
      <w:r w:rsidRPr="00BE6C91">
        <w:rPr>
          <w:rFonts w:ascii="Arial" w:hAnsi="Arial" w:cs="Arial"/>
        </w:rPr>
        <w:t>Napil</w:t>
      </w:r>
      <w:proofErr w:type="spellEnd"/>
      <w:r w:rsidRPr="00BE6C91">
        <w:rPr>
          <w:rFonts w:ascii="Arial" w:hAnsi="Arial" w:cs="Arial"/>
        </w:rPr>
        <w:t>, M. C. (2024). Blended teaching approach in the eyes of Filipino teachers: A phenomenological study. Asian Journal of Education and Social Studies, 50(6), 232–241. https://journalajess.com/in</w:t>
      </w:r>
      <w:r>
        <w:rPr>
          <w:rFonts w:ascii="Arial" w:hAnsi="Arial" w:cs="Arial"/>
        </w:rPr>
        <w:t>dex.php/AJESS/article/view/1409</w:t>
      </w:r>
    </w:p>
    <w:p w14:paraId="7968A270" w14:textId="77777777" w:rsidR="00BE6C91" w:rsidRDefault="00BE6C91" w:rsidP="00BE6C91">
      <w:pPr>
        <w:pStyle w:val="Body"/>
        <w:spacing w:after="0"/>
        <w:jc w:val="left"/>
        <w:rPr>
          <w:rFonts w:ascii="Arial" w:hAnsi="Arial" w:cs="Arial"/>
        </w:rPr>
      </w:pPr>
      <w:r w:rsidRPr="00BE6C91">
        <w:rPr>
          <w:rFonts w:ascii="Arial" w:hAnsi="Arial" w:cs="Arial"/>
        </w:rPr>
        <w:t>Villanueva, J. A. R., Redmond, P., Galligan, L., &amp; Eacersall, D. (2023). Investigating blended learning interactions in Philippine schools through the community of inquiry framework. Asia Pacific Education Review. https://pmc.ncbi.nlm.nih.gov/articles/PMC9932417</w:t>
      </w:r>
    </w:p>
    <w:p w14:paraId="3E2C8CB6" w14:textId="77777777" w:rsidR="00B01FCD" w:rsidRPr="00FB3A86" w:rsidRDefault="00B01FCD" w:rsidP="00441B6F">
      <w:pPr>
        <w:pStyle w:val="Reference"/>
        <w:numPr>
          <w:ilvl w:val="0"/>
          <w:numId w:val="0"/>
        </w:numPr>
        <w:spacing w:line="240" w:lineRule="auto"/>
        <w:rPr>
          <w:rFonts w:ascii="Arial" w:hAnsi="Arial" w:cs="Arial"/>
        </w:rPr>
      </w:pPr>
    </w:p>
    <w:p w14:paraId="4E1EFCDB" w14:textId="77777777" w:rsidR="00790ADA" w:rsidRPr="00FB3A86" w:rsidRDefault="00790ADA" w:rsidP="00441B6F">
      <w:pPr>
        <w:pStyle w:val="Body"/>
        <w:spacing w:after="0"/>
        <w:rPr>
          <w:rFonts w:ascii="Arial" w:hAnsi="Arial" w:cs="Arial"/>
        </w:rPr>
      </w:pPr>
    </w:p>
    <w:p w14:paraId="15D73620" w14:textId="5011D6C5" w:rsidR="004D4277" w:rsidRPr="00FB3A86" w:rsidRDefault="004D4277" w:rsidP="00441B6F">
      <w:pPr>
        <w:pStyle w:val="Appendix"/>
        <w:spacing w:after="0"/>
        <w:jc w:val="both"/>
        <w:rPr>
          <w:rFonts w:ascii="Arial" w:hAnsi="Arial" w:cs="Arial"/>
          <w:b w:val="0"/>
        </w:rPr>
        <w:sectPr w:rsidR="004D4277" w:rsidRPr="00FB3A86" w:rsidSect="007950C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C4437EC" w14:textId="77777777" w:rsidR="00B01FCD" w:rsidRPr="00FB3A86" w:rsidRDefault="00B01FCD" w:rsidP="00441B6F">
      <w:pPr>
        <w:pStyle w:val="Appendix"/>
        <w:spacing w:after="0"/>
        <w:jc w:val="both"/>
        <w:rPr>
          <w:rFonts w:ascii="Arial" w:hAnsi="Arial" w:cs="Arial"/>
          <w:b w:val="0"/>
        </w:rPr>
      </w:pPr>
    </w:p>
    <w:sectPr w:rsidR="00B01FCD" w:rsidRPr="00FB3A86" w:rsidSect="007950C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AE18D" w14:textId="77777777" w:rsidR="00DB185C" w:rsidRDefault="00DB185C" w:rsidP="00C37E61">
      <w:r>
        <w:separator/>
      </w:r>
    </w:p>
  </w:endnote>
  <w:endnote w:type="continuationSeparator" w:id="0">
    <w:p w14:paraId="0306F497" w14:textId="77777777" w:rsidR="00DB185C" w:rsidRDefault="00DB185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6558F" w14:textId="77777777" w:rsidR="007950CB" w:rsidRDefault="0079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4BDFB" w14:textId="77777777" w:rsidR="007950CB" w:rsidRDefault="00795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1F0F" w14:textId="138A257C" w:rsidR="00754C9A" w:rsidRPr="00791FB8" w:rsidRDefault="00754C9A" w:rsidP="00791FB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C8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E218C" w14:textId="77777777" w:rsidR="00DB185C" w:rsidRDefault="00DB185C" w:rsidP="00C37E61">
      <w:r>
        <w:separator/>
      </w:r>
    </w:p>
  </w:footnote>
  <w:footnote w:type="continuationSeparator" w:id="0">
    <w:p w14:paraId="04D9186E" w14:textId="77777777" w:rsidR="00DB185C" w:rsidRDefault="00DB185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DD8D" w14:textId="26E557B6" w:rsidR="007950CB" w:rsidRDefault="007950CB">
    <w:pPr>
      <w:pStyle w:val="Header"/>
    </w:pPr>
    <w:r>
      <w:rPr>
        <w:noProof/>
      </w:rPr>
      <w:pict w14:anchorId="2651B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3C4C" w14:textId="292AA7BA" w:rsidR="007950CB" w:rsidRDefault="007950CB">
    <w:pPr>
      <w:pStyle w:val="Header"/>
    </w:pPr>
    <w:r>
      <w:rPr>
        <w:noProof/>
      </w:rPr>
      <w:pict w14:anchorId="46CC5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E300" w14:textId="7BF949BF" w:rsidR="00296529" w:rsidRPr="00296529" w:rsidRDefault="007950CB" w:rsidP="00296529">
    <w:pPr>
      <w:ind w:left="2160"/>
      <w:jc w:val="center"/>
      <w:rPr>
        <w:rFonts w:ascii="Times New Roman" w:eastAsia="Calibri" w:hAnsi="Times New Roman"/>
        <w:i/>
        <w:sz w:val="18"/>
        <w:szCs w:val="22"/>
      </w:rPr>
    </w:pPr>
    <w:r>
      <w:rPr>
        <w:noProof/>
      </w:rPr>
      <w:pict w14:anchorId="34AD6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6546A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D542B5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107F8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FA2C3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7F650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5424C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3087" w14:textId="45888F30" w:rsidR="007950CB" w:rsidRDefault="007950CB">
    <w:pPr>
      <w:pStyle w:val="Header"/>
    </w:pPr>
    <w:r>
      <w:rPr>
        <w:noProof/>
      </w:rPr>
      <w:pict w14:anchorId="0920A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2093C" w14:textId="42CB8DA6" w:rsidR="007950CB" w:rsidRDefault="007950CB">
    <w:pPr>
      <w:pStyle w:val="Header"/>
    </w:pPr>
    <w:r>
      <w:rPr>
        <w:noProof/>
      </w:rPr>
      <w:pict w14:anchorId="3E50F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2F77" w14:textId="1B48C021" w:rsidR="007950CB" w:rsidRDefault="007950CB">
    <w:pPr>
      <w:pStyle w:val="Header"/>
    </w:pPr>
    <w:r>
      <w:rPr>
        <w:noProof/>
      </w:rPr>
      <w:pict w14:anchorId="4D7BA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309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BE6"/>
    <w:rsid w:val="00030174"/>
    <w:rsid w:val="0004579C"/>
    <w:rsid w:val="00051745"/>
    <w:rsid w:val="000A47FA"/>
    <w:rsid w:val="000A65D3"/>
    <w:rsid w:val="000B1E33"/>
    <w:rsid w:val="000D689F"/>
    <w:rsid w:val="000E1524"/>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14CF"/>
    <w:rsid w:val="002B1B92"/>
    <w:rsid w:val="002B27FB"/>
    <w:rsid w:val="002B685A"/>
    <w:rsid w:val="002C57D2"/>
    <w:rsid w:val="002E0D56"/>
    <w:rsid w:val="00315186"/>
    <w:rsid w:val="0033343E"/>
    <w:rsid w:val="00343670"/>
    <w:rsid w:val="003512C2"/>
    <w:rsid w:val="003631FF"/>
    <w:rsid w:val="00371FB6"/>
    <w:rsid w:val="003763C1"/>
    <w:rsid w:val="00376BBE"/>
    <w:rsid w:val="0039224F"/>
    <w:rsid w:val="003A43A4"/>
    <w:rsid w:val="003A7E18"/>
    <w:rsid w:val="003C4C86"/>
    <w:rsid w:val="003C6258"/>
    <w:rsid w:val="003E2904"/>
    <w:rsid w:val="00401927"/>
    <w:rsid w:val="0041027F"/>
    <w:rsid w:val="00412475"/>
    <w:rsid w:val="00421E1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2670"/>
    <w:rsid w:val="007369E6"/>
    <w:rsid w:val="00746E59"/>
    <w:rsid w:val="00754C9A"/>
    <w:rsid w:val="0075599A"/>
    <w:rsid w:val="00761D52"/>
    <w:rsid w:val="0077749E"/>
    <w:rsid w:val="00790ADA"/>
    <w:rsid w:val="00791FB8"/>
    <w:rsid w:val="007950CB"/>
    <w:rsid w:val="007D2288"/>
    <w:rsid w:val="007E088F"/>
    <w:rsid w:val="007F7B32"/>
    <w:rsid w:val="00804BC2"/>
    <w:rsid w:val="00810335"/>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13D3"/>
    <w:rsid w:val="00A94063"/>
    <w:rsid w:val="00AA6219"/>
    <w:rsid w:val="00AA74E0"/>
    <w:rsid w:val="00AB703F"/>
    <w:rsid w:val="00AC6BB8"/>
    <w:rsid w:val="00AC7B88"/>
    <w:rsid w:val="00AE008F"/>
    <w:rsid w:val="00B01FCD"/>
    <w:rsid w:val="00B1776C"/>
    <w:rsid w:val="00B52583"/>
    <w:rsid w:val="00B52896"/>
    <w:rsid w:val="00B95236"/>
    <w:rsid w:val="00B96BD9"/>
    <w:rsid w:val="00BA1B01"/>
    <w:rsid w:val="00BA2641"/>
    <w:rsid w:val="00BB37AA"/>
    <w:rsid w:val="00BC53A0"/>
    <w:rsid w:val="00BE62AD"/>
    <w:rsid w:val="00BE6C91"/>
    <w:rsid w:val="00BF121F"/>
    <w:rsid w:val="00BF1F80"/>
    <w:rsid w:val="00C166EF"/>
    <w:rsid w:val="00C17EB0"/>
    <w:rsid w:val="00C27C94"/>
    <w:rsid w:val="00C27F5F"/>
    <w:rsid w:val="00C30A0F"/>
    <w:rsid w:val="00C30B47"/>
    <w:rsid w:val="00C37E61"/>
    <w:rsid w:val="00C70F1B"/>
    <w:rsid w:val="00C71A47"/>
    <w:rsid w:val="00C7464C"/>
    <w:rsid w:val="00C85588"/>
    <w:rsid w:val="00C85B3E"/>
    <w:rsid w:val="00CA6583"/>
    <w:rsid w:val="00CB44F7"/>
    <w:rsid w:val="00CD6755"/>
    <w:rsid w:val="00CD6856"/>
    <w:rsid w:val="00CE0089"/>
    <w:rsid w:val="00CE793C"/>
    <w:rsid w:val="00CF193C"/>
    <w:rsid w:val="00D173F1"/>
    <w:rsid w:val="00D74CB0"/>
    <w:rsid w:val="00D8295D"/>
    <w:rsid w:val="00DB185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8B8"/>
    <w:rsid w:val="00ED3E92"/>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0217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051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A5869-AC96-487E-87BE-92B44149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TotalTime>
  <Pages>7</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18309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2025-05-23T02:22:00Z</dcterms:created>
  <dcterms:modified xsi:type="dcterms:W3CDTF">2025-10-07T12:16:00Z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fabd7d85-6bd5-4232-be99-d92b08bc3912</vt:lpwstr>
  </property>
</Properties>
</file>