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FBFD0" w14:textId="0043550E" w:rsidR="005563E2" w:rsidRPr="005563E2" w:rsidRDefault="005563E2" w:rsidP="005563E2">
      <w:pPr>
        <w:pStyle w:val="Author"/>
        <w:spacing w:line="240" w:lineRule="auto"/>
        <w:jc w:val="left"/>
        <w:rPr>
          <w:rFonts w:ascii="Arial" w:hAnsi="Arial"/>
          <w:color w:val="000000" w:themeColor="text1"/>
          <w:sz w:val="36"/>
          <w:szCs w:val="36"/>
        </w:rPr>
      </w:pPr>
      <w:r w:rsidRPr="005563E2">
        <w:rPr>
          <w:rFonts w:ascii="Arial" w:hAnsi="Arial"/>
          <w:color w:val="000000" w:themeColor="text1"/>
          <w:sz w:val="36"/>
          <w:szCs w:val="36"/>
          <w:u w:val="single"/>
        </w:rPr>
        <w:t xml:space="preserve">Original Research Article            </w:t>
      </w:r>
      <w:r w:rsidRPr="005563E2">
        <w:rPr>
          <w:rFonts w:ascii="Arial" w:hAnsi="Arial"/>
          <w:color w:val="000000" w:themeColor="text1"/>
          <w:sz w:val="36"/>
          <w:szCs w:val="36"/>
        </w:rPr>
        <w:t xml:space="preserve">          </w:t>
      </w:r>
    </w:p>
    <w:p w14:paraId="795C445A" w14:textId="77777777" w:rsidR="005563E2" w:rsidRDefault="005563E2" w:rsidP="00D61417">
      <w:pPr>
        <w:pStyle w:val="Author"/>
        <w:spacing w:line="240" w:lineRule="auto"/>
        <w:rPr>
          <w:rFonts w:ascii="Arial" w:hAnsi="Arial"/>
          <w:color w:val="000000" w:themeColor="text1"/>
          <w:sz w:val="36"/>
          <w:szCs w:val="36"/>
        </w:rPr>
      </w:pPr>
    </w:p>
    <w:p w14:paraId="6B740A47" w14:textId="0CB0E560" w:rsidR="00FC01E9" w:rsidRDefault="002F6F73" w:rsidP="00D61417">
      <w:pPr>
        <w:pStyle w:val="Author"/>
        <w:spacing w:line="240" w:lineRule="auto"/>
        <w:rPr>
          <w:rFonts w:ascii="Arial" w:hAnsi="Arial"/>
          <w:color w:val="000000" w:themeColor="text1"/>
          <w:sz w:val="36"/>
          <w:szCs w:val="36"/>
        </w:rPr>
      </w:pPr>
      <w:r w:rsidRPr="002F6F73">
        <w:rPr>
          <w:rFonts w:ascii="Arial" w:hAnsi="Arial"/>
          <w:color w:val="000000" w:themeColor="text1"/>
          <w:sz w:val="36"/>
          <w:szCs w:val="36"/>
        </w:rPr>
        <w:t>Critical Thinking Skills and Mathematics Performance of Teacher Education Students</w:t>
      </w:r>
    </w:p>
    <w:p w14:paraId="53E06C6E" w14:textId="77777777" w:rsidR="00A258C3" w:rsidRPr="00790ADA" w:rsidRDefault="00A258C3" w:rsidP="00441B6F">
      <w:pPr>
        <w:pStyle w:val="Author"/>
        <w:spacing w:line="240" w:lineRule="auto"/>
        <w:jc w:val="both"/>
        <w:rPr>
          <w:rFonts w:ascii="Arial" w:hAnsi="Arial" w:cs="Arial"/>
          <w:sz w:val="36"/>
        </w:rPr>
      </w:pPr>
    </w:p>
    <w:p w14:paraId="5F264DF9" w14:textId="77777777" w:rsidR="005563E2" w:rsidRDefault="005563E2" w:rsidP="00441B6F">
      <w:pPr>
        <w:pStyle w:val="Affiliation"/>
        <w:spacing w:after="0" w:line="240" w:lineRule="auto"/>
        <w:jc w:val="both"/>
        <w:rPr>
          <w:rFonts w:ascii="Arial" w:hAnsi="Arial" w:cs="Arial"/>
        </w:rPr>
      </w:pPr>
    </w:p>
    <w:p w14:paraId="3E58C768" w14:textId="77777777" w:rsidR="002C57D2" w:rsidRPr="00FB3A86" w:rsidRDefault="002C57D2"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E6511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5551C4B7" w:rsidR="00B01FCD" w:rsidRDefault="00B01FCD" w:rsidP="00441B6F">
      <w:pPr>
        <w:pStyle w:val="AbstHead"/>
        <w:spacing w:after="0"/>
        <w:jc w:val="both"/>
        <w:rPr>
          <w:rFonts w:ascii="Arial" w:hAnsi="Arial" w:cs="Arial"/>
        </w:rPr>
      </w:pPr>
      <w:r w:rsidRPr="00FB3A86">
        <w:rPr>
          <w:rFonts w:ascii="Arial" w:hAnsi="Arial" w:cs="Arial"/>
        </w:rPr>
        <w:t>ABSTRACT</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2F6F73">
        <w:tc>
          <w:tcPr>
            <w:tcW w:w="8365" w:type="dxa"/>
            <w:shd w:val="clear" w:color="auto" w:fill="F2F2F2"/>
          </w:tcPr>
          <w:p w14:paraId="4C08D8E1" w14:textId="1ACC2D38" w:rsidR="00505F06" w:rsidRPr="00BA1B01" w:rsidRDefault="002F6F73" w:rsidP="002F6F73">
            <w:pPr>
              <w:pStyle w:val="Body"/>
              <w:spacing w:after="0"/>
              <w:rPr>
                <w:rFonts w:ascii="Arial" w:eastAsia="Calibri" w:hAnsi="Arial" w:cs="Arial"/>
                <w:szCs w:val="22"/>
              </w:rPr>
            </w:pPr>
            <w:r w:rsidRPr="002F6F73">
              <w:rPr>
                <w:rFonts w:ascii="Arial" w:hAnsi="Arial"/>
                <w:color w:val="000000" w:themeColor="text1"/>
              </w:rPr>
              <w:t>This study examined the link between critical thinking skills and mathematics performance among students in a teacher education program using a descriptive</w:t>
            </w:r>
            <w:r w:rsidRPr="002F6F73">
              <w:rPr>
                <w:rFonts w:ascii="Cambria Math" w:hAnsi="Cambria Math" w:cs="Cambria Math"/>
                <w:color w:val="000000" w:themeColor="text1"/>
              </w:rPr>
              <w:t>‑</w:t>
            </w:r>
            <w:r w:rsidRPr="002F6F73">
              <w:rPr>
                <w:rFonts w:ascii="Arial" w:hAnsi="Arial"/>
                <w:color w:val="000000" w:themeColor="text1"/>
              </w:rPr>
              <w:t>correlational design. A total of 106 respondents participated through a structured survey. Results showed that most students had average to high levels of critical thinking, while only a few scored low. In terms of mathematics, many students performed at a good level, with some attaining superior performance. Correlation analysis confirmed a significant relationship between critical thinking and mathematics performance. Regression analysis further indicated that critical thinking skills significantly influence mathematics performance. These findings point to the importance of strengthening critical thinking as a pathway to better mathematics achievement.</w:t>
            </w:r>
          </w:p>
        </w:tc>
      </w:tr>
    </w:tbl>
    <w:p w14:paraId="45765607" w14:textId="77777777" w:rsidR="00636EB2" w:rsidRDefault="00636EB2" w:rsidP="00441B6F">
      <w:pPr>
        <w:pStyle w:val="Body"/>
        <w:spacing w:after="0"/>
        <w:rPr>
          <w:rFonts w:ascii="Arial" w:hAnsi="Arial" w:cs="Arial"/>
          <w:i/>
        </w:rPr>
      </w:pPr>
    </w:p>
    <w:p w14:paraId="67CF14F2" w14:textId="4D22FC9F" w:rsidR="00A24E7E" w:rsidRDefault="00A24E7E" w:rsidP="00D36B5B">
      <w:pPr>
        <w:pStyle w:val="Body"/>
        <w:spacing w:after="0"/>
        <w:ind w:left="1080" w:hanging="1080"/>
        <w:rPr>
          <w:rFonts w:ascii="Arial" w:hAnsi="Arial" w:cs="Arial"/>
          <w:i/>
        </w:rPr>
      </w:pPr>
      <w:r>
        <w:rPr>
          <w:rFonts w:ascii="Arial" w:hAnsi="Arial" w:cs="Arial"/>
          <w:i/>
        </w:rPr>
        <w:t xml:space="preserve">Keywords: </w:t>
      </w:r>
      <w:r w:rsidR="00D36B5B" w:rsidRPr="00D36B5B">
        <w:rPr>
          <w:rFonts w:ascii="Arial" w:hAnsi="Arial"/>
          <w:i/>
          <w:color w:val="000000" w:themeColor="text1"/>
        </w:rPr>
        <w:t>Critical thinking, mathematics performance, Benjamin Bloom’s educational objectives</w:t>
      </w:r>
    </w:p>
    <w:p w14:paraId="0E636FEB" w14:textId="77777777" w:rsidR="00790ADA" w:rsidRDefault="00790ADA" w:rsidP="00441B6F">
      <w:pPr>
        <w:pStyle w:val="Body"/>
        <w:spacing w:after="0"/>
        <w:rPr>
          <w:rFonts w:ascii="Arial" w:hAnsi="Arial" w:cs="Arial"/>
          <w:i/>
        </w:rPr>
      </w:pPr>
    </w:p>
    <w:p w14:paraId="10D49600" w14:textId="77777777" w:rsidR="00505F06" w:rsidRPr="00A24E7E" w:rsidRDefault="00505F06" w:rsidP="00441B6F">
      <w:pPr>
        <w:pStyle w:val="Body"/>
        <w:spacing w:after="0"/>
        <w:rPr>
          <w:rFonts w:ascii="Arial" w:hAnsi="Arial" w:cs="Arial"/>
          <w:i/>
        </w:rPr>
      </w:pPr>
    </w:p>
    <w:p w14:paraId="468B415C" w14:textId="3839809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BC1865">
        <w:rPr>
          <w:rFonts w:ascii="Arial" w:hAnsi="Arial" w:cs="Arial"/>
        </w:rPr>
        <w:t xml:space="preserve"> </w:t>
      </w:r>
    </w:p>
    <w:p w14:paraId="67574B93" w14:textId="77777777" w:rsidR="00790ADA" w:rsidRPr="00FB3A86" w:rsidRDefault="00790ADA" w:rsidP="00441B6F">
      <w:pPr>
        <w:pStyle w:val="AbstHead"/>
        <w:spacing w:after="0"/>
        <w:jc w:val="both"/>
        <w:rPr>
          <w:rFonts w:ascii="Arial" w:hAnsi="Arial" w:cs="Arial"/>
        </w:rPr>
      </w:pPr>
    </w:p>
    <w:p w14:paraId="6A5971FD" w14:textId="7194AC30" w:rsidR="007C2FDC" w:rsidRPr="007C2FDC" w:rsidRDefault="007C2FDC" w:rsidP="007C2FDC">
      <w:pPr>
        <w:pStyle w:val="Body"/>
        <w:ind w:firstLine="720"/>
        <w:rPr>
          <w:rFonts w:ascii="Arial" w:hAnsi="Arial" w:cs="Arial"/>
          <w:color w:val="000000" w:themeColor="text1"/>
        </w:rPr>
      </w:pPr>
      <w:r w:rsidRPr="007C2FDC">
        <w:rPr>
          <w:rFonts w:ascii="Arial" w:hAnsi="Arial" w:cs="Arial"/>
          <w:color w:val="000000" w:themeColor="text1"/>
        </w:rPr>
        <w:t>Mathematics plays a vital role in students’ academic success and everyday life because it builds logical reasoning, problem</w:t>
      </w:r>
      <w:r w:rsidRPr="007C2FDC">
        <w:rPr>
          <w:rFonts w:ascii="Cambria Math" w:hAnsi="Cambria Math" w:cs="Cambria Math"/>
          <w:color w:val="000000" w:themeColor="text1"/>
        </w:rPr>
        <w:t>‑</w:t>
      </w:r>
      <w:r w:rsidRPr="007C2FDC">
        <w:rPr>
          <w:rFonts w:ascii="Arial" w:hAnsi="Arial" w:cs="Arial"/>
          <w:color w:val="000000" w:themeColor="text1"/>
        </w:rPr>
        <w:t>solving skills, and analytical thinking (Creswell et al., 2020; Miranda, 2022). Yet, it is often considered one of the most difficult subjects, especially for future teachers who must later guide learners in this field (Putri et al., 2025). Learning mathematics is not only about producing correct answers—it also cultivates critical thinking. Such thinking involves reasoning clearly, solving problems effectively, and making sound decisions (Er, 2024). For teacher education students, both strong mathematics performance and well</w:t>
      </w:r>
      <w:r w:rsidRPr="007C2FDC">
        <w:rPr>
          <w:rFonts w:ascii="Cambria Math" w:hAnsi="Cambria Math" w:cs="Cambria Math"/>
          <w:color w:val="000000" w:themeColor="text1"/>
        </w:rPr>
        <w:t>‑</w:t>
      </w:r>
      <w:r w:rsidRPr="007C2FDC">
        <w:rPr>
          <w:rFonts w:ascii="Arial" w:hAnsi="Arial" w:cs="Arial"/>
          <w:color w:val="000000" w:themeColor="text1"/>
        </w:rPr>
        <w:t xml:space="preserve">developed thinking skills are essential, as they will influence their future teaching. Understanding the connection between mathematics performance and critical thinking is therefore important for improving educational outcomes (Ball et al., 2008; </w:t>
      </w:r>
      <w:proofErr w:type="spellStart"/>
      <w:r w:rsidRPr="007C2FDC">
        <w:rPr>
          <w:rFonts w:ascii="Arial" w:hAnsi="Arial" w:cs="Arial"/>
          <w:color w:val="000000" w:themeColor="text1"/>
        </w:rPr>
        <w:t>Adlawon</w:t>
      </w:r>
      <w:proofErr w:type="spellEnd"/>
      <w:r w:rsidRPr="007C2FDC">
        <w:rPr>
          <w:rFonts w:ascii="Arial" w:hAnsi="Arial" w:cs="Arial"/>
          <w:color w:val="000000" w:themeColor="text1"/>
        </w:rPr>
        <w:t xml:space="preserve"> et al., 2022).</w:t>
      </w:r>
    </w:p>
    <w:p w14:paraId="0476E356" w14:textId="77777777" w:rsidR="007C2FDC" w:rsidRPr="007C2FDC" w:rsidRDefault="007C2FDC" w:rsidP="007C2FDC">
      <w:pPr>
        <w:pStyle w:val="Body"/>
        <w:ind w:firstLine="720"/>
        <w:rPr>
          <w:rFonts w:ascii="Arial" w:hAnsi="Arial" w:cs="Arial"/>
          <w:color w:val="000000" w:themeColor="text1"/>
        </w:rPr>
      </w:pPr>
      <w:r w:rsidRPr="007C2FDC">
        <w:rPr>
          <w:rFonts w:ascii="Arial" w:hAnsi="Arial" w:cs="Arial"/>
          <w:color w:val="000000" w:themeColor="text1"/>
        </w:rPr>
        <w:t>Critical thinking has been described as purposeful and self</w:t>
      </w:r>
      <w:r w:rsidRPr="007C2FDC">
        <w:rPr>
          <w:rFonts w:ascii="Cambria Math" w:hAnsi="Cambria Math" w:cs="Cambria Math"/>
          <w:color w:val="000000" w:themeColor="text1"/>
        </w:rPr>
        <w:t>‑</w:t>
      </w:r>
      <w:r w:rsidRPr="007C2FDC">
        <w:rPr>
          <w:rFonts w:ascii="Arial" w:hAnsi="Arial" w:cs="Arial"/>
          <w:color w:val="000000" w:themeColor="text1"/>
        </w:rPr>
        <w:t>regulated judgment that includes interpretation, analysis, evaluation, and inference (</w:t>
      </w:r>
      <w:proofErr w:type="spellStart"/>
      <w:r w:rsidRPr="007C2FDC">
        <w:rPr>
          <w:rFonts w:ascii="Arial" w:hAnsi="Arial" w:cs="Arial"/>
          <w:color w:val="000000" w:themeColor="text1"/>
        </w:rPr>
        <w:t>Facione</w:t>
      </w:r>
      <w:proofErr w:type="spellEnd"/>
      <w:r w:rsidRPr="007C2FDC">
        <w:rPr>
          <w:rFonts w:ascii="Arial" w:hAnsi="Arial" w:cs="Arial"/>
          <w:color w:val="000000" w:themeColor="text1"/>
        </w:rPr>
        <w:t>, 1990). It combines cognitive skills with the willingness to apply them. Research shows that students with stronger critical thinking skills often perform better in challenging subjects such as mathematics (Ennis, 2011; Agtarap &amp; Miranda, 2022). This suggests that critical thinking can be a key factor in understanding and applying mathematical concepts.</w:t>
      </w:r>
    </w:p>
    <w:p w14:paraId="5FFC0759" w14:textId="77777777" w:rsidR="007C2FDC" w:rsidRPr="007C2FDC" w:rsidRDefault="007C2FDC" w:rsidP="007C2FDC">
      <w:pPr>
        <w:pStyle w:val="Body"/>
        <w:rPr>
          <w:rFonts w:ascii="Arial" w:hAnsi="Arial" w:cs="Arial"/>
          <w:color w:val="000000" w:themeColor="text1"/>
        </w:rPr>
      </w:pPr>
    </w:p>
    <w:p w14:paraId="62B2C882" w14:textId="77777777" w:rsidR="007C2FDC" w:rsidRPr="007C2FDC" w:rsidRDefault="007C2FDC" w:rsidP="007C2FDC">
      <w:pPr>
        <w:pStyle w:val="Body"/>
        <w:rPr>
          <w:rFonts w:ascii="Arial" w:hAnsi="Arial" w:cs="Arial"/>
          <w:color w:val="000000" w:themeColor="text1"/>
        </w:rPr>
      </w:pPr>
      <w:r w:rsidRPr="007C2FDC">
        <w:rPr>
          <w:rFonts w:ascii="Arial" w:hAnsi="Arial" w:cs="Arial"/>
          <w:color w:val="000000" w:themeColor="text1"/>
        </w:rPr>
        <w:lastRenderedPageBreak/>
        <w:t>In higher education, critical thinking is frequently linked to better academic results across different fields. Writing</w:t>
      </w:r>
      <w:r w:rsidRPr="007C2FDC">
        <w:rPr>
          <w:rFonts w:ascii="Cambria Math" w:hAnsi="Cambria Math" w:cs="Cambria Math"/>
          <w:color w:val="000000" w:themeColor="text1"/>
        </w:rPr>
        <w:t>‑</w:t>
      </w:r>
      <w:r w:rsidRPr="007C2FDC">
        <w:rPr>
          <w:rFonts w:ascii="Arial" w:hAnsi="Arial" w:cs="Arial"/>
          <w:color w:val="000000" w:themeColor="text1"/>
        </w:rPr>
        <w:t>based interventions, for example, have been shown to improve critical thinking by encouraging students to analyze and infer more effectively (Quitadamo et al., 2007). This indicates that teaching methods designed to foster critical thinking can positively affect students’ overall learning. A recent review by Wang and Abdullah (2024) also noted the role of mathematics in developing critical thinking, since mathematical tasks require reasoning, interpretation, and the validation of arguments.</w:t>
      </w:r>
    </w:p>
    <w:p w14:paraId="77229EF5" w14:textId="77777777" w:rsidR="007C2FDC" w:rsidRPr="007C2FDC" w:rsidRDefault="007C2FDC" w:rsidP="007C2FDC">
      <w:pPr>
        <w:pStyle w:val="Body"/>
        <w:ind w:firstLine="720"/>
        <w:rPr>
          <w:rFonts w:ascii="Arial" w:hAnsi="Arial" w:cs="Arial"/>
          <w:color w:val="000000" w:themeColor="text1"/>
        </w:rPr>
      </w:pPr>
      <w:r w:rsidRPr="007C2FDC">
        <w:rPr>
          <w:rFonts w:ascii="Arial" w:hAnsi="Arial" w:cs="Arial"/>
          <w:color w:val="000000" w:themeColor="text1"/>
        </w:rPr>
        <w:t>Several studies emphasize the value of embedding critical thinking in mathematics education to prepare students for complex, real</w:t>
      </w:r>
      <w:r w:rsidRPr="007C2FDC">
        <w:rPr>
          <w:rFonts w:ascii="Cambria Math" w:hAnsi="Cambria Math" w:cs="Cambria Math"/>
          <w:color w:val="000000" w:themeColor="text1"/>
        </w:rPr>
        <w:t>‑</w:t>
      </w:r>
      <w:r w:rsidRPr="007C2FDC">
        <w:rPr>
          <w:rFonts w:ascii="Arial" w:hAnsi="Arial" w:cs="Arial"/>
          <w:color w:val="000000" w:themeColor="text1"/>
        </w:rPr>
        <w:t>world problem</w:t>
      </w:r>
      <w:r w:rsidRPr="007C2FDC">
        <w:rPr>
          <w:rFonts w:ascii="Cambria Math" w:hAnsi="Cambria Math" w:cs="Cambria Math"/>
          <w:color w:val="000000" w:themeColor="text1"/>
        </w:rPr>
        <w:t>‑</w:t>
      </w:r>
      <w:r w:rsidRPr="007C2FDC">
        <w:rPr>
          <w:rFonts w:ascii="Arial" w:hAnsi="Arial" w:cs="Arial"/>
          <w:color w:val="000000" w:themeColor="text1"/>
        </w:rPr>
        <w:t>solving. Suryawan et al. (2023), for instance, reported that problem</w:t>
      </w:r>
      <w:r w:rsidRPr="007C2FDC">
        <w:rPr>
          <w:rFonts w:ascii="Cambria Math" w:hAnsi="Cambria Math" w:cs="Cambria Math"/>
          <w:color w:val="000000" w:themeColor="text1"/>
        </w:rPr>
        <w:t>‑</w:t>
      </w:r>
      <w:r w:rsidRPr="007C2FDC">
        <w:rPr>
          <w:rFonts w:ascii="Arial" w:hAnsi="Arial" w:cs="Arial"/>
          <w:color w:val="000000" w:themeColor="text1"/>
        </w:rPr>
        <w:t>based learning (PBL) can significantly enhance students’ critical thinking, especially when combined with digital learning tools that promote engagement and reasoning. Similarly, Sachdeva and Eggen (2021) found that when learners reflect critically on their own beliefs about mathematics, they gain a deeper perspective on their learning process. This not only strengthens mathematical understanding but also helps students make informed educational choices (Sabanal et al., 2023).</w:t>
      </w:r>
    </w:p>
    <w:p w14:paraId="54E6713F" w14:textId="5C252AD0" w:rsidR="007C2FDC" w:rsidRPr="007C2FDC" w:rsidRDefault="001D68C8" w:rsidP="007C2FDC">
      <w:pPr>
        <w:pStyle w:val="Body"/>
        <w:ind w:firstLine="720"/>
        <w:rPr>
          <w:rFonts w:ascii="Arial" w:hAnsi="Arial" w:cs="Arial"/>
          <w:color w:val="000000" w:themeColor="text1"/>
        </w:rPr>
      </w:pPr>
      <w:r w:rsidRPr="001D68C8">
        <w:rPr>
          <w:rFonts w:ascii="Arial" w:hAnsi="Arial" w:cs="Arial"/>
          <w:color w:val="000000" w:themeColor="text1"/>
        </w:rPr>
        <w:t>Despite this growing recognition, few studies have directly examined how critical thinking influences mathematics performance among college students. Much of the existing research has treated the two separately. This creates a pressing need to establish clearer evidence, particularly in the context of teacher education programs in the Philippines where graduates are expected to demonstrate both content mastery and higher</w:t>
      </w:r>
      <w:r w:rsidRPr="001D68C8">
        <w:rPr>
          <w:rFonts w:ascii="Cambria Math" w:hAnsi="Cambria Math" w:cs="Cambria Math"/>
          <w:color w:val="000000" w:themeColor="text1"/>
        </w:rPr>
        <w:t>‑</w:t>
      </w:r>
      <w:r w:rsidRPr="001D68C8">
        <w:rPr>
          <w:rFonts w:ascii="Arial" w:hAnsi="Arial" w:cs="Arial"/>
          <w:color w:val="000000" w:themeColor="text1"/>
        </w:rPr>
        <w:t xml:space="preserve">order thinking. Previous research has noted the lack of integration between cognitive skills like critical thinking and subject performance in local settings (Miranda, 2022; </w:t>
      </w:r>
      <w:proofErr w:type="spellStart"/>
      <w:r w:rsidRPr="001D68C8">
        <w:rPr>
          <w:rFonts w:ascii="Arial" w:hAnsi="Arial" w:cs="Arial"/>
          <w:color w:val="000000" w:themeColor="text1"/>
        </w:rPr>
        <w:t>Adlawon</w:t>
      </w:r>
      <w:proofErr w:type="spellEnd"/>
      <w:r w:rsidRPr="001D68C8">
        <w:rPr>
          <w:rFonts w:ascii="Arial" w:hAnsi="Arial" w:cs="Arial"/>
          <w:color w:val="000000" w:themeColor="text1"/>
        </w:rPr>
        <w:t xml:space="preserve"> et al., 2022). International studies also highlight that teacher preparation programs often overlook the explicit connection between critical thinking and disciplinary performance (Wang &amp; Abdullah, 2024; Suryawan et al., 2023). Preparing future teachers who can adapt to 21st</w:t>
      </w:r>
      <w:r w:rsidRPr="001D68C8">
        <w:rPr>
          <w:rFonts w:ascii="Cambria Math" w:hAnsi="Cambria Math" w:cs="Cambria Math"/>
          <w:color w:val="000000" w:themeColor="text1"/>
        </w:rPr>
        <w:t>‑</w:t>
      </w:r>
      <w:r w:rsidRPr="001D68C8">
        <w:rPr>
          <w:rFonts w:ascii="Arial" w:hAnsi="Arial" w:cs="Arial"/>
          <w:color w:val="000000" w:themeColor="text1"/>
        </w:rPr>
        <w:t>century demands is essential, and the study is also important in light of ongoing educational reforms that prioritize outcomes</w:t>
      </w:r>
      <w:r w:rsidRPr="001D68C8">
        <w:rPr>
          <w:rFonts w:ascii="Cambria Math" w:hAnsi="Cambria Math" w:cs="Cambria Math"/>
          <w:color w:val="000000" w:themeColor="text1"/>
        </w:rPr>
        <w:t>‑</w:t>
      </w:r>
      <w:r w:rsidRPr="001D68C8">
        <w:rPr>
          <w:rFonts w:ascii="Arial" w:hAnsi="Arial" w:cs="Arial"/>
          <w:color w:val="000000" w:themeColor="text1"/>
        </w:rPr>
        <w:t>based education and the development of life</w:t>
      </w:r>
      <w:r w:rsidRPr="001D68C8">
        <w:rPr>
          <w:rFonts w:ascii="Cambria Math" w:hAnsi="Cambria Math" w:cs="Cambria Math"/>
          <w:color w:val="000000" w:themeColor="text1"/>
        </w:rPr>
        <w:t>‑</w:t>
      </w:r>
      <w:r w:rsidRPr="001D68C8">
        <w:rPr>
          <w:rFonts w:ascii="Arial" w:hAnsi="Arial" w:cs="Arial"/>
          <w:color w:val="000000" w:themeColor="text1"/>
        </w:rPr>
        <w:t>long learning skills (Ball et al., 2008; Quitadamo et al., 2007). This study addresses that gap by investigating their relationship, using the Critical Thinking Questionnaire (</w:t>
      </w:r>
      <w:proofErr w:type="spellStart"/>
      <w:r w:rsidRPr="001D68C8">
        <w:rPr>
          <w:rFonts w:ascii="Arial" w:hAnsi="Arial" w:cs="Arial"/>
          <w:color w:val="000000" w:themeColor="text1"/>
        </w:rPr>
        <w:t>CThQ</w:t>
      </w:r>
      <w:proofErr w:type="spellEnd"/>
      <w:r w:rsidRPr="001D68C8">
        <w:rPr>
          <w:rFonts w:ascii="Arial" w:hAnsi="Arial" w:cs="Arial"/>
          <w:color w:val="000000" w:themeColor="text1"/>
        </w:rPr>
        <w:t>) as a reliable measure.</w:t>
      </w:r>
    </w:p>
    <w:p w14:paraId="78581E1A" w14:textId="5B376521" w:rsidR="00EC6799" w:rsidRDefault="007C2FDC" w:rsidP="007C2FDC">
      <w:pPr>
        <w:pStyle w:val="Body"/>
        <w:spacing w:after="0"/>
        <w:ind w:firstLine="720"/>
        <w:rPr>
          <w:rFonts w:ascii="Arial" w:hAnsi="Arial" w:cs="Arial"/>
        </w:rPr>
      </w:pPr>
      <w:r w:rsidRPr="007C2FDC">
        <w:rPr>
          <w:rFonts w:ascii="Arial" w:hAnsi="Arial" w:cs="Arial"/>
          <w:color w:val="000000" w:themeColor="text1"/>
        </w:rPr>
        <w:t>By exploring this link, the study aims to provide insights that can guide educators in creating strategies to strengthen students’ critical thinking, thereby improving their mathematics performance. Better understanding of these connections may lead to more effective teaching practices and support systems for students who face difficulties in mathematics (Mariano et al., 2022).</w:t>
      </w:r>
    </w:p>
    <w:p w14:paraId="7429C31D" w14:textId="77777777" w:rsidR="00790ADA" w:rsidRPr="00FB3A86" w:rsidRDefault="00790ADA" w:rsidP="00441B6F">
      <w:pPr>
        <w:pStyle w:val="Body"/>
        <w:spacing w:after="0"/>
        <w:rPr>
          <w:rFonts w:ascii="Arial" w:hAnsi="Arial" w:cs="Arial"/>
        </w:rPr>
      </w:pPr>
    </w:p>
    <w:p w14:paraId="012F1DE9" w14:textId="3B80FD8B" w:rsidR="007F7B32" w:rsidRDefault="00902823" w:rsidP="00441B6F">
      <w:pPr>
        <w:pStyle w:val="AbstHead"/>
        <w:spacing w:after="0"/>
        <w:jc w:val="both"/>
        <w:rPr>
          <w:rFonts w:ascii="Arial" w:hAnsi="Arial" w:cs="Arial"/>
        </w:rPr>
      </w:pPr>
      <w:r>
        <w:rPr>
          <w:rFonts w:ascii="Arial" w:hAnsi="Arial" w:cs="Arial"/>
        </w:rPr>
        <w:t>2. material and method</w:t>
      </w:r>
      <w:r w:rsidR="00EC6799">
        <w:rPr>
          <w:rFonts w:ascii="Arial" w:hAnsi="Arial" w:cs="Arial"/>
        </w:rPr>
        <w:t xml:space="preserve">s </w:t>
      </w:r>
    </w:p>
    <w:p w14:paraId="079B1631" w14:textId="77777777" w:rsidR="00790ADA" w:rsidRPr="00EC6799" w:rsidRDefault="00790ADA" w:rsidP="00EC6799">
      <w:pPr>
        <w:pStyle w:val="AbstHead"/>
        <w:spacing w:after="0"/>
        <w:jc w:val="both"/>
        <w:rPr>
          <w:rFonts w:ascii="Arial" w:hAnsi="Arial" w:cs="Arial"/>
          <w:sz w:val="20"/>
        </w:rPr>
      </w:pPr>
    </w:p>
    <w:p w14:paraId="11BC4B5D" w14:textId="3F4C6283" w:rsidR="00EC6799" w:rsidRPr="00EC6799" w:rsidRDefault="00EC6799" w:rsidP="00EC6799">
      <w:pPr>
        <w:pStyle w:val="NoSpacing"/>
        <w:ind w:left="709" w:hanging="709"/>
        <w:jc w:val="both"/>
        <w:rPr>
          <w:rFonts w:ascii="Arial" w:eastAsia="Lucida Sans Unicode" w:hAnsi="Arial" w:cs="Arial"/>
          <w:b/>
          <w:color w:val="000000" w:themeColor="text1"/>
          <w:kern w:val="1"/>
          <w:szCs w:val="20"/>
          <w:lang w:eastAsia="ar-SA"/>
        </w:rPr>
      </w:pPr>
      <w:r>
        <w:rPr>
          <w:rFonts w:ascii="Arial" w:hAnsi="Arial" w:cs="Arial"/>
          <w:b/>
          <w:color w:val="000000" w:themeColor="text1"/>
          <w:szCs w:val="20"/>
        </w:rPr>
        <w:t xml:space="preserve">2.1 </w:t>
      </w:r>
      <w:r w:rsidRPr="00EC6799">
        <w:rPr>
          <w:rFonts w:ascii="Arial" w:hAnsi="Arial" w:cs="Arial"/>
          <w:b/>
          <w:color w:val="000000" w:themeColor="text1"/>
          <w:szCs w:val="20"/>
        </w:rPr>
        <w:t>Research Design</w:t>
      </w:r>
    </w:p>
    <w:p w14:paraId="22F605CF" w14:textId="0021CA3C" w:rsidR="00C630B2" w:rsidRDefault="001D68C8" w:rsidP="00C630B2">
      <w:pPr>
        <w:pStyle w:val="NoSpacing"/>
        <w:ind w:right="-342" w:firstLine="709"/>
        <w:jc w:val="both"/>
        <w:rPr>
          <w:rFonts w:ascii="Arial" w:hAnsi="Arial" w:cs="Arial"/>
          <w:color w:val="000000" w:themeColor="text1"/>
          <w:sz w:val="20"/>
          <w:szCs w:val="20"/>
        </w:rPr>
      </w:pPr>
      <w:r w:rsidRPr="001D68C8">
        <w:rPr>
          <w:rFonts w:ascii="Arial" w:hAnsi="Arial" w:cs="Arial"/>
          <w:color w:val="000000" w:themeColor="text1"/>
          <w:sz w:val="20"/>
          <w:szCs w:val="20"/>
        </w:rPr>
        <w:t>This study used a descriptive</w:t>
      </w:r>
      <w:r w:rsidRPr="001D68C8">
        <w:rPr>
          <w:rFonts w:ascii="Cambria Math" w:hAnsi="Cambria Math" w:cs="Cambria Math"/>
          <w:color w:val="000000" w:themeColor="text1"/>
          <w:sz w:val="20"/>
          <w:szCs w:val="20"/>
        </w:rPr>
        <w:t>‑</w:t>
      </w:r>
      <w:r w:rsidRPr="001D68C8">
        <w:rPr>
          <w:rFonts w:ascii="Arial" w:hAnsi="Arial" w:cs="Arial"/>
          <w:color w:val="000000" w:themeColor="text1"/>
          <w:sz w:val="20"/>
          <w:szCs w:val="20"/>
        </w:rPr>
        <w:t>correlational design. This approach describes variables and examines how they are related in a natural setting. It is common in quantitative research that involves larger groups of participants (Creswell, 2014). The purpose here was to identify the level of students’ critical thinking and to examine its relationship with their mathematics performance during the first semester of School Year 2024–2025. Data were gathered through a survey using a questionnaire on critical thinking.</w:t>
      </w:r>
      <w:r w:rsidR="00EC6799" w:rsidRPr="00EC6799">
        <w:rPr>
          <w:rFonts w:ascii="Arial" w:hAnsi="Arial" w:cs="Arial"/>
          <w:color w:val="000000" w:themeColor="text1"/>
          <w:sz w:val="20"/>
          <w:szCs w:val="20"/>
        </w:rPr>
        <w:t xml:space="preserve"> </w:t>
      </w:r>
    </w:p>
    <w:p w14:paraId="52395545" w14:textId="77777777" w:rsidR="00C630B2" w:rsidRDefault="00C630B2" w:rsidP="00C630B2">
      <w:pPr>
        <w:pStyle w:val="NoSpacing"/>
        <w:jc w:val="both"/>
        <w:rPr>
          <w:rFonts w:ascii="Arial" w:hAnsi="Arial" w:cs="Arial"/>
          <w:color w:val="000000" w:themeColor="text1"/>
          <w:sz w:val="20"/>
          <w:szCs w:val="20"/>
        </w:rPr>
      </w:pPr>
    </w:p>
    <w:p w14:paraId="6732DFF4" w14:textId="53498D1F" w:rsidR="00EC6799" w:rsidRPr="00EC6799" w:rsidRDefault="00EC6799" w:rsidP="00C630B2">
      <w:pPr>
        <w:pStyle w:val="NoSpacing"/>
        <w:jc w:val="both"/>
        <w:rPr>
          <w:rFonts w:ascii="Arial" w:hAnsi="Arial" w:cs="Arial"/>
          <w:b/>
          <w:color w:val="000000" w:themeColor="text1"/>
          <w:szCs w:val="20"/>
        </w:rPr>
      </w:pPr>
      <w:r>
        <w:rPr>
          <w:rFonts w:ascii="Arial" w:hAnsi="Arial" w:cs="Arial"/>
          <w:b/>
          <w:color w:val="000000" w:themeColor="text1"/>
          <w:szCs w:val="20"/>
        </w:rPr>
        <w:t xml:space="preserve">2.2 </w:t>
      </w:r>
      <w:r w:rsidRPr="00EC6799">
        <w:rPr>
          <w:rFonts w:ascii="Arial" w:hAnsi="Arial" w:cs="Arial"/>
          <w:b/>
          <w:color w:val="000000" w:themeColor="text1"/>
          <w:szCs w:val="20"/>
        </w:rPr>
        <w:t>Research Instrument</w:t>
      </w:r>
    </w:p>
    <w:p w14:paraId="6C2FFECD" w14:textId="77777777" w:rsidR="001D68C8" w:rsidRPr="001D68C8" w:rsidRDefault="001D68C8" w:rsidP="001D68C8">
      <w:pPr>
        <w:ind w:right="-360" w:firstLine="720"/>
        <w:jc w:val="both"/>
        <w:rPr>
          <w:rFonts w:ascii="Arial" w:hAnsi="Arial" w:cs="Arial"/>
          <w:color w:val="000000" w:themeColor="text1"/>
        </w:rPr>
      </w:pPr>
      <w:r w:rsidRPr="001D68C8">
        <w:rPr>
          <w:rFonts w:ascii="Arial" w:hAnsi="Arial" w:cs="Arial"/>
          <w:color w:val="000000" w:themeColor="text1"/>
        </w:rPr>
        <w:t>The instrument used was the Critical Thinking Questionnaire (</w:t>
      </w:r>
      <w:proofErr w:type="spellStart"/>
      <w:r w:rsidRPr="001D68C8">
        <w:rPr>
          <w:rFonts w:ascii="Arial" w:hAnsi="Arial" w:cs="Arial"/>
          <w:color w:val="000000" w:themeColor="text1"/>
        </w:rPr>
        <w:t>CThQ</w:t>
      </w:r>
      <w:proofErr w:type="spellEnd"/>
      <w:r w:rsidRPr="001D68C8">
        <w:rPr>
          <w:rFonts w:ascii="Arial" w:hAnsi="Arial" w:cs="Arial"/>
          <w:color w:val="000000" w:themeColor="text1"/>
        </w:rPr>
        <w:t xml:space="preserve">), a tool developed by </w:t>
      </w:r>
      <w:proofErr w:type="spellStart"/>
      <w:r w:rsidRPr="001D68C8">
        <w:rPr>
          <w:rFonts w:ascii="Arial" w:hAnsi="Arial" w:cs="Arial"/>
          <w:color w:val="000000" w:themeColor="text1"/>
        </w:rPr>
        <w:t>Kobylarek</w:t>
      </w:r>
      <w:proofErr w:type="spellEnd"/>
      <w:r w:rsidRPr="001D68C8">
        <w:rPr>
          <w:rFonts w:ascii="Arial" w:hAnsi="Arial" w:cs="Arial"/>
          <w:color w:val="000000" w:themeColor="text1"/>
        </w:rPr>
        <w:t xml:space="preserve"> et al. (2022). It was designed to assess critical thinking in both adolescents and adults. Its development drew on Bloom’s educational objectives and included expert input. The tool has 25 items measuring remembering, understanding, applying, analyzing, evaluating, and creating. It </w:t>
      </w:r>
      <w:r w:rsidRPr="001D68C8">
        <w:rPr>
          <w:rFonts w:ascii="Arial" w:hAnsi="Arial" w:cs="Arial"/>
          <w:color w:val="000000" w:themeColor="text1"/>
        </w:rPr>
        <w:lastRenderedPageBreak/>
        <w:t xml:space="preserve">has strong internal consistency, with a composite reliability of 0.877. </w:t>
      </w:r>
      <w:proofErr w:type="spellStart"/>
      <w:r w:rsidRPr="001D68C8">
        <w:rPr>
          <w:rFonts w:ascii="Arial" w:hAnsi="Arial" w:cs="Arial"/>
          <w:color w:val="000000" w:themeColor="text1"/>
        </w:rPr>
        <w:t>Skorková</w:t>
      </w:r>
      <w:proofErr w:type="spellEnd"/>
      <w:r w:rsidRPr="001D68C8">
        <w:rPr>
          <w:rFonts w:ascii="Arial" w:hAnsi="Arial" w:cs="Arial"/>
          <w:color w:val="000000" w:themeColor="text1"/>
        </w:rPr>
        <w:t xml:space="preserve"> and </w:t>
      </w:r>
      <w:proofErr w:type="spellStart"/>
      <w:r w:rsidRPr="001D68C8">
        <w:rPr>
          <w:rFonts w:ascii="Arial" w:hAnsi="Arial" w:cs="Arial"/>
          <w:color w:val="000000" w:themeColor="text1"/>
        </w:rPr>
        <w:t>Gažová</w:t>
      </w:r>
      <w:r w:rsidRPr="001D68C8">
        <w:rPr>
          <w:rFonts w:ascii="Cambria Math" w:hAnsi="Cambria Math" w:cs="Cambria Math"/>
          <w:color w:val="000000" w:themeColor="text1"/>
        </w:rPr>
        <w:t>‑</w:t>
      </w:r>
      <w:r w:rsidRPr="001D68C8">
        <w:rPr>
          <w:rFonts w:ascii="Arial" w:hAnsi="Arial" w:cs="Arial"/>
          <w:color w:val="000000" w:themeColor="text1"/>
        </w:rPr>
        <w:t>Adamková</w:t>
      </w:r>
      <w:proofErr w:type="spellEnd"/>
      <w:r w:rsidRPr="001D68C8">
        <w:rPr>
          <w:rFonts w:ascii="Arial" w:hAnsi="Arial" w:cs="Arial"/>
          <w:color w:val="000000" w:themeColor="text1"/>
        </w:rPr>
        <w:t xml:space="preserve"> (2024) also reported its effectiveness in evaluating critical thinking among university students in different contexts.</w:t>
      </w:r>
    </w:p>
    <w:p w14:paraId="25C688AE" w14:textId="58BB2E1C" w:rsidR="00EC6799" w:rsidRPr="00EC6799" w:rsidRDefault="001D68C8" w:rsidP="001D68C8">
      <w:pPr>
        <w:ind w:right="-360" w:firstLine="720"/>
        <w:jc w:val="both"/>
        <w:rPr>
          <w:rFonts w:ascii="Arial" w:hAnsi="Arial" w:cs="Arial"/>
          <w:b/>
          <w:color w:val="000000" w:themeColor="text1"/>
        </w:rPr>
      </w:pPr>
      <w:r w:rsidRPr="001D68C8">
        <w:rPr>
          <w:rFonts w:ascii="Arial" w:hAnsi="Arial" w:cs="Arial"/>
          <w:color w:val="000000" w:themeColor="text1"/>
        </w:rPr>
        <w:t>Students’ mathematics performance was measured using their final grades in the course Mathematics in the Modern World, obtained from the subject instructors.</w:t>
      </w:r>
    </w:p>
    <w:p w14:paraId="4C764A69" w14:textId="77777777" w:rsidR="00EC6799" w:rsidRPr="00EC6799" w:rsidRDefault="00EC6799" w:rsidP="00EC6799">
      <w:pPr>
        <w:rPr>
          <w:rFonts w:ascii="Arial" w:hAnsi="Arial" w:cs="Arial"/>
          <w:b/>
          <w:i/>
          <w:color w:val="000000" w:themeColor="text1"/>
        </w:rPr>
      </w:pPr>
    </w:p>
    <w:p w14:paraId="711177C2" w14:textId="5EA745D6" w:rsidR="00EC6799" w:rsidRPr="00EC6799" w:rsidRDefault="00EC6799" w:rsidP="00EC6799">
      <w:pPr>
        <w:rPr>
          <w:rFonts w:ascii="Arial" w:hAnsi="Arial" w:cs="Arial"/>
          <w:b/>
          <w:color w:val="000000" w:themeColor="text1"/>
          <w:sz w:val="22"/>
        </w:rPr>
      </w:pPr>
      <w:r>
        <w:rPr>
          <w:rFonts w:ascii="Arial" w:hAnsi="Arial" w:cs="Arial"/>
          <w:b/>
          <w:color w:val="000000" w:themeColor="text1"/>
          <w:sz w:val="22"/>
        </w:rPr>
        <w:t xml:space="preserve">2.3 </w:t>
      </w:r>
      <w:r w:rsidRPr="00EC6799">
        <w:rPr>
          <w:rFonts w:ascii="Arial" w:hAnsi="Arial" w:cs="Arial"/>
          <w:b/>
          <w:color w:val="000000" w:themeColor="text1"/>
          <w:sz w:val="22"/>
        </w:rPr>
        <w:t>Respondents of the Study</w:t>
      </w:r>
    </w:p>
    <w:p w14:paraId="28519023" w14:textId="63CF6581" w:rsidR="00EC6799" w:rsidRPr="00EC6799" w:rsidRDefault="00320EA8" w:rsidP="00EC6799">
      <w:pPr>
        <w:pStyle w:val="NoSpacing"/>
        <w:shd w:val="clear" w:color="auto" w:fill="FFFFFF"/>
        <w:ind w:right="-360" w:firstLine="720"/>
        <w:jc w:val="both"/>
        <w:rPr>
          <w:rFonts w:ascii="Arial" w:hAnsi="Arial" w:cs="Arial"/>
          <w:color w:val="000000" w:themeColor="text1"/>
          <w:sz w:val="20"/>
          <w:szCs w:val="20"/>
        </w:rPr>
      </w:pPr>
      <w:r w:rsidRPr="00320EA8">
        <w:rPr>
          <w:rFonts w:ascii="Arial" w:hAnsi="Arial" w:cs="Arial"/>
          <w:color w:val="000000" w:themeColor="text1"/>
          <w:sz w:val="20"/>
          <w:szCs w:val="20"/>
        </w:rPr>
        <w:t>The respondents of the study were first</w:t>
      </w:r>
      <w:r w:rsidRPr="00320EA8">
        <w:rPr>
          <w:rFonts w:ascii="Cambria Math" w:hAnsi="Cambria Math" w:cs="Cambria Math"/>
          <w:color w:val="000000" w:themeColor="text1"/>
          <w:sz w:val="20"/>
          <w:szCs w:val="20"/>
        </w:rPr>
        <w:t>‑</w:t>
      </w:r>
      <w:r w:rsidRPr="00320EA8">
        <w:rPr>
          <w:rFonts w:ascii="Arial" w:hAnsi="Arial" w:cs="Arial"/>
          <w:color w:val="000000" w:themeColor="text1"/>
          <w:sz w:val="20"/>
          <w:szCs w:val="20"/>
        </w:rPr>
        <w:t>year students from five teacher education programs of a State College in Davao Region. A stratified random sampling technique was applied because it ensured that all programs were fairly represented in the study, making the results more reliable. Using Slovin’s formula, the computed sample size was 106 out of a total population of 145 students. This sample was judged adequate to provide a sound basis for statistical analysis. The final distribution of respondents is presented in Table 1.</w:t>
      </w:r>
    </w:p>
    <w:p w14:paraId="1206A0CA" w14:textId="77777777" w:rsidR="00EC6799" w:rsidRDefault="00EC6799" w:rsidP="00EC6799">
      <w:pPr>
        <w:pStyle w:val="NoSpacing"/>
        <w:shd w:val="clear" w:color="auto" w:fill="FFFFFF"/>
        <w:ind w:right="-360" w:firstLine="720"/>
        <w:jc w:val="both"/>
        <w:rPr>
          <w:rFonts w:ascii="Arial" w:hAnsi="Arial" w:cs="Arial"/>
          <w:color w:val="000000" w:themeColor="text1"/>
          <w:sz w:val="20"/>
          <w:szCs w:val="20"/>
        </w:rPr>
      </w:pPr>
    </w:p>
    <w:p w14:paraId="7D8D5885" w14:textId="77777777" w:rsidR="004B3C28" w:rsidRPr="00EC6799" w:rsidRDefault="004B3C28" w:rsidP="00EC6799">
      <w:pPr>
        <w:pStyle w:val="NoSpacing"/>
        <w:shd w:val="clear" w:color="auto" w:fill="FFFFFF"/>
        <w:ind w:right="-360" w:firstLine="720"/>
        <w:jc w:val="both"/>
        <w:rPr>
          <w:rFonts w:ascii="Arial" w:hAnsi="Arial" w:cs="Arial"/>
          <w:color w:val="000000" w:themeColor="text1"/>
          <w:sz w:val="20"/>
          <w:szCs w:val="20"/>
        </w:rPr>
      </w:pPr>
    </w:p>
    <w:p w14:paraId="235316C3" w14:textId="77777777" w:rsidR="00EC6799" w:rsidRDefault="00EC6799" w:rsidP="00EC6799">
      <w:pPr>
        <w:jc w:val="both"/>
        <w:rPr>
          <w:rFonts w:ascii="Arial" w:hAnsi="Arial" w:cs="Arial"/>
          <w:b/>
          <w:color w:val="000000" w:themeColor="text1"/>
        </w:rPr>
      </w:pPr>
      <w:r w:rsidRPr="00C858ED">
        <w:rPr>
          <w:rFonts w:ascii="Arial" w:hAnsi="Arial" w:cs="Arial"/>
          <w:b/>
          <w:color w:val="000000" w:themeColor="text1"/>
        </w:rPr>
        <w:t>Table 1. The Distribution of Respondents</w:t>
      </w:r>
    </w:p>
    <w:tbl>
      <w:tblPr>
        <w:tblW w:w="8550" w:type="dxa"/>
        <w:tblBorders>
          <w:top w:val="nil"/>
          <w:bottom w:val="nil"/>
        </w:tblBorders>
        <w:tblLayout w:type="fixed"/>
        <w:tblLook w:val="0660" w:firstRow="1" w:lastRow="1" w:firstColumn="0" w:lastColumn="0" w:noHBand="1" w:noVBand="1"/>
      </w:tblPr>
      <w:tblGrid>
        <w:gridCol w:w="1440"/>
        <w:gridCol w:w="2250"/>
        <w:gridCol w:w="1980"/>
        <w:gridCol w:w="2880"/>
      </w:tblGrid>
      <w:tr w:rsidR="00320EA8" w:rsidRPr="00FB52B3" w14:paraId="1EF529B4" w14:textId="77777777" w:rsidTr="00320EA8">
        <w:trPr>
          <w:trHeight w:val="91"/>
        </w:trPr>
        <w:tc>
          <w:tcPr>
            <w:tcW w:w="1440" w:type="dxa"/>
            <w:tcBorders>
              <w:top w:val="single" w:sz="24" w:space="0" w:color="000000"/>
              <w:left w:val="nil"/>
              <w:bottom w:val="single" w:sz="4" w:space="0" w:color="000000"/>
              <w:right w:val="nil"/>
            </w:tcBorders>
            <w:vAlign w:val="bottom"/>
          </w:tcPr>
          <w:p w14:paraId="10989792"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color w:val="000000"/>
                <w:highlight w:val="white"/>
              </w:rPr>
              <w:t>PROGRAM</w:t>
            </w:r>
          </w:p>
          <w:p w14:paraId="48FB7BBA"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p>
        </w:tc>
        <w:tc>
          <w:tcPr>
            <w:tcW w:w="2250" w:type="dxa"/>
            <w:tcBorders>
              <w:top w:val="single" w:sz="24" w:space="0" w:color="000000"/>
              <w:left w:val="nil"/>
              <w:bottom w:val="single" w:sz="4" w:space="0" w:color="000000"/>
              <w:right w:val="nil"/>
            </w:tcBorders>
            <w:vAlign w:val="bottom"/>
          </w:tcPr>
          <w:p w14:paraId="72C6778B"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POPULATION</w:t>
            </w:r>
          </w:p>
          <w:p w14:paraId="42E4FBB1"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(N)</w:t>
            </w:r>
          </w:p>
        </w:tc>
        <w:tc>
          <w:tcPr>
            <w:tcW w:w="1980" w:type="dxa"/>
            <w:tcBorders>
              <w:top w:val="single" w:sz="24" w:space="0" w:color="000000"/>
              <w:left w:val="nil"/>
              <w:bottom w:val="single" w:sz="4" w:space="0" w:color="000000"/>
              <w:right w:val="nil"/>
            </w:tcBorders>
            <w:vAlign w:val="bottom"/>
          </w:tcPr>
          <w:p w14:paraId="65989A3A"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SAMPLE SIZE</w:t>
            </w:r>
          </w:p>
          <w:p w14:paraId="2A61969D"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(n)</w:t>
            </w:r>
          </w:p>
        </w:tc>
        <w:tc>
          <w:tcPr>
            <w:tcW w:w="2880" w:type="dxa"/>
            <w:tcBorders>
              <w:top w:val="single" w:sz="24" w:space="0" w:color="000000"/>
              <w:left w:val="nil"/>
              <w:bottom w:val="single" w:sz="4" w:space="0" w:color="000000"/>
              <w:right w:val="nil"/>
            </w:tcBorders>
            <w:vAlign w:val="bottom"/>
          </w:tcPr>
          <w:p w14:paraId="7CDBBBF4"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PERCENTAGE</w:t>
            </w:r>
          </w:p>
          <w:p w14:paraId="14C68551"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highlight w:val="white"/>
              </w:rPr>
              <w:t>(%)</w:t>
            </w:r>
          </w:p>
        </w:tc>
      </w:tr>
      <w:tr w:rsidR="00320EA8" w:rsidRPr="00FB52B3" w14:paraId="1F37CFB1" w14:textId="77777777" w:rsidTr="00320EA8">
        <w:trPr>
          <w:trHeight w:val="87"/>
        </w:trPr>
        <w:tc>
          <w:tcPr>
            <w:tcW w:w="1440" w:type="dxa"/>
            <w:tcBorders>
              <w:top w:val="single" w:sz="4" w:space="0" w:color="000000"/>
            </w:tcBorders>
            <w:vAlign w:val="center"/>
          </w:tcPr>
          <w:p w14:paraId="3E4D977D"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rPr>
              <w:t>1</w:t>
            </w:r>
          </w:p>
        </w:tc>
        <w:tc>
          <w:tcPr>
            <w:tcW w:w="2250" w:type="dxa"/>
            <w:tcBorders>
              <w:top w:val="single" w:sz="4" w:space="0" w:color="000000"/>
            </w:tcBorders>
            <w:vAlign w:val="center"/>
          </w:tcPr>
          <w:p w14:paraId="41B9599F"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21</w:t>
            </w:r>
          </w:p>
        </w:tc>
        <w:tc>
          <w:tcPr>
            <w:tcW w:w="1980" w:type="dxa"/>
            <w:tcBorders>
              <w:top w:val="single" w:sz="4" w:space="0" w:color="000000"/>
            </w:tcBorders>
            <w:vAlign w:val="center"/>
          </w:tcPr>
          <w:p w14:paraId="7EAFFFFA"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15</w:t>
            </w:r>
          </w:p>
        </w:tc>
        <w:tc>
          <w:tcPr>
            <w:tcW w:w="2880" w:type="dxa"/>
            <w:tcBorders>
              <w:top w:val="single" w:sz="4" w:space="0" w:color="000000"/>
            </w:tcBorders>
          </w:tcPr>
          <w:p w14:paraId="40FC0425"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14.48</w:t>
            </w:r>
          </w:p>
        </w:tc>
      </w:tr>
      <w:tr w:rsidR="00320EA8" w:rsidRPr="00FB52B3" w14:paraId="0B6F88A4" w14:textId="77777777" w:rsidTr="00320EA8">
        <w:trPr>
          <w:trHeight w:val="87"/>
        </w:trPr>
        <w:tc>
          <w:tcPr>
            <w:tcW w:w="1440" w:type="dxa"/>
            <w:vAlign w:val="center"/>
          </w:tcPr>
          <w:p w14:paraId="3B278162"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rPr>
              <w:t>2</w:t>
            </w:r>
          </w:p>
        </w:tc>
        <w:tc>
          <w:tcPr>
            <w:tcW w:w="2250" w:type="dxa"/>
            <w:vAlign w:val="center"/>
          </w:tcPr>
          <w:p w14:paraId="759B5C66"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30</w:t>
            </w:r>
          </w:p>
        </w:tc>
        <w:tc>
          <w:tcPr>
            <w:tcW w:w="1980" w:type="dxa"/>
            <w:vAlign w:val="center"/>
          </w:tcPr>
          <w:p w14:paraId="6434A00D"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22</w:t>
            </w:r>
          </w:p>
        </w:tc>
        <w:tc>
          <w:tcPr>
            <w:tcW w:w="2880" w:type="dxa"/>
          </w:tcPr>
          <w:p w14:paraId="51ECFB3F"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20.69</w:t>
            </w:r>
          </w:p>
        </w:tc>
      </w:tr>
      <w:tr w:rsidR="00320EA8" w:rsidRPr="00FB52B3" w14:paraId="0EDE4096" w14:textId="77777777" w:rsidTr="00320EA8">
        <w:trPr>
          <w:trHeight w:val="87"/>
        </w:trPr>
        <w:tc>
          <w:tcPr>
            <w:tcW w:w="1440" w:type="dxa"/>
            <w:vAlign w:val="center"/>
          </w:tcPr>
          <w:p w14:paraId="50D9AC81"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rPr>
              <w:t>3</w:t>
            </w:r>
          </w:p>
        </w:tc>
        <w:tc>
          <w:tcPr>
            <w:tcW w:w="2250" w:type="dxa"/>
            <w:vAlign w:val="center"/>
          </w:tcPr>
          <w:p w14:paraId="49BBC228"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28</w:t>
            </w:r>
          </w:p>
        </w:tc>
        <w:tc>
          <w:tcPr>
            <w:tcW w:w="1980" w:type="dxa"/>
            <w:vAlign w:val="center"/>
          </w:tcPr>
          <w:p w14:paraId="43144495"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21</w:t>
            </w:r>
          </w:p>
        </w:tc>
        <w:tc>
          <w:tcPr>
            <w:tcW w:w="2880" w:type="dxa"/>
          </w:tcPr>
          <w:p w14:paraId="7B97EFFA"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19.31</w:t>
            </w:r>
          </w:p>
        </w:tc>
      </w:tr>
      <w:tr w:rsidR="00320EA8" w:rsidRPr="00FB52B3" w14:paraId="19E2CDB8" w14:textId="77777777" w:rsidTr="00320EA8">
        <w:trPr>
          <w:trHeight w:val="87"/>
        </w:trPr>
        <w:tc>
          <w:tcPr>
            <w:tcW w:w="1440" w:type="dxa"/>
            <w:vAlign w:val="center"/>
          </w:tcPr>
          <w:p w14:paraId="7F606A38" w14:textId="77777777" w:rsidR="00320EA8" w:rsidRPr="00FB52B3" w:rsidRDefault="00320EA8" w:rsidP="003A6EBD">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4</w:t>
            </w:r>
          </w:p>
        </w:tc>
        <w:tc>
          <w:tcPr>
            <w:tcW w:w="2250" w:type="dxa"/>
            <w:vAlign w:val="center"/>
          </w:tcPr>
          <w:p w14:paraId="30D7DB3C" w14:textId="77777777" w:rsidR="00320EA8" w:rsidRPr="00FB52B3" w:rsidRDefault="00320EA8" w:rsidP="003A6EBD">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33</w:t>
            </w:r>
          </w:p>
        </w:tc>
        <w:tc>
          <w:tcPr>
            <w:tcW w:w="1980" w:type="dxa"/>
            <w:vAlign w:val="center"/>
          </w:tcPr>
          <w:p w14:paraId="64024E0F" w14:textId="77777777" w:rsidR="00320EA8" w:rsidRPr="00FB52B3" w:rsidRDefault="00320EA8" w:rsidP="003A6EBD">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24</w:t>
            </w:r>
          </w:p>
        </w:tc>
        <w:tc>
          <w:tcPr>
            <w:tcW w:w="2880" w:type="dxa"/>
          </w:tcPr>
          <w:p w14:paraId="4779774E" w14:textId="77777777" w:rsidR="00320EA8" w:rsidRPr="00FB52B3" w:rsidRDefault="00320EA8" w:rsidP="003A6EBD">
            <w:pPr>
              <w:pBdr>
                <w:top w:val="nil"/>
                <w:left w:val="nil"/>
                <w:bottom w:val="nil"/>
                <w:right w:val="nil"/>
                <w:between w:val="nil"/>
              </w:pBdr>
              <w:jc w:val="center"/>
              <w:rPr>
                <w:rFonts w:ascii="Arial" w:eastAsia="Arial" w:hAnsi="Arial" w:cs="Arial"/>
                <w:color w:val="000000"/>
                <w:highlight w:val="white"/>
              </w:rPr>
            </w:pPr>
            <w:r>
              <w:rPr>
                <w:rFonts w:ascii="Arial" w:eastAsia="Arial" w:hAnsi="Arial" w:cs="Arial"/>
                <w:color w:val="000000"/>
                <w:highlight w:val="white"/>
              </w:rPr>
              <w:t>22.76</w:t>
            </w:r>
          </w:p>
        </w:tc>
      </w:tr>
      <w:tr w:rsidR="00320EA8" w:rsidRPr="00FB52B3" w14:paraId="0C395701" w14:textId="77777777" w:rsidTr="00320EA8">
        <w:trPr>
          <w:trHeight w:val="45"/>
        </w:trPr>
        <w:tc>
          <w:tcPr>
            <w:tcW w:w="1440" w:type="dxa"/>
            <w:tcBorders>
              <w:bottom w:val="single" w:sz="4" w:space="0" w:color="000000"/>
            </w:tcBorders>
            <w:vAlign w:val="center"/>
          </w:tcPr>
          <w:p w14:paraId="2CFAD247"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color w:val="000000"/>
              </w:rPr>
              <w:t>5</w:t>
            </w:r>
          </w:p>
        </w:tc>
        <w:tc>
          <w:tcPr>
            <w:tcW w:w="2250" w:type="dxa"/>
            <w:tcBorders>
              <w:bottom w:val="single" w:sz="4" w:space="0" w:color="000000"/>
            </w:tcBorders>
            <w:vAlign w:val="center"/>
          </w:tcPr>
          <w:p w14:paraId="2D61BDBE"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33</w:t>
            </w:r>
          </w:p>
        </w:tc>
        <w:tc>
          <w:tcPr>
            <w:tcW w:w="1980" w:type="dxa"/>
            <w:tcBorders>
              <w:bottom w:val="single" w:sz="4" w:space="0" w:color="000000"/>
            </w:tcBorders>
            <w:vAlign w:val="center"/>
          </w:tcPr>
          <w:p w14:paraId="19B8F499"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24</w:t>
            </w:r>
          </w:p>
        </w:tc>
        <w:tc>
          <w:tcPr>
            <w:tcW w:w="2880" w:type="dxa"/>
            <w:tcBorders>
              <w:bottom w:val="single" w:sz="4" w:space="0" w:color="000000"/>
            </w:tcBorders>
          </w:tcPr>
          <w:p w14:paraId="678C4B80"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22.76</w:t>
            </w:r>
          </w:p>
        </w:tc>
      </w:tr>
      <w:tr w:rsidR="00320EA8" w:rsidRPr="00FB52B3" w14:paraId="6E6583FE" w14:textId="77777777" w:rsidTr="00320EA8">
        <w:trPr>
          <w:trHeight w:val="41"/>
        </w:trPr>
        <w:tc>
          <w:tcPr>
            <w:tcW w:w="1440" w:type="dxa"/>
            <w:tcBorders>
              <w:top w:val="single" w:sz="4" w:space="0" w:color="000000"/>
              <w:left w:val="nil"/>
              <w:bottom w:val="single" w:sz="24" w:space="0" w:color="000000"/>
              <w:right w:val="nil"/>
            </w:tcBorders>
          </w:tcPr>
          <w:p w14:paraId="0ECB6B40"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sidRPr="00FB52B3">
              <w:rPr>
                <w:rFonts w:ascii="Arial" w:eastAsia="Arial" w:hAnsi="Arial" w:cs="Arial"/>
                <w:color w:val="000000"/>
              </w:rPr>
              <w:t>Total:</w:t>
            </w:r>
          </w:p>
        </w:tc>
        <w:tc>
          <w:tcPr>
            <w:tcW w:w="2250" w:type="dxa"/>
            <w:tcBorders>
              <w:top w:val="single" w:sz="4" w:space="0" w:color="000000"/>
              <w:left w:val="nil"/>
              <w:bottom w:val="single" w:sz="24" w:space="0" w:color="000000"/>
              <w:right w:val="nil"/>
            </w:tcBorders>
          </w:tcPr>
          <w:p w14:paraId="2CDE3E55"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145</w:t>
            </w:r>
          </w:p>
        </w:tc>
        <w:tc>
          <w:tcPr>
            <w:tcW w:w="1980" w:type="dxa"/>
            <w:tcBorders>
              <w:top w:val="single" w:sz="4" w:space="0" w:color="000000"/>
              <w:left w:val="nil"/>
              <w:bottom w:val="single" w:sz="24" w:space="0" w:color="000000"/>
              <w:right w:val="nil"/>
            </w:tcBorders>
          </w:tcPr>
          <w:p w14:paraId="650A12AD"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106</w:t>
            </w:r>
          </w:p>
        </w:tc>
        <w:tc>
          <w:tcPr>
            <w:tcW w:w="2880" w:type="dxa"/>
            <w:tcBorders>
              <w:top w:val="single" w:sz="4" w:space="0" w:color="000000"/>
              <w:left w:val="nil"/>
              <w:bottom w:val="single" w:sz="24" w:space="0" w:color="000000"/>
              <w:right w:val="nil"/>
            </w:tcBorders>
            <w:vAlign w:val="bottom"/>
          </w:tcPr>
          <w:p w14:paraId="4E7B61D8" w14:textId="77777777" w:rsidR="00320EA8" w:rsidRPr="00FB52B3" w:rsidRDefault="00320EA8" w:rsidP="003A6EBD">
            <w:pPr>
              <w:pBdr>
                <w:top w:val="nil"/>
                <w:left w:val="nil"/>
                <w:bottom w:val="nil"/>
                <w:right w:val="nil"/>
                <w:between w:val="nil"/>
              </w:pBdr>
              <w:jc w:val="center"/>
              <w:rPr>
                <w:rFonts w:ascii="Arial" w:eastAsia="Arial" w:hAnsi="Arial" w:cs="Arial"/>
                <w:highlight w:val="white"/>
              </w:rPr>
            </w:pPr>
            <w:r>
              <w:rPr>
                <w:rFonts w:ascii="Arial" w:eastAsia="Arial" w:hAnsi="Arial" w:cs="Arial"/>
                <w:highlight w:val="white"/>
              </w:rPr>
              <w:t>100.00</w:t>
            </w:r>
          </w:p>
        </w:tc>
      </w:tr>
    </w:tbl>
    <w:p w14:paraId="31D0C256" w14:textId="77777777" w:rsidR="00320EA8" w:rsidRDefault="00320EA8" w:rsidP="00EC6799">
      <w:pPr>
        <w:jc w:val="both"/>
        <w:rPr>
          <w:rFonts w:ascii="Arial" w:hAnsi="Arial" w:cs="Arial"/>
          <w:b/>
          <w:color w:val="000000" w:themeColor="text1"/>
        </w:rPr>
      </w:pPr>
    </w:p>
    <w:p w14:paraId="4AC6D0A7" w14:textId="62F548D3" w:rsidR="00EC6799" w:rsidRPr="00C630B2" w:rsidRDefault="00C858ED" w:rsidP="00EC6799">
      <w:pPr>
        <w:spacing w:before="240"/>
        <w:rPr>
          <w:rFonts w:ascii="Arial" w:hAnsi="Arial" w:cs="Arial"/>
          <w:b/>
          <w:color w:val="000000" w:themeColor="text1"/>
        </w:rPr>
      </w:pPr>
      <w:r>
        <w:rPr>
          <w:rFonts w:ascii="Arial" w:hAnsi="Arial" w:cs="Arial"/>
          <w:b/>
          <w:color w:val="000000" w:themeColor="text1"/>
          <w:sz w:val="22"/>
        </w:rPr>
        <w:t>2.4</w:t>
      </w:r>
      <w:r w:rsidR="00C630B2">
        <w:rPr>
          <w:rFonts w:ascii="Arial" w:hAnsi="Arial" w:cs="Arial"/>
          <w:b/>
          <w:color w:val="000000" w:themeColor="text1"/>
          <w:sz w:val="22"/>
        </w:rPr>
        <w:t xml:space="preserve"> </w:t>
      </w:r>
      <w:r w:rsidR="00EC6799" w:rsidRPr="00C630B2">
        <w:rPr>
          <w:rFonts w:ascii="Arial" w:hAnsi="Arial" w:cs="Arial"/>
          <w:b/>
          <w:color w:val="000000" w:themeColor="text1"/>
          <w:sz w:val="22"/>
        </w:rPr>
        <w:t>Data Gathering</w:t>
      </w:r>
    </w:p>
    <w:p w14:paraId="1B312907" w14:textId="77777777" w:rsidR="00320EA8" w:rsidRPr="00320EA8" w:rsidRDefault="00320EA8" w:rsidP="00320EA8">
      <w:pPr>
        <w:pStyle w:val="NoSpacing"/>
        <w:ind w:right="-360" w:firstLine="720"/>
        <w:jc w:val="both"/>
        <w:rPr>
          <w:rFonts w:ascii="Arial" w:eastAsia="Times New Roman" w:hAnsi="Arial" w:cs="Arial"/>
          <w:color w:val="000000" w:themeColor="text1"/>
          <w:kern w:val="28"/>
          <w:sz w:val="20"/>
          <w:szCs w:val="20"/>
        </w:rPr>
      </w:pPr>
      <w:r w:rsidRPr="00320EA8">
        <w:rPr>
          <w:rFonts w:ascii="Arial" w:eastAsia="Times New Roman" w:hAnsi="Arial" w:cs="Arial"/>
          <w:color w:val="000000" w:themeColor="text1"/>
          <w:kern w:val="28"/>
          <w:sz w:val="20"/>
          <w:szCs w:val="20"/>
        </w:rPr>
        <w:t>A formal request letter was sent to the Dean of the Institute of Teacher Education and Information Technology to ask permission to conduct the study with a random sample of first</w:t>
      </w:r>
      <w:r w:rsidRPr="00320EA8">
        <w:rPr>
          <w:rFonts w:ascii="Cambria Math" w:eastAsia="Times New Roman" w:hAnsi="Cambria Math" w:cs="Cambria Math"/>
          <w:color w:val="000000" w:themeColor="text1"/>
          <w:kern w:val="28"/>
          <w:sz w:val="20"/>
          <w:szCs w:val="20"/>
        </w:rPr>
        <w:t>‑</w:t>
      </w:r>
      <w:r w:rsidRPr="00320EA8">
        <w:rPr>
          <w:rFonts w:ascii="Arial" w:eastAsia="Times New Roman" w:hAnsi="Arial" w:cs="Arial"/>
          <w:color w:val="000000" w:themeColor="text1"/>
          <w:kern w:val="28"/>
          <w:sz w:val="20"/>
          <w:szCs w:val="20"/>
        </w:rPr>
        <w:t>year students. Data were collected using the adopted questionnaire. The questionnaires were handed directly to the students, and the researchers supervised the process to ensure it was done correctly. Before answering, participants were oriented on the purpose of the study, its objectives, and the assurance of confidentiality. They were told that participation was voluntary and anonymous. Consent was obtained for the use of their grades in Mathematics in the Modern World. Participants were also informed that they could withdraw from the study at any time without penalty.</w:t>
      </w:r>
    </w:p>
    <w:p w14:paraId="47FFA4CB" w14:textId="77777777" w:rsidR="00320EA8" w:rsidRPr="00320EA8" w:rsidRDefault="00320EA8" w:rsidP="00320EA8">
      <w:pPr>
        <w:pStyle w:val="NoSpacing"/>
        <w:ind w:right="-360"/>
        <w:jc w:val="both"/>
        <w:rPr>
          <w:rFonts w:ascii="Arial" w:eastAsia="Times New Roman" w:hAnsi="Arial" w:cs="Arial"/>
          <w:color w:val="000000" w:themeColor="text1"/>
          <w:kern w:val="28"/>
          <w:sz w:val="20"/>
          <w:szCs w:val="20"/>
        </w:rPr>
      </w:pPr>
    </w:p>
    <w:p w14:paraId="475B5F69" w14:textId="3561E2E1" w:rsidR="00EC6799" w:rsidRPr="00EC6799" w:rsidRDefault="00320EA8" w:rsidP="00320EA8">
      <w:pPr>
        <w:pStyle w:val="NoSpacing"/>
        <w:ind w:right="-360" w:firstLine="720"/>
        <w:jc w:val="both"/>
        <w:rPr>
          <w:rFonts w:ascii="Arial" w:hAnsi="Arial" w:cs="Arial"/>
          <w:color w:val="000000" w:themeColor="text1"/>
          <w:sz w:val="20"/>
          <w:szCs w:val="20"/>
        </w:rPr>
      </w:pPr>
      <w:r w:rsidRPr="00320EA8">
        <w:rPr>
          <w:rFonts w:ascii="Arial" w:eastAsia="Times New Roman" w:hAnsi="Arial" w:cs="Arial"/>
          <w:color w:val="000000" w:themeColor="text1"/>
          <w:kern w:val="28"/>
          <w:sz w:val="20"/>
          <w:szCs w:val="20"/>
        </w:rPr>
        <w:t>After completion, the questionnaires were gathered and kept confidential. Responses were tallied, organized, and entered into tables for analysis. Statistical methods and software tools were then used to interpret the results and present them in a clear way.</w:t>
      </w:r>
    </w:p>
    <w:p w14:paraId="17682C05" w14:textId="77777777" w:rsidR="00EC6799" w:rsidRPr="00EC6799" w:rsidRDefault="00EC6799" w:rsidP="00C630B2">
      <w:pPr>
        <w:tabs>
          <w:tab w:val="left" w:pos="3690"/>
        </w:tabs>
        <w:ind w:firstLine="720"/>
        <w:jc w:val="both"/>
        <w:rPr>
          <w:rFonts w:ascii="Arial" w:hAnsi="Arial" w:cs="Arial"/>
          <w:b/>
          <w:color w:val="000000" w:themeColor="text1"/>
        </w:rPr>
      </w:pPr>
      <w:r w:rsidRPr="00EC6799">
        <w:rPr>
          <w:rFonts w:ascii="Arial" w:hAnsi="Arial" w:cs="Arial"/>
          <w:color w:val="000000" w:themeColor="text1"/>
        </w:rPr>
        <w:tab/>
      </w:r>
    </w:p>
    <w:p w14:paraId="20DEA1D0" w14:textId="2AD1A0E2" w:rsidR="00C630B2" w:rsidRDefault="00C858ED" w:rsidP="00C630B2">
      <w:pPr>
        <w:tabs>
          <w:tab w:val="left" w:pos="3690"/>
        </w:tabs>
        <w:rPr>
          <w:rFonts w:ascii="Arial" w:hAnsi="Arial" w:cs="Arial"/>
          <w:b/>
          <w:color w:val="000000" w:themeColor="text1"/>
          <w:sz w:val="22"/>
        </w:rPr>
      </w:pPr>
      <w:r>
        <w:rPr>
          <w:rFonts w:ascii="Arial" w:hAnsi="Arial" w:cs="Arial"/>
          <w:b/>
          <w:color w:val="000000" w:themeColor="text1"/>
          <w:sz w:val="22"/>
        </w:rPr>
        <w:t>2.5</w:t>
      </w:r>
      <w:r w:rsidR="00C630B2">
        <w:rPr>
          <w:rFonts w:ascii="Arial" w:hAnsi="Arial" w:cs="Arial"/>
          <w:b/>
          <w:color w:val="000000" w:themeColor="text1"/>
          <w:sz w:val="22"/>
        </w:rPr>
        <w:t xml:space="preserve"> </w:t>
      </w:r>
      <w:r w:rsidR="00EC6799" w:rsidRPr="00C630B2">
        <w:rPr>
          <w:rFonts w:ascii="Arial" w:hAnsi="Arial" w:cs="Arial"/>
          <w:b/>
          <w:color w:val="000000" w:themeColor="text1"/>
          <w:sz w:val="22"/>
        </w:rPr>
        <w:t>Statistical Analysis</w:t>
      </w:r>
    </w:p>
    <w:p w14:paraId="65464C58" w14:textId="30118769" w:rsidR="00790ADA" w:rsidRDefault="00C630B2" w:rsidP="00320EA8">
      <w:pPr>
        <w:tabs>
          <w:tab w:val="left" w:pos="720"/>
        </w:tabs>
        <w:ind w:right="-342"/>
        <w:jc w:val="both"/>
        <w:rPr>
          <w:rFonts w:ascii="Arial" w:hAnsi="Arial" w:cs="Arial"/>
          <w:color w:val="000000" w:themeColor="text1"/>
        </w:rPr>
      </w:pPr>
      <w:r>
        <w:rPr>
          <w:rFonts w:ascii="Arial" w:hAnsi="Arial" w:cs="Arial"/>
          <w:color w:val="000000" w:themeColor="text1"/>
        </w:rPr>
        <w:tab/>
      </w:r>
      <w:r w:rsidR="00320EA8" w:rsidRPr="00320EA8">
        <w:rPr>
          <w:rFonts w:ascii="Arial" w:hAnsi="Arial" w:cs="Arial"/>
          <w:color w:val="000000" w:themeColor="text1"/>
        </w:rPr>
        <w:t>The data collected were tallied, organized, and encoded in SPSS for analysis. Descriptive statistics such as frequency, percentage, mean, and standard deviation were used to describe the students’ levels of critical thinking and their mathematics performance. Pearson product</w:t>
      </w:r>
      <w:r w:rsidR="00320EA8" w:rsidRPr="00320EA8">
        <w:rPr>
          <w:rFonts w:ascii="Cambria Math" w:hAnsi="Cambria Math" w:cs="Cambria Math"/>
          <w:color w:val="000000" w:themeColor="text1"/>
        </w:rPr>
        <w:t>‑</w:t>
      </w:r>
      <w:r w:rsidR="00320EA8" w:rsidRPr="00320EA8">
        <w:rPr>
          <w:rFonts w:ascii="Arial" w:hAnsi="Arial" w:cs="Arial"/>
          <w:color w:val="000000" w:themeColor="text1"/>
        </w:rPr>
        <w:t>moment correlation was employed to test the relationship between critical thinking and mathematics performance. To further assess the predictive power of critical thinking on mathematics performance, regression analysis was carried out. Results were presented in tables to clearly show the findings of the study.</w:t>
      </w:r>
    </w:p>
    <w:p w14:paraId="496077E1" w14:textId="77777777" w:rsidR="00320EA8" w:rsidRPr="00FB3A86" w:rsidRDefault="00320EA8" w:rsidP="00320EA8">
      <w:pPr>
        <w:tabs>
          <w:tab w:val="left" w:pos="720"/>
        </w:tabs>
        <w:ind w:right="-342"/>
        <w:jc w:val="both"/>
        <w:rPr>
          <w:rFonts w:ascii="Arial" w:hAnsi="Arial" w:cs="Arial"/>
        </w:rPr>
      </w:pPr>
    </w:p>
    <w:p w14:paraId="54EBCB32"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74DF2756" w14:textId="77777777" w:rsidR="00790ADA" w:rsidRPr="00FB3A86" w:rsidRDefault="00790ADA" w:rsidP="00441B6F">
      <w:pPr>
        <w:pStyle w:val="Head1"/>
        <w:spacing w:after="0"/>
        <w:jc w:val="both"/>
        <w:rPr>
          <w:rFonts w:ascii="Arial" w:hAnsi="Arial" w:cs="Arial"/>
        </w:rPr>
      </w:pPr>
    </w:p>
    <w:p w14:paraId="7DD7DF22" w14:textId="68BD0AA2" w:rsidR="00C858ED" w:rsidRPr="00C858ED" w:rsidRDefault="00C858ED" w:rsidP="00C858ED">
      <w:pPr>
        <w:ind w:right="-360"/>
        <w:jc w:val="both"/>
        <w:rPr>
          <w:rFonts w:ascii="Arial" w:hAnsi="Arial" w:cs="Arial"/>
          <w:b/>
          <w:color w:val="000000" w:themeColor="text1"/>
        </w:rPr>
      </w:pPr>
      <w:r w:rsidRPr="00C858ED">
        <w:rPr>
          <w:rFonts w:ascii="Arial" w:hAnsi="Arial" w:cs="Arial"/>
          <w:color w:val="000000" w:themeColor="text1"/>
        </w:rPr>
        <w:tab/>
      </w:r>
      <w:r w:rsidR="00C4706A" w:rsidRPr="00C4706A">
        <w:rPr>
          <w:rFonts w:ascii="Arial" w:hAnsi="Arial" w:cs="Arial"/>
          <w:color w:val="000000" w:themeColor="text1"/>
        </w:rPr>
        <w:t xml:space="preserve">The findings in Table 2 present the students’ level of critical thinking across six cognitive domains: remembering, understanding, applying, analyzing, evaluating, and creating. The assessment followed the framework of </w:t>
      </w:r>
      <w:proofErr w:type="spellStart"/>
      <w:r w:rsidR="00C4706A" w:rsidRPr="00C4706A">
        <w:rPr>
          <w:rFonts w:ascii="Arial" w:hAnsi="Arial" w:cs="Arial"/>
          <w:color w:val="000000" w:themeColor="text1"/>
        </w:rPr>
        <w:t>Kobylarek</w:t>
      </w:r>
      <w:proofErr w:type="spellEnd"/>
      <w:r w:rsidR="00C4706A" w:rsidRPr="00C4706A">
        <w:rPr>
          <w:rFonts w:ascii="Arial" w:hAnsi="Arial" w:cs="Arial"/>
          <w:color w:val="000000" w:themeColor="text1"/>
        </w:rPr>
        <w:t xml:space="preserve"> et al. (2022). Overall, the majority of students (56.60%) fell in the average category, while 41.51% reached a high level, and only 1.89% were at a low level. This distribution suggests that many teacher education students can handle basic analysis, evaluation, and problem</w:t>
      </w:r>
      <w:r w:rsidR="00C4706A" w:rsidRPr="00C4706A">
        <w:rPr>
          <w:rFonts w:ascii="Cambria Math" w:hAnsi="Cambria Math" w:cs="Cambria Math"/>
          <w:color w:val="000000" w:themeColor="text1"/>
        </w:rPr>
        <w:t>‑</w:t>
      </w:r>
      <w:r w:rsidR="00C4706A" w:rsidRPr="00C4706A">
        <w:rPr>
          <w:rFonts w:ascii="Arial" w:hAnsi="Arial" w:cs="Arial"/>
          <w:color w:val="000000" w:themeColor="text1"/>
        </w:rPr>
        <w:t>solving, but fewer demonstrate consistent advanced reasoning, creativity, or reflective judgment. The predominance of average levels highlights the need for teacher education programs to embed critical thinking more deliberately in the curriculum through reflective practices, inquiry</w:t>
      </w:r>
      <w:r w:rsidR="00C4706A" w:rsidRPr="00C4706A">
        <w:rPr>
          <w:rFonts w:ascii="Cambria Math" w:hAnsi="Cambria Math" w:cs="Cambria Math"/>
          <w:color w:val="000000" w:themeColor="text1"/>
        </w:rPr>
        <w:t>‑</w:t>
      </w:r>
      <w:r w:rsidR="00C4706A" w:rsidRPr="00C4706A">
        <w:rPr>
          <w:rFonts w:ascii="Arial" w:hAnsi="Arial" w:cs="Arial"/>
          <w:color w:val="000000" w:themeColor="text1"/>
        </w:rPr>
        <w:t>based learning, and classroom simulations (Tiruneh et al., 2017). The sizeable group with high</w:t>
      </w:r>
      <w:r w:rsidR="00C4706A" w:rsidRPr="00C4706A">
        <w:rPr>
          <w:rFonts w:ascii="Cambria Math" w:hAnsi="Cambria Math" w:cs="Cambria Math"/>
          <w:color w:val="000000" w:themeColor="text1"/>
        </w:rPr>
        <w:t>‑</w:t>
      </w:r>
      <w:r w:rsidR="00C4706A" w:rsidRPr="00C4706A">
        <w:rPr>
          <w:rFonts w:ascii="Arial" w:hAnsi="Arial" w:cs="Arial"/>
          <w:color w:val="000000" w:themeColor="text1"/>
        </w:rPr>
        <w:t>level skills (41.51%) shows promise, as students with strong critical thinking are able to analyze complex issues, evaluate evidence, and make reasoned decisions—competencies vital in preparing future teachers (Zohar et al., 2003; Paul &amp; Elder, 2014). The small portion at the low level (1.89%) is a concern, since educators with limited critical thinking may resist new teaching strategies, limiting both their own professional growth and their ability to foster these skills in learners (Saavedra &amp; Opfer, 2012).</w:t>
      </w:r>
    </w:p>
    <w:p w14:paraId="5D981914" w14:textId="77777777" w:rsidR="00C858ED" w:rsidRDefault="00C858ED" w:rsidP="00C858ED">
      <w:pPr>
        <w:jc w:val="both"/>
        <w:rPr>
          <w:rFonts w:ascii="Arial" w:hAnsi="Arial" w:cs="Arial"/>
          <w:b/>
          <w:color w:val="000000" w:themeColor="text1"/>
        </w:rPr>
      </w:pPr>
    </w:p>
    <w:p w14:paraId="3876EF69" w14:textId="77777777" w:rsidR="00C4706A" w:rsidRDefault="00C4706A" w:rsidP="00C858ED">
      <w:pPr>
        <w:jc w:val="both"/>
        <w:rPr>
          <w:rFonts w:ascii="Arial" w:hAnsi="Arial" w:cs="Arial"/>
          <w:b/>
          <w:color w:val="000000" w:themeColor="text1"/>
        </w:rPr>
      </w:pPr>
    </w:p>
    <w:p w14:paraId="52F1781C" w14:textId="77777777" w:rsidR="00C4706A" w:rsidRPr="00C4706A" w:rsidRDefault="00C4706A" w:rsidP="00C4706A">
      <w:pPr>
        <w:jc w:val="both"/>
        <w:rPr>
          <w:rFonts w:ascii="Arial" w:hAnsi="Arial" w:cs="Arial"/>
          <w:b/>
          <w:color w:val="000000" w:themeColor="text1"/>
          <w:sz w:val="22"/>
          <w:szCs w:val="22"/>
        </w:rPr>
      </w:pPr>
      <w:r w:rsidRPr="00C4706A">
        <w:rPr>
          <w:rFonts w:ascii="Arial" w:hAnsi="Arial" w:cs="Arial"/>
          <w:b/>
          <w:color w:val="000000" w:themeColor="text1"/>
          <w:sz w:val="22"/>
          <w:szCs w:val="22"/>
        </w:rPr>
        <w:t>3.1 Remembering</w:t>
      </w:r>
    </w:p>
    <w:p w14:paraId="1499BB77" w14:textId="77777777" w:rsidR="00C4706A" w:rsidRPr="00C4706A" w:rsidRDefault="00C4706A" w:rsidP="00C4706A">
      <w:pPr>
        <w:jc w:val="both"/>
        <w:rPr>
          <w:rFonts w:ascii="Arial" w:hAnsi="Arial" w:cs="Arial"/>
          <w:b/>
          <w:color w:val="000000" w:themeColor="text1"/>
        </w:rPr>
      </w:pPr>
    </w:p>
    <w:p w14:paraId="68B99048" w14:textId="77777777"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In the Remembering domain, 45.28% of respondents (48 students) achieved a high level. These students can recall important information, apply prior knowledge, and repeat key points after reading texts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Half of the respondents (50%) scored at the average level, suggesting they can recall or recognize information but may lack consistency across tasks (Anderson et al., 2001). A small group (4.72%) fell into the low level, indicating difficulties in retaining essential information. Weak performance here may hinder the development of higher</w:t>
      </w:r>
      <w:r w:rsidRPr="00C4706A">
        <w:rPr>
          <w:rFonts w:ascii="Cambria Math" w:hAnsi="Cambria Math" w:cs="Cambria Math"/>
          <w:bCs/>
          <w:color w:val="000000" w:themeColor="text1"/>
        </w:rPr>
        <w:t>‑</w:t>
      </w:r>
      <w:r w:rsidRPr="00C4706A">
        <w:rPr>
          <w:rFonts w:ascii="Arial" w:hAnsi="Arial" w:cs="Arial"/>
          <w:bCs/>
          <w:color w:val="000000" w:themeColor="text1"/>
        </w:rPr>
        <w:t>order thinking and problem</w:t>
      </w:r>
      <w:r w:rsidRPr="00C4706A">
        <w:rPr>
          <w:rFonts w:ascii="Cambria Math" w:hAnsi="Cambria Math" w:cs="Cambria Math"/>
          <w:bCs/>
          <w:color w:val="000000" w:themeColor="text1"/>
        </w:rPr>
        <w:t>‑</w:t>
      </w:r>
      <w:r w:rsidRPr="00C4706A">
        <w:rPr>
          <w:rFonts w:ascii="Arial" w:hAnsi="Arial" w:cs="Arial"/>
          <w:bCs/>
          <w:color w:val="000000" w:themeColor="text1"/>
        </w:rPr>
        <w:t>solving (</w:t>
      </w:r>
      <w:proofErr w:type="spellStart"/>
      <w:r w:rsidRPr="00C4706A">
        <w:rPr>
          <w:rFonts w:ascii="Arial" w:hAnsi="Arial" w:cs="Arial"/>
          <w:bCs/>
          <w:color w:val="000000" w:themeColor="text1"/>
        </w:rPr>
        <w:t>Muhayimana</w:t>
      </w:r>
      <w:proofErr w:type="spellEnd"/>
      <w:r w:rsidRPr="00C4706A">
        <w:rPr>
          <w:rFonts w:ascii="Arial" w:hAnsi="Arial" w:cs="Arial"/>
          <w:bCs/>
          <w:color w:val="000000" w:themeColor="text1"/>
        </w:rPr>
        <w:t xml:space="preserve"> et al., 2022).</w:t>
      </w:r>
    </w:p>
    <w:p w14:paraId="31E10202" w14:textId="77777777" w:rsidR="00C4706A" w:rsidRPr="00C4706A" w:rsidRDefault="00C4706A" w:rsidP="00C4706A">
      <w:pPr>
        <w:jc w:val="both"/>
        <w:rPr>
          <w:rFonts w:ascii="Arial" w:hAnsi="Arial" w:cs="Arial"/>
          <w:bCs/>
          <w:color w:val="000000" w:themeColor="text1"/>
        </w:rPr>
      </w:pPr>
    </w:p>
    <w:p w14:paraId="2016D720" w14:textId="77777777" w:rsidR="00C4706A" w:rsidRPr="00C4706A" w:rsidRDefault="00C4706A" w:rsidP="00C4706A">
      <w:pPr>
        <w:jc w:val="both"/>
        <w:rPr>
          <w:rFonts w:ascii="Arial" w:hAnsi="Arial" w:cs="Arial"/>
          <w:b/>
          <w:color w:val="000000" w:themeColor="text1"/>
        </w:rPr>
      </w:pPr>
      <w:r w:rsidRPr="00C4706A">
        <w:rPr>
          <w:rFonts w:ascii="Arial" w:hAnsi="Arial" w:cs="Arial"/>
          <w:b/>
          <w:color w:val="000000" w:themeColor="text1"/>
          <w:sz w:val="22"/>
          <w:szCs w:val="22"/>
        </w:rPr>
        <w:t>3.2 Understanding</w:t>
      </w:r>
    </w:p>
    <w:p w14:paraId="2747BCA5" w14:textId="77777777" w:rsidR="00C4706A" w:rsidRPr="00C4706A" w:rsidRDefault="00C4706A" w:rsidP="00C4706A">
      <w:pPr>
        <w:jc w:val="both"/>
        <w:rPr>
          <w:rFonts w:ascii="Arial" w:hAnsi="Arial" w:cs="Arial"/>
          <w:b/>
          <w:color w:val="000000" w:themeColor="text1"/>
        </w:rPr>
      </w:pPr>
    </w:p>
    <w:p w14:paraId="061CCD80" w14:textId="77777777"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In Understanding, 27.36% of respondents were at a high level, showing strong ability to interpret information, paraphrase texts, and compare viewpoints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Most students (66.98%) were in the average level, indicating a capacity for comprehension but with limited depth (</w:t>
      </w:r>
      <w:proofErr w:type="spellStart"/>
      <w:r w:rsidRPr="00C4706A">
        <w:rPr>
          <w:rFonts w:ascii="Arial" w:hAnsi="Arial" w:cs="Arial"/>
          <w:bCs/>
          <w:color w:val="000000" w:themeColor="text1"/>
        </w:rPr>
        <w:t>Muhayimana</w:t>
      </w:r>
      <w:proofErr w:type="spellEnd"/>
      <w:r w:rsidRPr="00C4706A">
        <w:rPr>
          <w:rFonts w:ascii="Arial" w:hAnsi="Arial" w:cs="Arial"/>
          <w:bCs/>
          <w:color w:val="000000" w:themeColor="text1"/>
        </w:rPr>
        <w:t xml:space="preserve"> et al., 2022). Only 5.66% were in the low category, suggesting difficulties in interpreting or making sense of information.</w:t>
      </w:r>
    </w:p>
    <w:p w14:paraId="1A046CE3" w14:textId="77777777" w:rsidR="00C4706A" w:rsidRPr="00C4706A" w:rsidRDefault="00C4706A" w:rsidP="00C4706A">
      <w:pPr>
        <w:jc w:val="both"/>
        <w:rPr>
          <w:rFonts w:ascii="Arial" w:hAnsi="Arial" w:cs="Arial"/>
          <w:b/>
          <w:color w:val="000000" w:themeColor="text1"/>
        </w:rPr>
      </w:pPr>
    </w:p>
    <w:p w14:paraId="36D1FB96" w14:textId="77777777" w:rsidR="00C4706A" w:rsidRPr="00C4706A" w:rsidRDefault="00C4706A" w:rsidP="00C4706A">
      <w:pPr>
        <w:jc w:val="both"/>
        <w:rPr>
          <w:rFonts w:ascii="Arial" w:hAnsi="Arial" w:cs="Arial"/>
          <w:b/>
          <w:color w:val="000000" w:themeColor="text1"/>
          <w:sz w:val="22"/>
          <w:szCs w:val="22"/>
        </w:rPr>
      </w:pPr>
      <w:r w:rsidRPr="00C4706A">
        <w:rPr>
          <w:rFonts w:ascii="Arial" w:hAnsi="Arial" w:cs="Arial"/>
          <w:b/>
          <w:color w:val="000000" w:themeColor="text1"/>
          <w:sz w:val="22"/>
          <w:szCs w:val="22"/>
        </w:rPr>
        <w:t>3.3 Applying</w:t>
      </w:r>
    </w:p>
    <w:p w14:paraId="30AD6908" w14:textId="77777777" w:rsidR="00C4706A" w:rsidRPr="00C4706A" w:rsidRDefault="00C4706A" w:rsidP="00C4706A">
      <w:pPr>
        <w:jc w:val="both"/>
        <w:rPr>
          <w:rFonts w:ascii="Arial" w:hAnsi="Arial" w:cs="Arial"/>
          <w:b/>
          <w:color w:val="000000" w:themeColor="text1"/>
        </w:rPr>
      </w:pPr>
    </w:p>
    <w:p w14:paraId="07A332F3" w14:textId="77777777"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The majority of students (65.09%) achieved a high level in Applying. These learners are able to verify information, share new knowledge, and apply it in daily life situations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About one</w:t>
      </w:r>
      <w:r w:rsidRPr="00C4706A">
        <w:rPr>
          <w:rFonts w:ascii="Cambria Math" w:hAnsi="Cambria Math" w:cs="Cambria Math"/>
          <w:bCs/>
          <w:color w:val="000000" w:themeColor="text1"/>
        </w:rPr>
        <w:t>‑</w:t>
      </w:r>
      <w:r w:rsidRPr="00C4706A">
        <w:rPr>
          <w:rFonts w:ascii="Arial" w:hAnsi="Arial" w:cs="Arial"/>
          <w:bCs/>
          <w:color w:val="000000" w:themeColor="text1"/>
        </w:rPr>
        <w:t>third (32.08%) were in the average group, suggesting competence in routine applications but some struggle with novel or complex tasks (Anderson et al., 2001). Weakness in application can limit problem</w:t>
      </w:r>
      <w:r w:rsidRPr="00C4706A">
        <w:rPr>
          <w:rFonts w:ascii="Cambria Math" w:hAnsi="Cambria Math" w:cs="Cambria Math"/>
          <w:bCs/>
          <w:color w:val="000000" w:themeColor="text1"/>
        </w:rPr>
        <w:t>‑</w:t>
      </w:r>
      <w:r w:rsidRPr="00C4706A">
        <w:rPr>
          <w:rFonts w:ascii="Arial" w:hAnsi="Arial" w:cs="Arial"/>
          <w:bCs/>
          <w:color w:val="000000" w:themeColor="text1"/>
        </w:rPr>
        <w:t>solving and long</w:t>
      </w:r>
      <w:r w:rsidRPr="00C4706A">
        <w:rPr>
          <w:rFonts w:ascii="Cambria Math" w:hAnsi="Cambria Math" w:cs="Cambria Math"/>
          <w:bCs/>
          <w:color w:val="000000" w:themeColor="text1"/>
        </w:rPr>
        <w:t>‑</w:t>
      </w:r>
      <w:r w:rsidRPr="00C4706A">
        <w:rPr>
          <w:rFonts w:ascii="Arial" w:hAnsi="Arial" w:cs="Arial"/>
          <w:bCs/>
          <w:color w:val="000000" w:themeColor="text1"/>
        </w:rPr>
        <w:t>term success (Galbraith, 2013; Benson O’Connor et al., 2019). A small fraction (2.83%) scored low, indicating challenges in transferring learning to practical contexts, which may hinder both academic and professional growth (Darling</w:t>
      </w:r>
      <w:r w:rsidRPr="00C4706A">
        <w:rPr>
          <w:rFonts w:ascii="Cambria Math" w:hAnsi="Cambria Math" w:cs="Cambria Math"/>
          <w:bCs/>
          <w:color w:val="000000" w:themeColor="text1"/>
        </w:rPr>
        <w:t>‑</w:t>
      </w:r>
      <w:r w:rsidRPr="00C4706A">
        <w:rPr>
          <w:rFonts w:ascii="Arial" w:hAnsi="Arial" w:cs="Arial"/>
          <w:bCs/>
          <w:color w:val="000000" w:themeColor="text1"/>
        </w:rPr>
        <w:t>Hammond et al., 2008).</w:t>
      </w:r>
    </w:p>
    <w:p w14:paraId="1AE63BFE" w14:textId="77777777" w:rsidR="00C4706A" w:rsidRPr="00C4706A" w:rsidRDefault="00C4706A" w:rsidP="00C4706A">
      <w:pPr>
        <w:jc w:val="both"/>
        <w:rPr>
          <w:rFonts w:ascii="Arial" w:hAnsi="Arial" w:cs="Arial"/>
          <w:b/>
          <w:color w:val="000000" w:themeColor="text1"/>
        </w:rPr>
      </w:pPr>
    </w:p>
    <w:p w14:paraId="0D983D18" w14:textId="77777777" w:rsidR="00C4706A" w:rsidRPr="00C4706A" w:rsidRDefault="00C4706A" w:rsidP="00C4706A">
      <w:pPr>
        <w:jc w:val="both"/>
        <w:rPr>
          <w:rFonts w:ascii="Arial" w:hAnsi="Arial" w:cs="Arial"/>
          <w:b/>
          <w:color w:val="000000" w:themeColor="text1"/>
          <w:sz w:val="22"/>
          <w:szCs w:val="22"/>
        </w:rPr>
      </w:pPr>
      <w:r w:rsidRPr="00C4706A">
        <w:rPr>
          <w:rFonts w:ascii="Arial" w:hAnsi="Arial" w:cs="Arial"/>
          <w:b/>
          <w:color w:val="000000" w:themeColor="text1"/>
          <w:sz w:val="22"/>
          <w:szCs w:val="22"/>
        </w:rPr>
        <w:t>3.4 Analyzing</w:t>
      </w:r>
    </w:p>
    <w:p w14:paraId="246C6F94" w14:textId="77777777" w:rsidR="00C4706A" w:rsidRPr="00C4706A" w:rsidRDefault="00C4706A" w:rsidP="00C4706A">
      <w:pPr>
        <w:jc w:val="both"/>
        <w:rPr>
          <w:rFonts w:ascii="Arial" w:hAnsi="Arial" w:cs="Arial"/>
          <w:b/>
          <w:color w:val="000000" w:themeColor="text1"/>
        </w:rPr>
      </w:pPr>
    </w:p>
    <w:p w14:paraId="6F013A88" w14:textId="77777777"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For Analyzing, 40.57% of respondents were at a high level, showing strength in examining relationships and dependencies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A majority (57.55%) were at the average level, indicating ability to identify problems and consider causes but limited </w:t>
      </w:r>
      <w:r w:rsidRPr="00C4706A">
        <w:rPr>
          <w:rFonts w:ascii="Arial" w:hAnsi="Arial" w:cs="Arial"/>
          <w:bCs/>
          <w:color w:val="000000" w:themeColor="text1"/>
        </w:rPr>
        <w:lastRenderedPageBreak/>
        <w:t>capacity to integrate complex ideas (Paul &amp; Elder, 2014). Only 1.89% were at the low level, suggesting minimal ability to evaluate the logic of arguments or detect inconsistencies. Students with weak analyzing skills may struggle in subjects that require diagnostic reasoning (</w:t>
      </w:r>
      <w:proofErr w:type="spellStart"/>
      <w:r w:rsidRPr="00C4706A">
        <w:rPr>
          <w:rFonts w:ascii="Arial" w:hAnsi="Arial" w:cs="Arial"/>
          <w:bCs/>
          <w:color w:val="000000" w:themeColor="text1"/>
        </w:rPr>
        <w:t>Facione</w:t>
      </w:r>
      <w:proofErr w:type="spellEnd"/>
      <w:r w:rsidRPr="00C4706A">
        <w:rPr>
          <w:rFonts w:ascii="Arial" w:hAnsi="Arial" w:cs="Arial"/>
          <w:bCs/>
          <w:color w:val="000000" w:themeColor="text1"/>
        </w:rPr>
        <w:t>, 2011).</w:t>
      </w:r>
    </w:p>
    <w:p w14:paraId="1D2F7556" w14:textId="77777777" w:rsidR="00C4706A" w:rsidRPr="00C4706A" w:rsidRDefault="00C4706A" w:rsidP="00C4706A">
      <w:pPr>
        <w:jc w:val="both"/>
        <w:rPr>
          <w:rFonts w:ascii="Arial" w:hAnsi="Arial" w:cs="Arial"/>
          <w:b/>
          <w:color w:val="000000" w:themeColor="text1"/>
        </w:rPr>
      </w:pPr>
    </w:p>
    <w:p w14:paraId="40B51685" w14:textId="77777777" w:rsidR="00C4706A" w:rsidRPr="00C4706A" w:rsidRDefault="00C4706A" w:rsidP="00C4706A">
      <w:pPr>
        <w:jc w:val="both"/>
        <w:rPr>
          <w:rFonts w:ascii="Arial" w:hAnsi="Arial" w:cs="Arial"/>
          <w:b/>
          <w:color w:val="000000" w:themeColor="text1"/>
          <w:sz w:val="22"/>
          <w:szCs w:val="22"/>
        </w:rPr>
      </w:pPr>
      <w:r w:rsidRPr="00C4706A">
        <w:rPr>
          <w:rFonts w:ascii="Arial" w:hAnsi="Arial" w:cs="Arial"/>
          <w:b/>
          <w:color w:val="000000" w:themeColor="text1"/>
          <w:sz w:val="22"/>
          <w:szCs w:val="22"/>
        </w:rPr>
        <w:t>3.5 Evaluating</w:t>
      </w:r>
    </w:p>
    <w:p w14:paraId="7E2DC195" w14:textId="77777777" w:rsidR="00C4706A" w:rsidRPr="00C4706A" w:rsidRDefault="00C4706A" w:rsidP="00C4706A">
      <w:pPr>
        <w:jc w:val="both"/>
        <w:rPr>
          <w:rFonts w:ascii="Arial" w:hAnsi="Arial" w:cs="Arial"/>
          <w:b/>
          <w:color w:val="000000" w:themeColor="text1"/>
        </w:rPr>
      </w:pPr>
    </w:p>
    <w:p w14:paraId="3C686618" w14:textId="77777777"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Evaluation emerged as the strongest domain, with 76.42% of respondents (81 students) achieving a high level. These learners can assess and verify information using multiple sources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About 21.70% were in the average category, able to make judgments but with limited depth or consistency (Anderson et al., 2001). Only 1.89% scored low, indicating a tendency to accept information at face value, which may increase vulnerability to misinformation (</w:t>
      </w:r>
      <w:proofErr w:type="spellStart"/>
      <w:r w:rsidRPr="00C4706A">
        <w:rPr>
          <w:rFonts w:ascii="Arial" w:hAnsi="Arial" w:cs="Arial"/>
          <w:bCs/>
          <w:color w:val="000000" w:themeColor="text1"/>
        </w:rPr>
        <w:t>Facione</w:t>
      </w:r>
      <w:proofErr w:type="spellEnd"/>
      <w:r w:rsidRPr="00C4706A">
        <w:rPr>
          <w:rFonts w:ascii="Arial" w:hAnsi="Arial" w:cs="Arial"/>
          <w:bCs/>
          <w:color w:val="000000" w:themeColor="text1"/>
        </w:rPr>
        <w:t>, 2011; Paul &amp; Elder, 2014).</w:t>
      </w:r>
    </w:p>
    <w:p w14:paraId="0C216F07" w14:textId="77777777" w:rsidR="00C4706A" w:rsidRPr="00C4706A" w:rsidRDefault="00C4706A" w:rsidP="00C4706A">
      <w:pPr>
        <w:jc w:val="both"/>
        <w:rPr>
          <w:rFonts w:ascii="Arial" w:hAnsi="Arial" w:cs="Arial"/>
          <w:b/>
          <w:color w:val="000000" w:themeColor="text1"/>
        </w:rPr>
      </w:pPr>
    </w:p>
    <w:p w14:paraId="79AD1DE1" w14:textId="77777777" w:rsidR="00C4706A" w:rsidRPr="00C4706A" w:rsidRDefault="00C4706A" w:rsidP="00C4706A">
      <w:pPr>
        <w:jc w:val="both"/>
        <w:rPr>
          <w:rFonts w:ascii="Arial" w:hAnsi="Arial" w:cs="Arial"/>
          <w:b/>
          <w:color w:val="000000" w:themeColor="text1"/>
          <w:sz w:val="22"/>
          <w:szCs w:val="22"/>
        </w:rPr>
      </w:pPr>
      <w:r w:rsidRPr="00C4706A">
        <w:rPr>
          <w:rFonts w:ascii="Arial" w:hAnsi="Arial" w:cs="Arial"/>
          <w:b/>
          <w:color w:val="000000" w:themeColor="text1"/>
          <w:sz w:val="22"/>
          <w:szCs w:val="22"/>
        </w:rPr>
        <w:t>3.6 Creating</w:t>
      </w:r>
    </w:p>
    <w:p w14:paraId="016045BD" w14:textId="77777777" w:rsidR="00C4706A" w:rsidRPr="00C4706A" w:rsidRDefault="00C4706A" w:rsidP="00C4706A">
      <w:pPr>
        <w:jc w:val="both"/>
        <w:rPr>
          <w:rFonts w:ascii="Arial" w:hAnsi="Arial" w:cs="Arial"/>
          <w:b/>
          <w:color w:val="000000" w:themeColor="text1"/>
        </w:rPr>
      </w:pPr>
    </w:p>
    <w:p w14:paraId="38B1CA97" w14:textId="4D3B01B2" w:rsidR="00C4706A" w:rsidRPr="00C4706A" w:rsidRDefault="00C4706A" w:rsidP="00C4706A">
      <w:pPr>
        <w:ind w:firstLine="720"/>
        <w:jc w:val="both"/>
        <w:rPr>
          <w:rFonts w:ascii="Arial" w:hAnsi="Arial" w:cs="Arial"/>
          <w:bCs/>
          <w:color w:val="000000" w:themeColor="text1"/>
        </w:rPr>
      </w:pPr>
      <w:r w:rsidRPr="00C4706A">
        <w:rPr>
          <w:rFonts w:ascii="Arial" w:hAnsi="Arial" w:cs="Arial"/>
          <w:bCs/>
          <w:color w:val="000000" w:themeColor="text1"/>
        </w:rPr>
        <w:t>In the Creating domain, 28.30% of respondents were at a high level, demonstrating the ability to generate structures, combine ideas, and create new outputs (</w:t>
      </w:r>
      <w:proofErr w:type="spellStart"/>
      <w:r w:rsidRPr="00C4706A">
        <w:rPr>
          <w:rFonts w:ascii="Arial" w:hAnsi="Arial" w:cs="Arial"/>
          <w:bCs/>
          <w:color w:val="000000" w:themeColor="text1"/>
        </w:rPr>
        <w:t>Kobylarek</w:t>
      </w:r>
      <w:proofErr w:type="spellEnd"/>
      <w:r w:rsidRPr="00C4706A">
        <w:rPr>
          <w:rFonts w:ascii="Arial" w:hAnsi="Arial" w:cs="Arial"/>
          <w:bCs/>
          <w:color w:val="000000" w:themeColor="text1"/>
        </w:rPr>
        <w:t xml:space="preserve"> et al., 2022). Most respondents (69.81%) were at the average level, able to produce ideas but lacking refinement or depth (Brookhart, 2010). A small group (5.66%) scored low, showing difficulty in developing original ideas or synthesizing knowledge. Limited creative thinking may restrict students’ readiness for careers in innovation</w:t>
      </w:r>
      <w:r w:rsidRPr="00C4706A">
        <w:rPr>
          <w:rFonts w:ascii="Cambria Math" w:hAnsi="Cambria Math" w:cs="Cambria Math"/>
          <w:bCs/>
          <w:color w:val="000000" w:themeColor="text1"/>
        </w:rPr>
        <w:t>‑</w:t>
      </w:r>
      <w:r w:rsidRPr="00C4706A">
        <w:rPr>
          <w:rFonts w:ascii="Arial" w:hAnsi="Arial" w:cs="Arial"/>
          <w:bCs/>
          <w:color w:val="000000" w:themeColor="text1"/>
        </w:rPr>
        <w:t>driven fields (World Economic Forum, 2020).</w:t>
      </w:r>
      <w:r w:rsidR="008E607B">
        <w:rPr>
          <w:rFonts w:ascii="Arial" w:hAnsi="Arial" w:cs="Arial"/>
          <w:bCs/>
          <w:color w:val="000000" w:themeColor="text1"/>
        </w:rPr>
        <w:t xml:space="preserve"> </w:t>
      </w:r>
      <w:r w:rsidR="008E607B" w:rsidRPr="008E607B">
        <w:rPr>
          <w:rFonts w:ascii="Arial" w:hAnsi="Arial" w:cs="Arial"/>
          <w:bCs/>
          <w:color w:val="000000" w:themeColor="text1"/>
        </w:rPr>
        <w:t>Recent findings also suggest that mathematical creativity self-efficacy plays an important role, as students with stronger confidence in their creative ability are more likely to use flexible strategies and produce innovative solutions (Mangal et al., 2025).</w:t>
      </w:r>
    </w:p>
    <w:p w14:paraId="7BF0C7DA" w14:textId="77777777" w:rsidR="00C4706A" w:rsidRPr="00C4706A" w:rsidRDefault="00C4706A" w:rsidP="00C858ED">
      <w:pPr>
        <w:jc w:val="both"/>
        <w:rPr>
          <w:rFonts w:ascii="Arial" w:hAnsi="Arial" w:cs="Arial"/>
          <w:bCs/>
          <w:color w:val="000000" w:themeColor="text1"/>
        </w:rPr>
      </w:pPr>
    </w:p>
    <w:p w14:paraId="5EC2BC64" w14:textId="77777777" w:rsidR="00C4706A" w:rsidRPr="00C4706A" w:rsidRDefault="00C4706A" w:rsidP="00C4706A">
      <w:pPr>
        <w:tabs>
          <w:tab w:val="left" w:pos="2173"/>
        </w:tabs>
        <w:ind w:right="-72"/>
        <w:jc w:val="both"/>
        <w:rPr>
          <w:rFonts w:ascii="Arial" w:eastAsia="Arial" w:hAnsi="Arial" w:cs="Arial"/>
          <w:b/>
          <w:bCs/>
        </w:rPr>
      </w:pPr>
      <w:r w:rsidRPr="00C4706A">
        <w:rPr>
          <w:rFonts w:ascii="Arial" w:eastAsia="Arial" w:hAnsi="Arial" w:cs="Arial"/>
          <w:b/>
          <w:bCs/>
        </w:rPr>
        <w:t>Table 2: The Respondents’ Descriptive Result of Critical Thinking</w:t>
      </w:r>
    </w:p>
    <w:tbl>
      <w:tblPr>
        <w:tblW w:w="8290" w:type="dxa"/>
        <w:tblInd w:w="-10" w:type="dxa"/>
        <w:tblLayout w:type="fixed"/>
        <w:tblLook w:val="0400" w:firstRow="0" w:lastRow="0" w:firstColumn="0" w:lastColumn="0" w:noHBand="0" w:noVBand="1"/>
      </w:tblPr>
      <w:tblGrid>
        <w:gridCol w:w="1540"/>
        <w:gridCol w:w="1350"/>
        <w:gridCol w:w="1980"/>
        <w:gridCol w:w="1440"/>
        <w:gridCol w:w="1980"/>
      </w:tblGrid>
      <w:tr w:rsidR="00C4706A" w:rsidRPr="00747C26" w14:paraId="7AB6F25A" w14:textId="77777777" w:rsidTr="00C4706A">
        <w:trPr>
          <w:trHeight w:val="318"/>
        </w:trPr>
        <w:tc>
          <w:tcPr>
            <w:tcW w:w="1540" w:type="dxa"/>
            <w:tcBorders>
              <w:top w:val="single" w:sz="24" w:space="0" w:color="000000"/>
              <w:bottom w:val="single" w:sz="4" w:space="0" w:color="000000"/>
            </w:tcBorders>
            <w:vAlign w:val="center"/>
          </w:tcPr>
          <w:p w14:paraId="6FC2204B" w14:textId="77777777" w:rsidR="00C4706A" w:rsidRPr="00747C26" w:rsidRDefault="00C4706A" w:rsidP="003A6EBD">
            <w:pPr>
              <w:ind w:right="-72"/>
              <w:jc w:val="center"/>
              <w:rPr>
                <w:rFonts w:ascii="Arial" w:eastAsia="Arial" w:hAnsi="Arial" w:cs="Arial"/>
                <w:b/>
                <w:color w:val="000000"/>
              </w:rPr>
            </w:pPr>
            <w:r>
              <w:rPr>
                <w:rFonts w:ascii="Arial" w:eastAsia="Arial" w:hAnsi="Arial" w:cs="Arial"/>
                <w:b/>
                <w:color w:val="000000"/>
              </w:rPr>
              <w:t>DOMAIN</w:t>
            </w:r>
          </w:p>
        </w:tc>
        <w:tc>
          <w:tcPr>
            <w:tcW w:w="1350" w:type="dxa"/>
            <w:tcBorders>
              <w:top w:val="single" w:sz="24" w:space="0" w:color="000000"/>
              <w:bottom w:val="single" w:sz="4" w:space="0" w:color="000000"/>
            </w:tcBorders>
            <w:vAlign w:val="center"/>
          </w:tcPr>
          <w:p w14:paraId="055DC088" w14:textId="77777777" w:rsidR="00C4706A" w:rsidRPr="00747C26" w:rsidRDefault="00C4706A" w:rsidP="003A6EBD">
            <w:pPr>
              <w:ind w:right="-72"/>
              <w:jc w:val="center"/>
              <w:rPr>
                <w:rFonts w:ascii="Arial" w:eastAsia="Arial" w:hAnsi="Arial" w:cs="Arial"/>
                <w:b/>
                <w:color w:val="000000"/>
              </w:rPr>
            </w:pPr>
            <w:r>
              <w:rPr>
                <w:rFonts w:ascii="Arial" w:eastAsia="Arial" w:hAnsi="Arial" w:cs="Arial"/>
                <w:b/>
                <w:color w:val="000000"/>
              </w:rPr>
              <w:t>LOW LEVEL</w:t>
            </w:r>
          </w:p>
        </w:tc>
        <w:tc>
          <w:tcPr>
            <w:tcW w:w="1980" w:type="dxa"/>
            <w:tcBorders>
              <w:top w:val="single" w:sz="24" w:space="0" w:color="000000"/>
              <w:bottom w:val="single" w:sz="4" w:space="0" w:color="000000"/>
            </w:tcBorders>
            <w:vAlign w:val="center"/>
          </w:tcPr>
          <w:p w14:paraId="78AFC871" w14:textId="77777777" w:rsidR="00C4706A" w:rsidRPr="00747C26" w:rsidRDefault="00C4706A" w:rsidP="003A6EBD">
            <w:pPr>
              <w:ind w:right="-72"/>
              <w:jc w:val="center"/>
              <w:rPr>
                <w:rFonts w:ascii="Arial" w:eastAsia="Arial" w:hAnsi="Arial" w:cs="Arial"/>
                <w:b/>
                <w:color w:val="000000"/>
              </w:rPr>
            </w:pPr>
            <w:r>
              <w:rPr>
                <w:rFonts w:ascii="Arial" w:eastAsia="Arial" w:hAnsi="Arial" w:cs="Arial"/>
                <w:b/>
                <w:color w:val="000000"/>
              </w:rPr>
              <w:t>AVERAGE LEVEL</w:t>
            </w:r>
          </w:p>
        </w:tc>
        <w:tc>
          <w:tcPr>
            <w:tcW w:w="1440" w:type="dxa"/>
            <w:tcBorders>
              <w:top w:val="single" w:sz="24" w:space="0" w:color="000000"/>
              <w:bottom w:val="single" w:sz="4" w:space="0" w:color="000000"/>
            </w:tcBorders>
            <w:vAlign w:val="center"/>
          </w:tcPr>
          <w:p w14:paraId="0AA9893F" w14:textId="77777777" w:rsidR="00C4706A" w:rsidRPr="00747C26" w:rsidRDefault="00C4706A" w:rsidP="003A6EBD">
            <w:pPr>
              <w:ind w:right="-72"/>
              <w:jc w:val="center"/>
              <w:rPr>
                <w:rFonts w:ascii="Arial" w:eastAsia="Arial" w:hAnsi="Arial" w:cs="Arial"/>
                <w:b/>
                <w:color w:val="000000"/>
              </w:rPr>
            </w:pPr>
            <w:r>
              <w:rPr>
                <w:rFonts w:ascii="Arial" w:eastAsia="Arial" w:hAnsi="Arial" w:cs="Arial"/>
                <w:b/>
                <w:color w:val="000000"/>
              </w:rPr>
              <w:t>HIGH LEVEL</w:t>
            </w:r>
          </w:p>
        </w:tc>
        <w:tc>
          <w:tcPr>
            <w:tcW w:w="1980" w:type="dxa"/>
            <w:tcBorders>
              <w:top w:val="single" w:sz="24" w:space="0" w:color="000000"/>
              <w:bottom w:val="single" w:sz="4" w:space="0" w:color="000000"/>
            </w:tcBorders>
            <w:vAlign w:val="center"/>
          </w:tcPr>
          <w:p w14:paraId="2502E279" w14:textId="77777777" w:rsidR="00C4706A" w:rsidRDefault="00C4706A" w:rsidP="003A6EBD">
            <w:pPr>
              <w:ind w:right="-72"/>
              <w:jc w:val="center"/>
              <w:rPr>
                <w:rFonts w:ascii="Arial" w:eastAsia="Arial" w:hAnsi="Arial" w:cs="Arial"/>
                <w:b/>
                <w:color w:val="000000"/>
              </w:rPr>
            </w:pPr>
            <w:r>
              <w:rPr>
                <w:rFonts w:ascii="Arial" w:eastAsia="Arial" w:hAnsi="Arial" w:cs="Arial"/>
                <w:b/>
                <w:color w:val="000000"/>
              </w:rPr>
              <w:t>TOTAL</w:t>
            </w:r>
          </w:p>
        </w:tc>
      </w:tr>
      <w:tr w:rsidR="00C4706A" w:rsidRPr="00747C26" w14:paraId="5F84AB3E" w14:textId="77777777" w:rsidTr="00C4706A">
        <w:tc>
          <w:tcPr>
            <w:tcW w:w="1540" w:type="dxa"/>
            <w:tcBorders>
              <w:top w:val="single" w:sz="4" w:space="0" w:color="000000"/>
            </w:tcBorders>
            <w:vAlign w:val="center"/>
          </w:tcPr>
          <w:p w14:paraId="577C61F4"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Remembering</w:t>
            </w:r>
          </w:p>
          <w:p w14:paraId="59C69FD6"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tcBorders>
              <w:top w:val="single" w:sz="4" w:space="0" w:color="000000"/>
            </w:tcBorders>
            <w:vAlign w:val="center"/>
          </w:tcPr>
          <w:p w14:paraId="33EEB88C"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5</w:t>
            </w:r>
          </w:p>
          <w:p w14:paraId="682AAA99"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(4.72)</w:t>
            </w:r>
          </w:p>
        </w:tc>
        <w:tc>
          <w:tcPr>
            <w:tcW w:w="1980" w:type="dxa"/>
            <w:tcBorders>
              <w:top w:val="single" w:sz="4" w:space="0" w:color="000000"/>
            </w:tcBorders>
            <w:vAlign w:val="center"/>
          </w:tcPr>
          <w:p w14:paraId="47DFA452"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53</w:t>
            </w:r>
          </w:p>
          <w:p w14:paraId="69AFB77A"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(50.00)</w:t>
            </w:r>
          </w:p>
        </w:tc>
        <w:tc>
          <w:tcPr>
            <w:tcW w:w="1440" w:type="dxa"/>
            <w:tcBorders>
              <w:top w:val="single" w:sz="4" w:space="0" w:color="000000"/>
            </w:tcBorders>
            <w:vAlign w:val="center"/>
          </w:tcPr>
          <w:p w14:paraId="151EAD6C"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48</w:t>
            </w:r>
          </w:p>
          <w:p w14:paraId="54EFC380"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(45.28)</w:t>
            </w:r>
          </w:p>
        </w:tc>
        <w:tc>
          <w:tcPr>
            <w:tcW w:w="1980" w:type="dxa"/>
            <w:tcBorders>
              <w:top w:val="single" w:sz="4" w:space="0" w:color="000000"/>
            </w:tcBorders>
            <w:vAlign w:val="center"/>
          </w:tcPr>
          <w:p w14:paraId="0D2BF958"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106</w:t>
            </w:r>
          </w:p>
          <w:p w14:paraId="6B095166"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(100.00)</w:t>
            </w:r>
          </w:p>
        </w:tc>
      </w:tr>
      <w:tr w:rsidR="00C4706A" w:rsidRPr="00747C26" w14:paraId="427B9B0D" w14:textId="77777777" w:rsidTr="00C4706A">
        <w:tc>
          <w:tcPr>
            <w:tcW w:w="1540" w:type="dxa"/>
            <w:vAlign w:val="center"/>
          </w:tcPr>
          <w:p w14:paraId="7FAA46A8"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Understanding</w:t>
            </w:r>
          </w:p>
          <w:p w14:paraId="426592C4"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vAlign w:val="center"/>
          </w:tcPr>
          <w:p w14:paraId="4DBC4D3B"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6</w:t>
            </w:r>
          </w:p>
          <w:p w14:paraId="4BEBBD14"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(5.66)</w:t>
            </w:r>
          </w:p>
        </w:tc>
        <w:tc>
          <w:tcPr>
            <w:tcW w:w="1980" w:type="dxa"/>
            <w:vAlign w:val="center"/>
          </w:tcPr>
          <w:p w14:paraId="2DC190A4"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71</w:t>
            </w:r>
          </w:p>
          <w:p w14:paraId="75D6BE63"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(66.98)</w:t>
            </w:r>
          </w:p>
        </w:tc>
        <w:tc>
          <w:tcPr>
            <w:tcW w:w="1440" w:type="dxa"/>
            <w:vAlign w:val="center"/>
          </w:tcPr>
          <w:p w14:paraId="4A52E1DD"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29</w:t>
            </w:r>
          </w:p>
          <w:p w14:paraId="68AFA589"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(27.36)</w:t>
            </w:r>
          </w:p>
        </w:tc>
        <w:tc>
          <w:tcPr>
            <w:tcW w:w="1980" w:type="dxa"/>
            <w:vAlign w:val="center"/>
          </w:tcPr>
          <w:p w14:paraId="356E7933"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106</w:t>
            </w:r>
          </w:p>
          <w:p w14:paraId="6A2C59BD"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(100.00)</w:t>
            </w:r>
          </w:p>
        </w:tc>
      </w:tr>
      <w:tr w:rsidR="00C4706A" w:rsidRPr="00747C26" w14:paraId="4BFE7BFC" w14:textId="77777777" w:rsidTr="00C4706A">
        <w:tc>
          <w:tcPr>
            <w:tcW w:w="1540" w:type="dxa"/>
            <w:vAlign w:val="center"/>
          </w:tcPr>
          <w:p w14:paraId="1AF81113"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Applying</w:t>
            </w:r>
          </w:p>
          <w:p w14:paraId="39B3C717"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vAlign w:val="center"/>
          </w:tcPr>
          <w:p w14:paraId="40E9983E"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3</w:t>
            </w:r>
          </w:p>
          <w:p w14:paraId="5C826906"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(2.83)</w:t>
            </w:r>
          </w:p>
        </w:tc>
        <w:tc>
          <w:tcPr>
            <w:tcW w:w="1980" w:type="dxa"/>
            <w:vAlign w:val="center"/>
          </w:tcPr>
          <w:p w14:paraId="1203F79B"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34</w:t>
            </w:r>
          </w:p>
          <w:p w14:paraId="3D3EA26A"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(32.08)</w:t>
            </w:r>
          </w:p>
        </w:tc>
        <w:tc>
          <w:tcPr>
            <w:tcW w:w="1440" w:type="dxa"/>
            <w:vAlign w:val="center"/>
          </w:tcPr>
          <w:p w14:paraId="26E9A3B0"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69</w:t>
            </w:r>
          </w:p>
          <w:p w14:paraId="6C394EFB"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(65.09)</w:t>
            </w:r>
          </w:p>
        </w:tc>
        <w:tc>
          <w:tcPr>
            <w:tcW w:w="1980" w:type="dxa"/>
            <w:vAlign w:val="center"/>
          </w:tcPr>
          <w:p w14:paraId="6D97EE4A"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106</w:t>
            </w:r>
          </w:p>
          <w:p w14:paraId="789D7781"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(100.00)</w:t>
            </w:r>
          </w:p>
        </w:tc>
      </w:tr>
      <w:tr w:rsidR="00C4706A" w:rsidRPr="00747C26" w14:paraId="08C0F377" w14:textId="77777777" w:rsidTr="00C4706A">
        <w:tc>
          <w:tcPr>
            <w:tcW w:w="1540" w:type="dxa"/>
            <w:vAlign w:val="center"/>
          </w:tcPr>
          <w:p w14:paraId="7CE75094"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Analyzing</w:t>
            </w:r>
          </w:p>
          <w:p w14:paraId="510B3C65"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vAlign w:val="center"/>
          </w:tcPr>
          <w:p w14:paraId="3718C7A2"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2</w:t>
            </w:r>
          </w:p>
          <w:p w14:paraId="4CAF5CA1"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(1.89)</w:t>
            </w:r>
          </w:p>
        </w:tc>
        <w:tc>
          <w:tcPr>
            <w:tcW w:w="1980" w:type="dxa"/>
            <w:vAlign w:val="center"/>
          </w:tcPr>
          <w:p w14:paraId="7E8170F7"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61</w:t>
            </w:r>
          </w:p>
          <w:p w14:paraId="46D7A3D3"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(57.55)</w:t>
            </w:r>
          </w:p>
        </w:tc>
        <w:tc>
          <w:tcPr>
            <w:tcW w:w="1440" w:type="dxa"/>
            <w:vAlign w:val="center"/>
          </w:tcPr>
          <w:p w14:paraId="59B4A54D"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43</w:t>
            </w:r>
          </w:p>
          <w:p w14:paraId="0236580A"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(40.57)</w:t>
            </w:r>
          </w:p>
        </w:tc>
        <w:tc>
          <w:tcPr>
            <w:tcW w:w="1980" w:type="dxa"/>
            <w:vAlign w:val="center"/>
          </w:tcPr>
          <w:p w14:paraId="79DC1BAC"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106</w:t>
            </w:r>
          </w:p>
          <w:p w14:paraId="0C1E7D7E"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(100.00)</w:t>
            </w:r>
          </w:p>
        </w:tc>
      </w:tr>
      <w:tr w:rsidR="00C4706A" w:rsidRPr="00747C26" w14:paraId="37DA0952" w14:textId="77777777" w:rsidTr="00C4706A">
        <w:tc>
          <w:tcPr>
            <w:tcW w:w="1540" w:type="dxa"/>
            <w:vAlign w:val="center"/>
          </w:tcPr>
          <w:p w14:paraId="6D48C18B"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Evaluating</w:t>
            </w:r>
          </w:p>
          <w:p w14:paraId="1B35DCDF"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vAlign w:val="center"/>
          </w:tcPr>
          <w:p w14:paraId="7C6715B9" w14:textId="77777777" w:rsidR="00C4706A" w:rsidRDefault="00C4706A" w:rsidP="003A6EBD">
            <w:pPr>
              <w:ind w:right="-72"/>
              <w:jc w:val="center"/>
              <w:rPr>
                <w:rFonts w:ascii="Arial" w:hAnsi="Arial" w:cs="Arial"/>
              </w:rPr>
            </w:pPr>
            <w:r>
              <w:rPr>
                <w:rFonts w:ascii="Arial" w:hAnsi="Arial" w:cs="Arial"/>
              </w:rPr>
              <w:t>2</w:t>
            </w:r>
          </w:p>
          <w:p w14:paraId="19B95BB0" w14:textId="77777777" w:rsidR="00C4706A" w:rsidRPr="00747C26" w:rsidRDefault="00C4706A" w:rsidP="003A6EBD">
            <w:pPr>
              <w:ind w:right="-72"/>
              <w:jc w:val="center"/>
              <w:rPr>
                <w:rFonts w:ascii="Arial" w:hAnsi="Arial" w:cs="Arial"/>
              </w:rPr>
            </w:pPr>
            <w:r>
              <w:rPr>
                <w:rFonts w:ascii="Arial" w:hAnsi="Arial" w:cs="Arial"/>
              </w:rPr>
              <w:t>(1.89)</w:t>
            </w:r>
          </w:p>
        </w:tc>
        <w:tc>
          <w:tcPr>
            <w:tcW w:w="1980" w:type="dxa"/>
            <w:vAlign w:val="center"/>
          </w:tcPr>
          <w:p w14:paraId="76FF1D9D" w14:textId="77777777" w:rsidR="00C4706A" w:rsidRDefault="00C4706A" w:rsidP="003A6EBD">
            <w:pPr>
              <w:ind w:right="-72"/>
              <w:jc w:val="center"/>
              <w:rPr>
                <w:rFonts w:ascii="Arial" w:hAnsi="Arial" w:cs="Arial"/>
              </w:rPr>
            </w:pPr>
            <w:r>
              <w:rPr>
                <w:rFonts w:ascii="Arial" w:hAnsi="Arial" w:cs="Arial"/>
              </w:rPr>
              <w:t>23</w:t>
            </w:r>
          </w:p>
          <w:p w14:paraId="34201675" w14:textId="77777777" w:rsidR="00C4706A" w:rsidRPr="00747C26" w:rsidRDefault="00C4706A" w:rsidP="003A6EBD">
            <w:pPr>
              <w:ind w:right="-72"/>
              <w:jc w:val="center"/>
              <w:rPr>
                <w:rFonts w:ascii="Arial" w:hAnsi="Arial" w:cs="Arial"/>
              </w:rPr>
            </w:pPr>
            <w:r>
              <w:rPr>
                <w:rFonts w:ascii="Arial" w:hAnsi="Arial" w:cs="Arial"/>
              </w:rPr>
              <w:t>(21.70)</w:t>
            </w:r>
          </w:p>
        </w:tc>
        <w:tc>
          <w:tcPr>
            <w:tcW w:w="1440" w:type="dxa"/>
            <w:vAlign w:val="center"/>
          </w:tcPr>
          <w:p w14:paraId="4E0A5B3F" w14:textId="77777777" w:rsidR="00C4706A" w:rsidRDefault="00C4706A" w:rsidP="003A6EBD">
            <w:pPr>
              <w:ind w:right="-72"/>
              <w:jc w:val="center"/>
              <w:rPr>
                <w:rFonts w:ascii="Arial" w:hAnsi="Arial" w:cs="Arial"/>
              </w:rPr>
            </w:pPr>
            <w:r>
              <w:rPr>
                <w:rFonts w:ascii="Arial" w:hAnsi="Arial" w:cs="Arial"/>
              </w:rPr>
              <w:t>81</w:t>
            </w:r>
          </w:p>
          <w:p w14:paraId="7E5B6A6E" w14:textId="77777777" w:rsidR="00C4706A" w:rsidRPr="00747C26" w:rsidRDefault="00C4706A" w:rsidP="003A6EBD">
            <w:pPr>
              <w:ind w:right="-72"/>
              <w:jc w:val="center"/>
              <w:rPr>
                <w:rFonts w:ascii="Arial" w:hAnsi="Arial" w:cs="Arial"/>
              </w:rPr>
            </w:pPr>
            <w:r>
              <w:rPr>
                <w:rFonts w:ascii="Arial" w:hAnsi="Arial" w:cs="Arial"/>
              </w:rPr>
              <w:t>(76.42)</w:t>
            </w:r>
          </w:p>
        </w:tc>
        <w:tc>
          <w:tcPr>
            <w:tcW w:w="1980" w:type="dxa"/>
            <w:vAlign w:val="center"/>
          </w:tcPr>
          <w:p w14:paraId="140F0968" w14:textId="77777777" w:rsidR="00C4706A" w:rsidRDefault="00C4706A" w:rsidP="003A6EBD">
            <w:pPr>
              <w:ind w:right="-72"/>
              <w:jc w:val="center"/>
              <w:rPr>
                <w:rFonts w:ascii="Arial" w:hAnsi="Arial" w:cs="Arial"/>
              </w:rPr>
            </w:pPr>
            <w:r>
              <w:rPr>
                <w:rFonts w:ascii="Arial" w:hAnsi="Arial" w:cs="Arial"/>
              </w:rPr>
              <w:t>106</w:t>
            </w:r>
          </w:p>
          <w:p w14:paraId="1FE88F9C" w14:textId="77777777" w:rsidR="00C4706A" w:rsidRPr="00747C26" w:rsidRDefault="00C4706A" w:rsidP="003A6EBD">
            <w:pPr>
              <w:ind w:right="-72"/>
              <w:jc w:val="center"/>
              <w:rPr>
                <w:rFonts w:ascii="Arial" w:hAnsi="Arial" w:cs="Arial"/>
              </w:rPr>
            </w:pPr>
            <w:r>
              <w:rPr>
                <w:rFonts w:ascii="Arial" w:eastAsia="Arial" w:hAnsi="Arial" w:cs="Arial"/>
                <w:color w:val="000000"/>
              </w:rPr>
              <w:t>(100.00)</w:t>
            </w:r>
          </w:p>
        </w:tc>
      </w:tr>
      <w:tr w:rsidR="00C4706A" w:rsidRPr="00747C26" w14:paraId="4198C40B" w14:textId="77777777" w:rsidTr="00C4706A">
        <w:tc>
          <w:tcPr>
            <w:tcW w:w="1540" w:type="dxa"/>
            <w:vAlign w:val="center"/>
          </w:tcPr>
          <w:p w14:paraId="42A46ABA"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Creating</w:t>
            </w:r>
          </w:p>
          <w:p w14:paraId="389F368A" w14:textId="77777777" w:rsidR="00C4706A" w:rsidRPr="00747C26"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vAlign w:val="center"/>
          </w:tcPr>
          <w:p w14:paraId="4EFC2539" w14:textId="77777777" w:rsidR="00C4706A" w:rsidRDefault="00C4706A" w:rsidP="003A6EBD">
            <w:pPr>
              <w:ind w:right="-72"/>
              <w:jc w:val="center"/>
              <w:rPr>
                <w:rFonts w:ascii="Arial" w:hAnsi="Arial" w:cs="Arial"/>
              </w:rPr>
            </w:pPr>
            <w:r>
              <w:rPr>
                <w:rFonts w:ascii="Arial" w:hAnsi="Arial" w:cs="Arial"/>
              </w:rPr>
              <w:t>2</w:t>
            </w:r>
          </w:p>
          <w:p w14:paraId="3A2CD46C" w14:textId="77777777" w:rsidR="00C4706A" w:rsidRPr="00747C26" w:rsidRDefault="00C4706A" w:rsidP="003A6EBD">
            <w:pPr>
              <w:ind w:right="-72"/>
              <w:jc w:val="center"/>
              <w:rPr>
                <w:rFonts w:ascii="Arial" w:hAnsi="Arial" w:cs="Arial"/>
              </w:rPr>
            </w:pPr>
            <w:r>
              <w:rPr>
                <w:rFonts w:ascii="Arial" w:hAnsi="Arial" w:cs="Arial"/>
              </w:rPr>
              <w:t>(1.89)</w:t>
            </w:r>
          </w:p>
        </w:tc>
        <w:tc>
          <w:tcPr>
            <w:tcW w:w="1980" w:type="dxa"/>
            <w:vAlign w:val="center"/>
          </w:tcPr>
          <w:p w14:paraId="64DE0F78" w14:textId="77777777" w:rsidR="00C4706A" w:rsidRDefault="00C4706A" w:rsidP="003A6EBD">
            <w:pPr>
              <w:ind w:right="-72"/>
              <w:jc w:val="center"/>
              <w:rPr>
                <w:rFonts w:ascii="Arial" w:hAnsi="Arial" w:cs="Arial"/>
              </w:rPr>
            </w:pPr>
            <w:r>
              <w:rPr>
                <w:rFonts w:ascii="Arial" w:hAnsi="Arial" w:cs="Arial"/>
              </w:rPr>
              <w:t>74</w:t>
            </w:r>
          </w:p>
          <w:p w14:paraId="36045F70" w14:textId="77777777" w:rsidR="00C4706A" w:rsidRPr="00747C26" w:rsidRDefault="00C4706A" w:rsidP="003A6EBD">
            <w:pPr>
              <w:ind w:right="-72"/>
              <w:jc w:val="center"/>
              <w:rPr>
                <w:rFonts w:ascii="Arial" w:hAnsi="Arial" w:cs="Arial"/>
              </w:rPr>
            </w:pPr>
            <w:r>
              <w:rPr>
                <w:rFonts w:ascii="Arial" w:hAnsi="Arial" w:cs="Arial"/>
              </w:rPr>
              <w:t>(69.81)</w:t>
            </w:r>
          </w:p>
        </w:tc>
        <w:tc>
          <w:tcPr>
            <w:tcW w:w="1440" w:type="dxa"/>
            <w:vAlign w:val="center"/>
          </w:tcPr>
          <w:p w14:paraId="60CE144B" w14:textId="77777777" w:rsidR="00C4706A" w:rsidRDefault="00C4706A" w:rsidP="003A6EBD">
            <w:pPr>
              <w:ind w:right="-72"/>
              <w:jc w:val="center"/>
              <w:rPr>
                <w:rFonts w:ascii="Arial" w:hAnsi="Arial" w:cs="Arial"/>
              </w:rPr>
            </w:pPr>
            <w:r>
              <w:rPr>
                <w:rFonts w:ascii="Arial" w:hAnsi="Arial" w:cs="Arial"/>
              </w:rPr>
              <w:t>30</w:t>
            </w:r>
          </w:p>
          <w:p w14:paraId="5CED5B75" w14:textId="77777777" w:rsidR="00C4706A" w:rsidRPr="00747C26" w:rsidRDefault="00C4706A" w:rsidP="003A6EBD">
            <w:pPr>
              <w:ind w:right="-72"/>
              <w:jc w:val="center"/>
              <w:rPr>
                <w:rFonts w:ascii="Arial" w:hAnsi="Arial" w:cs="Arial"/>
              </w:rPr>
            </w:pPr>
            <w:r>
              <w:rPr>
                <w:rFonts w:ascii="Arial" w:hAnsi="Arial" w:cs="Arial"/>
              </w:rPr>
              <w:t>(28.30)</w:t>
            </w:r>
          </w:p>
        </w:tc>
        <w:tc>
          <w:tcPr>
            <w:tcW w:w="1980" w:type="dxa"/>
            <w:vAlign w:val="center"/>
          </w:tcPr>
          <w:p w14:paraId="18DA8C05" w14:textId="77777777" w:rsidR="00C4706A" w:rsidRDefault="00C4706A" w:rsidP="003A6EBD">
            <w:pPr>
              <w:ind w:right="-72"/>
              <w:jc w:val="center"/>
              <w:rPr>
                <w:rFonts w:ascii="Arial" w:hAnsi="Arial" w:cs="Arial"/>
              </w:rPr>
            </w:pPr>
            <w:r>
              <w:rPr>
                <w:rFonts w:ascii="Arial" w:hAnsi="Arial" w:cs="Arial"/>
              </w:rPr>
              <w:t>106</w:t>
            </w:r>
          </w:p>
          <w:p w14:paraId="133A609B" w14:textId="77777777" w:rsidR="00C4706A" w:rsidRPr="00747C26" w:rsidRDefault="00C4706A" w:rsidP="003A6EBD">
            <w:pPr>
              <w:ind w:right="-72"/>
              <w:jc w:val="center"/>
              <w:rPr>
                <w:rFonts w:ascii="Arial" w:hAnsi="Arial" w:cs="Arial"/>
              </w:rPr>
            </w:pPr>
            <w:r>
              <w:rPr>
                <w:rFonts w:ascii="Arial" w:eastAsia="Arial" w:hAnsi="Arial" w:cs="Arial"/>
                <w:color w:val="000000"/>
              </w:rPr>
              <w:t>(100.00)</w:t>
            </w:r>
          </w:p>
        </w:tc>
      </w:tr>
      <w:tr w:rsidR="00C4706A" w:rsidRPr="00747C26" w14:paraId="4ED8F886" w14:textId="77777777" w:rsidTr="00C4706A">
        <w:tc>
          <w:tcPr>
            <w:tcW w:w="1540" w:type="dxa"/>
            <w:tcBorders>
              <w:bottom w:val="single" w:sz="24" w:space="0" w:color="000000"/>
            </w:tcBorders>
            <w:vAlign w:val="center"/>
          </w:tcPr>
          <w:p w14:paraId="1CA5BA82"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Overall Score</w:t>
            </w:r>
          </w:p>
          <w:p w14:paraId="1CF0BEE8" w14:textId="77777777" w:rsidR="00C4706A" w:rsidRDefault="00C4706A" w:rsidP="003A6EBD">
            <w:pPr>
              <w:ind w:right="-72"/>
              <w:jc w:val="center"/>
              <w:rPr>
                <w:rFonts w:ascii="Arial" w:eastAsia="Arial" w:hAnsi="Arial" w:cs="Arial"/>
                <w:color w:val="000000"/>
              </w:rPr>
            </w:pPr>
            <w:r>
              <w:rPr>
                <w:rFonts w:ascii="Arial" w:eastAsia="Arial" w:hAnsi="Arial" w:cs="Arial"/>
                <w:color w:val="000000"/>
              </w:rPr>
              <w:t>(%)</w:t>
            </w:r>
          </w:p>
        </w:tc>
        <w:tc>
          <w:tcPr>
            <w:tcW w:w="1350" w:type="dxa"/>
            <w:tcBorders>
              <w:bottom w:val="single" w:sz="24" w:space="0" w:color="000000"/>
            </w:tcBorders>
            <w:vAlign w:val="center"/>
          </w:tcPr>
          <w:p w14:paraId="5AD88E2A" w14:textId="77777777" w:rsidR="00C4706A" w:rsidRDefault="00C4706A" w:rsidP="003A6EBD">
            <w:pPr>
              <w:ind w:right="-72"/>
              <w:jc w:val="center"/>
              <w:rPr>
                <w:rFonts w:ascii="Arial" w:hAnsi="Arial" w:cs="Arial"/>
              </w:rPr>
            </w:pPr>
            <w:r>
              <w:rPr>
                <w:rFonts w:ascii="Arial" w:hAnsi="Arial" w:cs="Arial"/>
              </w:rPr>
              <w:t>2</w:t>
            </w:r>
          </w:p>
          <w:p w14:paraId="40D2D0D4" w14:textId="77777777" w:rsidR="00C4706A" w:rsidRPr="00747C26" w:rsidRDefault="00C4706A" w:rsidP="003A6EBD">
            <w:pPr>
              <w:ind w:right="-72"/>
              <w:jc w:val="center"/>
              <w:rPr>
                <w:rFonts w:ascii="Arial" w:hAnsi="Arial" w:cs="Arial"/>
              </w:rPr>
            </w:pPr>
            <w:r>
              <w:rPr>
                <w:rFonts w:ascii="Arial" w:hAnsi="Arial" w:cs="Arial"/>
              </w:rPr>
              <w:t>(1.89)</w:t>
            </w:r>
          </w:p>
        </w:tc>
        <w:tc>
          <w:tcPr>
            <w:tcW w:w="1980" w:type="dxa"/>
            <w:tcBorders>
              <w:bottom w:val="single" w:sz="24" w:space="0" w:color="000000"/>
            </w:tcBorders>
            <w:vAlign w:val="center"/>
          </w:tcPr>
          <w:p w14:paraId="72A21A3F" w14:textId="77777777" w:rsidR="00C4706A" w:rsidRDefault="00C4706A" w:rsidP="003A6EBD">
            <w:pPr>
              <w:ind w:right="-72"/>
              <w:jc w:val="center"/>
              <w:rPr>
                <w:rFonts w:ascii="Arial" w:hAnsi="Arial" w:cs="Arial"/>
              </w:rPr>
            </w:pPr>
            <w:r>
              <w:rPr>
                <w:rFonts w:ascii="Arial" w:hAnsi="Arial" w:cs="Arial"/>
              </w:rPr>
              <w:t>60</w:t>
            </w:r>
          </w:p>
          <w:p w14:paraId="4FD5DCCB" w14:textId="77777777" w:rsidR="00C4706A" w:rsidRPr="00747C26" w:rsidRDefault="00C4706A" w:rsidP="003A6EBD">
            <w:pPr>
              <w:ind w:right="-72"/>
              <w:jc w:val="center"/>
              <w:rPr>
                <w:rFonts w:ascii="Arial" w:hAnsi="Arial" w:cs="Arial"/>
              </w:rPr>
            </w:pPr>
            <w:r>
              <w:rPr>
                <w:rFonts w:ascii="Arial" w:hAnsi="Arial" w:cs="Arial"/>
              </w:rPr>
              <w:t>(56.60)</w:t>
            </w:r>
          </w:p>
        </w:tc>
        <w:tc>
          <w:tcPr>
            <w:tcW w:w="1440" w:type="dxa"/>
            <w:tcBorders>
              <w:bottom w:val="single" w:sz="24" w:space="0" w:color="000000"/>
            </w:tcBorders>
            <w:vAlign w:val="center"/>
          </w:tcPr>
          <w:p w14:paraId="5A8445F7" w14:textId="77777777" w:rsidR="00C4706A" w:rsidRDefault="00C4706A" w:rsidP="003A6EBD">
            <w:pPr>
              <w:ind w:right="-72"/>
              <w:jc w:val="center"/>
              <w:rPr>
                <w:rFonts w:ascii="Arial" w:hAnsi="Arial" w:cs="Arial"/>
              </w:rPr>
            </w:pPr>
            <w:r>
              <w:rPr>
                <w:rFonts w:ascii="Arial" w:hAnsi="Arial" w:cs="Arial"/>
              </w:rPr>
              <w:t>44</w:t>
            </w:r>
          </w:p>
          <w:p w14:paraId="1F7CF5FD" w14:textId="77777777" w:rsidR="00C4706A" w:rsidRPr="00747C26" w:rsidRDefault="00C4706A" w:rsidP="003A6EBD">
            <w:pPr>
              <w:ind w:right="-72"/>
              <w:jc w:val="center"/>
              <w:rPr>
                <w:rFonts w:ascii="Arial" w:hAnsi="Arial" w:cs="Arial"/>
              </w:rPr>
            </w:pPr>
            <w:r>
              <w:rPr>
                <w:rFonts w:ascii="Arial" w:hAnsi="Arial" w:cs="Arial"/>
              </w:rPr>
              <w:t>(41.51)</w:t>
            </w:r>
          </w:p>
        </w:tc>
        <w:tc>
          <w:tcPr>
            <w:tcW w:w="1980" w:type="dxa"/>
            <w:tcBorders>
              <w:bottom w:val="single" w:sz="24" w:space="0" w:color="000000"/>
            </w:tcBorders>
            <w:vAlign w:val="center"/>
          </w:tcPr>
          <w:p w14:paraId="17F5BBE9" w14:textId="77777777" w:rsidR="00C4706A" w:rsidRDefault="00C4706A" w:rsidP="003A6EBD">
            <w:pPr>
              <w:ind w:right="-72"/>
              <w:jc w:val="center"/>
              <w:rPr>
                <w:rFonts w:ascii="Arial" w:hAnsi="Arial" w:cs="Arial"/>
              </w:rPr>
            </w:pPr>
            <w:r>
              <w:rPr>
                <w:rFonts w:ascii="Arial" w:hAnsi="Arial" w:cs="Arial"/>
              </w:rPr>
              <w:t>106</w:t>
            </w:r>
          </w:p>
          <w:p w14:paraId="49369AAF" w14:textId="77777777" w:rsidR="00C4706A" w:rsidRPr="00747C26" w:rsidRDefault="00C4706A" w:rsidP="003A6EBD">
            <w:pPr>
              <w:ind w:right="-72"/>
              <w:jc w:val="center"/>
              <w:rPr>
                <w:rFonts w:ascii="Arial" w:hAnsi="Arial" w:cs="Arial"/>
              </w:rPr>
            </w:pPr>
            <w:r>
              <w:rPr>
                <w:rFonts w:ascii="Arial" w:eastAsia="Arial" w:hAnsi="Arial" w:cs="Arial"/>
                <w:color w:val="000000"/>
              </w:rPr>
              <w:t>(100.00)</w:t>
            </w:r>
          </w:p>
        </w:tc>
      </w:tr>
    </w:tbl>
    <w:p w14:paraId="74C31B6C" w14:textId="77777777" w:rsidR="00C4706A" w:rsidRPr="00105BCC" w:rsidRDefault="00C4706A" w:rsidP="00C4706A">
      <w:pPr>
        <w:tabs>
          <w:tab w:val="left" w:pos="2173"/>
        </w:tabs>
        <w:ind w:right="-630"/>
        <w:jc w:val="both"/>
        <w:rPr>
          <w:rFonts w:ascii="Arial" w:eastAsia="Arial" w:hAnsi="Arial" w:cs="Arial"/>
        </w:rPr>
      </w:pPr>
      <w:r>
        <w:rPr>
          <w:rFonts w:ascii="Arial" w:eastAsia="Arial" w:hAnsi="Arial" w:cs="Arial"/>
        </w:rPr>
        <w:t>n=106; %=100; Mean=3.60; SD=0.354</w:t>
      </w:r>
    </w:p>
    <w:p w14:paraId="0638F5EF" w14:textId="77777777" w:rsidR="00C858ED" w:rsidRDefault="00C858ED" w:rsidP="00C858ED">
      <w:pPr>
        <w:pStyle w:val="ListParagraph"/>
        <w:spacing w:after="0" w:line="240" w:lineRule="auto"/>
        <w:ind w:left="0"/>
        <w:jc w:val="both"/>
        <w:rPr>
          <w:rFonts w:ascii="Arial" w:hAnsi="Arial"/>
          <w:b w:val="0"/>
          <w:color w:val="000000" w:themeColor="text1"/>
          <w:sz w:val="20"/>
          <w:szCs w:val="20"/>
        </w:rPr>
      </w:pPr>
    </w:p>
    <w:p w14:paraId="0DC4576C" w14:textId="11D567B9" w:rsidR="00C4706A" w:rsidRDefault="00C4706A" w:rsidP="00C4706A">
      <w:pPr>
        <w:pStyle w:val="ListParagraph"/>
        <w:spacing w:after="0" w:line="240" w:lineRule="auto"/>
        <w:ind w:left="0" w:firstLine="720"/>
        <w:jc w:val="both"/>
        <w:rPr>
          <w:rFonts w:ascii="Arial" w:hAnsi="Arial"/>
          <w:b w:val="0"/>
          <w:color w:val="000000" w:themeColor="text1"/>
          <w:sz w:val="20"/>
          <w:szCs w:val="20"/>
        </w:rPr>
      </w:pPr>
      <w:r w:rsidRPr="00C4706A">
        <w:rPr>
          <w:rFonts w:ascii="Arial" w:hAnsi="Arial"/>
          <w:b w:val="0"/>
          <w:color w:val="000000" w:themeColor="text1"/>
          <w:sz w:val="20"/>
          <w:szCs w:val="20"/>
        </w:rPr>
        <w:t>Taken together, the results show that most students in teacher education programs are developing their critical thinking skills at an average level, with strengths in areas like evaluating and applying, but weaker performance in creating and remembering. This pattern suggests that while students can handle analysis and judgment, they need more support to nurture creativity and long</w:t>
      </w:r>
      <w:r w:rsidRPr="00C4706A">
        <w:rPr>
          <w:rFonts w:ascii="Cambria Math" w:hAnsi="Cambria Math" w:cs="Cambria Math"/>
          <w:b w:val="0"/>
          <w:color w:val="000000" w:themeColor="text1"/>
          <w:sz w:val="20"/>
          <w:szCs w:val="20"/>
        </w:rPr>
        <w:t>‑</w:t>
      </w:r>
      <w:r w:rsidRPr="00C4706A">
        <w:rPr>
          <w:rFonts w:ascii="Arial" w:hAnsi="Arial"/>
          <w:b w:val="0"/>
          <w:color w:val="000000" w:themeColor="text1"/>
          <w:sz w:val="20"/>
          <w:szCs w:val="20"/>
        </w:rPr>
        <w:t>term recall. For teacher education, this means preparing future teachers not only to master content but also to model higher</w:t>
      </w:r>
      <w:r w:rsidRPr="00C4706A">
        <w:rPr>
          <w:rFonts w:ascii="Cambria Math" w:hAnsi="Cambria Math" w:cs="Cambria Math"/>
          <w:b w:val="0"/>
          <w:color w:val="000000" w:themeColor="text1"/>
          <w:sz w:val="20"/>
          <w:szCs w:val="20"/>
        </w:rPr>
        <w:t>‑</w:t>
      </w:r>
      <w:r w:rsidRPr="00C4706A">
        <w:rPr>
          <w:rFonts w:ascii="Arial" w:hAnsi="Arial"/>
          <w:b w:val="0"/>
          <w:color w:val="000000" w:themeColor="text1"/>
          <w:sz w:val="20"/>
          <w:szCs w:val="20"/>
        </w:rPr>
        <w:t>order thinking for their own learners. Integrating more problem</w:t>
      </w:r>
      <w:r w:rsidRPr="00C4706A">
        <w:rPr>
          <w:rFonts w:ascii="Cambria Math" w:hAnsi="Cambria Math" w:cs="Cambria Math"/>
          <w:b w:val="0"/>
          <w:color w:val="000000" w:themeColor="text1"/>
          <w:sz w:val="20"/>
          <w:szCs w:val="20"/>
        </w:rPr>
        <w:t>‑</w:t>
      </w:r>
      <w:r w:rsidRPr="00C4706A">
        <w:rPr>
          <w:rFonts w:ascii="Arial" w:hAnsi="Arial"/>
          <w:b w:val="0"/>
          <w:color w:val="000000" w:themeColor="text1"/>
          <w:sz w:val="20"/>
          <w:szCs w:val="20"/>
        </w:rPr>
        <w:t xml:space="preserve">based tasks, reflective activities, and opportunities for innovation in the curriculum could help raise these skills to a higher level. By doing so, teacher </w:t>
      </w:r>
      <w:r w:rsidRPr="00C4706A">
        <w:rPr>
          <w:rFonts w:ascii="Arial" w:hAnsi="Arial"/>
          <w:b w:val="0"/>
          <w:color w:val="000000" w:themeColor="text1"/>
          <w:sz w:val="20"/>
          <w:szCs w:val="20"/>
        </w:rPr>
        <w:lastRenderedPageBreak/>
        <w:t>candidates will be better equipped to guide their future students in becoming thoughtful, reflective, and adaptive learners.</w:t>
      </w:r>
    </w:p>
    <w:p w14:paraId="69B05505" w14:textId="77777777" w:rsidR="008E607B" w:rsidRDefault="008E607B" w:rsidP="00C4706A">
      <w:pPr>
        <w:pStyle w:val="ListParagraph"/>
        <w:spacing w:after="0" w:line="240" w:lineRule="auto"/>
        <w:ind w:left="0" w:firstLine="720"/>
        <w:jc w:val="both"/>
        <w:rPr>
          <w:rFonts w:ascii="Arial" w:hAnsi="Arial"/>
          <w:b w:val="0"/>
          <w:color w:val="000000" w:themeColor="text1"/>
          <w:sz w:val="20"/>
          <w:szCs w:val="20"/>
        </w:rPr>
      </w:pPr>
    </w:p>
    <w:p w14:paraId="6FBEE8E9" w14:textId="7CCC29F0" w:rsidR="00C858ED" w:rsidRPr="00C858ED" w:rsidRDefault="00C858ED" w:rsidP="00C858ED">
      <w:pPr>
        <w:pStyle w:val="ListParagraph"/>
        <w:spacing w:after="0" w:line="240" w:lineRule="auto"/>
        <w:ind w:left="0" w:right="-360"/>
        <w:rPr>
          <w:rFonts w:ascii="Arial" w:hAnsi="Arial"/>
          <w:color w:val="000000" w:themeColor="text1"/>
          <w:szCs w:val="20"/>
        </w:rPr>
      </w:pPr>
      <w:r>
        <w:rPr>
          <w:rFonts w:ascii="Arial" w:hAnsi="Arial"/>
          <w:color w:val="000000" w:themeColor="text1"/>
          <w:szCs w:val="20"/>
        </w:rPr>
        <w:t>3.</w:t>
      </w:r>
      <w:r w:rsidR="009B6330">
        <w:rPr>
          <w:rFonts w:ascii="Arial" w:hAnsi="Arial"/>
          <w:color w:val="000000" w:themeColor="text1"/>
          <w:szCs w:val="20"/>
        </w:rPr>
        <w:t>7</w:t>
      </w:r>
      <w:r>
        <w:rPr>
          <w:rFonts w:ascii="Arial" w:hAnsi="Arial"/>
          <w:color w:val="000000" w:themeColor="text1"/>
          <w:szCs w:val="20"/>
        </w:rPr>
        <w:t xml:space="preserve"> </w:t>
      </w:r>
      <w:r w:rsidR="009B6330" w:rsidRPr="009B6330">
        <w:rPr>
          <w:rFonts w:ascii="Arial" w:hAnsi="Arial"/>
          <w:color w:val="000000" w:themeColor="text1"/>
          <w:szCs w:val="20"/>
        </w:rPr>
        <w:t>Teacher Education Program Students’ Mathematics Performance</w:t>
      </w:r>
    </w:p>
    <w:p w14:paraId="09FA1DDF" w14:textId="77777777" w:rsidR="00C858ED" w:rsidRPr="00C858ED" w:rsidRDefault="00C858ED" w:rsidP="00C858ED">
      <w:pPr>
        <w:pStyle w:val="ListParagraph"/>
        <w:spacing w:after="0" w:line="240" w:lineRule="auto"/>
        <w:ind w:left="0"/>
        <w:jc w:val="center"/>
        <w:rPr>
          <w:rFonts w:ascii="Arial" w:hAnsi="Arial"/>
          <w:b w:val="0"/>
          <w:color w:val="000000" w:themeColor="text1"/>
          <w:sz w:val="20"/>
          <w:szCs w:val="20"/>
        </w:rPr>
      </w:pPr>
    </w:p>
    <w:p w14:paraId="0D3527A4" w14:textId="77777777" w:rsidR="00CD30E5" w:rsidRPr="00CD30E5" w:rsidRDefault="00C858ED" w:rsidP="00CD30E5">
      <w:pPr>
        <w:tabs>
          <w:tab w:val="left" w:pos="720"/>
        </w:tabs>
        <w:ind w:right="-360"/>
        <w:jc w:val="both"/>
        <w:rPr>
          <w:rFonts w:ascii="Arial" w:hAnsi="Arial" w:cs="Arial"/>
          <w:color w:val="000000" w:themeColor="text1"/>
        </w:rPr>
      </w:pPr>
      <w:r w:rsidRPr="00C858ED">
        <w:rPr>
          <w:rFonts w:ascii="Arial" w:hAnsi="Arial" w:cs="Arial"/>
          <w:color w:val="000000" w:themeColor="text1"/>
        </w:rPr>
        <w:tab/>
      </w:r>
      <w:r w:rsidR="00CD30E5" w:rsidRPr="00CD30E5">
        <w:rPr>
          <w:rFonts w:ascii="Arial" w:hAnsi="Arial" w:cs="Arial"/>
          <w:color w:val="000000" w:themeColor="text1"/>
        </w:rPr>
        <w:t>The students’ mathematics performance is shown in Table 3. More than half of the respondents (56 students or 52.83%) were at the “good” level, meaning they had gained the important knowledge and skills needed in mathematics. Only a few (3 students or 2.83%) reached the “superior” level, showing that they went beyond the basics and showed stronger understanding and ability. The overall mean grade was 2.32, which is described as “very good,” with a standard deviation of 0.354. This result means that most students had a solid grasp of basic ideas, but many still found it hard to reach higher levels of performance.</w:t>
      </w:r>
    </w:p>
    <w:p w14:paraId="4B3E8370" w14:textId="77777777" w:rsidR="00CD30E5" w:rsidRPr="00CD30E5" w:rsidRDefault="00CD30E5" w:rsidP="00CD30E5">
      <w:pPr>
        <w:tabs>
          <w:tab w:val="left" w:pos="720"/>
        </w:tabs>
        <w:ind w:right="-360"/>
        <w:jc w:val="both"/>
        <w:rPr>
          <w:rFonts w:ascii="Arial" w:hAnsi="Arial" w:cs="Arial"/>
          <w:color w:val="000000" w:themeColor="text1"/>
        </w:rPr>
      </w:pPr>
    </w:p>
    <w:p w14:paraId="38879091" w14:textId="5E15B2A7" w:rsidR="009D7F81" w:rsidRDefault="00CD30E5" w:rsidP="00CD30E5">
      <w:pPr>
        <w:tabs>
          <w:tab w:val="left" w:pos="720"/>
        </w:tabs>
        <w:ind w:right="-360"/>
        <w:jc w:val="both"/>
        <w:rPr>
          <w:rFonts w:ascii="Arial" w:hAnsi="Arial" w:cs="Arial"/>
          <w:color w:val="000000" w:themeColor="text1"/>
        </w:rPr>
      </w:pPr>
      <w:r>
        <w:rPr>
          <w:rFonts w:ascii="Arial" w:hAnsi="Arial" w:cs="Arial"/>
          <w:color w:val="000000" w:themeColor="text1"/>
        </w:rPr>
        <w:tab/>
      </w:r>
      <w:r w:rsidRPr="00CD30E5">
        <w:rPr>
          <w:rFonts w:ascii="Arial" w:hAnsi="Arial" w:cs="Arial"/>
          <w:color w:val="000000" w:themeColor="text1"/>
        </w:rPr>
        <w:t xml:space="preserve">Other studies also reported similar results. </w:t>
      </w:r>
      <w:proofErr w:type="spellStart"/>
      <w:r w:rsidRPr="00CD30E5">
        <w:rPr>
          <w:rFonts w:ascii="Arial" w:hAnsi="Arial" w:cs="Arial"/>
          <w:color w:val="000000" w:themeColor="text1"/>
        </w:rPr>
        <w:t>Lumoto</w:t>
      </w:r>
      <w:proofErr w:type="spellEnd"/>
      <w:r w:rsidRPr="00CD30E5">
        <w:rPr>
          <w:rFonts w:ascii="Arial" w:hAnsi="Arial" w:cs="Arial"/>
          <w:color w:val="000000" w:themeColor="text1"/>
        </w:rPr>
        <w:t xml:space="preserve"> et al. (2024), </w:t>
      </w:r>
      <w:proofErr w:type="spellStart"/>
      <w:r w:rsidRPr="00CD30E5">
        <w:rPr>
          <w:rFonts w:ascii="Arial" w:hAnsi="Arial" w:cs="Arial"/>
          <w:color w:val="000000" w:themeColor="text1"/>
        </w:rPr>
        <w:t>Adlawon</w:t>
      </w:r>
      <w:proofErr w:type="spellEnd"/>
      <w:r w:rsidRPr="00CD30E5">
        <w:rPr>
          <w:rFonts w:ascii="Arial" w:hAnsi="Arial" w:cs="Arial"/>
          <w:color w:val="000000" w:themeColor="text1"/>
        </w:rPr>
        <w:t xml:space="preserve"> et al. (2022), and Roman et al. (2019) noted that college students usually perform at a “very good” level in Mathematics in the Modern World. Sabanal et al. (2023) explained that even when students who perform well are grouped with those who struggle, some still find it hard to cope with assessments. Langoban (2020) added that many students dislike mathematics, which supports the common view of the subject as difficult. This shows the need for teaching approaches that adjust to different kinds of learners (</w:t>
      </w:r>
      <w:proofErr w:type="spellStart"/>
      <w:r w:rsidRPr="00CD30E5">
        <w:rPr>
          <w:rFonts w:ascii="Arial" w:hAnsi="Arial" w:cs="Arial"/>
          <w:color w:val="000000" w:themeColor="text1"/>
        </w:rPr>
        <w:t>Cabeserano</w:t>
      </w:r>
      <w:proofErr w:type="spellEnd"/>
      <w:r w:rsidRPr="00CD30E5">
        <w:rPr>
          <w:rFonts w:ascii="Arial" w:hAnsi="Arial" w:cs="Arial"/>
          <w:color w:val="000000" w:themeColor="text1"/>
        </w:rPr>
        <w:t>, 2025). Recent research also points to the role of motivation and coping strategies in sustaining performance, with motivational strategies (Baclay et al., 2025) and coping mechanisms (Cortez et al., 2025) helping students perform better. These findings suggest that while many students do well in mathematics, their progress is shaped not only by skills but also by attitudes, support systems, and learning conditions. For teacher education, this means it is important to build both mathematical skills and positive attitudes toward learning mathematics.</w:t>
      </w:r>
    </w:p>
    <w:p w14:paraId="3E5BB5CF" w14:textId="77777777" w:rsidR="00CD30E5" w:rsidRDefault="00CD30E5" w:rsidP="00CD30E5">
      <w:pPr>
        <w:tabs>
          <w:tab w:val="left" w:pos="720"/>
        </w:tabs>
        <w:ind w:right="-360"/>
        <w:jc w:val="both"/>
        <w:rPr>
          <w:rFonts w:ascii="Arial" w:hAnsi="Arial" w:cs="Arial"/>
          <w:b/>
          <w:color w:val="000000" w:themeColor="text1"/>
          <w:sz w:val="22"/>
        </w:rPr>
      </w:pPr>
    </w:p>
    <w:p w14:paraId="40A2FDC5" w14:textId="30A1A569" w:rsidR="00A71D52" w:rsidRPr="00A71D52" w:rsidRDefault="00A71D52" w:rsidP="00A71D52">
      <w:pPr>
        <w:pStyle w:val="NoSpacing"/>
        <w:ind w:right="-360"/>
        <w:rPr>
          <w:rFonts w:ascii="Arial" w:hAnsi="Arial" w:cs="Arial"/>
          <w:b/>
          <w:bCs/>
          <w:color w:val="000000" w:themeColor="text1"/>
          <w:sz w:val="20"/>
          <w:szCs w:val="20"/>
          <w:lang w:val="en-PH"/>
        </w:rPr>
      </w:pPr>
      <w:r w:rsidRPr="00A71D52">
        <w:rPr>
          <w:rFonts w:ascii="Arial" w:hAnsi="Arial" w:cs="Arial"/>
          <w:b/>
          <w:bCs/>
          <w:color w:val="000000" w:themeColor="text1"/>
          <w:sz w:val="20"/>
          <w:szCs w:val="20"/>
          <w:lang w:val="en-PH"/>
        </w:rPr>
        <w:t xml:space="preserve">Table </w:t>
      </w:r>
      <w:r w:rsidR="000279BE">
        <w:rPr>
          <w:rFonts w:ascii="Arial" w:hAnsi="Arial" w:cs="Arial"/>
          <w:b/>
          <w:bCs/>
          <w:color w:val="000000" w:themeColor="text1"/>
          <w:sz w:val="20"/>
          <w:szCs w:val="20"/>
          <w:lang w:val="en-PH"/>
        </w:rPr>
        <w:t>3</w:t>
      </w:r>
      <w:r w:rsidRPr="00A71D52">
        <w:rPr>
          <w:rFonts w:ascii="Arial" w:hAnsi="Arial" w:cs="Arial"/>
          <w:b/>
          <w:bCs/>
          <w:color w:val="000000" w:themeColor="text1"/>
          <w:sz w:val="20"/>
          <w:szCs w:val="20"/>
          <w:lang w:val="en-PH"/>
        </w:rPr>
        <w:t>: The Respondents’ Level of Mathematics Performance</w:t>
      </w:r>
    </w:p>
    <w:tbl>
      <w:tblPr>
        <w:tblW w:w="8560" w:type="dxa"/>
        <w:tblInd w:w="-10" w:type="dxa"/>
        <w:tblLayout w:type="fixed"/>
        <w:tblLook w:val="0400" w:firstRow="0" w:lastRow="0" w:firstColumn="0" w:lastColumn="0" w:noHBand="0" w:noVBand="1"/>
      </w:tblPr>
      <w:tblGrid>
        <w:gridCol w:w="1270"/>
        <w:gridCol w:w="2700"/>
        <w:gridCol w:w="2070"/>
        <w:gridCol w:w="2520"/>
      </w:tblGrid>
      <w:tr w:rsidR="00A71D52" w:rsidRPr="00A71D52" w14:paraId="0ACBF954" w14:textId="77777777" w:rsidTr="00A71D52">
        <w:tc>
          <w:tcPr>
            <w:tcW w:w="1270" w:type="dxa"/>
            <w:tcBorders>
              <w:top w:val="single" w:sz="24" w:space="0" w:color="000000"/>
              <w:bottom w:val="single" w:sz="4" w:space="0" w:color="000000"/>
            </w:tcBorders>
          </w:tcPr>
          <w:p w14:paraId="47EE3E37" w14:textId="77777777" w:rsidR="00A71D52" w:rsidRPr="00A71D52" w:rsidRDefault="00A71D52" w:rsidP="00A71D52">
            <w:pPr>
              <w:pStyle w:val="NoSpacing"/>
              <w:ind w:right="-360"/>
              <w:jc w:val="both"/>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RANGE OF</w:t>
            </w:r>
          </w:p>
          <w:p w14:paraId="19D5A10B" w14:textId="77777777" w:rsidR="00A71D52" w:rsidRPr="00A71D52" w:rsidRDefault="00A71D52" w:rsidP="00A71D52">
            <w:pPr>
              <w:pStyle w:val="NoSpacing"/>
              <w:ind w:right="-360"/>
              <w:jc w:val="both"/>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SCORES</w:t>
            </w:r>
          </w:p>
        </w:tc>
        <w:tc>
          <w:tcPr>
            <w:tcW w:w="2700" w:type="dxa"/>
            <w:tcBorders>
              <w:top w:val="single" w:sz="24" w:space="0" w:color="000000"/>
              <w:bottom w:val="single" w:sz="4" w:space="0" w:color="000000"/>
            </w:tcBorders>
          </w:tcPr>
          <w:p w14:paraId="338FED67" w14:textId="24BD577A"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DESCRIPTI</w:t>
            </w:r>
            <w:r>
              <w:rPr>
                <w:rFonts w:ascii="Arial" w:hAnsi="Arial" w:cs="Arial"/>
                <w:b/>
                <w:color w:val="000000" w:themeColor="text1"/>
                <w:sz w:val="20"/>
                <w:szCs w:val="20"/>
                <w:lang w:val="en-PH"/>
              </w:rPr>
              <w:t>VE</w:t>
            </w:r>
          </w:p>
          <w:p w14:paraId="33934A0E" w14:textId="77777777"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LEVEL</w:t>
            </w:r>
          </w:p>
        </w:tc>
        <w:tc>
          <w:tcPr>
            <w:tcW w:w="2070" w:type="dxa"/>
            <w:tcBorders>
              <w:top w:val="single" w:sz="24" w:space="0" w:color="000000"/>
              <w:bottom w:val="single" w:sz="4" w:space="0" w:color="000000"/>
            </w:tcBorders>
          </w:tcPr>
          <w:p w14:paraId="348CD96C" w14:textId="77777777"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FREQUENCY</w:t>
            </w:r>
          </w:p>
          <w:p w14:paraId="1A7DD203" w14:textId="77777777"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(f)</w:t>
            </w:r>
          </w:p>
        </w:tc>
        <w:tc>
          <w:tcPr>
            <w:tcW w:w="2520" w:type="dxa"/>
            <w:tcBorders>
              <w:top w:val="single" w:sz="24" w:space="0" w:color="000000"/>
              <w:bottom w:val="single" w:sz="4" w:space="0" w:color="000000"/>
            </w:tcBorders>
          </w:tcPr>
          <w:p w14:paraId="67EE8565" w14:textId="77777777"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PERCENTAGE</w:t>
            </w:r>
          </w:p>
          <w:p w14:paraId="44805865" w14:textId="77777777" w:rsidR="00A71D52" w:rsidRPr="00A71D52" w:rsidRDefault="00A71D52" w:rsidP="00A71D52">
            <w:pPr>
              <w:pStyle w:val="NoSpacing"/>
              <w:ind w:right="-360"/>
              <w:jc w:val="center"/>
              <w:rPr>
                <w:rFonts w:ascii="Arial" w:hAnsi="Arial" w:cs="Arial"/>
                <w:b/>
                <w:color w:val="000000" w:themeColor="text1"/>
                <w:sz w:val="20"/>
                <w:szCs w:val="20"/>
                <w:lang w:val="en-PH"/>
              </w:rPr>
            </w:pPr>
            <w:r w:rsidRPr="00A71D52">
              <w:rPr>
                <w:rFonts w:ascii="Arial" w:hAnsi="Arial" w:cs="Arial"/>
                <w:b/>
                <w:color w:val="000000" w:themeColor="text1"/>
                <w:sz w:val="20"/>
                <w:szCs w:val="20"/>
                <w:lang w:val="en-PH"/>
              </w:rPr>
              <w:t>(%)</w:t>
            </w:r>
          </w:p>
        </w:tc>
      </w:tr>
      <w:tr w:rsidR="00A71D52" w:rsidRPr="00A71D52" w14:paraId="79C1F0EB" w14:textId="77777777" w:rsidTr="00A71D52">
        <w:tc>
          <w:tcPr>
            <w:tcW w:w="1270" w:type="dxa"/>
            <w:tcBorders>
              <w:top w:val="single" w:sz="4" w:space="0" w:color="000000"/>
            </w:tcBorders>
            <w:vAlign w:val="bottom"/>
          </w:tcPr>
          <w:p w14:paraId="4E28CECD" w14:textId="77777777" w:rsidR="00A71D52" w:rsidRPr="00A71D52" w:rsidRDefault="00A71D52" w:rsidP="00A71D52">
            <w:pPr>
              <w:pStyle w:val="NoSpacing"/>
              <w:ind w:right="-360"/>
              <w:jc w:val="both"/>
              <w:rPr>
                <w:rFonts w:ascii="Arial" w:hAnsi="Arial" w:cs="Arial"/>
                <w:color w:val="000000" w:themeColor="text1"/>
                <w:sz w:val="20"/>
                <w:szCs w:val="20"/>
                <w:lang w:val="en-PH"/>
              </w:rPr>
            </w:pPr>
            <w:r w:rsidRPr="00A71D52">
              <w:rPr>
                <w:rFonts w:ascii="Arial" w:hAnsi="Arial" w:cs="Arial"/>
                <w:color w:val="000000" w:themeColor="text1"/>
                <w:sz w:val="20"/>
                <w:szCs w:val="20"/>
                <w:lang w:val="en-PH"/>
              </w:rPr>
              <w:t>1.00 - 1.50</w:t>
            </w:r>
          </w:p>
        </w:tc>
        <w:tc>
          <w:tcPr>
            <w:tcW w:w="2700" w:type="dxa"/>
            <w:tcBorders>
              <w:top w:val="single" w:sz="4" w:space="0" w:color="000000"/>
            </w:tcBorders>
          </w:tcPr>
          <w:p w14:paraId="0E926CA9"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Superior</w:t>
            </w:r>
          </w:p>
        </w:tc>
        <w:tc>
          <w:tcPr>
            <w:tcW w:w="2070" w:type="dxa"/>
            <w:tcBorders>
              <w:top w:val="single" w:sz="4" w:space="0" w:color="000000"/>
            </w:tcBorders>
          </w:tcPr>
          <w:p w14:paraId="225F4F3C"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3</w:t>
            </w:r>
          </w:p>
        </w:tc>
        <w:tc>
          <w:tcPr>
            <w:tcW w:w="2520" w:type="dxa"/>
            <w:tcBorders>
              <w:top w:val="single" w:sz="4" w:space="0" w:color="000000"/>
            </w:tcBorders>
          </w:tcPr>
          <w:p w14:paraId="3D6F8158"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2.83</w:t>
            </w:r>
          </w:p>
        </w:tc>
      </w:tr>
      <w:tr w:rsidR="00A71D52" w:rsidRPr="00A71D52" w14:paraId="1C4A3F37" w14:textId="77777777" w:rsidTr="00A71D52">
        <w:tc>
          <w:tcPr>
            <w:tcW w:w="1270" w:type="dxa"/>
            <w:vAlign w:val="bottom"/>
          </w:tcPr>
          <w:p w14:paraId="2044736A" w14:textId="77777777" w:rsidR="00A71D52" w:rsidRPr="00A71D52" w:rsidRDefault="00A71D52" w:rsidP="00A71D52">
            <w:pPr>
              <w:pStyle w:val="NoSpacing"/>
              <w:ind w:right="-360"/>
              <w:jc w:val="both"/>
              <w:rPr>
                <w:rFonts w:ascii="Arial" w:hAnsi="Arial" w:cs="Arial"/>
                <w:color w:val="000000" w:themeColor="text1"/>
                <w:sz w:val="20"/>
                <w:szCs w:val="20"/>
                <w:lang w:val="en-PH"/>
              </w:rPr>
            </w:pPr>
            <w:r w:rsidRPr="00A71D52">
              <w:rPr>
                <w:rFonts w:ascii="Arial" w:hAnsi="Arial" w:cs="Arial"/>
                <w:color w:val="000000" w:themeColor="text1"/>
                <w:sz w:val="20"/>
                <w:szCs w:val="20"/>
                <w:lang w:val="en-PH"/>
              </w:rPr>
              <w:t>1.51 - 2.00</w:t>
            </w:r>
          </w:p>
        </w:tc>
        <w:tc>
          <w:tcPr>
            <w:tcW w:w="2700" w:type="dxa"/>
          </w:tcPr>
          <w:p w14:paraId="7D0C6FB6"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Very Good</w:t>
            </w:r>
          </w:p>
        </w:tc>
        <w:tc>
          <w:tcPr>
            <w:tcW w:w="2070" w:type="dxa"/>
          </w:tcPr>
          <w:p w14:paraId="6126A0E3"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26</w:t>
            </w:r>
          </w:p>
        </w:tc>
        <w:tc>
          <w:tcPr>
            <w:tcW w:w="2520" w:type="dxa"/>
          </w:tcPr>
          <w:p w14:paraId="21F70367"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24.53</w:t>
            </w:r>
          </w:p>
        </w:tc>
      </w:tr>
      <w:tr w:rsidR="00A71D52" w:rsidRPr="00A71D52" w14:paraId="239A485E" w14:textId="77777777" w:rsidTr="00A71D52">
        <w:tc>
          <w:tcPr>
            <w:tcW w:w="1270" w:type="dxa"/>
            <w:vAlign w:val="bottom"/>
          </w:tcPr>
          <w:p w14:paraId="6767EEAE" w14:textId="77777777" w:rsidR="00A71D52" w:rsidRPr="00A71D52" w:rsidRDefault="00A71D52" w:rsidP="00A71D52">
            <w:pPr>
              <w:pStyle w:val="NoSpacing"/>
              <w:ind w:right="-360"/>
              <w:jc w:val="both"/>
              <w:rPr>
                <w:rFonts w:ascii="Arial" w:hAnsi="Arial" w:cs="Arial"/>
                <w:color w:val="000000" w:themeColor="text1"/>
                <w:sz w:val="20"/>
                <w:szCs w:val="20"/>
                <w:lang w:val="en-PH"/>
              </w:rPr>
            </w:pPr>
            <w:r w:rsidRPr="00A71D52">
              <w:rPr>
                <w:rFonts w:ascii="Arial" w:hAnsi="Arial" w:cs="Arial"/>
                <w:color w:val="000000" w:themeColor="text1"/>
                <w:sz w:val="20"/>
                <w:szCs w:val="20"/>
                <w:lang w:val="en-PH"/>
              </w:rPr>
              <w:t>2.01 - 2.50</w:t>
            </w:r>
          </w:p>
        </w:tc>
        <w:tc>
          <w:tcPr>
            <w:tcW w:w="2700" w:type="dxa"/>
          </w:tcPr>
          <w:p w14:paraId="193C70EA"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Good</w:t>
            </w:r>
          </w:p>
        </w:tc>
        <w:tc>
          <w:tcPr>
            <w:tcW w:w="2070" w:type="dxa"/>
          </w:tcPr>
          <w:p w14:paraId="3EC48378"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56</w:t>
            </w:r>
          </w:p>
        </w:tc>
        <w:tc>
          <w:tcPr>
            <w:tcW w:w="2520" w:type="dxa"/>
          </w:tcPr>
          <w:p w14:paraId="13F470DB"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52.83</w:t>
            </w:r>
          </w:p>
        </w:tc>
      </w:tr>
      <w:tr w:rsidR="00A71D52" w:rsidRPr="00A71D52" w14:paraId="4C85823D" w14:textId="77777777" w:rsidTr="00A71D52">
        <w:tc>
          <w:tcPr>
            <w:tcW w:w="1270" w:type="dxa"/>
            <w:tcBorders>
              <w:bottom w:val="single" w:sz="24" w:space="0" w:color="000000"/>
            </w:tcBorders>
            <w:vAlign w:val="bottom"/>
          </w:tcPr>
          <w:p w14:paraId="70D70A93" w14:textId="77777777" w:rsidR="00A71D52" w:rsidRPr="00A71D52" w:rsidRDefault="00A71D52" w:rsidP="00A71D52">
            <w:pPr>
              <w:pStyle w:val="NoSpacing"/>
              <w:ind w:right="-360"/>
              <w:jc w:val="both"/>
              <w:rPr>
                <w:rFonts w:ascii="Arial" w:hAnsi="Arial" w:cs="Arial"/>
                <w:color w:val="000000" w:themeColor="text1"/>
                <w:sz w:val="20"/>
                <w:szCs w:val="20"/>
                <w:lang w:val="en-PH"/>
              </w:rPr>
            </w:pPr>
            <w:r w:rsidRPr="00A71D52">
              <w:rPr>
                <w:rFonts w:ascii="Arial" w:hAnsi="Arial" w:cs="Arial"/>
                <w:color w:val="000000" w:themeColor="text1"/>
                <w:sz w:val="20"/>
                <w:szCs w:val="20"/>
                <w:lang w:val="en-PH"/>
              </w:rPr>
              <w:t>2.51 - 3.00</w:t>
            </w:r>
          </w:p>
        </w:tc>
        <w:tc>
          <w:tcPr>
            <w:tcW w:w="2700" w:type="dxa"/>
            <w:tcBorders>
              <w:bottom w:val="single" w:sz="24" w:space="0" w:color="000000"/>
            </w:tcBorders>
          </w:tcPr>
          <w:p w14:paraId="04BD8DBC"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Fair</w:t>
            </w:r>
          </w:p>
        </w:tc>
        <w:tc>
          <w:tcPr>
            <w:tcW w:w="2070" w:type="dxa"/>
            <w:tcBorders>
              <w:bottom w:val="single" w:sz="24" w:space="0" w:color="000000"/>
            </w:tcBorders>
          </w:tcPr>
          <w:p w14:paraId="76F32129"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21</w:t>
            </w:r>
          </w:p>
        </w:tc>
        <w:tc>
          <w:tcPr>
            <w:tcW w:w="2520" w:type="dxa"/>
            <w:tcBorders>
              <w:bottom w:val="single" w:sz="24" w:space="0" w:color="000000"/>
            </w:tcBorders>
          </w:tcPr>
          <w:p w14:paraId="684C271D" w14:textId="77777777" w:rsidR="00A71D52" w:rsidRPr="00A71D52" w:rsidRDefault="00A71D52" w:rsidP="00A71D52">
            <w:pPr>
              <w:pStyle w:val="NoSpacing"/>
              <w:ind w:right="-360"/>
              <w:jc w:val="center"/>
              <w:rPr>
                <w:rFonts w:ascii="Arial" w:hAnsi="Arial" w:cs="Arial"/>
                <w:color w:val="000000" w:themeColor="text1"/>
                <w:sz w:val="20"/>
                <w:szCs w:val="20"/>
                <w:lang w:val="en-PH"/>
              </w:rPr>
            </w:pPr>
            <w:r w:rsidRPr="00A71D52">
              <w:rPr>
                <w:rFonts w:ascii="Arial" w:hAnsi="Arial" w:cs="Arial"/>
                <w:color w:val="000000" w:themeColor="text1"/>
                <w:sz w:val="20"/>
                <w:szCs w:val="20"/>
                <w:lang w:val="en-PH"/>
              </w:rPr>
              <w:t>19.82</w:t>
            </w:r>
          </w:p>
        </w:tc>
      </w:tr>
    </w:tbl>
    <w:p w14:paraId="38E23DEB" w14:textId="77777777" w:rsidR="00A71D52" w:rsidRPr="00A71D52" w:rsidRDefault="00A71D52" w:rsidP="00A71D52">
      <w:pPr>
        <w:pStyle w:val="NoSpacing"/>
        <w:ind w:right="-360"/>
        <w:rPr>
          <w:rFonts w:ascii="Arial" w:hAnsi="Arial" w:cs="Arial"/>
          <w:color w:val="000000" w:themeColor="text1"/>
          <w:sz w:val="20"/>
          <w:szCs w:val="20"/>
          <w:lang w:val="en-PH"/>
        </w:rPr>
      </w:pPr>
      <w:r w:rsidRPr="00A71D52">
        <w:rPr>
          <w:rFonts w:ascii="Arial" w:hAnsi="Arial" w:cs="Arial"/>
          <w:color w:val="000000" w:themeColor="text1"/>
          <w:sz w:val="20"/>
          <w:szCs w:val="20"/>
          <w:lang w:val="en-PH"/>
        </w:rPr>
        <w:t>n=106; %=100; Mean=2.32; SD=0.354</w:t>
      </w:r>
    </w:p>
    <w:p w14:paraId="2DFD886E" w14:textId="77777777" w:rsidR="006D421F" w:rsidRPr="00A71D52" w:rsidRDefault="006D421F" w:rsidP="00C858ED">
      <w:pPr>
        <w:pStyle w:val="NoSpacing"/>
        <w:ind w:right="-360"/>
        <w:jc w:val="both"/>
        <w:rPr>
          <w:rFonts w:ascii="Arial" w:hAnsi="Arial" w:cs="Arial"/>
          <w:color w:val="000000" w:themeColor="text1"/>
          <w:sz w:val="18"/>
          <w:szCs w:val="18"/>
        </w:rPr>
      </w:pPr>
    </w:p>
    <w:p w14:paraId="2B6061B3" w14:textId="77777777" w:rsidR="00F77179" w:rsidRPr="00A71D52" w:rsidRDefault="00F77179" w:rsidP="00C858ED">
      <w:pPr>
        <w:pStyle w:val="NoSpacing"/>
        <w:ind w:right="-360"/>
        <w:jc w:val="both"/>
        <w:rPr>
          <w:rFonts w:ascii="Arial" w:hAnsi="Arial" w:cs="Arial"/>
          <w:color w:val="000000" w:themeColor="text1"/>
          <w:sz w:val="18"/>
          <w:szCs w:val="18"/>
        </w:rPr>
      </w:pPr>
    </w:p>
    <w:p w14:paraId="147D9A29" w14:textId="77777777" w:rsidR="00DD744E" w:rsidRPr="00DD744E" w:rsidRDefault="00DD744E" w:rsidP="00DD744E">
      <w:pPr>
        <w:jc w:val="both"/>
        <w:rPr>
          <w:rFonts w:ascii="Arial" w:eastAsiaTheme="minorHAnsi" w:hAnsi="Arial" w:cs="Arial"/>
          <w:b/>
          <w:bCs/>
          <w:color w:val="000000" w:themeColor="text1"/>
          <w:sz w:val="22"/>
          <w:szCs w:val="22"/>
        </w:rPr>
      </w:pPr>
      <w:r w:rsidRPr="00DD744E">
        <w:rPr>
          <w:rFonts w:ascii="Arial" w:eastAsiaTheme="minorHAnsi" w:hAnsi="Arial" w:cs="Arial"/>
          <w:b/>
          <w:bCs/>
          <w:color w:val="000000" w:themeColor="text1"/>
          <w:sz w:val="22"/>
          <w:szCs w:val="22"/>
        </w:rPr>
        <w:t>3.8 Correlation Between Critical Thinking and Mathematics Performance</w:t>
      </w:r>
    </w:p>
    <w:p w14:paraId="318FD769" w14:textId="77777777" w:rsidR="00DD744E" w:rsidRPr="00DD744E" w:rsidRDefault="00DD744E" w:rsidP="00DD744E">
      <w:pPr>
        <w:jc w:val="both"/>
        <w:rPr>
          <w:rFonts w:ascii="Arial" w:eastAsiaTheme="minorHAnsi" w:hAnsi="Arial" w:cs="Arial"/>
          <w:color w:val="000000" w:themeColor="text1"/>
        </w:rPr>
      </w:pPr>
    </w:p>
    <w:p w14:paraId="764799AE" w14:textId="77777777" w:rsidR="00DD744E" w:rsidRPr="00DD744E" w:rsidRDefault="00DD744E" w:rsidP="00DD744E">
      <w:pPr>
        <w:ind w:firstLine="720"/>
        <w:jc w:val="both"/>
        <w:rPr>
          <w:rFonts w:ascii="Arial" w:eastAsiaTheme="minorHAnsi" w:hAnsi="Arial" w:cs="Arial"/>
          <w:color w:val="000000" w:themeColor="text1"/>
        </w:rPr>
      </w:pPr>
      <w:r w:rsidRPr="00DD744E">
        <w:rPr>
          <w:rFonts w:ascii="Arial" w:eastAsiaTheme="minorHAnsi" w:hAnsi="Arial" w:cs="Arial"/>
          <w:color w:val="000000" w:themeColor="text1"/>
        </w:rPr>
        <w:t>The results show a significant low positive correlation was found with r equal to 0.267 and p equal to 0.0057 between critical thinking and mathematics performance. This means that as students’ critical thinking improves, their ability to succeed in mathematics also increases. Although the strength of the relationship is low, it is meaningful because it highlights that developing thinking skills can still make a difference in students’ performance. For teacher education students, this finding suggests that building stronger reasoning and problem-solving abilities may help them perform better in mathematics, which is vital as they prepare to become future teachers.</w:t>
      </w:r>
    </w:p>
    <w:p w14:paraId="33DF8D71" w14:textId="77777777" w:rsidR="00DD744E" w:rsidRPr="00DD744E" w:rsidRDefault="00DD744E" w:rsidP="00DD744E">
      <w:pPr>
        <w:jc w:val="both"/>
        <w:rPr>
          <w:rFonts w:ascii="Arial" w:eastAsiaTheme="minorHAnsi" w:hAnsi="Arial" w:cs="Arial"/>
          <w:color w:val="000000" w:themeColor="text1"/>
        </w:rPr>
      </w:pPr>
    </w:p>
    <w:p w14:paraId="2241EAD0" w14:textId="77777777" w:rsidR="00DD744E" w:rsidRPr="00DD744E" w:rsidRDefault="00DD744E" w:rsidP="00DD744E">
      <w:pPr>
        <w:ind w:firstLine="720"/>
        <w:jc w:val="both"/>
        <w:rPr>
          <w:rFonts w:ascii="Arial" w:eastAsiaTheme="minorHAnsi" w:hAnsi="Arial" w:cs="Arial"/>
          <w:color w:val="000000" w:themeColor="text1"/>
        </w:rPr>
      </w:pPr>
      <w:r w:rsidRPr="00DD744E">
        <w:rPr>
          <w:rFonts w:ascii="Arial" w:eastAsiaTheme="minorHAnsi" w:hAnsi="Arial" w:cs="Arial"/>
          <w:color w:val="000000" w:themeColor="text1"/>
        </w:rPr>
        <w:t>This result supports the work of Khaing and Thein (2018), who also reported that critical thinking directly influences math achievement. It is also consistent with studies on mathematical curiosity (</w:t>
      </w:r>
      <w:proofErr w:type="spellStart"/>
      <w:r w:rsidRPr="00DD744E">
        <w:rPr>
          <w:rFonts w:ascii="Arial" w:eastAsiaTheme="minorHAnsi" w:hAnsi="Arial" w:cs="Arial"/>
          <w:color w:val="000000" w:themeColor="text1"/>
        </w:rPr>
        <w:t>Caliosan</w:t>
      </w:r>
      <w:proofErr w:type="spellEnd"/>
      <w:r w:rsidRPr="00DD744E">
        <w:rPr>
          <w:rFonts w:ascii="Arial" w:eastAsiaTheme="minorHAnsi" w:hAnsi="Arial" w:cs="Arial"/>
          <w:color w:val="000000" w:themeColor="text1"/>
        </w:rPr>
        <w:t xml:space="preserve"> et al., 2025) and metacognitive knowledge (</w:t>
      </w:r>
      <w:proofErr w:type="spellStart"/>
      <w:r w:rsidRPr="00DD744E">
        <w:rPr>
          <w:rFonts w:ascii="Arial" w:eastAsiaTheme="minorHAnsi" w:hAnsi="Arial" w:cs="Arial"/>
          <w:color w:val="000000" w:themeColor="text1"/>
        </w:rPr>
        <w:t>Tuburan</w:t>
      </w:r>
      <w:proofErr w:type="spellEnd"/>
      <w:r w:rsidRPr="00DD744E">
        <w:rPr>
          <w:rFonts w:ascii="Arial" w:eastAsiaTheme="minorHAnsi" w:hAnsi="Arial" w:cs="Arial"/>
          <w:color w:val="000000" w:themeColor="text1"/>
        </w:rPr>
        <w:t xml:space="preserve"> et al., 2025), both showing that cognitive and affective factors contribute to mathematics performance. Together, these studies show that critical thinking does not stand alone; it works </w:t>
      </w:r>
      <w:r w:rsidRPr="00DD744E">
        <w:rPr>
          <w:rFonts w:ascii="Arial" w:eastAsiaTheme="minorHAnsi" w:hAnsi="Arial" w:cs="Arial"/>
          <w:color w:val="000000" w:themeColor="text1"/>
        </w:rPr>
        <w:lastRenderedPageBreak/>
        <w:t>alongside curiosity, self-regulation, and other learning traits that shape how well students learn mathematics.</w:t>
      </w:r>
    </w:p>
    <w:p w14:paraId="55DA0155" w14:textId="77777777" w:rsidR="00DD744E" w:rsidRDefault="00DD744E" w:rsidP="00DD744E">
      <w:pPr>
        <w:jc w:val="both"/>
        <w:rPr>
          <w:rFonts w:ascii="Arial" w:eastAsiaTheme="minorHAnsi" w:hAnsi="Arial" w:cs="Arial"/>
          <w:color w:val="000000" w:themeColor="text1"/>
        </w:rPr>
      </w:pPr>
    </w:p>
    <w:p w14:paraId="2F68EBB6" w14:textId="5E76732A" w:rsidR="006627CF" w:rsidRPr="006627CF" w:rsidRDefault="006627CF" w:rsidP="006627CF">
      <w:pPr>
        <w:jc w:val="both"/>
        <w:rPr>
          <w:rFonts w:ascii="Arial" w:eastAsiaTheme="minorHAnsi" w:hAnsi="Arial" w:cs="Arial"/>
          <w:b/>
          <w:bCs/>
          <w:color w:val="000000" w:themeColor="text1"/>
          <w:lang w:val="en-PH"/>
        </w:rPr>
      </w:pPr>
      <w:r w:rsidRPr="006627CF">
        <w:rPr>
          <w:rFonts w:ascii="Arial" w:eastAsiaTheme="minorHAnsi" w:hAnsi="Arial" w:cs="Arial"/>
          <w:b/>
          <w:bCs/>
          <w:color w:val="000000" w:themeColor="text1"/>
          <w:lang w:val="en-PH"/>
        </w:rPr>
        <w:t xml:space="preserve">Table </w:t>
      </w:r>
      <w:r w:rsidR="000279BE">
        <w:rPr>
          <w:rFonts w:ascii="Arial" w:eastAsiaTheme="minorHAnsi" w:hAnsi="Arial" w:cs="Arial"/>
          <w:b/>
          <w:bCs/>
          <w:color w:val="000000" w:themeColor="text1"/>
          <w:lang w:val="en-PH"/>
        </w:rPr>
        <w:t>4</w:t>
      </w:r>
      <w:r w:rsidRPr="006627CF">
        <w:rPr>
          <w:rFonts w:ascii="Arial" w:eastAsiaTheme="minorHAnsi" w:hAnsi="Arial" w:cs="Arial"/>
          <w:b/>
          <w:bCs/>
          <w:color w:val="000000" w:themeColor="text1"/>
          <w:lang w:val="en-PH"/>
        </w:rPr>
        <w:t xml:space="preserve">. The Relationship Between the Students’ </w:t>
      </w:r>
      <w:r w:rsidR="00176830" w:rsidRPr="006627CF">
        <w:rPr>
          <w:rFonts w:ascii="Arial" w:eastAsiaTheme="minorHAnsi" w:hAnsi="Arial" w:cs="Arial"/>
          <w:b/>
          <w:bCs/>
          <w:color w:val="000000" w:themeColor="text1"/>
          <w:lang w:val="en-PH"/>
        </w:rPr>
        <w:t xml:space="preserve">Critical Thinking Skills </w:t>
      </w:r>
      <w:r w:rsidR="00176830">
        <w:rPr>
          <w:rFonts w:ascii="Arial" w:eastAsiaTheme="minorHAnsi" w:hAnsi="Arial" w:cs="Arial"/>
          <w:b/>
          <w:bCs/>
          <w:color w:val="000000" w:themeColor="text1"/>
          <w:lang w:val="en-PH"/>
        </w:rPr>
        <w:t xml:space="preserve">and </w:t>
      </w:r>
      <w:r w:rsidRPr="006627CF">
        <w:rPr>
          <w:rFonts w:ascii="Arial" w:eastAsiaTheme="minorHAnsi" w:hAnsi="Arial" w:cs="Arial"/>
          <w:b/>
          <w:bCs/>
          <w:color w:val="000000" w:themeColor="text1"/>
          <w:lang w:val="en-PH"/>
        </w:rPr>
        <w:t>Mathematics Performance</w:t>
      </w:r>
    </w:p>
    <w:tbl>
      <w:tblPr>
        <w:tblW w:w="8200" w:type="dxa"/>
        <w:tblInd w:w="-10" w:type="dxa"/>
        <w:tblLayout w:type="fixed"/>
        <w:tblLook w:val="0400" w:firstRow="0" w:lastRow="0" w:firstColumn="0" w:lastColumn="0" w:noHBand="0" w:noVBand="1"/>
      </w:tblPr>
      <w:tblGrid>
        <w:gridCol w:w="3340"/>
        <w:gridCol w:w="1620"/>
        <w:gridCol w:w="1890"/>
        <w:gridCol w:w="1350"/>
      </w:tblGrid>
      <w:tr w:rsidR="006627CF" w:rsidRPr="006627CF" w14:paraId="3A6C6B50" w14:textId="77777777" w:rsidTr="006627CF">
        <w:tc>
          <w:tcPr>
            <w:tcW w:w="3340" w:type="dxa"/>
            <w:tcBorders>
              <w:top w:val="single" w:sz="24" w:space="0" w:color="000000"/>
              <w:bottom w:val="single" w:sz="4" w:space="0" w:color="000000"/>
            </w:tcBorders>
          </w:tcPr>
          <w:p w14:paraId="6FD9DEB6" w14:textId="49C3D104" w:rsidR="006627CF" w:rsidRPr="006627CF" w:rsidRDefault="006627CF" w:rsidP="006627CF">
            <w:pPr>
              <w:jc w:val="both"/>
              <w:rPr>
                <w:rFonts w:ascii="Arial" w:eastAsiaTheme="minorHAnsi" w:hAnsi="Arial" w:cs="Arial"/>
                <w:b/>
                <w:color w:val="000000" w:themeColor="text1"/>
                <w:lang w:val="en-PH"/>
              </w:rPr>
            </w:pPr>
            <w:r>
              <w:rPr>
                <w:rFonts w:ascii="Arial" w:eastAsiaTheme="minorHAnsi" w:hAnsi="Arial" w:cs="Arial"/>
                <w:b/>
                <w:color w:val="000000" w:themeColor="text1"/>
                <w:lang w:val="en-PH"/>
              </w:rPr>
              <w:t>VARIABLES</w:t>
            </w:r>
          </w:p>
        </w:tc>
        <w:tc>
          <w:tcPr>
            <w:tcW w:w="1620" w:type="dxa"/>
            <w:tcBorders>
              <w:top w:val="single" w:sz="24" w:space="0" w:color="000000"/>
              <w:bottom w:val="single" w:sz="4" w:space="0" w:color="000000"/>
            </w:tcBorders>
          </w:tcPr>
          <w:p w14:paraId="1441D1CC" w14:textId="77777777" w:rsidR="006627CF" w:rsidRPr="006627CF" w:rsidRDefault="006627CF" w:rsidP="000279BE">
            <w:pPr>
              <w:jc w:val="center"/>
              <w:rPr>
                <w:rFonts w:ascii="Arial" w:eastAsiaTheme="minorHAnsi" w:hAnsi="Arial" w:cs="Arial"/>
                <w:b/>
                <w:color w:val="000000" w:themeColor="text1"/>
                <w:lang w:val="en-PH"/>
              </w:rPr>
            </w:pPr>
            <w:proofErr w:type="spellStart"/>
            <w:r w:rsidRPr="006627CF">
              <w:rPr>
                <w:rFonts w:ascii="Arial" w:eastAsiaTheme="minorHAnsi" w:hAnsi="Arial" w:cs="Arial"/>
                <w:b/>
                <w:color w:val="000000" w:themeColor="text1"/>
                <w:lang w:val="en-PH"/>
              </w:rPr>
              <w:t>r-VALUE</w:t>
            </w:r>
            <w:proofErr w:type="spellEnd"/>
          </w:p>
        </w:tc>
        <w:tc>
          <w:tcPr>
            <w:tcW w:w="1890" w:type="dxa"/>
            <w:tcBorders>
              <w:top w:val="single" w:sz="24" w:space="0" w:color="000000"/>
              <w:bottom w:val="single" w:sz="4" w:space="0" w:color="000000"/>
            </w:tcBorders>
          </w:tcPr>
          <w:p w14:paraId="3C1A4551" w14:textId="77777777" w:rsidR="006627CF" w:rsidRPr="006627CF" w:rsidRDefault="006627CF" w:rsidP="006627CF">
            <w:pPr>
              <w:jc w:val="both"/>
              <w:rPr>
                <w:rFonts w:ascii="Arial" w:eastAsiaTheme="minorHAnsi" w:hAnsi="Arial" w:cs="Arial"/>
                <w:b/>
                <w:color w:val="000000" w:themeColor="text1"/>
                <w:lang w:val="en-PH"/>
              </w:rPr>
            </w:pPr>
            <w:r w:rsidRPr="006627CF">
              <w:rPr>
                <w:rFonts w:ascii="Arial" w:eastAsiaTheme="minorHAnsi" w:hAnsi="Arial" w:cs="Arial"/>
                <w:b/>
                <w:color w:val="000000" w:themeColor="text1"/>
                <w:lang w:val="en-PH"/>
              </w:rPr>
              <w:t>DESCRIPTION</w:t>
            </w:r>
          </w:p>
        </w:tc>
        <w:tc>
          <w:tcPr>
            <w:tcW w:w="1350" w:type="dxa"/>
            <w:tcBorders>
              <w:top w:val="single" w:sz="24" w:space="0" w:color="000000"/>
              <w:bottom w:val="single" w:sz="4" w:space="0" w:color="000000"/>
            </w:tcBorders>
          </w:tcPr>
          <w:p w14:paraId="56E215D5" w14:textId="77777777" w:rsidR="006627CF" w:rsidRPr="006627CF" w:rsidRDefault="006627CF" w:rsidP="006627CF">
            <w:pPr>
              <w:jc w:val="both"/>
              <w:rPr>
                <w:rFonts w:ascii="Arial" w:eastAsiaTheme="minorHAnsi" w:hAnsi="Arial" w:cs="Arial"/>
                <w:b/>
                <w:color w:val="000000" w:themeColor="text1"/>
                <w:lang w:val="en-PH"/>
              </w:rPr>
            </w:pPr>
            <w:r w:rsidRPr="006627CF">
              <w:rPr>
                <w:rFonts w:ascii="Arial" w:eastAsiaTheme="minorHAnsi" w:hAnsi="Arial" w:cs="Arial"/>
                <w:b/>
                <w:color w:val="000000" w:themeColor="text1"/>
                <w:lang w:val="en-PH"/>
              </w:rPr>
              <w:t>p-VALUE</w:t>
            </w:r>
          </w:p>
        </w:tc>
      </w:tr>
      <w:tr w:rsidR="006627CF" w:rsidRPr="006627CF" w14:paraId="6A47E660" w14:textId="77777777" w:rsidTr="006627CF">
        <w:trPr>
          <w:trHeight w:val="197"/>
        </w:trPr>
        <w:tc>
          <w:tcPr>
            <w:tcW w:w="3340" w:type="dxa"/>
            <w:tcBorders>
              <w:top w:val="single" w:sz="4" w:space="0" w:color="000000"/>
            </w:tcBorders>
          </w:tcPr>
          <w:p w14:paraId="6C5DBB38" w14:textId="77777777" w:rsidR="006627CF" w:rsidRPr="006627CF" w:rsidRDefault="006627CF" w:rsidP="006627CF">
            <w:pPr>
              <w:jc w:val="both"/>
              <w:rPr>
                <w:rFonts w:ascii="Arial" w:eastAsiaTheme="minorHAnsi" w:hAnsi="Arial" w:cs="Arial"/>
                <w:color w:val="000000" w:themeColor="text1"/>
                <w:lang w:val="en-PH"/>
              </w:rPr>
            </w:pPr>
            <w:r w:rsidRPr="006627CF">
              <w:rPr>
                <w:rFonts w:ascii="Arial" w:eastAsiaTheme="minorHAnsi" w:hAnsi="Arial" w:cs="Arial"/>
                <w:color w:val="000000" w:themeColor="text1"/>
                <w:lang w:val="en-PH"/>
              </w:rPr>
              <w:t>Critical Thinking Skills</w:t>
            </w:r>
          </w:p>
        </w:tc>
        <w:tc>
          <w:tcPr>
            <w:tcW w:w="1620" w:type="dxa"/>
            <w:vMerge w:val="restart"/>
            <w:tcBorders>
              <w:top w:val="single" w:sz="4" w:space="0" w:color="000000"/>
            </w:tcBorders>
            <w:vAlign w:val="center"/>
          </w:tcPr>
          <w:p w14:paraId="62E44768" w14:textId="77777777" w:rsidR="006627CF" w:rsidRPr="006627CF" w:rsidRDefault="006627CF" w:rsidP="000279BE">
            <w:pPr>
              <w:jc w:val="center"/>
              <w:rPr>
                <w:rFonts w:ascii="Arial" w:eastAsiaTheme="minorHAnsi" w:hAnsi="Arial" w:cs="Arial"/>
                <w:color w:val="000000" w:themeColor="text1"/>
                <w:lang w:val="en-PH"/>
              </w:rPr>
            </w:pPr>
            <w:r w:rsidRPr="006627CF">
              <w:rPr>
                <w:rFonts w:ascii="Arial" w:eastAsiaTheme="minorHAnsi" w:hAnsi="Arial" w:cs="Arial"/>
                <w:color w:val="000000" w:themeColor="text1"/>
                <w:lang w:val="en-PH"/>
              </w:rPr>
              <w:t>0.267</w:t>
            </w:r>
          </w:p>
        </w:tc>
        <w:tc>
          <w:tcPr>
            <w:tcW w:w="1890" w:type="dxa"/>
            <w:vMerge w:val="restart"/>
            <w:tcBorders>
              <w:top w:val="single" w:sz="4" w:space="0" w:color="000000"/>
            </w:tcBorders>
            <w:vAlign w:val="center"/>
          </w:tcPr>
          <w:p w14:paraId="6A94488E" w14:textId="77777777" w:rsidR="006627CF" w:rsidRPr="006627CF" w:rsidRDefault="006627CF" w:rsidP="000279BE">
            <w:pPr>
              <w:jc w:val="center"/>
              <w:rPr>
                <w:rFonts w:ascii="Arial" w:eastAsiaTheme="minorHAnsi" w:hAnsi="Arial" w:cs="Arial"/>
                <w:color w:val="000000" w:themeColor="text1"/>
                <w:lang w:val="en-PH"/>
              </w:rPr>
            </w:pPr>
            <w:r w:rsidRPr="006627CF">
              <w:rPr>
                <w:rFonts w:ascii="Arial" w:eastAsiaTheme="minorHAnsi" w:hAnsi="Arial" w:cs="Arial"/>
                <w:color w:val="000000" w:themeColor="text1"/>
                <w:lang w:val="en-PH"/>
              </w:rPr>
              <w:t>Low Correlation</w:t>
            </w:r>
          </w:p>
        </w:tc>
        <w:tc>
          <w:tcPr>
            <w:tcW w:w="1350" w:type="dxa"/>
            <w:vMerge w:val="restart"/>
            <w:tcBorders>
              <w:top w:val="single" w:sz="4" w:space="0" w:color="000000"/>
            </w:tcBorders>
            <w:vAlign w:val="center"/>
          </w:tcPr>
          <w:p w14:paraId="55B05F61" w14:textId="77777777" w:rsidR="006627CF" w:rsidRPr="006627CF" w:rsidRDefault="006627CF" w:rsidP="000279BE">
            <w:pPr>
              <w:jc w:val="center"/>
              <w:rPr>
                <w:rFonts w:ascii="Arial" w:eastAsiaTheme="minorHAnsi" w:hAnsi="Arial" w:cs="Arial"/>
                <w:color w:val="000000" w:themeColor="text1"/>
                <w:lang w:val="en-PH"/>
              </w:rPr>
            </w:pPr>
            <w:r w:rsidRPr="006627CF">
              <w:rPr>
                <w:rFonts w:ascii="Arial" w:eastAsiaTheme="minorHAnsi" w:hAnsi="Arial" w:cs="Arial"/>
                <w:color w:val="000000" w:themeColor="text1"/>
                <w:lang w:val="en-PH"/>
              </w:rPr>
              <w:t>0.0057</w:t>
            </w:r>
          </w:p>
        </w:tc>
      </w:tr>
      <w:tr w:rsidR="006627CF" w:rsidRPr="006627CF" w14:paraId="2613B126" w14:textId="77777777" w:rsidTr="006627CF">
        <w:trPr>
          <w:trHeight w:val="80"/>
        </w:trPr>
        <w:tc>
          <w:tcPr>
            <w:tcW w:w="3340" w:type="dxa"/>
            <w:tcBorders>
              <w:bottom w:val="single" w:sz="24" w:space="0" w:color="000000"/>
            </w:tcBorders>
          </w:tcPr>
          <w:p w14:paraId="635DDE6B" w14:textId="25767AD4" w:rsidR="006627CF" w:rsidRPr="006627CF" w:rsidRDefault="006627CF" w:rsidP="006627CF">
            <w:pPr>
              <w:jc w:val="both"/>
              <w:rPr>
                <w:rFonts w:ascii="Arial" w:eastAsiaTheme="minorHAnsi" w:hAnsi="Arial" w:cs="Arial"/>
                <w:color w:val="000000" w:themeColor="text1"/>
                <w:lang w:val="en-PH"/>
              </w:rPr>
            </w:pPr>
            <w:bookmarkStart w:id="1" w:name="_1fob9te" w:colFirst="0" w:colLast="0"/>
            <w:bookmarkEnd w:id="1"/>
            <w:r>
              <w:rPr>
                <w:rFonts w:ascii="Arial" w:eastAsiaTheme="minorHAnsi" w:hAnsi="Arial" w:cs="Arial"/>
                <w:color w:val="000000" w:themeColor="text1"/>
                <w:lang w:val="en-PH"/>
              </w:rPr>
              <w:t>Mathematics Performance</w:t>
            </w:r>
          </w:p>
        </w:tc>
        <w:tc>
          <w:tcPr>
            <w:tcW w:w="1620" w:type="dxa"/>
            <w:vMerge/>
            <w:tcBorders>
              <w:bottom w:val="single" w:sz="24" w:space="0" w:color="000000"/>
            </w:tcBorders>
          </w:tcPr>
          <w:p w14:paraId="232A9E24" w14:textId="77777777" w:rsidR="006627CF" w:rsidRPr="006627CF" w:rsidRDefault="006627CF" w:rsidP="006627CF">
            <w:pPr>
              <w:jc w:val="both"/>
              <w:rPr>
                <w:rFonts w:ascii="Arial" w:eastAsiaTheme="minorHAnsi" w:hAnsi="Arial" w:cs="Arial"/>
                <w:color w:val="000000" w:themeColor="text1"/>
                <w:lang w:val="en-PH"/>
              </w:rPr>
            </w:pPr>
          </w:p>
        </w:tc>
        <w:tc>
          <w:tcPr>
            <w:tcW w:w="1890" w:type="dxa"/>
            <w:vMerge/>
            <w:tcBorders>
              <w:bottom w:val="single" w:sz="24" w:space="0" w:color="000000"/>
            </w:tcBorders>
          </w:tcPr>
          <w:p w14:paraId="35019ACE" w14:textId="77777777" w:rsidR="006627CF" w:rsidRPr="006627CF" w:rsidRDefault="006627CF" w:rsidP="006627CF">
            <w:pPr>
              <w:jc w:val="both"/>
              <w:rPr>
                <w:rFonts w:ascii="Arial" w:eastAsiaTheme="minorHAnsi" w:hAnsi="Arial" w:cs="Arial"/>
                <w:color w:val="000000" w:themeColor="text1"/>
                <w:lang w:val="en-PH"/>
              </w:rPr>
            </w:pPr>
          </w:p>
        </w:tc>
        <w:tc>
          <w:tcPr>
            <w:tcW w:w="1350" w:type="dxa"/>
            <w:vMerge/>
            <w:tcBorders>
              <w:bottom w:val="single" w:sz="24" w:space="0" w:color="000000"/>
            </w:tcBorders>
          </w:tcPr>
          <w:p w14:paraId="199C8E81" w14:textId="77777777" w:rsidR="006627CF" w:rsidRPr="006627CF" w:rsidRDefault="006627CF" w:rsidP="006627CF">
            <w:pPr>
              <w:jc w:val="both"/>
              <w:rPr>
                <w:rFonts w:ascii="Arial" w:eastAsiaTheme="minorHAnsi" w:hAnsi="Arial" w:cs="Arial"/>
                <w:color w:val="000000" w:themeColor="text1"/>
                <w:lang w:val="en-PH"/>
              </w:rPr>
            </w:pPr>
          </w:p>
        </w:tc>
      </w:tr>
    </w:tbl>
    <w:p w14:paraId="5C7FC0D1" w14:textId="77777777" w:rsidR="006627CF" w:rsidRPr="006627CF" w:rsidRDefault="006627CF" w:rsidP="006627CF">
      <w:pPr>
        <w:jc w:val="both"/>
        <w:rPr>
          <w:rFonts w:ascii="Arial" w:eastAsiaTheme="minorHAnsi" w:hAnsi="Arial" w:cs="Arial"/>
          <w:color w:val="000000" w:themeColor="text1"/>
          <w:lang w:val="en-PH"/>
        </w:rPr>
      </w:pPr>
    </w:p>
    <w:p w14:paraId="1984C7C7" w14:textId="77777777" w:rsidR="006627CF" w:rsidRDefault="006627CF" w:rsidP="00DD744E">
      <w:pPr>
        <w:jc w:val="both"/>
        <w:rPr>
          <w:rFonts w:ascii="Arial" w:eastAsiaTheme="minorHAnsi" w:hAnsi="Arial" w:cs="Arial"/>
          <w:color w:val="000000" w:themeColor="text1"/>
        </w:rPr>
      </w:pPr>
    </w:p>
    <w:p w14:paraId="6EDD1B86" w14:textId="5F460571" w:rsidR="00C858ED" w:rsidRPr="00C858ED" w:rsidRDefault="00C858ED" w:rsidP="00DD744E">
      <w:pPr>
        <w:ind w:left="360" w:hanging="360"/>
        <w:jc w:val="both"/>
        <w:rPr>
          <w:rFonts w:ascii="Arial" w:hAnsi="Arial" w:cs="Arial"/>
          <w:b/>
          <w:color w:val="000000" w:themeColor="text1"/>
          <w:sz w:val="22"/>
        </w:rPr>
      </w:pPr>
      <w:r>
        <w:rPr>
          <w:rFonts w:ascii="Arial" w:hAnsi="Arial" w:cs="Arial"/>
          <w:b/>
          <w:color w:val="000000" w:themeColor="text1"/>
          <w:sz w:val="22"/>
        </w:rPr>
        <w:t>3.</w:t>
      </w:r>
      <w:r w:rsidR="00A71D52">
        <w:rPr>
          <w:rFonts w:ascii="Arial" w:hAnsi="Arial" w:cs="Arial"/>
          <w:b/>
          <w:color w:val="000000" w:themeColor="text1"/>
          <w:sz w:val="22"/>
        </w:rPr>
        <w:t>9</w:t>
      </w:r>
      <w:r>
        <w:rPr>
          <w:rFonts w:ascii="Arial" w:hAnsi="Arial" w:cs="Arial"/>
          <w:b/>
          <w:color w:val="000000" w:themeColor="text1"/>
          <w:sz w:val="22"/>
        </w:rPr>
        <w:t xml:space="preserve"> </w:t>
      </w:r>
      <w:r w:rsidR="00DD744E" w:rsidRPr="00DD744E">
        <w:rPr>
          <w:rFonts w:ascii="Arial" w:hAnsi="Arial" w:cs="Arial"/>
          <w:b/>
          <w:color w:val="000000" w:themeColor="text1"/>
          <w:sz w:val="22"/>
        </w:rPr>
        <w:t xml:space="preserve">Regression Analysis of Students’ Critical Thinking Skills </w:t>
      </w:r>
      <w:r w:rsidR="00DD744E">
        <w:rPr>
          <w:rFonts w:ascii="Arial" w:hAnsi="Arial" w:cs="Arial"/>
          <w:b/>
          <w:color w:val="000000" w:themeColor="text1"/>
          <w:sz w:val="22"/>
        </w:rPr>
        <w:t xml:space="preserve">and </w:t>
      </w:r>
      <w:r w:rsidR="00DD744E" w:rsidRPr="00DD744E">
        <w:rPr>
          <w:rFonts w:ascii="Arial" w:hAnsi="Arial" w:cs="Arial"/>
          <w:b/>
          <w:color w:val="000000" w:themeColor="text1"/>
          <w:sz w:val="22"/>
        </w:rPr>
        <w:t>Mathematics Performanc</w:t>
      </w:r>
      <w:r w:rsidR="00DD744E">
        <w:rPr>
          <w:rFonts w:ascii="Arial" w:hAnsi="Arial" w:cs="Arial"/>
          <w:b/>
          <w:color w:val="000000" w:themeColor="text1"/>
          <w:sz w:val="22"/>
        </w:rPr>
        <w:t>e</w:t>
      </w:r>
    </w:p>
    <w:p w14:paraId="7774B69D" w14:textId="77777777" w:rsidR="00C858ED" w:rsidRDefault="00C858ED" w:rsidP="00C858ED">
      <w:pPr>
        <w:ind w:right="-360"/>
        <w:jc w:val="both"/>
        <w:rPr>
          <w:rFonts w:ascii="Arial" w:hAnsi="Arial" w:cs="Arial"/>
          <w:color w:val="000000" w:themeColor="text1"/>
        </w:rPr>
      </w:pPr>
    </w:p>
    <w:p w14:paraId="3D6852E5" w14:textId="77777777" w:rsidR="006627CF" w:rsidRPr="006627CF" w:rsidRDefault="00C858ED" w:rsidP="006627CF">
      <w:pPr>
        <w:ind w:right="-360"/>
        <w:jc w:val="both"/>
        <w:rPr>
          <w:rFonts w:ascii="Arial" w:hAnsi="Arial" w:cs="Arial"/>
          <w:color w:val="000000" w:themeColor="text1"/>
        </w:rPr>
      </w:pPr>
      <w:r w:rsidRPr="00C858ED">
        <w:rPr>
          <w:rFonts w:ascii="Arial" w:hAnsi="Arial" w:cs="Arial"/>
          <w:color w:val="000000" w:themeColor="text1"/>
        </w:rPr>
        <w:tab/>
      </w:r>
      <w:r w:rsidR="00A71D52" w:rsidRPr="00A71D52">
        <w:rPr>
          <w:rFonts w:ascii="Arial" w:hAnsi="Arial" w:cs="Arial"/>
          <w:color w:val="000000" w:themeColor="text1"/>
        </w:rPr>
        <w:t xml:space="preserve">Table 5 presents the regression analysis of critical thinking skills as a predictor of mathematics performance. </w:t>
      </w:r>
      <w:r w:rsidR="006627CF" w:rsidRPr="006627CF">
        <w:rPr>
          <w:rFonts w:ascii="Arial" w:hAnsi="Arial" w:cs="Arial"/>
          <w:color w:val="000000" w:themeColor="text1"/>
        </w:rPr>
        <w:t>The regression results show that critical thinking has a significant effect on mathematics performance, with β equal to –0.2246 and p equal to 0.0057. The model explains 7.10% of the variance, which may seem small, but it is still worth noting because education research often deals with outcomes shaped by many overlapping factors. Even modest contributions like this matter, especially when they point to skills such as critical thinking that can be directly taught and developed. This means that students with stronger critical thinking skills are more likely to perform better in mathematics. For teacher education students, this highlights the value of training that develops both content knowledge and thinking skills.</w:t>
      </w:r>
    </w:p>
    <w:p w14:paraId="6640F45B" w14:textId="77777777" w:rsidR="006627CF" w:rsidRPr="006627CF" w:rsidRDefault="006627CF" w:rsidP="006627CF">
      <w:pPr>
        <w:ind w:right="-360"/>
        <w:jc w:val="both"/>
        <w:rPr>
          <w:rFonts w:ascii="Arial" w:hAnsi="Arial" w:cs="Arial"/>
          <w:color w:val="000000" w:themeColor="text1"/>
        </w:rPr>
      </w:pPr>
    </w:p>
    <w:p w14:paraId="6376C24B" w14:textId="64EB26BD" w:rsidR="00C858ED" w:rsidRPr="00C858ED" w:rsidRDefault="006627CF" w:rsidP="006627CF">
      <w:pPr>
        <w:ind w:right="-360" w:firstLine="720"/>
        <w:jc w:val="both"/>
        <w:rPr>
          <w:rFonts w:ascii="Arial" w:hAnsi="Arial" w:cs="Arial"/>
          <w:b/>
          <w:color w:val="000000" w:themeColor="text1"/>
        </w:rPr>
      </w:pPr>
      <w:r w:rsidRPr="006627CF">
        <w:rPr>
          <w:rFonts w:ascii="Arial" w:hAnsi="Arial" w:cs="Arial"/>
          <w:color w:val="000000" w:themeColor="text1"/>
        </w:rPr>
        <w:t>The negative sign of the coefficient is explained by the grading system used, where lower scores mean better performance. Thus, higher critical thinking is linked with stronger mathematics achievement. These results agree with earlier studies pointing out that many factors shape mathematics performance. Critical thinking is one part of the picture, but other influences such as technology in teaching (</w:t>
      </w:r>
      <w:proofErr w:type="spellStart"/>
      <w:r w:rsidRPr="006627CF">
        <w:rPr>
          <w:rFonts w:ascii="Arial" w:hAnsi="Arial" w:cs="Arial"/>
          <w:color w:val="000000" w:themeColor="text1"/>
        </w:rPr>
        <w:t>Ifenthaler</w:t>
      </w:r>
      <w:proofErr w:type="spellEnd"/>
      <w:r w:rsidRPr="006627CF">
        <w:rPr>
          <w:rFonts w:ascii="Arial" w:hAnsi="Arial" w:cs="Arial"/>
          <w:color w:val="000000" w:themeColor="text1"/>
        </w:rPr>
        <w:t xml:space="preserve"> et al., 2020), growth mindset (Boaler, 2016), differentiated instruction (</w:t>
      </w:r>
      <w:proofErr w:type="spellStart"/>
      <w:r w:rsidRPr="006627CF">
        <w:rPr>
          <w:rFonts w:ascii="Arial" w:hAnsi="Arial" w:cs="Arial"/>
          <w:color w:val="000000" w:themeColor="text1"/>
        </w:rPr>
        <w:t>Suprayogi</w:t>
      </w:r>
      <w:proofErr w:type="spellEnd"/>
      <w:r w:rsidRPr="006627CF">
        <w:rPr>
          <w:rFonts w:ascii="Arial" w:hAnsi="Arial" w:cs="Arial"/>
          <w:color w:val="000000" w:themeColor="text1"/>
        </w:rPr>
        <w:t xml:space="preserve"> et al., 2017), peer collaboration (Gillies, 2016), and teacher preparation (Darling-Hammond et al., 2017) also play important roles. </w:t>
      </w:r>
      <w:proofErr w:type="spellStart"/>
      <w:r w:rsidRPr="006627CF">
        <w:rPr>
          <w:rFonts w:ascii="Arial" w:hAnsi="Arial" w:cs="Arial"/>
          <w:color w:val="000000" w:themeColor="text1"/>
        </w:rPr>
        <w:t>Jumangit</w:t>
      </w:r>
      <w:proofErr w:type="spellEnd"/>
      <w:r w:rsidRPr="006627CF">
        <w:rPr>
          <w:rFonts w:ascii="Arial" w:hAnsi="Arial" w:cs="Arial"/>
          <w:color w:val="000000" w:themeColor="text1"/>
        </w:rPr>
        <w:t xml:space="preserve"> and Miranda (2025) found that motivation helps link mindset to performance, while Bueno and Miranda (2024) showed that emotional stability helps students manage stress. </w:t>
      </w:r>
      <w:proofErr w:type="spellStart"/>
      <w:r w:rsidRPr="006627CF">
        <w:rPr>
          <w:rFonts w:ascii="Arial" w:hAnsi="Arial" w:cs="Arial"/>
          <w:color w:val="000000" w:themeColor="text1"/>
        </w:rPr>
        <w:t>Micutuan</w:t>
      </w:r>
      <w:proofErr w:type="spellEnd"/>
      <w:r w:rsidRPr="006627CF">
        <w:rPr>
          <w:rFonts w:ascii="Arial" w:hAnsi="Arial" w:cs="Arial"/>
          <w:color w:val="000000" w:themeColor="text1"/>
        </w:rPr>
        <w:t xml:space="preserve"> et al. (2025) also noted that fear of failure can lead to procrastination, which affects learning. These studies support the idea that improving mathematics performance requires a broad approach that goes beyond critical thinking alone.</w:t>
      </w:r>
      <w:r w:rsidR="00C858ED" w:rsidRPr="00C858ED">
        <w:rPr>
          <w:rFonts w:ascii="Arial" w:hAnsi="Arial" w:cs="Arial"/>
          <w:color w:val="000000" w:themeColor="text1"/>
        </w:rPr>
        <w:t xml:space="preserve"> </w:t>
      </w:r>
    </w:p>
    <w:p w14:paraId="2373BF79" w14:textId="77777777" w:rsidR="00AD1BAC" w:rsidRDefault="00AD1BAC" w:rsidP="00C858ED">
      <w:pPr>
        <w:jc w:val="both"/>
        <w:rPr>
          <w:rFonts w:ascii="Arial" w:hAnsi="Arial" w:cs="Arial"/>
          <w:color w:val="000000" w:themeColor="text1"/>
        </w:rPr>
      </w:pPr>
    </w:p>
    <w:p w14:paraId="49EFF5CE" w14:textId="77777777" w:rsidR="00AD1BAC" w:rsidRDefault="00AD1BAC" w:rsidP="00C858ED">
      <w:pPr>
        <w:jc w:val="both"/>
        <w:rPr>
          <w:rFonts w:ascii="Arial" w:hAnsi="Arial" w:cs="Arial"/>
          <w:color w:val="000000" w:themeColor="text1"/>
        </w:rPr>
      </w:pPr>
    </w:p>
    <w:p w14:paraId="683A4C18" w14:textId="4E1C2C56" w:rsidR="00AD1BAC" w:rsidRPr="00AD1BAC" w:rsidRDefault="00AD1BAC" w:rsidP="00AD1BAC">
      <w:pPr>
        <w:ind w:left="990" w:hanging="990"/>
        <w:jc w:val="both"/>
        <w:rPr>
          <w:rFonts w:ascii="Arial" w:hAnsi="Arial" w:cs="Arial"/>
          <w:b/>
          <w:bCs/>
          <w:color w:val="000000" w:themeColor="text1"/>
          <w:lang w:val="en-PH"/>
        </w:rPr>
      </w:pPr>
      <w:r w:rsidRPr="00AD1BAC">
        <w:rPr>
          <w:rFonts w:ascii="Arial" w:hAnsi="Arial" w:cs="Arial"/>
          <w:b/>
          <w:bCs/>
          <w:color w:val="000000" w:themeColor="text1"/>
          <w:lang w:val="en-PH"/>
        </w:rPr>
        <w:t xml:space="preserve">Table 5.  Regression Analysis of Students’ </w:t>
      </w:r>
      <w:r w:rsidR="00176830" w:rsidRPr="00AD1BAC">
        <w:rPr>
          <w:rFonts w:ascii="Arial" w:hAnsi="Arial" w:cs="Arial"/>
          <w:b/>
          <w:bCs/>
          <w:color w:val="000000" w:themeColor="text1"/>
          <w:lang w:val="en-PH"/>
        </w:rPr>
        <w:t xml:space="preserve">Critical Thinking Skills </w:t>
      </w:r>
      <w:r w:rsidR="00176830">
        <w:rPr>
          <w:rFonts w:ascii="Arial" w:hAnsi="Arial" w:cs="Arial"/>
          <w:b/>
          <w:bCs/>
          <w:color w:val="000000" w:themeColor="text1"/>
          <w:lang w:val="en-PH"/>
        </w:rPr>
        <w:t xml:space="preserve">and </w:t>
      </w:r>
      <w:r w:rsidRPr="00AD1BAC">
        <w:rPr>
          <w:rFonts w:ascii="Arial" w:hAnsi="Arial" w:cs="Arial"/>
          <w:b/>
          <w:bCs/>
          <w:color w:val="000000" w:themeColor="text1"/>
          <w:lang w:val="en-PH"/>
        </w:rPr>
        <w:t>Mathematics Performance</w:t>
      </w:r>
    </w:p>
    <w:tbl>
      <w:tblPr>
        <w:tblW w:w="8505" w:type="dxa"/>
        <w:tblInd w:w="135" w:type="dxa"/>
        <w:tblBorders>
          <w:top w:val="single" w:sz="24" w:space="0" w:color="000000"/>
          <w:left w:val="nil"/>
          <w:bottom w:val="single" w:sz="24" w:space="0" w:color="000000"/>
          <w:right w:val="nil"/>
          <w:insideH w:val="nil"/>
          <w:insideV w:val="nil"/>
        </w:tblBorders>
        <w:tblLayout w:type="fixed"/>
        <w:tblLook w:val="0400" w:firstRow="0" w:lastRow="0" w:firstColumn="0" w:lastColumn="0" w:noHBand="0" w:noVBand="1"/>
      </w:tblPr>
      <w:tblGrid>
        <w:gridCol w:w="2295"/>
        <w:gridCol w:w="2970"/>
        <w:gridCol w:w="1395"/>
        <w:gridCol w:w="1845"/>
      </w:tblGrid>
      <w:tr w:rsidR="00AD1BAC" w:rsidRPr="00AD1BAC" w14:paraId="54C966B4" w14:textId="77777777" w:rsidTr="00AD1BAC">
        <w:tc>
          <w:tcPr>
            <w:tcW w:w="2295" w:type="dxa"/>
            <w:tcBorders>
              <w:top w:val="single" w:sz="24" w:space="0" w:color="000000"/>
              <w:bottom w:val="single" w:sz="4" w:space="0" w:color="000000"/>
            </w:tcBorders>
          </w:tcPr>
          <w:p w14:paraId="1F8625CA" w14:textId="77777777" w:rsidR="00AD1BAC" w:rsidRPr="00AD1BAC" w:rsidRDefault="00AD1BAC" w:rsidP="00AD1BAC">
            <w:pPr>
              <w:jc w:val="both"/>
              <w:rPr>
                <w:rFonts w:ascii="Arial" w:hAnsi="Arial" w:cs="Arial"/>
                <w:b/>
                <w:bCs/>
                <w:color w:val="000000" w:themeColor="text1"/>
                <w:lang w:val="en-PH"/>
              </w:rPr>
            </w:pPr>
            <w:r w:rsidRPr="00AD1BAC">
              <w:rPr>
                <w:rFonts w:ascii="Arial" w:hAnsi="Arial" w:cs="Arial"/>
                <w:b/>
                <w:bCs/>
                <w:color w:val="000000" w:themeColor="text1"/>
                <w:lang w:val="en-PH"/>
              </w:rPr>
              <w:t>Variable</w:t>
            </w:r>
          </w:p>
        </w:tc>
        <w:tc>
          <w:tcPr>
            <w:tcW w:w="2970" w:type="dxa"/>
            <w:tcBorders>
              <w:top w:val="single" w:sz="24" w:space="0" w:color="000000"/>
              <w:bottom w:val="single" w:sz="4" w:space="0" w:color="000000"/>
            </w:tcBorders>
          </w:tcPr>
          <w:p w14:paraId="78646D87" w14:textId="77777777" w:rsidR="00AD1BAC" w:rsidRPr="00AD1BAC" w:rsidRDefault="00AD1BAC" w:rsidP="00AD1BAC">
            <w:pPr>
              <w:jc w:val="center"/>
              <w:rPr>
                <w:rFonts w:ascii="Arial" w:hAnsi="Arial" w:cs="Arial"/>
                <w:b/>
                <w:bCs/>
                <w:color w:val="000000" w:themeColor="text1"/>
                <w:lang w:val="en-PH"/>
              </w:rPr>
            </w:pPr>
            <w:r w:rsidRPr="00AD1BAC">
              <w:rPr>
                <w:rFonts w:ascii="Arial" w:hAnsi="Arial" w:cs="Arial"/>
                <w:b/>
                <w:bCs/>
                <w:color w:val="000000" w:themeColor="text1"/>
                <w:lang w:val="en-PH"/>
              </w:rPr>
              <w:t>Unstandardized Coefficients</w:t>
            </w:r>
          </w:p>
        </w:tc>
        <w:tc>
          <w:tcPr>
            <w:tcW w:w="1395" w:type="dxa"/>
            <w:tcBorders>
              <w:top w:val="single" w:sz="24" w:space="0" w:color="000000"/>
              <w:bottom w:val="single" w:sz="4" w:space="0" w:color="000000"/>
            </w:tcBorders>
          </w:tcPr>
          <w:p w14:paraId="3FCAC842" w14:textId="77777777" w:rsidR="00AD1BAC" w:rsidRPr="00AD1BAC" w:rsidRDefault="00AD1BAC" w:rsidP="00AD1BAC">
            <w:pPr>
              <w:jc w:val="center"/>
              <w:rPr>
                <w:rFonts w:ascii="Arial" w:hAnsi="Arial" w:cs="Arial"/>
                <w:b/>
                <w:bCs/>
                <w:color w:val="000000" w:themeColor="text1"/>
                <w:lang w:val="en-PH"/>
              </w:rPr>
            </w:pPr>
            <w:r w:rsidRPr="00AD1BAC">
              <w:rPr>
                <w:rFonts w:ascii="Arial" w:hAnsi="Arial" w:cs="Arial"/>
                <w:b/>
                <w:bCs/>
                <w:color w:val="000000" w:themeColor="text1"/>
                <w:lang w:val="en-PH"/>
              </w:rPr>
              <w:t>p-value</w:t>
            </w:r>
          </w:p>
        </w:tc>
        <w:tc>
          <w:tcPr>
            <w:tcW w:w="1845" w:type="dxa"/>
            <w:tcBorders>
              <w:top w:val="single" w:sz="24" w:space="0" w:color="000000"/>
              <w:bottom w:val="single" w:sz="4" w:space="0" w:color="000000"/>
            </w:tcBorders>
          </w:tcPr>
          <w:p w14:paraId="61715B53" w14:textId="77777777" w:rsidR="00AD1BAC" w:rsidRPr="00AD1BAC" w:rsidRDefault="00AD1BAC" w:rsidP="00AD1BAC">
            <w:pPr>
              <w:jc w:val="center"/>
              <w:rPr>
                <w:rFonts w:ascii="Arial" w:hAnsi="Arial" w:cs="Arial"/>
                <w:b/>
                <w:bCs/>
                <w:color w:val="000000" w:themeColor="text1"/>
                <w:lang w:val="en-PH"/>
              </w:rPr>
            </w:pPr>
            <w:r w:rsidRPr="00AD1BAC">
              <w:rPr>
                <w:rFonts w:ascii="Arial" w:hAnsi="Arial" w:cs="Arial"/>
                <w:b/>
                <w:bCs/>
                <w:color w:val="000000" w:themeColor="text1"/>
                <w:lang w:val="en-PH"/>
              </w:rPr>
              <w:t>Interpretation</w:t>
            </w:r>
          </w:p>
        </w:tc>
      </w:tr>
      <w:tr w:rsidR="00AD1BAC" w:rsidRPr="00AD1BAC" w14:paraId="74DBB407" w14:textId="77777777" w:rsidTr="00AD1BAC">
        <w:tc>
          <w:tcPr>
            <w:tcW w:w="2295" w:type="dxa"/>
            <w:tcBorders>
              <w:top w:val="single" w:sz="4" w:space="0" w:color="000000"/>
              <w:left w:val="nil"/>
              <w:bottom w:val="nil"/>
              <w:right w:val="nil"/>
            </w:tcBorders>
          </w:tcPr>
          <w:p w14:paraId="4D75E247" w14:textId="77777777" w:rsidR="00AD1BAC" w:rsidRPr="00AD1BAC" w:rsidRDefault="00AD1BAC" w:rsidP="00AD1BAC">
            <w:pPr>
              <w:jc w:val="both"/>
              <w:rPr>
                <w:rFonts w:ascii="Arial" w:hAnsi="Arial" w:cs="Arial"/>
                <w:color w:val="000000" w:themeColor="text1"/>
                <w:lang w:val="en-PH"/>
              </w:rPr>
            </w:pPr>
            <w:r w:rsidRPr="00AD1BAC">
              <w:rPr>
                <w:rFonts w:ascii="Arial" w:hAnsi="Arial" w:cs="Arial"/>
                <w:color w:val="000000" w:themeColor="text1"/>
                <w:lang w:val="en-PH"/>
              </w:rPr>
              <w:t>(Constant)</w:t>
            </w:r>
          </w:p>
        </w:tc>
        <w:tc>
          <w:tcPr>
            <w:tcW w:w="2970" w:type="dxa"/>
            <w:tcBorders>
              <w:top w:val="single" w:sz="4" w:space="0" w:color="000000"/>
              <w:left w:val="nil"/>
              <w:bottom w:val="nil"/>
              <w:right w:val="nil"/>
            </w:tcBorders>
            <w:vAlign w:val="center"/>
          </w:tcPr>
          <w:p w14:paraId="3E76A44C" w14:textId="77777777" w:rsidR="00AD1BAC" w:rsidRPr="00AD1BAC" w:rsidRDefault="00AD1BAC" w:rsidP="00AD1BAC">
            <w:pPr>
              <w:jc w:val="center"/>
              <w:rPr>
                <w:rFonts w:ascii="Arial" w:hAnsi="Arial" w:cs="Arial"/>
                <w:color w:val="000000" w:themeColor="text1"/>
                <w:lang w:val="en-PH"/>
              </w:rPr>
            </w:pPr>
            <w:r w:rsidRPr="00AD1BAC">
              <w:rPr>
                <w:rFonts w:ascii="Arial" w:hAnsi="Arial" w:cs="Arial"/>
                <w:color w:val="000000" w:themeColor="text1"/>
                <w:lang w:val="en-PH"/>
              </w:rPr>
              <w:t>3.124</w:t>
            </w:r>
          </w:p>
        </w:tc>
        <w:tc>
          <w:tcPr>
            <w:tcW w:w="1395" w:type="dxa"/>
            <w:tcBorders>
              <w:top w:val="single" w:sz="4" w:space="0" w:color="000000"/>
              <w:left w:val="nil"/>
              <w:bottom w:val="nil"/>
              <w:right w:val="nil"/>
            </w:tcBorders>
            <w:vAlign w:val="center"/>
          </w:tcPr>
          <w:p w14:paraId="6889BDAA" w14:textId="708F0AD1" w:rsidR="00AD1BAC" w:rsidRPr="00AD1BAC" w:rsidRDefault="00AD1BAC" w:rsidP="00AD1BAC">
            <w:pPr>
              <w:jc w:val="center"/>
              <w:rPr>
                <w:rFonts w:ascii="Arial" w:hAnsi="Arial" w:cs="Arial"/>
                <w:color w:val="000000" w:themeColor="text1"/>
                <w:lang w:val="en-PH"/>
              </w:rPr>
            </w:pPr>
            <w:r w:rsidRPr="00AD1BAC">
              <w:rPr>
                <w:rFonts w:ascii="Arial" w:hAnsi="Arial" w:cs="Arial"/>
                <w:color w:val="000000" w:themeColor="text1"/>
                <w:lang w:val="en-PH"/>
              </w:rPr>
              <w:t xml:space="preserve">&lt; </w:t>
            </w:r>
            <w:r w:rsidR="000279BE">
              <w:rPr>
                <w:rFonts w:ascii="Arial" w:hAnsi="Arial" w:cs="Arial"/>
                <w:color w:val="000000" w:themeColor="text1"/>
                <w:lang w:val="en-PH"/>
              </w:rPr>
              <w:t>0</w:t>
            </w:r>
            <w:r w:rsidRPr="00AD1BAC">
              <w:rPr>
                <w:rFonts w:ascii="Arial" w:hAnsi="Arial" w:cs="Arial"/>
                <w:color w:val="000000" w:themeColor="text1"/>
                <w:lang w:val="en-PH"/>
              </w:rPr>
              <w:t>.001</w:t>
            </w:r>
          </w:p>
        </w:tc>
        <w:tc>
          <w:tcPr>
            <w:tcW w:w="1845" w:type="dxa"/>
            <w:tcBorders>
              <w:top w:val="single" w:sz="4" w:space="0" w:color="000000"/>
              <w:left w:val="nil"/>
              <w:bottom w:val="nil"/>
              <w:right w:val="nil"/>
            </w:tcBorders>
          </w:tcPr>
          <w:p w14:paraId="073E1C98" w14:textId="77777777" w:rsidR="00AD1BAC" w:rsidRPr="00AD1BAC" w:rsidRDefault="00AD1BAC" w:rsidP="00AD1BAC">
            <w:pPr>
              <w:jc w:val="center"/>
              <w:rPr>
                <w:rFonts w:ascii="Arial" w:hAnsi="Arial" w:cs="Arial"/>
                <w:b/>
                <w:color w:val="000000" w:themeColor="text1"/>
                <w:lang w:val="en-PH"/>
              </w:rPr>
            </w:pPr>
            <w:r w:rsidRPr="00AD1BAC">
              <w:rPr>
                <w:rFonts w:ascii="Arial" w:hAnsi="Arial" w:cs="Arial"/>
                <w:color w:val="000000" w:themeColor="text1"/>
                <w:lang w:val="en-PH"/>
              </w:rPr>
              <w:t>Significant</w:t>
            </w:r>
          </w:p>
        </w:tc>
      </w:tr>
      <w:tr w:rsidR="00AD1BAC" w:rsidRPr="00AD1BAC" w14:paraId="31368524" w14:textId="77777777" w:rsidTr="00AD1BAC">
        <w:trPr>
          <w:trHeight w:val="90"/>
        </w:trPr>
        <w:tc>
          <w:tcPr>
            <w:tcW w:w="2295" w:type="dxa"/>
            <w:tcBorders>
              <w:top w:val="nil"/>
              <w:left w:val="nil"/>
              <w:bottom w:val="single" w:sz="24" w:space="0" w:color="000000"/>
              <w:right w:val="nil"/>
            </w:tcBorders>
          </w:tcPr>
          <w:p w14:paraId="2B967551" w14:textId="77777777" w:rsidR="00AD1BAC" w:rsidRPr="00AD1BAC" w:rsidRDefault="00AD1BAC" w:rsidP="00AD1BAC">
            <w:pPr>
              <w:jc w:val="both"/>
              <w:rPr>
                <w:rFonts w:ascii="Arial" w:hAnsi="Arial" w:cs="Arial"/>
                <w:color w:val="000000" w:themeColor="text1"/>
                <w:lang w:val="en-PH"/>
              </w:rPr>
            </w:pPr>
            <w:r w:rsidRPr="00AD1BAC">
              <w:rPr>
                <w:rFonts w:ascii="Arial" w:hAnsi="Arial" w:cs="Arial"/>
                <w:color w:val="000000" w:themeColor="text1"/>
                <w:lang w:val="en-PH"/>
              </w:rPr>
              <w:t>Critical Thinking Skills</w:t>
            </w:r>
          </w:p>
        </w:tc>
        <w:tc>
          <w:tcPr>
            <w:tcW w:w="2970" w:type="dxa"/>
            <w:tcBorders>
              <w:top w:val="nil"/>
              <w:left w:val="nil"/>
              <w:bottom w:val="single" w:sz="24" w:space="0" w:color="000000"/>
              <w:right w:val="nil"/>
            </w:tcBorders>
            <w:vAlign w:val="center"/>
          </w:tcPr>
          <w:p w14:paraId="461F792B" w14:textId="7F9A1EAB" w:rsidR="00AD1BAC" w:rsidRPr="00AD1BAC" w:rsidRDefault="00AD1BAC" w:rsidP="00AD1BAC">
            <w:pPr>
              <w:jc w:val="center"/>
              <w:rPr>
                <w:rFonts w:ascii="Arial" w:hAnsi="Arial" w:cs="Arial"/>
                <w:color w:val="000000" w:themeColor="text1"/>
                <w:lang w:val="en-PH"/>
              </w:rPr>
            </w:pPr>
            <w:r>
              <w:rPr>
                <w:rFonts w:ascii="Arial" w:hAnsi="Arial" w:cs="Arial"/>
                <w:color w:val="000000" w:themeColor="text1"/>
                <w:lang w:val="en-PH"/>
              </w:rPr>
              <w:t>-</w:t>
            </w:r>
            <w:r w:rsidRPr="00AD1BAC">
              <w:rPr>
                <w:rFonts w:ascii="Arial" w:hAnsi="Arial" w:cs="Arial"/>
                <w:color w:val="000000" w:themeColor="text1"/>
                <w:lang w:val="en-PH"/>
              </w:rPr>
              <w:t>0.2246</w:t>
            </w:r>
          </w:p>
        </w:tc>
        <w:tc>
          <w:tcPr>
            <w:tcW w:w="1395" w:type="dxa"/>
            <w:tcBorders>
              <w:top w:val="nil"/>
              <w:left w:val="nil"/>
              <w:bottom w:val="single" w:sz="24" w:space="0" w:color="000000"/>
              <w:right w:val="nil"/>
            </w:tcBorders>
            <w:vAlign w:val="center"/>
          </w:tcPr>
          <w:p w14:paraId="4078512B" w14:textId="0CE96331" w:rsidR="00AD1BAC" w:rsidRPr="00AD1BAC" w:rsidRDefault="000279BE" w:rsidP="00AD1BAC">
            <w:pPr>
              <w:jc w:val="center"/>
              <w:rPr>
                <w:rFonts w:ascii="Arial" w:hAnsi="Arial" w:cs="Arial"/>
                <w:color w:val="000000" w:themeColor="text1"/>
                <w:lang w:val="en-PH"/>
              </w:rPr>
            </w:pPr>
            <w:r>
              <w:rPr>
                <w:rFonts w:ascii="Arial" w:hAnsi="Arial" w:cs="Arial"/>
                <w:color w:val="000000" w:themeColor="text1"/>
                <w:lang w:val="en-PH"/>
              </w:rPr>
              <w:t>&lt;</w:t>
            </w:r>
            <w:r w:rsidR="00AD1BAC" w:rsidRPr="00AD1BAC">
              <w:rPr>
                <w:rFonts w:ascii="Arial" w:hAnsi="Arial" w:cs="Arial"/>
                <w:color w:val="000000" w:themeColor="text1"/>
                <w:lang w:val="en-PH"/>
              </w:rPr>
              <w:t>0.00</w:t>
            </w:r>
            <w:r w:rsidR="00246C6A">
              <w:rPr>
                <w:rFonts w:ascii="Arial" w:hAnsi="Arial" w:cs="Arial"/>
                <w:color w:val="000000" w:themeColor="text1"/>
                <w:lang w:val="en-PH"/>
              </w:rPr>
              <w:t>6</w:t>
            </w:r>
          </w:p>
        </w:tc>
        <w:tc>
          <w:tcPr>
            <w:tcW w:w="1845" w:type="dxa"/>
            <w:tcBorders>
              <w:top w:val="nil"/>
              <w:left w:val="nil"/>
              <w:bottom w:val="single" w:sz="24" w:space="0" w:color="000000"/>
              <w:right w:val="nil"/>
            </w:tcBorders>
          </w:tcPr>
          <w:p w14:paraId="62CEC3B3" w14:textId="77777777" w:rsidR="00AD1BAC" w:rsidRPr="00AD1BAC" w:rsidRDefault="00AD1BAC" w:rsidP="00AD1BAC">
            <w:pPr>
              <w:jc w:val="center"/>
              <w:rPr>
                <w:rFonts w:ascii="Arial" w:hAnsi="Arial" w:cs="Arial"/>
                <w:color w:val="000000" w:themeColor="text1"/>
                <w:lang w:val="en-PH"/>
              </w:rPr>
            </w:pPr>
            <w:r w:rsidRPr="00AD1BAC">
              <w:rPr>
                <w:rFonts w:ascii="Arial" w:hAnsi="Arial" w:cs="Arial"/>
                <w:color w:val="000000" w:themeColor="text1"/>
                <w:lang w:val="en-PH"/>
              </w:rPr>
              <w:t>Significant</w:t>
            </w:r>
          </w:p>
        </w:tc>
      </w:tr>
    </w:tbl>
    <w:p w14:paraId="139E8B20" w14:textId="6CC91DAD" w:rsidR="00AD1BAC" w:rsidRPr="00AD1BAC" w:rsidRDefault="009F7486" w:rsidP="00AD1BAC">
      <w:pPr>
        <w:jc w:val="both"/>
        <w:rPr>
          <w:rFonts w:ascii="Arial" w:hAnsi="Arial" w:cs="Arial"/>
          <w:color w:val="000000" w:themeColor="text1"/>
          <w:lang w:val="en-PH"/>
        </w:rPr>
      </w:pPr>
      <m:oMath>
        <m:sSup>
          <m:sSupPr>
            <m:ctrlPr>
              <w:rPr>
                <w:rFonts w:ascii="Cambria Math" w:hAnsi="Cambria Math" w:cs="Arial"/>
                <w:color w:val="000000" w:themeColor="text1"/>
                <w:lang w:val="en-PH"/>
              </w:rPr>
            </m:ctrlPr>
          </m:sSupPr>
          <m:e>
            <m:r>
              <w:rPr>
                <w:rFonts w:ascii="Cambria Math" w:hAnsi="Cambria Math" w:cs="Arial"/>
                <w:color w:val="000000" w:themeColor="text1"/>
                <w:lang w:val="en-PH"/>
              </w:rPr>
              <m:t xml:space="preserve">     </m:t>
            </m:r>
            <m:r>
              <w:rPr>
                <w:rFonts w:ascii="Cambria Math" w:hAnsi="Cambria Math" w:cs="Arial"/>
                <w:color w:val="000000" w:themeColor="text1"/>
                <w:lang w:val="en-PH"/>
              </w:rPr>
              <m:t>r</m:t>
            </m:r>
          </m:e>
          <m:sup>
            <m:r>
              <w:rPr>
                <w:rFonts w:ascii="Cambria Math" w:hAnsi="Cambria Math" w:cs="Arial"/>
                <w:color w:val="000000" w:themeColor="text1"/>
                <w:lang w:val="en-PH"/>
              </w:rPr>
              <m:t>2</m:t>
            </m:r>
          </m:sup>
        </m:sSup>
        <m:r>
          <w:rPr>
            <w:rFonts w:ascii="Cambria Math" w:hAnsi="Cambria Math" w:cs="Arial"/>
            <w:color w:val="000000" w:themeColor="text1"/>
            <w:lang w:val="en-PH"/>
          </w:rPr>
          <m:t>=0.071</m:t>
        </m:r>
      </m:oMath>
      <w:r w:rsidR="00AD1BAC" w:rsidRPr="00AD1BAC">
        <w:rPr>
          <w:rFonts w:ascii="Arial" w:hAnsi="Arial" w:cs="Arial"/>
          <w:color w:val="000000" w:themeColor="text1"/>
          <w:lang w:val="en-PH"/>
        </w:rPr>
        <w:t xml:space="preserve"> </w:t>
      </w:r>
    </w:p>
    <w:p w14:paraId="042C481F" w14:textId="77777777" w:rsidR="00AD1BAC" w:rsidRDefault="00AD1BAC" w:rsidP="00C858ED">
      <w:pPr>
        <w:jc w:val="both"/>
        <w:rPr>
          <w:rFonts w:ascii="Arial" w:hAnsi="Arial" w:cs="Arial"/>
          <w:color w:val="000000" w:themeColor="text1"/>
        </w:rPr>
      </w:pPr>
    </w:p>
    <w:p w14:paraId="4F339B03" w14:textId="77777777" w:rsidR="00790ADA" w:rsidRPr="00FB3A86" w:rsidRDefault="00790ADA" w:rsidP="00441B6F">
      <w:pPr>
        <w:pStyle w:val="Body"/>
        <w:spacing w:after="0"/>
        <w:rPr>
          <w:rFonts w:ascii="Arial" w:hAnsi="Arial" w:cs="Arial"/>
        </w:rPr>
      </w:pPr>
    </w:p>
    <w:p w14:paraId="09CE9F01" w14:textId="1C0FEE38" w:rsidR="00B01FCD" w:rsidRPr="0030231A" w:rsidRDefault="00000F8F" w:rsidP="0030231A">
      <w:pPr>
        <w:pStyle w:val="ConcHead"/>
        <w:spacing w:after="0"/>
        <w:jc w:val="both"/>
        <w:rPr>
          <w:rFonts w:ascii="Arial" w:hAnsi="Arial" w:cs="Arial"/>
          <w:sz w:val="20"/>
        </w:rPr>
      </w:pPr>
      <w:r w:rsidRPr="0030231A">
        <w:rPr>
          <w:rFonts w:ascii="Arial" w:hAnsi="Arial" w:cs="Arial"/>
          <w:sz w:val="20"/>
        </w:rPr>
        <w:t xml:space="preserve">4. </w:t>
      </w:r>
      <w:r w:rsidR="00B01FCD" w:rsidRPr="0030231A">
        <w:rPr>
          <w:rFonts w:ascii="Arial" w:hAnsi="Arial" w:cs="Arial"/>
        </w:rPr>
        <w:t>Conclusion</w:t>
      </w:r>
      <w:r w:rsidR="000A23DA">
        <w:rPr>
          <w:rFonts w:ascii="Arial" w:hAnsi="Arial" w:cs="Arial"/>
        </w:rPr>
        <w:t xml:space="preserve"> AND RECOMMENDATIONS</w:t>
      </w:r>
    </w:p>
    <w:p w14:paraId="56B6A5D4" w14:textId="77777777" w:rsidR="00790ADA" w:rsidRPr="0030231A" w:rsidRDefault="00790ADA" w:rsidP="0030231A">
      <w:pPr>
        <w:pStyle w:val="ConcHead"/>
        <w:spacing w:after="0"/>
        <w:jc w:val="both"/>
        <w:rPr>
          <w:rFonts w:ascii="Arial" w:hAnsi="Arial" w:cs="Arial"/>
          <w:sz w:val="20"/>
        </w:rPr>
      </w:pPr>
    </w:p>
    <w:p w14:paraId="40E7C4B9" w14:textId="22113AD0" w:rsidR="00246C6A" w:rsidRPr="00246C6A" w:rsidRDefault="00246C6A" w:rsidP="00246C6A">
      <w:pPr>
        <w:tabs>
          <w:tab w:val="left" w:pos="720"/>
        </w:tabs>
        <w:jc w:val="both"/>
        <w:rPr>
          <w:rFonts w:ascii="Arial" w:hAnsi="Arial"/>
          <w:color w:val="000000" w:themeColor="text1"/>
        </w:rPr>
      </w:pPr>
      <w:r w:rsidRPr="00246C6A">
        <w:rPr>
          <w:rFonts w:ascii="Arial" w:hAnsi="Arial"/>
          <w:color w:val="000000" w:themeColor="text1"/>
        </w:rPr>
        <w:t>4.1 Conclusion</w:t>
      </w:r>
    </w:p>
    <w:p w14:paraId="1672D356" w14:textId="3C41E77E" w:rsidR="00246C6A" w:rsidRPr="00246C6A" w:rsidRDefault="00246C6A" w:rsidP="00246C6A">
      <w:pPr>
        <w:tabs>
          <w:tab w:val="left" w:pos="720"/>
        </w:tabs>
        <w:jc w:val="both"/>
        <w:rPr>
          <w:rFonts w:ascii="Arial" w:hAnsi="Arial"/>
          <w:color w:val="000000" w:themeColor="text1"/>
        </w:rPr>
      </w:pPr>
      <w:r>
        <w:rPr>
          <w:rFonts w:ascii="Arial" w:hAnsi="Arial"/>
          <w:color w:val="000000" w:themeColor="text1"/>
        </w:rPr>
        <w:tab/>
      </w:r>
      <w:r w:rsidRPr="00246C6A">
        <w:rPr>
          <w:rFonts w:ascii="Arial" w:hAnsi="Arial"/>
          <w:color w:val="000000" w:themeColor="text1"/>
        </w:rPr>
        <w:t>From the results of this study, several key points can be drawn:</w:t>
      </w:r>
    </w:p>
    <w:p w14:paraId="4E2253D2" w14:textId="77777777" w:rsidR="00246C6A" w:rsidRPr="00246C6A" w:rsidRDefault="00246C6A" w:rsidP="00246C6A">
      <w:pPr>
        <w:numPr>
          <w:ilvl w:val="0"/>
          <w:numId w:val="35"/>
        </w:numPr>
        <w:tabs>
          <w:tab w:val="left" w:pos="720"/>
        </w:tabs>
        <w:jc w:val="both"/>
        <w:rPr>
          <w:rFonts w:ascii="Arial" w:hAnsi="Arial"/>
          <w:color w:val="000000" w:themeColor="text1"/>
        </w:rPr>
      </w:pPr>
      <w:r w:rsidRPr="00246C6A">
        <w:rPr>
          <w:rFonts w:ascii="Arial" w:hAnsi="Arial"/>
          <w:color w:val="000000" w:themeColor="text1"/>
        </w:rPr>
        <w:t xml:space="preserve">Most students were at an average to high level of critical thinking, with only a few at a low level. This shows that while many already demonstrate basic and advanced </w:t>
      </w:r>
      <w:r w:rsidRPr="00246C6A">
        <w:rPr>
          <w:rFonts w:ascii="Arial" w:hAnsi="Arial"/>
          <w:color w:val="000000" w:themeColor="text1"/>
        </w:rPr>
        <w:lastRenderedPageBreak/>
        <w:t>thinking skills, there is room to further strengthen their ability to reason, reflect, and create.</w:t>
      </w:r>
    </w:p>
    <w:p w14:paraId="15F6875E" w14:textId="77777777" w:rsidR="00246C6A" w:rsidRPr="00246C6A" w:rsidRDefault="00246C6A" w:rsidP="00246C6A">
      <w:pPr>
        <w:numPr>
          <w:ilvl w:val="0"/>
          <w:numId w:val="35"/>
        </w:numPr>
        <w:tabs>
          <w:tab w:val="left" w:pos="720"/>
        </w:tabs>
        <w:jc w:val="both"/>
        <w:rPr>
          <w:rFonts w:ascii="Arial" w:hAnsi="Arial"/>
          <w:color w:val="000000" w:themeColor="text1"/>
        </w:rPr>
      </w:pPr>
      <w:r w:rsidRPr="00246C6A">
        <w:rPr>
          <w:rFonts w:ascii="Arial" w:hAnsi="Arial"/>
          <w:color w:val="000000" w:themeColor="text1"/>
        </w:rPr>
        <w:t>Mathematics performance was mostly at the “good” level, with only a few students reaching “superior.” This suggests that students have acquired essential mathematical skills but need more support and opportunities to move toward higher achievement.</w:t>
      </w:r>
    </w:p>
    <w:p w14:paraId="2DB3E017" w14:textId="77777777" w:rsidR="00246C6A" w:rsidRPr="00246C6A" w:rsidRDefault="00246C6A" w:rsidP="00246C6A">
      <w:pPr>
        <w:numPr>
          <w:ilvl w:val="0"/>
          <w:numId w:val="35"/>
        </w:numPr>
        <w:tabs>
          <w:tab w:val="left" w:pos="720"/>
        </w:tabs>
        <w:jc w:val="both"/>
        <w:rPr>
          <w:rFonts w:ascii="Arial" w:hAnsi="Arial"/>
          <w:color w:val="000000" w:themeColor="text1"/>
        </w:rPr>
      </w:pPr>
      <w:r w:rsidRPr="00246C6A">
        <w:rPr>
          <w:rFonts w:ascii="Arial" w:hAnsi="Arial"/>
          <w:color w:val="000000" w:themeColor="text1"/>
        </w:rPr>
        <w:t>A significant positive correlation was found between critical thinking and mathematics performance. This means that as students’ critical thinking improves, their ability to succeed in mathematics also increases.</w:t>
      </w:r>
    </w:p>
    <w:p w14:paraId="68A89C02" w14:textId="77777777" w:rsidR="00246C6A" w:rsidRPr="00246C6A" w:rsidRDefault="00246C6A" w:rsidP="00246C6A">
      <w:pPr>
        <w:numPr>
          <w:ilvl w:val="0"/>
          <w:numId w:val="35"/>
        </w:numPr>
        <w:tabs>
          <w:tab w:val="left" w:pos="720"/>
        </w:tabs>
        <w:jc w:val="both"/>
        <w:rPr>
          <w:rFonts w:ascii="Arial" w:hAnsi="Arial"/>
          <w:color w:val="000000" w:themeColor="text1"/>
        </w:rPr>
      </w:pPr>
      <w:r w:rsidRPr="00246C6A">
        <w:rPr>
          <w:rFonts w:ascii="Arial" w:hAnsi="Arial"/>
          <w:color w:val="000000" w:themeColor="text1"/>
        </w:rPr>
        <w:t>Regression results confirmed that critical thinking influences mathematics performance, though it explained only 7.10% of the variance. This highlights that while critical thinking matters, many other factors also shape students’ achievement in mathematics.</w:t>
      </w:r>
    </w:p>
    <w:p w14:paraId="38D4F362" w14:textId="77777777" w:rsidR="00246C6A" w:rsidRDefault="00246C6A" w:rsidP="00246C6A">
      <w:pPr>
        <w:tabs>
          <w:tab w:val="left" w:pos="720"/>
        </w:tabs>
        <w:jc w:val="both"/>
        <w:rPr>
          <w:rFonts w:ascii="Arial" w:hAnsi="Arial"/>
          <w:color w:val="000000" w:themeColor="text1"/>
        </w:rPr>
      </w:pPr>
    </w:p>
    <w:p w14:paraId="2775E7C6" w14:textId="4FBCB4DB" w:rsidR="00246C6A" w:rsidRDefault="00246C6A" w:rsidP="00246C6A">
      <w:pPr>
        <w:tabs>
          <w:tab w:val="left" w:pos="720"/>
        </w:tabs>
        <w:jc w:val="both"/>
        <w:rPr>
          <w:rFonts w:ascii="Arial" w:hAnsi="Arial"/>
          <w:color w:val="000000" w:themeColor="text1"/>
        </w:rPr>
      </w:pPr>
      <w:r>
        <w:rPr>
          <w:rFonts w:ascii="Arial" w:hAnsi="Arial"/>
          <w:color w:val="000000" w:themeColor="text1"/>
        </w:rPr>
        <w:tab/>
        <w:t>T</w:t>
      </w:r>
      <w:r w:rsidRPr="00246C6A">
        <w:rPr>
          <w:rFonts w:ascii="Arial" w:hAnsi="Arial"/>
          <w:color w:val="000000" w:themeColor="text1"/>
        </w:rPr>
        <w:t>he study shows that teacher education students are on the right path, but more work is needed to help them grow stronger in both critical thinking and mathematics. These findings remind us that education should not only focus on knowledge but also on building thinking skills that prepare future teachers to guide the next generation.</w:t>
      </w:r>
    </w:p>
    <w:p w14:paraId="6D732D04" w14:textId="77777777" w:rsidR="00246C6A" w:rsidRPr="00246C6A" w:rsidRDefault="00246C6A" w:rsidP="00246C6A">
      <w:pPr>
        <w:tabs>
          <w:tab w:val="left" w:pos="720"/>
        </w:tabs>
        <w:jc w:val="both"/>
        <w:rPr>
          <w:rFonts w:ascii="Arial" w:hAnsi="Arial"/>
          <w:color w:val="000000" w:themeColor="text1"/>
        </w:rPr>
      </w:pPr>
    </w:p>
    <w:p w14:paraId="714951BF" w14:textId="38C8005F" w:rsidR="00246C6A" w:rsidRPr="00246C6A" w:rsidRDefault="00246C6A" w:rsidP="00246C6A">
      <w:pPr>
        <w:tabs>
          <w:tab w:val="left" w:pos="720"/>
        </w:tabs>
        <w:jc w:val="both"/>
        <w:rPr>
          <w:rFonts w:ascii="Arial" w:hAnsi="Arial"/>
          <w:b/>
          <w:bCs/>
          <w:color w:val="000000" w:themeColor="text1"/>
        </w:rPr>
      </w:pPr>
      <w:r>
        <w:rPr>
          <w:rFonts w:ascii="Arial" w:hAnsi="Arial"/>
          <w:b/>
          <w:bCs/>
          <w:color w:val="000000" w:themeColor="text1"/>
        </w:rPr>
        <w:t>4</w:t>
      </w:r>
      <w:r w:rsidRPr="00246C6A">
        <w:rPr>
          <w:rFonts w:ascii="Arial" w:hAnsi="Arial"/>
          <w:b/>
          <w:bCs/>
          <w:color w:val="000000" w:themeColor="text1"/>
        </w:rPr>
        <w:t>.2 Recommendations</w:t>
      </w:r>
    </w:p>
    <w:p w14:paraId="24D1FCC8" w14:textId="77777777" w:rsidR="00246C6A" w:rsidRPr="00246C6A" w:rsidRDefault="00246C6A" w:rsidP="00246C6A">
      <w:pPr>
        <w:numPr>
          <w:ilvl w:val="0"/>
          <w:numId w:val="36"/>
        </w:numPr>
        <w:tabs>
          <w:tab w:val="left" w:pos="720"/>
        </w:tabs>
        <w:jc w:val="both"/>
        <w:rPr>
          <w:rFonts w:ascii="Arial" w:hAnsi="Arial"/>
          <w:color w:val="000000" w:themeColor="text1"/>
        </w:rPr>
      </w:pPr>
      <w:r w:rsidRPr="00246C6A">
        <w:rPr>
          <w:rFonts w:ascii="Arial" w:hAnsi="Arial"/>
          <w:color w:val="000000" w:themeColor="text1"/>
        </w:rPr>
        <w:t>Schools and educators shall enrich teaching with strategies that promote critical thinking—such as problem</w:t>
      </w:r>
      <w:r w:rsidRPr="00246C6A">
        <w:rPr>
          <w:rFonts w:ascii="Arial" w:hAnsi="Arial"/>
          <w:color w:val="000000" w:themeColor="text1"/>
        </w:rPr>
        <w:noBreakHyphen/>
        <w:t>solving tasks, reflective discussions, and open</w:t>
      </w:r>
      <w:r w:rsidRPr="00246C6A">
        <w:rPr>
          <w:rFonts w:ascii="Arial" w:hAnsi="Arial"/>
          <w:color w:val="000000" w:themeColor="text1"/>
        </w:rPr>
        <w:noBreakHyphen/>
        <w:t>ended activities. This may help students move from average toward higher levels of thinking, while also supporting those at the lower end.</w:t>
      </w:r>
    </w:p>
    <w:p w14:paraId="26DB49D1" w14:textId="77777777" w:rsidR="00246C6A" w:rsidRPr="00246C6A" w:rsidRDefault="00246C6A" w:rsidP="00246C6A">
      <w:pPr>
        <w:numPr>
          <w:ilvl w:val="0"/>
          <w:numId w:val="36"/>
        </w:numPr>
        <w:tabs>
          <w:tab w:val="left" w:pos="720"/>
        </w:tabs>
        <w:jc w:val="both"/>
        <w:rPr>
          <w:rFonts w:ascii="Arial" w:hAnsi="Arial"/>
          <w:color w:val="000000" w:themeColor="text1"/>
        </w:rPr>
      </w:pPr>
      <w:r w:rsidRPr="00246C6A">
        <w:rPr>
          <w:rFonts w:ascii="Arial" w:hAnsi="Arial"/>
          <w:color w:val="000000" w:themeColor="text1"/>
        </w:rPr>
        <w:t>To help students progress beyond the “good” level in mathematics, teachers may design challenging and engaging lessons. Differentiated instruction, higher</w:t>
      </w:r>
      <w:r w:rsidRPr="00246C6A">
        <w:rPr>
          <w:rFonts w:ascii="Arial" w:hAnsi="Arial"/>
          <w:color w:val="000000" w:themeColor="text1"/>
        </w:rPr>
        <w:noBreakHyphen/>
        <w:t>order problem</w:t>
      </w:r>
      <w:r w:rsidRPr="00246C6A">
        <w:rPr>
          <w:rFonts w:ascii="Arial" w:hAnsi="Arial"/>
          <w:color w:val="000000" w:themeColor="text1"/>
        </w:rPr>
        <w:noBreakHyphen/>
        <w:t>solving, and opportunities for exploration shall encourage students to reach “very good” and “superior” levels.</w:t>
      </w:r>
    </w:p>
    <w:p w14:paraId="45ABA381" w14:textId="77777777" w:rsidR="00246C6A" w:rsidRPr="00246C6A" w:rsidRDefault="00246C6A" w:rsidP="00246C6A">
      <w:pPr>
        <w:numPr>
          <w:ilvl w:val="0"/>
          <w:numId w:val="36"/>
        </w:numPr>
        <w:tabs>
          <w:tab w:val="left" w:pos="720"/>
        </w:tabs>
        <w:jc w:val="both"/>
        <w:rPr>
          <w:rFonts w:ascii="Arial" w:hAnsi="Arial"/>
          <w:color w:val="000000" w:themeColor="text1"/>
        </w:rPr>
      </w:pPr>
      <w:r w:rsidRPr="00246C6A">
        <w:rPr>
          <w:rFonts w:ascii="Arial" w:hAnsi="Arial"/>
          <w:color w:val="000000" w:themeColor="text1"/>
        </w:rPr>
        <w:t>Since critical thinking and mathematics performance are significantly related, educators shall consider integrating critical thinking into mathematics instruction. Approaches like inquiry</w:t>
      </w:r>
      <w:r w:rsidRPr="00246C6A">
        <w:rPr>
          <w:rFonts w:ascii="Arial" w:hAnsi="Arial"/>
          <w:color w:val="000000" w:themeColor="text1"/>
        </w:rPr>
        <w:noBreakHyphen/>
        <w:t>based learning, real</w:t>
      </w:r>
      <w:r w:rsidRPr="00246C6A">
        <w:rPr>
          <w:rFonts w:ascii="Arial" w:hAnsi="Arial"/>
          <w:color w:val="000000" w:themeColor="text1"/>
        </w:rPr>
        <w:noBreakHyphen/>
        <w:t>world applications, and collaborative work may make learning more meaningful and improve results.</w:t>
      </w:r>
    </w:p>
    <w:p w14:paraId="64AC57C4" w14:textId="77777777" w:rsidR="00246C6A" w:rsidRPr="00246C6A" w:rsidRDefault="00246C6A" w:rsidP="00246C6A">
      <w:pPr>
        <w:numPr>
          <w:ilvl w:val="0"/>
          <w:numId w:val="36"/>
        </w:numPr>
        <w:tabs>
          <w:tab w:val="left" w:pos="720"/>
        </w:tabs>
        <w:jc w:val="both"/>
        <w:rPr>
          <w:rFonts w:ascii="Arial" w:hAnsi="Arial"/>
          <w:color w:val="000000" w:themeColor="text1"/>
        </w:rPr>
      </w:pPr>
      <w:r w:rsidRPr="00246C6A">
        <w:rPr>
          <w:rFonts w:ascii="Arial" w:hAnsi="Arial"/>
          <w:color w:val="000000" w:themeColor="text1"/>
        </w:rPr>
        <w:t>While critical thinking explained part of the variance in math performance, other influences are also important. Schools may adopt a broader approach that includes technology use, growth mindset, peer learning, and continuous teacher development to address different aspects of learning.</w:t>
      </w:r>
    </w:p>
    <w:p w14:paraId="42AFD41E" w14:textId="77777777" w:rsidR="00246C6A" w:rsidRPr="00246C6A" w:rsidRDefault="00246C6A" w:rsidP="00246C6A">
      <w:pPr>
        <w:numPr>
          <w:ilvl w:val="0"/>
          <w:numId w:val="36"/>
        </w:numPr>
        <w:tabs>
          <w:tab w:val="left" w:pos="720"/>
        </w:tabs>
        <w:jc w:val="both"/>
        <w:rPr>
          <w:rFonts w:ascii="Arial" w:hAnsi="Arial"/>
          <w:color w:val="000000" w:themeColor="text1"/>
        </w:rPr>
      </w:pPr>
      <w:r w:rsidRPr="00246C6A">
        <w:rPr>
          <w:rFonts w:ascii="Arial" w:hAnsi="Arial"/>
          <w:color w:val="000000" w:themeColor="text1"/>
        </w:rPr>
        <w:t>Future research may look into these other factors and explore how they work together with critical thinking. This shall provide deeper insights and guide more comprehensive interventions to improve students’ learning outcomes.</w:t>
      </w:r>
    </w:p>
    <w:p w14:paraId="1914413E" w14:textId="77777777" w:rsidR="00246C6A" w:rsidRDefault="00246C6A" w:rsidP="00246C6A">
      <w:pPr>
        <w:tabs>
          <w:tab w:val="left" w:pos="720"/>
        </w:tabs>
        <w:jc w:val="both"/>
        <w:rPr>
          <w:rFonts w:ascii="Arial" w:hAnsi="Arial"/>
          <w:color w:val="000000" w:themeColor="text1"/>
        </w:rPr>
      </w:pPr>
    </w:p>
    <w:p w14:paraId="6E695B89" w14:textId="58DFF681" w:rsidR="00246C6A" w:rsidRPr="00246C6A" w:rsidRDefault="00246C6A" w:rsidP="00246C6A">
      <w:pPr>
        <w:tabs>
          <w:tab w:val="left" w:pos="720"/>
        </w:tabs>
        <w:jc w:val="both"/>
        <w:rPr>
          <w:rFonts w:ascii="Arial" w:hAnsi="Arial"/>
          <w:color w:val="000000" w:themeColor="text1"/>
        </w:rPr>
      </w:pPr>
      <w:r>
        <w:rPr>
          <w:rFonts w:ascii="Arial" w:hAnsi="Arial"/>
          <w:color w:val="000000" w:themeColor="text1"/>
        </w:rPr>
        <w:tab/>
        <w:t>S</w:t>
      </w:r>
      <w:r w:rsidRPr="00246C6A">
        <w:rPr>
          <w:rFonts w:ascii="Arial" w:hAnsi="Arial"/>
          <w:color w:val="000000" w:themeColor="text1"/>
        </w:rPr>
        <w:t xml:space="preserve">upporting both critical thinking and mathematics performance is </w:t>
      </w:r>
      <w:r>
        <w:rPr>
          <w:rFonts w:ascii="Arial" w:hAnsi="Arial"/>
          <w:color w:val="000000" w:themeColor="text1"/>
        </w:rPr>
        <w:t>important</w:t>
      </w:r>
      <w:r w:rsidRPr="00246C6A">
        <w:rPr>
          <w:rFonts w:ascii="Arial" w:hAnsi="Arial"/>
          <w:color w:val="000000" w:themeColor="text1"/>
        </w:rPr>
        <w:t xml:space="preserve"> for preparing capable and confident future teachers. By doing so, teacher education programs may better equip their students to inspire and guide the learners they will one day serve.</w:t>
      </w:r>
    </w:p>
    <w:p w14:paraId="200DB073" w14:textId="2C55FA08" w:rsidR="000A23DA" w:rsidRPr="0030231A" w:rsidRDefault="0030231A" w:rsidP="00246C6A">
      <w:pPr>
        <w:tabs>
          <w:tab w:val="left" w:pos="720"/>
        </w:tabs>
        <w:jc w:val="both"/>
        <w:rPr>
          <w:rFonts w:ascii="Arial" w:hAnsi="Arial"/>
          <w:b/>
          <w:color w:val="000000" w:themeColor="text1"/>
        </w:rPr>
      </w:pPr>
      <w:r>
        <w:rPr>
          <w:rFonts w:ascii="Arial" w:hAnsi="Arial"/>
          <w:color w:val="000000" w:themeColor="text1"/>
        </w:rPr>
        <w:tab/>
      </w:r>
    </w:p>
    <w:p w14:paraId="256B0F90" w14:textId="7A5A4B5A" w:rsidR="00790ADA" w:rsidRPr="0030231A" w:rsidRDefault="00790ADA" w:rsidP="0030231A">
      <w:pPr>
        <w:pStyle w:val="Body"/>
        <w:spacing w:after="0"/>
        <w:rPr>
          <w:rFonts w:ascii="Arial" w:hAnsi="Arial" w:cs="Arial"/>
        </w:rPr>
      </w:pPr>
    </w:p>
    <w:p w14:paraId="75236CC1" w14:textId="77777777" w:rsidR="00860000" w:rsidRPr="00786D36" w:rsidRDefault="00860000" w:rsidP="001B42CC">
      <w:pPr>
        <w:pStyle w:val="ReferHead"/>
        <w:spacing w:after="0"/>
        <w:jc w:val="both"/>
        <w:rPr>
          <w:rFonts w:ascii="Arial" w:hAnsi="Arial" w:cs="Arial"/>
          <w:bCs/>
        </w:rPr>
      </w:pPr>
      <w:r w:rsidRPr="00786D36">
        <w:rPr>
          <w:rFonts w:ascii="Arial" w:hAnsi="Arial" w:cs="Arial"/>
          <w:bCs/>
        </w:rPr>
        <w:lastRenderedPageBreak/>
        <w:t>Competing interests</w:t>
      </w:r>
    </w:p>
    <w:p w14:paraId="64E4C8CF" w14:textId="29098E13" w:rsidR="00860000" w:rsidRDefault="00E8563D" w:rsidP="001B42CC">
      <w:pPr>
        <w:pStyle w:val="ReferHead"/>
        <w:spacing w:after="0"/>
        <w:jc w:val="both"/>
        <w:rPr>
          <w:rFonts w:ascii="Arial" w:hAnsi="Arial" w:cs="Arial"/>
          <w:b w:val="0"/>
          <w:caps w:val="0"/>
          <w:sz w:val="20"/>
        </w:rPr>
      </w:pPr>
      <w:r w:rsidRPr="00E8563D">
        <w:rPr>
          <w:rFonts w:ascii="Arial" w:hAnsi="Arial" w:cs="Arial"/>
          <w:b w:val="0"/>
          <w:caps w:val="0"/>
          <w:sz w:val="20"/>
        </w:rPr>
        <w:t>Authors have declared that no competing interests exist.</w:t>
      </w:r>
    </w:p>
    <w:p w14:paraId="3C9EA7DF" w14:textId="77777777" w:rsidR="00741567" w:rsidRDefault="00741567" w:rsidP="001B42CC">
      <w:pPr>
        <w:pStyle w:val="ReferHead"/>
        <w:spacing w:after="0"/>
        <w:jc w:val="both"/>
        <w:rPr>
          <w:rFonts w:ascii="Arial" w:hAnsi="Arial" w:cs="Arial"/>
          <w:b w:val="0"/>
          <w:caps w:val="0"/>
          <w:sz w:val="20"/>
        </w:rPr>
      </w:pPr>
    </w:p>
    <w:p w14:paraId="04198388" w14:textId="77777777" w:rsidR="00741567" w:rsidRPr="00741567" w:rsidRDefault="00741567" w:rsidP="00741567">
      <w:pPr>
        <w:pStyle w:val="ReferHead"/>
        <w:jc w:val="both"/>
        <w:rPr>
          <w:rFonts w:ascii="Arial" w:hAnsi="Arial" w:cs="Arial"/>
          <w:b w:val="0"/>
          <w:caps w:val="0"/>
          <w:sz w:val="18"/>
        </w:rPr>
      </w:pPr>
      <w:r w:rsidRPr="00741567">
        <w:rPr>
          <w:rFonts w:ascii="Arial" w:hAnsi="Arial" w:cs="Arial"/>
          <w:b w:val="0"/>
          <w:caps w:val="0"/>
          <w:sz w:val="18"/>
        </w:rPr>
        <w:t>COMPETING INTERESTS DISCLAIMER:</w:t>
      </w:r>
    </w:p>
    <w:p w14:paraId="4F9D6660" w14:textId="61D7BDDD" w:rsidR="00741567" w:rsidRPr="00E8563D" w:rsidRDefault="00741567" w:rsidP="00741567">
      <w:pPr>
        <w:pStyle w:val="ReferHead"/>
        <w:spacing w:after="0"/>
        <w:jc w:val="both"/>
        <w:rPr>
          <w:rFonts w:ascii="Arial" w:hAnsi="Arial" w:cs="Arial"/>
          <w:b w:val="0"/>
          <w:caps w:val="0"/>
          <w:sz w:val="18"/>
        </w:rPr>
      </w:pPr>
      <w:r w:rsidRPr="00741567">
        <w:rPr>
          <w:rFonts w:ascii="Arial" w:hAnsi="Arial" w:cs="Arial"/>
          <w:b w:val="0"/>
          <w:caps w:val="0"/>
          <w:sz w:val="18"/>
        </w:rPr>
        <w:t>Authors have declared that they have no known competing financial interests OR non-financial interests OR personal relationships that could have appeared to influence the work reported in this paper.</w:t>
      </w:r>
    </w:p>
    <w:p w14:paraId="37F8A742" w14:textId="77777777" w:rsidR="00371FB6" w:rsidRDefault="00371FB6" w:rsidP="001B42CC">
      <w:pPr>
        <w:pStyle w:val="ReferHead"/>
        <w:spacing w:after="0"/>
        <w:jc w:val="both"/>
        <w:rPr>
          <w:rFonts w:ascii="Arial" w:hAnsi="Arial" w:cs="Arial"/>
          <w:b w:val="0"/>
          <w:caps w:val="0"/>
          <w:sz w:val="20"/>
        </w:rPr>
      </w:pPr>
    </w:p>
    <w:p w14:paraId="24FCED20" w14:textId="77777777" w:rsidR="001B42CC" w:rsidRPr="00356869" w:rsidRDefault="001B42CC" w:rsidP="00356869">
      <w:pPr>
        <w:pStyle w:val="ReferHead"/>
        <w:spacing w:after="0"/>
        <w:jc w:val="both"/>
        <w:rPr>
          <w:rFonts w:ascii="Arial" w:hAnsi="Arial" w:cs="Arial"/>
          <w:bCs/>
          <w:szCs w:val="22"/>
        </w:rPr>
      </w:pPr>
    </w:p>
    <w:p w14:paraId="240BC888" w14:textId="77777777" w:rsidR="00B01FCD" w:rsidRPr="00356869" w:rsidRDefault="00B01FCD" w:rsidP="006627CF">
      <w:pPr>
        <w:pStyle w:val="ReferHead"/>
        <w:spacing w:after="0"/>
        <w:jc w:val="both"/>
        <w:rPr>
          <w:rFonts w:ascii="Arial" w:hAnsi="Arial" w:cs="Arial"/>
          <w:szCs w:val="22"/>
        </w:rPr>
      </w:pPr>
      <w:r w:rsidRPr="00356869">
        <w:rPr>
          <w:rFonts w:ascii="Arial" w:hAnsi="Arial" w:cs="Arial"/>
          <w:szCs w:val="22"/>
        </w:rPr>
        <w:t>References</w:t>
      </w:r>
    </w:p>
    <w:p w14:paraId="7318C9EB" w14:textId="77777777" w:rsidR="00790ADA" w:rsidRPr="00356869" w:rsidRDefault="00790ADA" w:rsidP="006627CF">
      <w:pPr>
        <w:pStyle w:val="ReferHead"/>
        <w:spacing w:after="0"/>
        <w:jc w:val="both"/>
        <w:rPr>
          <w:rFonts w:ascii="Arial" w:hAnsi="Arial" w:cs="Arial"/>
          <w:szCs w:val="22"/>
        </w:rPr>
      </w:pPr>
    </w:p>
    <w:p w14:paraId="10521A6F"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Adlawon</w:t>
      </w:r>
      <w:proofErr w:type="spellEnd"/>
      <w:r w:rsidRPr="006627CF">
        <w:rPr>
          <w:rFonts w:ascii="Arial" w:hAnsi="Arial" w:cs="Arial"/>
          <w:sz w:val="22"/>
          <w:szCs w:val="22"/>
        </w:rPr>
        <w:t xml:space="preserve">, C. M. C., </w:t>
      </w:r>
      <w:proofErr w:type="spellStart"/>
      <w:r w:rsidRPr="006627CF">
        <w:rPr>
          <w:rFonts w:ascii="Arial" w:hAnsi="Arial" w:cs="Arial"/>
          <w:sz w:val="22"/>
          <w:szCs w:val="22"/>
        </w:rPr>
        <w:t>Valdevarona</w:t>
      </w:r>
      <w:proofErr w:type="spellEnd"/>
      <w:r w:rsidRPr="006627CF">
        <w:rPr>
          <w:rFonts w:ascii="Arial" w:hAnsi="Arial" w:cs="Arial"/>
          <w:sz w:val="22"/>
          <w:szCs w:val="22"/>
        </w:rPr>
        <w:t xml:space="preserve">, A. M. G., &amp; Miranda, A. T. (2022). The relationship of self-concept and mathematics performance of college students in the new normal. </w:t>
      </w:r>
      <w:r w:rsidRPr="006627CF">
        <w:rPr>
          <w:rFonts w:ascii="Arial" w:hAnsi="Arial" w:cs="Arial"/>
          <w:i/>
          <w:iCs/>
          <w:sz w:val="22"/>
          <w:szCs w:val="22"/>
        </w:rPr>
        <w:t>Asian Journal of Education and Social Studies, 37</w:t>
      </w:r>
      <w:r w:rsidRPr="006627CF">
        <w:rPr>
          <w:rFonts w:ascii="Arial" w:hAnsi="Arial" w:cs="Arial"/>
          <w:sz w:val="22"/>
          <w:szCs w:val="22"/>
        </w:rPr>
        <w:t>(3), 39–47. https://doi.org/10.9734/ajess/2022/v37i3765</w:t>
      </w:r>
    </w:p>
    <w:p w14:paraId="38CCBC1D"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Agtarap, R., &amp; Miranda, A. T. (2022). The mediating effect of students’ resiliency on the relationship of self-concept and mathematics performance. </w:t>
      </w:r>
      <w:r w:rsidRPr="006627CF">
        <w:rPr>
          <w:rFonts w:ascii="Arial" w:hAnsi="Arial" w:cs="Arial"/>
          <w:i/>
          <w:iCs/>
          <w:sz w:val="22"/>
          <w:szCs w:val="22"/>
        </w:rPr>
        <w:t>Asian Journal of Education and Social Studies, 36</w:t>
      </w:r>
      <w:r w:rsidRPr="006627CF">
        <w:rPr>
          <w:rFonts w:ascii="Arial" w:hAnsi="Arial" w:cs="Arial"/>
          <w:sz w:val="22"/>
          <w:szCs w:val="22"/>
        </w:rPr>
        <w:t>(2), 1–10. https://doi.org/10.9734/ajess/2022/v36i2727</w:t>
      </w:r>
    </w:p>
    <w:p w14:paraId="21596952"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Anderson, L. W., Krathwohl, D. R., &amp; Bloom, B. S. (Eds.). (2001). </w:t>
      </w:r>
      <w:r w:rsidRPr="006627CF">
        <w:rPr>
          <w:rFonts w:ascii="Arial" w:hAnsi="Arial" w:cs="Arial"/>
          <w:i/>
          <w:iCs/>
          <w:sz w:val="22"/>
          <w:szCs w:val="22"/>
        </w:rPr>
        <w:t>A taxonomy for learning, teaching, and assessing: A revision of Bloom’s taxonomy of educational objectives.</w:t>
      </w:r>
      <w:r w:rsidRPr="006627CF">
        <w:rPr>
          <w:rFonts w:ascii="Arial" w:hAnsi="Arial" w:cs="Arial"/>
          <w:sz w:val="22"/>
          <w:szCs w:val="22"/>
        </w:rPr>
        <w:t xml:space="preserve"> Longman.</w:t>
      </w:r>
    </w:p>
    <w:p w14:paraId="7E2A3EE2"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Ball, D. L., Thames, M. H., &amp; Phelps, G. (2008). Content knowledge for teaching: What makes it special? </w:t>
      </w:r>
      <w:r w:rsidRPr="006627CF">
        <w:rPr>
          <w:rFonts w:ascii="Arial" w:hAnsi="Arial" w:cs="Arial"/>
          <w:i/>
          <w:iCs/>
          <w:sz w:val="22"/>
          <w:szCs w:val="22"/>
        </w:rPr>
        <w:t>Journal of Teacher Education, 59</w:t>
      </w:r>
      <w:r w:rsidRPr="006627CF">
        <w:rPr>
          <w:rFonts w:ascii="Arial" w:hAnsi="Arial" w:cs="Arial"/>
          <w:sz w:val="22"/>
          <w:szCs w:val="22"/>
        </w:rPr>
        <w:t>(5), 389–407. https://doi.org/10.1177/0022487108324554</w:t>
      </w:r>
    </w:p>
    <w:p w14:paraId="35BB6AF9"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Benson O’Connor, K., DeBacker, T. K., &amp; White, D. R. (2019). Cognitive engagement in the college classroom: Exploring the relationship between motivation and engagement. </w:t>
      </w:r>
      <w:r w:rsidRPr="006627CF">
        <w:rPr>
          <w:rFonts w:ascii="Arial" w:hAnsi="Arial" w:cs="Arial"/>
          <w:i/>
          <w:iCs/>
          <w:sz w:val="22"/>
          <w:szCs w:val="22"/>
        </w:rPr>
        <w:t>College Teaching, 67</w:t>
      </w:r>
      <w:r w:rsidRPr="006627CF">
        <w:rPr>
          <w:rFonts w:ascii="Arial" w:hAnsi="Arial" w:cs="Arial"/>
          <w:sz w:val="22"/>
          <w:szCs w:val="22"/>
        </w:rPr>
        <w:t>(2), 109–118. https://doi.org/10.1080/87567555.2019.1579700</w:t>
      </w:r>
    </w:p>
    <w:p w14:paraId="7203AA7F"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Boaler</w:t>
      </w:r>
      <w:proofErr w:type="spellEnd"/>
      <w:r w:rsidRPr="006627CF">
        <w:rPr>
          <w:rFonts w:ascii="Arial" w:hAnsi="Arial" w:cs="Arial"/>
          <w:sz w:val="22"/>
          <w:szCs w:val="22"/>
        </w:rPr>
        <w:t xml:space="preserve">, J. (2016). </w:t>
      </w:r>
      <w:r w:rsidRPr="006627CF">
        <w:rPr>
          <w:rFonts w:ascii="Arial" w:hAnsi="Arial" w:cs="Arial"/>
          <w:i/>
          <w:iCs/>
          <w:sz w:val="22"/>
          <w:szCs w:val="22"/>
        </w:rPr>
        <w:t>Mathematical mindsets: Unleashing students’ potential through creative math, inspiring messages, and innovative teaching.</w:t>
      </w:r>
      <w:r w:rsidRPr="006627CF">
        <w:rPr>
          <w:rFonts w:ascii="Arial" w:hAnsi="Arial" w:cs="Arial"/>
          <w:sz w:val="22"/>
          <w:szCs w:val="22"/>
        </w:rPr>
        <w:t xml:space="preserve"> Jossey-Bass.</w:t>
      </w:r>
    </w:p>
    <w:p w14:paraId="11B0B463"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Brookhart, S. M. (2010). </w:t>
      </w:r>
      <w:r w:rsidRPr="006627CF">
        <w:rPr>
          <w:rFonts w:ascii="Arial" w:hAnsi="Arial" w:cs="Arial"/>
          <w:i/>
          <w:iCs/>
          <w:sz w:val="22"/>
          <w:szCs w:val="22"/>
        </w:rPr>
        <w:t>How to assess higher-order thinking skills in your classroom.</w:t>
      </w:r>
      <w:r w:rsidRPr="006627CF">
        <w:rPr>
          <w:rFonts w:ascii="Arial" w:hAnsi="Arial" w:cs="Arial"/>
          <w:sz w:val="22"/>
          <w:szCs w:val="22"/>
        </w:rPr>
        <w:t xml:space="preserve"> ASCD.</w:t>
      </w:r>
    </w:p>
    <w:p w14:paraId="43050352"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Cabeserano</w:t>
      </w:r>
      <w:proofErr w:type="spellEnd"/>
      <w:r w:rsidRPr="006627CF">
        <w:rPr>
          <w:rFonts w:ascii="Arial" w:hAnsi="Arial" w:cs="Arial"/>
          <w:sz w:val="22"/>
          <w:szCs w:val="22"/>
        </w:rPr>
        <w:t xml:space="preserve">, M. (2025). Differentiated instruction strategies and mathematics performance of first-year students. </w:t>
      </w:r>
      <w:r w:rsidRPr="006627CF">
        <w:rPr>
          <w:rFonts w:ascii="Arial" w:hAnsi="Arial" w:cs="Arial"/>
          <w:i/>
          <w:iCs/>
          <w:sz w:val="22"/>
          <w:szCs w:val="22"/>
        </w:rPr>
        <w:t>International Journal of Science and Technology, 15</w:t>
      </w:r>
      <w:r w:rsidRPr="006627CF">
        <w:rPr>
          <w:rFonts w:ascii="Arial" w:hAnsi="Arial" w:cs="Arial"/>
          <w:sz w:val="22"/>
          <w:szCs w:val="22"/>
        </w:rPr>
        <w:t>(2), 45–53. https://www.ijsat.org/papers/2025/2/4313.pdf</w:t>
      </w:r>
    </w:p>
    <w:p w14:paraId="325D33F6"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Creswell, J. W. (2014). </w:t>
      </w:r>
      <w:r w:rsidRPr="006627CF">
        <w:rPr>
          <w:rFonts w:ascii="Arial" w:hAnsi="Arial" w:cs="Arial"/>
          <w:i/>
          <w:iCs/>
          <w:sz w:val="22"/>
          <w:szCs w:val="22"/>
        </w:rPr>
        <w:t>Research design: Qualitative, quantitative, and mixed methods approaches</w:t>
      </w:r>
      <w:r w:rsidRPr="006627CF">
        <w:rPr>
          <w:rFonts w:ascii="Arial" w:hAnsi="Arial" w:cs="Arial"/>
          <w:sz w:val="22"/>
          <w:szCs w:val="22"/>
        </w:rPr>
        <w:t xml:space="preserve"> (4th ed.). Sage.</w:t>
      </w:r>
    </w:p>
    <w:p w14:paraId="3C9F2FAC"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Darling-Hammond, L., Flook, L., Cook-Harvey, C., Barron, B., &amp; Osher, D. (2017). Implications for educational practice of the science of learning and development. </w:t>
      </w:r>
      <w:r w:rsidRPr="006627CF">
        <w:rPr>
          <w:rFonts w:ascii="Arial" w:hAnsi="Arial" w:cs="Arial"/>
          <w:i/>
          <w:iCs/>
          <w:sz w:val="22"/>
          <w:szCs w:val="22"/>
        </w:rPr>
        <w:t>Applied Developmental Science, 21</w:t>
      </w:r>
      <w:r w:rsidRPr="006627CF">
        <w:rPr>
          <w:rFonts w:ascii="Arial" w:hAnsi="Arial" w:cs="Arial"/>
          <w:sz w:val="22"/>
          <w:szCs w:val="22"/>
        </w:rPr>
        <w:t>(3), 97–140. https://doi.org/10.1080/10888691.2016.1226226</w:t>
      </w:r>
    </w:p>
    <w:p w14:paraId="41F4A204"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Darling-Hammond, L., Wei, R. C., Andree, A., Richardson, N., &amp; Orphanos, S. (2008). </w:t>
      </w:r>
      <w:r w:rsidRPr="006627CF">
        <w:rPr>
          <w:rFonts w:ascii="Arial" w:hAnsi="Arial" w:cs="Arial"/>
          <w:i/>
          <w:iCs/>
          <w:sz w:val="22"/>
          <w:szCs w:val="22"/>
        </w:rPr>
        <w:t>Professional learning in the learning profession: A status report on teacher development in the United States and abroad.</w:t>
      </w:r>
      <w:r w:rsidRPr="006627CF">
        <w:rPr>
          <w:rFonts w:ascii="Arial" w:hAnsi="Arial" w:cs="Arial"/>
          <w:sz w:val="22"/>
          <w:szCs w:val="22"/>
        </w:rPr>
        <w:t xml:space="preserve"> National Staff Development Council.</w:t>
      </w:r>
    </w:p>
    <w:p w14:paraId="60F846B2"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Ennis, R. H. (2011). The nature of critical thinking: An outline of critical thinking dispositions and abilities. University of Illinois. </w:t>
      </w:r>
      <w:r w:rsidRPr="006627CF">
        <w:rPr>
          <w:rFonts w:ascii="Arial" w:hAnsi="Arial" w:cs="Arial"/>
          <w:sz w:val="22"/>
          <w:szCs w:val="22"/>
        </w:rPr>
        <w:lastRenderedPageBreak/>
        <w:t>http://faculty.education.illinois.edu/rhennis/documents/TheNatureofCriticalThinking_51711_000.pdf</w:t>
      </w:r>
    </w:p>
    <w:p w14:paraId="2FBD134D"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Er, S. (2024). Critical thinking in mathematics learning: Concepts and classroom applications. </w:t>
      </w:r>
      <w:r w:rsidRPr="006627CF">
        <w:rPr>
          <w:rFonts w:ascii="Arial" w:hAnsi="Arial" w:cs="Arial"/>
          <w:i/>
          <w:iCs/>
          <w:sz w:val="22"/>
          <w:szCs w:val="22"/>
        </w:rPr>
        <w:t>International Journal of Educational Research, 115,</w:t>
      </w:r>
      <w:r w:rsidRPr="006627CF">
        <w:rPr>
          <w:rFonts w:ascii="Arial" w:hAnsi="Arial" w:cs="Arial"/>
          <w:sz w:val="22"/>
          <w:szCs w:val="22"/>
        </w:rPr>
        <w:t xml:space="preserve"> 102153. https://doi.org/10.1016/j.ijer.2023.102153</w:t>
      </w:r>
    </w:p>
    <w:p w14:paraId="039A3563"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Facione</w:t>
      </w:r>
      <w:proofErr w:type="spellEnd"/>
      <w:r w:rsidRPr="006627CF">
        <w:rPr>
          <w:rFonts w:ascii="Arial" w:hAnsi="Arial" w:cs="Arial"/>
          <w:sz w:val="22"/>
          <w:szCs w:val="22"/>
        </w:rPr>
        <w:t xml:space="preserve">, P. A. (1990). </w:t>
      </w:r>
      <w:r w:rsidRPr="006627CF">
        <w:rPr>
          <w:rFonts w:ascii="Arial" w:hAnsi="Arial" w:cs="Arial"/>
          <w:i/>
          <w:iCs/>
          <w:sz w:val="22"/>
          <w:szCs w:val="22"/>
        </w:rPr>
        <w:t>Critical thinking: A statement of expert consensus for purposes of educational assessment and instruction.</w:t>
      </w:r>
      <w:r w:rsidRPr="006627CF">
        <w:rPr>
          <w:rFonts w:ascii="Arial" w:hAnsi="Arial" w:cs="Arial"/>
          <w:sz w:val="22"/>
          <w:szCs w:val="22"/>
        </w:rPr>
        <w:t xml:space="preserve"> American Philosophical Association.</w:t>
      </w:r>
    </w:p>
    <w:p w14:paraId="4DFEC439"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Facione</w:t>
      </w:r>
      <w:proofErr w:type="spellEnd"/>
      <w:r w:rsidRPr="006627CF">
        <w:rPr>
          <w:rFonts w:ascii="Arial" w:hAnsi="Arial" w:cs="Arial"/>
          <w:sz w:val="22"/>
          <w:szCs w:val="22"/>
        </w:rPr>
        <w:t xml:space="preserve">, P. A. (2011). </w:t>
      </w:r>
      <w:r w:rsidRPr="006627CF">
        <w:rPr>
          <w:rFonts w:ascii="Arial" w:hAnsi="Arial" w:cs="Arial"/>
          <w:i/>
          <w:iCs/>
          <w:sz w:val="22"/>
          <w:szCs w:val="22"/>
        </w:rPr>
        <w:t>Critical thinking: What it is and why it counts.</w:t>
      </w:r>
      <w:r w:rsidRPr="006627CF">
        <w:rPr>
          <w:rFonts w:ascii="Arial" w:hAnsi="Arial" w:cs="Arial"/>
          <w:sz w:val="22"/>
          <w:szCs w:val="22"/>
        </w:rPr>
        <w:t xml:space="preserve"> Insight Assessment.</w:t>
      </w:r>
    </w:p>
    <w:p w14:paraId="41BA8D75"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Galbraith, P. (2013). Approaches to mathematical modeling: A case for multiple perspectives. </w:t>
      </w:r>
      <w:r w:rsidRPr="006627CF">
        <w:rPr>
          <w:rFonts w:ascii="Arial" w:hAnsi="Arial" w:cs="Arial"/>
          <w:i/>
          <w:iCs/>
          <w:sz w:val="22"/>
          <w:szCs w:val="22"/>
        </w:rPr>
        <w:t>Journal of Mathematical Modelling and Application, 1</w:t>
      </w:r>
      <w:r w:rsidRPr="006627CF">
        <w:rPr>
          <w:rFonts w:ascii="Arial" w:hAnsi="Arial" w:cs="Arial"/>
          <w:sz w:val="22"/>
          <w:szCs w:val="22"/>
        </w:rPr>
        <w:t>(1), 3–15.</w:t>
      </w:r>
    </w:p>
    <w:p w14:paraId="2CD197AC"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Gillies, R. M. (2016). Cooperative learning: Review of research and practice. </w:t>
      </w:r>
      <w:r w:rsidRPr="006627CF">
        <w:rPr>
          <w:rFonts w:ascii="Arial" w:hAnsi="Arial" w:cs="Arial"/>
          <w:i/>
          <w:iCs/>
          <w:sz w:val="22"/>
          <w:szCs w:val="22"/>
        </w:rPr>
        <w:t>Australian Journal of Teacher Education, 41</w:t>
      </w:r>
      <w:r w:rsidRPr="006627CF">
        <w:rPr>
          <w:rFonts w:ascii="Arial" w:hAnsi="Arial" w:cs="Arial"/>
          <w:sz w:val="22"/>
          <w:szCs w:val="22"/>
        </w:rPr>
        <w:t>(3), 39–54. https://doi.org/10.14221/ajte.2016v41n3.3</w:t>
      </w:r>
    </w:p>
    <w:p w14:paraId="7FB476F9"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Ifenthaler</w:t>
      </w:r>
      <w:proofErr w:type="spellEnd"/>
      <w:r w:rsidRPr="006627CF">
        <w:rPr>
          <w:rFonts w:ascii="Arial" w:hAnsi="Arial" w:cs="Arial"/>
          <w:sz w:val="22"/>
          <w:szCs w:val="22"/>
        </w:rPr>
        <w:t xml:space="preserve">, D., Gibson, D., &amp; Dobozy, E. (2020). Informing learning design through analytics: The interplay of student engagement and performance in higher education. </w:t>
      </w:r>
      <w:r w:rsidRPr="006627CF">
        <w:rPr>
          <w:rFonts w:ascii="Arial" w:hAnsi="Arial" w:cs="Arial"/>
          <w:i/>
          <w:iCs/>
          <w:sz w:val="22"/>
          <w:szCs w:val="22"/>
        </w:rPr>
        <w:t>Educational Technology Research and Development, 68</w:t>
      </w:r>
      <w:r w:rsidRPr="006627CF">
        <w:rPr>
          <w:rFonts w:ascii="Arial" w:hAnsi="Arial" w:cs="Arial"/>
          <w:sz w:val="22"/>
          <w:szCs w:val="22"/>
        </w:rPr>
        <w:t>(2), 807–829. https://doi.org/10.1007/s11423-020-09730-x</w:t>
      </w:r>
    </w:p>
    <w:p w14:paraId="49453853"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Khaing, H., &amp; Thein, N. L. (2018). The relationship between critical thinking skills and students’ achievement in mathematics. </w:t>
      </w:r>
      <w:r w:rsidRPr="006627CF">
        <w:rPr>
          <w:rFonts w:ascii="Arial" w:hAnsi="Arial" w:cs="Arial"/>
          <w:i/>
          <w:iCs/>
          <w:sz w:val="22"/>
          <w:szCs w:val="22"/>
        </w:rPr>
        <w:t>Journal of Education and Practice, 9</w:t>
      </w:r>
      <w:r w:rsidRPr="006627CF">
        <w:rPr>
          <w:rFonts w:ascii="Arial" w:hAnsi="Arial" w:cs="Arial"/>
          <w:sz w:val="22"/>
          <w:szCs w:val="22"/>
        </w:rPr>
        <w:t>(5), 27–34.</w:t>
      </w:r>
    </w:p>
    <w:p w14:paraId="7F8EAA61"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Kobylarek</w:t>
      </w:r>
      <w:proofErr w:type="spellEnd"/>
      <w:r w:rsidRPr="006627CF">
        <w:rPr>
          <w:rFonts w:ascii="Arial" w:hAnsi="Arial" w:cs="Arial"/>
          <w:sz w:val="22"/>
          <w:szCs w:val="22"/>
        </w:rPr>
        <w:t xml:space="preserve">, A., </w:t>
      </w:r>
      <w:proofErr w:type="spellStart"/>
      <w:r w:rsidRPr="006627CF">
        <w:rPr>
          <w:rFonts w:ascii="Arial" w:hAnsi="Arial" w:cs="Arial"/>
          <w:sz w:val="22"/>
          <w:szCs w:val="22"/>
        </w:rPr>
        <w:t>Skorková</w:t>
      </w:r>
      <w:proofErr w:type="spellEnd"/>
      <w:r w:rsidRPr="006627CF">
        <w:rPr>
          <w:rFonts w:ascii="Arial" w:hAnsi="Arial" w:cs="Arial"/>
          <w:sz w:val="22"/>
          <w:szCs w:val="22"/>
        </w:rPr>
        <w:t xml:space="preserve">, Z., &amp; </w:t>
      </w:r>
      <w:proofErr w:type="spellStart"/>
      <w:r w:rsidRPr="006627CF">
        <w:rPr>
          <w:rFonts w:ascii="Arial" w:hAnsi="Arial" w:cs="Arial"/>
          <w:sz w:val="22"/>
          <w:szCs w:val="22"/>
        </w:rPr>
        <w:t>Gažová-Adamková</w:t>
      </w:r>
      <w:proofErr w:type="spellEnd"/>
      <w:r w:rsidRPr="006627CF">
        <w:rPr>
          <w:rFonts w:ascii="Arial" w:hAnsi="Arial" w:cs="Arial"/>
          <w:sz w:val="22"/>
          <w:szCs w:val="22"/>
        </w:rPr>
        <w:t>, B. (2022). Critical Thinking Questionnaire (</w:t>
      </w:r>
      <w:proofErr w:type="spellStart"/>
      <w:r w:rsidRPr="006627CF">
        <w:rPr>
          <w:rFonts w:ascii="Arial" w:hAnsi="Arial" w:cs="Arial"/>
          <w:sz w:val="22"/>
          <w:szCs w:val="22"/>
        </w:rPr>
        <w:t>CThQ</w:t>
      </w:r>
      <w:proofErr w:type="spellEnd"/>
      <w:r w:rsidRPr="006627CF">
        <w:rPr>
          <w:rFonts w:ascii="Arial" w:hAnsi="Arial" w:cs="Arial"/>
          <w:sz w:val="22"/>
          <w:szCs w:val="22"/>
        </w:rPr>
        <w:t xml:space="preserve">): Tool development and validation. </w:t>
      </w:r>
      <w:r w:rsidRPr="006627CF">
        <w:rPr>
          <w:rFonts w:ascii="Arial" w:hAnsi="Arial" w:cs="Arial"/>
          <w:i/>
          <w:iCs/>
          <w:sz w:val="22"/>
          <w:szCs w:val="22"/>
        </w:rPr>
        <w:t>Journal of Cognitive Education and Psychology, 21</w:t>
      </w:r>
      <w:r w:rsidRPr="006627CF">
        <w:rPr>
          <w:rFonts w:ascii="Arial" w:hAnsi="Arial" w:cs="Arial"/>
          <w:sz w:val="22"/>
          <w:szCs w:val="22"/>
        </w:rPr>
        <w:t>(3), 245–260. https://doi.org/10.1891/JCEP-D-21-0005</w:t>
      </w:r>
    </w:p>
    <w:p w14:paraId="1F2B5077"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Langoban, J. (2020). The struggle with mathematics: Learners’ perspectives on math anxiety. </w:t>
      </w:r>
      <w:r w:rsidRPr="006627CF">
        <w:rPr>
          <w:rFonts w:ascii="Arial" w:hAnsi="Arial" w:cs="Arial"/>
          <w:i/>
          <w:iCs/>
          <w:sz w:val="22"/>
          <w:szCs w:val="22"/>
        </w:rPr>
        <w:t>International Journal of Learning, Teaching and Educational Research, 19</w:t>
      </w:r>
      <w:r w:rsidRPr="006627CF">
        <w:rPr>
          <w:rFonts w:ascii="Arial" w:hAnsi="Arial" w:cs="Arial"/>
          <w:sz w:val="22"/>
          <w:szCs w:val="22"/>
        </w:rPr>
        <w:t>(8), 88–101. https://doi.org/10.26803/ijlter.19.8.5</w:t>
      </w:r>
    </w:p>
    <w:p w14:paraId="5BBA9735"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Lumoto</w:t>
      </w:r>
      <w:proofErr w:type="spellEnd"/>
      <w:r w:rsidRPr="006627CF">
        <w:rPr>
          <w:rFonts w:ascii="Arial" w:hAnsi="Arial" w:cs="Arial"/>
          <w:sz w:val="22"/>
          <w:szCs w:val="22"/>
        </w:rPr>
        <w:t xml:space="preserve">, M. J., et al. (2024). Academic performance in Mathematics in the Modern World: Basis for curriculum enhancement. </w:t>
      </w:r>
      <w:r w:rsidRPr="006627CF">
        <w:rPr>
          <w:rFonts w:ascii="Arial" w:hAnsi="Arial" w:cs="Arial"/>
          <w:i/>
          <w:iCs/>
          <w:sz w:val="22"/>
          <w:szCs w:val="22"/>
        </w:rPr>
        <w:t>Asian Journal of Education and Social Studies, 50</w:t>
      </w:r>
      <w:r w:rsidRPr="006627CF">
        <w:rPr>
          <w:rFonts w:ascii="Arial" w:hAnsi="Arial" w:cs="Arial"/>
          <w:sz w:val="22"/>
          <w:szCs w:val="22"/>
        </w:rPr>
        <w:t>(1), 112–120. https://doi.org/10.9734/ajess/2024/v50i12300</w:t>
      </w:r>
    </w:p>
    <w:p w14:paraId="2047AC04"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Mangal, N. R., </w:t>
      </w:r>
      <w:proofErr w:type="spellStart"/>
      <w:r w:rsidRPr="006627CF">
        <w:rPr>
          <w:rFonts w:ascii="Arial" w:hAnsi="Arial" w:cs="Arial"/>
          <w:sz w:val="22"/>
          <w:szCs w:val="22"/>
        </w:rPr>
        <w:t>Sagang</w:t>
      </w:r>
      <w:proofErr w:type="spellEnd"/>
      <w:r w:rsidRPr="006627CF">
        <w:rPr>
          <w:rFonts w:ascii="Arial" w:hAnsi="Arial" w:cs="Arial"/>
          <w:sz w:val="22"/>
          <w:szCs w:val="22"/>
        </w:rPr>
        <w:t xml:space="preserve">, V., Acosta, V. A. D., &amp; Miranda, A. T. (2025, April 18–20). Mathematical creativity self-efficacy perception of pre-service mathematics teachers. In </w:t>
      </w:r>
      <w:r w:rsidRPr="006627CF">
        <w:rPr>
          <w:rFonts w:ascii="Arial" w:hAnsi="Arial" w:cs="Arial"/>
          <w:i/>
          <w:iCs/>
          <w:sz w:val="22"/>
          <w:szCs w:val="22"/>
        </w:rPr>
        <w:t>Full Texts Book: 8th International Ankara Multidisciplinary Studies Congress</w:t>
      </w:r>
      <w:r w:rsidRPr="006627CF">
        <w:rPr>
          <w:rFonts w:ascii="Arial" w:hAnsi="Arial" w:cs="Arial"/>
          <w:sz w:val="22"/>
          <w:szCs w:val="22"/>
        </w:rPr>
        <w:t xml:space="preserve"> (pp. xx–xx). Institute of Teacher Education and Information Technology, Southern Philippines Agri-business and Marine and Aquatic School of Technology, Malita, Davao Occidental, Philippines.</w:t>
      </w:r>
    </w:p>
    <w:p w14:paraId="789ECE2C"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Mariano, L. A., Madel, N. S., &amp; Miranda, A. T. (2022). The relationship between time management skills and academic performance of working students in open high school program. </w:t>
      </w:r>
      <w:r w:rsidRPr="006627CF">
        <w:rPr>
          <w:rFonts w:ascii="Arial" w:hAnsi="Arial" w:cs="Arial"/>
          <w:i/>
          <w:iCs/>
          <w:sz w:val="22"/>
          <w:szCs w:val="22"/>
        </w:rPr>
        <w:t>Asian Journal of Education and Social Studies, 36</w:t>
      </w:r>
      <w:r w:rsidRPr="006627CF">
        <w:rPr>
          <w:rFonts w:ascii="Arial" w:hAnsi="Arial" w:cs="Arial"/>
          <w:sz w:val="22"/>
          <w:szCs w:val="22"/>
        </w:rPr>
        <w:t>(2), 61–66. https://doi.org/10.9734/ajess/2022/v36i2732</w:t>
      </w:r>
    </w:p>
    <w:p w14:paraId="7F585B14"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Miranda, A. T. (2022). Cognitive ability, psycho-sociological characteristics and study habits of students: A structural model on mathematics performance. </w:t>
      </w:r>
      <w:r w:rsidRPr="006627CF">
        <w:rPr>
          <w:rFonts w:ascii="Arial" w:hAnsi="Arial" w:cs="Arial"/>
          <w:i/>
          <w:iCs/>
          <w:sz w:val="22"/>
          <w:szCs w:val="22"/>
        </w:rPr>
        <w:t>Asian Journal of Multidisciplinary Studies, 1</w:t>
      </w:r>
      <w:r w:rsidRPr="006627CF">
        <w:rPr>
          <w:rFonts w:ascii="Arial" w:hAnsi="Arial" w:cs="Arial"/>
          <w:sz w:val="22"/>
          <w:szCs w:val="22"/>
        </w:rPr>
        <w:t>(3), 51–57.</w:t>
      </w:r>
    </w:p>
    <w:p w14:paraId="7BAAFA16"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Muhayimana, V., Uwitonze, G., &amp; </w:t>
      </w:r>
      <w:proofErr w:type="spellStart"/>
      <w:r w:rsidRPr="006627CF">
        <w:rPr>
          <w:rFonts w:ascii="Arial" w:hAnsi="Arial" w:cs="Arial"/>
          <w:sz w:val="22"/>
          <w:szCs w:val="22"/>
        </w:rPr>
        <w:t>Ndayambaje</w:t>
      </w:r>
      <w:proofErr w:type="spellEnd"/>
      <w:r w:rsidRPr="006627CF">
        <w:rPr>
          <w:rFonts w:ascii="Arial" w:hAnsi="Arial" w:cs="Arial"/>
          <w:sz w:val="22"/>
          <w:szCs w:val="22"/>
        </w:rPr>
        <w:t xml:space="preserve">, I. (2022). Cognitive domains and academic achievement: Evidence from Rwandan students. </w:t>
      </w:r>
      <w:r w:rsidRPr="006627CF">
        <w:rPr>
          <w:rFonts w:ascii="Arial" w:hAnsi="Arial" w:cs="Arial"/>
          <w:i/>
          <w:iCs/>
          <w:sz w:val="22"/>
          <w:szCs w:val="22"/>
        </w:rPr>
        <w:t>International Journal of Educational Research, 113,</w:t>
      </w:r>
      <w:r w:rsidRPr="006627CF">
        <w:rPr>
          <w:rFonts w:ascii="Arial" w:hAnsi="Arial" w:cs="Arial"/>
          <w:sz w:val="22"/>
          <w:szCs w:val="22"/>
        </w:rPr>
        <w:t xml:space="preserve"> 101967. https://doi.org/10.1016/j.ijer.2022.101967</w:t>
      </w:r>
    </w:p>
    <w:p w14:paraId="69490684"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lastRenderedPageBreak/>
        <w:t xml:space="preserve">Paul, R., &amp; Elder, L. (2014). </w:t>
      </w:r>
      <w:r w:rsidRPr="006627CF">
        <w:rPr>
          <w:rFonts w:ascii="Arial" w:hAnsi="Arial" w:cs="Arial"/>
          <w:i/>
          <w:iCs/>
          <w:sz w:val="22"/>
          <w:szCs w:val="22"/>
        </w:rPr>
        <w:t>Critical thinking: Tools for taking charge of your professional and personal life.</w:t>
      </w:r>
      <w:r w:rsidRPr="006627CF">
        <w:rPr>
          <w:rFonts w:ascii="Arial" w:hAnsi="Arial" w:cs="Arial"/>
          <w:sz w:val="22"/>
          <w:szCs w:val="22"/>
        </w:rPr>
        <w:t xml:space="preserve"> Pearson Education.</w:t>
      </w:r>
    </w:p>
    <w:p w14:paraId="318BDEC7"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Quitadamo, I. J., Faiola, C. L., Johnson, J. E., &amp; Kurtz, M. J. (2007). Community-based inquiry improves critical thinking in general education biology. </w:t>
      </w:r>
      <w:r w:rsidRPr="006627CF">
        <w:rPr>
          <w:rFonts w:ascii="Arial" w:hAnsi="Arial" w:cs="Arial"/>
          <w:i/>
          <w:iCs/>
          <w:sz w:val="22"/>
          <w:szCs w:val="22"/>
        </w:rPr>
        <w:t>CBE—Life Sciences Education, 6</w:t>
      </w:r>
      <w:r w:rsidRPr="006627CF">
        <w:rPr>
          <w:rFonts w:ascii="Arial" w:hAnsi="Arial" w:cs="Arial"/>
          <w:sz w:val="22"/>
          <w:szCs w:val="22"/>
        </w:rPr>
        <w:t>(4), 327–337. https://doi.org/10.1187/cbe.07-04-0020</w:t>
      </w:r>
    </w:p>
    <w:p w14:paraId="5DEE568D"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Roman, J. M., et al. (2019). Students’ academic achievement in Mathematics in the Modern World. </w:t>
      </w:r>
      <w:r w:rsidRPr="006627CF">
        <w:rPr>
          <w:rFonts w:ascii="Arial" w:hAnsi="Arial" w:cs="Arial"/>
          <w:i/>
          <w:iCs/>
          <w:sz w:val="22"/>
          <w:szCs w:val="22"/>
        </w:rPr>
        <w:t>Philippine Journal of Education, 95</w:t>
      </w:r>
      <w:r w:rsidRPr="006627CF">
        <w:rPr>
          <w:rFonts w:ascii="Arial" w:hAnsi="Arial" w:cs="Arial"/>
          <w:sz w:val="22"/>
          <w:szCs w:val="22"/>
        </w:rPr>
        <w:t>(2), 30–38.</w:t>
      </w:r>
    </w:p>
    <w:p w14:paraId="1B7B4C65"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Saavedra, A. R., &amp; Opfer, V. D. (2012). Teaching and learning 21st century skills: Lessons from the learning sciences. </w:t>
      </w:r>
      <w:r w:rsidRPr="006627CF">
        <w:rPr>
          <w:rFonts w:ascii="Arial" w:hAnsi="Arial" w:cs="Arial"/>
          <w:i/>
          <w:iCs/>
          <w:sz w:val="22"/>
          <w:szCs w:val="22"/>
        </w:rPr>
        <w:t>Asia Society Partnership for Global Learning.</w:t>
      </w:r>
    </w:p>
    <w:p w14:paraId="642E8B1E"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Sabanal, C. S., Bago, J. S., Balandra, C. B., &amp; Miranda, A. T. (2023). Attitudes toward learning mathematics and performance of Grade 11 students in the new normal. </w:t>
      </w:r>
      <w:r w:rsidRPr="006627CF">
        <w:rPr>
          <w:rFonts w:ascii="Arial" w:hAnsi="Arial" w:cs="Arial"/>
          <w:i/>
          <w:iCs/>
          <w:sz w:val="22"/>
          <w:szCs w:val="22"/>
        </w:rPr>
        <w:t>Asian Journal of Education and Social Studies, 50</w:t>
      </w:r>
      <w:r w:rsidRPr="006627CF">
        <w:rPr>
          <w:rFonts w:ascii="Arial" w:hAnsi="Arial" w:cs="Arial"/>
          <w:sz w:val="22"/>
          <w:szCs w:val="22"/>
        </w:rPr>
        <w:t>(9), 254–263. https://doi.org/10.9734/ajess/2023/v50i92361</w:t>
      </w:r>
    </w:p>
    <w:p w14:paraId="689BE23A"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Sachdeva, S., &amp; Eggen, P. (2021). Learners’ beliefs and critical thinking in mathematics education. </w:t>
      </w:r>
      <w:r w:rsidRPr="006627CF">
        <w:rPr>
          <w:rFonts w:ascii="Arial" w:hAnsi="Arial" w:cs="Arial"/>
          <w:i/>
          <w:iCs/>
          <w:sz w:val="22"/>
          <w:szCs w:val="22"/>
        </w:rPr>
        <w:t>Journal of Mathematics Teacher Education, 24</w:t>
      </w:r>
      <w:r w:rsidRPr="006627CF">
        <w:rPr>
          <w:rFonts w:ascii="Arial" w:hAnsi="Arial" w:cs="Arial"/>
          <w:sz w:val="22"/>
          <w:szCs w:val="22"/>
        </w:rPr>
        <w:t>(4), 523–540. https://doi.org/10.1007/s10857-020-09490-3</w:t>
      </w:r>
    </w:p>
    <w:p w14:paraId="3F42AD3A"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proofErr w:type="spellStart"/>
      <w:r w:rsidRPr="006627CF">
        <w:rPr>
          <w:rFonts w:ascii="Arial" w:hAnsi="Arial" w:cs="Arial"/>
          <w:sz w:val="22"/>
          <w:szCs w:val="22"/>
        </w:rPr>
        <w:t>Suprayogi</w:t>
      </w:r>
      <w:proofErr w:type="spellEnd"/>
      <w:r w:rsidRPr="006627CF">
        <w:rPr>
          <w:rFonts w:ascii="Arial" w:hAnsi="Arial" w:cs="Arial"/>
          <w:sz w:val="22"/>
          <w:szCs w:val="22"/>
        </w:rPr>
        <w:t xml:space="preserve">, M. N., Valcke, M., &amp; Godwin, R. (2017). Teachers and their implementation of differentiated instruction in the classroom. </w:t>
      </w:r>
      <w:r w:rsidRPr="006627CF">
        <w:rPr>
          <w:rFonts w:ascii="Arial" w:hAnsi="Arial" w:cs="Arial"/>
          <w:i/>
          <w:iCs/>
          <w:sz w:val="22"/>
          <w:szCs w:val="22"/>
        </w:rPr>
        <w:t>Teaching and Teacher Education, 67,</w:t>
      </w:r>
      <w:r w:rsidRPr="006627CF">
        <w:rPr>
          <w:rFonts w:ascii="Arial" w:hAnsi="Arial" w:cs="Arial"/>
          <w:sz w:val="22"/>
          <w:szCs w:val="22"/>
        </w:rPr>
        <w:t xml:space="preserve"> 291–301. https://doi.org/10.1016/j.tate.2017.06.020</w:t>
      </w:r>
    </w:p>
    <w:p w14:paraId="7BFC61F5"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Suryawan, A., </w:t>
      </w:r>
      <w:proofErr w:type="spellStart"/>
      <w:r w:rsidRPr="006627CF">
        <w:rPr>
          <w:rFonts w:ascii="Arial" w:hAnsi="Arial" w:cs="Arial"/>
          <w:sz w:val="22"/>
          <w:szCs w:val="22"/>
        </w:rPr>
        <w:t>Kusumawati</w:t>
      </w:r>
      <w:proofErr w:type="spellEnd"/>
      <w:r w:rsidRPr="006627CF">
        <w:rPr>
          <w:rFonts w:ascii="Arial" w:hAnsi="Arial" w:cs="Arial"/>
          <w:sz w:val="22"/>
          <w:szCs w:val="22"/>
        </w:rPr>
        <w:t xml:space="preserve">, R., &amp; Hartono, R. (2023). Problem-based learning and digital tools in developing students’ critical thinking in mathematics. </w:t>
      </w:r>
      <w:r w:rsidRPr="006627CF">
        <w:rPr>
          <w:rFonts w:ascii="Arial" w:hAnsi="Arial" w:cs="Arial"/>
          <w:i/>
          <w:iCs/>
          <w:sz w:val="22"/>
          <w:szCs w:val="22"/>
        </w:rPr>
        <w:t>International Journal of Instruction, 16</w:t>
      </w:r>
      <w:r w:rsidRPr="006627CF">
        <w:rPr>
          <w:rFonts w:ascii="Arial" w:hAnsi="Arial" w:cs="Arial"/>
          <w:sz w:val="22"/>
          <w:szCs w:val="22"/>
        </w:rPr>
        <w:t>(2), 331–348. https://doi.org/10.29333/iji.2023.16218a</w:t>
      </w:r>
    </w:p>
    <w:p w14:paraId="1C46F6AE"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Tiruneh, D. T., et al. (2017). Measuring critical thinking in physics: Development and validation of a critical thinking test in electricity and magnetism. </w:t>
      </w:r>
      <w:r w:rsidRPr="006627CF">
        <w:rPr>
          <w:rFonts w:ascii="Arial" w:hAnsi="Arial" w:cs="Arial"/>
          <w:i/>
          <w:iCs/>
          <w:sz w:val="22"/>
          <w:szCs w:val="22"/>
        </w:rPr>
        <w:t>International Journal of Science and Mathematics Education, 15</w:t>
      </w:r>
      <w:r w:rsidRPr="006627CF">
        <w:rPr>
          <w:rFonts w:ascii="Arial" w:hAnsi="Arial" w:cs="Arial"/>
          <w:sz w:val="22"/>
          <w:szCs w:val="22"/>
        </w:rPr>
        <w:t>(4), 663–682. https://doi.org/10.1007/s10763-016-9716-0</w:t>
      </w:r>
    </w:p>
    <w:p w14:paraId="697242A8"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Wang, L., &amp; Abdullah, M. (2024). Mathematics as a platform for critical thinking: A systematic review. </w:t>
      </w:r>
      <w:r w:rsidRPr="006627CF">
        <w:rPr>
          <w:rFonts w:ascii="Arial" w:hAnsi="Arial" w:cs="Arial"/>
          <w:i/>
          <w:iCs/>
          <w:sz w:val="22"/>
          <w:szCs w:val="22"/>
        </w:rPr>
        <w:t>Educational Studies in Mathematics, 116</w:t>
      </w:r>
      <w:r w:rsidRPr="006627CF">
        <w:rPr>
          <w:rFonts w:ascii="Arial" w:hAnsi="Arial" w:cs="Arial"/>
          <w:sz w:val="22"/>
          <w:szCs w:val="22"/>
        </w:rPr>
        <w:t>(1), 1–20. https://doi.org/10.1007/s10649-023-10345-7</w:t>
      </w:r>
    </w:p>
    <w:p w14:paraId="5F7411E1" w14:textId="77777777"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World Economic Forum. (2020). </w:t>
      </w:r>
      <w:r w:rsidRPr="006627CF">
        <w:rPr>
          <w:rFonts w:ascii="Arial" w:hAnsi="Arial" w:cs="Arial"/>
          <w:i/>
          <w:iCs/>
          <w:sz w:val="22"/>
          <w:szCs w:val="22"/>
        </w:rPr>
        <w:t>The future of jobs report 2020.</w:t>
      </w:r>
      <w:r w:rsidRPr="006627CF">
        <w:rPr>
          <w:rFonts w:ascii="Arial" w:hAnsi="Arial" w:cs="Arial"/>
          <w:sz w:val="22"/>
          <w:szCs w:val="22"/>
        </w:rPr>
        <w:t xml:space="preserve"> World Economic Forum. https://www.weforum.org/reports/the-future-of-jobs-report-2020</w:t>
      </w:r>
    </w:p>
    <w:p w14:paraId="02DEBF55" w14:textId="4C4996B4" w:rsidR="006627CF" w:rsidRPr="006627CF" w:rsidRDefault="006627CF" w:rsidP="006627CF">
      <w:pPr>
        <w:pStyle w:val="NormalWeb"/>
        <w:spacing w:before="0" w:beforeAutospacing="0" w:after="0" w:afterAutospacing="0"/>
        <w:ind w:left="540" w:hanging="540"/>
        <w:jc w:val="both"/>
        <w:rPr>
          <w:rFonts w:ascii="Arial" w:hAnsi="Arial" w:cs="Arial"/>
          <w:sz w:val="22"/>
          <w:szCs w:val="22"/>
        </w:rPr>
      </w:pPr>
      <w:r w:rsidRPr="006627CF">
        <w:rPr>
          <w:rFonts w:ascii="Arial" w:hAnsi="Arial" w:cs="Arial"/>
          <w:sz w:val="22"/>
          <w:szCs w:val="22"/>
        </w:rPr>
        <w:t xml:space="preserve">Zohar, A., Degani, A., &amp; </w:t>
      </w:r>
      <w:proofErr w:type="spellStart"/>
      <w:r w:rsidRPr="006627CF">
        <w:rPr>
          <w:rFonts w:ascii="Arial" w:hAnsi="Arial" w:cs="Arial"/>
          <w:sz w:val="22"/>
          <w:szCs w:val="22"/>
        </w:rPr>
        <w:t>Vaaknin</w:t>
      </w:r>
      <w:proofErr w:type="spellEnd"/>
      <w:r w:rsidRPr="006627CF">
        <w:rPr>
          <w:rFonts w:ascii="Arial" w:hAnsi="Arial" w:cs="Arial"/>
          <w:sz w:val="22"/>
          <w:szCs w:val="22"/>
        </w:rPr>
        <w:t xml:space="preserve">, E. (2003). Teachers’ beliefs about low-achieving students and higher order thinking. </w:t>
      </w:r>
      <w:r w:rsidRPr="006627CF">
        <w:rPr>
          <w:rFonts w:ascii="Arial" w:hAnsi="Arial" w:cs="Arial"/>
          <w:i/>
          <w:iCs/>
          <w:sz w:val="22"/>
          <w:szCs w:val="22"/>
        </w:rPr>
        <w:t>Teaching and Teacher Education, 19</w:t>
      </w:r>
      <w:r w:rsidRPr="006627CF">
        <w:rPr>
          <w:rFonts w:ascii="Arial" w:hAnsi="Arial" w:cs="Arial"/>
          <w:sz w:val="22"/>
          <w:szCs w:val="22"/>
        </w:rPr>
        <w:t xml:space="preserve">(4), 403–420. </w:t>
      </w:r>
      <w:hyperlink r:id="rId14" w:history="1">
        <w:r w:rsidR="000279BE" w:rsidRPr="006627CF">
          <w:rPr>
            <w:rStyle w:val="Hyperlink"/>
            <w:rFonts w:ascii="Arial" w:hAnsi="Arial" w:cs="Arial"/>
            <w:sz w:val="22"/>
            <w:szCs w:val="22"/>
          </w:rPr>
          <w:t>https://doi.org/10.1016/S0742-051X(03)00020-8</w:t>
        </w:r>
      </w:hyperlink>
      <w:r w:rsidR="000279BE">
        <w:rPr>
          <w:rFonts w:ascii="Arial" w:hAnsi="Arial" w:cs="Arial"/>
          <w:sz w:val="22"/>
          <w:szCs w:val="22"/>
        </w:rPr>
        <w:t xml:space="preserve"> </w:t>
      </w:r>
    </w:p>
    <w:sectPr w:rsidR="006627CF" w:rsidRPr="006627CF" w:rsidSect="00E65119">
      <w:headerReference w:type="even" r:id="rId15"/>
      <w:headerReference w:type="default" r:id="rId16"/>
      <w:footerReference w:type="default" r:id="rId17"/>
      <w:headerReference w:type="first" r:id="rId18"/>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B8BEC" w14:textId="77777777" w:rsidR="009F7486" w:rsidRDefault="009F7486" w:rsidP="00C37E61">
      <w:r>
        <w:separator/>
      </w:r>
    </w:p>
  </w:endnote>
  <w:endnote w:type="continuationSeparator" w:id="0">
    <w:p w14:paraId="4B2C1E72" w14:textId="77777777" w:rsidR="009F7486" w:rsidRDefault="009F74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57D9" w14:textId="77777777" w:rsidR="00E65119" w:rsidRDefault="00E65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90C7" w14:textId="77777777" w:rsidR="00E65119" w:rsidRDefault="00E65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7E3B" w14:textId="21DE3D9B" w:rsidR="00C858ED" w:rsidRPr="00E65119" w:rsidRDefault="00C858ED" w:rsidP="00E6511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C858ED" w:rsidRPr="00C37E61" w:rsidRDefault="00C858E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FAC22" w14:textId="77777777" w:rsidR="009F7486" w:rsidRDefault="009F7486" w:rsidP="00C37E61">
      <w:r>
        <w:separator/>
      </w:r>
    </w:p>
  </w:footnote>
  <w:footnote w:type="continuationSeparator" w:id="0">
    <w:p w14:paraId="715CE33D" w14:textId="77777777" w:rsidR="009F7486" w:rsidRDefault="009F74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4AAB" w14:textId="1C1F119B" w:rsidR="00E65119" w:rsidRDefault="00E65119">
    <w:pPr>
      <w:pStyle w:val="Header"/>
    </w:pPr>
    <w:r>
      <w:rPr>
        <w:noProof/>
      </w:rPr>
      <w:pict w14:anchorId="542EA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6A959" w14:textId="45E4014A" w:rsidR="00E65119" w:rsidRDefault="00E65119">
    <w:pPr>
      <w:pStyle w:val="Header"/>
    </w:pPr>
    <w:r>
      <w:rPr>
        <w:noProof/>
      </w:rPr>
      <w:pict w14:anchorId="72C33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397C" w14:textId="5227D7B8" w:rsidR="00C858ED" w:rsidRPr="00296529" w:rsidRDefault="00E65119" w:rsidP="00296529">
    <w:pPr>
      <w:ind w:left="2160"/>
      <w:jc w:val="center"/>
      <w:rPr>
        <w:rFonts w:ascii="Times New Roman" w:eastAsia="Calibri" w:hAnsi="Times New Roman"/>
        <w:i/>
        <w:sz w:val="18"/>
        <w:szCs w:val="22"/>
      </w:rPr>
    </w:pPr>
    <w:r>
      <w:rPr>
        <w:noProof/>
      </w:rPr>
      <w:pict w14:anchorId="3A831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5D4BFA" w14:textId="77777777" w:rsidR="00C858ED" w:rsidRPr="00296529" w:rsidRDefault="00C858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C858ED" w:rsidRPr="00296529" w:rsidRDefault="00C858E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C858ED" w:rsidRPr="00296529" w:rsidRDefault="00C858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C858ED" w:rsidRDefault="00C858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C858ED" w:rsidRDefault="00C858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C858ED" w:rsidRDefault="00C858E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12604" w14:textId="7ACAA0A1" w:rsidR="00E65119" w:rsidRDefault="00E65119">
    <w:pPr>
      <w:pStyle w:val="Header"/>
    </w:pPr>
    <w:r>
      <w:rPr>
        <w:noProof/>
      </w:rPr>
      <w:pict w14:anchorId="505F8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57CE" w14:textId="190ACB06" w:rsidR="00E65119" w:rsidRDefault="00E65119">
    <w:pPr>
      <w:pStyle w:val="Header"/>
    </w:pPr>
    <w:r>
      <w:rPr>
        <w:noProof/>
      </w:rPr>
      <w:pict w14:anchorId="104DF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C946E" w14:textId="4CA27717" w:rsidR="00E65119" w:rsidRDefault="00E65119">
    <w:pPr>
      <w:pStyle w:val="Header"/>
    </w:pPr>
    <w:r>
      <w:rPr>
        <w:noProof/>
      </w:rPr>
      <w:pict w14:anchorId="286BD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57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A3221"/>
    <w:multiLevelType w:val="multilevel"/>
    <w:tmpl w:val="B98A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6F327CA"/>
    <w:multiLevelType w:val="hybridMultilevel"/>
    <w:tmpl w:val="77C8D2A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AC44D8C"/>
    <w:multiLevelType w:val="hybridMultilevel"/>
    <w:tmpl w:val="401495C0"/>
    <w:lvl w:ilvl="0" w:tplc="4A0E8286">
      <w:start w:val="1"/>
      <w:numFmt w:val="decimal"/>
      <w:lvlText w:val="%1."/>
      <w:lvlJc w:val="left"/>
      <w:pPr>
        <w:ind w:left="1080" w:hanging="360"/>
      </w:pPr>
      <w:rPr>
        <w:b w:val="0"/>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9DA2237"/>
    <w:multiLevelType w:val="hybridMultilevel"/>
    <w:tmpl w:val="11C62166"/>
    <w:lvl w:ilvl="0" w:tplc="86700832">
      <w:start w:val="1"/>
      <w:numFmt w:val="decimal"/>
      <w:lvlText w:val="[%1]"/>
      <w:lvlJc w:val="left"/>
      <w:pPr>
        <w:ind w:left="720" w:hanging="360"/>
      </w:pPr>
      <w:rPr>
        <w:rFonts w:hint="default"/>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4A6D7FCF"/>
    <w:multiLevelType w:val="multilevel"/>
    <w:tmpl w:val="01D4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AA2731"/>
    <w:multiLevelType w:val="hybridMultilevel"/>
    <w:tmpl w:val="76564A2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5"/>
  </w:num>
  <w:num w:numId="9">
    <w:abstractNumId w:val="31"/>
  </w:num>
  <w:num w:numId="10">
    <w:abstractNumId w:val="3"/>
  </w:num>
  <w:num w:numId="11">
    <w:abstractNumId w:val="23"/>
  </w:num>
  <w:num w:numId="12">
    <w:abstractNumId w:val="4"/>
  </w:num>
  <w:num w:numId="13">
    <w:abstractNumId w:val="22"/>
  </w:num>
  <w:num w:numId="14">
    <w:abstractNumId w:val="10"/>
  </w:num>
  <w:num w:numId="15">
    <w:abstractNumId w:val="27"/>
  </w:num>
  <w:num w:numId="16">
    <w:abstractNumId w:val="6"/>
  </w:num>
  <w:num w:numId="17">
    <w:abstractNumId w:val="28"/>
  </w:num>
  <w:num w:numId="18">
    <w:abstractNumId w:val="17"/>
  </w:num>
  <w:num w:numId="19">
    <w:abstractNumId w:val="34"/>
  </w:num>
  <w:num w:numId="20">
    <w:abstractNumId w:val="13"/>
  </w:num>
  <w:num w:numId="21">
    <w:abstractNumId w:val="11"/>
  </w:num>
  <w:num w:numId="22">
    <w:abstractNumId w:val="16"/>
  </w:num>
  <w:num w:numId="23">
    <w:abstractNumId w:val="24"/>
  </w:num>
  <w:num w:numId="24">
    <w:abstractNumId w:val="32"/>
  </w:num>
  <w:num w:numId="25">
    <w:abstractNumId w:val="5"/>
  </w:num>
  <w:num w:numId="26">
    <w:abstractNumId w:val="21"/>
  </w:num>
  <w:num w:numId="27">
    <w:abstractNumId w:val="26"/>
  </w:num>
  <w:num w:numId="28">
    <w:abstractNumId w:val="33"/>
  </w:num>
  <w:num w:numId="29">
    <w:abstractNumId w:val="30"/>
  </w:num>
  <w:num w:numId="30">
    <w:abstractNumId w:val="12"/>
  </w:num>
  <w:num w:numId="31">
    <w:abstractNumId w:val="8"/>
  </w:num>
  <w:num w:numId="32">
    <w:abstractNumId w:val="25"/>
  </w:num>
  <w:num w:numId="33">
    <w:abstractNumId w:val="14"/>
  </w:num>
  <w:num w:numId="34">
    <w:abstractNumId w:val="18"/>
  </w:num>
  <w:num w:numId="35">
    <w:abstractNumId w:val="19"/>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79BE"/>
    <w:rsid w:val="00030174"/>
    <w:rsid w:val="0004579C"/>
    <w:rsid w:val="00074106"/>
    <w:rsid w:val="00074C62"/>
    <w:rsid w:val="000A23DA"/>
    <w:rsid w:val="000A47FA"/>
    <w:rsid w:val="000A65D3"/>
    <w:rsid w:val="000B1E33"/>
    <w:rsid w:val="000D689F"/>
    <w:rsid w:val="000E7B7B"/>
    <w:rsid w:val="000E7D62"/>
    <w:rsid w:val="00103357"/>
    <w:rsid w:val="00123C9F"/>
    <w:rsid w:val="00126190"/>
    <w:rsid w:val="00130F17"/>
    <w:rsid w:val="001320BF"/>
    <w:rsid w:val="0015397B"/>
    <w:rsid w:val="00163BC4"/>
    <w:rsid w:val="00176830"/>
    <w:rsid w:val="00191062"/>
    <w:rsid w:val="00192B72"/>
    <w:rsid w:val="001A29D8"/>
    <w:rsid w:val="001A5CAA"/>
    <w:rsid w:val="001B0427"/>
    <w:rsid w:val="001B42CC"/>
    <w:rsid w:val="001D3A51"/>
    <w:rsid w:val="001D68C8"/>
    <w:rsid w:val="001E10D2"/>
    <w:rsid w:val="001E25B4"/>
    <w:rsid w:val="001E44FE"/>
    <w:rsid w:val="00200595"/>
    <w:rsid w:val="00204835"/>
    <w:rsid w:val="00227715"/>
    <w:rsid w:val="00231920"/>
    <w:rsid w:val="0023195C"/>
    <w:rsid w:val="0024282C"/>
    <w:rsid w:val="002460DC"/>
    <w:rsid w:val="00246C6A"/>
    <w:rsid w:val="00250985"/>
    <w:rsid w:val="002523E1"/>
    <w:rsid w:val="002556F6"/>
    <w:rsid w:val="00283105"/>
    <w:rsid w:val="00284C4C"/>
    <w:rsid w:val="00296529"/>
    <w:rsid w:val="00297F45"/>
    <w:rsid w:val="002B27FB"/>
    <w:rsid w:val="002B685A"/>
    <w:rsid w:val="002C57D2"/>
    <w:rsid w:val="002E0D56"/>
    <w:rsid w:val="002E2146"/>
    <w:rsid w:val="002F6F73"/>
    <w:rsid w:val="0030231A"/>
    <w:rsid w:val="00315186"/>
    <w:rsid w:val="00320EA8"/>
    <w:rsid w:val="0033343E"/>
    <w:rsid w:val="003512C2"/>
    <w:rsid w:val="00356869"/>
    <w:rsid w:val="00371FB6"/>
    <w:rsid w:val="003763C1"/>
    <w:rsid w:val="00376BBE"/>
    <w:rsid w:val="0039224F"/>
    <w:rsid w:val="003A43A4"/>
    <w:rsid w:val="003A7E18"/>
    <w:rsid w:val="003B20DC"/>
    <w:rsid w:val="003C4C86"/>
    <w:rsid w:val="003C6258"/>
    <w:rsid w:val="003E2904"/>
    <w:rsid w:val="003F366A"/>
    <w:rsid w:val="003F3A46"/>
    <w:rsid w:val="00401927"/>
    <w:rsid w:val="0041027F"/>
    <w:rsid w:val="00412475"/>
    <w:rsid w:val="00423789"/>
    <w:rsid w:val="00440F43"/>
    <w:rsid w:val="00441B6F"/>
    <w:rsid w:val="00445706"/>
    <w:rsid w:val="00446221"/>
    <w:rsid w:val="0045093A"/>
    <w:rsid w:val="00450E62"/>
    <w:rsid w:val="004517FE"/>
    <w:rsid w:val="004539DB"/>
    <w:rsid w:val="00471A80"/>
    <w:rsid w:val="004B3C28"/>
    <w:rsid w:val="004D305E"/>
    <w:rsid w:val="004D4277"/>
    <w:rsid w:val="00502516"/>
    <w:rsid w:val="00505F06"/>
    <w:rsid w:val="00506828"/>
    <w:rsid w:val="0053056E"/>
    <w:rsid w:val="00554FDA"/>
    <w:rsid w:val="005563E2"/>
    <w:rsid w:val="00585FB9"/>
    <w:rsid w:val="005C784C"/>
    <w:rsid w:val="005D17F6"/>
    <w:rsid w:val="005D331B"/>
    <w:rsid w:val="005E5539"/>
    <w:rsid w:val="005F5C71"/>
    <w:rsid w:val="00602BF5"/>
    <w:rsid w:val="006033DD"/>
    <w:rsid w:val="00617FDD"/>
    <w:rsid w:val="00633614"/>
    <w:rsid w:val="00633F68"/>
    <w:rsid w:val="00636EB2"/>
    <w:rsid w:val="006375B8"/>
    <w:rsid w:val="006627CF"/>
    <w:rsid w:val="0066510A"/>
    <w:rsid w:val="00667E2B"/>
    <w:rsid w:val="00673F9F"/>
    <w:rsid w:val="00686953"/>
    <w:rsid w:val="00687DEA"/>
    <w:rsid w:val="00687E67"/>
    <w:rsid w:val="00690D66"/>
    <w:rsid w:val="006967F7"/>
    <w:rsid w:val="006A250C"/>
    <w:rsid w:val="006B21D3"/>
    <w:rsid w:val="006B57D0"/>
    <w:rsid w:val="006D30FF"/>
    <w:rsid w:val="006D421F"/>
    <w:rsid w:val="006D6940"/>
    <w:rsid w:val="006F11EC"/>
    <w:rsid w:val="006F1DEF"/>
    <w:rsid w:val="0070082C"/>
    <w:rsid w:val="007369E6"/>
    <w:rsid w:val="00741567"/>
    <w:rsid w:val="00746E59"/>
    <w:rsid w:val="00754C9A"/>
    <w:rsid w:val="0075599A"/>
    <w:rsid w:val="00761D52"/>
    <w:rsid w:val="0077749E"/>
    <w:rsid w:val="00790ADA"/>
    <w:rsid w:val="007C2FDC"/>
    <w:rsid w:val="007D0525"/>
    <w:rsid w:val="007D2288"/>
    <w:rsid w:val="007E088F"/>
    <w:rsid w:val="007E355D"/>
    <w:rsid w:val="007F7B32"/>
    <w:rsid w:val="00804BC2"/>
    <w:rsid w:val="0081431A"/>
    <w:rsid w:val="0082252A"/>
    <w:rsid w:val="0083216F"/>
    <w:rsid w:val="00860000"/>
    <w:rsid w:val="00863BD3"/>
    <w:rsid w:val="00866D66"/>
    <w:rsid w:val="008671C6"/>
    <w:rsid w:val="0087260E"/>
    <w:rsid w:val="00875803"/>
    <w:rsid w:val="008851FE"/>
    <w:rsid w:val="00891CA5"/>
    <w:rsid w:val="008B459E"/>
    <w:rsid w:val="008E13AE"/>
    <w:rsid w:val="008E1506"/>
    <w:rsid w:val="008E607B"/>
    <w:rsid w:val="008E710C"/>
    <w:rsid w:val="008F69D6"/>
    <w:rsid w:val="00902823"/>
    <w:rsid w:val="00915CA6"/>
    <w:rsid w:val="00927834"/>
    <w:rsid w:val="009500A6"/>
    <w:rsid w:val="00957C18"/>
    <w:rsid w:val="009659BA"/>
    <w:rsid w:val="00971419"/>
    <w:rsid w:val="00983040"/>
    <w:rsid w:val="009B3FB9"/>
    <w:rsid w:val="009B6330"/>
    <w:rsid w:val="009C2465"/>
    <w:rsid w:val="009D35A0"/>
    <w:rsid w:val="009D7EB7"/>
    <w:rsid w:val="009D7F81"/>
    <w:rsid w:val="009E048A"/>
    <w:rsid w:val="009E08E9"/>
    <w:rsid w:val="009E3DB9"/>
    <w:rsid w:val="009E6E35"/>
    <w:rsid w:val="009F0EDA"/>
    <w:rsid w:val="009F7486"/>
    <w:rsid w:val="00A03B96"/>
    <w:rsid w:val="00A05B19"/>
    <w:rsid w:val="00A1134E"/>
    <w:rsid w:val="00A24E7E"/>
    <w:rsid w:val="00A258C3"/>
    <w:rsid w:val="00A347C0"/>
    <w:rsid w:val="00A51431"/>
    <w:rsid w:val="00A539AD"/>
    <w:rsid w:val="00A55D98"/>
    <w:rsid w:val="00A71D52"/>
    <w:rsid w:val="00A725C1"/>
    <w:rsid w:val="00A94063"/>
    <w:rsid w:val="00AA6219"/>
    <w:rsid w:val="00AA74E0"/>
    <w:rsid w:val="00AB703F"/>
    <w:rsid w:val="00AC6BB8"/>
    <w:rsid w:val="00AD1BAC"/>
    <w:rsid w:val="00AE008F"/>
    <w:rsid w:val="00B01FCD"/>
    <w:rsid w:val="00B1776C"/>
    <w:rsid w:val="00B52896"/>
    <w:rsid w:val="00B95236"/>
    <w:rsid w:val="00B96BD9"/>
    <w:rsid w:val="00BA1B01"/>
    <w:rsid w:val="00BA2641"/>
    <w:rsid w:val="00BB37AA"/>
    <w:rsid w:val="00BC1865"/>
    <w:rsid w:val="00BC53A0"/>
    <w:rsid w:val="00BE62AD"/>
    <w:rsid w:val="00BF121F"/>
    <w:rsid w:val="00BF1F80"/>
    <w:rsid w:val="00C166EF"/>
    <w:rsid w:val="00C17EB0"/>
    <w:rsid w:val="00C27F5F"/>
    <w:rsid w:val="00C30A0F"/>
    <w:rsid w:val="00C37E61"/>
    <w:rsid w:val="00C44931"/>
    <w:rsid w:val="00C4706A"/>
    <w:rsid w:val="00C630B2"/>
    <w:rsid w:val="00C6430C"/>
    <w:rsid w:val="00C70F1B"/>
    <w:rsid w:val="00C71A47"/>
    <w:rsid w:val="00C7464C"/>
    <w:rsid w:val="00C85588"/>
    <w:rsid w:val="00C858ED"/>
    <w:rsid w:val="00C87287"/>
    <w:rsid w:val="00CD30E5"/>
    <w:rsid w:val="00CD6755"/>
    <w:rsid w:val="00CD6856"/>
    <w:rsid w:val="00CE0089"/>
    <w:rsid w:val="00CE6575"/>
    <w:rsid w:val="00CE793C"/>
    <w:rsid w:val="00D173F1"/>
    <w:rsid w:val="00D36B5B"/>
    <w:rsid w:val="00D61417"/>
    <w:rsid w:val="00D75B9C"/>
    <w:rsid w:val="00D8295D"/>
    <w:rsid w:val="00D82C2C"/>
    <w:rsid w:val="00DA73A2"/>
    <w:rsid w:val="00DC2A65"/>
    <w:rsid w:val="00DD744E"/>
    <w:rsid w:val="00DE15F0"/>
    <w:rsid w:val="00DE5663"/>
    <w:rsid w:val="00DE78AA"/>
    <w:rsid w:val="00E053D0"/>
    <w:rsid w:val="00E157DD"/>
    <w:rsid w:val="00E15994"/>
    <w:rsid w:val="00E3114E"/>
    <w:rsid w:val="00E31A70"/>
    <w:rsid w:val="00E35B02"/>
    <w:rsid w:val="00E568D2"/>
    <w:rsid w:val="00E65119"/>
    <w:rsid w:val="00E66496"/>
    <w:rsid w:val="00E66B35"/>
    <w:rsid w:val="00E66E10"/>
    <w:rsid w:val="00E769F6"/>
    <w:rsid w:val="00E778A2"/>
    <w:rsid w:val="00E8407C"/>
    <w:rsid w:val="00E84F3C"/>
    <w:rsid w:val="00E8563D"/>
    <w:rsid w:val="00EA012C"/>
    <w:rsid w:val="00EC6799"/>
    <w:rsid w:val="00ED0288"/>
    <w:rsid w:val="00ED3AFD"/>
    <w:rsid w:val="00EE52CB"/>
    <w:rsid w:val="00EF581D"/>
    <w:rsid w:val="00EF7FD8"/>
    <w:rsid w:val="00F06F59"/>
    <w:rsid w:val="00F17988"/>
    <w:rsid w:val="00F469F0"/>
    <w:rsid w:val="00F50921"/>
    <w:rsid w:val="00F53273"/>
    <w:rsid w:val="00F71026"/>
    <w:rsid w:val="00F755E4"/>
    <w:rsid w:val="00F77179"/>
    <w:rsid w:val="00F77D02"/>
    <w:rsid w:val="00FB31C9"/>
    <w:rsid w:val="00FB3A86"/>
    <w:rsid w:val="00FC01E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46C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4706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paragraph" w:styleId="NormalWeb">
    <w:name w:val="Normal (Web)"/>
    <w:basedOn w:val="Normal"/>
    <w:uiPriority w:val="99"/>
    <w:unhideWhenUsed/>
    <w:rsid w:val="00DA73A2"/>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C4706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246C6A"/>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8E607B"/>
    <w:rPr>
      <w:color w:val="605E5C"/>
      <w:shd w:val="clear" w:color="auto" w:fill="E1DFDD"/>
    </w:rPr>
  </w:style>
  <w:style w:type="character" w:styleId="UnresolvedMention">
    <w:name w:val="Unresolved Mention"/>
    <w:basedOn w:val="DefaultParagraphFont"/>
    <w:uiPriority w:val="99"/>
    <w:semiHidden/>
    <w:unhideWhenUsed/>
    <w:rsid w:val="0055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S0742-051X(03)0002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0D6D5-AA9A-4A48-B5A1-CAE1C93B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11</Pages>
  <Words>4956</Words>
  <Characters>28252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33142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2022-11-12T05:49:00Z</cp:lastPrinted>
  <dcterms:created xsi:type="dcterms:W3CDTF">2025-09-24T03:18:00Z</dcterms:created>
  <dcterms:modified xsi:type="dcterms:W3CDTF">2025-09-24T11:11:00Z</dcterms:modified>
</cp:coreProperties>
</file>