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2DD5" w14:textId="77777777" w:rsidR="00754C9A" w:rsidRDefault="00754C9A" w:rsidP="00441B6F">
      <w:pPr>
        <w:pStyle w:val="Title"/>
        <w:spacing w:after="0"/>
        <w:jc w:val="both"/>
        <w:rPr>
          <w:rFonts w:ascii="Arial" w:hAnsi="Arial" w:cs="Arial"/>
        </w:rPr>
      </w:pPr>
    </w:p>
    <w:p w14:paraId="17841B26" w14:textId="69B36D3D" w:rsidR="00163BC4" w:rsidRPr="00163BC4" w:rsidRDefault="00093250" w:rsidP="00441B6F">
      <w:pPr>
        <w:pStyle w:val="Author"/>
        <w:spacing w:line="240" w:lineRule="auto"/>
        <w:rPr>
          <w:rFonts w:ascii="Arial" w:hAnsi="Arial" w:cs="Arial"/>
          <w:bCs/>
          <w:iCs/>
          <w:kern w:val="28"/>
          <w:sz w:val="36"/>
        </w:rPr>
      </w:pPr>
      <w:r w:rsidRPr="00093250">
        <w:rPr>
          <w:rFonts w:ascii="Arial" w:hAnsi="Arial" w:cs="Arial"/>
          <w:bCs/>
          <w:iCs/>
          <w:kern w:val="28"/>
          <w:sz w:val="36"/>
        </w:rPr>
        <w:t>Enhancing Gender and Society Instruction through a Contextualized Workbook in Philippine Universities</w:t>
      </w:r>
      <w:r w:rsidR="00231920">
        <w:rPr>
          <w:rFonts w:ascii="Arial" w:hAnsi="Arial" w:cs="Arial"/>
          <w:bCs/>
          <w:iCs/>
          <w:kern w:val="28"/>
          <w:sz w:val="36"/>
        </w:rPr>
        <w:t xml:space="preserve"> </w:t>
      </w:r>
    </w:p>
    <w:p w14:paraId="42124151" w14:textId="77777777" w:rsidR="00A258C3" w:rsidRPr="00790ADA" w:rsidRDefault="00A258C3" w:rsidP="00441B6F">
      <w:pPr>
        <w:pStyle w:val="Author"/>
        <w:spacing w:line="240" w:lineRule="auto"/>
        <w:jc w:val="both"/>
        <w:rPr>
          <w:rFonts w:ascii="Arial" w:hAnsi="Arial" w:cs="Arial"/>
          <w:sz w:val="36"/>
        </w:rPr>
      </w:pPr>
    </w:p>
    <w:p w14:paraId="4BC97666" w14:textId="31DB3536" w:rsidR="00B01FCD" w:rsidRPr="00FB3A86" w:rsidRDefault="00B01FCD" w:rsidP="00441B6F">
      <w:pPr>
        <w:pStyle w:val="Copyright"/>
        <w:spacing w:after="0" w:line="240" w:lineRule="auto"/>
        <w:jc w:val="both"/>
        <w:rPr>
          <w:rFonts w:ascii="Arial" w:hAnsi="Arial" w:cs="Arial"/>
        </w:rPr>
        <w:sectPr w:rsidR="00B01FCD" w:rsidRPr="00FB3A86" w:rsidSect="00D553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AD00073" w14:textId="4507192A" w:rsidR="00B01FCD" w:rsidRDefault="00B01FCD" w:rsidP="00441B6F">
      <w:pPr>
        <w:pStyle w:val="AbstHead"/>
        <w:spacing w:after="0"/>
        <w:jc w:val="both"/>
        <w:rPr>
          <w:rFonts w:ascii="Arial" w:hAnsi="Arial" w:cs="Arial"/>
        </w:rPr>
      </w:pPr>
      <w:r w:rsidRPr="00FB3A86">
        <w:rPr>
          <w:rFonts w:ascii="Arial" w:hAnsi="Arial" w:cs="Arial"/>
        </w:rPr>
        <w:t>ABSTRACT</w:t>
      </w:r>
    </w:p>
    <w:p w14:paraId="68AD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B2B4BD" w14:textId="77777777" w:rsidTr="001E44FE">
        <w:tc>
          <w:tcPr>
            <w:tcW w:w="9576" w:type="dxa"/>
            <w:shd w:val="clear" w:color="auto" w:fill="F2F2F2"/>
          </w:tcPr>
          <w:p w14:paraId="01DA0A59" w14:textId="53B30067"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This study aimed to enhance the teaching and learning of Gender and Society, a general education elective in Philippine higher education, by developing and validating a contextualized workbook. It sought to identify common course topics that can be contextualized, document the strategies employed by teachers, examine the challenges they face, and determine the validity of the developed workbook.</w:t>
            </w:r>
            <w:bookmarkStart w:id="0" w:name="_GoBack"/>
            <w:bookmarkEnd w:id="0"/>
          </w:p>
          <w:p w14:paraId="35120FCC" w14:textId="2A700D1F"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The research employed a descriptive developmental design, progressing through three stages: planning, development, and validation.</w:t>
            </w:r>
          </w:p>
          <w:p w14:paraId="1A738079" w14:textId="0D685922"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 xml:space="preserve">The study was conducted in three higher education institutions (HEIs) in </w:t>
            </w:r>
            <w:proofErr w:type="spellStart"/>
            <w:r w:rsidRPr="00093250">
              <w:rPr>
                <w:rFonts w:ascii="Arial" w:eastAsia="Calibri" w:hAnsi="Arial" w:cs="Arial"/>
                <w:szCs w:val="22"/>
              </w:rPr>
              <w:t>Ilocos</w:t>
            </w:r>
            <w:proofErr w:type="spellEnd"/>
            <w:r w:rsidRPr="00093250">
              <w:rPr>
                <w:rFonts w:ascii="Arial" w:eastAsia="Calibri" w:hAnsi="Arial" w:cs="Arial"/>
                <w:szCs w:val="22"/>
              </w:rPr>
              <w:t xml:space="preserve"> Sur, Philippines, during the second semester of academic year 2023–2024.</w:t>
            </w:r>
          </w:p>
          <w:p w14:paraId="15127E7F" w14:textId="7D3FCB5A"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Purposive sampling identified two groups of participants. The first group comprised six teachers handling the Gender and Society course, while the second group included seven validators (six social science experts and one visual graphics technical expert). Data were gathered through a researcher-made survey checklist, an interview guide, and a validation instrument adapted from existing studies. Statistical tools, including frequency counts, composite means, and thematic analysis, were employed to analyze the data.</w:t>
            </w:r>
          </w:p>
          <w:p w14:paraId="61AD220C" w14:textId="27CD2B79"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Findings revealed 21 common topics across institutional syllabi suitable for contextualization. Teachers primarily contextualized lessons by integrating students’ experiences, using local examples, and embedding cultural contexts. Challenges included limited access to local resources and difficulties in ensuring cultural relevance. The developed workbook was rated highly valid across five dimensions: adequacy, coherence, appropriateness, usefulness, and contextualization.</w:t>
            </w:r>
          </w:p>
          <w:p w14:paraId="2456DEEB" w14:textId="27CD97B4" w:rsidR="00505F06" w:rsidRPr="00BA1B01" w:rsidRDefault="00093250" w:rsidP="00093250">
            <w:pPr>
              <w:pStyle w:val="Body"/>
              <w:spacing w:after="0"/>
              <w:rPr>
                <w:rFonts w:ascii="Arial" w:eastAsia="Calibri" w:hAnsi="Arial" w:cs="Arial"/>
                <w:szCs w:val="22"/>
              </w:rPr>
            </w:pPr>
            <w:r w:rsidRPr="00093250">
              <w:rPr>
                <w:rFonts w:ascii="Arial" w:eastAsia="Calibri" w:hAnsi="Arial" w:cs="Arial"/>
                <w:szCs w:val="22"/>
              </w:rPr>
              <w:t>The study demonstrated that a contextualized workbook can effectively support the delivery of Gender and Society by providing relevant, culturally grounded, and pedagogically sound learning resources. Its development addresses the scarcity of instructional materials for elective GE courses and underscores the importance of contextualization in promoting meaningful student engagement. The validated workbook offers a model for future resource development in Philippine higher education.</w:t>
            </w:r>
          </w:p>
        </w:tc>
      </w:tr>
    </w:tbl>
    <w:p w14:paraId="69CC888E" w14:textId="77777777" w:rsidR="00636EB2" w:rsidRDefault="00636EB2" w:rsidP="00441B6F">
      <w:pPr>
        <w:pStyle w:val="Body"/>
        <w:spacing w:after="0"/>
        <w:rPr>
          <w:rFonts w:ascii="Arial" w:hAnsi="Arial" w:cs="Arial"/>
          <w:i/>
        </w:rPr>
      </w:pPr>
    </w:p>
    <w:p w14:paraId="421857F3" w14:textId="4BEB8BD9" w:rsidR="00505F06" w:rsidRPr="00A24E7E" w:rsidRDefault="00A24E7E" w:rsidP="00093250">
      <w:pPr>
        <w:pStyle w:val="Body"/>
        <w:rPr>
          <w:rFonts w:ascii="Arial" w:hAnsi="Arial" w:cs="Arial"/>
          <w:i/>
        </w:rPr>
      </w:pPr>
      <w:r>
        <w:rPr>
          <w:rFonts w:ascii="Arial" w:hAnsi="Arial" w:cs="Arial"/>
          <w:i/>
        </w:rPr>
        <w:t xml:space="preserve">Keywords: </w:t>
      </w:r>
      <w:r w:rsidR="00093250" w:rsidRPr="00093250">
        <w:rPr>
          <w:rFonts w:ascii="Arial" w:hAnsi="Arial" w:cs="Arial"/>
          <w:i/>
        </w:rPr>
        <w:t>Contextualized Workbook in Gender and Society</w:t>
      </w:r>
      <w:r w:rsidR="00093250">
        <w:rPr>
          <w:rFonts w:ascii="Arial" w:hAnsi="Arial" w:cs="Arial"/>
          <w:i/>
        </w:rPr>
        <w:t xml:space="preserve">, </w:t>
      </w:r>
      <w:r w:rsidR="00093250" w:rsidRPr="00093250">
        <w:rPr>
          <w:rFonts w:ascii="Arial" w:hAnsi="Arial" w:cs="Arial"/>
          <w:i/>
        </w:rPr>
        <w:t>Gender and Society</w:t>
      </w:r>
      <w:r w:rsidR="00093250">
        <w:rPr>
          <w:rFonts w:ascii="Arial" w:hAnsi="Arial" w:cs="Arial"/>
          <w:i/>
        </w:rPr>
        <w:t xml:space="preserve">, </w:t>
      </w:r>
      <w:r w:rsidR="00093250" w:rsidRPr="00093250">
        <w:rPr>
          <w:rFonts w:ascii="Arial" w:hAnsi="Arial" w:cs="Arial"/>
          <w:i/>
        </w:rPr>
        <w:t>General Education Curriculum</w:t>
      </w:r>
      <w:r w:rsidR="00093250">
        <w:rPr>
          <w:rFonts w:ascii="Arial" w:hAnsi="Arial" w:cs="Arial"/>
          <w:i/>
        </w:rPr>
        <w:t xml:space="preserve">, </w:t>
      </w:r>
      <w:r w:rsidR="00093250" w:rsidRPr="00093250">
        <w:rPr>
          <w:rFonts w:ascii="Arial" w:hAnsi="Arial" w:cs="Arial"/>
          <w:i/>
        </w:rPr>
        <w:t>Instructional Materials</w:t>
      </w:r>
      <w:r w:rsidR="00093250">
        <w:rPr>
          <w:rFonts w:ascii="Arial" w:hAnsi="Arial" w:cs="Arial"/>
          <w:i/>
        </w:rPr>
        <w:t xml:space="preserve">, </w:t>
      </w:r>
      <w:r w:rsidR="00093250" w:rsidRPr="00093250">
        <w:rPr>
          <w:rFonts w:ascii="Arial" w:hAnsi="Arial" w:cs="Arial"/>
          <w:i/>
        </w:rPr>
        <w:t>Contextualization Strategies</w:t>
      </w:r>
      <w:r w:rsidR="00093250">
        <w:rPr>
          <w:rFonts w:ascii="Arial" w:hAnsi="Arial" w:cs="Arial"/>
          <w:i/>
        </w:rPr>
        <w:t xml:space="preserve">, </w:t>
      </w:r>
      <w:r w:rsidR="00093250" w:rsidRPr="00093250">
        <w:rPr>
          <w:rFonts w:ascii="Arial" w:hAnsi="Arial" w:cs="Arial"/>
          <w:i/>
        </w:rPr>
        <w:t>Curriculum Development</w:t>
      </w:r>
    </w:p>
    <w:p w14:paraId="3AF2CE8F" w14:textId="1E3ACD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EB1028" w14:textId="77777777" w:rsidR="00790ADA" w:rsidRPr="00FB3A86" w:rsidRDefault="00790ADA" w:rsidP="00441B6F">
      <w:pPr>
        <w:pStyle w:val="AbstHead"/>
        <w:spacing w:after="0"/>
        <w:jc w:val="both"/>
        <w:rPr>
          <w:rFonts w:ascii="Arial" w:hAnsi="Arial" w:cs="Arial"/>
        </w:rPr>
      </w:pPr>
    </w:p>
    <w:p w14:paraId="209BA2D2" w14:textId="1B2B883A" w:rsidR="00093250" w:rsidRPr="00093250" w:rsidRDefault="00093250" w:rsidP="00093250">
      <w:pPr>
        <w:pStyle w:val="Body"/>
        <w:rPr>
          <w:rFonts w:ascii="Arial" w:hAnsi="Arial" w:cs="Arial"/>
        </w:rPr>
      </w:pPr>
      <w:r w:rsidRPr="00093250">
        <w:rPr>
          <w:rFonts w:ascii="Arial" w:hAnsi="Arial" w:cs="Arial"/>
        </w:rPr>
        <w:t xml:space="preserve">Education is widely recognized as a central driver of national development, as it equips citizens with the knowledge, skills, and values necessary to participate productively in society. In the Philippines, the past decade has been marked by major reforms intended to </w:t>
      </w:r>
      <w:r w:rsidRPr="00093250">
        <w:rPr>
          <w:rFonts w:ascii="Arial" w:hAnsi="Arial" w:cs="Arial"/>
        </w:rPr>
        <w:lastRenderedPageBreak/>
        <w:t xml:space="preserve">improve quality across all levels of the educational system. The enactment of Republic Act 10533, otherwise known as the Enhanced Basic Education Act of 2013, initiated a shift to the K to 12 </w:t>
      </w:r>
      <w:proofErr w:type="gramStart"/>
      <w:r w:rsidRPr="00093250">
        <w:rPr>
          <w:rFonts w:ascii="Arial" w:hAnsi="Arial" w:cs="Arial"/>
        </w:rPr>
        <w:t>curriculum</w:t>
      </w:r>
      <w:proofErr w:type="gramEnd"/>
      <w:r w:rsidRPr="00093250">
        <w:rPr>
          <w:rFonts w:ascii="Arial" w:hAnsi="Arial" w:cs="Arial"/>
        </w:rPr>
        <w:t>, aligning the Philippine system with international standards and expanding the basic education cycle. This reform sought to enhance student competencies, prepare learners more effectively for tertiary education and employment, and promote lifelong learning. Consequently, higher education institutions (HEIs) were compelled to reconfigure their own curricula to complement these systemic changes. In particular, the Commission on Higher Education (CHED) released Memorandum Order (CMO) No. 20, series of 2013, introducing a revised General Education Curriculum (GEC). The GEC emphasized holistic learning, civic responsibility, and intellectual competencies through both core and elective courses, among which “Gender and Society” has emerged as a critical area of study (CHED, 2013).</w:t>
      </w:r>
    </w:p>
    <w:p w14:paraId="6BF8CD1C" w14:textId="01489493" w:rsidR="00093250" w:rsidRPr="00093250" w:rsidRDefault="00093250" w:rsidP="00093250">
      <w:pPr>
        <w:pStyle w:val="Body"/>
        <w:rPr>
          <w:rFonts w:ascii="Arial" w:hAnsi="Arial" w:cs="Arial"/>
        </w:rPr>
      </w:pPr>
      <w:r w:rsidRPr="00093250">
        <w:rPr>
          <w:rFonts w:ascii="Arial" w:hAnsi="Arial" w:cs="Arial"/>
        </w:rPr>
        <w:t>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 However, despite its importance, course delivery in many Philippine HEIs has been hindered by a lack of standardized instructional resources. In most institutions, teachers rely on independently designed syllabi and generic textbooks, many of which present examples detached from the cultural and social realities of students. As a result, teaching is often uneven, and learners struggle to link abstract concepts to their lived experiences. The absence of contextualized materials not only reduces engagement but also weakens the transformative potential of the subject (Alic &amp; Bual, 2021; Benedito et al., 2023).</w:t>
      </w:r>
    </w:p>
    <w:p w14:paraId="61A44B3B" w14:textId="38B25F4A" w:rsidR="00093250" w:rsidRPr="00093250" w:rsidRDefault="00093250" w:rsidP="00093250">
      <w:pPr>
        <w:pStyle w:val="Body"/>
        <w:rPr>
          <w:rFonts w:ascii="Arial" w:hAnsi="Arial" w:cs="Arial"/>
        </w:rPr>
      </w:pPr>
      <w:r w:rsidRPr="00093250">
        <w:rPr>
          <w:rFonts w:ascii="Arial" w:hAnsi="Arial" w:cs="Arial"/>
        </w:rPr>
        <w:t>Several studies in recent years have emphasized the value of contextualization in improving instructional effectiveness across social science subjects. For instance, Dacuycuy et al. (2023) underscored how contextualized modules in The Contemporary World course promoted active learning, while Benedito et al. (2023) demonstrated the significance of embedding local culture in teaching indigenous knowledge. Nonetheless, there remains a notable gap in scholarship and practice concerning Gender and Society. Specifically, few, if any, studies have focused on the development and validation of a contextualized workbook designed to align with the unique demands of this elective course at the tertiary level. This absence of instructional support materials raises questions about how educators can adequately address the cultural backgrounds of their students and how learners can meaningfully engage with abstract gender concepts.</w:t>
      </w:r>
    </w:p>
    <w:p w14:paraId="16B0472E" w14:textId="0B381880" w:rsidR="00093250" w:rsidRPr="00093250" w:rsidRDefault="00093250" w:rsidP="00093250">
      <w:pPr>
        <w:pStyle w:val="Body"/>
        <w:rPr>
          <w:rFonts w:ascii="Arial" w:hAnsi="Arial" w:cs="Arial"/>
        </w:rPr>
      </w:pPr>
      <w:r w:rsidRPr="00093250">
        <w:rPr>
          <w:rFonts w:ascii="Arial" w:hAnsi="Arial" w:cs="Arial"/>
        </w:rPr>
        <w:t xml:space="preserve">In light of this gap, the present study was undertaken to design and validate a contextualized workbook for teaching Gender and Society. The rationale rests on two interrelated premises. First, effective contextualization makes learning more meaningful by bridging academic content with learners’ personal, cultural, and social environments. Second, a structured and validated workbook can provide teachers with a coherent instructional framework, addressing the inconsistencies caused by reliance on disparate syllabi and scarce resources. Such a resource is particularly relevant in provinces like </w:t>
      </w:r>
      <w:proofErr w:type="spellStart"/>
      <w:r w:rsidRPr="00093250">
        <w:rPr>
          <w:rFonts w:ascii="Arial" w:hAnsi="Arial" w:cs="Arial"/>
        </w:rPr>
        <w:t>Ilocos</w:t>
      </w:r>
      <w:proofErr w:type="spellEnd"/>
      <w:r w:rsidRPr="00093250">
        <w:rPr>
          <w:rFonts w:ascii="Arial" w:hAnsi="Arial" w:cs="Arial"/>
        </w:rPr>
        <w:t xml:space="preserve"> Sur, where HEIs offer the course but often lack shared reference materials. Consequently, this study contributes not only to pedagogy in Gender and Society but also to broader discourses on resource development in Philippine higher education.</w:t>
      </w:r>
    </w:p>
    <w:p w14:paraId="03A767B0" w14:textId="77777777" w:rsidR="00093250" w:rsidRPr="00093250" w:rsidRDefault="00093250" w:rsidP="00093250">
      <w:pPr>
        <w:pStyle w:val="Body"/>
        <w:rPr>
          <w:rFonts w:ascii="Arial" w:hAnsi="Arial" w:cs="Arial"/>
        </w:rPr>
      </w:pPr>
      <w:r w:rsidRPr="00093250">
        <w:rPr>
          <w:rFonts w:ascii="Arial" w:hAnsi="Arial" w:cs="Arial"/>
        </w:rPr>
        <w:t xml:space="preserve">The problem addressed by this research is clear: the lack of standardized, contextualized, and validated instructional resources for Gender and Society undermines both teaching and learning. Teachers are left to devise materials independently, often encountering challenges in ensuring cultural relevance and student engagement. Students, in turn, risk encountering abstract discussions of gender concepts without sufficient anchoring in their social and </w:t>
      </w:r>
      <w:r w:rsidRPr="00093250">
        <w:rPr>
          <w:rFonts w:ascii="Arial" w:hAnsi="Arial" w:cs="Arial"/>
        </w:rPr>
        <w:lastRenderedPageBreak/>
        <w:t>cultural contexts. This study therefore sought to answer the following research questions: (1) What topics in Gender and Society can be effectively contextualized? (2) What strategies do teachers employ in contextualizing lessons? (3) What challenges do teachers face in this process? (4) What form of contextualized learning material can be developed? and (5) How valid is the developed workbook in terms of adequacy, coherence, appropriateness, usefulness, and contextualization?</w:t>
      </w:r>
    </w:p>
    <w:p w14:paraId="3EC1B6E7" w14:textId="1A99C0FC" w:rsidR="00093250" w:rsidRPr="00093250" w:rsidRDefault="00093250" w:rsidP="00093250">
      <w:pPr>
        <w:pStyle w:val="Body"/>
        <w:rPr>
          <w:rFonts w:ascii="Arial" w:hAnsi="Arial" w:cs="Arial"/>
        </w:rPr>
      </w:pPr>
      <w:r w:rsidRPr="00093250">
        <w:rPr>
          <w:rFonts w:ascii="Arial" w:hAnsi="Arial" w:cs="Arial"/>
        </w:rPr>
        <w:t>The significance of addressing these questions extends across multiple stakeholders. For students, a contextualized workbook provides meaningful and relevant learning experiences, enabling them to better understand, internalize, and apply course concepts. For teachers, the workbook serves as a practical and validated tool that enhances instructional delivery, reduces preparation burdens, and encourages the use of diverse contextualization strategies. For administrators, the study underscores the need to support faculty through professional development initiatives and resource provision, thereby ensuring consistent and high-quality course delivery. For policymakers and curriculum planners, the findings offer insights for future refinements of CHED’s GEC framework and for integrating contextualized resources into broader educational strategies. Lastly, the study enriches the growing body of literature on contextualized instruction in the Philippines, offering a pioneering contribution to elective GE courses that remain underexplored (</w:t>
      </w:r>
      <w:proofErr w:type="spellStart"/>
      <w:r w:rsidRPr="00093250">
        <w:rPr>
          <w:rFonts w:ascii="Arial" w:hAnsi="Arial" w:cs="Arial"/>
        </w:rPr>
        <w:t>Rogayan</w:t>
      </w:r>
      <w:proofErr w:type="spellEnd"/>
      <w:r w:rsidRPr="00093250">
        <w:rPr>
          <w:rFonts w:ascii="Arial" w:hAnsi="Arial" w:cs="Arial"/>
        </w:rPr>
        <w:t xml:space="preserve"> &amp; </w:t>
      </w:r>
      <w:proofErr w:type="spellStart"/>
      <w:r w:rsidRPr="00093250">
        <w:rPr>
          <w:rFonts w:ascii="Arial" w:hAnsi="Arial" w:cs="Arial"/>
        </w:rPr>
        <w:t>Dollete</w:t>
      </w:r>
      <w:proofErr w:type="spellEnd"/>
      <w:r w:rsidRPr="00093250">
        <w:rPr>
          <w:rFonts w:ascii="Arial" w:hAnsi="Arial" w:cs="Arial"/>
        </w:rPr>
        <w:t xml:space="preserve">, 2019; </w:t>
      </w:r>
      <w:proofErr w:type="spellStart"/>
      <w:r w:rsidRPr="00093250">
        <w:rPr>
          <w:rFonts w:ascii="Arial" w:hAnsi="Arial" w:cs="Arial"/>
        </w:rPr>
        <w:t>Maravilla</w:t>
      </w:r>
      <w:proofErr w:type="spellEnd"/>
      <w:r w:rsidRPr="00093250">
        <w:rPr>
          <w:rFonts w:ascii="Arial" w:hAnsi="Arial" w:cs="Arial"/>
        </w:rPr>
        <w:t xml:space="preserve"> &amp; </w:t>
      </w:r>
      <w:proofErr w:type="spellStart"/>
      <w:r w:rsidRPr="00093250">
        <w:rPr>
          <w:rFonts w:ascii="Arial" w:hAnsi="Arial" w:cs="Arial"/>
        </w:rPr>
        <w:t>Aliazas</w:t>
      </w:r>
      <w:proofErr w:type="spellEnd"/>
      <w:r w:rsidRPr="00093250">
        <w:rPr>
          <w:rFonts w:ascii="Arial" w:hAnsi="Arial" w:cs="Arial"/>
        </w:rPr>
        <w:t>, 2024).</w:t>
      </w:r>
    </w:p>
    <w:p w14:paraId="22F9A8B9" w14:textId="77777777" w:rsidR="00093250" w:rsidRDefault="00093250" w:rsidP="00093250">
      <w:pPr>
        <w:pStyle w:val="Body"/>
        <w:rPr>
          <w:rFonts w:ascii="Arial" w:hAnsi="Arial" w:cs="Arial"/>
        </w:rPr>
      </w:pPr>
      <w:r w:rsidRPr="00093250">
        <w:rPr>
          <w:rFonts w:ascii="Arial" w:hAnsi="Arial" w:cs="Arial"/>
        </w:rPr>
        <w:t xml:space="preserve">The scope of the study was delimited to three HEIs in </w:t>
      </w:r>
      <w:proofErr w:type="spellStart"/>
      <w:r w:rsidRPr="00093250">
        <w:rPr>
          <w:rFonts w:ascii="Arial" w:hAnsi="Arial" w:cs="Arial"/>
        </w:rPr>
        <w:t>Ilocos</w:t>
      </w:r>
      <w:proofErr w:type="spellEnd"/>
      <w:r w:rsidRPr="00093250">
        <w:rPr>
          <w:rFonts w:ascii="Arial" w:hAnsi="Arial" w:cs="Arial"/>
        </w:rPr>
        <w:t xml:space="preserve"> Sur, with participants including six instructors of Gender and Society and seven validators (six social science experts and one visual graphics technical expert). The study focused on identifying common topics across institutional syllabi, examining teachers’ contextualization strategies, and exploring challenges encountered in classroom practice. The contextualized workbook was subsequently developed and validated using a descriptive design and purposive sampling methods</w:t>
      </w:r>
    </w:p>
    <w:p w14:paraId="49593FEF" w14:textId="75643B14" w:rsidR="00093250" w:rsidRPr="00093250" w:rsidRDefault="00093250" w:rsidP="00093250">
      <w:pPr>
        <w:pStyle w:val="Body"/>
        <w:rPr>
          <w:rFonts w:ascii="Arial" w:hAnsi="Arial" w:cs="Arial"/>
        </w:rPr>
      </w:pPr>
      <w:r w:rsidRPr="00093250">
        <w:rPr>
          <w:rFonts w:ascii="Arial" w:hAnsi="Arial" w:cs="Arial"/>
        </w:rPr>
        <w:t xml:space="preserve">While the findings offer valuable insights, they are </w:t>
      </w:r>
      <w:r w:rsidR="00AF7AE1" w:rsidRPr="00093250">
        <w:rPr>
          <w:rFonts w:ascii="Arial" w:hAnsi="Arial" w:cs="Arial"/>
        </w:rPr>
        <w:t>bound</w:t>
      </w:r>
      <w:r w:rsidRPr="00093250">
        <w:rPr>
          <w:rFonts w:ascii="Arial" w:hAnsi="Arial" w:cs="Arial"/>
        </w:rPr>
        <w:t xml:space="preserve"> by the geographical and institutional contexts of </w:t>
      </w:r>
      <w:proofErr w:type="spellStart"/>
      <w:r w:rsidRPr="00093250">
        <w:rPr>
          <w:rFonts w:ascii="Arial" w:hAnsi="Arial" w:cs="Arial"/>
        </w:rPr>
        <w:t>Ilocos</w:t>
      </w:r>
      <w:proofErr w:type="spellEnd"/>
      <w:r w:rsidRPr="00093250">
        <w:rPr>
          <w:rFonts w:ascii="Arial" w:hAnsi="Arial" w:cs="Arial"/>
        </w:rPr>
        <w:t xml:space="preserve"> Sur, and thus generalizations should be made cautiously. Nevertheless, the methodology ensures that the developed workbook is both relevant to local contexts and informed by the expertise of practitioners and scholars.</w:t>
      </w:r>
    </w:p>
    <w:p w14:paraId="32D32B57" w14:textId="3BFA1414" w:rsidR="00093250" w:rsidRPr="00093250" w:rsidRDefault="00093250" w:rsidP="00093250">
      <w:pPr>
        <w:pStyle w:val="Body"/>
        <w:rPr>
          <w:rFonts w:ascii="Arial" w:hAnsi="Arial" w:cs="Arial"/>
        </w:rPr>
      </w:pPr>
      <w:r w:rsidRPr="00093250">
        <w:rPr>
          <w:rFonts w:ascii="Arial" w:hAnsi="Arial" w:cs="Arial"/>
        </w:rPr>
        <w:t>In sum, the persistent shortage of contextualized instructional resources for Gender and Society highlights a pressing need for innovation in educational material development. By addressing this gap, the present study aligns with national goals of enhancing educational quality, equity, and relevance. It also contributes to pedagogical scholarship by demonstrating how contextualization can be operationalized within tertiary social science electives.</w:t>
      </w:r>
    </w:p>
    <w:p w14:paraId="6512AF91" w14:textId="17A25AE8" w:rsidR="0026539E" w:rsidRPr="0026539E" w:rsidRDefault="0026539E" w:rsidP="0026539E">
      <w:pPr>
        <w:pStyle w:val="Body"/>
        <w:rPr>
          <w:rFonts w:ascii="Arial" w:hAnsi="Arial" w:cs="Arial"/>
        </w:rPr>
      </w:pPr>
      <w:r w:rsidRPr="0026539E">
        <w:rPr>
          <w:rFonts w:ascii="Arial" w:hAnsi="Arial" w:cs="Arial"/>
        </w:rPr>
        <w:t>This study was conducted to develop and validate a contextualized workbook for the Gender and Society course in Philippine higher education. Specifically, it:</w:t>
      </w:r>
    </w:p>
    <w:p w14:paraId="16DE1E07" w14:textId="41ADEEF7" w:rsidR="0026539E" w:rsidRDefault="0026539E" w:rsidP="0026539E">
      <w:pPr>
        <w:pStyle w:val="Body"/>
        <w:numPr>
          <w:ilvl w:val="0"/>
          <w:numId w:val="32"/>
        </w:numPr>
        <w:spacing w:after="0"/>
        <w:rPr>
          <w:rFonts w:ascii="Arial" w:hAnsi="Arial" w:cs="Arial"/>
        </w:rPr>
      </w:pPr>
      <w:r w:rsidRPr="0026539E">
        <w:rPr>
          <w:rFonts w:ascii="Arial" w:hAnsi="Arial" w:cs="Arial"/>
        </w:rPr>
        <w:t xml:space="preserve">Identified the common topics in Gender and Society that could be contextualized across higher education institutions in </w:t>
      </w:r>
      <w:proofErr w:type="spellStart"/>
      <w:r w:rsidRPr="0026539E">
        <w:rPr>
          <w:rFonts w:ascii="Arial" w:hAnsi="Arial" w:cs="Arial"/>
        </w:rPr>
        <w:t>Ilocos</w:t>
      </w:r>
      <w:proofErr w:type="spellEnd"/>
      <w:r w:rsidRPr="0026539E">
        <w:rPr>
          <w:rFonts w:ascii="Arial" w:hAnsi="Arial" w:cs="Arial"/>
        </w:rPr>
        <w:t xml:space="preserve"> Sur</w:t>
      </w:r>
      <w:r>
        <w:rPr>
          <w:rFonts w:ascii="Arial" w:hAnsi="Arial" w:cs="Arial"/>
        </w:rPr>
        <w:t>;</w:t>
      </w:r>
    </w:p>
    <w:p w14:paraId="14DA70C9" w14:textId="642338B5" w:rsidR="0026539E" w:rsidRDefault="0026539E" w:rsidP="0026539E">
      <w:pPr>
        <w:pStyle w:val="Body"/>
        <w:numPr>
          <w:ilvl w:val="0"/>
          <w:numId w:val="32"/>
        </w:numPr>
        <w:spacing w:after="0"/>
        <w:rPr>
          <w:rFonts w:ascii="Arial" w:hAnsi="Arial" w:cs="Arial"/>
        </w:rPr>
      </w:pPr>
      <w:r>
        <w:rPr>
          <w:rFonts w:ascii="Arial" w:hAnsi="Arial" w:cs="Arial"/>
        </w:rPr>
        <w:t>E</w:t>
      </w:r>
      <w:r w:rsidRPr="0026539E">
        <w:rPr>
          <w:rFonts w:ascii="Arial" w:hAnsi="Arial" w:cs="Arial"/>
        </w:rPr>
        <w:t>xamined the strategies employed by teachers in contextualizing lessons in Gender and Society</w:t>
      </w:r>
      <w:r>
        <w:rPr>
          <w:rFonts w:ascii="Arial" w:hAnsi="Arial" w:cs="Arial"/>
        </w:rPr>
        <w:t>;</w:t>
      </w:r>
    </w:p>
    <w:p w14:paraId="1858BD8B" w14:textId="77777777" w:rsidR="0026539E" w:rsidRDefault="0026539E" w:rsidP="0026539E">
      <w:pPr>
        <w:pStyle w:val="Body"/>
        <w:numPr>
          <w:ilvl w:val="0"/>
          <w:numId w:val="32"/>
        </w:numPr>
        <w:spacing w:after="0"/>
        <w:rPr>
          <w:rFonts w:ascii="Arial" w:hAnsi="Arial" w:cs="Arial"/>
        </w:rPr>
      </w:pPr>
      <w:r w:rsidRPr="0026539E">
        <w:rPr>
          <w:rFonts w:ascii="Arial" w:hAnsi="Arial" w:cs="Arial"/>
        </w:rPr>
        <w:t>Determined the challenges encountered by teachers in contextualizing lessons in Gender and Society</w:t>
      </w:r>
      <w:r>
        <w:rPr>
          <w:rFonts w:ascii="Arial" w:hAnsi="Arial" w:cs="Arial"/>
        </w:rPr>
        <w:t>;</w:t>
      </w:r>
    </w:p>
    <w:p w14:paraId="1EEA3A8B" w14:textId="060F32C2" w:rsidR="0026539E" w:rsidRDefault="0026539E" w:rsidP="0026539E">
      <w:pPr>
        <w:pStyle w:val="Body"/>
        <w:numPr>
          <w:ilvl w:val="0"/>
          <w:numId w:val="32"/>
        </w:numPr>
        <w:spacing w:after="0"/>
        <w:rPr>
          <w:rFonts w:ascii="Arial" w:hAnsi="Arial" w:cs="Arial"/>
        </w:rPr>
      </w:pPr>
      <w:r w:rsidRPr="0026539E">
        <w:rPr>
          <w:rFonts w:ascii="Arial" w:hAnsi="Arial" w:cs="Arial"/>
        </w:rPr>
        <w:t>Designed and developed a contextualized workbook that served as a supplementary instructional material in teaching Gender and Society</w:t>
      </w:r>
      <w:r>
        <w:rPr>
          <w:rFonts w:ascii="Arial" w:hAnsi="Arial" w:cs="Arial"/>
        </w:rPr>
        <w:t>; and</w:t>
      </w:r>
    </w:p>
    <w:p w14:paraId="6AECFE81" w14:textId="3E9E23AB" w:rsidR="0026539E" w:rsidRPr="0026539E" w:rsidRDefault="0026539E" w:rsidP="0026539E">
      <w:pPr>
        <w:pStyle w:val="Body"/>
        <w:numPr>
          <w:ilvl w:val="0"/>
          <w:numId w:val="32"/>
        </w:numPr>
        <w:spacing w:after="0"/>
        <w:rPr>
          <w:rFonts w:ascii="Arial" w:hAnsi="Arial" w:cs="Arial"/>
        </w:rPr>
      </w:pPr>
      <w:r w:rsidRPr="0026539E">
        <w:rPr>
          <w:rFonts w:ascii="Arial" w:hAnsi="Arial" w:cs="Arial"/>
        </w:rPr>
        <w:t>Assessed the validity of the developed contextualized workbook in terms of:</w:t>
      </w:r>
    </w:p>
    <w:p w14:paraId="2E556E7C" w14:textId="0C4D9F3F" w:rsidR="0026539E" w:rsidRDefault="0026539E" w:rsidP="0026539E">
      <w:pPr>
        <w:pStyle w:val="Body"/>
        <w:numPr>
          <w:ilvl w:val="1"/>
          <w:numId w:val="32"/>
        </w:numPr>
        <w:spacing w:after="0"/>
        <w:rPr>
          <w:rFonts w:ascii="Arial" w:hAnsi="Arial" w:cs="Arial"/>
        </w:rPr>
      </w:pPr>
      <w:r w:rsidRPr="0026539E">
        <w:rPr>
          <w:rFonts w:ascii="Arial" w:hAnsi="Arial" w:cs="Arial"/>
        </w:rPr>
        <w:lastRenderedPageBreak/>
        <w:t>adequacy,</w:t>
      </w:r>
    </w:p>
    <w:p w14:paraId="3D5B63ED" w14:textId="77777777" w:rsidR="0026539E" w:rsidRDefault="0026539E" w:rsidP="0026539E">
      <w:pPr>
        <w:pStyle w:val="Body"/>
        <w:numPr>
          <w:ilvl w:val="1"/>
          <w:numId w:val="32"/>
        </w:numPr>
        <w:spacing w:after="0"/>
        <w:rPr>
          <w:rFonts w:ascii="Arial" w:hAnsi="Arial" w:cs="Arial"/>
        </w:rPr>
      </w:pPr>
      <w:r w:rsidRPr="0026539E">
        <w:rPr>
          <w:rFonts w:ascii="Arial" w:hAnsi="Arial" w:cs="Arial"/>
        </w:rPr>
        <w:t>coherence,</w:t>
      </w:r>
    </w:p>
    <w:p w14:paraId="7970D11B" w14:textId="77777777" w:rsidR="0026539E" w:rsidRDefault="0026539E" w:rsidP="0026539E">
      <w:pPr>
        <w:pStyle w:val="Body"/>
        <w:numPr>
          <w:ilvl w:val="1"/>
          <w:numId w:val="32"/>
        </w:numPr>
        <w:spacing w:after="0"/>
        <w:rPr>
          <w:rFonts w:ascii="Arial" w:hAnsi="Arial" w:cs="Arial"/>
        </w:rPr>
      </w:pPr>
      <w:r w:rsidRPr="0026539E">
        <w:rPr>
          <w:rFonts w:ascii="Arial" w:hAnsi="Arial" w:cs="Arial"/>
        </w:rPr>
        <w:t>appropriateness,</w:t>
      </w:r>
    </w:p>
    <w:p w14:paraId="2D652B03" w14:textId="77777777" w:rsidR="0026539E" w:rsidRDefault="0026539E" w:rsidP="0026539E">
      <w:pPr>
        <w:pStyle w:val="Body"/>
        <w:numPr>
          <w:ilvl w:val="1"/>
          <w:numId w:val="32"/>
        </w:numPr>
        <w:spacing w:after="0"/>
        <w:rPr>
          <w:rFonts w:ascii="Arial" w:hAnsi="Arial" w:cs="Arial"/>
        </w:rPr>
      </w:pPr>
      <w:r w:rsidRPr="0026539E">
        <w:rPr>
          <w:rFonts w:ascii="Arial" w:hAnsi="Arial" w:cs="Arial"/>
        </w:rPr>
        <w:t>usefulness, and</w:t>
      </w:r>
    </w:p>
    <w:p w14:paraId="102AC975" w14:textId="03068D3E" w:rsidR="00790ADA" w:rsidRDefault="0026539E" w:rsidP="0026539E">
      <w:pPr>
        <w:pStyle w:val="Body"/>
        <w:numPr>
          <w:ilvl w:val="1"/>
          <w:numId w:val="32"/>
        </w:numPr>
        <w:spacing w:after="0"/>
        <w:rPr>
          <w:rFonts w:ascii="Arial" w:hAnsi="Arial" w:cs="Arial"/>
        </w:rPr>
      </w:pPr>
      <w:r w:rsidRPr="0026539E">
        <w:rPr>
          <w:rFonts w:ascii="Arial" w:hAnsi="Arial" w:cs="Arial"/>
        </w:rPr>
        <w:t>contextualization.</w:t>
      </w:r>
    </w:p>
    <w:p w14:paraId="13518D5A" w14:textId="77777777" w:rsidR="0026539E" w:rsidRPr="0026539E" w:rsidRDefault="0026539E" w:rsidP="0026539E">
      <w:pPr>
        <w:pStyle w:val="Body"/>
        <w:spacing w:after="0"/>
        <w:ind w:left="1350"/>
        <w:rPr>
          <w:rFonts w:ascii="Arial" w:hAnsi="Arial" w:cs="Arial"/>
        </w:rPr>
      </w:pPr>
    </w:p>
    <w:p w14:paraId="13886BF5" w14:textId="6845C5F0" w:rsidR="00AB2C47"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22367B3" w14:textId="77777777" w:rsidR="00AB2C47" w:rsidRDefault="00AB2C47" w:rsidP="00441B6F">
      <w:pPr>
        <w:pStyle w:val="Body"/>
        <w:spacing w:after="0"/>
        <w:rPr>
          <w:rFonts w:ascii="Arial" w:hAnsi="Arial" w:cs="Arial"/>
        </w:rPr>
      </w:pPr>
    </w:p>
    <w:p w14:paraId="5AEA0F59" w14:textId="5541548E"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2.1 Research Design</w:t>
      </w:r>
    </w:p>
    <w:p w14:paraId="3A837322" w14:textId="72B5BCCF" w:rsidR="00AB2C47" w:rsidRPr="00AB2C47" w:rsidRDefault="00AB2C47" w:rsidP="00AB2C47">
      <w:pPr>
        <w:pStyle w:val="Body"/>
        <w:rPr>
          <w:rFonts w:ascii="Arial" w:hAnsi="Arial" w:cs="Arial"/>
        </w:rPr>
      </w:pPr>
      <w:r w:rsidRPr="00AB2C47">
        <w:rPr>
          <w:rFonts w:ascii="Arial" w:hAnsi="Arial" w:cs="Arial"/>
        </w:rPr>
        <w:t>This study employed a descriptive developmental research design, which was deemed appropriate because it sought to describe prevailing practices while simultaneously producing an instructional material. The research progressed through three stages: planning, development, and validation. The planning phase focused on identifying common topics in the Gender and Society course and exploring teachers’ contextualization strategies and challenges. The development phase involved designing the contextualized workbook based on the findings. The final phase centered on validating the workbook with expert evaluators to ensure its adequacy, coherence, appropriateness, usefulness, and contextualization.</w:t>
      </w:r>
    </w:p>
    <w:p w14:paraId="65A412D5" w14:textId="485A47F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2.2 Locale of the Study</w:t>
      </w:r>
    </w:p>
    <w:p w14:paraId="7E8A53CD" w14:textId="3FB5862E" w:rsidR="00AB2C47" w:rsidRPr="00AB2C47" w:rsidRDefault="00AB2C47" w:rsidP="00AB2C47">
      <w:pPr>
        <w:pStyle w:val="Body"/>
        <w:rPr>
          <w:rFonts w:ascii="Arial" w:hAnsi="Arial" w:cs="Arial"/>
        </w:rPr>
      </w:pPr>
      <w:r w:rsidRPr="00AB2C47">
        <w:rPr>
          <w:rFonts w:ascii="Arial" w:hAnsi="Arial" w:cs="Arial"/>
        </w:rPr>
        <w:t xml:space="preserve">The study was conducted in three </w:t>
      </w:r>
      <w:r>
        <w:rPr>
          <w:rFonts w:ascii="Arial" w:hAnsi="Arial" w:cs="Arial"/>
        </w:rPr>
        <w:t>H</w:t>
      </w:r>
      <w:r w:rsidRPr="00AB2C47">
        <w:rPr>
          <w:rFonts w:ascii="Arial" w:hAnsi="Arial" w:cs="Arial"/>
        </w:rPr>
        <w:t xml:space="preserve">igher </w:t>
      </w:r>
      <w:r>
        <w:rPr>
          <w:rFonts w:ascii="Arial" w:hAnsi="Arial" w:cs="Arial"/>
        </w:rPr>
        <w:t>E</w:t>
      </w:r>
      <w:r w:rsidRPr="00AB2C47">
        <w:rPr>
          <w:rFonts w:ascii="Arial" w:hAnsi="Arial" w:cs="Arial"/>
        </w:rPr>
        <w:t xml:space="preserve">ducation </w:t>
      </w:r>
      <w:r>
        <w:rPr>
          <w:rFonts w:ascii="Arial" w:hAnsi="Arial" w:cs="Arial"/>
        </w:rPr>
        <w:t>I</w:t>
      </w:r>
      <w:r w:rsidRPr="00AB2C47">
        <w:rPr>
          <w:rFonts w:ascii="Arial" w:hAnsi="Arial" w:cs="Arial"/>
        </w:rPr>
        <w:t xml:space="preserve">nstitutions (HEIs) located in </w:t>
      </w:r>
      <w:proofErr w:type="spellStart"/>
      <w:r w:rsidRPr="00AB2C47">
        <w:rPr>
          <w:rFonts w:ascii="Arial" w:hAnsi="Arial" w:cs="Arial"/>
        </w:rPr>
        <w:t>Ilocos</w:t>
      </w:r>
      <w:proofErr w:type="spellEnd"/>
      <w:r w:rsidRPr="00AB2C47">
        <w:rPr>
          <w:rFonts w:ascii="Arial" w:hAnsi="Arial" w:cs="Arial"/>
        </w:rPr>
        <w:t xml:space="preserve"> Sur, Philippines. Two institutions were situated in the province’s first district, while the third was located in the second district. All three institutions offered Gender and Society as an elective under the General Education Curriculum, although they used different syllabi. Importantly, none of these institutions had an existing contextualized workbook for the course, making them suitable sites for the study.</w:t>
      </w:r>
    </w:p>
    <w:p w14:paraId="605CE905" w14:textId="30FDD87F"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2.3 Population and Sampling Procedure</w:t>
      </w:r>
    </w:p>
    <w:p w14:paraId="1022B266" w14:textId="3C0B75FA" w:rsidR="00AB2C47" w:rsidRPr="00AB2C47" w:rsidRDefault="00AB2C47" w:rsidP="00AB2C47">
      <w:pPr>
        <w:pStyle w:val="Body"/>
        <w:rPr>
          <w:rFonts w:ascii="Arial" w:hAnsi="Arial" w:cs="Arial"/>
        </w:rPr>
      </w:pPr>
      <w:r w:rsidRPr="00AB2C47">
        <w:rPr>
          <w:rFonts w:ascii="Arial" w:hAnsi="Arial" w:cs="Arial"/>
        </w:rPr>
        <w:t>Purposive sampling was employed to identify participants. Two groups of respondents were involved. The first group consisted of six teachers handling the Gender and Society course during the second semester of academic year 2023–2024. Selection was based on two criteria: (1) current teaching assignment in Gender and Society and (2) willingness to participate. The second group comprised seven validators, including six social science experts and one visual graphics technical expert. The social science experts were selected on the basis of their teaching experience (minimum of ten years) and prior involvement in developing instructional materials. The technical expert was chosen for his expertise in visual graphics and experience in module evaluation.</w:t>
      </w:r>
    </w:p>
    <w:p w14:paraId="338393C2" w14:textId="71CF3D4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2.4 Research Instruments</w:t>
      </w:r>
    </w:p>
    <w:p w14:paraId="74C10123" w14:textId="53EF1DCB" w:rsidR="00AB2C47" w:rsidRPr="00AB2C47" w:rsidRDefault="00AB2C47" w:rsidP="00AB2C47">
      <w:pPr>
        <w:pStyle w:val="Body"/>
        <w:rPr>
          <w:rFonts w:ascii="Arial" w:hAnsi="Arial" w:cs="Arial"/>
        </w:rPr>
      </w:pPr>
      <w:r w:rsidRPr="00AB2C47">
        <w:rPr>
          <w:rFonts w:ascii="Arial" w:hAnsi="Arial" w:cs="Arial"/>
        </w:rPr>
        <w:t xml:space="preserve">Three research instruments were utilized. First, a researcher-made survey checklist was used to identify common topics in Gender and Society across the participating HEIs. Only topics cited by at least two institutions were considered for inclusion in the workbook. Second, an interview guide—adapted from Benedito et al. (2023)—was employed to gather data on teachers’ contextualization strategies and challenges, with modifications made to suit the present context. Third, a validation rating scale was adapted from </w:t>
      </w:r>
      <w:proofErr w:type="spellStart"/>
      <w:r w:rsidRPr="00AB2C47">
        <w:rPr>
          <w:rFonts w:ascii="Arial" w:hAnsi="Arial" w:cs="Arial"/>
        </w:rPr>
        <w:t>Rogayan</w:t>
      </w:r>
      <w:proofErr w:type="spellEnd"/>
      <w:r w:rsidRPr="00AB2C47">
        <w:rPr>
          <w:rFonts w:ascii="Arial" w:hAnsi="Arial" w:cs="Arial"/>
        </w:rPr>
        <w:t xml:space="preserve"> and </w:t>
      </w:r>
      <w:proofErr w:type="spellStart"/>
      <w:r w:rsidRPr="00AB2C47">
        <w:rPr>
          <w:rFonts w:ascii="Arial" w:hAnsi="Arial" w:cs="Arial"/>
        </w:rPr>
        <w:t>Dollete</w:t>
      </w:r>
      <w:proofErr w:type="spellEnd"/>
      <w:r w:rsidRPr="00AB2C47">
        <w:rPr>
          <w:rFonts w:ascii="Arial" w:hAnsi="Arial" w:cs="Arial"/>
        </w:rPr>
        <w:t xml:space="preserve"> (2019) and </w:t>
      </w:r>
      <w:proofErr w:type="spellStart"/>
      <w:r w:rsidRPr="00AB2C47">
        <w:rPr>
          <w:rFonts w:ascii="Arial" w:hAnsi="Arial" w:cs="Arial"/>
        </w:rPr>
        <w:t>Maravilla</w:t>
      </w:r>
      <w:proofErr w:type="spellEnd"/>
      <w:r w:rsidRPr="00AB2C47">
        <w:rPr>
          <w:rFonts w:ascii="Arial" w:hAnsi="Arial" w:cs="Arial"/>
        </w:rPr>
        <w:t xml:space="preserve"> and </w:t>
      </w:r>
      <w:proofErr w:type="spellStart"/>
      <w:r w:rsidRPr="00AB2C47">
        <w:rPr>
          <w:rFonts w:ascii="Arial" w:hAnsi="Arial" w:cs="Arial"/>
        </w:rPr>
        <w:t>Aliazas</w:t>
      </w:r>
      <w:proofErr w:type="spellEnd"/>
      <w:r w:rsidRPr="00AB2C47">
        <w:rPr>
          <w:rFonts w:ascii="Arial" w:hAnsi="Arial" w:cs="Arial"/>
        </w:rPr>
        <w:t xml:space="preserve"> (2024). This Likert-type instrument measured five criteria: adequacy, coherence, appropriateness, usefulness, and contextualization. All tools were validated by the advisory committee prior to use.</w:t>
      </w:r>
    </w:p>
    <w:p w14:paraId="0F50EC6D" w14:textId="68335EB4"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lastRenderedPageBreak/>
        <w:t>2.5 Data Gathering Procedure</w:t>
      </w:r>
    </w:p>
    <w:p w14:paraId="2007356D" w14:textId="6E3673F2" w:rsidR="00AB2C47" w:rsidRPr="00AB2C47" w:rsidRDefault="00AB2C47" w:rsidP="00AB2C47">
      <w:pPr>
        <w:pStyle w:val="Body"/>
        <w:rPr>
          <w:rFonts w:ascii="Arial" w:hAnsi="Arial" w:cs="Arial"/>
        </w:rPr>
      </w:pPr>
      <w:r w:rsidRPr="00AB2C47">
        <w:rPr>
          <w:rFonts w:ascii="Arial" w:hAnsi="Arial" w:cs="Arial"/>
        </w:rPr>
        <w:t>Prior to data collection, the researcher obtained clearance from the University Research Ethics Review Board (URERB). Formal letters were sent to the presidents of the participating HEIs requesting permission to conduct the study. Upon approval, respondents were briefed about the objectives and procedures of the research and provided with informed consent forms. Copies of institutional syllabi for Gender and Society were initially collected, after which interviews with teachers were conducted to determine their strategies and challenges in contextualizing lessons. The data gathered informed the creation of the workbook, which was then subjected to validation by the identified experts. The validated workbook was enhanced based on the evaluators’ recommendations.</w:t>
      </w:r>
    </w:p>
    <w:p w14:paraId="487358CA" w14:textId="3757708C"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2.6 Data Analysis</w:t>
      </w:r>
    </w:p>
    <w:p w14:paraId="3CA77A10" w14:textId="77777777" w:rsidR="00AB2C47" w:rsidRDefault="00AB2C47" w:rsidP="00AB2C47">
      <w:pPr>
        <w:pStyle w:val="Body"/>
        <w:rPr>
          <w:rFonts w:ascii="Arial" w:hAnsi="Arial" w:cs="Arial"/>
        </w:rPr>
      </w:pPr>
      <w:r w:rsidRPr="00AB2C47">
        <w:rPr>
          <w:rFonts w:ascii="Arial" w:hAnsi="Arial" w:cs="Arial"/>
        </w:rPr>
        <w:t>The study utilized both quantitative and qualitative techniques. Frequency counts were used to identify common topics in Gender and Society across syllabi. Interview data were transcribed and analyzed thematically using Braun and Clarke’s (2006) six-phase framework, which included familiarization, coding, theme generation, review, definition, and reporting. To determine workbook validity, composite and overall means were computed. The criteria were interpreted using the following ranges: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096"/>
      </w:tblGrid>
      <w:tr w:rsidR="00AB2C47" w:rsidRPr="00AB2C47" w14:paraId="1A6222C3" w14:textId="77777777" w:rsidTr="00AB2C47">
        <w:trPr>
          <w:trHeight w:val="296"/>
        </w:trPr>
        <w:tc>
          <w:tcPr>
            <w:tcW w:w="2664" w:type="dxa"/>
            <w:tcBorders>
              <w:top w:val="single" w:sz="4" w:space="0" w:color="auto"/>
              <w:bottom w:val="single" w:sz="4" w:space="0" w:color="auto"/>
            </w:tcBorders>
            <w:vAlign w:val="center"/>
          </w:tcPr>
          <w:p w14:paraId="14C3AA35" w14:textId="44992D7B"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Range of Means</w:t>
            </w:r>
          </w:p>
        </w:tc>
        <w:tc>
          <w:tcPr>
            <w:tcW w:w="3096" w:type="dxa"/>
            <w:tcBorders>
              <w:top w:val="single" w:sz="4" w:space="0" w:color="auto"/>
              <w:bottom w:val="single" w:sz="4" w:space="0" w:color="auto"/>
            </w:tcBorders>
            <w:vAlign w:val="center"/>
          </w:tcPr>
          <w:p w14:paraId="31656861" w14:textId="4372A8A4"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Descriptive Interpretation</w:t>
            </w:r>
          </w:p>
        </w:tc>
      </w:tr>
      <w:tr w:rsidR="00AB2C47" w:rsidRPr="00AB2C47" w14:paraId="0F24EC7D" w14:textId="77777777" w:rsidTr="00AB2C47">
        <w:tc>
          <w:tcPr>
            <w:tcW w:w="2664" w:type="dxa"/>
            <w:tcBorders>
              <w:top w:val="single" w:sz="4" w:space="0" w:color="auto"/>
            </w:tcBorders>
          </w:tcPr>
          <w:p w14:paraId="41DC5E4B" w14:textId="66743DAC"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3.41-4.00 </w:t>
            </w:r>
          </w:p>
        </w:tc>
        <w:tc>
          <w:tcPr>
            <w:tcW w:w="3096" w:type="dxa"/>
            <w:tcBorders>
              <w:top w:val="single" w:sz="4" w:space="0" w:color="auto"/>
            </w:tcBorders>
          </w:tcPr>
          <w:p w14:paraId="3E1A39B7" w14:textId="78A5FB93"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Highly Valid (HV) </w:t>
            </w:r>
          </w:p>
        </w:tc>
      </w:tr>
      <w:tr w:rsidR="00AB2C47" w:rsidRPr="00AB2C47" w14:paraId="75CE2C0D" w14:textId="77777777" w:rsidTr="00AB2C47">
        <w:tc>
          <w:tcPr>
            <w:tcW w:w="2664" w:type="dxa"/>
          </w:tcPr>
          <w:p w14:paraId="16912412" w14:textId="3630C7DB"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2.61–3.40</w:t>
            </w:r>
          </w:p>
        </w:tc>
        <w:tc>
          <w:tcPr>
            <w:tcW w:w="3096" w:type="dxa"/>
          </w:tcPr>
          <w:p w14:paraId="592183E7" w14:textId="1E89BC1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Moderately Valid</w:t>
            </w:r>
          </w:p>
        </w:tc>
      </w:tr>
      <w:tr w:rsidR="00AB2C47" w:rsidRPr="00AB2C47" w14:paraId="6A32748A" w14:textId="77777777" w:rsidTr="00AB2C47">
        <w:tc>
          <w:tcPr>
            <w:tcW w:w="2664" w:type="dxa"/>
          </w:tcPr>
          <w:p w14:paraId="017CE796" w14:textId="223928A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1.81–2.60</w:t>
            </w:r>
          </w:p>
        </w:tc>
        <w:tc>
          <w:tcPr>
            <w:tcW w:w="3096" w:type="dxa"/>
          </w:tcPr>
          <w:p w14:paraId="2FCD1885" w14:textId="1DD22CB7"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r>
      <w:tr w:rsidR="00AB2C47" w:rsidRPr="00AB2C47" w14:paraId="7E465B1A" w14:textId="77777777" w:rsidTr="00AB2C47">
        <w:tc>
          <w:tcPr>
            <w:tcW w:w="2664" w:type="dxa"/>
            <w:tcBorders>
              <w:bottom w:val="single" w:sz="4" w:space="0" w:color="auto"/>
            </w:tcBorders>
          </w:tcPr>
          <w:p w14:paraId="2CADCFC0" w14:textId="62A6BF50"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c>
          <w:tcPr>
            <w:tcW w:w="3096" w:type="dxa"/>
            <w:tcBorders>
              <w:bottom w:val="single" w:sz="4" w:space="0" w:color="auto"/>
            </w:tcBorders>
          </w:tcPr>
          <w:p w14:paraId="2307D36A" w14:textId="6C3BEA36"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Needs Improvement</w:t>
            </w:r>
          </w:p>
        </w:tc>
      </w:tr>
    </w:tbl>
    <w:p w14:paraId="2D748A35" w14:textId="77777777" w:rsidR="00790ADA" w:rsidRPr="00FB3A86" w:rsidRDefault="00790ADA" w:rsidP="00441B6F">
      <w:pPr>
        <w:pStyle w:val="Body"/>
        <w:spacing w:after="0"/>
        <w:rPr>
          <w:rFonts w:ascii="Arial" w:hAnsi="Arial" w:cs="Arial"/>
        </w:rPr>
      </w:pPr>
    </w:p>
    <w:p w14:paraId="6AE6F1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0D941B" w14:textId="77777777" w:rsidR="00AB2C47" w:rsidRDefault="00AB2C47" w:rsidP="00441B6F">
      <w:pPr>
        <w:pStyle w:val="Body"/>
        <w:spacing w:after="0"/>
        <w:rPr>
          <w:rFonts w:ascii="Arial" w:hAnsi="Arial" w:cs="Arial"/>
        </w:rPr>
      </w:pPr>
    </w:p>
    <w:p w14:paraId="136B9A1F" w14:textId="2D925A92" w:rsidR="00AB2C47" w:rsidRPr="00AF7AE1" w:rsidRDefault="00281DF2" w:rsidP="00441B6F">
      <w:pPr>
        <w:pStyle w:val="Body"/>
        <w:spacing w:after="0"/>
        <w:rPr>
          <w:rFonts w:ascii="Arial" w:hAnsi="Arial" w:cs="Arial"/>
          <w:b/>
          <w:bCs/>
          <w:sz w:val="22"/>
          <w:szCs w:val="22"/>
        </w:rPr>
      </w:pPr>
      <w:r w:rsidRPr="00AF7AE1">
        <w:rPr>
          <w:rFonts w:ascii="Arial" w:hAnsi="Arial" w:cs="Arial"/>
          <w:b/>
          <w:bCs/>
          <w:sz w:val="22"/>
          <w:szCs w:val="22"/>
        </w:rPr>
        <w:t>3.1 Common Topics for Contextualization in Gender and Society</w:t>
      </w:r>
    </w:p>
    <w:p w14:paraId="23E55AE5" w14:textId="77777777" w:rsidR="00AB2C47" w:rsidRDefault="00AB2C47" w:rsidP="00441B6F">
      <w:pPr>
        <w:pStyle w:val="Body"/>
        <w:spacing w:after="0"/>
        <w:rPr>
          <w:rFonts w:ascii="Arial" w:hAnsi="Arial" w:cs="Arial"/>
        </w:rPr>
      </w:pPr>
    </w:p>
    <w:p w14:paraId="19B63EA6" w14:textId="1F230101" w:rsidR="00281DF2" w:rsidRPr="00281DF2" w:rsidRDefault="00281DF2" w:rsidP="00281DF2">
      <w:pPr>
        <w:pStyle w:val="Body"/>
        <w:rPr>
          <w:rFonts w:ascii="Arial" w:hAnsi="Arial" w:cs="Arial"/>
        </w:rPr>
      </w:pPr>
      <w:r w:rsidRPr="00281DF2">
        <w:rPr>
          <w:rFonts w:ascii="Arial" w:hAnsi="Arial" w:cs="Arial"/>
        </w:rPr>
        <w:t xml:space="preserve">This section presents the results of the survey conducted to identify common topics in the Gender and Society course that can be contextualized across higher education institutions (HEIs) in </w:t>
      </w:r>
      <w:proofErr w:type="spellStart"/>
      <w:r w:rsidRPr="00281DF2">
        <w:rPr>
          <w:rFonts w:ascii="Arial" w:hAnsi="Arial" w:cs="Arial"/>
        </w:rPr>
        <w:t>Ilocos</w:t>
      </w:r>
      <w:proofErr w:type="spellEnd"/>
      <w:r w:rsidRPr="00281DF2">
        <w:rPr>
          <w:rFonts w:ascii="Arial" w:hAnsi="Arial" w:cs="Arial"/>
        </w:rPr>
        <w:t xml:space="preserve"> Sur. The analysis revealed that, while institutions had developed their own syllabi for the subject, there were at least 21 topics that appeared with a frequency of two or more across syllabi</w:t>
      </w:r>
      <w:r>
        <w:rPr>
          <w:rFonts w:ascii="Arial" w:hAnsi="Arial" w:cs="Arial"/>
        </w:rPr>
        <w:t xml:space="preserve"> as presented in Table 1</w:t>
      </w:r>
      <w:r w:rsidRPr="00281DF2">
        <w:rPr>
          <w:rFonts w:ascii="Arial" w:hAnsi="Arial" w:cs="Arial"/>
        </w:rPr>
        <w:t>. These included foundational concepts such as the difference between sex and gender, stereotypes, prejudice, and discrimination, as well as applied issues like gender-based violence, reproductive health rights, labor, and media. Notably, some topics were present in all three institutions, while others were common only to two. This variation underscores both the shared priorities and the localized approaches in syllabus development.</w:t>
      </w:r>
    </w:p>
    <w:p w14:paraId="76AB4481" w14:textId="71860A23" w:rsidR="00281DF2" w:rsidRPr="00281DF2" w:rsidRDefault="00281DF2" w:rsidP="00281DF2">
      <w:pPr>
        <w:pStyle w:val="Body"/>
        <w:rPr>
          <w:rFonts w:ascii="Arial" w:hAnsi="Arial" w:cs="Arial"/>
          <w:b/>
          <w:bCs/>
        </w:rPr>
      </w:pPr>
      <w:r w:rsidRPr="00281DF2">
        <w:rPr>
          <w:rFonts w:ascii="Arial" w:hAnsi="Arial" w:cs="Arial"/>
          <w:b/>
          <w:bCs/>
        </w:rPr>
        <w:t>Table 1. Common topics in Gender and Society that can be contextualized.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476"/>
      </w:tblGrid>
      <w:tr w:rsidR="00281DF2" w:rsidRPr="00E31727" w14:paraId="04460AB3" w14:textId="77777777" w:rsidTr="00E31727">
        <w:trPr>
          <w:trHeight w:val="440"/>
          <w:tblHeader/>
        </w:trPr>
        <w:tc>
          <w:tcPr>
            <w:tcW w:w="6948" w:type="dxa"/>
            <w:tcBorders>
              <w:top w:val="single" w:sz="4" w:space="0" w:color="auto"/>
              <w:bottom w:val="single" w:sz="4" w:space="0" w:color="auto"/>
            </w:tcBorders>
            <w:vAlign w:val="center"/>
          </w:tcPr>
          <w:p w14:paraId="4FCB67DF" w14:textId="5DEDF5F0" w:rsidR="00281DF2" w:rsidRPr="00E31727" w:rsidRDefault="00281DF2" w:rsidP="00E31727">
            <w:pPr>
              <w:pStyle w:val="Body"/>
              <w:spacing w:after="0"/>
              <w:jc w:val="center"/>
              <w:rPr>
                <w:rFonts w:ascii="Arial" w:hAnsi="Arial" w:cs="Arial"/>
                <w:b/>
                <w:bCs/>
                <w:sz w:val="20"/>
                <w:szCs w:val="20"/>
              </w:rPr>
            </w:pPr>
            <w:r w:rsidRPr="00E31727">
              <w:rPr>
                <w:rFonts w:ascii="Arial" w:hAnsi="Arial" w:cs="Arial"/>
                <w:b/>
                <w:bCs/>
                <w:sz w:val="20"/>
                <w:szCs w:val="20"/>
              </w:rPr>
              <w:t>Topics in Gender and Society</w:t>
            </w:r>
          </w:p>
        </w:tc>
        <w:tc>
          <w:tcPr>
            <w:tcW w:w="1476" w:type="dxa"/>
            <w:tcBorders>
              <w:top w:val="single" w:sz="4" w:space="0" w:color="auto"/>
              <w:bottom w:val="single" w:sz="4" w:space="0" w:color="auto"/>
            </w:tcBorders>
            <w:vAlign w:val="center"/>
          </w:tcPr>
          <w:p w14:paraId="495CB2D9" w14:textId="0D00E044" w:rsidR="00281DF2" w:rsidRPr="00E31727" w:rsidRDefault="00281DF2" w:rsidP="00E31727">
            <w:pPr>
              <w:pStyle w:val="Body"/>
              <w:spacing w:after="0"/>
              <w:jc w:val="center"/>
              <w:rPr>
                <w:rFonts w:ascii="Arial" w:hAnsi="Arial" w:cs="Arial"/>
                <w:b/>
                <w:bCs/>
                <w:sz w:val="20"/>
                <w:szCs w:val="20"/>
              </w:rPr>
            </w:pPr>
            <w:r w:rsidRPr="00E31727">
              <w:rPr>
                <w:rFonts w:ascii="Arial" w:hAnsi="Arial" w:cs="Arial"/>
                <w:b/>
                <w:bCs/>
                <w:sz w:val="20"/>
                <w:szCs w:val="20"/>
              </w:rPr>
              <w:t xml:space="preserve">Frequency </w:t>
            </w:r>
            <w:r w:rsidRPr="00E31727">
              <w:rPr>
                <w:rFonts w:ascii="Arial" w:hAnsi="Arial" w:cs="Arial"/>
                <w:b/>
                <w:bCs/>
                <w:i/>
                <w:iCs/>
                <w:sz w:val="20"/>
                <w:szCs w:val="20"/>
              </w:rPr>
              <w:t>(f)</w:t>
            </w:r>
          </w:p>
        </w:tc>
      </w:tr>
      <w:tr w:rsidR="00281DF2" w:rsidRPr="00E31727" w14:paraId="31223C6F" w14:textId="77777777" w:rsidTr="00E31727">
        <w:tc>
          <w:tcPr>
            <w:tcW w:w="6948" w:type="dxa"/>
            <w:tcBorders>
              <w:top w:val="single" w:sz="4" w:space="0" w:color="auto"/>
            </w:tcBorders>
          </w:tcPr>
          <w:p w14:paraId="0E151CAB" w14:textId="371E3318"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CHED Memo no. 1, s. 2015 </w:t>
            </w:r>
          </w:p>
        </w:tc>
        <w:tc>
          <w:tcPr>
            <w:tcW w:w="1476" w:type="dxa"/>
            <w:tcBorders>
              <w:top w:val="single" w:sz="4" w:space="0" w:color="auto"/>
            </w:tcBorders>
            <w:vAlign w:val="bottom"/>
          </w:tcPr>
          <w:p w14:paraId="5AF982F8" w14:textId="645ACB44"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0A41E537" w14:textId="77777777" w:rsidTr="00E31727">
        <w:tc>
          <w:tcPr>
            <w:tcW w:w="6948" w:type="dxa"/>
          </w:tcPr>
          <w:p w14:paraId="09754E16" w14:textId="7FDABAD3"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CEDAW (1981) </w:t>
            </w:r>
          </w:p>
        </w:tc>
        <w:tc>
          <w:tcPr>
            <w:tcW w:w="1476" w:type="dxa"/>
            <w:vAlign w:val="bottom"/>
          </w:tcPr>
          <w:p w14:paraId="74415AB6" w14:textId="0A34DC21"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4E09417F" w14:textId="77777777" w:rsidTr="00E31727">
        <w:tc>
          <w:tcPr>
            <w:tcW w:w="6948" w:type="dxa"/>
          </w:tcPr>
          <w:p w14:paraId="1D033471" w14:textId="3EB9C9BC"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1987 Constitution, Art. II., Sec. 14 </w:t>
            </w:r>
          </w:p>
        </w:tc>
        <w:tc>
          <w:tcPr>
            <w:tcW w:w="1476" w:type="dxa"/>
            <w:vAlign w:val="bottom"/>
          </w:tcPr>
          <w:p w14:paraId="1EFF9524" w14:textId="28EDA21A"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06F580DF" w14:textId="77777777" w:rsidTr="00E31727">
        <w:tc>
          <w:tcPr>
            <w:tcW w:w="6948" w:type="dxa"/>
          </w:tcPr>
          <w:p w14:paraId="5422808C" w14:textId="7165E0C5"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Beijing Platform for Action (1995) </w:t>
            </w:r>
          </w:p>
        </w:tc>
        <w:tc>
          <w:tcPr>
            <w:tcW w:w="1476" w:type="dxa"/>
            <w:vAlign w:val="bottom"/>
          </w:tcPr>
          <w:p w14:paraId="4AAA6BC7" w14:textId="3F707731"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4EDA977C" w14:textId="77777777" w:rsidTr="00E31727">
        <w:tc>
          <w:tcPr>
            <w:tcW w:w="6948" w:type="dxa"/>
          </w:tcPr>
          <w:p w14:paraId="135D9ABE" w14:textId="27DD1225"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0906398D" w14:textId="58997209"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1CD5D201" w14:textId="77777777" w:rsidTr="00E31727">
        <w:tc>
          <w:tcPr>
            <w:tcW w:w="6948" w:type="dxa"/>
          </w:tcPr>
          <w:p w14:paraId="7120E6CA" w14:textId="18D01ACD"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Differences of Sex and Gender</w:t>
            </w:r>
            <w:r w:rsidRPr="00E31727">
              <w:rPr>
                <w:rFonts w:ascii="Arial" w:eastAsia="Times New Roman" w:hAnsi="Arial" w:cs="Arial"/>
                <w:b/>
                <w:sz w:val="20"/>
                <w:szCs w:val="20"/>
              </w:rPr>
              <w:t xml:space="preserve"> </w:t>
            </w:r>
          </w:p>
        </w:tc>
        <w:tc>
          <w:tcPr>
            <w:tcW w:w="1476" w:type="dxa"/>
            <w:vAlign w:val="bottom"/>
          </w:tcPr>
          <w:p w14:paraId="1642D443" w14:textId="11B897F1"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3</w:t>
            </w:r>
          </w:p>
        </w:tc>
      </w:tr>
      <w:tr w:rsidR="00281DF2" w:rsidRPr="00E31727" w14:paraId="396BF87B" w14:textId="77777777" w:rsidTr="00E31727">
        <w:tc>
          <w:tcPr>
            <w:tcW w:w="6948" w:type="dxa"/>
          </w:tcPr>
          <w:p w14:paraId="51E624AA" w14:textId="7360A310"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lastRenderedPageBreak/>
              <w:t>Primary and Secondary Sex Characteristics</w:t>
            </w:r>
            <w:r w:rsidRPr="00E31727">
              <w:rPr>
                <w:rFonts w:ascii="Arial" w:eastAsia="Times New Roman" w:hAnsi="Arial" w:cs="Arial"/>
                <w:b/>
                <w:sz w:val="20"/>
                <w:szCs w:val="20"/>
              </w:rPr>
              <w:t xml:space="preserve"> </w:t>
            </w:r>
          </w:p>
        </w:tc>
        <w:tc>
          <w:tcPr>
            <w:tcW w:w="1476" w:type="dxa"/>
            <w:vAlign w:val="bottom"/>
          </w:tcPr>
          <w:p w14:paraId="05195F5C" w14:textId="71A9B5C4"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4143E72B" w14:textId="77777777" w:rsidTr="00E31727">
        <w:tc>
          <w:tcPr>
            <w:tcW w:w="6948" w:type="dxa"/>
          </w:tcPr>
          <w:p w14:paraId="7E285907" w14:textId="441A957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The Process of Reproduction </w:t>
            </w:r>
          </w:p>
        </w:tc>
        <w:tc>
          <w:tcPr>
            <w:tcW w:w="1476" w:type="dxa"/>
            <w:vAlign w:val="bottom"/>
          </w:tcPr>
          <w:p w14:paraId="6CEC5348" w14:textId="16AF096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1DA0A0B7" w14:textId="77777777" w:rsidTr="00E31727">
        <w:tc>
          <w:tcPr>
            <w:tcW w:w="6948" w:type="dxa"/>
          </w:tcPr>
          <w:p w14:paraId="650839C1" w14:textId="548B58E4"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Reproductive Roles </w:t>
            </w:r>
          </w:p>
        </w:tc>
        <w:tc>
          <w:tcPr>
            <w:tcW w:w="1476" w:type="dxa"/>
            <w:vAlign w:val="bottom"/>
          </w:tcPr>
          <w:p w14:paraId="079C98DA" w14:textId="54088F2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59BC8821" w14:textId="77777777" w:rsidTr="00E31727">
        <w:tc>
          <w:tcPr>
            <w:tcW w:w="6948" w:type="dxa"/>
          </w:tcPr>
          <w:p w14:paraId="364244D4" w14:textId="33B0A4CB"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Historical Views on Gender  </w:t>
            </w:r>
          </w:p>
        </w:tc>
        <w:tc>
          <w:tcPr>
            <w:tcW w:w="1476" w:type="dxa"/>
            <w:vAlign w:val="bottom"/>
          </w:tcPr>
          <w:p w14:paraId="27574345" w14:textId="6768CA1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171E3D6A" w14:textId="77777777" w:rsidTr="00E31727">
        <w:tc>
          <w:tcPr>
            <w:tcW w:w="6948" w:type="dxa"/>
          </w:tcPr>
          <w:p w14:paraId="5A423D15" w14:textId="4187B98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Identity </w:t>
            </w:r>
            <w:r w:rsidRPr="00E31727">
              <w:rPr>
                <w:rFonts w:ascii="Arial" w:eastAsia="Times New Roman" w:hAnsi="Arial" w:cs="Arial"/>
                <w:b/>
                <w:sz w:val="20"/>
                <w:szCs w:val="20"/>
              </w:rPr>
              <w:t xml:space="preserve"> </w:t>
            </w:r>
          </w:p>
        </w:tc>
        <w:tc>
          <w:tcPr>
            <w:tcW w:w="1476" w:type="dxa"/>
            <w:vAlign w:val="bottom"/>
          </w:tcPr>
          <w:p w14:paraId="3A2E23C0" w14:textId="3A1DEF62"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1BB6A07F" w14:textId="77777777" w:rsidTr="00E31727">
        <w:tc>
          <w:tcPr>
            <w:tcW w:w="6948" w:type="dxa"/>
          </w:tcPr>
          <w:p w14:paraId="7E26DBFA" w14:textId="16CD277F"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Roles  </w:t>
            </w:r>
          </w:p>
        </w:tc>
        <w:tc>
          <w:tcPr>
            <w:tcW w:w="1476" w:type="dxa"/>
            <w:vAlign w:val="bottom"/>
          </w:tcPr>
          <w:p w14:paraId="33D2092C" w14:textId="29755553"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5CA7494C" w14:textId="77777777" w:rsidTr="00E31727">
        <w:tc>
          <w:tcPr>
            <w:tcW w:w="6948" w:type="dxa"/>
          </w:tcPr>
          <w:p w14:paraId="4837F4DD" w14:textId="228AF85B"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and Socialization </w:t>
            </w:r>
          </w:p>
        </w:tc>
        <w:tc>
          <w:tcPr>
            <w:tcW w:w="1476" w:type="dxa"/>
            <w:vAlign w:val="bottom"/>
          </w:tcPr>
          <w:p w14:paraId="25B99C20" w14:textId="15571903"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2EADA4D3" w14:textId="77777777" w:rsidTr="00E31727">
        <w:tc>
          <w:tcPr>
            <w:tcW w:w="6948" w:type="dxa"/>
          </w:tcPr>
          <w:p w14:paraId="18B3C200" w14:textId="1D0A2B2D"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Sexuality/ Sexual Orientation</w:t>
            </w:r>
            <w:r w:rsidRPr="00E31727">
              <w:rPr>
                <w:rFonts w:ascii="Arial" w:eastAsia="Times New Roman" w:hAnsi="Arial" w:cs="Arial"/>
                <w:b/>
                <w:sz w:val="20"/>
                <w:szCs w:val="20"/>
              </w:rPr>
              <w:t xml:space="preserve"> </w:t>
            </w:r>
          </w:p>
        </w:tc>
        <w:tc>
          <w:tcPr>
            <w:tcW w:w="1476" w:type="dxa"/>
            <w:vAlign w:val="bottom"/>
          </w:tcPr>
          <w:p w14:paraId="4326483A" w14:textId="496742FC"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6957DC07" w14:textId="77777777" w:rsidTr="00E31727">
        <w:tc>
          <w:tcPr>
            <w:tcW w:w="6948" w:type="dxa"/>
          </w:tcPr>
          <w:p w14:paraId="5698FEA1" w14:textId="3A49C2F8"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Types of Sexuality/ Sexual Orientation </w:t>
            </w:r>
          </w:p>
        </w:tc>
        <w:tc>
          <w:tcPr>
            <w:tcW w:w="1476" w:type="dxa"/>
            <w:vAlign w:val="bottom"/>
          </w:tcPr>
          <w:p w14:paraId="466D475F" w14:textId="19818E8C"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17F6B3F7" w14:textId="77777777" w:rsidTr="00E31727">
        <w:tc>
          <w:tcPr>
            <w:tcW w:w="6948" w:type="dxa"/>
          </w:tcPr>
          <w:p w14:paraId="6AA0F48C" w14:textId="5CA985BF"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Psychosocial Dimensions of Sexuality </w:t>
            </w:r>
          </w:p>
        </w:tc>
        <w:tc>
          <w:tcPr>
            <w:tcW w:w="1476" w:type="dxa"/>
            <w:vAlign w:val="bottom"/>
          </w:tcPr>
          <w:p w14:paraId="3BD2904D" w14:textId="1A4651E6"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0581DF26" w14:textId="77777777" w:rsidTr="00E31727">
        <w:tc>
          <w:tcPr>
            <w:tcW w:w="6948" w:type="dxa"/>
          </w:tcPr>
          <w:p w14:paraId="6E62C3F9" w14:textId="75CC588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Love, Intimacy, and Relationship </w:t>
            </w:r>
          </w:p>
        </w:tc>
        <w:tc>
          <w:tcPr>
            <w:tcW w:w="1476" w:type="dxa"/>
            <w:vAlign w:val="bottom"/>
          </w:tcPr>
          <w:p w14:paraId="5E051EF7" w14:textId="16C0B182"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19896813" w14:textId="77777777" w:rsidTr="00E31727">
        <w:tc>
          <w:tcPr>
            <w:tcW w:w="6948" w:type="dxa"/>
          </w:tcPr>
          <w:p w14:paraId="625A5A1E" w14:textId="73715E2A"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Sexual Health and Hygiene </w:t>
            </w:r>
          </w:p>
        </w:tc>
        <w:tc>
          <w:tcPr>
            <w:tcW w:w="1476" w:type="dxa"/>
            <w:vAlign w:val="bottom"/>
          </w:tcPr>
          <w:p w14:paraId="3F401C45" w14:textId="7966909B"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0513FA59" w14:textId="77777777" w:rsidTr="00E31727">
        <w:tc>
          <w:tcPr>
            <w:tcW w:w="6948" w:type="dxa"/>
          </w:tcPr>
          <w:p w14:paraId="476A4EAF" w14:textId="4378528C"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Sexual Behaviors </w:t>
            </w:r>
          </w:p>
        </w:tc>
        <w:tc>
          <w:tcPr>
            <w:tcW w:w="1476" w:type="dxa"/>
            <w:vAlign w:val="bottom"/>
          </w:tcPr>
          <w:p w14:paraId="545968BD" w14:textId="6EC675FA"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0D5571EB" w14:textId="77777777" w:rsidTr="00E31727">
        <w:tc>
          <w:tcPr>
            <w:tcW w:w="6948" w:type="dxa"/>
          </w:tcPr>
          <w:p w14:paraId="6A77DA15" w14:textId="77BB2CE5"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Risky Behaviors of Adolescents  </w:t>
            </w:r>
          </w:p>
        </w:tc>
        <w:tc>
          <w:tcPr>
            <w:tcW w:w="1476" w:type="dxa"/>
            <w:vAlign w:val="bottom"/>
          </w:tcPr>
          <w:p w14:paraId="12F648D9" w14:textId="4EA8F8C5"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1309D5A8" w14:textId="77777777" w:rsidTr="00E31727">
        <w:tc>
          <w:tcPr>
            <w:tcW w:w="6948" w:type="dxa"/>
          </w:tcPr>
          <w:p w14:paraId="0D97FD48" w14:textId="05B5B99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Stereotype, Prejudice, and Discrimination</w:t>
            </w:r>
            <w:r w:rsidRPr="00E31727">
              <w:rPr>
                <w:rFonts w:ascii="Arial" w:eastAsia="Times New Roman" w:hAnsi="Arial" w:cs="Arial"/>
                <w:b/>
                <w:sz w:val="20"/>
                <w:szCs w:val="20"/>
              </w:rPr>
              <w:t xml:space="preserve"> </w:t>
            </w:r>
          </w:p>
        </w:tc>
        <w:tc>
          <w:tcPr>
            <w:tcW w:w="1476" w:type="dxa"/>
            <w:vAlign w:val="bottom"/>
          </w:tcPr>
          <w:p w14:paraId="1ADC5DDE" w14:textId="435C8EA2"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3</w:t>
            </w:r>
          </w:p>
        </w:tc>
      </w:tr>
      <w:tr w:rsidR="00281DF2" w:rsidRPr="00E31727" w14:paraId="094CD8DD" w14:textId="77777777" w:rsidTr="00E31727">
        <w:tc>
          <w:tcPr>
            <w:tcW w:w="6948" w:type="dxa"/>
          </w:tcPr>
          <w:p w14:paraId="7B5656DC" w14:textId="6EB39D67"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Gender-based Violence </w:t>
            </w:r>
          </w:p>
        </w:tc>
        <w:tc>
          <w:tcPr>
            <w:tcW w:w="1476" w:type="dxa"/>
            <w:vAlign w:val="bottom"/>
          </w:tcPr>
          <w:p w14:paraId="3A4F250B" w14:textId="50D8BA5D"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09D2DEE6" w14:textId="77777777" w:rsidTr="00E31727">
        <w:tc>
          <w:tcPr>
            <w:tcW w:w="6948" w:type="dxa"/>
          </w:tcPr>
          <w:p w14:paraId="64283CCC" w14:textId="51B20DD2"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Violence Against Women </w:t>
            </w:r>
          </w:p>
        </w:tc>
        <w:tc>
          <w:tcPr>
            <w:tcW w:w="1476" w:type="dxa"/>
            <w:vAlign w:val="bottom"/>
          </w:tcPr>
          <w:p w14:paraId="76B145E2" w14:textId="25724FA3"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65423BDE" w14:textId="77777777" w:rsidTr="00E31727">
        <w:tc>
          <w:tcPr>
            <w:tcW w:w="6948" w:type="dxa"/>
          </w:tcPr>
          <w:p w14:paraId="79BDD154" w14:textId="5C29A6B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Violence and Discrimination of the members of LGBTQ </w:t>
            </w:r>
          </w:p>
        </w:tc>
        <w:tc>
          <w:tcPr>
            <w:tcW w:w="1476" w:type="dxa"/>
            <w:vAlign w:val="bottom"/>
          </w:tcPr>
          <w:p w14:paraId="02147111" w14:textId="2D65EF7E"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3EAC7DBD" w14:textId="77777777" w:rsidTr="00E31727">
        <w:tc>
          <w:tcPr>
            <w:tcW w:w="6948" w:type="dxa"/>
          </w:tcPr>
          <w:p w14:paraId="38FF9150" w14:textId="7962E70A"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Understanding Sexual Harassment </w:t>
            </w:r>
          </w:p>
        </w:tc>
        <w:tc>
          <w:tcPr>
            <w:tcW w:w="1476" w:type="dxa"/>
            <w:vAlign w:val="bottom"/>
          </w:tcPr>
          <w:p w14:paraId="3F76767D" w14:textId="3AA16EFE"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3</w:t>
            </w:r>
          </w:p>
        </w:tc>
      </w:tr>
      <w:tr w:rsidR="00281DF2" w:rsidRPr="00E31727" w14:paraId="15115851" w14:textId="77777777" w:rsidTr="00E31727">
        <w:tc>
          <w:tcPr>
            <w:tcW w:w="6948" w:type="dxa"/>
          </w:tcPr>
          <w:p w14:paraId="7A609DD0" w14:textId="467FD671"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Discrimination on the Basis of Sexual Orientation, Gender Identity and Expression (SOGIE)  </w:t>
            </w:r>
          </w:p>
        </w:tc>
        <w:tc>
          <w:tcPr>
            <w:tcW w:w="1476" w:type="dxa"/>
            <w:vAlign w:val="bottom"/>
          </w:tcPr>
          <w:p w14:paraId="679332D1" w14:textId="5E2BE54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3</w:t>
            </w:r>
          </w:p>
        </w:tc>
      </w:tr>
      <w:tr w:rsidR="00281DF2" w:rsidRPr="00E31727" w14:paraId="1B33AF53" w14:textId="77777777" w:rsidTr="00E31727">
        <w:tc>
          <w:tcPr>
            <w:tcW w:w="6948" w:type="dxa"/>
          </w:tcPr>
          <w:p w14:paraId="5575CD7A" w14:textId="139A6D0B"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Inequality </w:t>
            </w:r>
          </w:p>
        </w:tc>
        <w:tc>
          <w:tcPr>
            <w:tcW w:w="1476" w:type="dxa"/>
            <w:vAlign w:val="bottom"/>
          </w:tcPr>
          <w:p w14:paraId="2358A80D" w14:textId="5507E14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67C92DA3" w14:textId="77777777" w:rsidTr="00E31727">
        <w:tc>
          <w:tcPr>
            <w:tcW w:w="6948" w:type="dxa"/>
          </w:tcPr>
          <w:p w14:paraId="28D9CA43" w14:textId="45FF4B26"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Women’s Issues in Development </w:t>
            </w:r>
          </w:p>
        </w:tc>
        <w:tc>
          <w:tcPr>
            <w:tcW w:w="1476" w:type="dxa"/>
            <w:vAlign w:val="bottom"/>
          </w:tcPr>
          <w:p w14:paraId="46312E47" w14:textId="2A5A771A"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2C1EBD8B" w14:textId="77777777" w:rsidTr="00E31727">
        <w:tc>
          <w:tcPr>
            <w:tcW w:w="6948" w:type="dxa"/>
          </w:tcPr>
          <w:p w14:paraId="1D66D05E" w14:textId="77777777" w:rsidR="00E31727" w:rsidRDefault="00281DF2" w:rsidP="00E31727">
            <w:pPr>
              <w:pStyle w:val="Body"/>
              <w:spacing w:after="0"/>
              <w:ind w:left="180"/>
              <w:rPr>
                <w:rFonts w:ascii="Arial" w:hAnsi="Arial" w:cs="Arial"/>
                <w:sz w:val="20"/>
                <w:szCs w:val="20"/>
              </w:rPr>
            </w:pPr>
            <w:r w:rsidRPr="00E31727">
              <w:rPr>
                <w:rFonts w:ascii="Arial" w:hAnsi="Arial" w:cs="Arial"/>
                <w:sz w:val="20"/>
                <w:szCs w:val="20"/>
              </w:rPr>
              <w:t>Violence Against Women and Their Children Act (VAWC) or</w:t>
            </w:r>
          </w:p>
          <w:p w14:paraId="2BE8A9DF" w14:textId="50A32247"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Republic Act No. 9262 </w:t>
            </w:r>
          </w:p>
        </w:tc>
        <w:tc>
          <w:tcPr>
            <w:tcW w:w="1476" w:type="dxa"/>
            <w:vAlign w:val="bottom"/>
          </w:tcPr>
          <w:p w14:paraId="17C999D2" w14:textId="6B97E228"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3D1AA6B6" w14:textId="77777777" w:rsidTr="00E31727">
        <w:tc>
          <w:tcPr>
            <w:tcW w:w="6948" w:type="dxa"/>
          </w:tcPr>
          <w:p w14:paraId="325A5670" w14:textId="5F5389B2"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4EB2D177" w14:textId="3CCBFDD6"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5B89D7D6" w14:textId="77777777" w:rsidTr="00E31727">
        <w:tc>
          <w:tcPr>
            <w:tcW w:w="6948" w:type="dxa"/>
          </w:tcPr>
          <w:p w14:paraId="207F6295" w14:textId="1368D689"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RA 7192 and IRR (1992) </w:t>
            </w:r>
          </w:p>
        </w:tc>
        <w:tc>
          <w:tcPr>
            <w:tcW w:w="1476" w:type="dxa"/>
            <w:vAlign w:val="bottom"/>
          </w:tcPr>
          <w:p w14:paraId="51F5BE14" w14:textId="78D5C465"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281DF2" w:rsidRPr="00E31727" w14:paraId="3D824B76" w14:textId="77777777" w:rsidTr="00E31727">
        <w:tc>
          <w:tcPr>
            <w:tcW w:w="6948" w:type="dxa"/>
          </w:tcPr>
          <w:p w14:paraId="522A0D06" w14:textId="3540D4A4"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Gender and Labor</w:t>
            </w:r>
            <w:r w:rsidRPr="00E31727">
              <w:rPr>
                <w:rFonts w:ascii="Arial" w:eastAsia="Times New Roman" w:hAnsi="Arial" w:cs="Arial"/>
                <w:b/>
                <w:sz w:val="20"/>
                <w:szCs w:val="20"/>
              </w:rPr>
              <w:t xml:space="preserve"> </w:t>
            </w:r>
          </w:p>
        </w:tc>
        <w:tc>
          <w:tcPr>
            <w:tcW w:w="1476" w:type="dxa"/>
            <w:vAlign w:val="bottom"/>
          </w:tcPr>
          <w:p w14:paraId="324288AE" w14:textId="3BDC45BC"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6BB9F2E6" w14:textId="77777777" w:rsidTr="00E31727">
        <w:tc>
          <w:tcPr>
            <w:tcW w:w="6948" w:type="dxa"/>
          </w:tcPr>
          <w:p w14:paraId="4A95B5F3" w14:textId="5E36E893"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and Media </w:t>
            </w:r>
          </w:p>
        </w:tc>
        <w:tc>
          <w:tcPr>
            <w:tcW w:w="1476" w:type="dxa"/>
            <w:vAlign w:val="bottom"/>
          </w:tcPr>
          <w:p w14:paraId="6C71FB13" w14:textId="0C6C1EA2"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140BB29E" w14:textId="77777777" w:rsidTr="00E31727">
        <w:tc>
          <w:tcPr>
            <w:tcW w:w="6948" w:type="dxa"/>
          </w:tcPr>
          <w:p w14:paraId="57A84A14" w14:textId="010AFA47"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and Activism </w:t>
            </w:r>
          </w:p>
        </w:tc>
        <w:tc>
          <w:tcPr>
            <w:tcW w:w="1476" w:type="dxa"/>
            <w:vAlign w:val="bottom"/>
          </w:tcPr>
          <w:p w14:paraId="6E2ECA16" w14:textId="2ADFDE75"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64D80252" w14:textId="77777777" w:rsidTr="00E31727">
        <w:tc>
          <w:tcPr>
            <w:tcW w:w="6948" w:type="dxa"/>
          </w:tcPr>
          <w:p w14:paraId="1FD01E5C" w14:textId="274409F1"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and Other Cross-Cutting Issues </w:t>
            </w:r>
          </w:p>
        </w:tc>
        <w:tc>
          <w:tcPr>
            <w:tcW w:w="1476" w:type="dxa"/>
            <w:vAlign w:val="bottom"/>
          </w:tcPr>
          <w:p w14:paraId="0E29636D" w14:textId="6965EB6B"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2</w:t>
            </w:r>
          </w:p>
        </w:tc>
      </w:tr>
      <w:tr w:rsidR="00281DF2" w:rsidRPr="00E31727" w14:paraId="650E7A0D" w14:textId="77777777" w:rsidTr="00E31727">
        <w:tc>
          <w:tcPr>
            <w:tcW w:w="6948" w:type="dxa"/>
          </w:tcPr>
          <w:p w14:paraId="4DDDE6B2" w14:textId="75B26814" w:rsidR="00281DF2" w:rsidRPr="00E31727" w:rsidRDefault="00281DF2" w:rsidP="00E31727">
            <w:pPr>
              <w:pStyle w:val="Body"/>
              <w:spacing w:after="0"/>
              <w:ind w:left="180"/>
              <w:rPr>
                <w:rFonts w:ascii="Arial" w:hAnsi="Arial" w:cs="Arial"/>
                <w:sz w:val="20"/>
                <w:szCs w:val="20"/>
              </w:rPr>
            </w:pPr>
            <w:r w:rsidRPr="00E31727">
              <w:rPr>
                <w:rFonts w:ascii="Arial" w:hAnsi="Arial" w:cs="Arial"/>
                <w:sz w:val="20"/>
                <w:szCs w:val="20"/>
              </w:rPr>
              <w:t xml:space="preserve">Gender Sensitivity and Responsiveness </w:t>
            </w:r>
          </w:p>
        </w:tc>
        <w:tc>
          <w:tcPr>
            <w:tcW w:w="1476" w:type="dxa"/>
            <w:vAlign w:val="bottom"/>
          </w:tcPr>
          <w:p w14:paraId="54E80B83" w14:textId="06055B90" w:rsidR="00281DF2" w:rsidRPr="00E31727" w:rsidRDefault="00281DF2"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404B0CB9" w14:textId="77777777" w:rsidTr="00E31727">
        <w:tc>
          <w:tcPr>
            <w:tcW w:w="6948" w:type="dxa"/>
          </w:tcPr>
          <w:p w14:paraId="1DEE8A6E" w14:textId="77777777" w:rsidR="00E31727" w:rsidRPr="00E31727" w:rsidRDefault="00E31727" w:rsidP="00E31727">
            <w:pPr>
              <w:pStyle w:val="Body"/>
              <w:spacing w:after="0"/>
              <w:rPr>
                <w:rFonts w:ascii="Arial" w:hAnsi="Arial" w:cs="Arial"/>
                <w:b/>
                <w:bCs/>
                <w:sz w:val="20"/>
                <w:szCs w:val="20"/>
              </w:rPr>
            </w:pPr>
          </w:p>
          <w:p w14:paraId="112F3B88" w14:textId="7AD379A4" w:rsidR="00E31727" w:rsidRPr="00E31727" w:rsidRDefault="00E31727" w:rsidP="00E31727">
            <w:pPr>
              <w:pStyle w:val="Body"/>
              <w:spacing w:after="0"/>
              <w:rPr>
                <w:rFonts w:ascii="Arial" w:hAnsi="Arial" w:cs="Arial"/>
                <w:b/>
                <w:bCs/>
                <w:sz w:val="20"/>
                <w:szCs w:val="20"/>
              </w:rPr>
            </w:pPr>
            <w:r w:rsidRPr="00E31727">
              <w:rPr>
                <w:rFonts w:ascii="Arial" w:hAnsi="Arial" w:cs="Arial"/>
                <w:b/>
                <w:bCs/>
                <w:sz w:val="20"/>
                <w:szCs w:val="20"/>
              </w:rPr>
              <w:t xml:space="preserve">Other topics unique in every school </w:t>
            </w:r>
          </w:p>
        </w:tc>
        <w:tc>
          <w:tcPr>
            <w:tcW w:w="1476" w:type="dxa"/>
            <w:vAlign w:val="bottom"/>
          </w:tcPr>
          <w:p w14:paraId="5C0B806F" w14:textId="1696682D" w:rsidR="00E31727" w:rsidRPr="00E31727" w:rsidRDefault="00E31727" w:rsidP="00E31727">
            <w:pPr>
              <w:pStyle w:val="Body"/>
              <w:spacing w:after="0"/>
              <w:jc w:val="center"/>
              <w:rPr>
                <w:rFonts w:ascii="Arial" w:hAnsi="Arial" w:cs="Arial"/>
                <w:sz w:val="20"/>
                <w:szCs w:val="20"/>
              </w:rPr>
            </w:pPr>
          </w:p>
        </w:tc>
      </w:tr>
      <w:tr w:rsidR="00E31727" w:rsidRPr="00E31727" w14:paraId="05CB797E" w14:textId="77777777" w:rsidTr="00E31727">
        <w:tc>
          <w:tcPr>
            <w:tcW w:w="6948" w:type="dxa"/>
          </w:tcPr>
          <w:p w14:paraId="0C2BDB3D" w14:textId="6B3C11B2"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Gender Division of Labor </w:t>
            </w:r>
          </w:p>
        </w:tc>
        <w:tc>
          <w:tcPr>
            <w:tcW w:w="1476" w:type="dxa"/>
            <w:vAlign w:val="bottom"/>
          </w:tcPr>
          <w:p w14:paraId="098671E1" w14:textId="2327370E"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20E3303F" w14:textId="77777777" w:rsidTr="00E31727">
        <w:tc>
          <w:tcPr>
            <w:tcW w:w="6948" w:type="dxa"/>
          </w:tcPr>
          <w:p w14:paraId="4DCA5DDB" w14:textId="16574581"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Patriarchy </w:t>
            </w:r>
          </w:p>
        </w:tc>
        <w:tc>
          <w:tcPr>
            <w:tcW w:w="1476" w:type="dxa"/>
            <w:vAlign w:val="bottom"/>
          </w:tcPr>
          <w:p w14:paraId="677F7CCA" w14:textId="3277CA1C"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5B44FCB5" w14:textId="77777777" w:rsidTr="00E31727">
        <w:tc>
          <w:tcPr>
            <w:tcW w:w="6948" w:type="dxa"/>
          </w:tcPr>
          <w:p w14:paraId="4D5EDEB6" w14:textId="2B48E5EF"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Economic Marginalization </w:t>
            </w:r>
          </w:p>
        </w:tc>
        <w:tc>
          <w:tcPr>
            <w:tcW w:w="1476" w:type="dxa"/>
            <w:vAlign w:val="bottom"/>
          </w:tcPr>
          <w:p w14:paraId="4B92D6BD" w14:textId="38916C97"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3DABE797" w14:textId="77777777" w:rsidTr="00E31727">
        <w:tc>
          <w:tcPr>
            <w:tcW w:w="6948" w:type="dxa"/>
          </w:tcPr>
          <w:p w14:paraId="70D6A38F" w14:textId="59E1C285"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Political subordination </w:t>
            </w:r>
          </w:p>
        </w:tc>
        <w:tc>
          <w:tcPr>
            <w:tcW w:w="1476" w:type="dxa"/>
            <w:vAlign w:val="bottom"/>
          </w:tcPr>
          <w:p w14:paraId="754D9DCE" w14:textId="3DFF9D38"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776AF25A" w14:textId="77777777" w:rsidTr="00E31727">
        <w:tc>
          <w:tcPr>
            <w:tcW w:w="6948" w:type="dxa"/>
          </w:tcPr>
          <w:p w14:paraId="7F13BA85" w14:textId="51D03710"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Multiple burden </w:t>
            </w:r>
          </w:p>
        </w:tc>
        <w:tc>
          <w:tcPr>
            <w:tcW w:w="1476" w:type="dxa"/>
            <w:vAlign w:val="bottom"/>
          </w:tcPr>
          <w:p w14:paraId="32E78876" w14:textId="123F484F"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23449D42" w14:textId="77777777" w:rsidTr="00E31727">
        <w:tc>
          <w:tcPr>
            <w:tcW w:w="6948" w:type="dxa"/>
          </w:tcPr>
          <w:p w14:paraId="07B1AE39" w14:textId="31A42464"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Gender Fair Language </w:t>
            </w:r>
          </w:p>
        </w:tc>
        <w:tc>
          <w:tcPr>
            <w:tcW w:w="1476" w:type="dxa"/>
            <w:vAlign w:val="bottom"/>
          </w:tcPr>
          <w:p w14:paraId="46757635" w14:textId="20C5C5CF"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3DA7E2DB" w14:textId="77777777" w:rsidTr="00E31727">
        <w:tc>
          <w:tcPr>
            <w:tcW w:w="6948" w:type="dxa"/>
          </w:tcPr>
          <w:p w14:paraId="6B328B8E" w14:textId="1AAD4231"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Feminism </w:t>
            </w:r>
          </w:p>
        </w:tc>
        <w:tc>
          <w:tcPr>
            <w:tcW w:w="1476" w:type="dxa"/>
            <w:vAlign w:val="bottom"/>
          </w:tcPr>
          <w:p w14:paraId="0D20C811" w14:textId="5E425822"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5C04FF36" w14:textId="77777777" w:rsidTr="00E31727">
        <w:tc>
          <w:tcPr>
            <w:tcW w:w="6948" w:type="dxa"/>
          </w:tcPr>
          <w:p w14:paraId="10880355" w14:textId="071FF6D0"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Legal Basis of GAD </w:t>
            </w:r>
          </w:p>
        </w:tc>
        <w:tc>
          <w:tcPr>
            <w:tcW w:w="1476" w:type="dxa"/>
            <w:vAlign w:val="bottom"/>
          </w:tcPr>
          <w:p w14:paraId="4CF487A7" w14:textId="323C0A90"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5424353B" w14:textId="77777777" w:rsidTr="00E31727">
        <w:tc>
          <w:tcPr>
            <w:tcW w:w="6948" w:type="dxa"/>
          </w:tcPr>
          <w:p w14:paraId="1A33EC5A" w14:textId="36B916C9"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Gender and Development </w:t>
            </w:r>
          </w:p>
        </w:tc>
        <w:tc>
          <w:tcPr>
            <w:tcW w:w="1476" w:type="dxa"/>
            <w:vAlign w:val="bottom"/>
          </w:tcPr>
          <w:p w14:paraId="54FEF5B0" w14:textId="446DF39B"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1AC3AA7C" w14:textId="77777777" w:rsidTr="00E31727">
        <w:tc>
          <w:tcPr>
            <w:tcW w:w="6948" w:type="dxa"/>
          </w:tcPr>
          <w:p w14:paraId="0C1AFF8A" w14:textId="1973314E"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Gender Mainstreaming </w:t>
            </w:r>
          </w:p>
        </w:tc>
        <w:tc>
          <w:tcPr>
            <w:tcW w:w="1476" w:type="dxa"/>
            <w:vAlign w:val="bottom"/>
          </w:tcPr>
          <w:p w14:paraId="02CA0237" w14:textId="49274B1D"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5FF4628B" w14:textId="77777777" w:rsidTr="00E31727">
        <w:tc>
          <w:tcPr>
            <w:tcW w:w="6948" w:type="dxa"/>
          </w:tcPr>
          <w:p w14:paraId="5F701ADC" w14:textId="286C60D2"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Mainstreaming in [Institution #1] </w:t>
            </w:r>
          </w:p>
        </w:tc>
        <w:tc>
          <w:tcPr>
            <w:tcW w:w="1476" w:type="dxa"/>
            <w:vAlign w:val="bottom"/>
          </w:tcPr>
          <w:p w14:paraId="6AC34329" w14:textId="03796E28"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46DB5AF2" w14:textId="77777777" w:rsidTr="00E31727">
        <w:tc>
          <w:tcPr>
            <w:tcW w:w="6948" w:type="dxa"/>
          </w:tcPr>
          <w:p w14:paraId="3D7568DB" w14:textId="47AC9546"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Sex and senses </w:t>
            </w:r>
          </w:p>
        </w:tc>
        <w:tc>
          <w:tcPr>
            <w:tcW w:w="1476" w:type="dxa"/>
            <w:vAlign w:val="bottom"/>
          </w:tcPr>
          <w:p w14:paraId="5C4464C9" w14:textId="6483A71B"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308DB7EC" w14:textId="77777777" w:rsidTr="00E31727">
        <w:tc>
          <w:tcPr>
            <w:tcW w:w="6948" w:type="dxa"/>
          </w:tcPr>
          <w:p w14:paraId="3417D783" w14:textId="3D4F1338"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Men and masculinities </w:t>
            </w:r>
          </w:p>
        </w:tc>
        <w:tc>
          <w:tcPr>
            <w:tcW w:w="1476" w:type="dxa"/>
            <w:vAlign w:val="bottom"/>
          </w:tcPr>
          <w:p w14:paraId="11B38F50" w14:textId="29AEA7F4"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r w:rsidR="00E31727" w:rsidRPr="00E31727" w14:paraId="21E08205" w14:textId="77777777" w:rsidTr="00E31727">
        <w:tc>
          <w:tcPr>
            <w:tcW w:w="6948" w:type="dxa"/>
          </w:tcPr>
          <w:p w14:paraId="683CCD47" w14:textId="564A6E5E"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Machismo vs. marianismo mentality and Misogyny and misandry</w:t>
            </w:r>
          </w:p>
        </w:tc>
        <w:tc>
          <w:tcPr>
            <w:tcW w:w="1476" w:type="dxa"/>
            <w:vAlign w:val="bottom"/>
          </w:tcPr>
          <w:p w14:paraId="7F9C150D" w14:textId="0D2C4619"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 xml:space="preserve">1 </w:t>
            </w:r>
          </w:p>
        </w:tc>
      </w:tr>
      <w:tr w:rsidR="00E31727" w:rsidRPr="00E31727" w14:paraId="3A689A20" w14:textId="77777777" w:rsidTr="00E31727">
        <w:tc>
          <w:tcPr>
            <w:tcW w:w="6948" w:type="dxa"/>
            <w:tcBorders>
              <w:bottom w:val="single" w:sz="4" w:space="0" w:color="auto"/>
            </w:tcBorders>
          </w:tcPr>
          <w:p w14:paraId="2D22326B" w14:textId="11038AC7" w:rsidR="00E31727" w:rsidRPr="00E31727" w:rsidRDefault="00E31727" w:rsidP="00E31727">
            <w:pPr>
              <w:pStyle w:val="Body"/>
              <w:spacing w:after="0"/>
              <w:ind w:left="180"/>
              <w:rPr>
                <w:rFonts w:ascii="Arial" w:hAnsi="Arial" w:cs="Arial"/>
                <w:sz w:val="20"/>
                <w:szCs w:val="20"/>
              </w:rPr>
            </w:pPr>
            <w:r w:rsidRPr="00E31727">
              <w:rPr>
                <w:rFonts w:ascii="Arial" w:hAnsi="Arial" w:cs="Arial"/>
                <w:sz w:val="20"/>
                <w:szCs w:val="20"/>
              </w:rPr>
              <w:t xml:space="preserve">Psychoanalytical theory </w:t>
            </w:r>
          </w:p>
        </w:tc>
        <w:tc>
          <w:tcPr>
            <w:tcW w:w="1476" w:type="dxa"/>
            <w:tcBorders>
              <w:bottom w:val="single" w:sz="4" w:space="0" w:color="auto"/>
            </w:tcBorders>
            <w:vAlign w:val="bottom"/>
          </w:tcPr>
          <w:p w14:paraId="13F5090B" w14:textId="12135136" w:rsidR="00E31727" w:rsidRPr="00E31727" w:rsidRDefault="00E31727" w:rsidP="00E31727">
            <w:pPr>
              <w:pStyle w:val="Body"/>
              <w:spacing w:after="0"/>
              <w:jc w:val="center"/>
              <w:rPr>
                <w:rFonts w:ascii="Arial" w:hAnsi="Arial" w:cs="Arial"/>
                <w:sz w:val="20"/>
                <w:szCs w:val="20"/>
              </w:rPr>
            </w:pPr>
            <w:r w:rsidRPr="00E31727">
              <w:rPr>
                <w:rFonts w:ascii="Arial" w:hAnsi="Arial" w:cs="Arial"/>
                <w:sz w:val="20"/>
                <w:szCs w:val="20"/>
              </w:rPr>
              <w:t>1</w:t>
            </w:r>
          </w:p>
        </w:tc>
      </w:tr>
    </w:tbl>
    <w:p w14:paraId="66BEF8C6" w14:textId="77777777" w:rsidR="00281DF2" w:rsidRDefault="00281DF2" w:rsidP="00BF36D9">
      <w:pPr>
        <w:pStyle w:val="Body"/>
        <w:spacing w:after="0"/>
        <w:rPr>
          <w:rFonts w:ascii="Arial" w:hAnsi="Arial" w:cs="Arial"/>
        </w:rPr>
      </w:pPr>
    </w:p>
    <w:p w14:paraId="5C547B1F" w14:textId="0481A948" w:rsidR="00281DF2" w:rsidRPr="00281DF2" w:rsidRDefault="00281DF2" w:rsidP="00281DF2">
      <w:pPr>
        <w:pStyle w:val="Body"/>
        <w:rPr>
          <w:rFonts w:ascii="Arial" w:hAnsi="Arial" w:cs="Arial"/>
        </w:rPr>
      </w:pPr>
      <w:r w:rsidRPr="00281DF2">
        <w:rPr>
          <w:rFonts w:ascii="Arial" w:hAnsi="Arial" w:cs="Arial"/>
        </w:rPr>
        <w:lastRenderedPageBreak/>
        <w:t>Furthermore, the findings point to the contextual challenges faced by institutions. When the Commission on Higher Education (CHED) implemented the new General Education (GE) courses in 2018 under CMO No. 20, s. 2013, standardized syllabi were provided only for the core GE courses. However, no such standardization existed for the GE electives, leaving each institution responsible for developing their own syllabi based on the course descriptions provided by CHED. Consequently, differences emerged across institutions, influenced both by perceived student needs and the relevance of issues to local communities.</w:t>
      </w:r>
    </w:p>
    <w:p w14:paraId="2BAB8A25" w14:textId="2F3D5B18" w:rsidR="00281DF2" w:rsidRPr="00281DF2" w:rsidRDefault="00281DF2" w:rsidP="00281DF2">
      <w:pPr>
        <w:pStyle w:val="Body"/>
        <w:rPr>
          <w:rFonts w:ascii="Arial" w:hAnsi="Arial" w:cs="Arial"/>
        </w:rPr>
      </w:pPr>
      <w:r w:rsidRPr="00281DF2">
        <w:rPr>
          <w:rFonts w:ascii="Arial" w:hAnsi="Arial" w:cs="Arial"/>
        </w:rPr>
        <w:t>Teachers’ responses highlight these variations. One respondent from Institution A emphasized the collaborative process of syllabus preparation:</w:t>
      </w:r>
    </w:p>
    <w:p w14:paraId="0D8FA6C6" w14:textId="021D282A" w:rsidR="00281DF2" w:rsidRPr="00281DF2" w:rsidRDefault="00281DF2" w:rsidP="00281DF2">
      <w:pPr>
        <w:pStyle w:val="Body"/>
        <w:rPr>
          <w:rFonts w:ascii="Arial" w:hAnsi="Arial" w:cs="Arial"/>
        </w:rPr>
      </w:pPr>
      <w:r w:rsidRPr="00BF36D9">
        <w:rPr>
          <w:rFonts w:ascii="Arial" w:hAnsi="Arial" w:cs="Arial"/>
          <w:i/>
          <w:iCs/>
        </w:rPr>
        <w:t xml:space="preserve">“The syllabus for teaching gender and society in our institution is standardized. All faculty members teaching the subject have the same syllabus. The content of the syllabus was all agreed and it was prepared by all of the faculty members teaching that subject.” </w:t>
      </w:r>
      <w:r w:rsidR="00BF36D9">
        <w:rPr>
          <w:rFonts w:ascii="Arial" w:hAnsi="Arial" w:cs="Arial"/>
        </w:rPr>
        <w:t xml:space="preserve">– </w:t>
      </w:r>
      <w:r w:rsidRPr="00281DF2">
        <w:rPr>
          <w:rFonts w:ascii="Arial" w:hAnsi="Arial" w:cs="Arial"/>
        </w:rPr>
        <w:t>Teacher 2</w:t>
      </w:r>
    </w:p>
    <w:p w14:paraId="53F49DCB" w14:textId="3276B054" w:rsidR="00281DF2" w:rsidRPr="00281DF2" w:rsidRDefault="00281DF2" w:rsidP="00281DF2">
      <w:pPr>
        <w:pStyle w:val="Body"/>
        <w:rPr>
          <w:rFonts w:ascii="Arial" w:hAnsi="Arial" w:cs="Arial"/>
        </w:rPr>
      </w:pPr>
      <w:r w:rsidRPr="00281DF2">
        <w:rPr>
          <w:rFonts w:ascii="Arial" w:hAnsi="Arial" w:cs="Arial"/>
        </w:rPr>
        <w:t>This statement illustrates Institution A’s use of a unified syllabus for all faculty members handling the subject. Another teacher elaborated on how the CHED course description guided topic selection:</w:t>
      </w:r>
    </w:p>
    <w:p w14:paraId="0D36D4FA" w14:textId="71B6ED70" w:rsidR="00281DF2" w:rsidRPr="00281DF2" w:rsidRDefault="00281DF2" w:rsidP="00281DF2">
      <w:pPr>
        <w:pStyle w:val="Body"/>
        <w:rPr>
          <w:rFonts w:ascii="Arial" w:hAnsi="Arial" w:cs="Arial"/>
        </w:rPr>
      </w:pPr>
      <w:r w:rsidRPr="00BF36D9">
        <w:rPr>
          <w:rFonts w:ascii="Arial" w:hAnsi="Arial" w:cs="Arial"/>
          <w:i/>
          <w:iCs/>
        </w:rPr>
        <w:t>“The course description coming from CHED became the basis for the selection of topics to be included in the course syllabus. Concepts and topics that are related and can be drawn from the description were included. We also included topics that are relevant to our university, for example, we included the topic: Mainstreaming in the [name of the institution].”</w:t>
      </w:r>
      <w:r w:rsidR="00BF36D9">
        <w:rPr>
          <w:rFonts w:ascii="Arial" w:hAnsi="Arial" w:cs="Arial"/>
        </w:rPr>
        <w:t xml:space="preserve"> – </w:t>
      </w:r>
      <w:r w:rsidRPr="00281DF2">
        <w:rPr>
          <w:rFonts w:ascii="Arial" w:hAnsi="Arial" w:cs="Arial"/>
        </w:rPr>
        <w:t>Teacher 1</w:t>
      </w:r>
    </w:p>
    <w:p w14:paraId="754BE936" w14:textId="5A577079" w:rsidR="00281DF2" w:rsidRPr="00281DF2" w:rsidRDefault="00281DF2" w:rsidP="00281DF2">
      <w:pPr>
        <w:pStyle w:val="Body"/>
        <w:rPr>
          <w:rFonts w:ascii="Arial" w:hAnsi="Arial" w:cs="Arial"/>
        </w:rPr>
      </w:pPr>
      <w:r w:rsidRPr="00281DF2">
        <w:rPr>
          <w:rFonts w:ascii="Arial" w:hAnsi="Arial" w:cs="Arial"/>
        </w:rPr>
        <w:t xml:space="preserve">This response indicates that relevance to student demographics played a critical role in syllabus design. In this case, the inclusion of mainstreaming reflected the institution’s recognition of its growing LGBT student population. This aligns with </w:t>
      </w:r>
      <w:proofErr w:type="spellStart"/>
      <w:r w:rsidRPr="00281DF2">
        <w:rPr>
          <w:rFonts w:ascii="Arial" w:hAnsi="Arial" w:cs="Arial"/>
        </w:rPr>
        <w:t>Shakourzadeh</w:t>
      </w:r>
      <w:proofErr w:type="spellEnd"/>
      <w:r w:rsidRPr="00281DF2">
        <w:rPr>
          <w:rFonts w:ascii="Arial" w:hAnsi="Arial" w:cs="Arial"/>
        </w:rPr>
        <w:t xml:space="preserve"> and </w:t>
      </w:r>
      <w:proofErr w:type="spellStart"/>
      <w:r w:rsidRPr="00281DF2">
        <w:rPr>
          <w:rFonts w:ascii="Arial" w:hAnsi="Arial" w:cs="Arial"/>
        </w:rPr>
        <w:t>Izadpanah</w:t>
      </w:r>
      <w:proofErr w:type="spellEnd"/>
      <w:r w:rsidRPr="00281DF2">
        <w:rPr>
          <w:rFonts w:ascii="Arial" w:hAnsi="Arial" w:cs="Arial"/>
        </w:rPr>
        <w:t xml:space="preserve"> (2020), who emphasized that topic selection should prioritize student interests and lived experiences to enhance learning outcomes.</w:t>
      </w:r>
    </w:p>
    <w:p w14:paraId="09AB8668" w14:textId="31EDA6D6" w:rsidR="00281DF2" w:rsidRPr="00281DF2" w:rsidRDefault="00281DF2" w:rsidP="00281DF2">
      <w:pPr>
        <w:pStyle w:val="Body"/>
        <w:rPr>
          <w:rFonts w:ascii="Arial" w:hAnsi="Arial" w:cs="Arial"/>
        </w:rPr>
      </w:pPr>
      <w:r w:rsidRPr="00281DF2">
        <w:rPr>
          <w:rFonts w:ascii="Arial" w:hAnsi="Arial" w:cs="Arial"/>
        </w:rPr>
        <w:t>In contrast, Institution C demonstrated a lack of standardization across its multiple campuses. Two teachers described how syllabi varied by college and were individually prepared:</w:t>
      </w:r>
    </w:p>
    <w:p w14:paraId="5CCD19A1" w14:textId="13754F16" w:rsidR="00281DF2" w:rsidRPr="00281DF2" w:rsidRDefault="00281DF2" w:rsidP="00281DF2">
      <w:pPr>
        <w:pStyle w:val="Body"/>
        <w:rPr>
          <w:rFonts w:ascii="Arial" w:hAnsi="Arial" w:cs="Arial"/>
        </w:rPr>
      </w:pPr>
      <w:r w:rsidRPr="00BF36D9">
        <w:rPr>
          <w:rFonts w:ascii="Arial" w:hAnsi="Arial" w:cs="Arial"/>
          <w:i/>
          <w:iCs/>
        </w:rPr>
        <w:t>“The previous syllabus on gender in society on our campus was patterned from the content of a textbook used in teaching the subject, however, when I revised the syllabus, I included topics that need to be emphasized. Since our campus offers an industrial technology program, and most of our students are men, I included the topic of men and masculinities.”</w:t>
      </w:r>
      <w:r w:rsidR="00BF36D9">
        <w:rPr>
          <w:rFonts w:ascii="Arial" w:hAnsi="Arial" w:cs="Arial"/>
        </w:rPr>
        <w:t xml:space="preserve"> – </w:t>
      </w:r>
      <w:r w:rsidRPr="00281DF2">
        <w:rPr>
          <w:rFonts w:ascii="Arial" w:hAnsi="Arial" w:cs="Arial"/>
        </w:rPr>
        <w:t>Teacher 5</w:t>
      </w:r>
    </w:p>
    <w:p w14:paraId="635E63FB" w14:textId="6F0CD080" w:rsidR="00281DF2" w:rsidRPr="00281DF2" w:rsidRDefault="00281DF2" w:rsidP="00281DF2">
      <w:pPr>
        <w:pStyle w:val="Body"/>
        <w:rPr>
          <w:rFonts w:ascii="Arial" w:hAnsi="Arial" w:cs="Arial"/>
        </w:rPr>
      </w:pPr>
      <w:r w:rsidRPr="00BF36D9">
        <w:rPr>
          <w:rFonts w:ascii="Arial" w:hAnsi="Arial" w:cs="Arial"/>
          <w:i/>
          <w:iCs/>
        </w:rPr>
        <w:t>“The different colleges on our campus have different syllabi for gender and society because we individually prepared our syllabi. For me, the topics I put in my syllabus were based on what I thought needed to be discussed in the subject, and some topics were based on the reference book on gender and society.”</w:t>
      </w:r>
      <w:r w:rsidRPr="00281DF2">
        <w:rPr>
          <w:rFonts w:ascii="Arial" w:hAnsi="Arial" w:cs="Arial"/>
        </w:rPr>
        <w:t xml:space="preserve"> </w:t>
      </w:r>
      <w:r w:rsidR="00BF36D9">
        <w:rPr>
          <w:rFonts w:ascii="Arial" w:hAnsi="Arial" w:cs="Arial"/>
        </w:rPr>
        <w:t xml:space="preserve">– </w:t>
      </w:r>
      <w:r w:rsidRPr="00281DF2">
        <w:rPr>
          <w:rFonts w:ascii="Arial" w:hAnsi="Arial" w:cs="Arial"/>
        </w:rPr>
        <w:t>Teacher 6</w:t>
      </w:r>
    </w:p>
    <w:p w14:paraId="0CEEDA75" w14:textId="6A2F2D45" w:rsidR="00281DF2" w:rsidRPr="00281DF2" w:rsidRDefault="00281DF2" w:rsidP="00281DF2">
      <w:pPr>
        <w:pStyle w:val="Body"/>
        <w:rPr>
          <w:rFonts w:ascii="Arial" w:hAnsi="Arial" w:cs="Arial"/>
        </w:rPr>
      </w:pPr>
      <w:r w:rsidRPr="00281DF2">
        <w:rPr>
          <w:rFonts w:ascii="Arial" w:hAnsi="Arial" w:cs="Arial"/>
        </w:rPr>
        <w:t>These perspectives confirm the absence of an institutional syllabus for electives in Institution C. The diversity of approaches demonstrates curricular flexibility, allowing teachers to adapt to the context of their students. This finding supports Yuldasheva’s (2024) argument that there is no single ideal syllabus type for all classes, since curricular design is influenced by multiple factors, including institutional priorities, teacher discretion, and student demographics.</w:t>
      </w:r>
    </w:p>
    <w:p w14:paraId="3C0B986A" w14:textId="77777777" w:rsidR="00BF36D9" w:rsidRDefault="00281DF2" w:rsidP="00BF36D9">
      <w:pPr>
        <w:pStyle w:val="Body"/>
        <w:rPr>
          <w:rFonts w:ascii="Arial" w:hAnsi="Arial" w:cs="Arial"/>
        </w:rPr>
      </w:pPr>
      <w:r w:rsidRPr="00281DF2">
        <w:rPr>
          <w:rFonts w:ascii="Arial" w:hAnsi="Arial" w:cs="Arial"/>
        </w:rPr>
        <w:lastRenderedPageBreak/>
        <w:t xml:space="preserve">Moreover, such flexibility is not without merit. Richmond et al. (2019) observed that learner-centered syllabi enhance student engagement and motivation by directly addressing the needs and experiences of learners. In the present study, the inclusion of topics such as men and masculinities or mainstreaming in the local university reflects efforts to make the subject relevant and meaningful to </w:t>
      </w:r>
      <w:r w:rsidR="00BF36D9" w:rsidRPr="00281DF2">
        <w:rPr>
          <w:rFonts w:ascii="Arial" w:hAnsi="Arial" w:cs="Arial"/>
        </w:rPr>
        <w:t>students</w:t>
      </w:r>
      <w:r w:rsidRPr="00281DF2">
        <w:rPr>
          <w:rFonts w:ascii="Arial" w:hAnsi="Arial" w:cs="Arial"/>
        </w:rPr>
        <w:t xml:space="preserve"> lived realities.</w:t>
      </w:r>
    </w:p>
    <w:p w14:paraId="702029B4" w14:textId="002DDAC1" w:rsidR="00281DF2" w:rsidRDefault="00281DF2" w:rsidP="00BF36D9">
      <w:pPr>
        <w:pStyle w:val="Body"/>
        <w:rPr>
          <w:rFonts w:ascii="Arial" w:hAnsi="Arial" w:cs="Arial"/>
        </w:rPr>
      </w:pPr>
      <w:r w:rsidRPr="00281DF2">
        <w:rPr>
          <w:rFonts w:ascii="Arial" w:hAnsi="Arial" w:cs="Arial"/>
        </w:rPr>
        <w:t xml:space="preserve">The results reveal that despite the absence of standardized syllabi for GE electives, common ground exists across institutions in </w:t>
      </w:r>
      <w:proofErr w:type="spellStart"/>
      <w:r w:rsidRPr="00281DF2">
        <w:rPr>
          <w:rFonts w:ascii="Arial" w:hAnsi="Arial" w:cs="Arial"/>
        </w:rPr>
        <w:t>Ilocos</w:t>
      </w:r>
      <w:proofErr w:type="spellEnd"/>
      <w:r w:rsidRPr="00281DF2">
        <w:rPr>
          <w:rFonts w:ascii="Arial" w:hAnsi="Arial" w:cs="Arial"/>
        </w:rPr>
        <w:t xml:space="preserve"> Sur, with 21 topics identified as shared. While Institution A demonstrates collective syllabus design and implementation, Institution C highlights faculty-driven flexibility, adapting content to specific program contexts and student needs. These findings underscore the importance of contextualized syllabi, which, though varied, aim to bridge curricular requirements with learner realities. This reinforces prior scholarship affirming that student-centered and context-sensitive approaches to syllabus development foster deeper engagement and more meaningful learning experiences (</w:t>
      </w:r>
      <w:proofErr w:type="spellStart"/>
      <w:r w:rsidRPr="00281DF2">
        <w:rPr>
          <w:rFonts w:ascii="Arial" w:hAnsi="Arial" w:cs="Arial"/>
        </w:rPr>
        <w:t>Shakourzadeh</w:t>
      </w:r>
      <w:proofErr w:type="spellEnd"/>
      <w:r w:rsidRPr="00281DF2">
        <w:rPr>
          <w:rFonts w:ascii="Arial" w:hAnsi="Arial" w:cs="Arial"/>
        </w:rPr>
        <w:t xml:space="preserve"> &amp; </w:t>
      </w:r>
      <w:proofErr w:type="spellStart"/>
      <w:r w:rsidRPr="00281DF2">
        <w:rPr>
          <w:rFonts w:ascii="Arial" w:hAnsi="Arial" w:cs="Arial"/>
        </w:rPr>
        <w:t>Izadpanah</w:t>
      </w:r>
      <w:proofErr w:type="spellEnd"/>
      <w:r w:rsidRPr="00281DF2">
        <w:rPr>
          <w:rFonts w:ascii="Arial" w:hAnsi="Arial" w:cs="Arial"/>
        </w:rPr>
        <w:t xml:space="preserve">, 2020; Richmond et al., 2019; </w:t>
      </w:r>
      <w:proofErr w:type="spellStart"/>
      <w:r w:rsidRPr="00281DF2">
        <w:rPr>
          <w:rFonts w:ascii="Arial" w:hAnsi="Arial" w:cs="Arial"/>
        </w:rPr>
        <w:t>Yuldasheva</w:t>
      </w:r>
      <w:proofErr w:type="spellEnd"/>
      <w:r w:rsidRPr="00281DF2">
        <w:rPr>
          <w:rFonts w:ascii="Arial" w:hAnsi="Arial" w:cs="Arial"/>
        </w:rPr>
        <w:t>, 2024).</w:t>
      </w:r>
    </w:p>
    <w:p w14:paraId="44F7D852" w14:textId="026EADDD" w:rsidR="00BF36D9" w:rsidRPr="00AF7AE1" w:rsidRDefault="00AF7AE1" w:rsidP="00BF36D9">
      <w:pPr>
        <w:pStyle w:val="Body"/>
        <w:rPr>
          <w:rFonts w:ascii="Arial" w:hAnsi="Arial" w:cs="Arial"/>
          <w:b/>
          <w:bCs/>
          <w:sz w:val="22"/>
          <w:szCs w:val="22"/>
        </w:rPr>
      </w:pPr>
      <w:r w:rsidRPr="00AF7AE1">
        <w:rPr>
          <w:rFonts w:ascii="Arial" w:hAnsi="Arial" w:cs="Arial"/>
          <w:b/>
          <w:bCs/>
          <w:sz w:val="22"/>
          <w:szCs w:val="22"/>
        </w:rPr>
        <w:t>3.2 Teachers’ Approaches to Contextualizing Gender and Society Instruction</w:t>
      </w:r>
    </w:p>
    <w:p w14:paraId="0611E26C" w14:textId="77777777" w:rsidR="008A3727" w:rsidRDefault="008A3727" w:rsidP="008A3727">
      <w:pPr>
        <w:pStyle w:val="Body"/>
        <w:rPr>
          <w:rFonts w:ascii="Arial" w:hAnsi="Arial" w:cs="Arial"/>
          <w:lang w:val="en-PH"/>
        </w:rPr>
      </w:pPr>
      <w:r w:rsidRPr="008A3727">
        <w:rPr>
          <w:rFonts w:ascii="Arial" w:hAnsi="Arial" w:cs="Arial"/>
          <w:lang w:val="en-PH"/>
        </w:rPr>
        <w:t xml:space="preserve">This section presents the interview findings on how teachers employed various strategies to contextualize lessons in the </w:t>
      </w:r>
      <w:r w:rsidRPr="008A3727">
        <w:rPr>
          <w:rFonts w:ascii="Arial" w:hAnsi="Arial" w:cs="Arial"/>
          <w:i/>
          <w:iCs/>
          <w:lang w:val="en-PH"/>
        </w:rPr>
        <w:t>Gender and Society</w:t>
      </w:r>
      <w:r w:rsidRPr="008A3727">
        <w:rPr>
          <w:rFonts w:ascii="Arial" w:hAnsi="Arial" w:cs="Arial"/>
          <w:lang w:val="en-PH"/>
        </w:rPr>
        <w:t xml:space="preserve"> course. Analysis of responses revealed three major strategies: (1) using students’ experiences, (2) employing local examples, and (3) integrating the culture of students. These strategies, though distinct, collectively underscore the importance of making course content relatable, culturally grounded, and learner-centered.</w:t>
      </w:r>
    </w:p>
    <w:p w14:paraId="722B193E" w14:textId="5EE93A28" w:rsidR="008A3727" w:rsidRPr="00B16912" w:rsidRDefault="008A3727" w:rsidP="008A3727">
      <w:pPr>
        <w:pStyle w:val="Body"/>
        <w:rPr>
          <w:rFonts w:ascii="Arial" w:hAnsi="Arial" w:cs="Arial"/>
          <w:b/>
          <w:bCs/>
          <w:u w:val="single"/>
          <w:lang w:val="en-PH"/>
        </w:rPr>
      </w:pPr>
      <w:r w:rsidRPr="00B16912">
        <w:rPr>
          <w:rFonts w:ascii="Arial" w:hAnsi="Arial" w:cs="Arial"/>
          <w:b/>
          <w:bCs/>
          <w:u w:val="single"/>
          <w:lang w:val="en-PH"/>
        </w:rPr>
        <w:t xml:space="preserve">3.2.1 </w:t>
      </w:r>
      <w:r w:rsidR="009633F4" w:rsidRPr="009633F4">
        <w:rPr>
          <w:rFonts w:ascii="Arial" w:hAnsi="Arial" w:cs="Arial"/>
          <w:b/>
          <w:bCs/>
          <w:u w:val="single"/>
          <w:lang w:val="en-PH"/>
        </w:rPr>
        <w:t>Drawing on Students’ Experiences</w:t>
      </w:r>
    </w:p>
    <w:p w14:paraId="5B6FAC6D" w14:textId="5D6F3B76" w:rsidR="008A3727" w:rsidRPr="008A3727" w:rsidRDefault="008A3727" w:rsidP="008A3727">
      <w:pPr>
        <w:pStyle w:val="Body"/>
        <w:rPr>
          <w:rFonts w:ascii="Arial" w:hAnsi="Arial" w:cs="Arial"/>
          <w:lang w:val="en-PH"/>
        </w:rPr>
      </w:pPr>
      <w:r w:rsidRPr="008A3727">
        <w:rPr>
          <w:rFonts w:ascii="Arial" w:hAnsi="Arial" w:cs="Arial"/>
          <w:lang w:val="en-PH"/>
        </w:rPr>
        <w:t>Teachers emphasized that drawing upon students’ own experiences made lessons more engaging, relatable, and empowering. This strategy was implemented by providing activities that encouraged students to reflect on their experiences and by integrating these into class discussions. Respondents explained that contextualization requires students to connect course concepts to their lived realities.</w:t>
      </w:r>
    </w:p>
    <w:p w14:paraId="5ACEB42F" w14:textId="3ED2E30F" w:rsidR="008A3727" w:rsidRPr="008A3727" w:rsidRDefault="008A3727" w:rsidP="008A3727">
      <w:pPr>
        <w:pStyle w:val="Body"/>
        <w:rPr>
          <w:rFonts w:ascii="Arial" w:hAnsi="Arial" w:cs="Arial"/>
          <w:lang w:val="en-PH"/>
        </w:rPr>
      </w:pPr>
      <w:r w:rsidRPr="008A3727">
        <w:rPr>
          <w:rFonts w:ascii="Arial" w:hAnsi="Arial" w:cs="Arial"/>
          <w:i/>
          <w:iCs/>
          <w:lang w:val="en-PH"/>
        </w:rPr>
        <w:t xml:space="preserve">“The lesson in Gender and Society is said to be contextualized if it </w:t>
      </w:r>
      <w:proofErr w:type="gramStart"/>
      <w:r w:rsidRPr="008A3727">
        <w:rPr>
          <w:rFonts w:ascii="Arial" w:hAnsi="Arial" w:cs="Arial"/>
          <w:i/>
          <w:iCs/>
          <w:lang w:val="en-PH"/>
        </w:rPr>
        <w:t>require</w:t>
      </w:r>
      <w:proofErr w:type="gramEnd"/>
      <w:r w:rsidRPr="008A3727">
        <w:rPr>
          <w:rFonts w:ascii="Arial" w:hAnsi="Arial" w:cs="Arial"/>
          <w:i/>
          <w:iCs/>
          <w:lang w:val="en-PH"/>
        </w:rPr>
        <w:t xml:space="preserve"> students to look back from their experiences and make sure that the topics are relevant to their community and culture. We incorporate student-centered learning. For example, you give activities that encourage students to reflect on their own experiences.” </w:t>
      </w:r>
      <w:r>
        <w:rPr>
          <w:rFonts w:ascii="Arial" w:hAnsi="Arial" w:cs="Arial"/>
          <w:lang w:val="en-PH"/>
        </w:rPr>
        <w:t xml:space="preserve">– </w:t>
      </w:r>
      <w:r w:rsidRPr="008A3727">
        <w:rPr>
          <w:rFonts w:ascii="Arial" w:hAnsi="Arial" w:cs="Arial"/>
          <w:lang w:val="en-PH"/>
        </w:rPr>
        <w:t>Teacher 3</w:t>
      </w:r>
    </w:p>
    <w:p w14:paraId="1C6A9CE7" w14:textId="52A43AFB" w:rsidR="008A3727" w:rsidRPr="008A3727" w:rsidRDefault="008A3727" w:rsidP="008A3727">
      <w:pPr>
        <w:pStyle w:val="Body"/>
        <w:rPr>
          <w:rFonts w:ascii="Arial" w:hAnsi="Arial" w:cs="Arial"/>
          <w:lang w:val="en-PH"/>
        </w:rPr>
      </w:pPr>
      <w:r w:rsidRPr="008A3727">
        <w:rPr>
          <w:rFonts w:ascii="Arial" w:hAnsi="Arial" w:cs="Arial"/>
          <w:i/>
          <w:iCs/>
          <w:lang w:val="en-PH"/>
        </w:rPr>
        <w:t>“I must say that a lesson is contextualized if the experiences of the students are integrated. They are involved in the teaching and learning process.”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4</w:t>
      </w:r>
    </w:p>
    <w:p w14:paraId="4111FBE5" w14:textId="19FF14F5" w:rsidR="008A3727" w:rsidRPr="008A3727" w:rsidRDefault="008A3727" w:rsidP="008A3727">
      <w:pPr>
        <w:pStyle w:val="Body"/>
        <w:rPr>
          <w:rFonts w:ascii="Arial" w:hAnsi="Arial" w:cs="Arial"/>
          <w:lang w:val="en-PH"/>
        </w:rPr>
      </w:pPr>
      <w:r w:rsidRPr="008A3727">
        <w:rPr>
          <w:rFonts w:ascii="Arial" w:hAnsi="Arial" w:cs="Arial"/>
          <w:i/>
          <w:iCs/>
          <w:lang w:val="en-PH"/>
        </w:rPr>
        <w:t>“Topics in gender and Society are said to be contextualized if the experiences of the students are incorporated in the class discussion and when it reflects real-world issues and experiences relevant to students.”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5</w:t>
      </w:r>
    </w:p>
    <w:p w14:paraId="69F95FF3" w14:textId="77777777" w:rsidR="008A3727" w:rsidRPr="008A3727" w:rsidRDefault="008A3727" w:rsidP="008A3727">
      <w:pPr>
        <w:pStyle w:val="Body"/>
        <w:rPr>
          <w:rFonts w:ascii="Arial" w:hAnsi="Arial" w:cs="Arial"/>
          <w:lang w:val="en-PH"/>
        </w:rPr>
      </w:pPr>
    </w:p>
    <w:p w14:paraId="45FF4AC9" w14:textId="1EE2CC5D" w:rsidR="008A3727" w:rsidRPr="008A3727" w:rsidRDefault="008A3727" w:rsidP="008A3727">
      <w:pPr>
        <w:pStyle w:val="Body"/>
        <w:rPr>
          <w:rFonts w:ascii="Arial" w:hAnsi="Arial" w:cs="Arial"/>
          <w:lang w:val="en-PH"/>
        </w:rPr>
      </w:pPr>
      <w:r w:rsidRPr="008A3727">
        <w:rPr>
          <w:rFonts w:ascii="Arial" w:hAnsi="Arial" w:cs="Arial"/>
          <w:lang w:val="en-PH"/>
        </w:rPr>
        <w:t xml:space="preserve">These statements reveal the centrality of students’ personal backgrounds in the learning process. When lessons resonate with students’ lived realities, their participation and comprehension are significantly enhanced. This finding resonates with Rathburn (2015), who emphasized that contextualization combined with reflective practice allows learners to connect new knowledge with prior experiences, thereby enhancing metacognitive skills. Furthermore, as </w:t>
      </w:r>
      <w:proofErr w:type="spellStart"/>
      <w:r w:rsidRPr="008A3727">
        <w:rPr>
          <w:rFonts w:ascii="Arial" w:hAnsi="Arial" w:cs="Arial"/>
          <w:lang w:val="en-PH"/>
        </w:rPr>
        <w:t>Czarnec</w:t>
      </w:r>
      <w:proofErr w:type="spellEnd"/>
      <w:r w:rsidRPr="008A3727">
        <w:rPr>
          <w:rFonts w:ascii="Arial" w:hAnsi="Arial" w:cs="Arial"/>
          <w:lang w:val="en-PH"/>
        </w:rPr>
        <w:t xml:space="preserve"> and Hill (2018) noted, students’ prior experiences (schema) play a </w:t>
      </w:r>
      <w:r w:rsidRPr="008A3727">
        <w:rPr>
          <w:rFonts w:ascii="Arial" w:hAnsi="Arial" w:cs="Arial"/>
          <w:lang w:val="en-PH"/>
        </w:rPr>
        <w:lastRenderedPageBreak/>
        <w:t>crucial role in enabling them to recall and generate necessary information when new content is introduced.</w:t>
      </w:r>
    </w:p>
    <w:p w14:paraId="641080C6" w14:textId="231A8A43" w:rsidR="00BF36D9" w:rsidRPr="00B16912" w:rsidRDefault="008A3727" w:rsidP="00BF36D9">
      <w:pPr>
        <w:pStyle w:val="Body"/>
        <w:rPr>
          <w:rFonts w:ascii="Arial" w:hAnsi="Arial" w:cs="Arial"/>
          <w:b/>
          <w:bCs/>
        </w:rPr>
      </w:pPr>
      <w:r w:rsidRPr="00B16912">
        <w:rPr>
          <w:rFonts w:ascii="Arial" w:hAnsi="Arial" w:cs="Arial"/>
          <w:b/>
          <w:bCs/>
        </w:rPr>
        <w:t>Table 2. Teachers’ Strategies for Contextualizing the Gender and Society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8A3727" w:rsidRPr="008A3727" w14:paraId="7FED5835" w14:textId="77777777" w:rsidTr="00B16912">
        <w:trPr>
          <w:trHeight w:val="314"/>
        </w:trPr>
        <w:tc>
          <w:tcPr>
            <w:tcW w:w="1998" w:type="dxa"/>
            <w:tcBorders>
              <w:top w:val="single" w:sz="4" w:space="0" w:color="auto"/>
              <w:bottom w:val="single" w:sz="4" w:space="0" w:color="auto"/>
            </w:tcBorders>
            <w:vAlign w:val="center"/>
          </w:tcPr>
          <w:p w14:paraId="07C03A2C" w14:textId="1861B29F" w:rsidR="008A3727" w:rsidRPr="008A3727" w:rsidRDefault="008A3727" w:rsidP="00B16912">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74846493" w14:textId="770E43E4" w:rsidR="008A3727" w:rsidRPr="008A3727" w:rsidRDefault="008A3727" w:rsidP="00B16912">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16135D42" w14:textId="794F82A0" w:rsidR="008A3727" w:rsidRPr="008A3727" w:rsidRDefault="008A3727" w:rsidP="00B16912">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Particulars</w:t>
            </w:r>
          </w:p>
        </w:tc>
      </w:tr>
      <w:tr w:rsidR="009633F4" w:rsidRPr="008A3727" w14:paraId="62522ECF" w14:textId="77777777" w:rsidTr="00B16912">
        <w:trPr>
          <w:trHeight w:val="1961"/>
        </w:trPr>
        <w:tc>
          <w:tcPr>
            <w:tcW w:w="1998" w:type="dxa"/>
            <w:tcBorders>
              <w:top w:val="single" w:sz="4" w:space="0" w:color="auto"/>
            </w:tcBorders>
          </w:tcPr>
          <w:p w14:paraId="4F5DE20A" w14:textId="6C6C2A1A" w:rsidR="009633F4" w:rsidRPr="009633F4" w:rsidRDefault="009633F4" w:rsidP="009633F4">
            <w:pPr>
              <w:pStyle w:val="Body"/>
              <w:spacing w:after="0"/>
              <w:jc w:val="left"/>
              <w:rPr>
                <w:rFonts w:ascii="Arial" w:hAnsi="Arial" w:cs="Arial"/>
                <w:b/>
                <w:bCs/>
                <w:sz w:val="20"/>
                <w:szCs w:val="20"/>
              </w:rPr>
            </w:pPr>
            <w:r w:rsidRPr="009633F4">
              <w:rPr>
                <w:rStyle w:val="Strong"/>
                <w:rFonts w:ascii="Arial" w:hAnsi="Arial" w:cs="Arial"/>
                <w:b w:val="0"/>
                <w:bCs w:val="0"/>
                <w:sz w:val="20"/>
                <w:szCs w:val="20"/>
              </w:rPr>
              <w:t>Drawing on Students’ Experiences</w:t>
            </w:r>
          </w:p>
        </w:tc>
        <w:tc>
          <w:tcPr>
            <w:tcW w:w="2250" w:type="dxa"/>
            <w:tcBorders>
              <w:top w:val="single" w:sz="4" w:space="0" w:color="auto"/>
            </w:tcBorders>
          </w:tcPr>
          <w:p w14:paraId="4764A008" w14:textId="77777777"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Reflection from </w:t>
            </w:r>
          </w:p>
          <w:p w14:paraId="0488C9B0" w14:textId="77777777" w:rsidR="009633F4"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experiences </w:t>
            </w:r>
          </w:p>
          <w:p w14:paraId="7DE00D85" w14:textId="77777777" w:rsidR="009633F4" w:rsidRDefault="009633F4" w:rsidP="009633F4">
            <w:pPr>
              <w:spacing w:line="259" w:lineRule="auto"/>
              <w:rPr>
                <w:rFonts w:ascii="Arial" w:hAnsi="Arial" w:cs="Arial"/>
                <w:color w:val="000000"/>
                <w:kern w:val="2"/>
                <w:sz w:val="20"/>
                <w:szCs w:val="20"/>
                <w:lang w:val="en-PH" w:eastAsia="en-PH"/>
              </w:rPr>
            </w:pPr>
          </w:p>
          <w:p w14:paraId="5FB56BFA" w14:textId="62FBBAB8"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student’s experiences </w:t>
            </w:r>
          </w:p>
        </w:tc>
        <w:tc>
          <w:tcPr>
            <w:tcW w:w="4176" w:type="dxa"/>
            <w:tcBorders>
              <w:top w:val="single" w:sz="4" w:space="0" w:color="auto"/>
            </w:tcBorders>
          </w:tcPr>
          <w:p w14:paraId="7AE9D63C" w14:textId="77777777" w:rsidR="009633F4" w:rsidRPr="008A3727" w:rsidRDefault="009633F4" w:rsidP="009633F4">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Give activities that encourage students to reflect on their own experiences. (T3) </w:t>
            </w:r>
          </w:p>
          <w:p w14:paraId="77CCA285" w14:textId="6DE044FB" w:rsidR="009633F4" w:rsidRPr="008A3727" w:rsidRDefault="009633F4" w:rsidP="009633F4">
            <w:pPr>
              <w:spacing w:line="259" w:lineRule="auto"/>
              <w:rPr>
                <w:rFonts w:ascii="Arial" w:hAnsi="Arial" w:cs="Arial"/>
                <w:color w:val="000000"/>
                <w:kern w:val="2"/>
                <w:sz w:val="20"/>
                <w:szCs w:val="20"/>
                <w:lang w:val="en-PH" w:eastAsia="en-PH"/>
              </w:rPr>
            </w:pPr>
          </w:p>
          <w:p w14:paraId="0083C9B9" w14:textId="77777777" w:rsidR="009633F4" w:rsidRPr="008A3727" w:rsidRDefault="009633F4" w:rsidP="009633F4">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The experiences of the students are integrated. (T4) </w:t>
            </w:r>
          </w:p>
          <w:p w14:paraId="5ADE65FE" w14:textId="4FC353B5" w:rsidR="009633F4" w:rsidRPr="008A3727" w:rsidRDefault="009633F4" w:rsidP="009633F4">
            <w:pPr>
              <w:spacing w:line="259" w:lineRule="auto"/>
              <w:rPr>
                <w:rFonts w:ascii="Arial" w:hAnsi="Arial" w:cs="Arial"/>
                <w:color w:val="000000"/>
                <w:kern w:val="2"/>
                <w:sz w:val="20"/>
                <w:szCs w:val="20"/>
                <w:lang w:val="en-PH" w:eastAsia="en-PH"/>
              </w:rPr>
            </w:pPr>
          </w:p>
          <w:p w14:paraId="4DFC4790" w14:textId="20FBAC6D" w:rsidR="009633F4" w:rsidRPr="008A3727" w:rsidRDefault="009633F4" w:rsidP="009633F4">
            <w:pPr>
              <w:pStyle w:val="Body"/>
              <w:spacing w:after="0"/>
              <w:jc w:val="left"/>
              <w:rPr>
                <w:rFonts w:ascii="Arial" w:hAnsi="Arial" w:cs="Arial"/>
                <w:sz w:val="20"/>
                <w:szCs w:val="20"/>
              </w:rPr>
            </w:pPr>
            <w:r w:rsidRPr="008A3727">
              <w:rPr>
                <w:rFonts w:ascii="Arial" w:hAnsi="Arial" w:cs="Arial"/>
                <w:color w:val="000000"/>
                <w:kern w:val="2"/>
                <w:sz w:val="20"/>
                <w:szCs w:val="20"/>
                <w:lang w:val="en-PH" w:eastAsia="en-PH"/>
              </w:rPr>
              <w:t xml:space="preserve">The experiences of the students are incorporated in the class discussion. (T5) </w:t>
            </w:r>
          </w:p>
        </w:tc>
      </w:tr>
      <w:tr w:rsidR="009633F4" w:rsidRPr="008A3727" w14:paraId="481F8F9E" w14:textId="77777777" w:rsidTr="00B16912">
        <w:trPr>
          <w:trHeight w:val="2339"/>
        </w:trPr>
        <w:tc>
          <w:tcPr>
            <w:tcW w:w="1998" w:type="dxa"/>
          </w:tcPr>
          <w:p w14:paraId="05DAB0B1" w14:textId="5B4EFAC0" w:rsidR="009633F4" w:rsidRPr="009633F4" w:rsidRDefault="009633F4" w:rsidP="009633F4">
            <w:pPr>
              <w:pStyle w:val="Body"/>
              <w:spacing w:after="0"/>
              <w:jc w:val="left"/>
              <w:rPr>
                <w:rFonts w:ascii="Arial" w:hAnsi="Arial" w:cs="Arial"/>
                <w:b/>
                <w:bCs/>
                <w:sz w:val="20"/>
                <w:szCs w:val="20"/>
              </w:rPr>
            </w:pPr>
            <w:r w:rsidRPr="009633F4">
              <w:rPr>
                <w:rStyle w:val="Strong"/>
                <w:rFonts w:ascii="Arial" w:hAnsi="Arial" w:cs="Arial"/>
                <w:b w:val="0"/>
                <w:bCs w:val="0"/>
                <w:sz w:val="20"/>
                <w:szCs w:val="20"/>
              </w:rPr>
              <w:t>Employing Local Examples</w:t>
            </w:r>
          </w:p>
        </w:tc>
        <w:tc>
          <w:tcPr>
            <w:tcW w:w="2250" w:type="dxa"/>
          </w:tcPr>
          <w:p w14:paraId="4A6DCA17" w14:textId="77777777"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w:t>
            </w:r>
          </w:p>
          <w:p w14:paraId="31B92296" w14:textId="00BFF57F"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Local examples </w:t>
            </w:r>
          </w:p>
        </w:tc>
        <w:tc>
          <w:tcPr>
            <w:tcW w:w="4176" w:type="dxa"/>
          </w:tcPr>
          <w:p w14:paraId="6040ACBE" w14:textId="77777777" w:rsidR="009633F4" w:rsidRPr="008A3727" w:rsidRDefault="009633F4" w:rsidP="009633F4">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Use of local and regional examples to demonstrate larger gender dynamics. (T1) </w:t>
            </w:r>
          </w:p>
          <w:p w14:paraId="2C2FD934" w14:textId="77777777" w:rsidR="009633F4" w:rsidRPr="008A3727" w:rsidRDefault="009633F4" w:rsidP="009633F4">
            <w:pPr>
              <w:spacing w:line="238" w:lineRule="auto"/>
              <w:ind w:left="-23"/>
              <w:rPr>
                <w:rFonts w:ascii="Arial" w:hAnsi="Arial" w:cs="Arial"/>
                <w:color w:val="000000"/>
                <w:sz w:val="20"/>
                <w:szCs w:val="20"/>
              </w:rPr>
            </w:pPr>
          </w:p>
          <w:p w14:paraId="42AC741C" w14:textId="77777777" w:rsidR="009633F4" w:rsidRPr="008A3727" w:rsidRDefault="009633F4" w:rsidP="009633F4">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Integrate local examples of issues. (T3)</w:t>
            </w:r>
          </w:p>
          <w:p w14:paraId="6CEF364D" w14:textId="77777777" w:rsidR="009633F4" w:rsidRPr="008A3727" w:rsidRDefault="009633F4" w:rsidP="009633F4">
            <w:pPr>
              <w:spacing w:line="238" w:lineRule="auto"/>
              <w:ind w:left="-23"/>
              <w:rPr>
                <w:rFonts w:ascii="Arial" w:hAnsi="Arial" w:cs="Arial"/>
                <w:color w:val="000000"/>
                <w:sz w:val="20"/>
                <w:szCs w:val="20"/>
              </w:rPr>
            </w:pPr>
          </w:p>
          <w:p w14:paraId="300329E6" w14:textId="77777777" w:rsidR="009633F4" w:rsidRPr="008A3727" w:rsidRDefault="009633F4" w:rsidP="009633F4">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Examples and concepts that I present in class are from the local community (T2) </w:t>
            </w:r>
          </w:p>
          <w:p w14:paraId="046B3533" w14:textId="77777777" w:rsidR="009633F4" w:rsidRPr="008A3727" w:rsidRDefault="009633F4" w:rsidP="009633F4">
            <w:pPr>
              <w:spacing w:line="238" w:lineRule="auto"/>
              <w:ind w:left="-23"/>
              <w:rPr>
                <w:rFonts w:ascii="Arial" w:hAnsi="Arial" w:cs="Arial"/>
                <w:color w:val="000000"/>
                <w:sz w:val="20"/>
                <w:szCs w:val="20"/>
              </w:rPr>
            </w:pPr>
          </w:p>
          <w:p w14:paraId="26709562" w14:textId="1FE4946F" w:rsidR="009633F4" w:rsidRPr="008A3727" w:rsidRDefault="009633F4" w:rsidP="009633F4">
            <w:pPr>
              <w:pStyle w:val="Body"/>
              <w:spacing w:after="0"/>
              <w:ind w:left="-23"/>
              <w:jc w:val="left"/>
              <w:rPr>
                <w:rFonts w:ascii="Arial" w:hAnsi="Arial" w:cs="Arial"/>
                <w:sz w:val="20"/>
                <w:szCs w:val="20"/>
              </w:rPr>
            </w:pPr>
            <w:r w:rsidRPr="008A3727">
              <w:rPr>
                <w:rFonts w:ascii="Arial" w:hAnsi="Arial" w:cs="Arial"/>
                <w:color w:val="000000"/>
                <w:kern w:val="2"/>
                <w:sz w:val="20"/>
                <w:szCs w:val="20"/>
                <w:lang w:val="en-PH" w:eastAsia="en-PH"/>
              </w:rPr>
              <w:t>Concepts and examples are borrowed from the local culture of the students.</w:t>
            </w:r>
            <w:r w:rsidRPr="008A3727">
              <w:rPr>
                <w:rFonts w:ascii="Arial" w:hAnsi="Arial" w:cs="Arial"/>
                <w:color w:val="000000"/>
                <w:sz w:val="20"/>
                <w:szCs w:val="20"/>
              </w:rPr>
              <w:t xml:space="preserve"> </w:t>
            </w:r>
            <w:r w:rsidRPr="008A3727">
              <w:rPr>
                <w:rFonts w:ascii="Arial" w:hAnsi="Arial" w:cs="Arial"/>
                <w:color w:val="000000"/>
                <w:kern w:val="2"/>
                <w:sz w:val="20"/>
                <w:szCs w:val="20"/>
                <w:lang w:val="en-PH" w:eastAsia="en-PH"/>
              </w:rPr>
              <w:t xml:space="preserve">(T5) </w:t>
            </w:r>
          </w:p>
        </w:tc>
      </w:tr>
      <w:tr w:rsidR="009633F4" w:rsidRPr="008A3727" w14:paraId="7126FB18" w14:textId="77777777" w:rsidTr="00B16912">
        <w:trPr>
          <w:trHeight w:val="1458"/>
        </w:trPr>
        <w:tc>
          <w:tcPr>
            <w:tcW w:w="1998" w:type="dxa"/>
            <w:tcBorders>
              <w:bottom w:val="single" w:sz="4" w:space="0" w:color="auto"/>
            </w:tcBorders>
          </w:tcPr>
          <w:p w14:paraId="0316E011" w14:textId="540E578F" w:rsidR="009633F4" w:rsidRPr="009633F4" w:rsidRDefault="009633F4" w:rsidP="009633F4">
            <w:pPr>
              <w:spacing w:line="238" w:lineRule="auto"/>
              <w:ind w:right="15"/>
              <w:rPr>
                <w:rFonts w:ascii="Arial" w:hAnsi="Arial" w:cs="Arial"/>
                <w:b/>
                <w:bCs/>
                <w:color w:val="000000"/>
                <w:kern w:val="2"/>
                <w:sz w:val="20"/>
                <w:szCs w:val="20"/>
                <w:lang w:val="en-PH" w:eastAsia="en-PH"/>
              </w:rPr>
            </w:pPr>
            <w:r w:rsidRPr="009633F4">
              <w:rPr>
                <w:rStyle w:val="Strong"/>
                <w:rFonts w:ascii="Arial" w:hAnsi="Arial" w:cs="Arial"/>
                <w:b w:val="0"/>
                <w:bCs w:val="0"/>
                <w:sz w:val="20"/>
                <w:szCs w:val="20"/>
              </w:rPr>
              <w:t>Integrating Students’ Cultural Contexts</w:t>
            </w:r>
          </w:p>
        </w:tc>
        <w:tc>
          <w:tcPr>
            <w:tcW w:w="2250" w:type="dxa"/>
            <w:tcBorders>
              <w:bottom w:val="single" w:sz="4" w:space="0" w:color="auto"/>
            </w:tcBorders>
          </w:tcPr>
          <w:p w14:paraId="33E83439" w14:textId="77777777" w:rsidR="009633F4" w:rsidRPr="008A3727" w:rsidRDefault="009633F4" w:rsidP="009633F4">
            <w:pPr>
              <w:spacing w:line="238" w:lineRule="auto"/>
              <w:ind w:right="150"/>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Incorporation of student’s culture </w:t>
            </w:r>
          </w:p>
          <w:p w14:paraId="6E283BBB" w14:textId="77777777"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 </w:t>
            </w:r>
          </w:p>
          <w:p w14:paraId="18886AA6" w14:textId="77777777" w:rsidR="009633F4" w:rsidRPr="008A3727" w:rsidRDefault="009633F4" w:rsidP="009633F4">
            <w:pPr>
              <w:spacing w:line="238" w:lineRule="auto"/>
              <w:ind w:right="124"/>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Use of culturally relevant </w:t>
            </w:r>
          </w:p>
          <w:p w14:paraId="1F9E8C66" w14:textId="67B02F49" w:rsidR="009633F4" w:rsidRPr="00B16912"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examples </w:t>
            </w:r>
          </w:p>
        </w:tc>
        <w:tc>
          <w:tcPr>
            <w:tcW w:w="4176" w:type="dxa"/>
            <w:tcBorders>
              <w:bottom w:val="single" w:sz="4" w:space="0" w:color="auto"/>
            </w:tcBorders>
          </w:tcPr>
          <w:p w14:paraId="70138DD0" w14:textId="3BD70E7B" w:rsidR="009633F4" w:rsidRPr="008A3727" w:rsidRDefault="009633F4" w:rsidP="009633F4">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Students share their observations from their own culture (T2) </w:t>
            </w:r>
          </w:p>
          <w:p w14:paraId="288F1606" w14:textId="758EFE1E" w:rsidR="009633F4" w:rsidRPr="008A3727" w:rsidRDefault="009633F4" w:rsidP="009633F4">
            <w:pPr>
              <w:spacing w:line="259" w:lineRule="auto"/>
              <w:rPr>
                <w:rFonts w:ascii="Arial" w:hAnsi="Arial" w:cs="Arial"/>
                <w:color w:val="000000"/>
                <w:kern w:val="2"/>
                <w:sz w:val="20"/>
                <w:szCs w:val="20"/>
                <w:lang w:val="en-PH" w:eastAsia="en-PH"/>
              </w:rPr>
            </w:pPr>
          </w:p>
          <w:p w14:paraId="207CDC95" w14:textId="048A07ED" w:rsidR="009633F4" w:rsidRPr="00B16912" w:rsidRDefault="009633F4" w:rsidP="009633F4">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Usually examples are situated in the culture of the students. (T6) </w:t>
            </w:r>
          </w:p>
        </w:tc>
      </w:tr>
    </w:tbl>
    <w:p w14:paraId="1F9A9AF5" w14:textId="77777777" w:rsidR="008A3727" w:rsidRDefault="008A3727" w:rsidP="00B16912">
      <w:pPr>
        <w:pStyle w:val="Body"/>
        <w:spacing w:after="0"/>
        <w:rPr>
          <w:rFonts w:ascii="Arial" w:hAnsi="Arial" w:cs="Arial"/>
        </w:rPr>
      </w:pPr>
    </w:p>
    <w:p w14:paraId="0865C18B" w14:textId="00F5D532" w:rsidR="00B16912" w:rsidRPr="00B16912" w:rsidRDefault="00B16912" w:rsidP="00B16912">
      <w:pPr>
        <w:pStyle w:val="Body"/>
        <w:rPr>
          <w:rFonts w:ascii="Arial" w:hAnsi="Arial" w:cs="Arial"/>
          <w:b/>
          <w:bCs/>
          <w:u w:val="single"/>
        </w:rPr>
      </w:pPr>
      <w:r w:rsidRPr="00B16912">
        <w:rPr>
          <w:rFonts w:ascii="Arial" w:hAnsi="Arial" w:cs="Arial"/>
          <w:b/>
          <w:bCs/>
          <w:u w:val="single"/>
        </w:rPr>
        <w:t xml:space="preserve">3.2.2 </w:t>
      </w:r>
      <w:r w:rsidR="009633F4" w:rsidRPr="009633F4">
        <w:rPr>
          <w:rFonts w:ascii="Arial" w:hAnsi="Arial" w:cs="Arial"/>
          <w:b/>
          <w:bCs/>
          <w:u w:val="single"/>
        </w:rPr>
        <w:t>Employing Local Examples</w:t>
      </w:r>
    </w:p>
    <w:p w14:paraId="28A320EC" w14:textId="6AC5459D" w:rsidR="00B16912" w:rsidRPr="00B16912" w:rsidRDefault="00B16912" w:rsidP="00B16912">
      <w:pPr>
        <w:pStyle w:val="Body"/>
        <w:rPr>
          <w:rFonts w:ascii="Arial" w:hAnsi="Arial" w:cs="Arial"/>
        </w:rPr>
      </w:pPr>
      <w:r w:rsidRPr="00B16912">
        <w:rPr>
          <w:rFonts w:ascii="Arial" w:hAnsi="Arial" w:cs="Arial"/>
        </w:rPr>
        <w:t>Another strategy that emerged was the use of local examples to make abstract concepts tangible. Teachers deliberately adapted lesson content to the realities of their communities by drawing from local sources such as literature, news, and lived experiences.</w:t>
      </w:r>
    </w:p>
    <w:p w14:paraId="56E75DB7" w14:textId="6E5D5ECD" w:rsidR="00B16912" w:rsidRPr="00B16912" w:rsidRDefault="00B16912" w:rsidP="00B16912">
      <w:pPr>
        <w:pStyle w:val="Body"/>
        <w:rPr>
          <w:rFonts w:ascii="Arial" w:hAnsi="Arial" w:cs="Arial"/>
        </w:rPr>
      </w:pPr>
      <w:r w:rsidRPr="00B16912">
        <w:rPr>
          <w:rFonts w:ascii="Arial" w:hAnsi="Arial" w:cs="Arial"/>
          <w:i/>
          <w:iCs/>
        </w:rPr>
        <w:t>“Students' individual experiences are made relevant to the course by my use of local and regional examples to demonstrate larger gender dynamics. For greater knowledge and involvement, I urge students to relate the course material to their own life.”</w:t>
      </w:r>
      <w:r w:rsidRPr="00B16912">
        <w:rPr>
          <w:rFonts w:ascii="Arial" w:hAnsi="Arial" w:cs="Arial"/>
        </w:rPr>
        <w:t xml:space="preserve"> </w:t>
      </w:r>
      <w:r>
        <w:rPr>
          <w:rFonts w:ascii="Arial" w:hAnsi="Arial" w:cs="Arial"/>
        </w:rPr>
        <w:t xml:space="preserve">– </w:t>
      </w:r>
      <w:r w:rsidRPr="00B16912">
        <w:rPr>
          <w:rFonts w:ascii="Arial" w:hAnsi="Arial" w:cs="Arial"/>
        </w:rPr>
        <w:t>Teacher 1</w:t>
      </w:r>
    </w:p>
    <w:p w14:paraId="64C2682E" w14:textId="5453EB5B" w:rsidR="00B16912" w:rsidRPr="00B16912" w:rsidRDefault="00B16912" w:rsidP="00B16912">
      <w:pPr>
        <w:pStyle w:val="Body"/>
        <w:rPr>
          <w:rFonts w:ascii="Arial" w:hAnsi="Arial" w:cs="Arial"/>
        </w:rPr>
      </w:pPr>
      <w:r w:rsidRPr="00B16912">
        <w:rPr>
          <w:rFonts w:ascii="Arial" w:hAnsi="Arial" w:cs="Arial"/>
          <w:i/>
          <w:iCs/>
        </w:rPr>
        <w:t>“I always make sure that the examples and concepts that I present in class are from the local community or at least based on their culture. I also use local sources such as literatures, and real situations in the community so that they can relate to the lessons.”</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1C075439" w14:textId="3BB85427" w:rsidR="00B16912" w:rsidRPr="00B16912" w:rsidRDefault="00B16912" w:rsidP="00B16912">
      <w:pPr>
        <w:pStyle w:val="Body"/>
        <w:rPr>
          <w:rFonts w:ascii="Arial" w:hAnsi="Arial" w:cs="Arial"/>
        </w:rPr>
      </w:pPr>
      <w:r w:rsidRPr="00B16912">
        <w:rPr>
          <w:rFonts w:ascii="Arial" w:hAnsi="Arial" w:cs="Arial"/>
          <w:i/>
          <w:iCs/>
        </w:rPr>
        <w:t>“In my gender and society class, we usually integrate local examples of issues. I also include materials that were produced in the locality like stories, newspapers, and magazines.”</w:t>
      </w:r>
      <w:r>
        <w:rPr>
          <w:rFonts w:ascii="Arial" w:hAnsi="Arial" w:cs="Arial"/>
        </w:rPr>
        <w:t xml:space="preserve"> - </w:t>
      </w:r>
      <w:r w:rsidRPr="00B16912">
        <w:rPr>
          <w:rFonts w:ascii="Arial" w:hAnsi="Arial" w:cs="Arial"/>
        </w:rPr>
        <w:t>Teacher 3</w:t>
      </w:r>
    </w:p>
    <w:p w14:paraId="326AB83A" w14:textId="05724AB5" w:rsidR="00B16912" w:rsidRPr="00B16912" w:rsidRDefault="00B16912" w:rsidP="00B16912">
      <w:pPr>
        <w:pStyle w:val="Body"/>
        <w:rPr>
          <w:rFonts w:ascii="Arial" w:hAnsi="Arial" w:cs="Arial"/>
        </w:rPr>
      </w:pPr>
      <w:r w:rsidRPr="00B16912">
        <w:rPr>
          <w:rFonts w:ascii="Arial" w:hAnsi="Arial" w:cs="Arial"/>
          <w:i/>
          <w:iCs/>
        </w:rPr>
        <w:t>“Students share their experiences from their personal lives. Also, in delivering the topics, concepts and examples are borrowed from the local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5</w:t>
      </w:r>
    </w:p>
    <w:p w14:paraId="4A0AAE5F" w14:textId="72646936" w:rsidR="00B16912" w:rsidRPr="00B16912" w:rsidRDefault="00B16912" w:rsidP="00B16912">
      <w:pPr>
        <w:pStyle w:val="Body"/>
        <w:rPr>
          <w:rFonts w:ascii="Arial" w:hAnsi="Arial" w:cs="Arial"/>
        </w:rPr>
      </w:pPr>
      <w:r w:rsidRPr="00B16912">
        <w:rPr>
          <w:rFonts w:ascii="Arial" w:hAnsi="Arial" w:cs="Arial"/>
        </w:rPr>
        <w:lastRenderedPageBreak/>
        <w:t xml:space="preserve">The reliance on local examples affirms the pedagogical principle that contextualization enhances engagement and comprehension. As </w:t>
      </w:r>
      <w:proofErr w:type="spellStart"/>
      <w:r w:rsidRPr="00B16912">
        <w:rPr>
          <w:rFonts w:ascii="Arial" w:hAnsi="Arial" w:cs="Arial"/>
        </w:rPr>
        <w:t>Nataño</w:t>
      </w:r>
      <w:proofErr w:type="spellEnd"/>
      <w:r w:rsidRPr="00B16912">
        <w:rPr>
          <w:rFonts w:ascii="Arial" w:hAnsi="Arial" w:cs="Arial"/>
        </w:rPr>
        <w:t xml:space="preserve"> (2023) found, using locally relevant illustrations fosters deeper understanding of concepts. Similarly, Carleton College (2017) emphasized that incorporating local examples bridges classroom learning with real-world issues, thereby enhancing students’ civic awareness and critical thinking. Moreover, this approach aligns with constitutional mandates that promote nationalism and patriotism through education (Philippine Official Gazette, n.d.).</w:t>
      </w:r>
    </w:p>
    <w:p w14:paraId="4FDFEC70" w14:textId="2BB505CB" w:rsidR="00B16912" w:rsidRPr="00B16912" w:rsidRDefault="00B16912" w:rsidP="00B16912">
      <w:pPr>
        <w:pStyle w:val="Body"/>
        <w:rPr>
          <w:rFonts w:ascii="Arial" w:hAnsi="Arial" w:cs="Arial"/>
          <w:b/>
          <w:bCs/>
          <w:u w:val="single"/>
        </w:rPr>
      </w:pPr>
      <w:r w:rsidRPr="00B16912">
        <w:rPr>
          <w:rFonts w:ascii="Arial" w:hAnsi="Arial" w:cs="Arial"/>
          <w:b/>
          <w:bCs/>
          <w:u w:val="single"/>
        </w:rPr>
        <w:t xml:space="preserve">3.2.3 </w:t>
      </w:r>
      <w:r w:rsidR="009633F4" w:rsidRPr="009633F4">
        <w:rPr>
          <w:rFonts w:ascii="Arial" w:hAnsi="Arial" w:cs="Arial"/>
          <w:b/>
          <w:bCs/>
          <w:u w:val="single"/>
        </w:rPr>
        <w:t>Integrating Students’ Cultural Contexts</w:t>
      </w:r>
    </w:p>
    <w:p w14:paraId="754E061C" w14:textId="5508AE51" w:rsidR="00B16912" w:rsidRPr="00B16912" w:rsidRDefault="00B16912" w:rsidP="00B16912">
      <w:pPr>
        <w:pStyle w:val="Body"/>
        <w:rPr>
          <w:rFonts w:ascii="Arial" w:hAnsi="Arial" w:cs="Arial"/>
        </w:rPr>
      </w:pPr>
      <w:r w:rsidRPr="00B16912">
        <w:rPr>
          <w:rFonts w:ascii="Arial" w:hAnsi="Arial" w:cs="Arial"/>
        </w:rPr>
        <w:t>The third strategy identified was the integration of students’ cultural contexts into instruction. Teachers emphasized the importance of drawing from cultural practices, traditions, and local knowledge to make lessons more inclusive and meaningful.</w:t>
      </w:r>
    </w:p>
    <w:p w14:paraId="2D0C8DE6" w14:textId="12F84222" w:rsidR="00B16912" w:rsidRPr="00B16912" w:rsidRDefault="00B16912" w:rsidP="00B16912">
      <w:pPr>
        <w:pStyle w:val="Body"/>
        <w:rPr>
          <w:rFonts w:ascii="Arial" w:hAnsi="Arial" w:cs="Arial"/>
        </w:rPr>
      </w:pPr>
      <w:r w:rsidRPr="00B16912">
        <w:rPr>
          <w:rFonts w:ascii="Arial" w:hAnsi="Arial" w:cs="Arial"/>
          <w:i/>
          <w:iCs/>
        </w:rPr>
        <w:t>“I let my students share their observations from their own culture and incorporate them when discussing our lesson. I let my students share their observations from their own culture and incorporate them when discussing our lesson.”</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54E1D1E9" w14:textId="1CFBF804" w:rsidR="00B16912" w:rsidRPr="00B16912" w:rsidRDefault="00B16912" w:rsidP="00B16912">
      <w:pPr>
        <w:pStyle w:val="Body"/>
        <w:rPr>
          <w:rFonts w:ascii="Arial" w:hAnsi="Arial" w:cs="Arial"/>
        </w:rPr>
      </w:pPr>
      <w:r w:rsidRPr="00B16912">
        <w:rPr>
          <w:rFonts w:ascii="Arial" w:hAnsi="Arial" w:cs="Arial"/>
          <w:i/>
          <w:iCs/>
        </w:rPr>
        <w:t>“A lesson in Gender and Society is contextualized if the content of the lesson includes examples and concepts that are related in the context or community of the students. Usually examples are situated in the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6</w:t>
      </w:r>
    </w:p>
    <w:p w14:paraId="5C4D754E" w14:textId="7495849A" w:rsidR="00B16912" w:rsidRPr="00B16912" w:rsidRDefault="00B16912" w:rsidP="00B16912">
      <w:pPr>
        <w:pStyle w:val="Body"/>
        <w:rPr>
          <w:rFonts w:ascii="Arial" w:hAnsi="Arial" w:cs="Arial"/>
        </w:rPr>
      </w:pPr>
      <w:r w:rsidRPr="00B16912">
        <w:rPr>
          <w:rFonts w:ascii="Arial" w:hAnsi="Arial" w:cs="Arial"/>
        </w:rPr>
        <w:t xml:space="preserve">These responses highlight how cultural integration strengthens contextualization by connecting course concepts with students’ identities and communities. </w:t>
      </w:r>
      <w:proofErr w:type="spellStart"/>
      <w:r w:rsidRPr="00B16912">
        <w:rPr>
          <w:rFonts w:ascii="Arial" w:hAnsi="Arial" w:cs="Arial"/>
        </w:rPr>
        <w:t>Jalotjot</w:t>
      </w:r>
      <w:proofErr w:type="spellEnd"/>
      <w:r w:rsidRPr="00B16912">
        <w:rPr>
          <w:rFonts w:ascii="Arial" w:hAnsi="Arial" w:cs="Arial"/>
        </w:rPr>
        <w:t xml:space="preserve"> and </w:t>
      </w:r>
      <w:proofErr w:type="spellStart"/>
      <w:r w:rsidRPr="00B16912">
        <w:rPr>
          <w:rFonts w:ascii="Arial" w:hAnsi="Arial" w:cs="Arial"/>
        </w:rPr>
        <w:t>Fidelino</w:t>
      </w:r>
      <w:proofErr w:type="spellEnd"/>
      <w:r w:rsidRPr="00B16912">
        <w:rPr>
          <w:rFonts w:ascii="Arial" w:hAnsi="Arial" w:cs="Arial"/>
        </w:rPr>
        <w:t xml:space="preserve"> (2023) argued that one hallmark of localized learning materials is their capacity to reflect learners’ culture and local knowledge. This finding also echoes </w:t>
      </w:r>
      <w:proofErr w:type="spellStart"/>
      <w:r w:rsidRPr="00B16912">
        <w:rPr>
          <w:rFonts w:ascii="Arial" w:hAnsi="Arial" w:cs="Arial"/>
        </w:rPr>
        <w:t>Bendijo</w:t>
      </w:r>
      <w:proofErr w:type="spellEnd"/>
      <w:r w:rsidRPr="00B16912">
        <w:rPr>
          <w:rFonts w:ascii="Arial" w:hAnsi="Arial" w:cs="Arial"/>
        </w:rPr>
        <w:t xml:space="preserve"> et al. (2022), who demonstrated that localization strategies improve learning outcomes by making instructional content culturally responsive. Montemayor (2018) further asserted that culture-based education requires embedding traditions, practices, and local knowledge into lessons, thereby fostering inclusivity and engagement.</w:t>
      </w:r>
    </w:p>
    <w:p w14:paraId="0F553F69" w14:textId="229A2541" w:rsidR="00BF36D9" w:rsidRDefault="00B16912" w:rsidP="00B16912">
      <w:pPr>
        <w:pStyle w:val="Body"/>
        <w:rPr>
          <w:rFonts w:ascii="Arial" w:hAnsi="Arial" w:cs="Arial"/>
        </w:rPr>
      </w:pPr>
      <w:r w:rsidRPr="00B16912">
        <w:rPr>
          <w:rFonts w:ascii="Arial" w:hAnsi="Arial" w:cs="Arial"/>
        </w:rPr>
        <w:t xml:space="preserve">The findings demonstrate that teachers in </w:t>
      </w:r>
      <w:proofErr w:type="spellStart"/>
      <w:r w:rsidRPr="00B16912">
        <w:rPr>
          <w:rFonts w:ascii="Arial" w:hAnsi="Arial" w:cs="Arial"/>
        </w:rPr>
        <w:t>Ilocos</w:t>
      </w:r>
      <w:proofErr w:type="spellEnd"/>
      <w:r w:rsidRPr="00B16912">
        <w:rPr>
          <w:rFonts w:ascii="Arial" w:hAnsi="Arial" w:cs="Arial"/>
        </w:rPr>
        <w:t xml:space="preserve"> Sur contextualize Gender and Society lessons through three interrelated strategies: leveraging students’ experiences, incorporating local examples, and integrating cultural contexts. Collectively, these approaches foster a student-centered learning environment that promotes active participation and deeper comprehension. The results also affirm existing scholarship which highlights that contextualization enhances metacognitive skills (Rathburn, 2015), aligns lessons with prior knowledge (</w:t>
      </w:r>
      <w:proofErr w:type="spellStart"/>
      <w:r w:rsidRPr="00B16912">
        <w:rPr>
          <w:rFonts w:ascii="Arial" w:hAnsi="Arial" w:cs="Arial"/>
        </w:rPr>
        <w:t>Czarnec</w:t>
      </w:r>
      <w:proofErr w:type="spellEnd"/>
      <w:r w:rsidRPr="00B16912">
        <w:rPr>
          <w:rFonts w:ascii="Arial" w:hAnsi="Arial" w:cs="Arial"/>
        </w:rPr>
        <w:t xml:space="preserve"> &amp; Hill, 2018), strengthens engagement through local relevance (</w:t>
      </w:r>
      <w:proofErr w:type="spellStart"/>
      <w:r w:rsidRPr="00B16912">
        <w:rPr>
          <w:rFonts w:ascii="Arial" w:hAnsi="Arial" w:cs="Arial"/>
        </w:rPr>
        <w:t>Nataño</w:t>
      </w:r>
      <w:proofErr w:type="spellEnd"/>
      <w:r w:rsidRPr="00B16912">
        <w:rPr>
          <w:rFonts w:ascii="Arial" w:hAnsi="Arial" w:cs="Arial"/>
        </w:rPr>
        <w:t>, 2023), and supports culture-based learning (</w:t>
      </w:r>
      <w:proofErr w:type="spellStart"/>
      <w:r w:rsidRPr="00B16912">
        <w:rPr>
          <w:rFonts w:ascii="Arial" w:hAnsi="Arial" w:cs="Arial"/>
        </w:rPr>
        <w:t>Bendijo</w:t>
      </w:r>
      <w:proofErr w:type="spellEnd"/>
      <w:r w:rsidRPr="00B16912">
        <w:rPr>
          <w:rFonts w:ascii="Arial" w:hAnsi="Arial" w:cs="Arial"/>
        </w:rPr>
        <w:t xml:space="preserve"> et al., 2022; Montemayor, 2018). Consequently, contextualization emerges not only as a pedagogical strategy but also as a vital means of affirming students’ identities, cultures, and lived experiences in higher education.</w:t>
      </w:r>
    </w:p>
    <w:p w14:paraId="0882676C" w14:textId="6EE0E2F0" w:rsidR="00B16912" w:rsidRPr="00B16912" w:rsidRDefault="00B16912" w:rsidP="00B16912">
      <w:pPr>
        <w:pStyle w:val="Body"/>
        <w:rPr>
          <w:rFonts w:ascii="Arial" w:hAnsi="Arial" w:cs="Arial"/>
          <w:b/>
          <w:bCs/>
          <w:sz w:val="22"/>
          <w:szCs w:val="22"/>
          <w:lang w:val="en-PH"/>
        </w:rPr>
      </w:pPr>
      <w:r w:rsidRPr="00AF7AE1">
        <w:rPr>
          <w:rFonts w:ascii="Arial" w:hAnsi="Arial" w:cs="Arial"/>
          <w:b/>
          <w:bCs/>
          <w:sz w:val="22"/>
          <w:szCs w:val="22"/>
        </w:rPr>
        <w:t>3.</w:t>
      </w:r>
      <w:r>
        <w:rPr>
          <w:rFonts w:ascii="Arial" w:hAnsi="Arial" w:cs="Arial"/>
          <w:b/>
          <w:bCs/>
          <w:sz w:val="22"/>
          <w:szCs w:val="22"/>
        </w:rPr>
        <w:t>3</w:t>
      </w:r>
      <w:r w:rsidRPr="00AF7AE1">
        <w:rPr>
          <w:rFonts w:ascii="Arial" w:hAnsi="Arial" w:cs="Arial"/>
          <w:b/>
          <w:bCs/>
          <w:sz w:val="22"/>
          <w:szCs w:val="22"/>
        </w:rPr>
        <w:t xml:space="preserve"> </w:t>
      </w:r>
      <w:r w:rsidRPr="00B16912">
        <w:rPr>
          <w:rFonts w:ascii="Arial" w:hAnsi="Arial" w:cs="Arial"/>
          <w:b/>
          <w:bCs/>
          <w:sz w:val="22"/>
          <w:szCs w:val="22"/>
          <w:lang w:val="en-PH"/>
        </w:rPr>
        <w:t xml:space="preserve">Barriers to Contextualizing the </w:t>
      </w:r>
      <w:r w:rsidRPr="00B16912">
        <w:rPr>
          <w:rFonts w:ascii="Arial" w:hAnsi="Arial" w:cs="Arial"/>
          <w:b/>
          <w:bCs/>
          <w:i/>
          <w:iCs/>
          <w:sz w:val="22"/>
          <w:szCs w:val="22"/>
          <w:lang w:val="en-PH"/>
        </w:rPr>
        <w:t>Gender and Society</w:t>
      </w:r>
      <w:r w:rsidRPr="00B16912">
        <w:rPr>
          <w:rFonts w:ascii="Arial" w:hAnsi="Arial" w:cs="Arial"/>
          <w:b/>
          <w:bCs/>
          <w:sz w:val="22"/>
          <w:szCs w:val="22"/>
          <w:lang w:val="en-PH"/>
        </w:rPr>
        <w:t xml:space="preserve"> Course: Teachers’ Perspectives</w:t>
      </w:r>
    </w:p>
    <w:p w14:paraId="2CE4C769" w14:textId="2EBAEE2A" w:rsidR="00BF36D9" w:rsidRDefault="00CB43DF" w:rsidP="00BF36D9">
      <w:pPr>
        <w:pStyle w:val="Body"/>
        <w:rPr>
          <w:rFonts w:ascii="Arial" w:hAnsi="Arial" w:cs="Arial"/>
        </w:rPr>
      </w:pPr>
      <w:r w:rsidRPr="00CB43DF">
        <w:rPr>
          <w:rFonts w:ascii="Arial" w:hAnsi="Arial" w:cs="Arial"/>
        </w:rPr>
        <w:t>This section presents the interview findings on the challenges teachers encountered in contextualizing lessons in the Gender and Society course. Analysis of responses highlighted two main issues: (1) limited local resources and materials, and (2) difficulty in ensuring cultural relevance. These findings reveal the structural and pedagogical barriers that hinder the effective implementation of contextualization strategies in higher education classrooms.</w:t>
      </w:r>
    </w:p>
    <w:p w14:paraId="74C16FD0" w14:textId="613D8F5F" w:rsidR="009633F4" w:rsidRDefault="009633F4" w:rsidP="00BF36D9">
      <w:pPr>
        <w:pStyle w:val="Body"/>
        <w:rPr>
          <w:rFonts w:ascii="Arial" w:hAnsi="Arial" w:cs="Arial"/>
        </w:rPr>
      </w:pPr>
      <w:r w:rsidRPr="009633F4">
        <w:rPr>
          <w:rFonts w:ascii="Arial" w:hAnsi="Arial" w:cs="Arial"/>
        </w:rPr>
        <w:lastRenderedPageBreak/>
        <w:t>Table 3. Barriers to Contextualizing Lessons in the Gender and Society Course: Teachers’ Perspectives.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CB43DF" w:rsidRPr="00CB43DF" w14:paraId="57A18210" w14:textId="77777777" w:rsidTr="00450D96">
        <w:trPr>
          <w:trHeight w:val="314"/>
        </w:trPr>
        <w:tc>
          <w:tcPr>
            <w:tcW w:w="1998" w:type="dxa"/>
            <w:tcBorders>
              <w:top w:val="single" w:sz="4" w:space="0" w:color="auto"/>
              <w:bottom w:val="single" w:sz="4" w:space="0" w:color="auto"/>
            </w:tcBorders>
            <w:vAlign w:val="center"/>
          </w:tcPr>
          <w:p w14:paraId="1A68C4E4" w14:textId="77777777" w:rsidR="00CB43DF" w:rsidRPr="00CB43DF" w:rsidRDefault="00CB43DF" w:rsidP="00450D96">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405622CA" w14:textId="77777777" w:rsidR="00CB43DF" w:rsidRPr="00CB43DF" w:rsidRDefault="00CB43DF" w:rsidP="00450D96">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43816F8E" w14:textId="77777777" w:rsidR="00CB43DF" w:rsidRPr="00CB43DF" w:rsidRDefault="00CB43DF" w:rsidP="00450D96">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Particulars</w:t>
            </w:r>
          </w:p>
        </w:tc>
      </w:tr>
      <w:tr w:rsidR="00CB43DF" w:rsidRPr="00CB43DF" w14:paraId="757D3DEB" w14:textId="77777777" w:rsidTr="00450D96">
        <w:trPr>
          <w:trHeight w:val="1961"/>
        </w:trPr>
        <w:tc>
          <w:tcPr>
            <w:tcW w:w="1998" w:type="dxa"/>
            <w:tcBorders>
              <w:top w:val="single" w:sz="4" w:space="0" w:color="auto"/>
            </w:tcBorders>
          </w:tcPr>
          <w:p w14:paraId="6A0773BB" w14:textId="69BF739F" w:rsidR="00CB43DF" w:rsidRPr="00CB43DF" w:rsidRDefault="009633F4" w:rsidP="009633F4">
            <w:pPr>
              <w:pStyle w:val="Body"/>
              <w:rPr>
                <w:rFonts w:ascii="Arial" w:hAnsi="Arial" w:cs="Arial"/>
                <w:sz w:val="20"/>
                <w:szCs w:val="20"/>
              </w:rPr>
            </w:pPr>
            <w:r w:rsidRPr="009633F4">
              <w:rPr>
                <w:rFonts w:ascii="Arial" w:hAnsi="Arial" w:cs="Arial"/>
                <w:sz w:val="20"/>
                <w:szCs w:val="20"/>
              </w:rPr>
              <w:t>Limited Access to Local Resources and Materials</w:t>
            </w:r>
          </w:p>
        </w:tc>
        <w:tc>
          <w:tcPr>
            <w:tcW w:w="2250" w:type="dxa"/>
            <w:tcBorders>
              <w:top w:val="single" w:sz="4" w:space="0" w:color="auto"/>
            </w:tcBorders>
          </w:tcPr>
          <w:p w14:paraId="7A90CDBA"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references and sources </w:t>
            </w:r>
          </w:p>
          <w:p w14:paraId="70A307D1" w14:textId="32DCA7DF"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396FBEA2"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access to </w:t>
            </w:r>
          </w:p>
          <w:p w14:paraId="571E5AE3" w14:textId="0EF1214D"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material  </w:t>
            </w:r>
          </w:p>
        </w:tc>
        <w:tc>
          <w:tcPr>
            <w:tcW w:w="4176" w:type="dxa"/>
            <w:tcBorders>
              <w:top w:val="single" w:sz="4" w:space="0" w:color="auto"/>
            </w:tcBorders>
          </w:tcPr>
          <w:p w14:paraId="5D763F16" w14:textId="77777777" w:rsidR="00CB43DF" w:rsidRPr="00CB43DF" w:rsidRDefault="00CB43DF" w:rsidP="00CB43DF">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Having little access to local references and sources.” (T2) </w:t>
            </w:r>
          </w:p>
          <w:p w14:paraId="1C5F0CCE" w14:textId="77777777" w:rsidR="00CB43DF" w:rsidRPr="00CB43DF" w:rsidRDefault="00CB43DF" w:rsidP="00CB43DF">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057AFE33" w14:textId="77777777" w:rsidR="00CB43DF" w:rsidRPr="00CB43DF" w:rsidRDefault="00CB43DF" w:rsidP="00CB43DF">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Little access to sources or references can hinder contextualizing lessons.” (T5) </w:t>
            </w:r>
          </w:p>
          <w:p w14:paraId="5A76A951" w14:textId="5009BE19" w:rsidR="00CB43DF" w:rsidRPr="00CB43DF" w:rsidRDefault="00CB43DF" w:rsidP="00CB43DF">
            <w:pPr>
              <w:spacing w:line="238" w:lineRule="auto"/>
              <w:rPr>
                <w:rFonts w:ascii="Arial" w:hAnsi="Arial" w:cs="Arial"/>
                <w:color w:val="000000"/>
                <w:kern w:val="2"/>
                <w:sz w:val="20"/>
                <w:szCs w:val="20"/>
                <w:lang w:val="en-PH" w:eastAsia="en-PH"/>
              </w:rPr>
            </w:pPr>
          </w:p>
          <w:p w14:paraId="7998C9A8" w14:textId="154A6A83" w:rsidR="00CB43DF" w:rsidRPr="00CB43DF" w:rsidRDefault="00CB43DF" w:rsidP="00CB43DF">
            <w:pPr>
              <w:pStyle w:val="Body"/>
              <w:spacing w:after="0"/>
              <w:jc w:val="left"/>
              <w:rPr>
                <w:rFonts w:ascii="Arial" w:hAnsi="Arial" w:cs="Arial"/>
                <w:sz w:val="20"/>
                <w:szCs w:val="20"/>
              </w:rPr>
            </w:pPr>
            <w:r w:rsidRPr="00CB43DF">
              <w:rPr>
                <w:rFonts w:ascii="Arial" w:hAnsi="Arial" w:cs="Arial"/>
                <w:color w:val="000000"/>
                <w:kern w:val="2"/>
                <w:sz w:val="20"/>
                <w:szCs w:val="20"/>
                <w:lang w:val="en-PH" w:eastAsia="en-PH"/>
              </w:rPr>
              <w:t xml:space="preserve">Local material that are related to the topics are hard to locate.” (T4)) </w:t>
            </w:r>
          </w:p>
        </w:tc>
      </w:tr>
      <w:tr w:rsidR="00CB43DF" w:rsidRPr="00CB43DF" w14:paraId="1B3B6F6B" w14:textId="77777777" w:rsidTr="00CB43DF">
        <w:trPr>
          <w:trHeight w:val="2259"/>
        </w:trPr>
        <w:tc>
          <w:tcPr>
            <w:tcW w:w="1998" w:type="dxa"/>
            <w:tcBorders>
              <w:bottom w:val="single" w:sz="4" w:space="0" w:color="auto"/>
            </w:tcBorders>
          </w:tcPr>
          <w:p w14:paraId="49C92EE8" w14:textId="0D15579D" w:rsidR="00CB43DF" w:rsidRPr="00CB43DF" w:rsidRDefault="009633F4" w:rsidP="00CB43DF">
            <w:pPr>
              <w:spacing w:line="238" w:lineRule="auto"/>
              <w:ind w:right="15"/>
              <w:rPr>
                <w:rFonts w:ascii="Arial" w:hAnsi="Arial" w:cs="Arial"/>
                <w:color w:val="000000"/>
                <w:kern w:val="2"/>
                <w:sz w:val="20"/>
                <w:szCs w:val="20"/>
                <w:lang w:val="en-PH" w:eastAsia="en-PH"/>
              </w:rPr>
            </w:pPr>
            <w:r w:rsidRPr="009633F4">
              <w:rPr>
                <w:rFonts w:ascii="Arial" w:hAnsi="Arial" w:cs="Arial"/>
                <w:sz w:val="20"/>
                <w:szCs w:val="20"/>
              </w:rPr>
              <w:t>Challenges in Ensuring Cultural Relevance</w:t>
            </w:r>
          </w:p>
        </w:tc>
        <w:tc>
          <w:tcPr>
            <w:tcW w:w="2250" w:type="dxa"/>
            <w:tcBorders>
              <w:bottom w:val="single" w:sz="4" w:space="0" w:color="auto"/>
            </w:tcBorders>
          </w:tcPr>
          <w:p w14:paraId="18200ED7" w14:textId="77777777" w:rsidR="00CB43DF" w:rsidRPr="00CB43DF" w:rsidRDefault="00CB43DF" w:rsidP="00CB43DF">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and cultural relevance  </w:t>
            </w:r>
          </w:p>
          <w:p w14:paraId="20E60A6D" w14:textId="77777777" w:rsidR="00CB43DF" w:rsidRPr="00CB43DF" w:rsidRDefault="00CB43DF" w:rsidP="00CB43DF">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342AB38B" w14:textId="77777777" w:rsidR="00CB43DF" w:rsidRPr="00CB43DF" w:rsidRDefault="00CB43DF" w:rsidP="00CB43DF">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Alignment of the material with the </w:t>
            </w:r>
          </w:p>
          <w:p w14:paraId="65369AF5" w14:textId="77777777" w:rsidR="00CB43DF" w:rsidRPr="00CB43DF" w:rsidRDefault="00CB43DF" w:rsidP="00CB43DF">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learner’s context  </w:t>
            </w:r>
          </w:p>
          <w:p w14:paraId="7AE3A36F" w14:textId="77777777" w:rsidR="00CB43DF" w:rsidRPr="00CB43DF" w:rsidRDefault="00CB43DF" w:rsidP="00CB43DF">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62C89912" w14:textId="0A01D1E3"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Culturally relevant material</w:t>
            </w:r>
          </w:p>
        </w:tc>
        <w:tc>
          <w:tcPr>
            <w:tcW w:w="4176" w:type="dxa"/>
            <w:tcBorders>
              <w:bottom w:val="single" w:sz="4" w:space="0" w:color="auto"/>
            </w:tcBorders>
          </w:tcPr>
          <w:p w14:paraId="1FEEED62"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“…guaranteeing local and cultural </w:t>
            </w:r>
          </w:p>
          <w:p w14:paraId="2C1588F7"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relevance in instances.” (T1) </w:t>
            </w:r>
          </w:p>
          <w:p w14:paraId="513446B1"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5D88E1C5"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Ensuring that the content of the materials is aligned with the context of the learners.” (T2) </w:t>
            </w:r>
          </w:p>
          <w:p w14:paraId="674A2ADD" w14:textId="77777777" w:rsidR="00CB43DF" w:rsidRPr="00CB43DF" w:rsidRDefault="00CB43DF" w:rsidP="00CB43DF">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5F49547F" w14:textId="235B5A7F" w:rsidR="00CB43DF" w:rsidRPr="00CB43DF" w:rsidRDefault="00CB43DF" w:rsidP="00CB43DF">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Making sure that the material is culturally relevant to the students(T4)</w:t>
            </w:r>
          </w:p>
        </w:tc>
      </w:tr>
    </w:tbl>
    <w:p w14:paraId="01A9EA22" w14:textId="77777777" w:rsidR="00BF36D9" w:rsidRDefault="00BF36D9" w:rsidP="00CB43DF">
      <w:pPr>
        <w:pStyle w:val="Body"/>
        <w:spacing w:after="0"/>
        <w:rPr>
          <w:rFonts w:ascii="Arial" w:hAnsi="Arial" w:cs="Arial"/>
        </w:rPr>
      </w:pPr>
    </w:p>
    <w:p w14:paraId="6B50FF45" w14:textId="60F54ADF" w:rsidR="00CB43DF" w:rsidRPr="00CB43DF" w:rsidRDefault="00CB43DF" w:rsidP="00CB43DF">
      <w:pPr>
        <w:pStyle w:val="Body"/>
        <w:rPr>
          <w:rFonts w:ascii="Arial" w:hAnsi="Arial" w:cs="Arial"/>
          <w:b/>
          <w:bCs/>
          <w:u w:val="single"/>
        </w:rPr>
      </w:pPr>
      <w:r w:rsidRPr="00CB43DF">
        <w:rPr>
          <w:rFonts w:ascii="Arial" w:hAnsi="Arial" w:cs="Arial"/>
          <w:b/>
          <w:bCs/>
          <w:u w:val="single"/>
        </w:rPr>
        <w:t xml:space="preserve">3.3.1 </w:t>
      </w:r>
      <w:r w:rsidR="009633F4" w:rsidRPr="009633F4">
        <w:rPr>
          <w:rFonts w:ascii="Arial" w:hAnsi="Arial" w:cs="Arial"/>
          <w:b/>
          <w:bCs/>
          <w:u w:val="single"/>
        </w:rPr>
        <w:t>Limited Access to Local Resources and Materials</w:t>
      </w:r>
    </w:p>
    <w:p w14:paraId="345D9408" w14:textId="50A92942" w:rsidR="00CB43DF" w:rsidRPr="00CB43DF" w:rsidRDefault="00CB43DF" w:rsidP="00CB43DF">
      <w:pPr>
        <w:pStyle w:val="Body"/>
        <w:rPr>
          <w:rFonts w:ascii="Arial" w:hAnsi="Arial" w:cs="Arial"/>
        </w:rPr>
      </w:pPr>
      <w:r w:rsidRPr="00CB43DF">
        <w:rPr>
          <w:rFonts w:ascii="Arial" w:hAnsi="Arial" w:cs="Arial"/>
        </w:rPr>
        <w:t>The first challenge identified was the scarcity of local references and instructional resources. Teachers explained that they struggled to access materials specifically tailored to their local contexts, making it difficult to design lessons that were both meaningful and culturally anchored.</w:t>
      </w:r>
    </w:p>
    <w:p w14:paraId="22593D20" w14:textId="379DCAC5" w:rsidR="00CB43DF" w:rsidRPr="00CB43DF" w:rsidRDefault="00CB43DF" w:rsidP="00CB43DF">
      <w:pPr>
        <w:pStyle w:val="Body"/>
        <w:rPr>
          <w:rFonts w:ascii="Arial" w:hAnsi="Arial" w:cs="Arial"/>
        </w:rPr>
      </w:pPr>
      <w:r w:rsidRPr="00CB43DF">
        <w:rPr>
          <w:rFonts w:ascii="Arial" w:hAnsi="Arial" w:cs="Arial"/>
          <w:i/>
          <w:iCs/>
        </w:rPr>
        <w:t>“The barriers in effectively contextualizing lessons in Gender and Society include having little access to local references and sources as well as integrating local culture in the topics.”</w:t>
      </w:r>
      <w:r>
        <w:rPr>
          <w:rFonts w:ascii="Arial" w:hAnsi="Arial" w:cs="Arial"/>
        </w:rPr>
        <w:t xml:space="preserve"> – </w:t>
      </w:r>
      <w:r w:rsidRPr="00CB43DF">
        <w:rPr>
          <w:rFonts w:ascii="Arial" w:hAnsi="Arial" w:cs="Arial"/>
        </w:rPr>
        <w:t>Teacher 2)</w:t>
      </w:r>
    </w:p>
    <w:p w14:paraId="68178B54" w14:textId="22D42BD8" w:rsidR="00CB43DF" w:rsidRPr="00CB43DF" w:rsidRDefault="00CB43DF" w:rsidP="00CB43DF">
      <w:pPr>
        <w:pStyle w:val="Body"/>
        <w:rPr>
          <w:rFonts w:ascii="Arial" w:hAnsi="Arial" w:cs="Arial"/>
        </w:rPr>
      </w:pPr>
      <w:r w:rsidRPr="00CB43DF">
        <w:rPr>
          <w:rFonts w:ascii="Arial" w:hAnsi="Arial" w:cs="Arial"/>
          <w:i/>
          <w:iCs/>
        </w:rPr>
        <w:t xml:space="preserve">“Contextualizing the lessons in gender and society is very challenging, especially having local material that are related to the topics are hard to locate.” </w:t>
      </w:r>
      <w:r>
        <w:rPr>
          <w:rFonts w:ascii="Arial" w:hAnsi="Arial" w:cs="Arial"/>
        </w:rPr>
        <w:t xml:space="preserve">– </w:t>
      </w:r>
      <w:r w:rsidRPr="00CB43DF">
        <w:rPr>
          <w:rFonts w:ascii="Arial" w:hAnsi="Arial" w:cs="Arial"/>
        </w:rPr>
        <w:t>Teacher 4</w:t>
      </w:r>
    </w:p>
    <w:p w14:paraId="0E40C322" w14:textId="5FC1994F" w:rsidR="00CB43DF" w:rsidRPr="00CB43DF" w:rsidRDefault="00CB43DF" w:rsidP="00CB43DF">
      <w:pPr>
        <w:pStyle w:val="Body"/>
        <w:rPr>
          <w:rFonts w:ascii="Arial" w:hAnsi="Arial" w:cs="Arial"/>
        </w:rPr>
      </w:pPr>
      <w:r w:rsidRPr="00CB43DF">
        <w:rPr>
          <w:rFonts w:ascii="Arial" w:hAnsi="Arial" w:cs="Arial"/>
          <w:i/>
          <w:iCs/>
        </w:rPr>
        <w:t>“Having little access to sources or references can hinder contextualizing lessons. We need to have access to local literatures and materials in order to effectively contextualize our lessons in gender and society.”</w:t>
      </w:r>
      <w:r w:rsidRPr="00CB43DF">
        <w:rPr>
          <w:rFonts w:ascii="Arial" w:hAnsi="Arial" w:cs="Arial"/>
        </w:rPr>
        <w:t xml:space="preserve"> </w:t>
      </w:r>
      <w:r>
        <w:rPr>
          <w:rFonts w:ascii="Arial" w:hAnsi="Arial" w:cs="Arial"/>
        </w:rPr>
        <w:t xml:space="preserve">- </w:t>
      </w:r>
      <w:r w:rsidRPr="00CB43DF">
        <w:rPr>
          <w:rFonts w:ascii="Arial" w:hAnsi="Arial" w:cs="Arial"/>
        </w:rPr>
        <w:t>Teacher 5</w:t>
      </w:r>
    </w:p>
    <w:p w14:paraId="15F6A9C3" w14:textId="2DA99C21" w:rsidR="00CB43DF" w:rsidRPr="00CB43DF" w:rsidRDefault="00CB43DF" w:rsidP="00CB43DF">
      <w:pPr>
        <w:pStyle w:val="Body"/>
        <w:rPr>
          <w:rFonts w:ascii="Arial" w:hAnsi="Arial" w:cs="Arial"/>
        </w:rPr>
      </w:pPr>
      <w:r w:rsidRPr="00CB43DF">
        <w:rPr>
          <w:rFonts w:ascii="Arial" w:hAnsi="Arial" w:cs="Arial"/>
        </w:rPr>
        <w:t xml:space="preserve">These statements underscore a pressing problem in elective courses such as Gender and Society, where standardized resources are scarce and reliance on generic textbooks often fails to reflect students’ lived realities. Although </w:t>
      </w:r>
      <w:proofErr w:type="spellStart"/>
      <w:r w:rsidRPr="00CB43DF">
        <w:rPr>
          <w:rFonts w:ascii="Arial" w:hAnsi="Arial" w:cs="Arial"/>
        </w:rPr>
        <w:t>Olumorin</w:t>
      </w:r>
      <w:proofErr w:type="spellEnd"/>
      <w:r w:rsidRPr="00CB43DF">
        <w:rPr>
          <w:rFonts w:ascii="Arial" w:hAnsi="Arial" w:cs="Arial"/>
        </w:rPr>
        <w:t xml:space="preserve"> et al. (2010) suggested the creation of improvised learning materials from locally available resources, teachers in this study revealed that such initiatives are difficult to sustain in practice due to limited institutional support and the lack of readily accessible local references. Consequently, the scarcity of contextually relevant resources continues to impede the effective delivery of the course.</w:t>
      </w:r>
    </w:p>
    <w:p w14:paraId="268E56C6" w14:textId="0145AFD6" w:rsidR="00CB43DF" w:rsidRPr="00CB43DF" w:rsidRDefault="00CB43DF" w:rsidP="00CB43DF">
      <w:pPr>
        <w:pStyle w:val="Body"/>
        <w:rPr>
          <w:rFonts w:ascii="Arial" w:hAnsi="Arial" w:cs="Arial"/>
          <w:b/>
          <w:bCs/>
          <w:u w:val="single"/>
        </w:rPr>
      </w:pPr>
      <w:r w:rsidRPr="00CB43DF">
        <w:rPr>
          <w:rFonts w:ascii="Arial" w:hAnsi="Arial" w:cs="Arial"/>
          <w:b/>
          <w:bCs/>
          <w:u w:val="single"/>
        </w:rPr>
        <w:t xml:space="preserve">3.3.2 </w:t>
      </w:r>
      <w:r w:rsidR="009633F4" w:rsidRPr="009633F4">
        <w:rPr>
          <w:rFonts w:ascii="Arial" w:hAnsi="Arial" w:cs="Arial"/>
          <w:b/>
          <w:bCs/>
          <w:u w:val="single"/>
        </w:rPr>
        <w:t>Challenges in Ensuring Cultural Relevance</w:t>
      </w:r>
    </w:p>
    <w:p w14:paraId="4E9D0E1C" w14:textId="6F3A5C4C" w:rsidR="00CB43DF" w:rsidRPr="00CB43DF" w:rsidRDefault="00CB43DF" w:rsidP="00CB43DF">
      <w:pPr>
        <w:pStyle w:val="Body"/>
        <w:rPr>
          <w:rFonts w:ascii="Arial" w:hAnsi="Arial" w:cs="Arial"/>
        </w:rPr>
      </w:pPr>
      <w:r w:rsidRPr="00CB43DF">
        <w:rPr>
          <w:rFonts w:ascii="Arial" w:hAnsi="Arial" w:cs="Arial"/>
        </w:rPr>
        <w:lastRenderedPageBreak/>
        <w:t>The second major challenge concerned the difficulty of guaranteeing that contextualized lessons remained culturally relevant to students. Teachers acknowledged the importance of aligning instructional content with learners’ cultural backgrounds but emphasized the complexities of ensuring this alignment in practice.</w:t>
      </w:r>
    </w:p>
    <w:p w14:paraId="15FD46A7" w14:textId="5D4FD9E5" w:rsidR="00CB43DF" w:rsidRPr="00CB43DF" w:rsidRDefault="00CB43DF" w:rsidP="00CB43DF">
      <w:pPr>
        <w:pStyle w:val="Body"/>
        <w:rPr>
          <w:rFonts w:ascii="Arial" w:hAnsi="Arial" w:cs="Arial"/>
        </w:rPr>
      </w:pPr>
      <w:r w:rsidRPr="00CB43DF">
        <w:rPr>
          <w:rFonts w:ascii="Arial" w:hAnsi="Arial" w:cs="Arial"/>
          <w:i/>
          <w:iCs/>
        </w:rPr>
        <w:t>“The difficulty of incorporating current events into theoretical frameworks, guaranteeing local and cultural relevance in instances, and balancing personal views with rigorous research are, in my perspective, the barriers to effectively contextualizing the lessons in Gender and Society.”</w:t>
      </w:r>
      <w:r w:rsidRPr="00CB43DF">
        <w:rPr>
          <w:rFonts w:ascii="Arial" w:hAnsi="Arial" w:cs="Arial"/>
        </w:rPr>
        <w:t xml:space="preserve"> </w:t>
      </w:r>
      <w:r>
        <w:rPr>
          <w:rFonts w:ascii="Arial" w:hAnsi="Arial" w:cs="Arial"/>
        </w:rPr>
        <w:t>– T</w:t>
      </w:r>
      <w:r w:rsidRPr="00CB43DF">
        <w:rPr>
          <w:rFonts w:ascii="Arial" w:hAnsi="Arial" w:cs="Arial"/>
        </w:rPr>
        <w:t>eacher 1</w:t>
      </w:r>
    </w:p>
    <w:p w14:paraId="0F0C012A" w14:textId="7D17B10A" w:rsidR="00CB43DF" w:rsidRPr="00CB43DF" w:rsidRDefault="00CB43DF" w:rsidP="00CB43DF">
      <w:pPr>
        <w:pStyle w:val="Body"/>
        <w:rPr>
          <w:rFonts w:ascii="Arial" w:hAnsi="Arial" w:cs="Arial"/>
        </w:rPr>
      </w:pPr>
      <w:r w:rsidRPr="00CB43DF">
        <w:rPr>
          <w:rFonts w:ascii="Arial" w:hAnsi="Arial" w:cs="Arial"/>
          <w:i/>
          <w:iCs/>
        </w:rPr>
        <w:t>“Contextualized learning materials are effective in achieving meaningful and relevant lessons for the students. However, one challenge that it poses is ensuring that the content of the materials is aligned with the context of the learners. If the context is not directly related to the life of the students, they may struggle to see the relevance of the subject which will make them uninterested in learning.”</w:t>
      </w:r>
      <w:r w:rsidRPr="00CB43DF">
        <w:rPr>
          <w:rFonts w:ascii="Arial" w:hAnsi="Arial" w:cs="Arial"/>
        </w:rPr>
        <w:t xml:space="preserve"> </w:t>
      </w:r>
      <w:r>
        <w:rPr>
          <w:rFonts w:ascii="Arial" w:hAnsi="Arial" w:cs="Arial"/>
        </w:rPr>
        <w:t xml:space="preserve">– </w:t>
      </w:r>
      <w:r w:rsidRPr="00CB43DF">
        <w:rPr>
          <w:rFonts w:ascii="Arial" w:hAnsi="Arial" w:cs="Arial"/>
        </w:rPr>
        <w:t>Teacher 2</w:t>
      </w:r>
    </w:p>
    <w:p w14:paraId="2FA504B1" w14:textId="1AF03B61" w:rsidR="00CB43DF" w:rsidRPr="00CB43DF" w:rsidRDefault="00CB43DF" w:rsidP="00CB43DF">
      <w:pPr>
        <w:pStyle w:val="Body"/>
        <w:rPr>
          <w:rFonts w:ascii="Arial" w:hAnsi="Arial" w:cs="Arial"/>
        </w:rPr>
      </w:pPr>
      <w:r w:rsidRPr="00CB43DF">
        <w:rPr>
          <w:rFonts w:ascii="Arial" w:hAnsi="Arial" w:cs="Arial"/>
          <w:i/>
          <w:iCs/>
        </w:rPr>
        <w:t>“I think the greatest challenge is making sure that the material is culturally relevant to the students and ensuring that student engagement and interest are captured by the material.”</w:t>
      </w:r>
      <w:r w:rsidRPr="00CB43DF">
        <w:rPr>
          <w:rFonts w:ascii="Arial" w:hAnsi="Arial" w:cs="Arial"/>
        </w:rPr>
        <w:t xml:space="preserve"> </w:t>
      </w:r>
      <w:r>
        <w:rPr>
          <w:rFonts w:ascii="Arial" w:hAnsi="Arial" w:cs="Arial"/>
        </w:rPr>
        <w:t xml:space="preserve">- </w:t>
      </w:r>
      <w:r w:rsidRPr="00CB43DF">
        <w:rPr>
          <w:rFonts w:ascii="Arial" w:hAnsi="Arial" w:cs="Arial"/>
        </w:rPr>
        <w:t>Teacher 4</w:t>
      </w:r>
    </w:p>
    <w:p w14:paraId="1858AC11" w14:textId="69E4A46D" w:rsidR="00CB43DF" w:rsidRPr="00CB43DF" w:rsidRDefault="00CB43DF" w:rsidP="00CB43DF">
      <w:pPr>
        <w:pStyle w:val="Body"/>
        <w:rPr>
          <w:rFonts w:ascii="Arial" w:hAnsi="Arial" w:cs="Arial"/>
        </w:rPr>
      </w:pPr>
      <w:r w:rsidRPr="00CB43DF">
        <w:rPr>
          <w:rFonts w:ascii="Arial" w:hAnsi="Arial" w:cs="Arial"/>
        </w:rPr>
        <w:t>These responses illustrate that ensuring cultural relevance involves more than inserting localized content; it requires a deep understanding of students’ lived experiences and sociocultural backgrounds. Teachers emphasized that misalignment between lesson content and student realities risks disengagement and diminished learning outcomes. Aguinaldo and Domingo (2021) similarly concluded that student motivation and achievement improve significantly when learning materials are designed with learners’ needs and interests in mind. In addition, continuous training in cultural sensitivity is essential to equip teachers with the skills needed to address evolving cultural contexts and maintain relevance in their teaching practices.</w:t>
      </w:r>
    </w:p>
    <w:p w14:paraId="0C5028D3" w14:textId="1CCDC77E" w:rsidR="00BF36D9" w:rsidRDefault="00CB43DF" w:rsidP="00CB43DF">
      <w:pPr>
        <w:pStyle w:val="Body"/>
        <w:rPr>
          <w:rFonts w:ascii="Arial" w:hAnsi="Arial" w:cs="Arial"/>
        </w:rPr>
      </w:pPr>
      <w:r w:rsidRPr="00CB43DF">
        <w:rPr>
          <w:rFonts w:ascii="Arial" w:hAnsi="Arial" w:cs="Arial"/>
        </w:rPr>
        <w:t>The findings highlight two major obstacles in contextualizing the Gender and Society course: the limited availability of local resources and the difficulty of ensuring cultural relevance. These challenges reflect systemic issues in resource development and underscore the need for institutional support, particularly in producing localized instructional materials. Furthermore, they reveal the importance of teacher training in cultural sensitivity to ensure that lessons resonate with students’ diverse backgrounds. Consequently, addressing these barriers is crucial for advancing contextualized instruction in higher education and for fulfilling the broader goal of promoting inclusive, meaningful, and culturally grounded learning (</w:t>
      </w:r>
      <w:proofErr w:type="spellStart"/>
      <w:r w:rsidRPr="00CB43DF">
        <w:rPr>
          <w:rFonts w:ascii="Arial" w:hAnsi="Arial" w:cs="Arial"/>
        </w:rPr>
        <w:t>Olumorin</w:t>
      </w:r>
      <w:proofErr w:type="spellEnd"/>
      <w:r w:rsidRPr="00CB43DF">
        <w:rPr>
          <w:rFonts w:ascii="Arial" w:hAnsi="Arial" w:cs="Arial"/>
        </w:rPr>
        <w:t xml:space="preserve"> et al., 2010; Aguinaldo &amp; Domingo, 2021).</w:t>
      </w:r>
    </w:p>
    <w:p w14:paraId="450E4E0B" w14:textId="2932CE80" w:rsidR="00BF36D9" w:rsidRDefault="009633F4" w:rsidP="00BF36D9">
      <w:pPr>
        <w:pStyle w:val="Body"/>
        <w:rPr>
          <w:rFonts w:ascii="Arial" w:hAnsi="Arial" w:cs="Arial"/>
        </w:rPr>
      </w:pPr>
      <w:r w:rsidRPr="00AF7AE1">
        <w:rPr>
          <w:rFonts w:ascii="Arial" w:hAnsi="Arial" w:cs="Arial"/>
          <w:b/>
          <w:bCs/>
          <w:sz w:val="22"/>
          <w:szCs w:val="22"/>
        </w:rPr>
        <w:t>3.</w:t>
      </w:r>
      <w:r>
        <w:rPr>
          <w:rFonts w:ascii="Arial" w:hAnsi="Arial" w:cs="Arial"/>
          <w:b/>
          <w:bCs/>
          <w:sz w:val="22"/>
          <w:szCs w:val="22"/>
        </w:rPr>
        <w:t>4</w:t>
      </w:r>
      <w:r w:rsidRPr="00AF7AE1">
        <w:rPr>
          <w:rFonts w:ascii="Arial" w:hAnsi="Arial" w:cs="Arial"/>
          <w:b/>
          <w:bCs/>
          <w:sz w:val="22"/>
          <w:szCs w:val="22"/>
        </w:rPr>
        <w:t xml:space="preserve"> </w:t>
      </w:r>
      <w:r w:rsidR="00E909C4" w:rsidRPr="00E909C4">
        <w:rPr>
          <w:rFonts w:ascii="Arial" w:hAnsi="Arial" w:cs="Arial"/>
          <w:b/>
          <w:bCs/>
          <w:sz w:val="22"/>
          <w:szCs w:val="22"/>
          <w:lang w:val="en-PH"/>
        </w:rPr>
        <w:t>Development of a Contextualized Workbook in Gender and Society</w:t>
      </w:r>
    </w:p>
    <w:p w14:paraId="33E87A41" w14:textId="3227F970" w:rsidR="00E909C4" w:rsidRPr="00E909C4" w:rsidRDefault="00E909C4" w:rsidP="00E909C4">
      <w:pPr>
        <w:pStyle w:val="Body"/>
        <w:rPr>
          <w:rFonts w:ascii="Arial" w:hAnsi="Arial" w:cs="Arial"/>
        </w:rPr>
      </w:pPr>
      <w:r w:rsidRPr="00E909C4">
        <w:rPr>
          <w:rFonts w:ascii="Arial" w:hAnsi="Arial" w:cs="Arial"/>
        </w:rPr>
        <w:t>The utilization of learning materials is a vital component of effective teaching and learning. As Lewis (2018) emphasizes, such materials encompass the educational resources educators employ to meet specific objectives, thereby creating an impactful learning environment. Worktexts, modules, and workbooks play a particularly important role in facilitating learning by providing structured guidance for both students and teachers. However, the design of instructional materials remains a challenge, given the need to tailor them to diverse learner backgrounds, subject matter, and educational goals (</w:t>
      </w:r>
      <w:proofErr w:type="spellStart"/>
      <w:r w:rsidRPr="00E909C4">
        <w:rPr>
          <w:rFonts w:ascii="Arial" w:hAnsi="Arial" w:cs="Arial"/>
        </w:rPr>
        <w:t>Şendurur</w:t>
      </w:r>
      <w:proofErr w:type="spellEnd"/>
      <w:r w:rsidRPr="00E909C4">
        <w:rPr>
          <w:rFonts w:ascii="Arial" w:hAnsi="Arial" w:cs="Arial"/>
        </w:rPr>
        <w:t xml:space="preserve"> et al., 2016). Consequently, educators are encouraged to develop customized materials that address students’ needs and enhance the learning process.</w:t>
      </w:r>
    </w:p>
    <w:p w14:paraId="32F2BFDF" w14:textId="4F2BECDB" w:rsidR="00E909C4" w:rsidRPr="00E909C4" w:rsidRDefault="00E909C4" w:rsidP="00E909C4">
      <w:pPr>
        <w:pStyle w:val="Body"/>
        <w:rPr>
          <w:rFonts w:ascii="Arial" w:hAnsi="Arial" w:cs="Arial"/>
        </w:rPr>
      </w:pPr>
      <w:r w:rsidRPr="00E909C4">
        <w:rPr>
          <w:rFonts w:ascii="Arial" w:hAnsi="Arial" w:cs="Arial"/>
        </w:rPr>
        <w:lastRenderedPageBreak/>
        <w:t xml:space="preserve">In the present study, this need was evident in the elective course Gender and Society, where limited resources posed barriers to instruction. To address this gap, a contextualized workbook was developed using both the course description outlined in CHED Memorandum Order (CMO) No. 20, series of 2013, and the survey findings that identified 21 common topics across higher education institutions (HEIs) in </w:t>
      </w:r>
      <w:proofErr w:type="spellStart"/>
      <w:r w:rsidRPr="00E909C4">
        <w:rPr>
          <w:rFonts w:ascii="Arial" w:hAnsi="Arial" w:cs="Arial"/>
        </w:rPr>
        <w:t>Ilocos</w:t>
      </w:r>
      <w:proofErr w:type="spellEnd"/>
      <w:r w:rsidRPr="00E909C4">
        <w:rPr>
          <w:rFonts w:ascii="Arial" w:hAnsi="Arial" w:cs="Arial"/>
        </w:rPr>
        <w:t xml:space="preserve"> Sur. These topics ranged from foundational concepts such as the difference between sex and gender, stereotypes, and prejudice to more applied issues like sexual harassment, LGBTQ+ discrimination, reproductive health, gender-based violence, and gender in the workplace, media, and activism.</w:t>
      </w:r>
    </w:p>
    <w:p w14:paraId="0E67CDA2" w14:textId="0C414FDB" w:rsidR="00E909C4" w:rsidRPr="00E909C4" w:rsidRDefault="00E909C4" w:rsidP="00E909C4">
      <w:pPr>
        <w:pStyle w:val="Body"/>
        <w:rPr>
          <w:rFonts w:ascii="Arial" w:hAnsi="Arial" w:cs="Arial"/>
        </w:rPr>
      </w:pPr>
      <w:r w:rsidRPr="00E909C4">
        <w:rPr>
          <w:rFonts w:ascii="Arial" w:hAnsi="Arial" w:cs="Arial"/>
        </w:rPr>
        <w:t>The identified 21 topics were consolidated into 16 worksheets, which were organized into five chapters. Chapter 1, Understanding Sex, includes worksheets on differences between sex and gender, primary and secondary sex characteristics, and reproduction. Chapter 2, Gender as a Social Construct, covers gender identity, roles, and socialization. Chapter 3, Sexuality and Human Relationships, presents sexuality, types of sexuality, and relationships. Chapter 4, Issues on Gender and Sexuality, focuses on stereotypes, prejudice, discrimination, harassment, and violence. Finally, Chapter 5, Gender and Cross-Cutting Issues, addresses gender and labor, media, activism, education, and health. This structure ensured that all critical areas of the course were represented while promoting a logical progression of learning.</w:t>
      </w:r>
    </w:p>
    <w:p w14:paraId="5B8857A6" w14:textId="17608227" w:rsidR="00E909C4" w:rsidRPr="00E909C4" w:rsidRDefault="00E909C4" w:rsidP="00E909C4">
      <w:pPr>
        <w:pStyle w:val="Body"/>
        <w:rPr>
          <w:rFonts w:ascii="Arial" w:hAnsi="Arial" w:cs="Arial"/>
        </w:rPr>
      </w:pPr>
      <w:r w:rsidRPr="00E909C4">
        <w:rPr>
          <w:rFonts w:ascii="Arial" w:hAnsi="Arial" w:cs="Arial"/>
        </w:rPr>
        <w:t xml:space="preserve">The workbook, titled </w:t>
      </w:r>
      <w:r w:rsidRPr="00E909C4">
        <w:rPr>
          <w:rFonts w:ascii="Arial" w:hAnsi="Arial" w:cs="Arial"/>
          <w:i/>
          <w:iCs/>
        </w:rPr>
        <w:t>Contextualized Workbook in Gender and Society</w:t>
      </w:r>
      <w:r w:rsidRPr="00E909C4">
        <w:rPr>
          <w:rFonts w:ascii="Arial" w:hAnsi="Arial" w:cs="Arial"/>
        </w:rPr>
        <w:t>, was designed with several pedagogical features. The cover page introduces the title, author, and consultants, accompanied by visual representations of diverse gender identities. The preface outlines the background, rationale, and purpose of the material, while the section How to Use this Workbook guides students in navigating its structure. A table of contents provides quick reference to its divisions.</w:t>
      </w:r>
    </w:p>
    <w:p w14:paraId="032E2126" w14:textId="77FAB5D2" w:rsidR="00E909C4" w:rsidRPr="00E909C4" w:rsidRDefault="00E909C4" w:rsidP="00E909C4">
      <w:pPr>
        <w:pStyle w:val="Body"/>
        <w:rPr>
          <w:rFonts w:ascii="Arial" w:hAnsi="Arial" w:cs="Arial"/>
        </w:rPr>
      </w:pPr>
      <w:r w:rsidRPr="00E909C4">
        <w:rPr>
          <w:rFonts w:ascii="Arial" w:hAnsi="Arial" w:cs="Arial"/>
        </w:rPr>
        <w:t>At the core of the workbook are the worksheets, each designed with clear learning outcomes, an introduction, core content, activities, and suggested readings. The outcomes specify intended learning achievements, while the content offers concise discussions contextualized to students’ cultural and social realities, particularly within the Ilocano context. Activities emphasize reflection, critical thinking, problem-solving, and creativity, encouraging learners to connect concepts with personal experiences. Suggested readings expand the scope of study by directing learners to additional resources. To ensure academic rigor and utility, an answer key is included for student self-assessment.</w:t>
      </w:r>
    </w:p>
    <w:p w14:paraId="1BBA5F70" w14:textId="77777777" w:rsidR="00E909C4" w:rsidRPr="00E909C4" w:rsidRDefault="00E909C4" w:rsidP="00E909C4">
      <w:pPr>
        <w:pStyle w:val="Body"/>
        <w:rPr>
          <w:rFonts w:ascii="Arial" w:hAnsi="Arial" w:cs="Arial"/>
        </w:rPr>
      </w:pPr>
      <w:r w:rsidRPr="00E909C4">
        <w:rPr>
          <w:rFonts w:ascii="Arial" w:hAnsi="Arial" w:cs="Arial"/>
        </w:rPr>
        <w:t>The workbook also integrates a reference list of sources used in lesson development and a suggested syllabus for teaching Gender and Society. This syllabus provides educators with a structured guide to course delivery, aligning with CHED’s mandate while incorporating localized content.</w:t>
      </w:r>
    </w:p>
    <w:p w14:paraId="63D50274" w14:textId="309A87E4" w:rsidR="00CB43DF" w:rsidRDefault="00E909C4" w:rsidP="00E909C4">
      <w:pPr>
        <w:pStyle w:val="Body"/>
        <w:rPr>
          <w:rFonts w:ascii="Arial" w:hAnsi="Arial" w:cs="Arial"/>
        </w:rPr>
      </w:pPr>
      <w:r w:rsidRPr="00E909C4">
        <w:rPr>
          <w:rFonts w:ascii="Arial" w:hAnsi="Arial" w:cs="Arial"/>
        </w:rPr>
        <w:t xml:space="preserve">The development of the contextualized workbook addressed a critical instructional gap in teaching Gender and Society. By integrating 21 commonly taught topics across </w:t>
      </w:r>
      <w:proofErr w:type="spellStart"/>
      <w:r w:rsidRPr="00E909C4">
        <w:rPr>
          <w:rFonts w:ascii="Arial" w:hAnsi="Arial" w:cs="Arial"/>
        </w:rPr>
        <w:t>Ilocos</w:t>
      </w:r>
      <w:proofErr w:type="spellEnd"/>
      <w:r w:rsidRPr="00E909C4">
        <w:rPr>
          <w:rFonts w:ascii="Arial" w:hAnsi="Arial" w:cs="Arial"/>
        </w:rPr>
        <w:t xml:space="preserve"> Sur HEIs into a structured and contextualized resource, the material offered a culturally grounded approach that linked national curricular expectations with local realities. Moreover, the inclusion of structured worksheets, reflective activities, and context-sensitive examples highlights the value of contextualization in enhancing engagement and deepening conceptual understanding. In this way, the workbook not only supplements instruction but also exemplifies how resource design can contribute to the larger goal of culturally responsive pedagogy in Philippine higher education (Lewis, 2018; </w:t>
      </w:r>
      <w:proofErr w:type="spellStart"/>
      <w:r w:rsidRPr="00E909C4">
        <w:rPr>
          <w:rFonts w:ascii="Arial" w:hAnsi="Arial" w:cs="Arial"/>
        </w:rPr>
        <w:t>Şendurur</w:t>
      </w:r>
      <w:proofErr w:type="spellEnd"/>
      <w:r w:rsidRPr="00E909C4">
        <w:rPr>
          <w:rFonts w:ascii="Arial" w:hAnsi="Arial" w:cs="Arial"/>
        </w:rPr>
        <w:t xml:space="preserve"> et al., 2016).</w:t>
      </w:r>
    </w:p>
    <w:p w14:paraId="59688B73" w14:textId="58711B58" w:rsidR="00E909C4" w:rsidRDefault="00E909C4" w:rsidP="00E909C4">
      <w:pPr>
        <w:pStyle w:val="Body"/>
        <w:rPr>
          <w:rFonts w:ascii="Arial" w:hAnsi="Arial" w:cs="Arial"/>
        </w:rPr>
      </w:pPr>
      <w:r w:rsidRPr="00AF7AE1">
        <w:rPr>
          <w:rFonts w:ascii="Arial" w:hAnsi="Arial" w:cs="Arial"/>
          <w:b/>
          <w:bCs/>
          <w:sz w:val="22"/>
          <w:szCs w:val="22"/>
        </w:rPr>
        <w:lastRenderedPageBreak/>
        <w:t>3.</w:t>
      </w:r>
      <w:r>
        <w:rPr>
          <w:rFonts w:ascii="Arial" w:hAnsi="Arial" w:cs="Arial"/>
          <w:b/>
          <w:bCs/>
          <w:sz w:val="22"/>
          <w:szCs w:val="22"/>
        </w:rPr>
        <w:t>5</w:t>
      </w:r>
      <w:r w:rsidRPr="00AF7AE1">
        <w:rPr>
          <w:rFonts w:ascii="Arial" w:hAnsi="Arial" w:cs="Arial"/>
          <w:b/>
          <w:bCs/>
          <w:sz w:val="22"/>
          <w:szCs w:val="22"/>
        </w:rPr>
        <w:t xml:space="preserve"> </w:t>
      </w:r>
      <w:r w:rsidRPr="00E909C4">
        <w:rPr>
          <w:rFonts w:ascii="Arial" w:hAnsi="Arial" w:cs="Arial"/>
          <w:b/>
          <w:bCs/>
          <w:sz w:val="22"/>
          <w:szCs w:val="22"/>
          <w:lang w:val="en-PH"/>
        </w:rPr>
        <w:t>Assessing the Validity of a Contextualized Workbook as Instructional Material in Gender and Society</w:t>
      </w:r>
    </w:p>
    <w:p w14:paraId="2A15E1B7" w14:textId="3AEE365F" w:rsidR="007935C4" w:rsidRPr="007935C4" w:rsidRDefault="007935C4" w:rsidP="007935C4">
      <w:pPr>
        <w:pStyle w:val="Body"/>
        <w:rPr>
          <w:rFonts w:ascii="Arial" w:hAnsi="Arial" w:cs="Arial"/>
        </w:rPr>
      </w:pPr>
      <w:r w:rsidRPr="007935C4">
        <w:rPr>
          <w:rFonts w:ascii="Arial" w:hAnsi="Arial" w:cs="Arial"/>
        </w:rPr>
        <w:t>The developed Contextualized Workbook in Gender and Society underwent a rigorous validation process to ensure its adequacy, coherence, appropriateness, usefulness, and contextualization. A panel of six social science professors, each with more than ten years of teaching experience and expertise in instructional material development, alongside one visual graphics expert specializing in module and textbook evaluation, assessed the workbook’ quality.</w:t>
      </w:r>
    </w:p>
    <w:p w14:paraId="4C819C96" w14:textId="2480F370" w:rsidR="009633F4" w:rsidRDefault="007935C4" w:rsidP="007935C4">
      <w:pPr>
        <w:pStyle w:val="Body"/>
        <w:rPr>
          <w:rFonts w:ascii="Arial" w:hAnsi="Arial" w:cs="Arial"/>
        </w:rPr>
      </w:pPr>
      <w:r w:rsidRPr="007935C4">
        <w:rPr>
          <w:rFonts w:ascii="Arial" w:hAnsi="Arial" w:cs="Arial"/>
        </w:rPr>
        <w:t>The validation results, summarized in Table 4, indicate an overall mean rating of 3.92, falling within the “Highly Valid” range. This finding demonstrates that the workbook met all established criteria, confirming that it possesses the essential characteristics of an effective instructional material for use in the Gender and Society course. Specifically, the workbook was rated highly valid in terms of adequacy (M = 3.91), coherence (M = 3.91), appropriateness (M = 3.89), usefulness (M = 3.97), and contextualization (M = 3.93).</w:t>
      </w:r>
    </w:p>
    <w:p w14:paraId="5C98194B" w14:textId="4ED388D5" w:rsidR="007935C4" w:rsidRPr="007935C4" w:rsidRDefault="007935C4" w:rsidP="007935C4">
      <w:pPr>
        <w:pStyle w:val="Body"/>
        <w:rPr>
          <w:rFonts w:ascii="Arial" w:hAnsi="Arial" w:cs="Arial"/>
          <w:b/>
          <w:bCs/>
          <w:u w:val="single"/>
        </w:rPr>
      </w:pPr>
      <w:r w:rsidRPr="007935C4">
        <w:rPr>
          <w:rFonts w:ascii="Arial" w:hAnsi="Arial" w:cs="Arial"/>
          <w:b/>
          <w:bCs/>
          <w:u w:val="single"/>
        </w:rPr>
        <w:t>3.5.1 Adequacy</w:t>
      </w:r>
    </w:p>
    <w:p w14:paraId="2EBE6FC4" w14:textId="2209706A" w:rsidR="007935C4" w:rsidRPr="007935C4" w:rsidRDefault="007935C4" w:rsidP="007935C4">
      <w:pPr>
        <w:pStyle w:val="Body"/>
        <w:rPr>
          <w:rFonts w:ascii="Arial" w:hAnsi="Arial" w:cs="Arial"/>
        </w:rPr>
      </w:pPr>
      <w:r w:rsidRPr="007935C4">
        <w:rPr>
          <w:rFonts w:ascii="Arial" w:hAnsi="Arial" w:cs="Arial"/>
        </w:rPr>
        <w:t>The adequacy of the workbook was affirmed by the validators, who emphasized that its instructions corresponded well with the activities, that the learning tasks aligned with the intended outcomes, and that independent activities were sufficiently provided. Graphical and pictorial images were also included to support comprehension, while concepts were presented logically. With a composite mean of 3.91, the workbook was deemed to provide the necessary elements of adequacy.</w:t>
      </w:r>
    </w:p>
    <w:p w14:paraId="55A1C9BA" w14:textId="752CF9C9" w:rsidR="007935C4" w:rsidRPr="007935C4" w:rsidRDefault="007935C4" w:rsidP="007935C4">
      <w:pPr>
        <w:pStyle w:val="Body"/>
        <w:rPr>
          <w:rFonts w:ascii="Arial" w:hAnsi="Arial" w:cs="Arial"/>
        </w:rPr>
      </w:pPr>
      <w:r w:rsidRPr="007935C4">
        <w:rPr>
          <w:rFonts w:ascii="Arial" w:hAnsi="Arial" w:cs="Arial"/>
        </w:rPr>
        <w:t>This result supports Kaizer and Okoli’s (2021) definition of adequacy as the extent to which instructional materials satisfactorily meet expectations and demands. As Sukma and Ibrahim (2016) argue, materials that integrate accurate and relevant content enhance student learning by ensuring activities are meaningful and aligned with objectives.</w:t>
      </w:r>
    </w:p>
    <w:p w14:paraId="28289B0F" w14:textId="3E1F940C" w:rsidR="007935C4" w:rsidRPr="007935C4" w:rsidRDefault="007935C4" w:rsidP="007935C4">
      <w:pPr>
        <w:pStyle w:val="Body"/>
        <w:rPr>
          <w:rFonts w:ascii="Arial" w:hAnsi="Arial" w:cs="Arial"/>
          <w:b/>
          <w:bCs/>
          <w:u w:val="single"/>
        </w:rPr>
      </w:pPr>
      <w:r w:rsidRPr="007935C4">
        <w:rPr>
          <w:rFonts w:ascii="Arial" w:hAnsi="Arial" w:cs="Arial"/>
          <w:b/>
          <w:bCs/>
          <w:u w:val="single"/>
        </w:rPr>
        <w:t>3.5.2 Coherence</w:t>
      </w:r>
    </w:p>
    <w:p w14:paraId="54A0704C" w14:textId="7CCAA22E" w:rsidR="007935C4" w:rsidRPr="007935C4" w:rsidRDefault="007935C4" w:rsidP="007935C4">
      <w:pPr>
        <w:pStyle w:val="Body"/>
        <w:rPr>
          <w:rFonts w:ascii="Arial" w:hAnsi="Arial" w:cs="Arial"/>
        </w:rPr>
      </w:pPr>
      <w:r w:rsidRPr="007935C4">
        <w:rPr>
          <w:rFonts w:ascii="Arial" w:hAnsi="Arial" w:cs="Arial"/>
        </w:rPr>
        <w:t>The workbook also demonstrated coherence, with validators highlighting that its activities were both relevant and practical, capable of developing creativity and resourcefulness, and consistent with the concepts taught. With a composite mean of 3.91, coherence was validated as a strong feature.</w:t>
      </w:r>
    </w:p>
    <w:p w14:paraId="7F54B573" w14:textId="1A29C496" w:rsidR="007935C4" w:rsidRPr="007935C4" w:rsidRDefault="007935C4" w:rsidP="007935C4">
      <w:pPr>
        <w:pStyle w:val="Body"/>
        <w:rPr>
          <w:rFonts w:ascii="Arial" w:hAnsi="Arial" w:cs="Arial"/>
        </w:rPr>
      </w:pPr>
      <w:r w:rsidRPr="007935C4">
        <w:rPr>
          <w:rFonts w:ascii="Arial" w:hAnsi="Arial" w:cs="Arial"/>
        </w:rPr>
        <w:t xml:space="preserve">This finding resonates with </w:t>
      </w:r>
      <w:proofErr w:type="spellStart"/>
      <w:r w:rsidRPr="007935C4">
        <w:rPr>
          <w:rFonts w:ascii="Arial" w:hAnsi="Arial" w:cs="Arial"/>
        </w:rPr>
        <w:t>Rogayan</w:t>
      </w:r>
      <w:proofErr w:type="spellEnd"/>
      <w:r w:rsidRPr="007935C4">
        <w:rPr>
          <w:rFonts w:ascii="Arial" w:hAnsi="Arial" w:cs="Arial"/>
        </w:rPr>
        <w:t xml:space="preserve"> and </w:t>
      </w:r>
      <w:proofErr w:type="spellStart"/>
      <w:r w:rsidRPr="007935C4">
        <w:rPr>
          <w:rFonts w:ascii="Arial" w:hAnsi="Arial" w:cs="Arial"/>
        </w:rPr>
        <w:t>Dollete</w:t>
      </w:r>
      <w:proofErr w:type="spellEnd"/>
      <w:r w:rsidRPr="007935C4">
        <w:rPr>
          <w:rFonts w:ascii="Arial" w:hAnsi="Arial" w:cs="Arial"/>
        </w:rPr>
        <w:t xml:space="preserve"> (2019), who contend that coherence in instructional design does not simply involve relying on teachers’ prior knowledge but requires careful consideration of pedagogical beliefs regarding effective teaching and learning.</w:t>
      </w:r>
    </w:p>
    <w:p w14:paraId="7CE85F66" w14:textId="7A48814E" w:rsidR="007935C4" w:rsidRPr="007935C4" w:rsidRDefault="007935C4" w:rsidP="007935C4">
      <w:pPr>
        <w:pStyle w:val="Body"/>
        <w:rPr>
          <w:rFonts w:ascii="Arial" w:hAnsi="Arial" w:cs="Arial"/>
          <w:b/>
          <w:bCs/>
          <w:u w:val="single"/>
        </w:rPr>
      </w:pPr>
      <w:r w:rsidRPr="007935C4">
        <w:rPr>
          <w:rFonts w:ascii="Arial" w:hAnsi="Arial" w:cs="Arial"/>
          <w:b/>
          <w:bCs/>
          <w:u w:val="single"/>
        </w:rPr>
        <w:t>3.5.3 Appropriateness</w:t>
      </w:r>
    </w:p>
    <w:p w14:paraId="25B53529" w14:textId="71B14852" w:rsidR="007935C4" w:rsidRPr="007935C4" w:rsidRDefault="007935C4" w:rsidP="007935C4">
      <w:pPr>
        <w:pStyle w:val="Body"/>
        <w:rPr>
          <w:rFonts w:ascii="Arial" w:hAnsi="Arial" w:cs="Arial"/>
        </w:rPr>
      </w:pPr>
      <w:r w:rsidRPr="007935C4">
        <w:rPr>
          <w:rFonts w:ascii="Arial" w:hAnsi="Arial" w:cs="Arial"/>
        </w:rPr>
        <w:t>With a composite mean of 3.89, the workbook was also judged highly valid in terms of appropriateness. Validators noted that it was well-suited to the intended learners, addressed immediate needs, followed a logical sequence, and sustained interest through varied activities. This adaptability is crucial, as workbooks must provide opportunities for reinforcement of concepts already studied in standard textbooks.</w:t>
      </w:r>
    </w:p>
    <w:p w14:paraId="2EE63B18" w14:textId="0FEF9FE9" w:rsidR="007935C4" w:rsidRPr="007935C4" w:rsidRDefault="007935C4" w:rsidP="007935C4">
      <w:pPr>
        <w:pStyle w:val="Body"/>
        <w:rPr>
          <w:rFonts w:ascii="Arial" w:hAnsi="Arial" w:cs="Arial"/>
        </w:rPr>
      </w:pPr>
      <w:r w:rsidRPr="007935C4">
        <w:rPr>
          <w:rFonts w:ascii="Arial" w:hAnsi="Arial" w:cs="Arial"/>
        </w:rPr>
        <w:t>As emphasized in the literature, the feasibility of a workbook depends on analyzing student needs and potential challenges (</w:t>
      </w:r>
      <w:proofErr w:type="spellStart"/>
      <w:r w:rsidRPr="007935C4">
        <w:rPr>
          <w:rFonts w:ascii="Arial" w:hAnsi="Arial" w:cs="Arial"/>
        </w:rPr>
        <w:t>Pamelasari</w:t>
      </w:r>
      <w:proofErr w:type="spellEnd"/>
      <w:r w:rsidRPr="007935C4">
        <w:rPr>
          <w:rFonts w:ascii="Arial" w:hAnsi="Arial" w:cs="Arial"/>
        </w:rPr>
        <w:t xml:space="preserve"> et al., 2018; Sukma &amp; Ibrahim, 2016). </w:t>
      </w:r>
      <w:r w:rsidRPr="007935C4">
        <w:rPr>
          <w:rFonts w:ascii="Arial" w:hAnsi="Arial" w:cs="Arial"/>
        </w:rPr>
        <w:lastRenderedPageBreak/>
        <w:t>Instructional resources that are both practical and culturally sensitive ensure appropriateness for learners.</w:t>
      </w:r>
    </w:p>
    <w:p w14:paraId="308F1151" w14:textId="013F1ADF" w:rsidR="007935C4" w:rsidRPr="007935C4" w:rsidRDefault="007935C4" w:rsidP="007935C4">
      <w:pPr>
        <w:pStyle w:val="Body"/>
        <w:rPr>
          <w:rFonts w:ascii="Arial" w:hAnsi="Arial" w:cs="Arial"/>
          <w:b/>
          <w:bCs/>
          <w:u w:val="single"/>
        </w:rPr>
      </w:pPr>
      <w:r w:rsidRPr="007935C4">
        <w:rPr>
          <w:rFonts w:ascii="Arial" w:hAnsi="Arial" w:cs="Arial"/>
          <w:b/>
          <w:bCs/>
          <w:u w:val="single"/>
        </w:rPr>
        <w:t>3.5.4 Usefulness</w:t>
      </w:r>
    </w:p>
    <w:p w14:paraId="12DD3AF4" w14:textId="1E2B87B2" w:rsidR="007935C4" w:rsidRPr="007935C4" w:rsidRDefault="007935C4" w:rsidP="007935C4">
      <w:pPr>
        <w:pStyle w:val="Body"/>
        <w:rPr>
          <w:rFonts w:ascii="Arial" w:hAnsi="Arial" w:cs="Arial"/>
        </w:rPr>
      </w:pPr>
      <w:r w:rsidRPr="007935C4">
        <w:rPr>
          <w:rFonts w:ascii="Arial" w:hAnsi="Arial" w:cs="Arial"/>
        </w:rPr>
        <w:t>The workbook’s usefulness obtained the highest composite mean (3.97). Validators strongly agreed that it was easy to understand, imparted knowledge and skills, fostered creative and critical thinking, served as a reliable instructional tool, and facilitated lesson presentation.</w:t>
      </w:r>
    </w:p>
    <w:p w14:paraId="376AF95D" w14:textId="5E6B4545" w:rsidR="007935C4" w:rsidRPr="007935C4" w:rsidRDefault="007935C4" w:rsidP="007935C4">
      <w:pPr>
        <w:pStyle w:val="Body"/>
        <w:rPr>
          <w:rFonts w:ascii="Arial" w:hAnsi="Arial" w:cs="Arial"/>
        </w:rPr>
      </w:pPr>
      <w:r w:rsidRPr="007935C4">
        <w:rPr>
          <w:rFonts w:ascii="Arial" w:hAnsi="Arial" w:cs="Arial"/>
        </w:rPr>
        <w:t>This aligns with Flores (2008), who argued that effective materials enhance learning by aligning with students’ interests rather than requiring major shifts in teaching strategy. By encouraging engagement through interactive exercises and practice questions, the workbook was rated by validators as a highly useful supplement to classroom instruction.</w:t>
      </w:r>
    </w:p>
    <w:p w14:paraId="2DEABB71" w14:textId="526DB7C5" w:rsidR="007935C4" w:rsidRPr="007935C4" w:rsidRDefault="007935C4" w:rsidP="007935C4">
      <w:pPr>
        <w:pStyle w:val="Body"/>
        <w:rPr>
          <w:rFonts w:ascii="Arial" w:hAnsi="Arial" w:cs="Arial"/>
          <w:b/>
          <w:bCs/>
        </w:rPr>
      </w:pPr>
      <w:r w:rsidRPr="007935C4">
        <w:rPr>
          <w:rFonts w:ascii="Arial" w:hAnsi="Arial" w:cs="Arial"/>
          <w:b/>
          <w:bCs/>
        </w:rPr>
        <w:t>3.5.5 Contextualization</w:t>
      </w:r>
    </w:p>
    <w:p w14:paraId="3C9F936F" w14:textId="1762D0F0" w:rsidR="007935C4" w:rsidRPr="007935C4" w:rsidRDefault="007935C4" w:rsidP="007935C4">
      <w:pPr>
        <w:pStyle w:val="Body"/>
        <w:rPr>
          <w:rFonts w:ascii="Arial" w:hAnsi="Arial" w:cs="Arial"/>
        </w:rPr>
      </w:pPr>
      <w:r w:rsidRPr="007935C4">
        <w:rPr>
          <w:rFonts w:ascii="Arial" w:hAnsi="Arial" w:cs="Arial"/>
        </w:rPr>
        <w:t>Finally, in terms of contextualization, the workbook scored a composite mean of 3.93, confirming its ability to provide learning tasks linked to competencies, include lessons relatable to students’ personal experiences, and substitute for standardized materials when needed.</w:t>
      </w:r>
    </w:p>
    <w:p w14:paraId="0B022F5F" w14:textId="1C139CB0" w:rsidR="007935C4" w:rsidRPr="007935C4" w:rsidRDefault="007935C4" w:rsidP="007935C4">
      <w:pPr>
        <w:pStyle w:val="Body"/>
        <w:rPr>
          <w:rFonts w:ascii="Arial" w:hAnsi="Arial" w:cs="Arial"/>
        </w:rPr>
      </w:pPr>
      <w:r w:rsidRPr="007935C4">
        <w:rPr>
          <w:rFonts w:ascii="Arial" w:hAnsi="Arial" w:cs="Arial"/>
        </w:rPr>
        <w:t>This finding supports Jimenez’s (2020) conclusion that contextualization significantly improves academic performance. Similarly, Baker et al. (2009) argued that instructional resources tied to real-life situations foster deeper learning and better retention. As Sanchez (2022) suggested, contextualized activities and illustrations should be continuously developed to sustain relevance in learning.</w:t>
      </w:r>
    </w:p>
    <w:p w14:paraId="44D4219C" w14:textId="331D1F59" w:rsidR="007935C4" w:rsidRPr="007935C4" w:rsidRDefault="007935C4" w:rsidP="007935C4">
      <w:pPr>
        <w:pStyle w:val="Body"/>
        <w:rPr>
          <w:rFonts w:ascii="Arial" w:hAnsi="Arial" w:cs="Arial"/>
        </w:rPr>
      </w:pPr>
      <w:r w:rsidRPr="007935C4">
        <w:rPr>
          <w:rFonts w:ascii="Arial" w:hAnsi="Arial" w:cs="Arial"/>
        </w:rPr>
        <w:t>In addition to numerical ratings, validators provided qualitative feedback underscoring the value of the developed workbook:</w:t>
      </w:r>
    </w:p>
    <w:p w14:paraId="1162B6D3" w14:textId="531A6AA4" w:rsidR="007935C4" w:rsidRPr="007935C4" w:rsidRDefault="007935C4" w:rsidP="007935C4">
      <w:pPr>
        <w:pStyle w:val="Body"/>
        <w:rPr>
          <w:rFonts w:ascii="Arial" w:hAnsi="Arial" w:cs="Arial"/>
        </w:rPr>
      </w:pPr>
      <w:r w:rsidRPr="007935C4">
        <w:rPr>
          <w:rFonts w:ascii="Arial" w:hAnsi="Arial" w:cs="Arial"/>
          <w:i/>
          <w:iCs/>
        </w:rPr>
        <w:t>“Given the limited materials that we utilize in teaching the course, this material can be of great help for the students in Gender and Society.”</w:t>
      </w:r>
      <w:r>
        <w:rPr>
          <w:rFonts w:ascii="Arial" w:hAnsi="Arial" w:cs="Arial"/>
        </w:rPr>
        <w:t xml:space="preserve"> </w:t>
      </w:r>
      <w:r w:rsidRPr="007935C4">
        <w:rPr>
          <w:rFonts w:ascii="Arial" w:hAnsi="Arial" w:cs="Arial"/>
        </w:rPr>
        <w:t>– Validator 4</w:t>
      </w:r>
    </w:p>
    <w:p w14:paraId="0570F039" w14:textId="26147633" w:rsidR="007935C4" w:rsidRPr="007935C4" w:rsidRDefault="007935C4" w:rsidP="007935C4">
      <w:pPr>
        <w:pStyle w:val="Body"/>
        <w:rPr>
          <w:rFonts w:ascii="Arial" w:hAnsi="Arial" w:cs="Arial"/>
          <w:i/>
          <w:iCs/>
        </w:rPr>
      </w:pPr>
      <w:r w:rsidRPr="007935C4">
        <w:rPr>
          <w:rFonts w:ascii="Arial" w:hAnsi="Arial" w:cs="Arial"/>
          <w:i/>
          <w:iCs/>
        </w:rPr>
        <w:t>“The developed workbook can be used in teaching Gender and Society. Congratulations, Sir!”</w:t>
      </w:r>
      <w:r>
        <w:rPr>
          <w:rFonts w:ascii="Arial" w:hAnsi="Arial" w:cs="Arial"/>
          <w:i/>
          <w:iCs/>
        </w:rPr>
        <w:t xml:space="preserve"> </w:t>
      </w:r>
      <w:r w:rsidRPr="007935C4">
        <w:rPr>
          <w:rFonts w:ascii="Arial" w:hAnsi="Arial" w:cs="Arial"/>
        </w:rPr>
        <w:t>– Validator 6</w:t>
      </w:r>
    </w:p>
    <w:p w14:paraId="0C483BD6" w14:textId="63DC9581" w:rsidR="007935C4" w:rsidRPr="007935C4" w:rsidRDefault="007935C4" w:rsidP="007935C4">
      <w:pPr>
        <w:pStyle w:val="Body"/>
        <w:rPr>
          <w:rFonts w:ascii="Arial" w:hAnsi="Arial" w:cs="Arial"/>
          <w:i/>
          <w:iCs/>
        </w:rPr>
      </w:pPr>
      <w:r w:rsidRPr="007935C4">
        <w:rPr>
          <w:rFonts w:ascii="Arial" w:hAnsi="Arial" w:cs="Arial"/>
          <w:i/>
          <w:iCs/>
        </w:rPr>
        <w:t>“This material is first of its kind in this new GE course. This will benefit both students and teachers alike in our place [province].”</w:t>
      </w:r>
      <w:r>
        <w:rPr>
          <w:rFonts w:ascii="Arial" w:hAnsi="Arial" w:cs="Arial"/>
          <w:i/>
          <w:iCs/>
        </w:rPr>
        <w:t xml:space="preserve"> </w:t>
      </w:r>
      <w:r w:rsidRPr="007935C4">
        <w:rPr>
          <w:rFonts w:ascii="Arial" w:hAnsi="Arial" w:cs="Arial"/>
        </w:rPr>
        <w:t>– Validator 7</w:t>
      </w:r>
    </w:p>
    <w:p w14:paraId="4A2C3AE3" w14:textId="77777777" w:rsidR="007935C4" w:rsidRDefault="007935C4" w:rsidP="007935C4">
      <w:pPr>
        <w:pStyle w:val="Body"/>
        <w:rPr>
          <w:rFonts w:ascii="Arial" w:hAnsi="Arial" w:cs="Arial"/>
        </w:rPr>
      </w:pPr>
      <w:r w:rsidRPr="007935C4">
        <w:rPr>
          <w:rFonts w:ascii="Arial" w:hAnsi="Arial" w:cs="Arial"/>
        </w:rPr>
        <w:t>These remarks reflect strong agreement among experts that the workbook is not only valid but also highly beneficial, especially in addressing the lack of instructional materials available for the elective course.</w:t>
      </w:r>
    </w:p>
    <w:p w14:paraId="4ACCF267" w14:textId="6509B358" w:rsidR="007935C4" w:rsidRPr="007935C4" w:rsidRDefault="007935C4" w:rsidP="007935C4">
      <w:pPr>
        <w:pStyle w:val="Body"/>
        <w:rPr>
          <w:rFonts w:ascii="Arial" w:hAnsi="Arial" w:cs="Arial"/>
          <w:lang w:val="en-PH"/>
        </w:rPr>
      </w:pPr>
      <w:r w:rsidRPr="007935C4">
        <w:rPr>
          <w:rFonts w:ascii="Arial" w:hAnsi="Arial" w:cs="Arial"/>
          <w:lang w:val="en-PH"/>
        </w:rPr>
        <w:t xml:space="preserve">The validation process confirmed that the </w:t>
      </w:r>
      <w:r w:rsidRPr="007935C4">
        <w:rPr>
          <w:rFonts w:ascii="Arial" w:hAnsi="Arial" w:cs="Arial"/>
          <w:i/>
          <w:iCs/>
          <w:lang w:val="en-PH"/>
        </w:rPr>
        <w:t>Contextualized Workbook in Gender and Society</w:t>
      </w:r>
      <w:r w:rsidRPr="007935C4">
        <w:rPr>
          <w:rFonts w:ascii="Arial" w:hAnsi="Arial" w:cs="Arial"/>
          <w:lang w:val="en-PH"/>
        </w:rPr>
        <w:t xml:space="preserve"> met the established standards of adequacy, coherence, appropriateness, usefulness, and contextualization. Both quantitative ratings and qualitative feedback emphasized its relevance, instructional value, and potential to enhance student engagement and performance. Consequently, the workbook emerges as a credible and practical supplementary material that addresses the instructional gaps in teaching </w:t>
      </w:r>
      <w:r w:rsidRPr="007935C4">
        <w:rPr>
          <w:rFonts w:ascii="Arial" w:hAnsi="Arial" w:cs="Arial"/>
          <w:i/>
          <w:iCs/>
          <w:lang w:val="en-PH"/>
        </w:rPr>
        <w:t>Gender and Society</w:t>
      </w:r>
      <w:r w:rsidRPr="007935C4">
        <w:rPr>
          <w:rFonts w:ascii="Arial" w:hAnsi="Arial" w:cs="Arial"/>
          <w:lang w:val="en-PH"/>
        </w:rPr>
        <w:t>, thereby fulfilling the study’s third objective of developing and validating an effective contextualized resource.</w:t>
      </w:r>
    </w:p>
    <w:p w14:paraId="56BD0607" w14:textId="77777777" w:rsidR="007935C4" w:rsidRPr="007935C4" w:rsidRDefault="007935C4" w:rsidP="007935C4">
      <w:pPr>
        <w:pStyle w:val="Body"/>
        <w:rPr>
          <w:rFonts w:ascii="Arial" w:hAnsi="Arial" w:cs="Arial"/>
          <w:lang w:val="en-PH"/>
        </w:rPr>
      </w:pPr>
      <w:r w:rsidRPr="007935C4">
        <w:rPr>
          <w:rFonts w:ascii="Arial" w:hAnsi="Arial" w:cs="Arial"/>
          <w:b/>
          <w:bCs/>
          <w:lang w:val="en-PH"/>
        </w:rPr>
        <w:lastRenderedPageBreak/>
        <w:t xml:space="preserve">Table 4. Expert Validation Results of the Contextualized Workbook in </w:t>
      </w:r>
      <w:r w:rsidRPr="007935C4">
        <w:rPr>
          <w:rFonts w:ascii="Arial" w:hAnsi="Arial" w:cs="Arial"/>
          <w:b/>
          <w:bCs/>
          <w:i/>
          <w:iCs/>
          <w:lang w:val="en-PH"/>
        </w:rPr>
        <w:t>Gender and Society</w:t>
      </w:r>
    </w:p>
    <w:tbl>
      <w:tblPr>
        <w:tblStyle w:val="TableGrid1"/>
        <w:tblW w:w="8622" w:type="dxa"/>
        <w:tblInd w:w="12" w:type="dxa"/>
        <w:tblCellMar>
          <w:top w:w="5" w:type="dxa"/>
          <w:right w:w="196" w:type="dxa"/>
        </w:tblCellMar>
        <w:tblLook w:val="04A0" w:firstRow="1" w:lastRow="0" w:firstColumn="1" w:lastColumn="0" w:noHBand="0" w:noVBand="1"/>
      </w:tblPr>
      <w:tblGrid>
        <w:gridCol w:w="6558"/>
        <w:gridCol w:w="1170"/>
        <w:gridCol w:w="894"/>
      </w:tblGrid>
      <w:tr w:rsidR="007935C4" w:rsidRPr="007935C4" w14:paraId="00BFEA96" w14:textId="77777777" w:rsidTr="00585A99">
        <w:trPr>
          <w:trHeight w:val="608"/>
          <w:tblHeader/>
        </w:trPr>
        <w:tc>
          <w:tcPr>
            <w:tcW w:w="6558" w:type="dxa"/>
            <w:tcBorders>
              <w:top w:val="single" w:sz="4" w:space="0" w:color="auto"/>
              <w:left w:val="nil"/>
              <w:bottom w:val="single" w:sz="8" w:space="0" w:color="000000"/>
              <w:right w:val="nil"/>
            </w:tcBorders>
            <w:vAlign w:val="center"/>
          </w:tcPr>
          <w:p w14:paraId="1301A4D8" w14:textId="30F16BA2" w:rsidR="007935C4" w:rsidRPr="007935C4" w:rsidRDefault="007935C4" w:rsidP="00585A99">
            <w:pPr>
              <w:spacing w:line="259" w:lineRule="auto"/>
              <w:ind w:left="44"/>
              <w:jc w:val="center"/>
              <w:rPr>
                <w:rFonts w:ascii="Arial" w:hAnsi="Arial" w:cs="Arial"/>
                <w:color w:val="000000"/>
                <w:sz w:val="20"/>
                <w:szCs w:val="20"/>
              </w:rPr>
            </w:pPr>
            <w:r w:rsidRPr="007935C4">
              <w:rPr>
                <w:rFonts w:ascii="Arial" w:hAnsi="Arial" w:cs="Arial"/>
                <w:color w:val="000000"/>
                <w:sz w:val="20"/>
                <w:szCs w:val="20"/>
              </w:rPr>
              <w:t>Criteria</w:t>
            </w:r>
          </w:p>
        </w:tc>
        <w:tc>
          <w:tcPr>
            <w:tcW w:w="1170" w:type="dxa"/>
            <w:tcBorders>
              <w:top w:val="single" w:sz="4" w:space="0" w:color="auto"/>
              <w:left w:val="nil"/>
              <w:bottom w:val="single" w:sz="8" w:space="0" w:color="000000"/>
              <w:right w:val="nil"/>
            </w:tcBorders>
            <w:vAlign w:val="center"/>
          </w:tcPr>
          <w:p w14:paraId="411DB23C" w14:textId="38BAFC2B" w:rsidR="007935C4" w:rsidRPr="007935C4" w:rsidRDefault="007935C4" w:rsidP="00585A99">
            <w:pPr>
              <w:spacing w:line="259" w:lineRule="auto"/>
              <w:ind w:left="54"/>
              <w:jc w:val="center"/>
              <w:rPr>
                <w:rFonts w:ascii="Arial" w:hAnsi="Arial" w:cs="Arial"/>
                <w:color w:val="000000"/>
                <w:sz w:val="20"/>
                <w:szCs w:val="20"/>
              </w:rPr>
            </w:pPr>
            <w:r w:rsidRPr="007935C4">
              <w:rPr>
                <w:rFonts w:ascii="Arial" w:hAnsi="Arial" w:cs="Arial"/>
                <w:color w:val="000000"/>
                <w:sz w:val="20"/>
                <w:szCs w:val="20"/>
              </w:rPr>
              <w:t>Mean</w:t>
            </w:r>
          </w:p>
          <w:p w14:paraId="2B4B7161" w14:textId="7868E10C" w:rsidR="007935C4" w:rsidRPr="007935C4" w:rsidRDefault="007935C4" w:rsidP="00585A99">
            <w:pPr>
              <w:spacing w:line="259" w:lineRule="auto"/>
              <w:jc w:val="center"/>
              <w:rPr>
                <w:rFonts w:ascii="Arial" w:hAnsi="Arial" w:cs="Arial"/>
                <w:color w:val="000000"/>
                <w:sz w:val="20"/>
                <w:szCs w:val="20"/>
              </w:rPr>
            </w:pPr>
            <w:r w:rsidRPr="007935C4">
              <w:rPr>
                <w:rFonts w:ascii="Arial" w:hAnsi="Arial" w:cs="Arial"/>
                <w:color w:val="000000"/>
                <w:sz w:val="20"/>
                <w:szCs w:val="20"/>
              </w:rPr>
              <w:t>Rating</w:t>
            </w:r>
          </w:p>
        </w:tc>
        <w:tc>
          <w:tcPr>
            <w:tcW w:w="894" w:type="dxa"/>
            <w:tcBorders>
              <w:top w:val="single" w:sz="4" w:space="0" w:color="auto"/>
              <w:left w:val="nil"/>
              <w:bottom w:val="single" w:sz="8" w:space="0" w:color="000000"/>
              <w:right w:val="nil"/>
            </w:tcBorders>
            <w:vAlign w:val="center"/>
          </w:tcPr>
          <w:p w14:paraId="084957F4" w14:textId="6A8E8AFC" w:rsidR="007935C4" w:rsidRPr="007935C4" w:rsidRDefault="007935C4" w:rsidP="00585A99">
            <w:pPr>
              <w:spacing w:line="259" w:lineRule="auto"/>
              <w:ind w:left="48"/>
              <w:jc w:val="center"/>
              <w:rPr>
                <w:rFonts w:ascii="Arial" w:hAnsi="Arial" w:cs="Arial"/>
                <w:color w:val="000000"/>
                <w:sz w:val="20"/>
                <w:szCs w:val="20"/>
              </w:rPr>
            </w:pPr>
            <w:r w:rsidRPr="007935C4">
              <w:rPr>
                <w:rFonts w:ascii="Arial" w:hAnsi="Arial" w:cs="Arial"/>
                <w:color w:val="000000"/>
                <w:sz w:val="20"/>
                <w:szCs w:val="20"/>
              </w:rPr>
              <w:t>DI</w:t>
            </w:r>
          </w:p>
        </w:tc>
      </w:tr>
      <w:tr w:rsidR="007935C4" w:rsidRPr="007935C4" w14:paraId="5308BA32" w14:textId="77777777" w:rsidTr="00585A99">
        <w:trPr>
          <w:trHeight w:val="533"/>
        </w:trPr>
        <w:tc>
          <w:tcPr>
            <w:tcW w:w="6558" w:type="dxa"/>
            <w:tcBorders>
              <w:top w:val="single" w:sz="8" w:space="0" w:color="000000"/>
              <w:left w:val="nil"/>
              <w:bottom w:val="nil"/>
              <w:right w:val="nil"/>
            </w:tcBorders>
            <w:vAlign w:val="bottom"/>
          </w:tcPr>
          <w:p w14:paraId="5D971FC8" w14:textId="77777777" w:rsidR="007935C4" w:rsidRPr="007935C4" w:rsidRDefault="007935C4" w:rsidP="00585A99">
            <w:pPr>
              <w:spacing w:line="259" w:lineRule="auto"/>
              <w:ind w:left="108"/>
              <w:rPr>
                <w:rFonts w:ascii="Arial" w:hAnsi="Arial" w:cs="Arial"/>
                <w:color w:val="000000"/>
                <w:sz w:val="20"/>
                <w:szCs w:val="20"/>
              </w:rPr>
            </w:pPr>
            <w:r w:rsidRPr="007935C4">
              <w:rPr>
                <w:rFonts w:ascii="Arial" w:hAnsi="Arial" w:cs="Arial"/>
                <w:color w:val="000000"/>
                <w:sz w:val="20"/>
                <w:szCs w:val="20"/>
              </w:rPr>
              <w:t>A.</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Adequacy </w:t>
            </w:r>
          </w:p>
          <w:p w14:paraId="069201AD" w14:textId="456E6356" w:rsidR="007935C4" w:rsidRPr="007935C4" w:rsidRDefault="007935C4" w:rsidP="00585A99">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The instruction in the workbook corresponds with</w:t>
            </w:r>
            <w:r w:rsidR="00585A99">
              <w:rPr>
                <w:rFonts w:ascii="Arial" w:hAnsi="Arial" w:cs="Arial"/>
                <w:color w:val="000000"/>
                <w:sz w:val="20"/>
                <w:szCs w:val="20"/>
              </w:rPr>
              <w:t xml:space="preserve"> </w:t>
            </w:r>
            <w:r w:rsidRPr="007935C4">
              <w:rPr>
                <w:rFonts w:ascii="Arial" w:hAnsi="Arial" w:cs="Arial"/>
                <w:color w:val="000000"/>
                <w:sz w:val="20"/>
                <w:szCs w:val="20"/>
              </w:rPr>
              <w:t xml:space="preserve">activities </w:t>
            </w:r>
          </w:p>
        </w:tc>
        <w:tc>
          <w:tcPr>
            <w:tcW w:w="1170" w:type="dxa"/>
            <w:tcBorders>
              <w:top w:val="single" w:sz="8" w:space="0" w:color="000000"/>
              <w:left w:val="nil"/>
              <w:bottom w:val="nil"/>
              <w:right w:val="nil"/>
            </w:tcBorders>
            <w:vAlign w:val="bottom"/>
          </w:tcPr>
          <w:p w14:paraId="2A570BDC" w14:textId="77777777" w:rsidR="007935C4" w:rsidRPr="007935C4" w:rsidRDefault="007935C4" w:rsidP="00585A99">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686ED1BC"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8" w:space="0" w:color="000000"/>
              <w:left w:val="nil"/>
              <w:bottom w:val="nil"/>
              <w:right w:val="nil"/>
            </w:tcBorders>
            <w:vAlign w:val="bottom"/>
          </w:tcPr>
          <w:p w14:paraId="7E70F8D4" w14:textId="77777777" w:rsidR="007935C4" w:rsidRPr="007935C4" w:rsidRDefault="007935C4" w:rsidP="00585A99">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4F06CD8F"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1700F125" w14:textId="77777777" w:rsidTr="00585A99">
        <w:trPr>
          <w:trHeight w:val="400"/>
        </w:trPr>
        <w:tc>
          <w:tcPr>
            <w:tcW w:w="6558" w:type="dxa"/>
            <w:tcBorders>
              <w:top w:val="nil"/>
              <w:left w:val="nil"/>
              <w:bottom w:val="nil"/>
              <w:right w:val="nil"/>
            </w:tcBorders>
            <w:vAlign w:val="bottom"/>
          </w:tcPr>
          <w:p w14:paraId="10DBE270" w14:textId="5C8CBC14"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The learning activities satisfy the stated learning outcomes in</w:t>
            </w:r>
            <w:r w:rsidR="00585A99">
              <w:rPr>
                <w:rFonts w:ascii="Arial" w:hAnsi="Arial" w:cs="Arial"/>
                <w:color w:val="000000"/>
                <w:sz w:val="20"/>
                <w:szCs w:val="20"/>
              </w:rPr>
              <w:t xml:space="preserve"> </w:t>
            </w:r>
            <w:r w:rsidRPr="007935C4">
              <w:rPr>
                <w:rFonts w:ascii="Arial" w:hAnsi="Arial" w:cs="Arial"/>
                <w:color w:val="000000"/>
                <w:sz w:val="20"/>
                <w:szCs w:val="20"/>
              </w:rPr>
              <w:t xml:space="preserve">the workbook. </w:t>
            </w:r>
          </w:p>
        </w:tc>
        <w:tc>
          <w:tcPr>
            <w:tcW w:w="1170" w:type="dxa"/>
            <w:tcBorders>
              <w:top w:val="nil"/>
              <w:left w:val="nil"/>
              <w:bottom w:val="nil"/>
              <w:right w:val="nil"/>
            </w:tcBorders>
            <w:vAlign w:val="bottom"/>
          </w:tcPr>
          <w:p w14:paraId="5E8AA718"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08393DB5"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25817542" w14:textId="77777777" w:rsidTr="00585A99">
        <w:trPr>
          <w:trHeight w:val="276"/>
        </w:trPr>
        <w:tc>
          <w:tcPr>
            <w:tcW w:w="6558" w:type="dxa"/>
            <w:tcBorders>
              <w:top w:val="nil"/>
              <w:left w:val="nil"/>
              <w:bottom w:val="nil"/>
              <w:right w:val="nil"/>
            </w:tcBorders>
            <w:vAlign w:val="bottom"/>
          </w:tcPr>
          <w:p w14:paraId="1A2FC840" w14:textId="77777777" w:rsidR="007935C4" w:rsidRPr="007935C4" w:rsidRDefault="007935C4" w:rsidP="00585A99">
            <w:pPr>
              <w:spacing w:line="259" w:lineRule="auto"/>
              <w:ind w:left="468"/>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independent activities </w:t>
            </w:r>
          </w:p>
        </w:tc>
        <w:tc>
          <w:tcPr>
            <w:tcW w:w="1170" w:type="dxa"/>
            <w:tcBorders>
              <w:top w:val="nil"/>
              <w:left w:val="nil"/>
              <w:bottom w:val="nil"/>
              <w:right w:val="nil"/>
            </w:tcBorders>
            <w:vAlign w:val="bottom"/>
          </w:tcPr>
          <w:p w14:paraId="3621EE61"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4EC2E2BE"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7A4C3352" w14:textId="77777777" w:rsidTr="00585A99">
        <w:trPr>
          <w:trHeight w:val="247"/>
        </w:trPr>
        <w:tc>
          <w:tcPr>
            <w:tcW w:w="6558" w:type="dxa"/>
            <w:tcBorders>
              <w:top w:val="nil"/>
              <w:left w:val="nil"/>
              <w:bottom w:val="nil"/>
              <w:right w:val="nil"/>
            </w:tcBorders>
            <w:vAlign w:val="bottom"/>
          </w:tcPr>
          <w:p w14:paraId="727C1D78"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Graphical and pictorial images are evident in the workbook </w:t>
            </w:r>
          </w:p>
        </w:tc>
        <w:tc>
          <w:tcPr>
            <w:tcW w:w="1170" w:type="dxa"/>
            <w:tcBorders>
              <w:top w:val="nil"/>
              <w:left w:val="nil"/>
              <w:bottom w:val="nil"/>
              <w:right w:val="nil"/>
            </w:tcBorders>
            <w:vAlign w:val="bottom"/>
          </w:tcPr>
          <w:p w14:paraId="1E838326"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364B1AB4"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3370E991" w14:textId="77777777" w:rsidTr="00585A99">
        <w:trPr>
          <w:trHeight w:val="130"/>
        </w:trPr>
        <w:tc>
          <w:tcPr>
            <w:tcW w:w="6558" w:type="dxa"/>
            <w:tcBorders>
              <w:top w:val="nil"/>
              <w:left w:val="nil"/>
              <w:bottom w:val="single" w:sz="4" w:space="0" w:color="000000"/>
              <w:right w:val="nil"/>
            </w:tcBorders>
            <w:vAlign w:val="bottom"/>
          </w:tcPr>
          <w:p w14:paraId="5859B903"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concepts in the workbook are presented logically. </w:t>
            </w:r>
          </w:p>
        </w:tc>
        <w:tc>
          <w:tcPr>
            <w:tcW w:w="1170" w:type="dxa"/>
            <w:tcBorders>
              <w:top w:val="nil"/>
              <w:left w:val="nil"/>
              <w:bottom w:val="single" w:sz="4" w:space="0" w:color="000000"/>
              <w:right w:val="nil"/>
            </w:tcBorders>
            <w:vAlign w:val="bottom"/>
          </w:tcPr>
          <w:p w14:paraId="051B9B69"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0F25AD2A"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25494D01" w14:textId="77777777" w:rsidTr="00585A99">
        <w:trPr>
          <w:trHeight w:val="65"/>
        </w:trPr>
        <w:tc>
          <w:tcPr>
            <w:tcW w:w="6558" w:type="dxa"/>
            <w:tcBorders>
              <w:top w:val="single" w:sz="4" w:space="0" w:color="000000"/>
              <w:left w:val="nil"/>
              <w:bottom w:val="single" w:sz="4" w:space="0" w:color="000000"/>
              <w:right w:val="nil"/>
            </w:tcBorders>
            <w:vAlign w:val="bottom"/>
          </w:tcPr>
          <w:p w14:paraId="0DBD3A31" w14:textId="77777777" w:rsidR="007935C4" w:rsidRPr="007935C4" w:rsidRDefault="007935C4" w:rsidP="00585A99">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2F6E2D76"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30D2E288" w14:textId="77777777" w:rsidR="007935C4" w:rsidRPr="007935C4" w:rsidRDefault="007935C4" w:rsidP="00585A99">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00064F09" w14:textId="77777777" w:rsidTr="00585A99">
        <w:trPr>
          <w:trHeight w:val="417"/>
        </w:trPr>
        <w:tc>
          <w:tcPr>
            <w:tcW w:w="6558" w:type="dxa"/>
            <w:tcBorders>
              <w:top w:val="single" w:sz="4" w:space="0" w:color="000000"/>
              <w:left w:val="nil"/>
              <w:bottom w:val="nil"/>
              <w:right w:val="nil"/>
            </w:tcBorders>
            <w:vAlign w:val="bottom"/>
          </w:tcPr>
          <w:p w14:paraId="081BF1CA" w14:textId="77777777" w:rsidR="007935C4" w:rsidRPr="007935C4" w:rsidRDefault="007935C4" w:rsidP="00585A99">
            <w:pPr>
              <w:spacing w:line="259" w:lineRule="auto"/>
              <w:ind w:left="108"/>
              <w:rPr>
                <w:rFonts w:ascii="Arial" w:hAnsi="Arial" w:cs="Arial"/>
                <w:color w:val="000000"/>
                <w:sz w:val="20"/>
                <w:szCs w:val="20"/>
              </w:rPr>
            </w:pPr>
            <w:r w:rsidRPr="007935C4">
              <w:rPr>
                <w:rFonts w:ascii="Arial" w:hAnsi="Arial" w:cs="Arial"/>
                <w:color w:val="000000"/>
                <w:sz w:val="20"/>
                <w:szCs w:val="20"/>
              </w:rPr>
              <w:t>B.</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Coherence  </w:t>
            </w:r>
          </w:p>
          <w:p w14:paraId="33177E5E" w14:textId="77777777" w:rsidR="007935C4" w:rsidRPr="007935C4" w:rsidRDefault="007935C4" w:rsidP="00585A99">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contains relevant activities. </w:t>
            </w:r>
          </w:p>
        </w:tc>
        <w:tc>
          <w:tcPr>
            <w:tcW w:w="1170" w:type="dxa"/>
            <w:tcBorders>
              <w:top w:val="single" w:sz="4" w:space="0" w:color="000000"/>
              <w:left w:val="nil"/>
              <w:bottom w:val="nil"/>
              <w:right w:val="nil"/>
            </w:tcBorders>
            <w:vAlign w:val="bottom"/>
          </w:tcPr>
          <w:p w14:paraId="2757A787" w14:textId="77777777" w:rsidR="007935C4" w:rsidRPr="007935C4" w:rsidRDefault="007935C4" w:rsidP="00585A99">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68C2B58A"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10BB64A0" w14:textId="77777777" w:rsidR="007935C4" w:rsidRPr="007935C4" w:rsidRDefault="007935C4" w:rsidP="00585A99">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000FFA69"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38A90B96" w14:textId="77777777" w:rsidTr="00585A99">
        <w:trPr>
          <w:trHeight w:val="75"/>
        </w:trPr>
        <w:tc>
          <w:tcPr>
            <w:tcW w:w="6558" w:type="dxa"/>
            <w:tcBorders>
              <w:top w:val="nil"/>
              <w:left w:val="nil"/>
              <w:bottom w:val="nil"/>
              <w:right w:val="nil"/>
            </w:tcBorders>
            <w:vAlign w:val="bottom"/>
          </w:tcPr>
          <w:p w14:paraId="0D12CB4A"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provide practical work. </w:t>
            </w:r>
          </w:p>
        </w:tc>
        <w:tc>
          <w:tcPr>
            <w:tcW w:w="1170" w:type="dxa"/>
            <w:tcBorders>
              <w:top w:val="nil"/>
              <w:left w:val="nil"/>
              <w:bottom w:val="nil"/>
              <w:right w:val="nil"/>
            </w:tcBorders>
            <w:vAlign w:val="bottom"/>
          </w:tcPr>
          <w:p w14:paraId="250D8DCD"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1405AC20"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71C9DA1A" w14:textId="77777777" w:rsidTr="00585A99">
        <w:trPr>
          <w:trHeight w:val="328"/>
        </w:trPr>
        <w:tc>
          <w:tcPr>
            <w:tcW w:w="6558" w:type="dxa"/>
            <w:tcBorders>
              <w:top w:val="nil"/>
              <w:left w:val="nil"/>
              <w:bottom w:val="nil"/>
              <w:right w:val="nil"/>
            </w:tcBorders>
            <w:vAlign w:val="bottom"/>
          </w:tcPr>
          <w:p w14:paraId="482E49AA"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develop creativity and resourcefulness. </w:t>
            </w:r>
          </w:p>
        </w:tc>
        <w:tc>
          <w:tcPr>
            <w:tcW w:w="1170" w:type="dxa"/>
            <w:tcBorders>
              <w:top w:val="nil"/>
              <w:left w:val="nil"/>
              <w:bottom w:val="nil"/>
              <w:right w:val="nil"/>
            </w:tcBorders>
            <w:vAlign w:val="bottom"/>
          </w:tcPr>
          <w:p w14:paraId="32CCE63C"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79A95FB7"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77A0D58A" w14:textId="77777777" w:rsidTr="00585A99">
        <w:trPr>
          <w:trHeight w:val="552"/>
        </w:trPr>
        <w:tc>
          <w:tcPr>
            <w:tcW w:w="6558" w:type="dxa"/>
            <w:tcBorders>
              <w:top w:val="nil"/>
              <w:left w:val="nil"/>
              <w:bottom w:val="nil"/>
              <w:right w:val="nil"/>
            </w:tcBorders>
            <w:vAlign w:val="bottom"/>
          </w:tcPr>
          <w:p w14:paraId="67C10391"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relevant information for better understanding. </w:t>
            </w:r>
          </w:p>
        </w:tc>
        <w:tc>
          <w:tcPr>
            <w:tcW w:w="1170" w:type="dxa"/>
            <w:tcBorders>
              <w:top w:val="nil"/>
              <w:left w:val="nil"/>
              <w:bottom w:val="nil"/>
              <w:right w:val="nil"/>
            </w:tcBorders>
            <w:vAlign w:val="bottom"/>
          </w:tcPr>
          <w:p w14:paraId="72B2AFB5"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4C0BB162"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2C90732D" w14:textId="77777777" w:rsidTr="00585A99">
        <w:trPr>
          <w:trHeight w:val="175"/>
        </w:trPr>
        <w:tc>
          <w:tcPr>
            <w:tcW w:w="6558" w:type="dxa"/>
            <w:tcBorders>
              <w:top w:val="nil"/>
              <w:left w:val="nil"/>
              <w:bottom w:val="single" w:sz="4" w:space="0" w:color="000000"/>
              <w:right w:val="nil"/>
            </w:tcBorders>
            <w:vAlign w:val="bottom"/>
          </w:tcPr>
          <w:p w14:paraId="702D0046"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conform to the concepts. </w:t>
            </w:r>
          </w:p>
        </w:tc>
        <w:tc>
          <w:tcPr>
            <w:tcW w:w="1170" w:type="dxa"/>
            <w:tcBorders>
              <w:top w:val="nil"/>
              <w:left w:val="nil"/>
              <w:bottom w:val="single" w:sz="4" w:space="0" w:color="000000"/>
              <w:right w:val="nil"/>
            </w:tcBorders>
            <w:vAlign w:val="bottom"/>
          </w:tcPr>
          <w:p w14:paraId="09706210"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376EB131"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359EF722" w14:textId="77777777" w:rsidTr="00585A99">
        <w:trPr>
          <w:trHeight w:val="102"/>
        </w:trPr>
        <w:tc>
          <w:tcPr>
            <w:tcW w:w="6558" w:type="dxa"/>
            <w:tcBorders>
              <w:top w:val="single" w:sz="4" w:space="0" w:color="000000"/>
              <w:left w:val="nil"/>
              <w:bottom w:val="single" w:sz="4" w:space="0" w:color="000000"/>
              <w:right w:val="nil"/>
            </w:tcBorders>
            <w:vAlign w:val="bottom"/>
          </w:tcPr>
          <w:p w14:paraId="3C9F5F0A" w14:textId="77777777" w:rsidR="007935C4" w:rsidRPr="007935C4" w:rsidRDefault="007935C4" w:rsidP="00585A99">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490DC65E"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307FE5C8" w14:textId="77777777" w:rsidR="007935C4" w:rsidRPr="007935C4" w:rsidRDefault="007935C4" w:rsidP="00585A99">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07753384" w14:textId="77777777" w:rsidTr="00585A99">
        <w:trPr>
          <w:trHeight w:val="390"/>
        </w:trPr>
        <w:tc>
          <w:tcPr>
            <w:tcW w:w="6558" w:type="dxa"/>
            <w:tcBorders>
              <w:top w:val="single" w:sz="4" w:space="0" w:color="000000"/>
              <w:left w:val="nil"/>
              <w:bottom w:val="nil"/>
              <w:right w:val="nil"/>
            </w:tcBorders>
            <w:vAlign w:val="bottom"/>
          </w:tcPr>
          <w:p w14:paraId="2E7BA626" w14:textId="77777777" w:rsidR="007935C4" w:rsidRPr="007935C4" w:rsidRDefault="007935C4" w:rsidP="00585A99">
            <w:pPr>
              <w:spacing w:line="259" w:lineRule="auto"/>
              <w:ind w:left="75"/>
              <w:rPr>
                <w:rFonts w:ascii="Arial" w:hAnsi="Arial" w:cs="Arial"/>
                <w:color w:val="000000"/>
                <w:sz w:val="20"/>
                <w:szCs w:val="20"/>
              </w:rPr>
            </w:pPr>
            <w:r w:rsidRPr="007935C4">
              <w:rPr>
                <w:rFonts w:ascii="Arial" w:hAnsi="Arial" w:cs="Arial"/>
                <w:color w:val="000000"/>
                <w:sz w:val="20"/>
                <w:szCs w:val="20"/>
              </w:rPr>
              <w:t>C.</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Appropriateness </w:t>
            </w:r>
          </w:p>
          <w:p w14:paraId="58A1CEA1" w14:textId="77777777" w:rsidR="007935C4" w:rsidRPr="007935C4" w:rsidRDefault="007935C4" w:rsidP="00585A99">
            <w:pPr>
              <w:spacing w:line="259" w:lineRule="auto"/>
              <w:ind w:left="525"/>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adapted to intended learners. </w:t>
            </w:r>
          </w:p>
        </w:tc>
        <w:tc>
          <w:tcPr>
            <w:tcW w:w="1170" w:type="dxa"/>
            <w:tcBorders>
              <w:top w:val="single" w:sz="4" w:space="0" w:color="000000"/>
              <w:left w:val="nil"/>
              <w:bottom w:val="nil"/>
              <w:right w:val="nil"/>
            </w:tcBorders>
            <w:vAlign w:val="bottom"/>
          </w:tcPr>
          <w:p w14:paraId="5280D3A0" w14:textId="77777777" w:rsidR="007935C4" w:rsidRPr="007935C4" w:rsidRDefault="007935C4" w:rsidP="00585A99">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33437280"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3D8C5604" w14:textId="77777777" w:rsidR="007935C4" w:rsidRPr="007935C4" w:rsidRDefault="007935C4" w:rsidP="00585A99">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4BCCB629"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4A00285B" w14:textId="77777777" w:rsidTr="00585A99">
        <w:trPr>
          <w:trHeight w:val="276"/>
        </w:trPr>
        <w:tc>
          <w:tcPr>
            <w:tcW w:w="6558" w:type="dxa"/>
            <w:tcBorders>
              <w:top w:val="nil"/>
              <w:left w:val="nil"/>
              <w:bottom w:val="nil"/>
              <w:right w:val="nil"/>
            </w:tcBorders>
            <w:vAlign w:val="bottom"/>
          </w:tcPr>
          <w:p w14:paraId="364602A8" w14:textId="77777777" w:rsidR="007935C4" w:rsidRPr="007935C4" w:rsidRDefault="007935C4" w:rsidP="00585A99">
            <w:pPr>
              <w:spacing w:line="259" w:lineRule="auto"/>
              <w:ind w:left="525"/>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immediate needs. </w:t>
            </w:r>
          </w:p>
        </w:tc>
        <w:tc>
          <w:tcPr>
            <w:tcW w:w="1170" w:type="dxa"/>
            <w:tcBorders>
              <w:top w:val="nil"/>
              <w:left w:val="nil"/>
              <w:bottom w:val="nil"/>
              <w:right w:val="nil"/>
            </w:tcBorders>
            <w:vAlign w:val="bottom"/>
          </w:tcPr>
          <w:p w14:paraId="36E0A73F"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637CE8E9"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1E9D7047" w14:textId="77777777" w:rsidTr="00585A99">
        <w:trPr>
          <w:trHeight w:val="276"/>
        </w:trPr>
        <w:tc>
          <w:tcPr>
            <w:tcW w:w="6558" w:type="dxa"/>
            <w:tcBorders>
              <w:top w:val="nil"/>
              <w:left w:val="nil"/>
              <w:bottom w:val="nil"/>
              <w:right w:val="nil"/>
            </w:tcBorders>
            <w:vAlign w:val="bottom"/>
          </w:tcPr>
          <w:p w14:paraId="0319129D" w14:textId="0EAF9731" w:rsidR="007935C4" w:rsidRPr="007935C4" w:rsidRDefault="007935C4" w:rsidP="00585A99">
            <w:pPr>
              <w:spacing w:line="259" w:lineRule="auto"/>
              <w:ind w:left="525"/>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arranged in the correct sequence.  </w:t>
            </w:r>
          </w:p>
        </w:tc>
        <w:tc>
          <w:tcPr>
            <w:tcW w:w="1170" w:type="dxa"/>
            <w:tcBorders>
              <w:top w:val="nil"/>
              <w:left w:val="nil"/>
              <w:bottom w:val="nil"/>
              <w:right w:val="nil"/>
            </w:tcBorders>
            <w:vAlign w:val="bottom"/>
          </w:tcPr>
          <w:p w14:paraId="73EBC58F"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3706E574"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3E3848DA" w14:textId="77777777" w:rsidTr="00585A99">
        <w:trPr>
          <w:trHeight w:val="193"/>
        </w:trPr>
        <w:tc>
          <w:tcPr>
            <w:tcW w:w="6558" w:type="dxa"/>
            <w:tcBorders>
              <w:top w:val="nil"/>
              <w:left w:val="nil"/>
              <w:bottom w:val="single" w:sz="4" w:space="0" w:color="000000"/>
              <w:right w:val="nil"/>
            </w:tcBorders>
            <w:vAlign w:val="bottom"/>
          </w:tcPr>
          <w:p w14:paraId="18E9252B" w14:textId="77777777" w:rsidR="007935C4" w:rsidRPr="007935C4" w:rsidRDefault="007935C4" w:rsidP="00585A99">
            <w:pPr>
              <w:spacing w:line="259" w:lineRule="auto"/>
              <w:ind w:left="525"/>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varied activities to sustain interest.  </w:t>
            </w:r>
          </w:p>
        </w:tc>
        <w:tc>
          <w:tcPr>
            <w:tcW w:w="1170" w:type="dxa"/>
            <w:tcBorders>
              <w:top w:val="nil"/>
              <w:left w:val="nil"/>
              <w:bottom w:val="single" w:sz="4" w:space="0" w:color="000000"/>
              <w:right w:val="nil"/>
            </w:tcBorders>
            <w:vAlign w:val="bottom"/>
          </w:tcPr>
          <w:p w14:paraId="4343A023"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14633D6D"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7B3A9562" w14:textId="77777777" w:rsidTr="00585A99">
        <w:trPr>
          <w:trHeight w:val="93"/>
        </w:trPr>
        <w:tc>
          <w:tcPr>
            <w:tcW w:w="6558" w:type="dxa"/>
            <w:tcBorders>
              <w:top w:val="single" w:sz="4" w:space="0" w:color="000000"/>
              <w:left w:val="nil"/>
              <w:bottom w:val="single" w:sz="4" w:space="0" w:color="000000"/>
              <w:right w:val="nil"/>
            </w:tcBorders>
            <w:vAlign w:val="bottom"/>
          </w:tcPr>
          <w:p w14:paraId="104FAD43" w14:textId="77777777" w:rsidR="007935C4" w:rsidRPr="007935C4" w:rsidRDefault="007935C4" w:rsidP="00585A99">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5BB6A38D"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3.89 </w:t>
            </w:r>
          </w:p>
        </w:tc>
        <w:tc>
          <w:tcPr>
            <w:tcW w:w="894" w:type="dxa"/>
            <w:tcBorders>
              <w:top w:val="single" w:sz="4" w:space="0" w:color="000000"/>
              <w:left w:val="nil"/>
              <w:bottom w:val="single" w:sz="4" w:space="0" w:color="000000"/>
              <w:right w:val="nil"/>
            </w:tcBorders>
            <w:vAlign w:val="bottom"/>
          </w:tcPr>
          <w:p w14:paraId="08AD4B9E" w14:textId="77777777" w:rsidR="007935C4" w:rsidRPr="007935C4" w:rsidRDefault="007935C4" w:rsidP="00585A99">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64C4B79A" w14:textId="77777777" w:rsidTr="00585A99">
        <w:trPr>
          <w:trHeight w:val="554"/>
        </w:trPr>
        <w:tc>
          <w:tcPr>
            <w:tcW w:w="6558" w:type="dxa"/>
            <w:tcBorders>
              <w:top w:val="single" w:sz="4" w:space="0" w:color="000000"/>
              <w:left w:val="nil"/>
              <w:bottom w:val="nil"/>
              <w:right w:val="nil"/>
            </w:tcBorders>
            <w:vAlign w:val="bottom"/>
          </w:tcPr>
          <w:p w14:paraId="1181B828" w14:textId="77777777" w:rsidR="007935C4" w:rsidRPr="007935C4" w:rsidRDefault="007935C4" w:rsidP="00585A99">
            <w:pPr>
              <w:spacing w:line="259" w:lineRule="auto"/>
              <w:ind w:left="108"/>
              <w:rPr>
                <w:rFonts w:ascii="Arial" w:hAnsi="Arial" w:cs="Arial"/>
                <w:color w:val="000000"/>
                <w:sz w:val="20"/>
                <w:szCs w:val="20"/>
              </w:rPr>
            </w:pPr>
            <w:r w:rsidRPr="007935C4">
              <w:rPr>
                <w:rFonts w:ascii="Arial" w:hAnsi="Arial" w:cs="Arial"/>
                <w:color w:val="000000"/>
                <w:sz w:val="20"/>
                <w:szCs w:val="20"/>
              </w:rPr>
              <w:t>D.</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Usefulness </w:t>
            </w:r>
          </w:p>
          <w:p w14:paraId="38828B35" w14:textId="77777777" w:rsidR="007935C4" w:rsidRPr="007935C4" w:rsidRDefault="007935C4" w:rsidP="00585A99">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easy to understand. </w:t>
            </w:r>
          </w:p>
        </w:tc>
        <w:tc>
          <w:tcPr>
            <w:tcW w:w="1170" w:type="dxa"/>
            <w:tcBorders>
              <w:top w:val="single" w:sz="4" w:space="0" w:color="000000"/>
              <w:left w:val="nil"/>
              <w:bottom w:val="nil"/>
              <w:right w:val="nil"/>
            </w:tcBorders>
            <w:vAlign w:val="bottom"/>
          </w:tcPr>
          <w:p w14:paraId="03233E55" w14:textId="77777777" w:rsidR="007935C4" w:rsidRPr="007935C4" w:rsidRDefault="007935C4" w:rsidP="00585A99">
            <w:pPr>
              <w:spacing w:line="259" w:lineRule="auto"/>
              <w:ind w:left="346"/>
              <w:rPr>
                <w:rFonts w:ascii="Arial" w:hAnsi="Arial" w:cs="Arial"/>
                <w:color w:val="000000"/>
                <w:sz w:val="20"/>
                <w:szCs w:val="20"/>
              </w:rPr>
            </w:pPr>
            <w:r w:rsidRPr="007935C4">
              <w:rPr>
                <w:rFonts w:ascii="Arial" w:hAnsi="Arial" w:cs="Arial"/>
                <w:color w:val="000000"/>
                <w:sz w:val="20"/>
                <w:szCs w:val="20"/>
              </w:rPr>
              <w:t xml:space="preserve"> </w:t>
            </w:r>
          </w:p>
          <w:p w14:paraId="7A1B00B1"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78F680E2" w14:textId="77777777" w:rsidR="007935C4" w:rsidRPr="007935C4" w:rsidRDefault="007935C4" w:rsidP="00585A99">
            <w:pPr>
              <w:spacing w:line="259" w:lineRule="auto"/>
              <w:ind w:left="180"/>
              <w:rPr>
                <w:rFonts w:ascii="Arial" w:hAnsi="Arial" w:cs="Arial"/>
                <w:color w:val="000000"/>
                <w:sz w:val="20"/>
                <w:szCs w:val="20"/>
              </w:rPr>
            </w:pPr>
            <w:r w:rsidRPr="007935C4">
              <w:rPr>
                <w:rFonts w:ascii="Arial" w:hAnsi="Arial" w:cs="Arial"/>
                <w:color w:val="000000"/>
                <w:sz w:val="20"/>
                <w:szCs w:val="20"/>
              </w:rPr>
              <w:t xml:space="preserve"> </w:t>
            </w:r>
          </w:p>
          <w:p w14:paraId="23BB5551"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08C905D1" w14:textId="77777777" w:rsidTr="00585A99">
        <w:trPr>
          <w:trHeight w:val="276"/>
        </w:trPr>
        <w:tc>
          <w:tcPr>
            <w:tcW w:w="6558" w:type="dxa"/>
            <w:tcBorders>
              <w:top w:val="nil"/>
              <w:left w:val="nil"/>
              <w:bottom w:val="nil"/>
              <w:right w:val="nil"/>
            </w:tcBorders>
            <w:vAlign w:val="bottom"/>
          </w:tcPr>
          <w:p w14:paraId="69C46B1B" w14:textId="77777777" w:rsidR="007935C4" w:rsidRPr="007935C4" w:rsidRDefault="007935C4" w:rsidP="00585A99">
            <w:pPr>
              <w:spacing w:line="259" w:lineRule="auto"/>
              <w:ind w:left="468"/>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knowledge and skill. </w:t>
            </w:r>
          </w:p>
        </w:tc>
        <w:tc>
          <w:tcPr>
            <w:tcW w:w="1170" w:type="dxa"/>
            <w:tcBorders>
              <w:top w:val="nil"/>
              <w:left w:val="nil"/>
              <w:bottom w:val="nil"/>
              <w:right w:val="nil"/>
            </w:tcBorders>
            <w:vAlign w:val="bottom"/>
          </w:tcPr>
          <w:p w14:paraId="2F4DD4AF"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57E50A4D"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4FC8BD82" w14:textId="77777777" w:rsidTr="00585A99">
        <w:trPr>
          <w:trHeight w:val="148"/>
        </w:trPr>
        <w:tc>
          <w:tcPr>
            <w:tcW w:w="6558" w:type="dxa"/>
            <w:tcBorders>
              <w:top w:val="nil"/>
              <w:left w:val="nil"/>
              <w:right w:val="nil"/>
            </w:tcBorders>
            <w:vAlign w:val="bottom"/>
          </w:tcPr>
          <w:p w14:paraId="22F0CE3D" w14:textId="77777777"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encourages creative and critical thinking. </w:t>
            </w:r>
          </w:p>
        </w:tc>
        <w:tc>
          <w:tcPr>
            <w:tcW w:w="1170" w:type="dxa"/>
            <w:tcBorders>
              <w:top w:val="nil"/>
              <w:left w:val="nil"/>
              <w:right w:val="nil"/>
            </w:tcBorders>
            <w:vAlign w:val="bottom"/>
          </w:tcPr>
          <w:p w14:paraId="0B24AD31" w14:textId="77777777" w:rsidR="007935C4" w:rsidRPr="007935C4" w:rsidRDefault="007935C4" w:rsidP="00585A99">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right w:val="nil"/>
            </w:tcBorders>
            <w:vAlign w:val="bottom"/>
          </w:tcPr>
          <w:p w14:paraId="1914D8AA" w14:textId="77777777" w:rsidR="007935C4" w:rsidRPr="007935C4" w:rsidRDefault="007935C4" w:rsidP="00585A99">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7935C4" w:rsidRPr="007935C4" w14:paraId="1D7BE4AA" w14:textId="77777777" w:rsidTr="00585A99">
        <w:trPr>
          <w:trHeight w:val="148"/>
        </w:trPr>
        <w:tc>
          <w:tcPr>
            <w:tcW w:w="6558" w:type="dxa"/>
            <w:tcBorders>
              <w:left w:val="nil"/>
              <w:bottom w:val="nil"/>
              <w:right w:val="nil"/>
            </w:tcBorders>
            <w:vAlign w:val="bottom"/>
          </w:tcPr>
          <w:p w14:paraId="6369C616" w14:textId="6DC07108"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sz w:val="20"/>
                <w:szCs w:val="20"/>
              </w:rPr>
              <w:t>4.</w:t>
            </w:r>
            <w:r w:rsidRPr="007935C4">
              <w:rPr>
                <w:rFonts w:ascii="Arial" w:eastAsia="Arial" w:hAnsi="Arial" w:cs="Arial"/>
                <w:sz w:val="20"/>
                <w:szCs w:val="20"/>
              </w:rPr>
              <w:t xml:space="preserve"> </w:t>
            </w:r>
            <w:r w:rsidRPr="007935C4">
              <w:rPr>
                <w:rFonts w:ascii="Arial" w:hAnsi="Arial" w:cs="Arial"/>
                <w:sz w:val="20"/>
                <w:szCs w:val="20"/>
              </w:rPr>
              <w:t xml:space="preserve">The workbook can serve as an instructional tool. </w:t>
            </w:r>
          </w:p>
        </w:tc>
        <w:tc>
          <w:tcPr>
            <w:tcW w:w="1170" w:type="dxa"/>
            <w:tcBorders>
              <w:left w:val="nil"/>
              <w:bottom w:val="nil"/>
              <w:right w:val="nil"/>
            </w:tcBorders>
            <w:vAlign w:val="bottom"/>
          </w:tcPr>
          <w:p w14:paraId="6BE13459" w14:textId="0ABD3E64" w:rsidR="007935C4" w:rsidRPr="007935C4" w:rsidRDefault="007935C4" w:rsidP="00585A99">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left w:val="nil"/>
              <w:bottom w:val="nil"/>
              <w:right w:val="nil"/>
            </w:tcBorders>
            <w:vAlign w:val="bottom"/>
          </w:tcPr>
          <w:p w14:paraId="39A22BED" w14:textId="190F26D2" w:rsidR="007935C4" w:rsidRPr="007935C4" w:rsidRDefault="007935C4" w:rsidP="00585A99">
            <w:pPr>
              <w:spacing w:line="259" w:lineRule="auto"/>
              <w:ind w:left="8"/>
              <w:rPr>
                <w:rFonts w:ascii="Arial" w:hAnsi="Arial" w:cs="Arial"/>
                <w:color w:val="000000"/>
                <w:sz w:val="20"/>
                <w:szCs w:val="20"/>
              </w:rPr>
            </w:pPr>
            <w:r w:rsidRPr="007935C4">
              <w:rPr>
                <w:sz w:val="20"/>
                <w:szCs w:val="20"/>
              </w:rPr>
              <w:t xml:space="preserve">HV </w:t>
            </w:r>
          </w:p>
        </w:tc>
      </w:tr>
      <w:tr w:rsidR="007935C4" w:rsidRPr="007935C4" w14:paraId="122EEC0A" w14:textId="77777777" w:rsidTr="00585A99">
        <w:trPr>
          <w:trHeight w:val="148"/>
        </w:trPr>
        <w:tc>
          <w:tcPr>
            <w:tcW w:w="6558" w:type="dxa"/>
            <w:tcBorders>
              <w:top w:val="nil"/>
              <w:left w:val="nil"/>
              <w:bottom w:val="nil"/>
              <w:right w:val="nil"/>
            </w:tcBorders>
            <w:vAlign w:val="bottom"/>
          </w:tcPr>
          <w:p w14:paraId="60C1821B" w14:textId="75510B5F" w:rsidR="007935C4" w:rsidRPr="007935C4" w:rsidRDefault="007935C4" w:rsidP="00585A99">
            <w:pPr>
              <w:spacing w:line="259" w:lineRule="auto"/>
              <w:ind w:left="828" w:hanging="360"/>
              <w:rPr>
                <w:rFonts w:ascii="Arial" w:hAnsi="Arial" w:cs="Arial"/>
                <w:color w:val="000000"/>
                <w:sz w:val="20"/>
                <w:szCs w:val="20"/>
              </w:rPr>
            </w:pPr>
            <w:r w:rsidRPr="007935C4">
              <w:rPr>
                <w:rFonts w:ascii="Arial" w:hAnsi="Arial" w:cs="Arial"/>
                <w:sz w:val="20"/>
                <w:szCs w:val="20"/>
              </w:rPr>
              <w:t>5.</w:t>
            </w:r>
            <w:r w:rsidRPr="007935C4">
              <w:rPr>
                <w:rFonts w:ascii="Arial" w:eastAsia="Arial" w:hAnsi="Arial" w:cs="Arial"/>
                <w:sz w:val="20"/>
                <w:szCs w:val="20"/>
              </w:rPr>
              <w:t xml:space="preserve"> </w:t>
            </w:r>
            <w:r w:rsidRPr="007935C4">
              <w:rPr>
                <w:rFonts w:ascii="Arial" w:hAnsi="Arial" w:cs="Arial"/>
                <w:sz w:val="20"/>
                <w:szCs w:val="20"/>
              </w:rPr>
              <w:t xml:space="preserve">The workbook helps facilitate lesson presentation.  </w:t>
            </w:r>
          </w:p>
        </w:tc>
        <w:tc>
          <w:tcPr>
            <w:tcW w:w="1170" w:type="dxa"/>
            <w:tcBorders>
              <w:top w:val="nil"/>
              <w:left w:val="nil"/>
              <w:bottom w:val="nil"/>
              <w:right w:val="nil"/>
            </w:tcBorders>
            <w:vAlign w:val="bottom"/>
          </w:tcPr>
          <w:p w14:paraId="7AA93F57" w14:textId="412E277C" w:rsidR="007935C4" w:rsidRPr="007935C4" w:rsidRDefault="007935C4" w:rsidP="00585A99">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top w:val="nil"/>
              <w:left w:val="nil"/>
              <w:bottom w:val="nil"/>
              <w:right w:val="nil"/>
            </w:tcBorders>
            <w:vAlign w:val="bottom"/>
          </w:tcPr>
          <w:p w14:paraId="49EFDE45" w14:textId="22AD9026" w:rsidR="007935C4" w:rsidRPr="007935C4" w:rsidRDefault="007935C4" w:rsidP="00585A99">
            <w:pPr>
              <w:spacing w:line="259" w:lineRule="auto"/>
              <w:ind w:left="8"/>
              <w:rPr>
                <w:rFonts w:ascii="Arial" w:hAnsi="Arial" w:cs="Arial"/>
                <w:color w:val="000000"/>
                <w:sz w:val="20"/>
                <w:szCs w:val="20"/>
              </w:rPr>
            </w:pPr>
            <w:r w:rsidRPr="007935C4">
              <w:rPr>
                <w:sz w:val="20"/>
                <w:szCs w:val="20"/>
              </w:rPr>
              <w:t xml:space="preserve">HV </w:t>
            </w:r>
          </w:p>
        </w:tc>
      </w:tr>
      <w:tr w:rsidR="007935C4" w:rsidRPr="007935C4" w14:paraId="47BED8E5" w14:textId="77777777" w:rsidTr="00585A99">
        <w:trPr>
          <w:trHeight w:val="148"/>
        </w:trPr>
        <w:tc>
          <w:tcPr>
            <w:tcW w:w="6558" w:type="dxa"/>
            <w:tcBorders>
              <w:top w:val="single" w:sz="4" w:space="0" w:color="000000"/>
              <w:left w:val="nil"/>
              <w:bottom w:val="single" w:sz="4" w:space="0" w:color="000000"/>
              <w:right w:val="nil"/>
            </w:tcBorders>
            <w:vAlign w:val="bottom"/>
          </w:tcPr>
          <w:p w14:paraId="39028A9B" w14:textId="46D94CFA" w:rsidR="007935C4" w:rsidRPr="007935C4" w:rsidRDefault="007935C4" w:rsidP="00585A99">
            <w:pPr>
              <w:spacing w:line="259" w:lineRule="auto"/>
              <w:ind w:left="828" w:hanging="360"/>
              <w:jc w:val="right"/>
              <w:rPr>
                <w:rFonts w:ascii="Arial" w:hAnsi="Arial" w:cs="Arial"/>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318C34A6" w14:textId="196ADB94" w:rsidR="007935C4" w:rsidRPr="007935C4" w:rsidRDefault="007935C4" w:rsidP="00585A99">
            <w:pPr>
              <w:spacing w:line="259" w:lineRule="auto"/>
              <w:ind w:left="136"/>
              <w:rPr>
                <w:sz w:val="20"/>
                <w:szCs w:val="20"/>
              </w:rPr>
            </w:pPr>
            <w:r w:rsidRPr="007935C4">
              <w:rPr>
                <w:rFonts w:ascii="Times New Roman" w:hAnsi="Times New Roman"/>
                <w:b/>
                <w:sz w:val="20"/>
                <w:szCs w:val="20"/>
              </w:rPr>
              <w:t xml:space="preserve">3.97 </w:t>
            </w:r>
          </w:p>
        </w:tc>
        <w:tc>
          <w:tcPr>
            <w:tcW w:w="894" w:type="dxa"/>
            <w:tcBorders>
              <w:top w:val="single" w:sz="4" w:space="0" w:color="000000"/>
              <w:left w:val="nil"/>
              <w:bottom w:val="single" w:sz="4" w:space="0" w:color="000000"/>
              <w:right w:val="nil"/>
            </w:tcBorders>
            <w:vAlign w:val="bottom"/>
          </w:tcPr>
          <w:p w14:paraId="6ACCA410" w14:textId="33767E8E" w:rsidR="007935C4" w:rsidRPr="007935C4" w:rsidRDefault="007935C4" w:rsidP="00585A99">
            <w:pPr>
              <w:spacing w:line="259" w:lineRule="auto"/>
              <w:ind w:left="8"/>
              <w:rPr>
                <w:sz w:val="20"/>
                <w:szCs w:val="20"/>
              </w:rPr>
            </w:pPr>
            <w:r w:rsidRPr="007935C4">
              <w:rPr>
                <w:rFonts w:ascii="Times New Roman" w:hAnsi="Times New Roman"/>
                <w:b/>
                <w:sz w:val="20"/>
                <w:szCs w:val="20"/>
              </w:rPr>
              <w:t xml:space="preserve">HV </w:t>
            </w:r>
          </w:p>
        </w:tc>
      </w:tr>
      <w:tr w:rsidR="007935C4" w:rsidRPr="007935C4" w14:paraId="75451536" w14:textId="77777777" w:rsidTr="00585A99">
        <w:trPr>
          <w:trHeight w:val="148"/>
        </w:trPr>
        <w:tc>
          <w:tcPr>
            <w:tcW w:w="6558" w:type="dxa"/>
            <w:tcBorders>
              <w:top w:val="single" w:sz="4" w:space="0" w:color="000000"/>
              <w:left w:val="nil"/>
              <w:bottom w:val="nil"/>
              <w:right w:val="nil"/>
            </w:tcBorders>
            <w:vAlign w:val="bottom"/>
          </w:tcPr>
          <w:p w14:paraId="352B848A" w14:textId="77777777" w:rsidR="007935C4" w:rsidRPr="007935C4" w:rsidRDefault="007935C4" w:rsidP="00585A99">
            <w:pPr>
              <w:spacing w:line="259" w:lineRule="auto"/>
              <w:ind w:left="122"/>
              <w:rPr>
                <w:rFonts w:ascii="Arial" w:hAnsi="Arial" w:cs="Arial"/>
                <w:sz w:val="20"/>
                <w:szCs w:val="20"/>
              </w:rPr>
            </w:pPr>
            <w:r w:rsidRPr="007935C4">
              <w:rPr>
                <w:rFonts w:ascii="Arial" w:hAnsi="Arial" w:cs="Arial"/>
                <w:b/>
                <w:sz w:val="20"/>
                <w:szCs w:val="20"/>
              </w:rPr>
              <w:t>E.</w:t>
            </w:r>
            <w:r w:rsidRPr="007935C4">
              <w:rPr>
                <w:rFonts w:ascii="Arial" w:eastAsia="Arial" w:hAnsi="Arial" w:cs="Arial"/>
                <w:b/>
                <w:sz w:val="20"/>
                <w:szCs w:val="20"/>
              </w:rPr>
              <w:t xml:space="preserve"> </w:t>
            </w:r>
            <w:r w:rsidRPr="007935C4">
              <w:rPr>
                <w:rFonts w:ascii="Arial" w:hAnsi="Arial" w:cs="Arial"/>
                <w:b/>
                <w:sz w:val="20"/>
                <w:szCs w:val="20"/>
              </w:rPr>
              <w:t xml:space="preserve">Contextualization </w:t>
            </w:r>
          </w:p>
          <w:p w14:paraId="4F9A96E3" w14:textId="618868B7" w:rsidR="007935C4" w:rsidRPr="007935C4" w:rsidRDefault="007935C4" w:rsidP="00585A99">
            <w:pPr>
              <w:spacing w:line="259" w:lineRule="auto"/>
              <w:ind w:left="828" w:hanging="360"/>
              <w:rPr>
                <w:rFonts w:ascii="Arial" w:hAnsi="Arial" w:cs="Arial"/>
                <w:b/>
                <w:sz w:val="20"/>
                <w:szCs w:val="20"/>
              </w:rPr>
            </w:pPr>
            <w:r w:rsidRPr="007935C4">
              <w:rPr>
                <w:rFonts w:ascii="Arial" w:hAnsi="Arial" w:cs="Arial"/>
                <w:sz w:val="20"/>
                <w:szCs w:val="20"/>
              </w:rPr>
              <w:t>1.</w:t>
            </w:r>
            <w:r w:rsidRPr="007935C4">
              <w:rPr>
                <w:rFonts w:ascii="Arial" w:eastAsia="Arial" w:hAnsi="Arial" w:cs="Arial"/>
                <w:sz w:val="20"/>
                <w:szCs w:val="20"/>
              </w:rPr>
              <w:t xml:space="preserve"> </w:t>
            </w:r>
            <w:r w:rsidRPr="007935C4">
              <w:rPr>
                <w:rFonts w:ascii="Arial" w:hAnsi="Arial" w:cs="Arial"/>
                <w:sz w:val="20"/>
                <w:szCs w:val="20"/>
              </w:rPr>
              <w:t xml:space="preserve">The workbook provides learning tasks designed to develop target competencies. </w:t>
            </w:r>
          </w:p>
        </w:tc>
        <w:tc>
          <w:tcPr>
            <w:tcW w:w="1170" w:type="dxa"/>
            <w:tcBorders>
              <w:top w:val="single" w:sz="4" w:space="0" w:color="000000"/>
              <w:left w:val="nil"/>
              <w:bottom w:val="nil"/>
              <w:right w:val="nil"/>
            </w:tcBorders>
            <w:vAlign w:val="bottom"/>
          </w:tcPr>
          <w:p w14:paraId="4926125E" w14:textId="77777777" w:rsidR="007935C4" w:rsidRPr="007935C4" w:rsidRDefault="007935C4" w:rsidP="00585A99">
            <w:pPr>
              <w:spacing w:line="259" w:lineRule="auto"/>
              <w:ind w:left="210"/>
              <w:rPr>
                <w:sz w:val="20"/>
                <w:szCs w:val="20"/>
              </w:rPr>
            </w:pPr>
            <w:r w:rsidRPr="007935C4">
              <w:rPr>
                <w:sz w:val="20"/>
                <w:szCs w:val="20"/>
              </w:rPr>
              <w:t xml:space="preserve"> </w:t>
            </w:r>
          </w:p>
          <w:p w14:paraId="789B7195" w14:textId="549B6A7A" w:rsidR="007935C4" w:rsidRPr="007935C4" w:rsidRDefault="007935C4" w:rsidP="00585A99">
            <w:pPr>
              <w:spacing w:line="259" w:lineRule="auto"/>
              <w:ind w:left="136"/>
              <w:rPr>
                <w:rFonts w:ascii="Times New Roman" w:hAnsi="Times New Roman"/>
                <w:b/>
                <w:sz w:val="20"/>
                <w:szCs w:val="20"/>
              </w:rPr>
            </w:pPr>
            <w:r w:rsidRPr="007935C4">
              <w:rPr>
                <w:sz w:val="20"/>
                <w:szCs w:val="20"/>
              </w:rPr>
              <w:t xml:space="preserve">4.0 </w:t>
            </w:r>
          </w:p>
        </w:tc>
        <w:tc>
          <w:tcPr>
            <w:tcW w:w="894" w:type="dxa"/>
            <w:tcBorders>
              <w:top w:val="single" w:sz="4" w:space="0" w:color="000000"/>
              <w:left w:val="nil"/>
              <w:bottom w:val="nil"/>
              <w:right w:val="nil"/>
            </w:tcBorders>
            <w:vAlign w:val="bottom"/>
          </w:tcPr>
          <w:p w14:paraId="6950AB5A" w14:textId="77777777" w:rsidR="007935C4" w:rsidRPr="007935C4" w:rsidRDefault="007935C4" w:rsidP="00585A99">
            <w:pPr>
              <w:spacing w:line="259" w:lineRule="auto"/>
              <w:ind w:left="180"/>
              <w:rPr>
                <w:sz w:val="20"/>
                <w:szCs w:val="20"/>
              </w:rPr>
            </w:pPr>
            <w:r w:rsidRPr="007935C4">
              <w:rPr>
                <w:sz w:val="20"/>
                <w:szCs w:val="20"/>
              </w:rPr>
              <w:t xml:space="preserve"> </w:t>
            </w:r>
          </w:p>
          <w:p w14:paraId="7E614947" w14:textId="56CA7E26" w:rsidR="007935C4" w:rsidRPr="007935C4" w:rsidRDefault="007935C4" w:rsidP="00585A99">
            <w:pPr>
              <w:spacing w:line="259" w:lineRule="auto"/>
              <w:ind w:left="8"/>
              <w:rPr>
                <w:rFonts w:ascii="Times New Roman" w:hAnsi="Times New Roman"/>
                <w:b/>
                <w:sz w:val="20"/>
                <w:szCs w:val="20"/>
              </w:rPr>
            </w:pPr>
            <w:r w:rsidRPr="007935C4">
              <w:rPr>
                <w:sz w:val="20"/>
                <w:szCs w:val="20"/>
              </w:rPr>
              <w:t xml:space="preserve">HV </w:t>
            </w:r>
          </w:p>
        </w:tc>
      </w:tr>
      <w:tr w:rsidR="007935C4" w:rsidRPr="007935C4" w14:paraId="260F89B9" w14:textId="77777777" w:rsidTr="00585A99">
        <w:trPr>
          <w:trHeight w:val="148"/>
        </w:trPr>
        <w:tc>
          <w:tcPr>
            <w:tcW w:w="6558" w:type="dxa"/>
            <w:tcBorders>
              <w:top w:val="nil"/>
              <w:left w:val="nil"/>
              <w:bottom w:val="nil"/>
              <w:right w:val="nil"/>
            </w:tcBorders>
            <w:vAlign w:val="bottom"/>
          </w:tcPr>
          <w:p w14:paraId="145BA7B4" w14:textId="1AE49774" w:rsidR="007935C4" w:rsidRPr="007935C4" w:rsidRDefault="007935C4" w:rsidP="00585A99">
            <w:pPr>
              <w:spacing w:line="259" w:lineRule="auto"/>
              <w:ind w:left="828" w:hanging="360"/>
              <w:rPr>
                <w:rFonts w:ascii="Arial" w:hAnsi="Arial" w:cs="Arial"/>
                <w:b/>
                <w:sz w:val="20"/>
                <w:szCs w:val="20"/>
              </w:rPr>
            </w:pPr>
            <w:r w:rsidRPr="007935C4">
              <w:rPr>
                <w:rFonts w:ascii="Arial" w:hAnsi="Arial" w:cs="Arial"/>
                <w:sz w:val="20"/>
                <w:szCs w:val="20"/>
              </w:rPr>
              <w:t>2.</w:t>
            </w:r>
            <w:r w:rsidRPr="007935C4">
              <w:rPr>
                <w:rFonts w:ascii="Arial" w:eastAsia="Arial" w:hAnsi="Arial" w:cs="Arial"/>
                <w:sz w:val="20"/>
                <w:szCs w:val="20"/>
              </w:rPr>
              <w:t xml:space="preserve"> </w:t>
            </w:r>
            <w:r w:rsidRPr="007935C4">
              <w:rPr>
                <w:rFonts w:ascii="Arial" w:hAnsi="Arial" w:cs="Arial"/>
                <w:sz w:val="20"/>
                <w:szCs w:val="20"/>
              </w:rPr>
              <w:t xml:space="preserve">The workbook has lessons that are relatable to the target learners’ personal experiences. </w:t>
            </w:r>
          </w:p>
        </w:tc>
        <w:tc>
          <w:tcPr>
            <w:tcW w:w="1170" w:type="dxa"/>
            <w:tcBorders>
              <w:top w:val="nil"/>
              <w:left w:val="nil"/>
              <w:bottom w:val="nil"/>
              <w:right w:val="nil"/>
            </w:tcBorders>
            <w:vAlign w:val="bottom"/>
          </w:tcPr>
          <w:p w14:paraId="1B3D6A00" w14:textId="5B698BDD" w:rsidR="007935C4" w:rsidRPr="007935C4" w:rsidRDefault="007935C4" w:rsidP="00585A99">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1E185207" w14:textId="7B279697" w:rsidR="007935C4" w:rsidRPr="007935C4" w:rsidRDefault="007935C4" w:rsidP="00585A99">
            <w:pPr>
              <w:spacing w:line="259" w:lineRule="auto"/>
              <w:ind w:left="8"/>
              <w:rPr>
                <w:rFonts w:ascii="Times New Roman" w:hAnsi="Times New Roman"/>
                <w:b/>
                <w:sz w:val="20"/>
                <w:szCs w:val="20"/>
              </w:rPr>
            </w:pPr>
            <w:r w:rsidRPr="007935C4">
              <w:rPr>
                <w:sz w:val="20"/>
                <w:szCs w:val="20"/>
              </w:rPr>
              <w:t xml:space="preserve">HV </w:t>
            </w:r>
          </w:p>
        </w:tc>
      </w:tr>
      <w:tr w:rsidR="007935C4" w:rsidRPr="007935C4" w14:paraId="2978971B" w14:textId="77777777" w:rsidTr="00585A99">
        <w:trPr>
          <w:trHeight w:val="148"/>
        </w:trPr>
        <w:tc>
          <w:tcPr>
            <w:tcW w:w="6558" w:type="dxa"/>
            <w:tcBorders>
              <w:top w:val="nil"/>
              <w:left w:val="nil"/>
              <w:bottom w:val="nil"/>
              <w:right w:val="nil"/>
            </w:tcBorders>
            <w:vAlign w:val="bottom"/>
          </w:tcPr>
          <w:p w14:paraId="4387AC3B" w14:textId="4E92FB7B" w:rsidR="007935C4" w:rsidRPr="007935C4" w:rsidRDefault="007935C4" w:rsidP="00585A99">
            <w:pPr>
              <w:spacing w:line="259" w:lineRule="auto"/>
              <w:ind w:left="828" w:hanging="360"/>
              <w:rPr>
                <w:rFonts w:ascii="Arial" w:hAnsi="Arial" w:cs="Arial"/>
                <w:b/>
                <w:sz w:val="20"/>
                <w:szCs w:val="20"/>
              </w:rPr>
            </w:pPr>
            <w:r w:rsidRPr="007935C4">
              <w:rPr>
                <w:rFonts w:ascii="Arial" w:hAnsi="Arial" w:cs="Arial"/>
                <w:sz w:val="20"/>
                <w:szCs w:val="20"/>
              </w:rPr>
              <w:t>3.</w:t>
            </w:r>
            <w:r w:rsidRPr="007935C4">
              <w:rPr>
                <w:rFonts w:ascii="Arial" w:eastAsia="Arial" w:hAnsi="Arial" w:cs="Arial"/>
                <w:sz w:val="20"/>
                <w:szCs w:val="20"/>
              </w:rPr>
              <w:t xml:space="preserve"> </w:t>
            </w:r>
            <w:r w:rsidRPr="007935C4">
              <w:rPr>
                <w:rFonts w:ascii="Arial" w:hAnsi="Arial" w:cs="Arial"/>
                <w:sz w:val="20"/>
                <w:szCs w:val="20"/>
              </w:rPr>
              <w:t xml:space="preserve">The workbook offers various activities that are contextualized and that can be easily accomplished. </w:t>
            </w:r>
          </w:p>
        </w:tc>
        <w:tc>
          <w:tcPr>
            <w:tcW w:w="1170" w:type="dxa"/>
            <w:tcBorders>
              <w:top w:val="nil"/>
              <w:left w:val="nil"/>
              <w:bottom w:val="nil"/>
              <w:right w:val="nil"/>
            </w:tcBorders>
            <w:vAlign w:val="bottom"/>
          </w:tcPr>
          <w:p w14:paraId="46E733F1" w14:textId="17296F3B" w:rsidR="007935C4" w:rsidRPr="007935C4" w:rsidRDefault="007935C4" w:rsidP="00585A99">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2EC07C98" w14:textId="2B9CE421" w:rsidR="007935C4" w:rsidRPr="007935C4" w:rsidRDefault="007935C4" w:rsidP="00585A99">
            <w:pPr>
              <w:spacing w:line="259" w:lineRule="auto"/>
              <w:ind w:left="8"/>
              <w:rPr>
                <w:rFonts w:ascii="Times New Roman" w:hAnsi="Times New Roman"/>
                <w:b/>
                <w:sz w:val="20"/>
                <w:szCs w:val="20"/>
              </w:rPr>
            </w:pPr>
            <w:r w:rsidRPr="007935C4">
              <w:rPr>
                <w:sz w:val="20"/>
                <w:szCs w:val="20"/>
              </w:rPr>
              <w:t xml:space="preserve">HV </w:t>
            </w:r>
          </w:p>
        </w:tc>
      </w:tr>
      <w:tr w:rsidR="007935C4" w:rsidRPr="007935C4" w14:paraId="5DDB7F28" w14:textId="77777777" w:rsidTr="00585A99">
        <w:trPr>
          <w:trHeight w:val="148"/>
        </w:trPr>
        <w:tc>
          <w:tcPr>
            <w:tcW w:w="6558" w:type="dxa"/>
            <w:tcBorders>
              <w:top w:val="nil"/>
              <w:left w:val="nil"/>
              <w:bottom w:val="single" w:sz="4" w:space="0" w:color="000000"/>
              <w:right w:val="nil"/>
            </w:tcBorders>
            <w:vAlign w:val="bottom"/>
          </w:tcPr>
          <w:p w14:paraId="40C4667A" w14:textId="3CE89A95" w:rsidR="007935C4" w:rsidRPr="007935C4" w:rsidRDefault="007935C4" w:rsidP="00585A99">
            <w:pPr>
              <w:spacing w:line="259" w:lineRule="auto"/>
              <w:ind w:left="828" w:hanging="360"/>
              <w:rPr>
                <w:rFonts w:ascii="Arial" w:hAnsi="Arial" w:cs="Arial"/>
                <w:b/>
                <w:sz w:val="20"/>
                <w:szCs w:val="20"/>
              </w:rPr>
            </w:pPr>
            <w:r w:rsidRPr="007935C4">
              <w:rPr>
                <w:rFonts w:ascii="Arial" w:hAnsi="Arial" w:cs="Arial"/>
                <w:sz w:val="20"/>
                <w:szCs w:val="20"/>
              </w:rPr>
              <w:t>4.</w:t>
            </w:r>
            <w:r w:rsidRPr="007935C4">
              <w:rPr>
                <w:rFonts w:ascii="Arial" w:eastAsia="Arial" w:hAnsi="Arial" w:cs="Arial"/>
                <w:sz w:val="20"/>
                <w:szCs w:val="20"/>
              </w:rPr>
              <w:t xml:space="preserve"> </w:t>
            </w:r>
            <w:r w:rsidRPr="007935C4">
              <w:rPr>
                <w:rFonts w:ascii="Arial" w:hAnsi="Arial" w:cs="Arial"/>
                <w:sz w:val="20"/>
                <w:szCs w:val="20"/>
              </w:rPr>
              <w:t xml:space="preserve">The workbook can substitute for standardized materials, which may be difficult to process. </w:t>
            </w:r>
          </w:p>
        </w:tc>
        <w:tc>
          <w:tcPr>
            <w:tcW w:w="1170" w:type="dxa"/>
            <w:tcBorders>
              <w:top w:val="nil"/>
              <w:left w:val="nil"/>
              <w:bottom w:val="single" w:sz="4" w:space="0" w:color="000000"/>
              <w:right w:val="nil"/>
            </w:tcBorders>
            <w:vAlign w:val="bottom"/>
          </w:tcPr>
          <w:p w14:paraId="499C2F69" w14:textId="427F22BE" w:rsidR="007935C4" w:rsidRPr="007935C4" w:rsidRDefault="007935C4" w:rsidP="00585A99">
            <w:pPr>
              <w:spacing w:line="259" w:lineRule="auto"/>
              <w:ind w:left="136"/>
              <w:rPr>
                <w:rFonts w:ascii="Times New Roman" w:hAnsi="Times New Roman"/>
                <w:b/>
                <w:sz w:val="20"/>
                <w:szCs w:val="20"/>
              </w:rPr>
            </w:pPr>
            <w:r w:rsidRPr="007935C4">
              <w:rPr>
                <w:sz w:val="20"/>
                <w:szCs w:val="20"/>
              </w:rPr>
              <w:t xml:space="preserve">4.00 </w:t>
            </w:r>
          </w:p>
        </w:tc>
        <w:tc>
          <w:tcPr>
            <w:tcW w:w="894" w:type="dxa"/>
            <w:tcBorders>
              <w:top w:val="nil"/>
              <w:left w:val="nil"/>
              <w:bottom w:val="single" w:sz="4" w:space="0" w:color="000000"/>
              <w:right w:val="nil"/>
            </w:tcBorders>
            <w:vAlign w:val="bottom"/>
          </w:tcPr>
          <w:p w14:paraId="07D3A7DD" w14:textId="226499FC" w:rsidR="007935C4" w:rsidRPr="007935C4" w:rsidRDefault="007935C4" w:rsidP="00585A99">
            <w:pPr>
              <w:spacing w:line="259" w:lineRule="auto"/>
              <w:ind w:left="8"/>
              <w:rPr>
                <w:rFonts w:ascii="Times New Roman" w:hAnsi="Times New Roman"/>
                <w:b/>
                <w:sz w:val="20"/>
                <w:szCs w:val="20"/>
              </w:rPr>
            </w:pPr>
            <w:r w:rsidRPr="007935C4">
              <w:rPr>
                <w:sz w:val="20"/>
                <w:szCs w:val="20"/>
              </w:rPr>
              <w:t xml:space="preserve">HV </w:t>
            </w:r>
          </w:p>
        </w:tc>
      </w:tr>
      <w:tr w:rsidR="007935C4" w:rsidRPr="007935C4" w14:paraId="2F7A44E6" w14:textId="77777777" w:rsidTr="00585A99">
        <w:trPr>
          <w:trHeight w:val="148"/>
        </w:trPr>
        <w:tc>
          <w:tcPr>
            <w:tcW w:w="6558" w:type="dxa"/>
            <w:tcBorders>
              <w:top w:val="single" w:sz="4" w:space="0" w:color="000000"/>
              <w:left w:val="nil"/>
              <w:bottom w:val="single" w:sz="4" w:space="0" w:color="000000"/>
              <w:right w:val="nil"/>
            </w:tcBorders>
          </w:tcPr>
          <w:p w14:paraId="13560B97" w14:textId="08740C8D" w:rsidR="007935C4" w:rsidRPr="007935C4" w:rsidRDefault="007935C4" w:rsidP="007935C4">
            <w:pPr>
              <w:spacing w:line="259" w:lineRule="auto"/>
              <w:ind w:left="828" w:hanging="360"/>
              <w:jc w:val="right"/>
              <w:rPr>
                <w:rFonts w:ascii="Arial" w:hAnsi="Arial" w:cs="Arial"/>
                <w:b/>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tcPr>
          <w:p w14:paraId="67075AAC" w14:textId="671232F2" w:rsidR="007935C4" w:rsidRPr="007935C4" w:rsidRDefault="007935C4" w:rsidP="007935C4">
            <w:pPr>
              <w:spacing w:line="259" w:lineRule="auto"/>
              <w:ind w:left="136"/>
              <w:rPr>
                <w:rFonts w:ascii="Times New Roman" w:hAnsi="Times New Roman"/>
                <w:b/>
                <w:sz w:val="20"/>
                <w:szCs w:val="20"/>
              </w:rPr>
            </w:pPr>
            <w:r w:rsidRPr="007935C4">
              <w:rPr>
                <w:rFonts w:ascii="Times New Roman" w:hAnsi="Times New Roman"/>
                <w:b/>
                <w:sz w:val="20"/>
                <w:szCs w:val="20"/>
              </w:rPr>
              <w:t xml:space="preserve">3.93 </w:t>
            </w:r>
          </w:p>
        </w:tc>
        <w:tc>
          <w:tcPr>
            <w:tcW w:w="894" w:type="dxa"/>
            <w:tcBorders>
              <w:top w:val="single" w:sz="4" w:space="0" w:color="000000"/>
              <w:left w:val="nil"/>
              <w:bottom w:val="single" w:sz="4" w:space="0" w:color="000000"/>
              <w:right w:val="nil"/>
            </w:tcBorders>
          </w:tcPr>
          <w:p w14:paraId="202E68E1" w14:textId="403950D2" w:rsidR="007935C4" w:rsidRPr="007935C4" w:rsidRDefault="007935C4" w:rsidP="007935C4">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r w:rsidR="007935C4" w:rsidRPr="007935C4" w14:paraId="6FF3121F" w14:textId="77777777" w:rsidTr="00585A99">
        <w:trPr>
          <w:trHeight w:val="148"/>
        </w:trPr>
        <w:tc>
          <w:tcPr>
            <w:tcW w:w="6558" w:type="dxa"/>
            <w:tcBorders>
              <w:top w:val="single" w:sz="4" w:space="0" w:color="000000"/>
              <w:left w:val="nil"/>
              <w:bottom w:val="single" w:sz="4" w:space="0" w:color="auto"/>
              <w:right w:val="nil"/>
            </w:tcBorders>
          </w:tcPr>
          <w:p w14:paraId="7495E4F6" w14:textId="71DE5922" w:rsidR="007935C4" w:rsidRPr="007935C4" w:rsidRDefault="007935C4" w:rsidP="007935C4">
            <w:pPr>
              <w:spacing w:line="259" w:lineRule="auto"/>
              <w:ind w:left="828" w:hanging="360"/>
              <w:jc w:val="right"/>
              <w:rPr>
                <w:rFonts w:ascii="Arial" w:hAnsi="Arial" w:cs="Arial"/>
                <w:b/>
                <w:sz w:val="20"/>
                <w:szCs w:val="20"/>
              </w:rPr>
            </w:pPr>
            <w:r w:rsidRPr="007935C4">
              <w:rPr>
                <w:rFonts w:ascii="Arial" w:hAnsi="Arial" w:cs="Arial"/>
                <w:b/>
                <w:sz w:val="20"/>
                <w:szCs w:val="20"/>
              </w:rPr>
              <w:t xml:space="preserve">Overall Mean  </w:t>
            </w:r>
          </w:p>
        </w:tc>
        <w:tc>
          <w:tcPr>
            <w:tcW w:w="1170" w:type="dxa"/>
            <w:tcBorders>
              <w:top w:val="single" w:sz="4" w:space="0" w:color="000000"/>
              <w:left w:val="nil"/>
              <w:bottom w:val="single" w:sz="4" w:space="0" w:color="auto"/>
              <w:right w:val="nil"/>
            </w:tcBorders>
          </w:tcPr>
          <w:p w14:paraId="357DA6C8" w14:textId="7A0E6D2D" w:rsidR="007935C4" w:rsidRPr="007935C4" w:rsidRDefault="007935C4" w:rsidP="007935C4">
            <w:pPr>
              <w:spacing w:line="259" w:lineRule="auto"/>
              <w:ind w:left="136"/>
              <w:rPr>
                <w:rFonts w:ascii="Times New Roman" w:hAnsi="Times New Roman"/>
                <w:b/>
                <w:sz w:val="20"/>
                <w:szCs w:val="20"/>
              </w:rPr>
            </w:pPr>
            <w:r w:rsidRPr="007935C4">
              <w:rPr>
                <w:rFonts w:ascii="Times New Roman" w:hAnsi="Times New Roman"/>
                <w:b/>
                <w:sz w:val="20"/>
                <w:szCs w:val="20"/>
              </w:rPr>
              <w:t xml:space="preserve">3.92 </w:t>
            </w:r>
          </w:p>
        </w:tc>
        <w:tc>
          <w:tcPr>
            <w:tcW w:w="894" w:type="dxa"/>
            <w:tcBorders>
              <w:top w:val="single" w:sz="4" w:space="0" w:color="000000"/>
              <w:left w:val="nil"/>
              <w:bottom w:val="single" w:sz="4" w:space="0" w:color="auto"/>
              <w:right w:val="nil"/>
            </w:tcBorders>
          </w:tcPr>
          <w:p w14:paraId="30741269" w14:textId="167F530F" w:rsidR="007935C4" w:rsidRPr="007935C4" w:rsidRDefault="007935C4" w:rsidP="007935C4">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bl>
    <w:p w14:paraId="4942C02D" w14:textId="77777777" w:rsidR="00E909C4" w:rsidRPr="007935C4" w:rsidRDefault="00E909C4" w:rsidP="007935C4">
      <w:pPr>
        <w:pStyle w:val="Body"/>
        <w:rPr>
          <w:rFonts w:ascii="Arial" w:hAnsi="Arial" w:cs="Arial"/>
          <w:lang w:val="en-PH"/>
        </w:rPr>
      </w:pPr>
    </w:p>
    <w:p w14:paraId="7B0DABE3" w14:textId="4E141BB8" w:rsidR="009633F4" w:rsidRDefault="00585A99" w:rsidP="00BF36D9">
      <w:pPr>
        <w:pStyle w:val="Body"/>
        <w:rPr>
          <w:rFonts w:ascii="Arial" w:hAnsi="Arial" w:cs="Arial"/>
        </w:rPr>
      </w:pPr>
      <w:r>
        <w:rPr>
          <w:rFonts w:ascii="Arial" w:hAnsi="Arial" w:cs="Arial"/>
        </w:rPr>
        <w:lastRenderedPageBreak/>
        <w:t>Legend:</w:t>
      </w:r>
    </w:p>
    <w:tbl>
      <w:tblPr>
        <w:tblStyle w:val="TableGrid2"/>
        <w:tblW w:w="5575" w:type="dxa"/>
        <w:tblInd w:w="12" w:type="dxa"/>
        <w:tblLook w:val="04A0" w:firstRow="1" w:lastRow="0" w:firstColumn="1" w:lastColumn="0" w:noHBand="0" w:noVBand="1"/>
      </w:tblPr>
      <w:tblGrid>
        <w:gridCol w:w="2160"/>
        <w:gridCol w:w="720"/>
        <w:gridCol w:w="2695"/>
      </w:tblGrid>
      <w:tr w:rsidR="00585A99" w:rsidRPr="00585A99" w14:paraId="38B8363C" w14:textId="77777777" w:rsidTr="00585A99">
        <w:trPr>
          <w:trHeight w:val="224"/>
        </w:trPr>
        <w:tc>
          <w:tcPr>
            <w:tcW w:w="2161" w:type="dxa"/>
            <w:tcBorders>
              <w:top w:val="single" w:sz="4" w:space="0" w:color="auto"/>
              <w:left w:val="nil"/>
              <w:bottom w:val="single" w:sz="4" w:space="0" w:color="auto"/>
              <w:right w:val="nil"/>
            </w:tcBorders>
          </w:tcPr>
          <w:p w14:paraId="5805C6AB" w14:textId="50C4E3D4" w:rsidR="00585A99" w:rsidRPr="00585A99" w:rsidRDefault="00585A99" w:rsidP="00585A99">
            <w:pPr>
              <w:spacing w:line="259" w:lineRule="auto"/>
              <w:jc w:val="center"/>
              <w:rPr>
                <w:rFonts w:ascii="Arial" w:hAnsi="Arial" w:cs="Arial"/>
                <w:color w:val="000000"/>
              </w:rPr>
            </w:pPr>
            <w:r w:rsidRPr="00585A99">
              <w:rPr>
                <w:rFonts w:ascii="Arial" w:hAnsi="Arial" w:cs="Arial"/>
                <w:color w:val="000000"/>
                <w:sz w:val="20"/>
              </w:rPr>
              <w:t>Range of Means</w:t>
            </w:r>
          </w:p>
        </w:tc>
        <w:tc>
          <w:tcPr>
            <w:tcW w:w="720" w:type="dxa"/>
            <w:tcBorders>
              <w:top w:val="single" w:sz="4" w:space="0" w:color="auto"/>
              <w:left w:val="nil"/>
              <w:bottom w:val="single" w:sz="4" w:space="0" w:color="auto"/>
              <w:right w:val="nil"/>
            </w:tcBorders>
          </w:tcPr>
          <w:p w14:paraId="70A365DC" w14:textId="2C650D8A" w:rsidR="00585A99" w:rsidRPr="00585A99" w:rsidRDefault="00585A99" w:rsidP="00585A99">
            <w:pPr>
              <w:spacing w:line="259" w:lineRule="auto"/>
              <w:jc w:val="center"/>
              <w:rPr>
                <w:rFonts w:ascii="Arial" w:hAnsi="Arial" w:cs="Arial"/>
                <w:color w:val="000000"/>
              </w:rPr>
            </w:pPr>
          </w:p>
        </w:tc>
        <w:tc>
          <w:tcPr>
            <w:tcW w:w="2695" w:type="dxa"/>
            <w:tcBorders>
              <w:top w:val="single" w:sz="4" w:space="0" w:color="auto"/>
              <w:left w:val="nil"/>
              <w:bottom w:val="single" w:sz="4" w:space="0" w:color="auto"/>
              <w:right w:val="nil"/>
            </w:tcBorders>
          </w:tcPr>
          <w:p w14:paraId="47879DA9" w14:textId="3BC53296" w:rsidR="00585A99" w:rsidRPr="00585A99" w:rsidRDefault="00585A99" w:rsidP="00585A99">
            <w:pPr>
              <w:spacing w:line="259" w:lineRule="auto"/>
              <w:jc w:val="center"/>
              <w:rPr>
                <w:rFonts w:ascii="Arial" w:hAnsi="Arial" w:cs="Arial"/>
                <w:color w:val="000000"/>
              </w:rPr>
            </w:pPr>
            <w:r w:rsidRPr="00585A99">
              <w:rPr>
                <w:rFonts w:ascii="Arial" w:hAnsi="Arial" w:cs="Arial"/>
                <w:color w:val="000000"/>
                <w:sz w:val="20"/>
              </w:rPr>
              <w:t>Descriptive Interpretation (DI)</w:t>
            </w:r>
          </w:p>
        </w:tc>
      </w:tr>
      <w:tr w:rsidR="00585A99" w:rsidRPr="00585A99" w14:paraId="120AB9B0" w14:textId="77777777" w:rsidTr="00585A99">
        <w:trPr>
          <w:trHeight w:val="228"/>
        </w:trPr>
        <w:tc>
          <w:tcPr>
            <w:tcW w:w="2161" w:type="dxa"/>
            <w:tcBorders>
              <w:top w:val="single" w:sz="4" w:space="0" w:color="auto"/>
              <w:left w:val="nil"/>
              <w:bottom w:val="nil"/>
              <w:right w:val="nil"/>
            </w:tcBorders>
          </w:tcPr>
          <w:p w14:paraId="0E056D79" w14:textId="77777777" w:rsidR="00585A99" w:rsidRPr="00585A99" w:rsidRDefault="00585A99" w:rsidP="00585A99">
            <w:pPr>
              <w:spacing w:line="259" w:lineRule="auto"/>
              <w:ind w:left="852"/>
              <w:rPr>
                <w:rFonts w:ascii="Arial" w:hAnsi="Arial" w:cs="Arial"/>
                <w:color w:val="000000"/>
              </w:rPr>
            </w:pPr>
            <w:r w:rsidRPr="00585A99">
              <w:rPr>
                <w:rFonts w:ascii="Arial" w:hAnsi="Arial" w:cs="Arial"/>
                <w:color w:val="000000"/>
                <w:sz w:val="20"/>
              </w:rPr>
              <w:t xml:space="preserve">3.41 – 4.00 </w:t>
            </w:r>
          </w:p>
        </w:tc>
        <w:tc>
          <w:tcPr>
            <w:tcW w:w="720" w:type="dxa"/>
            <w:tcBorders>
              <w:top w:val="single" w:sz="4" w:space="0" w:color="auto"/>
              <w:left w:val="nil"/>
              <w:bottom w:val="nil"/>
              <w:right w:val="nil"/>
            </w:tcBorders>
          </w:tcPr>
          <w:p w14:paraId="01456DFD"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single" w:sz="4" w:space="0" w:color="auto"/>
              <w:left w:val="nil"/>
              <w:bottom w:val="nil"/>
              <w:right w:val="nil"/>
            </w:tcBorders>
          </w:tcPr>
          <w:p w14:paraId="5F992AC5"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Highly Valid (HV) </w:t>
            </w:r>
          </w:p>
        </w:tc>
      </w:tr>
      <w:tr w:rsidR="00585A99" w:rsidRPr="00585A99" w14:paraId="1F1F6F2F" w14:textId="77777777" w:rsidTr="004D708F">
        <w:trPr>
          <w:trHeight w:val="230"/>
        </w:trPr>
        <w:tc>
          <w:tcPr>
            <w:tcW w:w="2161" w:type="dxa"/>
            <w:tcBorders>
              <w:top w:val="nil"/>
              <w:left w:val="nil"/>
              <w:bottom w:val="nil"/>
              <w:right w:val="nil"/>
            </w:tcBorders>
          </w:tcPr>
          <w:p w14:paraId="40824604" w14:textId="77777777" w:rsidR="00585A99" w:rsidRPr="00585A99" w:rsidRDefault="00585A99" w:rsidP="00585A99">
            <w:pPr>
              <w:spacing w:line="259" w:lineRule="auto"/>
              <w:ind w:left="852"/>
              <w:rPr>
                <w:rFonts w:ascii="Arial" w:hAnsi="Arial" w:cs="Arial"/>
                <w:color w:val="000000"/>
              </w:rPr>
            </w:pPr>
            <w:r w:rsidRPr="00585A99">
              <w:rPr>
                <w:rFonts w:ascii="Arial" w:hAnsi="Arial" w:cs="Arial"/>
                <w:color w:val="000000"/>
                <w:sz w:val="20"/>
              </w:rPr>
              <w:t xml:space="preserve">2.61 – 3.40 </w:t>
            </w:r>
          </w:p>
        </w:tc>
        <w:tc>
          <w:tcPr>
            <w:tcW w:w="720" w:type="dxa"/>
            <w:tcBorders>
              <w:top w:val="nil"/>
              <w:left w:val="nil"/>
              <w:bottom w:val="nil"/>
              <w:right w:val="nil"/>
            </w:tcBorders>
          </w:tcPr>
          <w:p w14:paraId="60C4E051"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nil"/>
              <w:right w:val="nil"/>
            </w:tcBorders>
          </w:tcPr>
          <w:p w14:paraId="7BDE6D99"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Moderately Valid (MV) </w:t>
            </w:r>
          </w:p>
        </w:tc>
      </w:tr>
      <w:tr w:rsidR="00585A99" w:rsidRPr="00585A99" w14:paraId="26033690" w14:textId="77777777" w:rsidTr="00585A99">
        <w:trPr>
          <w:trHeight w:val="230"/>
        </w:trPr>
        <w:tc>
          <w:tcPr>
            <w:tcW w:w="2161" w:type="dxa"/>
            <w:tcBorders>
              <w:top w:val="nil"/>
              <w:left w:val="nil"/>
              <w:right w:val="nil"/>
            </w:tcBorders>
          </w:tcPr>
          <w:p w14:paraId="13F9276F" w14:textId="77777777" w:rsidR="00585A99" w:rsidRPr="00585A99" w:rsidRDefault="00585A99" w:rsidP="00585A99">
            <w:pPr>
              <w:spacing w:line="259" w:lineRule="auto"/>
              <w:ind w:left="852"/>
              <w:rPr>
                <w:rFonts w:ascii="Arial" w:hAnsi="Arial" w:cs="Arial"/>
                <w:color w:val="000000"/>
              </w:rPr>
            </w:pPr>
            <w:r w:rsidRPr="00585A99">
              <w:rPr>
                <w:rFonts w:ascii="Arial" w:hAnsi="Arial" w:cs="Arial"/>
                <w:color w:val="000000"/>
                <w:sz w:val="20"/>
              </w:rPr>
              <w:t xml:space="preserve">1.81 – 2.60 </w:t>
            </w:r>
          </w:p>
        </w:tc>
        <w:tc>
          <w:tcPr>
            <w:tcW w:w="720" w:type="dxa"/>
            <w:tcBorders>
              <w:top w:val="nil"/>
              <w:left w:val="nil"/>
              <w:right w:val="nil"/>
            </w:tcBorders>
          </w:tcPr>
          <w:p w14:paraId="586A7A21"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right w:val="nil"/>
            </w:tcBorders>
          </w:tcPr>
          <w:p w14:paraId="07DC35A9"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Slightly Valid (SV) </w:t>
            </w:r>
          </w:p>
        </w:tc>
      </w:tr>
      <w:tr w:rsidR="00585A99" w:rsidRPr="00585A99" w14:paraId="532A5E84" w14:textId="77777777" w:rsidTr="00585A99">
        <w:trPr>
          <w:trHeight w:val="226"/>
        </w:trPr>
        <w:tc>
          <w:tcPr>
            <w:tcW w:w="2161" w:type="dxa"/>
            <w:tcBorders>
              <w:top w:val="nil"/>
              <w:left w:val="nil"/>
              <w:bottom w:val="single" w:sz="4" w:space="0" w:color="auto"/>
              <w:right w:val="nil"/>
            </w:tcBorders>
          </w:tcPr>
          <w:p w14:paraId="6451058E" w14:textId="77777777" w:rsidR="00585A99" w:rsidRPr="00585A99" w:rsidRDefault="00585A99" w:rsidP="00585A99">
            <w:pPr>
              <w:spacing w:line="259" w:lineRule="auto"/>
              <w:ind w:left="852"/>
              <w:rPr>
                <w:rFonts w:ascii="Arial" w:hAnsi="Arial" w:cs="Arial"/>
                <w:color w:val="000000"/>
              </w:rPr>
            </w:pPr>
            <w:r w:rsidRPr="00585A99">
              <w:rPr>
                <w:rFonts w:ascii="Arial" w:hAnsi="Arial" w:cs="Arial"/>
                <w:color w:val="000000"/>
                <w:sz w:val="20"/>
              </w:rPr>
              <w:t xml:space="preserve">1.00 – 1.80 </w:t>
            </w:r>
          </w:p>
        </w:tc>
        <w:tc>
          <w:tcPr>
            <w:tcW w:w="720" w:type="dxa"/>
            <w:tcBorders>
              <w:top w:val="nil"/>
              <w:left w:val="nil"/>
              <w:bottom w:val="single" w:sz="4" w:space="0" w:color="auto"/>
              <w:right w:val="nil"/>
            </w:tcBorders>
          </w:tcPr>
          <w:p w14:paraId="134F1139"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single" w:sz="4" w:space="0" w:color="auto"/>
              <w:right w:val="nil"/>
            </w:tcBorders>
          </w:tcPr>
          <w:p w14:paraId="5B547C1D" w14:textId="77777777" w:rsidR="00585A99" w:rsidRPr="00585A99" w:rsidRDefault="00585A99" w:rsidP="00585A99">
            <w:pPr>
              <w:spacing w:line="259" w:lineRule="auto"/>
              <w:rPr>
                <w:rFonts w:ascii="Arial" w:hAnsi="Arial" w:cs="Arial"/>
                <w:color w:val="000000"/>
              </w:rPr>
            </w:pPr>
            <w:r w:rsidRPr="00585A99">
              <w:rPr>
                <w:rFonts w:ascii="Arial" w:hAnsi="Arial" w:cs="Arial"/>
                <w:color w:val="000000"/>
                <w:sz w:val="20"/>
              </w:rPr>
              <w:t xml:space="preserve">Needs Improvement (NI) </w:t>
            </w:r>
          </w:p>
        </w:tc>
      </w:tr>
    </w:tbl>
    <w:p w14:paraId="2B5F8648" w14:textId="77777777" w:rsidR="00CB43DF" w:rsidRDefault="00CB43DF" w:rsidP="00BF36D9">
      <w:pPr>
        <w:pStyle w:val="Body"/>
        <w:rPr>
          <w:rFonts w:ascii="Arial" w:hAnsi="Arial" w:cs="Arial"/>
        </w:rPr>
      </w:pPr>
    </w:p>
    <w:p w14:paraId="3B1C6F02" w14:textId="6790969B" w:rsidR="00790ADA" w:rsidRPr="00FB3A86" w:rsidRDefault="00000F8F" w:rsidP="00585A99">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0FFA0BD8" w14:textId="2B447B2C" w:rsidR="00585A99" w:rsidRPr="00585A99" w:rsidRDefault="00585A99" w:rsidP="00585A99">
      <w:pPr>
        <w:pStyle w:val="Body"/>
        <w:rPr>
          <w:rFonts w:ascii="Arial" w:hAnsi="Arial" w:cs="Arial"/>
        </w:rPr>
      </w:pPr>
      <w:r w:rsidRPr="00585A99">
        <w:rPr>
          <w:rFonts w:ascii="Arial" w:hAnsi="Arial" w:cs="Arial"/>
        </w:rPr>
        <w:t xml:space="preserve">The study revealed that higher education institutions (HEIs) in </w:t>
      </w:r>
      <w:proofErr w:type="spellStart"/>
      <w:r w:rsidRPr="00585A99">
        <w:rPr>
          <w:rFonts w:ascii="Arial" w:hAnsi="Arial" w:cs="Arial"/>
        </w:rPr>
        <w:t>Ilocos</w:t>
      </w:r>
      <w:proofErr w:type="spellEnd"/>
      <w:r w:rsidRPr="00585A99">
        <w:rPr>
          <w:rFonts w:ascii="Arial" w:hAnsi="Arial" w:cs="Arial"/>
        </w:rPr>
        <w:t xml:space="preserve"> Sur share common topics in their Gender and Society syllabi, which provide opportunities for contextualization tailored to students’ needs and local realities. Teachers employed varied strategies in contextualizing their lessons, notably through the use of students’ experiences, local examples, and cultural integration. These approaches strengthened the relevance and utility of the course content, thereby enhancing learner engagement. However, challenges were also identified, particularly the scarcity of local resources and materials, as well as difficulties in ensuring cultural relevance. These barriers underscore the necessity of supplementary instructional materials designed to support contextualized teaching. The development of a contextualized workbook addressed this need, offering teachers a tool to deliver more meaningful and relevant instruction.</w:t>
      </w:r>
    </w:p>
    <w:p w14:paraId="4CDB737F" w14:textId="06A51B97" w:rsidR="00B01FCD" w:rsidRDefault="00585A99" w:rsidP="00585A99">
      <w:pPr>
        <w:pStyle w:val="Body"/>
        <w:spacing w:after="0"/>
        <w:rPr>
          <w:rFonts w:ascii="Arial" w:hAnsi="Arial" w:cs="Arial"/>
        </w:rPr>
      </w:pPr>
      <w:r w:rsidRPr="00585A99">
        <w:rPr>
          <w:rFonts w:ascii="Arial" w:hAnsi="Arial" w:cs="Arial"/>
        </w:rPr>
        <w:t>The validation process confirmed the workbook’s high level of adequacy, coherence, appropriateness, usefulness, and contextualization, affirming its suitability as instructional material for the Gender and Society course. By facilitating learning that is both culturally responsive and pedagogically sound, the workbook advances the aims of contextualized instruction. Moreover, the findings support the Theory of Contextual Teaching and Learning, 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19EAABD3" w14:textId="77777777" w:rsidR="00790ADA" w:rsidRPr="00FB3A86" w:rsidRDefault="00790ADA" w:rsidP="00441B6F">
      <w:pPr>
        <w:pStyle w:val="Body"/>
        <w:spacing w:after="0"/>
        <w:rPr>
          <w:rFonts w:ascii="Arial" w:hAnsi="Arial" w:cs="Arial"/>
        </w:rPr>
      </w:pPr>
    </w:p>
    <w:p w14:paraId="10492140" w14:textId="377226B2" w:rsidR="00D24963" w:rsidRDefault="00D24963" w:rsidP="00441B6F">
      <w:pPr>
        <w:pStyle w:val="Body"/>
        <w:spacing w:after="0"/>
        <w:rPr>
          <w:rFonts w:ascii="Arial" w:hAnsi="Arial" w:cs="Arial"/>
        </w:rPr>
      </w:pPr>
    </w:p>
    <w:p w14:paraId="7F928A52" w14:textId="77777777" w:rsidR="00D24963" w:rsidRPr="00FB3A86" w:rsidRDefault="00D24963" w:rsidP="00D24963">
      <w:pPr>
        <w:pStyle w:val="Reference"/>
        <w:numPr>
          <w:ilvl w:val="0"/>
          <w:numId w:val="0"/>
        </w:numPr>
        <w:spacing w:line="240" w:lineRule="auto"/>
        <w:rPr>
          <w:rFonts w:ascii="Arial" w:hAnsi="Arial" w:cs="Arial"/>
        </w:rPr>
      </w:pPr>
    </w:p>
    <w:p w14:paraId="33D16FBD" w14:textId="77777777" w:rsidR="00D24963" w:rsidRDefault="00D24963" w:rsidP="00D24963">
      <w:pPr>
        <w:pStyle w:val="DefAcrHead"/>
        <w:spacing w:after="0"/>
        <w:jc w:val="both"/>
        <w:rPr>
          <w:rFonts w:ascii="Arial" w:hAnsi="Arial" w:cs="Arial"/>
        </w:rPr>
      </w:pPr>
      <w:r w:rsidRPr="00FB3A86">
        <w:rPr>
          <w:rFonts w:ascii="Arial" w:hAnsi="Arial" w:cs="Arial"/>
        </w:rPr>
        <w:t>Definitions, Acronyms, Abbreviations</w:t>
      </w:r>
    </w:p>
    <w:p w14:paraId="04B87A8F" w14:textId="77777777" w:rsidR="00D24963" w:rsidRPr="00FB3A86" w:rsidRDefault="00D24963" w:rsidP="00D24963">
      <w:pPr>
        <w:pStyle w:val="Body"/>
        <w:rPr>
          <w:rFonts w:ascii="Arial" w:hAnsi="Arial" w:cs="Arial"/>
          <w:sz w:val="24"/>
        </w:rPr>
      </w:pPr>
      <w:r w:rsidRPr="00F02997">
        <w:rPr>
          <w:rFonts w:ascii="Arial" w:hAnsi="Arial" w:cs="Arial"/>
        </w:rPr>
        <w:t>The following terms are operationally defined to ensure clarity and maintain consistency within the scope of this research:</w:t>
      </w:r>
    </w:p>
    <w:p w14:paraId="34426BB5"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w:t>
      </w:r>
      <w:r w:rsidRPr="00F02997">
        <w:rPr>
          <w:rFonts w:ascii="Arial" w:hAnsi="Arial" w:cs="Arial"/>
          <w:bCs/>
        </w:rPr>
        <w:t>– Refers to the process of relating course concepts in Gender and Society to real-world scenarios and learners’ cultural environments. In this study, contextualization was examined through teachers’ strategies and was applied in the design of the workbook’s lessons, activities, and examples.</w:t>
      </w:r>
    </w:p>
    <w:p w14:paraId="732ADB96" w14:textId="77777777" w:rsidR="00D24963" w:rsidRPr="00F02997" w:rsidRDefault="00D24963" w:rsidP="00D24963">
      <w:pPr>
        <w:pStyle w:val="Body"/>
        <w:rPr>
          <w:rFonts w:ascii="Arial" w:hAnsi="Arial" w:cs="Arial"/>
          <w:bCs/>
        </w:rPr>
      </w:pPr>
      <w:r w:rsidRPr="00F02997">
        <w:rPr>
          <w:rFonts w:ascii="Arial" w:hAnsi="Arial" w:cs="Arial"/>
          <w:b/>
        </w:rPr>
        <w:t xml:space="preserve">Contextualized Workbook in Gender and Society </w:t>
      </w:r>
      <w:r w:rsidRPr="00F02997">
        <w:rPr>
          <w:rFonts w:ascii="Arial" w:hAnsi="Arial" w:cs="Arial"/>
          <w:bCs/>
        </w:rPr>
        <w:t>–</w:t>
      </w:r>
      <w:r w:rsidRPr="00F02997">
        <w:rPr>
          <w:rFonts w:ascii="Arial" w:hAnsi="Arial" w:cs="Arial"/>
          <w:b/>
        </w:rPr>
        <w:t xml:space="preserve"> </w:t>
      </w:r>
      <w:r w:rsidRPr="00F02997">
        <w:rPr>
          <w:rFonts w:ascii="Arial" w:hAnsi="Arial" w:cs="Arial"/>
          <w:bCs/>
        </w:rPr>
        <w:t>Denotes the instructional material developed by the researcher, which incorporates contextualized content, activities, and exercises. It was designed to supplement classroom teaching and enable students to connect abstract concepts to their own social realities.</w:t>
      </w:r>
    </w:p>
    <w:p w14:paraId="4E370BB8"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Strategies </w:t>
      </w:r>
      <w:r w:rsidRPr="00F02997">
        <w:rPr>
          <w:rFonts w:ascii="Arial" w:hAnsi="Arial" w:cs="Arial"/>
          <w:bCs/>
        </w:rPr>
        <w:t>–</w:t>
      </w:r>
      <w:r w:rsidRPr="00F02997">
        <w:rPr>
          <w:rFonts w:ascii="Arial" w:hAnsi="Arial" w:cs="Arial"/>
          <w:b/>
        </w:rPr>
        <w:t xml:space="preserve"> </w:t>
      </w:r>
      <w:r w:rsidRPr="00F02997">
        <w:rPr>
          <w:rFonts w:ascii="Arial" w:hAnsi="Arial" w:cs="Arial"/>
          <w:bCs/>
        </w:rPr>
        <w:t xml:space="preserve">Instructional approaches employed by teachers to make lessons relevant to students’ lives, such as drawing from students’ experiences, using local </w:t>
      </w:r>
      <w:r w:rsidRPr="00F02997">
        <w:rPr>
          <w:rFonts w:ascii="Arial" w:hAnsi="Arial" w:cs="Arial"/>
          <w:bCs/>
        </w:rPr>
        <w:lastRenderedPageBreak/>
        <w:t>examples, and integrating cultural contexts. This study identified and analyzed these strategies through teacher interviews.</w:t>
      </w:r>
    </w:p>
    <w:p w14:paraId="30C95FFF" w14:textId="77777777" w:rsidR="00D24963" w:rsidRPr="00F02997" w:rsidRDefault="00D24963" w:rsidP="00D24963">
      <w:pPr>
        <w:pStyle w:val="Body"/>
        <w:rPr>
          <w:rFonts w:ascii="Arial" w:hAnsi="Arial" w:cs="Arial"/>
          <w:bCs/>
        </w:rPr>
      </w:pPr>
      <w:r w:rsidRPr="00F02997">
        <w:rPr>
          <w:rFonts w:ascii="Arial" w:hAnsi="Arial" w:cs="Arial"/>
          <w:b/>
        </w:rPr>
        <w:t xml:space="preserve">Common Topics </w:t>
      </w:r>
      <w:r w:rsidRPr="00F02997">
        <w:rPr>
          <w:rFonts w:ascii="Arial" w:hAnsi="Arial" w:cs="Arial"/>
          <w:bCs/>
        </w:rPr>
        <w:t>– Course topics in Gender and Society that appeared in at least two syllabi across the participating HEIs. These topics served as the foundation for the content of the developed workbook.</w:t>
      </w:r>
    </w:p>
    <w:p w14:paraId="38747E6C" w14:textId="77777777" w:rsidR="00D24963" w:rsidRPr="00F02997" w:rsidRDefault="00D24963" w:rsidP="00D24963">
      <w:pPr>
        <w:pStyle w:val="Body"/>
        <w:rPr>
          <w:rFonts w:ascii="Arial" w:hAnsi="Arial" w:cs="Arial"/>
          <w:bCs/>
        </w:rPr>
      </w:pPr>
      <w:r w:rsidRPr="00F02997">
        <w:rPr>
          <w:rFonts w:ascii="Arial" w:hAnsi="Arial" w:cs="Arial"/>
          <w:b/>
        </w:rPr>
        <w:t xml:space="preserve">Gender and Society </w:t>
      </w:r>
      <w:r w:rsidRPr="00F02997">
        <w:rPr>
          <w:rFonts w:ascii="Arial" w:hAnsi="Arial" w:cs="Arial"/>
          <w:bCs/>
        </w:rPr>
        <w:t>– An elective course under the General Education Curriculum that examines gender as a social construct and its implications across different aspects of life. In this study, the course served as the context for developing the workbook.</w:t>
      </w:r>
    </w:p>
    <w:p w14:paraId="6822C555" w14:textId="77777777" w:rsidR="00D24963" w:rsidRPr="00F02997" w:rsidRDefault="00D24963" w:rsidP="00D24963">
      <w:pPr>
        <w:pStyle w:val="Body"/>
        <w:rPr>
          <w:rFonts w:ascii="Arial" w:hAnsi="Arial" w:cs="Arial"/>
          <w:b/>
        </w:rPr>
      </w:pPr>
      <w:r w:rsidRPr="00F02997">
        <w:rPr>
          <w:rFonts w:ascii="Arial" w:hAnsi="Arial" w:cs="Arial"/>
          <w:b/>
        </w:rPr>
        <w:t xml:space="preserve">Challenges </w:t>
      </w:r>
      <w:r w:rsidRPr="00F02997">
        <w:rPr>
          <w:rFonts w:ascii="Arial" w:hAnsi="Arial" w:cs="Arial"/>
          <w:bCs/>
        </w:rPr>
        <w:t>– Difficulties encountered by teachers in contextualizing Gender and Society lessons, such as limited access to local resources and difficulties in ensuring cultural relevance. These challenges were identified through interviews.</w:t>
      </w:r>
    </w:p>
    <w:p w14:paraId="18F92E64" w14:textId="77777777" w:rsidR="00D24963" w:rsidRPr="00F02997" w:rsidRDefault="00D24963" w:rsidP="00D24963">
      <w:pPr>
        <w:pStyle w:val="Body"/>
        <w:rPr>
          <w:rFonts w:ascii="Arial" w:hAnsi="Arial" w:cs="Arial"/>
          <w:b/>
        </w:rPr>
      </w:pPr>
      <w:r w:rsidRPr="00F02997">
        <w:rPr>
          <w:rFonts w:ascii="Arial" w:hAnsi="Arial" w:cs="Arial"/>
          <w:b/>
        </w:rPr>
        <w:t xml:space="preserve">Validators </w:t>
      </w:r>
      <w:r w:rsidRPr="00F02997">
        <w:rPr>
          <w:rFonts w:ascii="Arial" w:hAnsi="Arial" w:cs="Arial"/>
          <w:bCs/>
        </w:rPr>
        <w:t>– The group of experts (six social science professors and one visual graphics technical expert) who assessed the workbook’s validity using predetermined criteria.</w:t>
      </w:r>
    </w:p>
    <w:p w14:paraId="2A756402" w14:textId="77777777" w:rsidR="00D24963" w:rsidRPr="00F02997" w:rsidRDefault="00D24963" w:rsidP="00D24963">
      <w:pPr>
        <w:pStyle w:val="Body"/>
        <w:rPr>
          <w:rFonts w:ascii="Arial" w:hAnsi="Arial" w:cs="Arial"/>
          <w:b/>
        </w:rPr>
      </w:pPr>
      <w:r w:rsidRPr="00F02997">
        <w:rPr>
          <w:rFonts w:ascii="Arial" w:hAnsi="Arial" w:cs="Arial"/>
          <w:b/>
        </w:rPr>
        <w:t xml:space="preserve">Validity </w:t>
      </w:r>
      <w:r w:rsidRPr="00F02997">
        <w:rPr>
          <w:rFonts w:ascii="Arial" w:hAnsi="Arial" w:cs="Arial"/>
          <w:bCs/>
        </w:rPr>
        <w:t>– The extent to which the developed workbook met standards of adequacy, coherence, appropriateness, usefulness, and contextualization, as measured by a validation rating scale.</w:t>
      </w:r>
    </w:p>
    <w:p w14:paraId="748A649C" w14:textId="77777777" w:rsidR="00D24963" w:rsidRPr="00F02997" w:rsidRDefault="00D24963" w:rsidP="00D24963">
      <w:pPr>
        <w:pStyle w:val="Body"/>
        <w:rPr>
          <w:rFonts w:ascii="Arial" w:hAnsi="Arial" w:cs="Arial"/>
          <w:bCs/>
        </w:rPr>
      </w:pPr>
      <w:r w:rsidRPr="00F02997">
        <w:rPr>
          <w:rFonts w:ascii="Arial" w:hAnsi="Arial" w:cs="Arial"/>
          <w:b/>
        </w:rPr>
        <w:t xml:space="preserve">Adequacy </w:t>
      </w:r>
      <w:r w:rsidRPr="00F02997">
        <w:rPr>
          <w:rFonts w:ascii="Arial" w:hAnsi="Arial" w:cs="Arial"/>
          <w:bCs/>
        </w:rPr>
        <w:t>– The degree to which workbook activities were sufficiently comprehensive to address intended learning objectives.</w:t>
      </w:r>
    </w:p>
    <w:p w14:paraId="7C42A43D" w14:textId="77777777" w:rsidR="00D24963" w:rsidRPr="00F02997" w:rsidRDefault="00D24963" w:rsidP="00D24963">
      <w:pPr>
        <w:pStyle w:val="Body"/>
        <w:rPr>
          <w:rFonts w:ascii="Arial" w:hAnsi="Arial" w:cs="Arial"/>
          <w:bCs/>
        </w:rPr>
      </w:pPr>
      <w:r w:rsidRPr="00F02997">
        <w:rPr>
          <w:rFonts w:ascii="Arial" w:hAnsi="Arial" w:cs="Arial"/>
          <w:b/>
        </w:rPr>
        <w:t xml:space="preserve">Coherence </w:t>
      </w:r>
      <w:r w:rsidRPr="00F02997">
        <w:rPr>
          <w:rFonts w:ascii="Arial" w:hAnsi="Arial" w:cs="Arial"/>
          <w:bCs/>
        </w:rPr>
        <w:t>– The logical organization and flow of workbook content and activities, ensuring alignment with course objectives.</w:t>
      </w:r>
    </w:p>
    <w:p w14:paraId="23A3A3D6" w14:textId="77777777" w:rsidR="00D24963" w:rsidRPr="00F02997" w:rsidRDefault="00D24963" w:rsidP="00D24963">
      <w:pPr>
        <w:pStyle w:val="Body"/>
        <w:rPr>
          <w:rFonts w:ascii="Arial" w:hAnsi="Arial" w:cs="Arial"/>
          <w:b/>
        </w:rPr>
      </w:pPr>
      <w:r w:rsidRPr="00F02997">
        <w:rPr>
          <w:rFonts w:ascii="Arial" w:hAnsi="Arial" w:cs="Arial"/>
          <w:b/>
        </w:rPr>
        <w:t xml:space="preserve">Appropriateness </w:t>
      </w:r>
      <w:r w:rsidRPr="00F02997">
        <w:rPr>
          <w:rFonts w:ascii="Arial" w:hAnsi="Arial" w:cs="Arial"/>
          <w:bCs/>
        </w:rPr>
        <w:t>– The suitability of workbook content and activities to the backgrounds, needs, and learning levels of tertiary students.</w:t>
      </w:r>
    </w:p>
    <w:p w14:paraId="57D0FCF7" w14:textId="77777777" w:rsidR="00D24963" w:rsidRDefault="00D24963" w:rsidP="00D24963">
      <w:pPr>
        <w:pStyle w:val="Body"/>
        <w:spacing w:after="0"/>
        <w:rPr>
          <w:rFonts w:ascii="Arial" w:hAnsi="Arial" w:cs="Arial"/>
          <w:bCs/>
        </w:rPr>
      </w:pPr>
      <w:r w:rsidRPr="00F02997">
        <w:rPr>
          <w:rFonts w:ascii="Arial" w:hAnsi="Arial" w:cs="Arial"/>
          <w:b/>
        </w:rPr>
        <w:t>Usefulness</w:t>
      </w:r>
      <w:r w:rsidRPr="00F02997">
        <w:rPr>
          <w:rFonts w:ascii="Arial" w:hAnsi="Arial" w:cs="Arial"/>
          <w:bCs/>
        </w:rPr>
        <w:t xml:space="preserve"> – The extent to which the workbook supported students’ understanding of gender concepts and encouraged higher-order thinking.</w:t>
      </w:r>
    </w:p>
    <w:p w14:paraId="0EF80B18" w14:textId="77777777" w:rsidR="002B685A" w:rsidRDefault="002B685A" w:rsidP="00441B6F">
      <w:pPr>
        <w:pStyle w:val="ReferHead"/>
        <w:spacing w:after="0"/>
        <w:jc w:val="both"/>
        <w:rPr>
          <w:rFonts w:ascii="Arial" w:hAnsi="Arial" w:cs="Arial"/>
          <w:b w:val="0"/>
          <w:caps w:val="0"/>
          <w:sz w:val="20"/>
        </w:rPr>
      </w:pPr>
    </w:p>
    <w:p w14:paraId="5CCE4F3D" w14:textId="1DD9F6AE" w:rsidR="002B685A" w:rsidRDefault="002B685A" w:rsidP="00441B6F">
      <w:pPr>
        <w:pStyle w:val="ReferHead"/>
        <w:spacing w:after="0"/>
        <w:jc w:val="both"/>
        <w:rPr>
          <w:rFonts w:ascii="Arial" w:hAnsi="Arial" w:cs="Arial"/>
          <w:bCs/>
        </w:rPr>
      </w:pPr>
      <w:r w:rsidRPr="002B685A">
        <w:rPr>
          <w:rFonts w:ascii="Arial" w:hAnsi="Arial" w:cs="Arial"/>
          <w:bCs/>
        </w:rPr>
        <w:t>Consent</w:t>
      </w:r>
    </w:p>
    <w:p w14:paraId="71C2C7D9" w14:textId="77777777" w:rsidR="002B685A" w:rsidRPr="002B685A" w:rsidRDefault="002B685A" w:rsidP="00441B6F">
      <w:pPr>
        <w:pStyle w:val="ReferHead"/>
        <w:spacing w:after="0"/>
        <w:jc w:val="both"/>
        <w:rPr>
          <w:rFonts w:ascii="Arial" w:hAnsi="Arial" w:cs="Arial"/>
          <w:bCs/>
        </w:rPr>
      </w:pPr>
    </w:p>
    <w:p w14:paraId="4CE2EE1E" w14:textId="3FA68B05" w:rsidR="001A29D8" w:rsidRPr="00F02997" w:rsidRDefault="001A29D8" w:rsidP="00441B6F">
      <w:pPr>
        <w:pStyle w:val="ReferHead"/>
        <w:spacing w:after="0"/>
        <w:jc w:val="both"/>
        <w:rPr>
          <w:rFonts w:ascii="Arial" w:hAnsi="Arial" w:cs="Arial"/>
          <w:b w:val="0"/>
          <w:caps w:val="0"/>
          <w:sz w:val="20"/>
        </w:rPr>
      </w:pPr>
      <w:r w:rsidRPr="00F02997">
        <w:rPr>
          <w:rFonts w:ascii="Arial" w:hAnsi="Arial" w:cs="Arial"/>
          <w:b w:val="0"/>
          <w:caps w:val="0"/>
          <w:sz w:val="20"/>
        </w:rPr>
        <w:t xml:space="preserve">All authors declare that ‘written informed consent was obtained from </w:t>
      </w:r>
      <w:r w:rsidR="00F02997">
        <w:rPr>
          <w:rFonts w:ascii="Arial" w:hAnsi="Arial" w:cs="Arial"/>
          <w:b w:val="0"/>
          <w:caps w:val="0"/>
          <w:sz w:val="20"/>
        </w:rPr>
        <w:t xml:space="preserve">all the respondents of this research study. </w:t>
      </w:r>
      <w:r w:rsidRPr="00F02997">
        <w:rPr>
          <w:rFonts w:ascii="Arial" w:hAnsi="Arial" w:cs="Arial"/>
          <w:b w:val="0"/>
          <w:caps w:val="0"/>
          <w:sz w:val="20"/>
        </w:rPr>
        <w:t>A copy of the written consent is available for review by the Editorial office/Chief Editor/Editorial Board members of this journal."</w:t>
      </w:r>
    </w:p>
    <w:p w14:paraId="0071176B" w14:textId="77777777" w:rsidR="005C784C" w:rsidRDefault="005C784C" w:rsidP="00441B6F">
      <w:pPr>
        <w:pStyle w:val="ReferHead"/>
        <w:spacing w:after="0"/>
        <w:jc w:val="both"/>
        <w:rPr>
          <w:rFonts w:ascii="Arial" w:hAnsi="Arial" w:cs="Arial"/>
          <w:b w:val="0"/>
          <w:caps w:val="0"/>
          <w:sz w:val="20"/>
        </w:rPr>
      </w:pPr>
    </w:p>
    <w:p w14:paraId="0D9C16C0" w14:textId="3F9295F4" w:rsidR="005C784C" w:rsidRDefault="005C784C" w:rsidP="00441B6F">
      <w:pPr>
        <w:pStyle w:val="ReferHead"/>
        <w:spacing w:after="0"/>
        <w:jc w:val="both"/>
        <w:rPr>
          <w:rFonts w:ascii="Arial" w:hAnsi="Arial" w:cs="Arial"/>
          <w:bCs/>
        </w:rPr>
      </w:pPr>
      <w:r>
        <w:rPr>
          <w:rFonts w:ascii="Arial" w:hAnsi="Arial" w:cs="Arial"/>
          <w:bCs/>
        </w:rPr>
        <w:t>Ethical approval</w:t>
      </w:r>
    </w:p>
    <w:p w14:paraId="3821840A" w14:textId="77777777" w:rsidR="005C784C" w:rsidRPr="002B685A" w:rsidRDefault="005C784C" w:rsidP="00441B6F">
      <w:pPr>
        <w:pStyle w:val="ReferHead"/>
        <w:spacing w:after="0"/>
        <w:jc w:val="both"/>
        <w:rPr>
          <w:rFonts w:ascii="Arial" w:hAnsi="Arial" w:cs="Arial"/>
          <w:bCs/>
        </w:rPr>
      </w:pPr>
    </w:p>
    <w:p w14:paraId="5F4B31B8" w14:textId="33C2B09B" w:rsidR="0041027F" w:rsidRDefault="00F02997" w:rsidP="00441B6F">
      <w:pPr>
        <w:pStyle w:val="ReferHead"/>
        <w:spacing w:after="0"/>
        <w:jc w:val="both"/>
        <w:rPr>
          <w:rFonts w:ascii="Arial" w:hAnsi="Arial" w:cs="Arial"/>
          <w:b w:val="0"/>
          <w:caps w:val="0"/>
          <w:sz w:val="20"/>
        </w:rPr>
      </w:pPr>
      <w:r w:rsidRPr="00F02997">
        <w:rPr>
          <w:rFonts w:ascii="Arial" w:hAnsi="Arial" w:cs="Arial"/>
          <w:b w:val="0"/>
          <w:caps w:val="0"/>
          <w:sz w:val="20"/>
        </w:rPr>
        <w:t>This study received ethical clearance from the University Research Ethics Review Board (URERB) of a recognized university. The authors confirm that the data collection procedures and informed consent form were reviewed and approved by the said ethics review board, and that the study was conducted in accordance with the ethical standards outlined in the 1964 Declaration of Helsinki.</w:t>
      </w:r>
    </w:p>
    <w:p w14:paraId="7C0C9E6A" w14:textId="77777777" w:rsidR="00947638" w:rsidRDefault="00947638" w:rsidP="00441B6F">
      <w:pPr>
        <w:pStyle w:val="ReferHead"/>
        <w:spacing w:after="0"/>
        <w:jc w:val="both"/>
        <w:rPr>
          <w:rFonts w:ascii="Arial" w:hAnsi="Arial" w:cs="Arial"/>
          <w:b w:val="0"/>
          <w:caps w:val="0"/>
          <w:sz w:val="20"/>
        </w:rPr>
      </w:pPr>
    </w:p>
    <w:p w14:paraId="409C16E3" w14:textId="77777777" w:rsidR="00947638" w:rsidRPr="00947638" w:rsidRDefault="00947638" w:rsidP="00947638">
      <w:pPr>
        <w:pStyle w:val="ReferHead"/>
        <w:jc w:val="both"/>
        <w:rPr>
          <w:rFonts w:ascii="Arial" w:hAnsi="Arial" w:cs="Arial"/>
          <w:bCs/>
          <w:caps w:val="0"/>
          <w:szCs w:val="22"/>
        </w:rPr>
      </w:pPr>
      <w:r w:rsidRPr="00947638">
        <w:rPr>
          <w:rFonts w:ascii="Arial" w:hAnsi="Arial" w:cs="Arial"/>
          <w:bCs/>
          <w:caps w:val="0"/>
          <w:szCs w:val="22"/>
        </w:rPr>
        <w:t>DISCLAIMER (ARTIFICIAL INTELLIGENCE)</w:t>
      </w:r>
    </w:p>
    <w:p w14:paraId="3F26D9E8" w14:textId="77777777" w:rsidR="00947638" w:rsidRPr="00947638" w:rsidRDefault="00947638" w:rsidP="00947638">
      <w:pPr>
        <w:pStyle w:val="ReferHead"/>
        <w:jc w:val="both"/>
        <w:rPr>
          <w:rFonts w:ascii="Arial" w:hAnsi="Arial" w:cs="Arial"/>
          <w:b w:val="0"/>
          <w:caps w:val="0"/>
          <w:sz w:val="20"/>
        </w:rPr>
      </w:pPr>
      <w:r w:rsidRPr="00947638">
        <w:rPr>
          <w:rFonts w:ascii="Arial" w:hAnsi="Arial" w:cs="Arial"/>
          <w:b w:val="0"/>
          <w:caps w:val="0"/>
          <w:sz w:val="20"/>
        </w:rPr>
        <w:t xml:space="preserve">Author(s) hereby declare that generative AI technologies such as Large Language Models, etc. have been used during the writing or editing of manuscripts. This explanation will include </w:t>
      </w:r>
      <w:r w:rsidRPr="00947638">
        <w:rPr>
          <w:rFonts w:ascii="Arial" w:hAnsi="Arial" w:cs="Arial"/>
          <w:b w:val="0"/>
          <w:caps w:val="0"/>
          <w:sz w:val="20"/>
        </w:rPr>
        <w:lastRenderedPageBreak/>
        <w:t>the name, version, model, and source of the generative AI technology and as well as all input prompts provided to the generative AI technology</w:t>
      </w:r>
    </w:p>
    <w:p w14:paraId="50827225" w14:textId="77777777" w:rsidR="00947638" w:rsidRPr="00947638" w:rsidRDefault="00947638" w:rsidP="00947638">
      <w:pPr>
        <w:pStyle w:val="ReferHead"/>
        <w:spacing w:after="0"/>
        <w:jc w:val="both"/>
        <w:rPr>
          <w:rFonts w:ascii="Arial" w:hAnsi="Arial" w:cs="Arial"/>
          <w:b w:val="0"/>
          <w:caps w:val="0"/>
          <w:sz w:val="20"/>
        </w:rPr>
      </w:pPr>
      <w:r w:rsidRPr="00947638">
        <w:rPr>
          <w:rFonts w:ascii="Arial" w:hAnsi="Arial" w:cs="Arial"/>
          <w:b w:val="0"/>
          <w:caps w:val="0"/>
          <w:sz w:val="20"/>
        </w:rPr>
        <w:t>Details of the AI usage are given below:</w:t>
      </w:r>
    </w:p>
    <w:p w14:paraId="6B98F029" w14:textId="05C8E81C"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Name and Version: CHAT GPT-5</w:t>
      </w:r>
    </w:p>
    <w:p w14:paraId="34B27404" w14:textId="77777777"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Artificial Intelligence has been utilized as an English Reviewer.</w:t>
      </w:r>
    </w:p>
    <w:p w14:paraId="7839199F" w14:textId="225BBEC6" w:rsidR="00947638" w:rsidRP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Prompt used: Act as an English Reviewer for a research paper in a respected university. Rephrase and synthesize the provided research article for publication, enhancing its structure in terms of grammar, spelling, and sentence construction. Ensure that the output follows the given example for topics and subtopics, while maintaining an academic tone and preserving all respondent quotations.</w:t>
      </w:r>
    </w:p>
    <w:p w14:paraId="6E2F9DEF" w14:textId="77777777" w:rsidR="00947638" w:rsidRDefault="00947638" w:rsidP="00441B6F">
      <w:pPr>
        <w:pStyle w:val="ReferHead"/>
        <w:spacing w:after="0"/>
        <w:jc w:val="both"/>
        <w:rPr>
          <w:rFonts w:ascii="Arial" w:hAnsi="Arial" w:cs="Arial"/>
        </w:rPr>
      </w:pPr>
    </w:p>
    <w:p w14:paraId="5E4292AA" w14:textId="5CC78B15" w:rsidR="00B01FCD" w:rsidRDefault="00B01FCD" w:rsidP="00441B6F">
      <w:pPr>
        <w:pStyle w:val="ReferHead"/>
        <w:spacing w:after="0"/>
        <w:jc w:val="both"/>
        <w:rPr>
          <w:rFonts w:ascii="Arial" w:hAnsi="Arial" w:cs="Arial"/>
        </w:rPr>
      </w:pPr>
      <w:r w:rsidRPr="00FB3A86">
        <w:rPr>
          <w:rFonts w:ascii="Arial" w:hAnsi="Arial" w:cs="Arial"/>
        </w:rPr>
        <w:t>References</w:t>
      </w:r>
    </w:p>
    <w:p w14:paraId="3B0178CC" w14:textId="77777777" w:rsidR="00790ADA" w:rsidRPr="00FB3A86" w:rsidRDefault="00790ADA" w:rsidP="00441B6F">
      <w:pPr>
        <w:pStyle w:val="ReferHead"/>
        <w:spacing w:after="0"/>
        <w:jc w:val="both"/>
        <w:rPr>
          <w:rFonts w:ascii="Arial" w:hAnsi="Arial" w:cs="Arial"/>
        </w:rPr>
      </w:pPr>
    </w:p>
    <w:p w14:paraId="161E4BB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Commission on Higher Education. (2013). </w:t>
      </w:r>
      <w:r w:rsidRPr="00591380">
        <w:rPr>
          <w:rFonts w:ascii="Arial" w:hAnsi="Arial" w:cs="Arial"/>
          <w:i/>
          <w:color w:val="000000"/>
          <w:kern w:val="2"/>
          <w:lang w:val="en-PH" w:eastAsia="en-PH"/>
        </w:rPr>
        <w:t>General education curriculum: Holistic understandings, intellectual, and civic competencies</w:t>
      </w:r>
      <w:r w:rsidRPr="00591380">
        <w:rPr>
          <w:rFonts w:ascii="Arial" w:hAnsi="Arial" w:cs="Arial"/>
          <w:color w:val="000000"/>
          <w:kern w:val="2"/>
          <w:lang w:val="en-PH" w:eastAsia="en-PH"/>
        </w:rPr>
        <w:t xml:space="preserve">. http://ched.gov.ph/wpcontent/uploads/2017/10/CMO-No.20-s2013.pdf  </w:t>
      </w:r>
    </w:p>
    <w:p w14:paraId="1E78CFE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Alic, A. K. B., &amp; Bual, J. M. (2021). Readings in Philippine history: Course review, best practices, and challenges among higher education institutions. </w:t>
      </w:r>
      <w:r w:rsidRPr="00591380">
        <w:rPr>
          <w:rFonts w:ascii="Arial" w:hAnsi="Arial" w:cs="Arial"/>
          <w:i/>
          <w:color w:val="000000"/>
          <w:kern w:val="2"/>
          <w:lang w:val="en-PH" w:eastAsia="en-PH"/>
        </w:rPr>
        <w:t>Philippine Social Science Journal, 4</w:t>
      </w:r>
      <w:r w:rsidRPr="00591380">
        <w:rPr>
          <w:rFonts w:ascii="Arial" w:hAnsi="Arial" w:cs="Arial"/>
          <w:color w:val="000000"/>
          <w:kern w:val="2"/>
          <w:lang w:val="en-PH" w:eastAsia="en-PH"/>
        </w:rPr>
        <w:t xml:space="preserve">(4), 91-103. https://doi.org/10.52006/main.v4i4.424  </w:t>
      </w:r>
    </w:p>
    <w:p w14:paraId="28CBCFCB"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Benedito, P. A., Rabago, J. K. M., Paguyo, C. G., Fernando, S. R. I., &amp; </w:t>
      </w:r>
      <w:proofErr w:type="spellStart"/>
      <w:r w:rsidRPr="00591380">
        <w:rPr>
          <w:rFonts w:ascii="Arial" w:hAnsi="Arial" w:cs="Arial"/>
          <w:color w:val="000000"/>
          <w:kern w:val="2"/>
          <w:lang w:val="en-PH" w:eastAsia="en-PH"/>
        </w:rPr>
        <w:t>Lasaten</w:t>
      </w:r>
      <w:proofErr w:type="spellEnd"/>
      <w:r w:rsidRPr="00591380">
        <w:rPr>
          <w:rFonts w:ascii="Arial" w:hAnsi="Arial" w:cs="Arial"/>
          <w:color w:val="000000"/>
          <w:kern w:val="2"/>
          <w:lang w:val="en-PH" w:eastAsia="en-PH"/>
        </w:rPr>
        <w:t xml:space="preserve">, R. C. S. (2023). Contextualized learning resource material (C-LRM) for the </w:t>
      </w:r>
      <w:proofErr w:type="spellStart"/>
      <w:r w:rsidRPr="00591380">
        <w:rPr>
          <w:rFonts w:ascii="Arial" w:hAnsi="Arial" w:cs="Arial"/>
          <w:color w:val="000000"/>
          <w:kern w:val="2"/>
          <w:lang w:val="en-PH" w:eastAsia="en-PH"/>
        </w:rPr>
        <w:t>Tingguians</w:t>
      </w:r>
      <w:proofErr w:type="spellEnd"/>
      <w:r w:rsidRPr="00591380">
        <w:rPr>
          <w:rFonts w:ascii="Arial" w:hAnsi="Arial" w:cs="Arial"/>
          <w:color w:val="000000"/>
          <w:kern w:val="2"/>
          <w:lang w:val="en-PH" w:eastAsia="en-PH"/>
        </w:rPr>
        <w:t xml:space="preserve"> of </w:t>
      </w:r>
      <w:proofErr w:type="spellStart"/>
      <w:r w:rsidRPr="00591380">
        <w:rPr>
          <w:rFonts w:ascii="Arial" w:hAnsi="Arial" w:cs="Arial"/>
          <w:color w:val="000000"/>
          <w:kern w:val="2"/>
          <w:lang w:val="en-PH" w:eastAsia="en-PH"/>
        </w:rPr>
        <w:t>Abra</w:t>
      </w:r>
      <w:proofErr w:type="spellEnd"/>
      <w:r w:rsidRPr="00591380">
        <w:rPr>
          <w:rFonts w:ascii="Arial" w:hAnsi="Arial" w:cs="Arial"/>
          <w:color w:val="000000"/>
          <w:kern w:val="2"/>
          <w:lang w:val="en-PH" w:eastAsia="en-PH"/>
        </w:rPr>
        <w:t xml:space="preserve">: Its indigenous knowledge, systems, and practices. </w:t>
      </w:r>
      <w:r w:rsidRPr="00591380">
        <w:rPr>
          <w:rFonts w:ascii="Arial" w:hAnsi="Arial" w:cs="Arial"/>
          <w:i/>
          <w:color w:val="000000"/>
          <w:kern w:val="2"/>
          <w:lang w:val="en-PH" w:eastAsia="en-PH"/>
        </w:rPr>
        <w:t xml:space="preserve">Asian Journal of Education </w:t>
      </w:r>
      <w:r w:rsidRPr="00591380">
        <w:rPr>
          <w:rFonts w:ascii="Arial" w:hAnsi="Arial" w:cs="Arial"/>
          <w:i/>
          <w:color w:val="000000"/>
          <w:kern w:val="2"/>
          <w:lang w:val="en-PH" w:eastAsia="en-PH"/>
        </w:rPr>
        <w:tab/>
        <w:t xml:space="preserve">and </w:t>
      </w:r>
      <w:r w:rsidRPr="00591380">
        <w:rPr>
          <w:rFonts w:ascii="Arial" w:hAnsi="Arial" w:cs="Arial"/>
          <w:i/>
          <w:color w:val="000000"/>
          <w:kern w:val="2"/>
          <w:lang w:val="en-PH" w:eastAsia="en-PH"/>
        </w:rPr>
        <w:tab/>
        <w:t xml:space="preserve">Social </w:t>
      </w:r>
      <w:r w:rsidRPr="00591380">
        <w:rPr>
          <w:rFonts w:ascii="Arial" w:hAnsi="Arial" w:cs="Arial"/>
          <w:i/>
          <w:color w:val="000000"/>
          <w:kern w:val="2"/>
          <w:lang w:val="en-PH" w:eastAsia="en-PH"/>
        </w:rPr>
        <w:tab/>
        <w:t>Studies, 43</w:t>
      </w:r>
      <w:r w:rsidRPr="00591380">
        <w:rPr>
          <w:rFonts w:ascii="Arial" w:hAnsi="Arial" w:cs="Arial"/>
          <w:color w:val="000000"/>
          <w:kern w:val="2"/>
          <w:lang w:val="en-PH" w:eastAsia="en-PH"/>
        </w:rPr>
        <w:t>(3), 12-46. https://doi.org/10.9734/AJESS/2023/v43i3941</w:t>
      </w:r>
    </w:p>
    <w:p w14:paraId="4310DBE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Dacuycuy, M. C. A., Rabago, J. K. M., Paguyo, C. G., Fernando, S. R. I., &amp; </w:t>
      </w:r>
      <w:proofErr w:type="spellStart"/>
      <w:r w:rsidRPr="00591380">
        <w:rPr>
          <w:rFonts w:ascii="Arial" w:hAnsi="Arial" w:cs="Arial"/>
          <w:color w:val="000000"/>
          <w:kern w:val="2"/>
          <w:lang w:val="en-PH" w:eastAsia="en-PH"/>
        </w:rPr>
        <w:t>Lasaten</w:t>
      </w:r>
      <w:proofErr w:type="spellEnd"/>
      <w:r w:rsidRPr="00591380">
        <w:rPr>
          <w:rFonts w:ascii="Arial" w:hAnsi="Arial" w:cs="Arial"/>
          <w:color w:val="000000"/>
          <w:kern w:val="2"/>
          <w:lang w:val="en-PH" w:eastAsia="en-PH"/>
        </w:rPr>
        <w:t xml:space="preserve">, R. C. S. (2023). Constructivist materials in teaching selected topics in the contemporary world course. </w:t>
      </w:r>
      <w:r w:rsidRPr="00591380">
        <w:rPr>
          <w:rFonts w:ascii="Arial" w:hAnsi="Arial" w:cs="Arial"/>
          <w:i/>
          <w:color w:val="000000"/>
          <w:kern w:val="2"/>
          <w:lang w:val="en-PH" w:eastAsia="en-PH"/>
        </w:rPr>
        <w:t>South Asian Journal of Social Studies and Economics, 18</w:t>
      </w:r>
      <w:r w:rsidRPr="00591380">
        <w:rPr>
          <w:rFonts w:ascii="Arial" w:hAnsi="Arial" w:cs="Arial"/>
          <w:color w:val="000000"/>
          <w:kern w:val="2"/>
          <w:lang w:val="en-PH" w:eastAsia="en-PH"/>
        </w:rPr>
        <w:t xml:space="preserve">(4), 21-40. http://doi.org/10.9734/SAJSSE/2023/v18i4663 </w:t>
      </w:r>
    </w:p>
    <w:p w14:paraId="43B18BB7"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Rogayan</w:t>
      </w:r>
      <w:proofErr w:type="spellEnd"/>
      <w:r w:rsidRPr="00591380">
        <w:rPr>
          <w:rFonts w:ascii="Arial" w:hAnsi="Arial" w:cs="Arial"/>
          <w:color w:val="000000"/>
          <w:kern w:val="2"/>
          <w:lang w:val="en-PH" w:eastAsia="en-PH"/>
        </w:rPr>
        <w:t xml:space="preserve">, D. V., &amp; </w:t>
      </w:r>
      <w:proofErr w:type="spellStart"/>
      <w:r w:rsidRPr="00591380">
        <w:rPr>
          <w:rFonts w:ascii="Arial" w:hAnsi="Arial" w:cs="Arial"/>
          <w:color w:val="000000"/>
          <w:kern w:val="2"/>
          <w:lang w:val="en-PH" w:eastAsia="en-PH"/>
        </w:rPr>
        <w:t>Dollete</w:t>
      </w:r>
      <w:proofErr w:type="spellEnd"/>
      <w:r w:rsidRPr="00591380">
        <w:rPr>
          <w:rFonts w:ascii="Arial" w:hAnsi="Arial" w:cs="Arial"/>
          <w:color w:val="000000"/>
          <w:kern w:val="2"/>
          <w:lang w:val="en-PH" w:eastAsia="en-PH"/>
        </w:rPr>
        <w:t xml:space="preserve">, L. F. (2019). Development and validation of physical science workbook for senior high school. </w:t>
      </w:r>
      <w:r w:rsidRPr="00591380">
        <w:rPr>
          <w:rFonts w:ascii="Arial" w:hAnsi="Arial" w:cs="Arial"/>
          <w:i/>
          <w:color w:val="000000"/>
          <w:kern w:val="2"/>
          <w:lang w:val="en-PH" w:eastAsia="en-PH"/>
        </w:rPr>
        <w:t>Science Education International, 30</w:t>
      </w:r>
      <w:r w:rsidRPr="00591380">
        <w:rPr>
          <w:rFonts w:ascii="Arial" w:hAnsi="Arial" w:cs="Arial"/>
          <w:color w:val="000000"/>
          <w:kern w:val="2"/>
          <w:lang w:val="en-PH" w:eastAsia="en-PH"/>
        </w:rPr>
        <w:t xml:space="preserve">(4), 284290. https://doi.org/10.33828/sei.v30.i4.5 </w:t>
      </w:r>
    </w:p>
    <w:p w14:paraId="1D58591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Maravilla, R. A., &amp; Aliazas, J. V. (2024). Contextualized activity tool for enhancing grade 7 science competencies. </w:t>
      </w:r>
      <w:r w:rsidRPr="00591380">
        <w:rPr>
          <w:rFonts w:ascii="Arial" w:hAnsi="Arial" w:cs="Arial"/>
          <w:i/>
          <w:color w:val="000000"/>
          <w:kern w:val="2"/>
          <w:lang w:val="en-PH" w:eastAsia="en-PH"/>
        </w:rPr>
        <w:t>International Journal for Science and Advance Research in Technology, 10</w:t>
      </w:r>
      <w:r w:rsidRPr="00591380">
        <w:rPr>
          <w:rFonts w:ascii="Arial" w:hAnsi="Arial" w:cs="Arial"/>
          <w:color w:val="000000"/>
          <w:kern w:val="2"/>
          <w:lang w:val="en-PH" w:eastAsia="en-PH"/>
        </w:rPr>
        <w:t xml:space="preserve">(2), 11-28. https://d1wqtxts1xzle7.cloudfront.net/111171086/IJSARTV10I276495_Articlelibre.pdf  </w:t>
      </w:r>
    </w:p>
    <w:p w14:paraId="50129A1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Shakourzadeh</w:t>
      </w:r>
      <w:proofErr w:type="spellEnd"/>
      <w:r w:rsidRPr="00591380">
        <w:rPr>
          <w:rFonts w:ascii="Arial" w:hAnsi="Arial" w:cs="Arial"/>
          <w:color w:val="000000"/>
          <w:kern w:val="2"/>
          <w:lang w:val="en-PH" w:eastAsia="en-PH"/>
        </w:rPr>
        <w:t xml:space="preserve">, L., &amp; Izadpanah, S. (2020). Textbook-assigned and self-selected topics of Iranian male EFL learners: Topic interest, topic familiarity, topic importance, and topic difficulty. </w:t>
      </w:r>
      <w:r w:rsidRPr="00591380">
        <w:rPr>
          <w:rFonts w:ascii="Arial" w:hAnsi="Arial" w:cs="Arial"/>
          <w:i/>
          <w:color w:val="000000"/>
          <w:kern w:val="2"/>
          <w:lang w:val="en-PH" w:eastAsia="en-PH"/>
        </w:rPr>
        <w:t>Asian-Pacific Journal of Second and Foreign Language, 5</w:t>
      </w:r>
      <w:r w:rsidRPr="00591380">
        <w:rPr>
          <w:rFonts w:ascii="Arial" w:hAnsi="Arial" w:cs="Arial"/>
          <w:color w:val="000000"/>
          <w:kern w:val="2"/>
          <w:lang w:val="en-PH" w:eastAsia="en-PH"/>
        </w:rPr>
        <w:t xml:space="preserve">(20), 1-23. https://doi.org/10.1186/s40862-020-00099-7 </w:t>
      </w:r>
    </w:p>
    <w:p w14:paraId="7063AB74"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Yuldasheva, G. (2024). Is there a “one-size-fits-all” syllabus in English language teaching? </w:t>
      </w:r>
      <w:r w:rsidRPr="00591380">
        <w:rPr>
          <w:rFonts w:ascii="Arial" w:hAnsi="Arial" w:cs="Arial"/>
          <w:i/>
          <w:color w:val="000000"/>
          <w:kern w:val="2"/>
          <w:lang w:val="en-PH" w:eastAsia="en-PH"/>
        </w:rPr>
        <w:t>International Conference on Adaptive Learning Technologies, 9</w:t>
      </w:r>
      <w:r w:rsidRPr="00591380">
        <w:rPr>
          <w:rFonts w:ascii="Arial" w:hAnsi="Arial" w:cs="Arial"/>
          <w:color w:val="000000"/>
          <w:kern w:val="2"/>
          <w:lang w:val="en-PH" w:eastAsia="en-PH"/>
        </w:rPr>
        <w:t xml:space="preserve">, 4-10. https://top-conferences.us/index.php/ICALT/article/view/647 </w:t>
      </w:r>
    </w:p>
    <w:p w14:paraId="234B995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lastRenderedPageBreak/>
        <w:t xml:space="preserve">Richmond, A. S., Morgan, R. K., Slattery, J. M., Mitchell, N. G., &amp; Cooper, A. G. (2019). Project syllabus: An exploratory study of learner-centered syllabi. </w:t>
      </w:r>
      <w:r w:rsidRPr="00591380">
        <w:rPr>
          <w:rFonts w:ascii="Arial" w:hAnsi="Arial" w:cs="Arial"/>
          <w:i/>
          <w:color w:val="000000"/>
          <w:kern w:val="2"/>
          <w:lang w:val="en-PH" w:eastAsia="en-PH"/>
        </w:rPr>
        <w:t>Teaching of Psychology, 46</w:t>
      </w:r>
      <w:r w:rsidRPr="00591380">
        <w:rPr>
          <w:rFonts w:ascii="Arial" w:hAnsi="Arial" w:cs="Arial"/>
          <w:color w:val="000000"/>
          <w:kern w:val="2"/>
          <w:lang w:val="en-PH" w:eastAsia="en-PH"/>
        </w:rPr>
        <w:t xml:space="preserve">(1), 6-15. https://doi.org/10.1177/00986283188161 </w:t>
      </w:r>
    </w:p>
    <w:p w14:paraId="0504A605" w14:textId="5DEA0BE6"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Rathburn, M. K. (2015). Building connections through contextualized learning in an undergraduate course on scientific and mathematical literacy. </w:t>
      </w:r>
      <w:r w:rsidRPr="00591380">
        <w:rPr>
          <w:rFonts w:ascii="Arial" w:hAnsi="Arial" w:cs="Arial"/>
          <w:i/>
          <w:color w:val="000000"/>
          <w:kern w:val="2"/>
          <w:lang w:val="en-PH" w:eastAsia="en-PH"/>
        </w:rPr>
        <w:t>International Journal for the Scholarship of Teaching and Learning, 9</w:t>
      </w:r>
      <w:r w:rsidRPr="00591380">
        <w:rPr>
          <w:rFonts w:ascii="Arial" w:hAnsi="Arial" w:cs="Arial"/>
          <w:color w:val="000000"/>
          <w:kern w:val="2"/>
          <w:lang w:val="en-PH" w:eastAsia="en-PH"/>
        </w:rPr>
        <w:t>(1), 1-18. https://doi.org/10.20429/ijsotl.2015.090111</w:t>
      </w:r>
    </w:p>
    <w:p w14:paraId="6F6262AF"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Czarnec</w:t>
      </w:r>
      <w:proofErr w:type="spellEnd"/>
      <w:r w:rsidRPr="00591380">
        <w:rPr>
          <w:rFonts w:ascii="Arial" w:hAnsi="Arial" w:cs="Arial"/>
          <w:color w:val="000000"/>
          <w:kern w:val="2"/>
          <w:lang w:val="en-PH" w:eastAsia="en-PH"/>
        </w:rPr>
        <w:t xml:space="preserve">, </w:t>
      </w:r>
      <w:r w:rsidRPr="00591380">
        <w:rPr>
          <w:rFonts w:ascii="Arial" w:hAnsi="Arial" w:cs="Arial"/>
          <w:color w:val="000000"/>
          <w:kern w:val="2"/>
          <w:lang w:val="en-PH" w:eastAsia="en-PH"/>
        </w:rPr>
        <w:tab/>
        <w:t xml:space="preserve">S., </w:t>
      </w:r>
      <w:r w:rsidRPr="00591380">
        <w:rPr>
          <w:rFonts w:ascii="Arial" w:hAnsi="Arial" w:cs="Arial"/>
          <w:color w:val="000000"/>
          <w:kern w:val="2"/>
          <w:lang w:val="en-PH" w:eastAsia="en-PH"/>
        </w:rPr>
        <w:tab/>
        <w:t xml:space="preserve">&amp; </w:t>
      </w:r>
      <w:r w:rsidRPr="00591380">
        <w:rPr>
          <w:rFonts w:ascii="Arial" w:hAnsi="Arial" w:cs="Arial"/>
          <w:color w:val="000000"/>
          <w:kern w:val="2"/>
          <w:lang w:val="en-PH" w:eastAsia="en-PH"/>
        </w:rPr>
        <w:tab/>
        <w:t xml:space="preserve">Hill, </w:t>
      </w:r>
      <w:r w:rsidRPr="00591380">
        <w:rPr>
          <w:rFonts w:ascii="Arial" w:hAnsi="Arial" w:cs="Arial"/>
          <w:color w:val="000000"/>
          <w:kern w:val="2"/>
          <w:lang w:val="en-PH" w:eastAsia="en-PH"/>
        </w:rPr>
        <w:tab/>
        <w:t xml:space="preserve">M. </w:t>
      </w:r>
      <w:r w:rsidRPr="00591380">
        <w:rPr>
          <w:rFonts w:ascii="Arial" w:hAnsi="Arial" w:cs="Arial"/>
          <w:color w:val="000000"/>
          <w:kern w:val="2"/>
          <w:lang w:val="en-PH" w:eastAsia="en-PH"/>
        </w:rPr>
        <w:tab/>
        <w:t xml:space="preserve">(2018). </w:t>
      </w:r>
      <w:r w:rsidRPr="00591380">
        <w:rPr>
          <w:rFonts w:ascii="Arial" w:hAnsi="Arial" w:cs="Arial"/>
          <w:color w:val="000000"/>
          <w:kern w:val="2"/>
          <w:lang w:val="en-PH" w:eastAsia="en-PH"/>
        </w:rPr>
        <w:tab/>
        <w:t xml:space="preserve">Schemata </w:t>
      </w:r>
      <w:r w:rsidRPr="00591380">
        <w:rPr>
          <w:rFonts w:ascii="Arial" w:hAnsi="Arial" w:cs="Arial"/>
          <w:color w:val="000000"/>
          <w:kern w:val="2"/>
          <w:lang w:val="en-PH" w:eastAsia="en-PH"/>
        </w:rPr>
        <w:tab/>
        <w:t xml:space="preserve">and </w:t>
      </w:r>
      <w:r w:rsidRPr="00591380">
        <w:rPr>
          <w:rFonts w:ascii="Arial" w:hAnsi="Arial" w:cs="Arial"/>
          <w:color w:val="000000"/>
          <w:kern w:val="2"/>
          <w:lang w:val="en-PH" w:eastAsia="en-PH"/>
        </w:rPr>
        <w:tab/>
        <w:t xml:space="preserve">instructional </w:t>
      </w:r>
      <w:r w:rsidRPr="00591380">
        <w:rPr>
          <w:rFonts w:ascii="Arial" w:hAnsi="Arial" w:cs="Arial"/>
          <w:color w:val="000000"/>
          <w:kern w:val="2"/>
          <w:lang w:val="en-PH" w:eastAsia="en-PH"/>
        </w:rPr>
        <w:tab/>
        <w:t xml:space="preserve">strategies. https://www.researchgate.net/publication/323487250_Schemata_and_Instruction </w:t>
      </w:r>
      <w:proofErr w:type="spellStart"/>
      <w:r w:rsidRPr="00591380">
        <w:rPr>
          <w:rFonts w:ascii="Arial" w:hAnsi="Arial" w:cs="Arial"/>
          <w:color w:val="000000"/>
          <w:kern w:val="2"/>
          <w:lang w:val="en-PH" w:eastAsia="en-PH"/>
        </w:rPr>
        <w:t>al_Running_head_SCHEMATA_Schemata_and_Instructional_Strategies</w:t>
      </w:r>
      <w:proofErr w:type="spellEnd"/>
    </w:p>
    <w:p w14:paraId="2C8487A2"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Nataño</w:t>
      </w:r>
      <w:proofErr w:type="spellEnd"/>
      <w:r w:rsidRPr="00591380">
        <w:rPr>
          <w:rFonts w:ascii="Arial" w:hAnsi="Arial" w:cs="Arial"/>
          <w:color w:val="000000"/>
          <w:kern w:val="2"/>
          <w:lang w:val="en-PH" w:eastAsia="en-PH"/>
        </w:rPr>
        <w:t xml:space="preserve">, N. M. (2023). Perspectives on curriculum contextualization and localization as integral to promoting indigenous knowledge. </w:t>
      </w:r>
      <w:r w:rsidRPr="00591380">
        <w:rPr>
          <w:rFonts w:ascii="Arial" w:hAnsi="Arial" w:cs="Arial"/>
          <w:i/>
          <w:color w:val="000000"/>
          <w:kern w:val="2"/>
          <w:lang w:val="en-PH" w:eastAsia="en-PH"/>
        </w:rPr>
        <w:t>International Journal of Academic and Practical Research, 2</w:t>
      </w:r>
      <w:r w:rsidRPr="00591380">
        <w:rPr>
          <w:rFonts w:ascii="Arial" w:hAnsi="Arial" w:cs="Arial"/>
          <w:color w:val="000000"/>
          <w:kern w:val="2"/>
          <w:lang w:val="en-PH" w:eastAsia="en-PH"/>
        </w:rPr>
        <w:t xml:space="preserve">(3), 67-76. https://doi.org/10.5281/zenodo.8031639 </w:t>
      </w:r>
    </w:p>
    <w:p w14:paraId="2195D5A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Carleton College. (2017, October 9). </w:t>
      </w:r>
      <w:r w:rsidRPr="00591380">
        <w:rPr>
          <w:rFonts w:ascii="Arial" w:hAnsi="Arial" w:cs="Arial"/>
          <w:i/>
          <w:color w:val="000000"/>
          <w:kern w:val="2"/>
          <w:lang w:val="en-PH" w:eastAsia="en-PH"/>
        </w:rPr>
        <w:t>Teach with local examples and data: Connecting nearby examples to global challenges</w:t>
      </w:r>
      <w:r w:rsidRPr="00591380">
        <w:rPr>
          <w:rFonts w:ascii="Arial" w:hAnsi="Arial" w:cs="Arial"/>
          <w:color w:val="000000"/>
          <w:kern w:val="2"/>
          <w:lang w:val="en-PH" w:eastAsia="en-PH"/>
        </w:rPr>
        <w:t xml:space="preserve">. https://serc.carleton.edu/190056 </w:t>
      </w:r>
    </w:p>
    <w:p w14:paraId="373089F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Philippine Official Gazette. (n.d.). </w:t>
      </w:r>
      <w:r w:rsidRPr="00591380">
        <w:rPr>
          <w:rFonts w:ascii="Arial" w:hAnsi="Arial" w:cs="Arial"/>
          <w:i/>
          <w:color w:val="000000"/>
          <w:kern w:val="2"/>
          <w:lang w:val="en-PH" w:eastAsia="en-PH"/>
        </w:rPr>
        <w:t>The Constitution of the Republic of the Philippines.</w:t>
      </w:r>
      <w:r w:rsidRPr="00591380">
        <w:rPr>
          <w:rFonts w:ascii="Arial" w:hAnsi="Arial" w:cs="Arial"/>
          <w:color w:val="000000"/>
          <w:kern w:val="2"/>
          <w:lang w:val="en-PH" w:eastAsia="en-PH"/>
        </w:rPr>
        <w:t xml:space="preserve"> https://www.officialgazette.gov.ph/constitutions/1987-constitution/ </w:t>
      </w:r>
    </w:p>
    <w:p w14:paraId="20AAA78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Jalotjot</w:t>
      </w:r>
      <w:proofErr w:type="spellEnd"/>
      <w:r w:rsidRPr="00591380">
        <w:rPr>
          <w:rFonts w:ascii="Arial" w:hAnsi="Arial" w:cs="Arial"/>
          <w:color w:val="000000"/>
          <w:kern w:val="2"/>
          <w:lang w:val="en-PH" w:eastAsia="en-PH"/>
        </w:rPr>
        <w:t xml:space="preserve">, L., &amp; Fidelino, R. (2023). Contextualized and localized modules in </w:t>
      </w:r>
      <w:proofErr w:type="spellStart"/>
      <w:r w:rsidRPr="00591380">
        <w:rPr>
          <w:rFonts w:ascii="Arial" w:hAnsi="Arial" w:cs="Arial"/>
          <w:color w:val="000000"/>
          <w:kern w:val="2"/>
          <w:lang w:val="en-PH" w:eastAsia="en-PH"/>
        </w:rPr>
        <w:t>araling</w:t>
      </w:r>
      <w:proofErr w:type="spellEnd"/>
      <w:r w:rsidRPr="00591380">
        <w:rPr>
          <w:rFonts w:ascii="Arial" w:hAnsi="Arial" w:cs="Arial"/>
          <w:color w:val="000000"/>
          <w:kern w:val="2"/>
          <w:lang w:val="en-PH" w:eastAsia="en-PH"/>
        </w:rPr>
        <w:t xml:space="preserve"> </w:t>
      </w:r>
      <w:proofErr w:type="spellStart"/>
      <w:r w:rsidRPr="00591380">
        <w:rPr>
          <w:rFonts w:ascii="Arial" w:hAnsi="Arial" w:cs="Arial"/>
          <w:color w:val="000000"/>
          <w:kern w:val="2"/>
          <w:lang w:val="en-PH" w:eastAsia="en-PH"/>
        </w:rPr>
        <w:t>panlipunan</w:t>
      </w:r>
      <w:proofErr w:type="spellEnd"/>
      <w:r w:rsidRPr="00591380">
        <w:rPr>
          <w:rFonts w:ascii="Arial" w:hAnsi="Arial" w:cs="Arial"/>
          <w:color w:val="000000"/>
          <w:kern w:val="2"/>
          <w:lang w:val="en-PH" w:eastAsia="en-PH"/>
        </w:rPr>
        <w:t xml:space="preserve"> 9 for secondary schools in the division of Marinduque: A validation. </w:t>
      </w:r>
      <w:r w:rsidRPr="00591380">
        <w:rPr>
          <w:rFonts w:ascii="Arial" w:hAnsi="Arial" w:cs="Arial"/>
          <w:i/>
          <w:color w:val="000000"/>
          <w:kern w:val="2"/>
          <w:lang w:val="en-PH" w:eastAsia="en-PH"/>
        </w:rPr>
        <w:t>Psychology and Education: A Multidisciplinary Journal</w:t>
      </w:r>
      <w:r w:rsidRPr="00591380">
        <w:rPr>
          <w:rFonts w:ascii="Arial" w:hAnsi="Arial" w:cs="Arial"/>
          <w:color w:val="000000"/>
          <w:kern w:val="2"/>
          <w:lang w:val="en-PH" w:eastAsia="en-PH"/>
        </w:rPr>
        <w:t xml:space="preserve">, </w:t>
      </w:r>
      <w:r w:rsidRPr="00591380">
        <w:rPr>
          <w:rFonts w:ascii="Arial" w:hAnsi="Arial" w:cs="Arial"/>
          <w:i/>
          <w:color w:val="000000"/>
          <w:kern w:val="2"/>
          <w:lang w:val="en-PH" w:eastAsia="en-PH"/>
        </w:rPr>
        <w:t>11</w:t>
      </w:r>
      <w:r w:rsidRPr="00591380">
        <w:rPr>
          <w:rFonts w:ascii="Arial" w:hAnsi="Arial" w:cs="Arial"/>
          <w:color w:val="000000"/>
          <w:kern w:val="2"/>
          <w:lang w:val="en-PH" w:eastAsia="en-PH"/>
        </w:rPr>
        <w:t xml:space="preserve">(10), 9961017. doi:10.5281/zenodo.8229460 </w:t>
      </w:r>
    </w:p>
    <w:p w14:paraId="1978A49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Bendijo</w:t>
      </w:r>
      <w:proofErr w:type="spellEnd"/>
      <w:r w:rsidRPr="00591380">
        <w:rPr>
          <w:rFonts w:ascii="Arial" w:hAnsi="Arial" w:cs="Arial"/>
          <w:color w:val="000000"/>
          <w:kern w:val="2"/>
          <w:lang w:val="en-PH" w:eastAsia="en-PH"/>
        </w:rPr>
        <w:t xml:space="preserve">, H. C., </w:t>
      </w:r>
      <w:proofErr w:type="spellStart"/>
      <w:r w:rsidRPr="00591380">
        <w:rPr>
          <w:rFonts w:ascii="Arial" w:hAnsi="Arial" w:cs="Arial"/>
          <w:color w:val="000000"/>
          <w:kern w:val="2"/>
          <w:lang w:val="en-PH" w:eastAsia="en-PH"/>
        </w:rPr>
        <w:t>Despojo</w:t>
      </w:r>
      <w:proofErr w:type="spellEnd"/>
      <w:r w:rsidRPr="00591380">
        <w:rPr>
          <w:rFonts w:ascii="Arial" w:hAnsi="Arial" w:cs="Arial"/>
          <w:color w:val="000000"/>
          <w:kern w:val="2"/>
          <w:lang w:val="en-PH" w:eastAsia="en-PH"/>
        </w:rPr>
        <w:t xml:space="preserve">, A. G., Calumpang, E. N., </w:t>
      </w:r>
      <w:proofErr w:type="spellStart"/>
      <w:r w:rsidRPr="00591380">
        <w:rPr>
          <w:rFonts w:ascii="Arial" w:hAnsi="Arial" w:cs="Arial"/>
          <w:color w:val="000000"/>
          <w:kern w:val="2"/>
          <w:lang w:val="en-PH" w:eastAsia="en-PH"/>
        </w:rPr>
        <w:t>Futalan</w:t>
      </w:r>
      <w:proofErr w:type="spellEnd"/>
      <w:r w:rsidRPr="00591380">
        <w:rPr>
          <w:rFonts w:ascii="Arial" w:hAnsi="Arial" w:cs="Arial"/>
          <w:color w:val="000000"/>
          <w:kern w:val="2"/>
          <w:lang w:val="en-PH" w:eastAsia="en-PH"/>
        </w:rPr>
        <w:t xml:space="preserve">, M. C. Z., </w:t>
      </w:r>
      <w:proofErr w:type="spellStart"/>
      <w:r w:rsidRPr="00591380">
        <w:rPr>
          <w:rFonts w:ascii="Arial" w:hAnsi="Arial" w:cs="Arial"/>
          <w:color w:val="000000"/>
          <w:kern w:val="2"/>
          <w:lang w:val="en-PH" w:eastAsia="en-PH"/>
        </w:rPr>
        <w:t>Calisang</w:t>
      </w:r>
      <w:proofErr w:type="spellEnd"/>
      <w:r w:rsidRPr="00591380">
        <w:rPr>
          <w:rFonts w:ascii="Arial" w:hAnsi="Arial" w:cs="Arial"/>
          <w:color w:val="000000"/>
          <w:kern w:val="2"/>
          <w:lang w:val="en-PH" w:eastAsia="en-PH"/>
        </w:rPr>
        <w:t xml:space="preserve">, C. P., &amp; </w:t>
      </w:r>
      <w:proofErr w:type="spellStart"/>
      <w:r w:rsidRPr="00591380">
        <w:rPr>
          <w:rFonts w:ascii="Arial" w:hAnsi="Arial" w:cs="Arial"/>
          <w:color w:val="000000"/>
          <w:kern w:val="2"/>
          <w:lang w:val="en-PH" w:eastAsia="en-PH"/>
        </w:rPr>
        <w:t>Tundang</w:t>
      </w:r>
      <w:proofErr w:type="spellEnd"/>
      <w:r w:rsidRPr="00591380">
        <w:rPr>
          <w:rFonts w:ascii="Arial" w:hAnsi="Arial" w:cs="Arial"/>
          <w:color w:val="000000"/>
          <w:kern w:val="2"/>
          <w:lang w:val="en-PH" w:eastAsia="en-PH"/>
        </w:rPr>
        <w:t xml:space="preserve">, S. A. (2022). Effectiveness of contextualization and localization in teaching. </w:t>
      </w:r>
      <w:r w:rsidRPr="00591380">
        <w:rPr>
          <w:rFonts w:ascii="Arial" w:hAnsi="Arial" w:cs="Arial"/>
          <w:i/>
          <w:color w:val="000000"/>
          <w:kern w:val="2"/>
          <w:lang w:val="en-PH" w:eastAsia="en-PH"/>
        </w:rPr>
        <w:t>UBT International Conference</w:t>
      </w:r>
      <w:r w:rsidRPr="00591380">
        <w:rPr>
          <w:rFonts w:ascii="Arial" w:hAnsi="Arial" w:cs="Arial"/>
          <w:color w:val="000000"/>
          <w:kern w:val="2"/>
          <w:lang w:val="en-PH" w:eastAsia="en-PH"/>
        </w:rPr>
        <w:t xml:space="preserve"> (p. 306). http://doi.org/10.33107/ubtic.2022.297 </w:t>
      </w:r>
    </w:p>
    <w:p w14:paraId="577E917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Montemayor, M. T. (2018). </w:t>
      </w:r>
      <w:r w:rsidRPr="00591380">
        <w:rPr>
          <w:rFonts w:ascii="Arial" w:hAnsi="Arial" w:cs="Arial"/>
          <w:i/>
          <w:color w:val="000000"/>
          <w:kern w:val="2"/>
          <w:lang w:val="en-PH" w:eastAsia="en-PH"/>
        </w:rPr>
        <w:t>Culture-based education is key to equality: Global teacher prize finalist</w:t>
      </w:r>
      <w:r w:rsidRPr="00591380">
        <w:rPr>
          <w:rFonts w:ascii="Arial" w:hAnsi="Arial" w:cs="Arial"/>
          <w:color w:val="000000"/>
          <w:kern w:val="2"/>
          <w:lang w:val="en-PH" w:eastAsia="en-PH"/>
        </w:rPr>
        <w:t xml:space="preserve">. Philippine News Agency. https://www.pna.gov.ph/articles/1028940. </w:t>
      </w:r>
    </w:p>
    <w:p w14:paraId="127E5C7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Olumorin, C. O., Yusuf, A., Ajidagba, U. A., &amp; </w:t>
      </w:r>
      <w:proofErr w:type="spellStart"/>
      <w:r w:rsidRPr="00591380">
        <w:rPr>
          <w:rFonts w:ascii="Arial" w:hAnsi="Arial" w:cs="Arial"/>
          <w:color w:val="000000"/>
          <w:kern w:val="2"/>
          <w:lang w:val="en-PH" w:eastAsia="en-PH"/>
        </w:rPr>
        <w:t>Jekayinfa</w:t>
      </w:r>
      <w:proofErr w:type="spellEnd"/>
      <w:r w:rsidRPr="00591380">
        <w:rPr>
          <w:rFonts w:ascii="Arial" w:hAnsi="Arial" w:cs="Arial"/>
          <w:color w:val="000000"/>
          <w:kern w:val="2"/>
          <w:lang w:val="en-PH" w:eastAsia="en-PH"/>
        </w:rPr>
        <w:t xml:space="preserve">, A. A. (2010). Development of instructional materials from local resources for art-based courses. </w:t>
      </w:r>
      <w:r w:rsidRPr="00591380">
        <w:rPr>
          <w:rFonts w:ascii="Arial" w:hAnsi="Arial" w:cs="Arial"/>
          <w:i/>
          <w:color w:val="000000"/>
          <w:kern w:val="2"/>
          <w:lang w:val="en-PH" w:eastAsia="en-PH"/>
        </w:rPr>
        <w:t>Asian Journal of Information Technology, 9</w:t>
      </w:r>
      <w:r w:rsidRPr="00591380">
        <w:rPr>
          <w:rFonts w:ascii="Arial" w:hAnsi="Arial" w:cs="Arial"/>
          <w:color w:val="000000"/>
          <w:kern w:val="2"/>
          <w:lang w:val="en-PH" w:eastAsia="en-PH"/>
        </w:rPr>
        <w:t xml:space="preserve">(2), 107-110. https://doi.org.10.3923/ajit.2010.107.110  </w:t>
      </w:r>
    </w:p>
    <w:p w14:paraId="3098DB2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Aguinaldo Jr., C., &amp; Domingo, A. (2021). Design, development, and implementation of contextualized learning materials in grade 7 mathematics. </w:t>
      </w:r>
      <w:r w:rsidRPr="00591380">
        <w:rPr>
          <w:rFonts w:ascii="Arial" w:hAnsi="Arial" w:cs="Arial"/>
          <w:i/>
          <w:color w:val="000000"/>
          <w:kern w:val="2"/>
          <w:lang w:val="en-PH" w:eastAsia="en-PH"/>
        </w:rPr>
        <w:t>Academia Letters</w:t>
      </w:r>
      <w:r w:rsidRPr="00591380">
        <w:rPr>
          <w:rFonts w:ascii="Arial" w:hAnsi="Arial" w:cs="Arial"/>
          <w:color w:val="000000"/>
          <w:kern w:val="2"/>
          <w:lang w:val="en-PH" w:eastAsia="en-PH"/>
        </w:rPr>
        <w:t xml:space="preserve">, Article 1468. https://doi.org/10.20935/AL1468 </w:t>
      </w:r>
    </w:p>
    <w:p w14:paraId="1258EC2A"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Lewis, B. (2018, July 10). TLM or teaching learning materials definition. </w:t>
      </w:r>
      <w:r w:rsidRPr="00591380">
        <w:rPr>
          <w:rFonts w:ascii="Arial" w:hAnsi="Arial" w:cs="Arial"/>
          <w:i/>
          <w:color w:val="000000"/>
          <w:kern w:val="2"/>
          <w:lang w:val="en-PH" w:eastAsia="en-PH"/>
        </w:rPr>
        <w:t>ThoughtCo.</w:t>
      </w:r>
      <w:r w:rsidRPr="00591380">
        <w:rPr>
          <w:rFonts w:ascii="Arial" w:hAnsi="Arial" w:cs="Arial"/>
          <w:color w:val="000000"/>
          <w:kern w:val="2"/>
          <w:lang w:val="en-PH" w:eastAsia="en-PH"/>
        </w:rPr>
        <w:t xml:space="preserve"> https://www.thoughtco.com/tlm-teaching-learning-materials-2081658  </w:t>
      </w:r>
    </w:p>
    <w:p w14:paraId="249F5B7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Şendurur</w:t>
      </w:r>
      <w:proofErr w:type="spellEnd"/>
      <w:r w:rsidRPr="00591380">
        <w:rPr>
          <w:rFonts w:ascii="Arial" w:hAnsi="Arial" w:cs="Arial"/>
          <w:color w:val="000000"/>
          <w:kern w:val="2"/>
          <w:lang w:val="en-PH" w:eastAsia="en-PH"/>
        </w:rPr>
        <w:t xml:space="preserve">, E., Ersoy, E., &amp; Çetin, I. (2016). The design and development of creative instructional materials: The role of domain familiarity for creative solutions. </w:t>
      </w:r>
      <w:r w:rsidRPr="00591380">
        <w:rPr>
          <w:rFonts w:ascii="Arial" w:hAnsi="Arial" w:cs="Arial"/>
          <w:i/>
          <w:color w:val="000000"/>
          <w:kern w:val="2"/>
          <w:lang w:val="en-PH" w:eastAsia="en-PH"/>
        </w:rPr>
        <w:t>International Journal of Technology and Design Education, 28</w:t>
      </w:r>
      <w:r w:rsidRPr="00591380">
        <w:rPr>
          <w:rFonts w:ascii="Arial" w:hAnsi="Arial" w:cs="Arial"/>
          <w:color w:val="000000"/>
          <w:kern w:val="2"/>
          <w:lang w:val="en-PH" w:eastAsia="en-PH"/>
        </w:rPr>
        <w:t xml:space="preserve">(2), 507-522. https://eric.ed.gov/?id=EJ1179485  </w:t>
      </w:r>
    </w:p>
    <w:p w14:paraId="31473B1F" w14:textId="77777777" w:rsidR="00591380"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lastRenderedPageBreak/>
        <w:t xml:space="preserve">Kaizer, A. N., &amp; Okoli, B. E. (2021). Availability and adequacy of instructional materials for teaching office skills in business studies at the secondary school level in Delta State, Nigeria. </w:t>
      </w:r>
      <w:r w:rsidRPr="00591380">
        <w:rPr>
          <w:rFonts w:ascii="Arial" w:hAnsi="Arial" w:cs="Arial"/>
          <w:i/>
          <w:color w:val="000000"/>
          <w:kern w:val="2"/>
          <w:lang w:val="en-PH" w:eastAsia="en-PH"/>
        </w:rPr>
        <w:t>Nigerian Journal of Business Education, 8</w:t>
      </w:r>
      <w:r w:rsidRPr="00591380">
        <w:rPr>
          <w:rFonts w:ascii="Arial" w:hAnsi="Arial" w:cs="Arial"/>
          <w:color w:val="000000"/>
          <w:kern w:val="2"/>
          <w:lang w:val="en-PH" w:eastAsia="en-PH"/>
        </w:rPr>
        <w:t xml:space="preserve">(2), 116-125. https://www.nigjbed.com.ng/index.php/nigjbed/article/view/516  </w:t>
      </w:r>
    </w:p>
    <w:p w14:paraId="41DF4EF1"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Sukma, M., &amp; Ibrahim, M. (2016). Developing materials for active learning of guided inquiry-integrated bowling campus on the topic of sense of hearing and sonar system of living organisms. </w:t>
      </w:r>
      <w:proofErr w:type="spellStart"/>
      <w:r w:rsidRPr="00591380">
        <w:rPr>
          <w:rFonts w:ascii="Arial" w:hAnsi="Arial" w:cs="Arial"/>
          <w:i/>
          <w:color w:val="000000"/>
          <w:kern w:val="2"/>
          <w:lang w:val="en-PH" w:eastAsia="en-PH"/>
        </w:rPr>
        <w:t>Jurnal</w:t>
      </w:r>
      <w:proofErr w:type="spellEnd"/>
      <w:r w:rsidRPr="00591380">
        <w:rPr>
          <w:rFonts w:ascii="Arial" w:hAnsi="Arial" w:cs="Arial"/>
          <w:i/>
          <w:color w:val="000000"/>
          <w:kern w:val="2"/>
          <w:lang w:val="en-PH" w:eastAsia="en-PH"/>
        </w:rPr>
        <w:t xml:space="preserve"> Pendidikan IPA Indonesia, 5</w:t>
      </w:r>
      <w:r w:rsidRPr="00591380">
        <w:rPr>
          <w:rFonts w:ascii="Arial" w:hAnsi="Arial" w:cs="Arial"/>
          <w:color w:val="000000"/>
          <w:kern w:val="2"/>
          <w:lang w:val="en-PH" w:eastAsia="en-PH"/>
        </w:rPr>
        <w:t xml:space="preserve">(2), 256-260. https://doi.org/10.15294/jpii.v5i2.5981 </w:t>
      </w:r>
    </w:p>
    <w:p w14:paraId="44C8AF3F"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Pamelasari</w:t>
      </w:r>
      <w:proofErr w:type="spellEnd"/>
      <w:r w:rsidRPr="00591380">
        <w:rPr>
          <w:rFonts w:ascii="Arial" w:hAnsi="Arial" w:cs="Arial"/>
          <w:color w:val="000000"/>
          <w:kern w:val="2"/>
          <w:lang w:val="en-PH" w:eastAsia="en-PH"/>
        </w:rPr>
        <w:t xml:space="preserve">, S., Yunus, M., </w:t>
      </w:r>
      <w:proofErr w:type="spellStart"/>
      <w:r w:rsidRPr="00591380">
        <w:rPr>
          <w:rFonts w:ascii="Arial" w:hAnsi="Arial" w:cs="Arial"/>
          <w:color w:val="000000"/>
          <w:kern w:val="2"/>
          <w:lang w:val="en-PH" w:eastAsia="en-PH"/>
        </w:rPr>
        <w:t>Fibriana</w:t>
      </w:r>
      <w:proofErr w:type="spellEnd"/>
      <w:r w:rsidRPr="00591380">
        <w:rPr>
          <w:rFonts w:ascii="Arial" w:hAnsi="Arial" w:cs="Arial"/>
          <w:color w:val="000000"/>
          <w:kern w:val="2"/>
          <w:lang w:val="en-PH" w:eastAsia="en-PH"/>
        </w:rPr>
        <w:t xml:space="preserve">, F., Vita, A., &amp; Andin. (2018). Developing workbook science plus English to improve students’ mastery of science content in English. </w:t>
      </w:r>
      <w:r w:rsidRPr="00591380">
        <w:rPr>
          <w:rFonts w:ascii="Arial" w:hAnsi="Arial" w:cs="Arial"/>
          <w:i/>
          <w:color w:val="000000"/>
          <w:kern w:val="2"/>
          <w:lang w:val="en-PH" w:eastAsia="en-PH"/>
        </w:rPr>
        <w:t>International Journal of Engineering &amp; Technology, 7</w:t>
      </w:r>
      <w:r w:rsidRPr="00591380">
        <w:rPr>
          <w:rFonts w:ascii="Arial" w:hAnsi="Arial" w:cs="Arial"/>
          <w:color w:val="000000"/>
          <w:kern w:val="2"/>
          <w:lang w:val="en-PH" w:eastAsia="en-PH"/>
        </w:rPr>
        <w:t xml:space="preserve">(2), 570-573. </w:t>
      </w:r>
      <w:hyperlink r:id="rId14">
        <w:r w:rsidRPr="00591380">
          <w:rPr>
            <w:rFonts w:ascii="Arial" w:hAnsi="Arial" w:cs="Arial"/>
            <w:color w:val="000000"/>
            <w:kern w:val="2"/>
            <w:lang w:val="en-PH" w:eastAsia="en-PH"/>
          </w:rPr>
          <w:t>https://doi.org/10.14419/ijet.v7i2.29.13820</w:t>
        </w:r>
      </w:hyperlink>
      <w:hyperlink r:id="rId15">
        <w:r w:rsidRPr="00591380">
          <w:rPr>
            <w:rFonts w:ascii="Arial" w:hAnsi="Arial" w:cs="Arial"/>
            <w:color w:val="000000"/>
            <w:kern w:val="2"/>
            <w:lang w:val="en-PH" w:eastAsia="en-PH"/>
          </w:rPr>
          <w:t xml:space="preserve"> </w:t>
        </w:r>
      </w:hyperlink>
    </w:p>
    <w:p w14:paraId="2709E866"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Flores, C. D. (2008). </w:t>
      </w:r>
      <w:r w:rsidRPr="00591380">
        <w:rPr>
          <w:rFonts w:ascii="Arial" w:hAnsi="Arial" w:cs="Arial"/>
          <w:i/>
          <w:color w:val="000000"/>
          <w:kern w:val="2"/>
          <w:lang w:val="en-PH" w:eastAsia="en-PH"/>
        </w:rPr>
        <w:t>Teaching styles of social studies teachers of Tarlac National High School and their students’ learning styles</w:t>
      </w:r>
      <w:r w:rsidRPr="00591380">
        <w:rPr>
          <w:rFonts w:ascii="Arial" w:hAnsi="Arial" w:cs="Arial"/>
          <w:color w:val="000000"/>
          <w:kern w:val="2"/>
          <w:lang w:val="en-PH" w:eastAsia="en-PH"/>
        </w:rPr>
        <w:t xml:space="preserve"> [Master’s thesis, Tarlac State University]. Tarlac State University. </w:t>
      </w:r>
    </w:p>
    <w:p w14:paraId="05E95ABE"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Jimenez, E. C. (2020). Contextualized e-learning resource: A tool for stronger academic platform. </w:t>
      </w:r>
      <w:r w:rsidRPr="00591380">
        <w:rPr>
          <w:rFonts w:ascii="Arial" w:hAnsi="Arial" w:cs="Arial"/>
          <w:i/>
          <w:color w:val="000000"/>
          <w:kern w:val="2"/>
          <w:lang w:val="en-PH" w:eastAsia="en-PH"/>
        </w:rPr>
        <w:t>International Journal of Case Studies in Business, IT, and Education, 4</w:t>
      </w:r>
      <w:r w:rsidRPr="00591380">
        <w:rPr>
          <w:rFonts w:ascii="Arial" w:hAnsi="Arial" w:cs="Arial"/>
          <w:color w:val="000000"/>
          <w:kern w:val="2"/>
          <w:lang w:val="en-PH" w:eastAsia="en-PH"/>
        </w:rPr>
        <w:t xml:space="preserve">(2), 110-116. http://doi.org/10.5281/zenodo.4018344 </w:t>
      </w:r>
    </w:p>
    <w:p w14:paraId="48136200"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Baker, E. D., Hope, L., &amp; Karandjeff, K. (2009). </w:t>
      </w:r>
      <w:r w:rsidRPr="00591380">
        <w:rPr>
          <w:rFonts w:ascii="Arial" w:hAnsi="Arial" w:cs="Arial"/>
          <w:i/>
          <w:color w:val="000000"/>
          <w:kern w:val="2"/>
          <w:lang w:val="en-PH" w:eastAsia="en-PH"/>
        </w:rPr>
        <w:t>Contextualized teaching &amp; learning: A promising approach for basic skills instruction</w:t>
      </w:r>
      <w:r w:rsidRPr="00591380">
        <w:rPr>
          <w:rFonts w:ascii="Arial" w:hAnsi="Arial" w:cs="Arial"/>
          <w:color w:val="000000"/>
          <w:kern w:val="2"/>
          <w:lang w:val="en-PH" w:eastAsia="en-PH"/>
        </w:rPr>
        <w:t xml:space="preserve">. Research and Planning Group for California Community Colleges (RP Group). </w:t>
      </w:r>
    </w:p>
    <w:p w14:paraId="7DF6EC4A" w14:textId="7AEA254E" w:rsidR="00441B6F"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Sanchez, G. G. (2022). Development, validation, and effectiveness of a module for the course teaching social studies in the intermediate grades. </w:t>
      </w:r>
      <w:r w:rsidRPr="00591380">
        <w:rPr>
          <w:rFonts w:ascii="Arial" w:hAnsi="Arial" w:cs="Arial"/>
          <w:i/>
          <w:color w:val="000000"/>
          <w:kern w:val="2"/>
          <w:lang w:val="en-PH" w:eastAsia="en-PH"/>
        </w:rPr>
        <w:t>E-DAWA, 2</w:t>
      </w:r>
      <w:r w:rsidRPr="00591380">
        <w:rPr>
          <w:rFonts w:ascii="Arial" w:hAnsi="Arial" w:cs="Arial"/>
          <w:color w:val="000000"/>
          <w:kern w:val="2"/>
          <w:lang w:val="en-PH" w:eastAsia="en-PH"/>
        </w:rPr>
        <w:t xml:space="preserve">(1), 86-102. https://doi.org/10.56901/VRCI5821 </w:t>
      </w:r>
    </w:p>
    <w:p w14:paraId="1936E688" w14:textId="77777777" w:rsidR="00F02997" w:rsidRPr="00F02997" w:rsidRDefault="00F02997" w:rsidP="00F02997">
      <w:pPr>
        <w:pStyle w:val="Body"/>
        <w:spacing w:after="0"/>
        <w:rPr>
          <w:rFonts w:ascii="Arial" w:hAnsi="Arial" w:cs="Arial"/>
          <w:bCs/>
        </w:rPr>
      </w:pPr>
    </w:p>
    <w:p w14:paraId="41F668ED" w14:textId="40737490" w:rsidR="004D4277" w:rsidRPr="00FB3A86" w:rsidRDefault="004D4277" w:rsidP="00441B6F">
      <w:pPr>
        <w:pStyle w:val="Appendix"/>
        <w:spacing w:after="0"/>
        <w:jc w:val="both"/>
        <w:rPr>
          <w:rFonts w:ascii="Arial" w:hAnsi="Arial" w:cs="Arial"/>
          <w:b w:val="0"/>
        </w:rPr>
        <w:sectPr w:rsidR="004D4277" w:rsidRPr="00FB3A86" w:rsidSect="00D5534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524360C" w14:textId="77777777" w:rsidR="00B01FCD" w:rsidRPr="00FB3A86" w:rsidRDefault="00B01FCD" w:rsidP="00441B6F">
      <w:pPr>
        <w:pStyle w:val="Appendix"/>
        <w:spacing w:after="0"/>
        <w:jc w:val="both"/>
        <w:rPr>
          <w:rFonts w:ascii="Arial" w:hAnsi="Arial" w:cs="Arial"/>
          <w:b w:val="0"/>
        </w:rPr>
      </w:pPr>
    </w:p>
    <w:sectPr w:rsidR="00B01FCD" w:rsidRPr="00FB3A86" w:rsidSect="00D553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7901" w14:textId="77777777" w:rsidR="006428CE" w:rsidRDefault="006428CE" w:rsidP="00C37E61">
      <w:r>
        <w:separator/>
      </w:r>
    </w:p>
  </w:endnote>
  <w:endnote w:type="continuationSeparator" w:id="0">
    <w:p w14:paraId="7D8E6067" w14:textId="77777777" w:rsidR="006428CE" w:rsidRDefault="006428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B64" w14:textId="77777777" w:rsidR="00C92CBA" w:rsidRDefault="00C9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82C" w14:textId="77777777" w:rsidR="00C92CBA" w:rsidRDefault="00C92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3D42" w14:textId="77777777" w:rsidR="009E048A" w:rsidRDefault="009E048A">
    <w:pPr>
      <w:pStyle w:val="Footer"/>
      <w:rPr>
        <w:rFonts w:ascii="Arial" w:hAnsi="Arial" w:cs="Arial"/>
        <w:sz w:val="16"/>
      </w:rPr>
    </w:pPr>
  </w:p>
  <w:p w14:paraId="3685F0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6D40A8" w14:textId="77777777" w:rsidR="009E048A" w:rsidRDefault="009E048A">
    <w:pPr>
      <w:pStyle w:val="Footer"/>
      <w:rPr>
        <w:rFonts w:ascii="Arial" w:hAnsi="Arial" w:cs="Arial"/>
        <w:sz w:val="16"/>
      </w:rPr>
    </w:pPr>
  </w:p>
  <w:p w14:paraId="395643A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0B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83A5B" w14:textId="77777777" w:rsidR="006428CE" w:rsidRDefault="006428CE" w:rsidP="00C37E61">
      <w:r>
        <w:separator/>
      </w:r>
    </w:p>
  </w:footnote>
  <w:footnote w:type="continuationSeparator" w:id="0">
    <w:p w14:paraId="550F8606" w14:textId="77777777" w:rsidR="006428CE" w:rsidRDefault="006428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F233" w14:textId="7A08B4FE" w:rsidR="00C92CBA" w:rsidRDefault="00C92CBA">
    <w:pPr>
      <w:pStyle w:val="Header"/>
    </w:pPr>
    <w:r>
      <w:rPr>
        <w:noProof/>
      </w:rPr>
      <w:pict w14:anchorId="1BD2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5376" w14:textId="654ECFC5" w:rsidR="00C92CBA" w:rsidRDefault="00C92CBA">
    <w:pPr>
      <w:pStyle w:val="Header"/>
    </w:pPr>
    <w:r>
      <w:rPr>
        <w:noProof/>
      </w:rPr>
      <w:pict w14:anchorId="0354B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ADBC" w14:textId="496F4C69" w:rsidR="00296529" w:rsidRPr="00296529" w:rsidRDefault="00C92CBA" w:rsidP="00296529">
    <w:pPr>
      <w:ind w:left="2160"/>
      <w:jc w:val="center"/>
      <w:rPr>
        <w:rFonts w:ascii="Times New Roman" w:eastAsia="Calibri" w:hAnsi="Times New Roman"/>
        <w:i/>
        <w:sz w:val="18"/>
        <w:szCs w:val="22"/>
      </w:rPr>
    </w:pPr>
    <w:r>
      <w:rPr>
        <w:noProof/>
      </w:rPr>
      <w:pict w14:anchorId="71D9B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77B1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DEA2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0445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9D3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9760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51CF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4EF7" w14:textId="73688676" w:rsidR="00C92CBA" w:rsidRDefault="00C92CBA">
    <w:pPr>
      <w:pStyle w:val="Header"/>
    </w:pPr>
    <w:r>
      <w:rPr>
        <w:noProof/>
      </w:rPr>
      <w:pict w14:anchorId="0214C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F233" w14:textId="08E83736" w:rsidR="00C92CBA" w:rsidRDefault="00C92CBA">
    <w:pPr>
      <w:pStyle w:val="Header"/>
    </w:pPr>
    <w:r>
      <w:rPr>
        <w:noProof/>
      </w:rPr>
      <w:pict w14:anchorId="1CF8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1477" w14:textId="266293DE" w:rsidR="00C92CBA" w:rsidRDefault="00C92CBA">
    <w:pPr>
      <w:pStyle w:val="Header"/>
    </w:pPr>
    <w:r>
      <w:rPr>
        <w:noProof/>
      </w:rPr>
      <w:pict w14:anchorId="2CB7E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27EF"/>
    <w:multiLevelType w:val="multilevel"/>
    <w:tmpl w:val="7A5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3AF1"/>
    <w:multiLevelType w:val="hybridMultilevel"/>
    <w:tmpl w:val="6C904F42"/>
    <w:lvl w:ilvl="0" w:tplc="1040CA38">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B27909"/>
    <w:multiLevelType w:val="hybridMultilevel"/>
    <w:tmpl w:val="68561740"/>
    <w:lvl w:ilvl="0" w:tplc="7B8045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1845A9"/>
    <w:multiLevelType w:val="multilevel"/>
    <w:tmpl w:val="811C9D1E"/>
    <w:lvl w:ilvl="0">
      <w:start w:val="1"/>
      <w:numFmt w:val="decimal"/>
      <w:lvlText w:val="%1."/>
      <w:lvlJc w:val="left"/>
      <w:pPr>
        <w:ind w:left="72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Zero"/>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813F84"/>
    <w:multiLevelType w:val="multilevel"/>
    <w:tmpl w:val="C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30"/>
  </w:num>
  <w:num w:numId="10">
    <w:abstractNumId w:val="4"/>
  </w:num>
  <w:num w:numId="11">
    <w:abstractNumId w:val="23"/>
  </w:num>
  <w:num w:numId="12">
    <w:abstractNumId w:val="6"/>
  </w:num>
  <w:num w:numId="13">
    <w:abstractNumId w:val="22"/>
  </w:num>
  <w:num w:numId="14">
    <w:abstractNumId w:val="12"/>
  </w:num>
  <w:num w:numId="15">
    <w:abstractNumId w:val="26"/>
  </w:num>
  <w:num w:numId="16">
    <w:abstractNumId w:val="8"/>
  </w:num>
  <w:num w:numId="17">
    <w:abstractNumId w:val="27"/>
  </w:num>
  <w:num w:numId="18">
    <w:abstractNumId w:val="19"/>
  </w:num>
  <w:num w:numId="19">
    <w:abstractNumId w:val="33"/>
  </w:num>
  <w:num w:numId="20">
    <w:abstractNumId w:val="16"/>
  </w:num>
  <w:num w:numId="21">
    <w:abstractNumId w:val="14"/>
  </w:num>
  <w:num w:numId="22">
    <w:abstractNumId w:val="18"/>
  </w:num>
  <w:num w:numId="23">
    <w:abstractNumId w:val="24"/>
  </w:num>
  <w:num w:numId="24">
    <w:abstractNumId w:val="31"/>
  </w:num>
  <w:num w:numId="25">
    <w:abstractNumId w:val="7"/>
  </w:num>
  <w:num w:numId="26">
    <w:abstractNumId w:val="21"/>
  </w:num>
  <w:num w:numId="27">
    <w:abstractNumId w:val="25"/>
  </w:num>
  <w:num w:numId="28">
    <w:abstractNumId w:val="32"/>
  </w:num>
  <w:num w:numId="29">
    <w:abstractNumId w:val="29"/>
  </w:num>
  <w:num w:numId="30">
    <w:abstractNumId w:val="15"/>
  </w:num>
  <w:num w:numId="31">
    <w:abstractNumId w:val="5"/>
  </w:num>
  <w:num w:numId="32">
    <w:abstractNumId w:val="10"/>
  </w:num>
  <w:num w:numId="33">
    <w:abstractNumId w:val="1"/>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DC0"/>
    <w:rsid w:val="00030174"/>
    <w:rsid w:val="0004579C"/>
    <w:rsid w:val="000705BF"/>
    <w:rsid w:val="0009325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39E"/>
    <w:rsid w:val="00281DF2"/>
    <w:rsid w:val="00283105"/>
    <w:rsid w:val="00284C4C"/>
    <w:rsid w:val="00287E68"/>
    <w:rsid w:val="00296529"/>
    <w:rsid w:val="002B27FB"/>
    <w:rsid w:val="002B685A"/>
    <w:rsid w:val="002C57D2"/>
    <w:rsid w:val="002E0D56"/>
    <w:rsid w:val="002F2C2D"/>
    <w:rsid w:val="00315186"/>
    <w:rsid w:val="0033343E"/>
    <w:rsid w:val="00342F13"/>
    <w:rsid w:val="003512C2"/>
    <w:rsid w:val="00371FB6"/>
    <w:rsid w:val="003763C1"/>
    <w:rsid w:val="00376BBE"/>
    <w:rsid w:val="0039048E"/>
    <w:rsid w:val="0039224F"/>
    <w:rsid w:val="003A43A4"/>
    <w:rsid w:val="003A5465"/>
    <w:rsid w:val="003A66A8"/>
    <w:rsid w:val="003A7E18"/>
    <w:rsid w:val="003C4C86"/>
    <w:rsid w:val="003C6258"/>
    <w:rsid w:val="003E2904"/>
    <w:rsid w:val="00401927"/>
    <w:rsid w:val="0041027F"/>
    <w:rsid w:val="00412475"/>
    <w:rsid w:val="00423789"/>
    <w:rsid w:val="00440F43"/>
    <w:rsid w:val="00441B6F"/>
    <w:rsid w:val="00446221"/>
    <w:rsid w:val="0045041C"/>
    <w:rsid w:val="00450E62"/>
    <w:rsid w:val="004539DB"/>
    <w:rsid w:val="00471A80"/>
    <w:rsid w:val="004C2CCF"/>
    <w:rsid w:val="004D305E"/>
    <w:rsid w:val="004D4277"/>
    <w:rsid w:val="00502516"/>
    <w:rsid w:val="00505F06"/>
    <w:rsid w:val="00506828"/>
    <w:rsid w:val="0053056E"/>
    <w:rsid w:val="00554FDA"/>
    <w:rsid w:val="00555A48"/>
    <w:rsid w:val="00585A99"/>
    <w:rsid w:val="00591380"/>
    <w:rsid w:val="005B0E45"/>
    <w:rsid w:val="005C5277"/>
    <w:rsid w:val="005C746B"/>
    <w:rsid w:val="005C784C"/>
    <w:rsid w:val="005D17F6"/>
    <w:rsid w:val="005D31E3"/>
    <w:rsid w:val="005E5539"/>
    <w:rsid w:val="00602BF5"/>
    <w:rsid w:val="00617FDD"/>
    <w:rsid w:val="006238FB"/>
    <w:rsid w:val="00633614"/>
    <w:rsid w:val="00633F68"/>
    <w:rsid w:val="00636EB2"/>
    <w:rsid w:val="006375B8"/>
    <w:rsid w:val="006428CE"/>
    <w:rsid w:val="006430BA"/>
    <w:rsid w:val="00657E5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5C4"/>
    <w:rsid w:val="007D2288"/>
    <w:rsid w:val="007E088F"/>
    <w:rsid w:val="007F7B32"/>
    <w:rsid w:val="00804BC2"/>
    <w:rsid w:val="0081431A"/>
    <w:rsid w:val="0083216F"/>
    <w:rsid w:val="00860000"/>
    <w:rsid w:val="00863BD3"/>
    <w:rsid w:val="008641ED"/>
    <w:rsid w:val="00866D66"/>
    <w:rsid w:val="008671C6"/>
    <w:rsid w:val="00875803"/>
    <w:rsid w:val="008A3727"/>
    <w:rsid w:val="008B459E"/>
    <w:rsid w:val="008E13AE"/>
    <w:rsid w:val="008E1506"/>
    <w:rsid w:val="008E710C"/>
    <w:rsid w:val="008F69D6"/>
    <w:rsid w:val="00902823"/>
    <w:rsid w:val="00915CA6"/>
    <w:rsid w:val="00927834"/>
    <w:rsid w:val="00947638"/>
    <w:rsid w:val="009500A6"/>
    <w:rsid w:val="00954294"/>
    <w:rsid w:val="00954458"/>
    <w:rsid w:val="00957C18"/>
    <w:rsid w:val="009633F4"/>
    <w:rsid w:val="009659BA"/>
    <w:rsid w:val="00983040"/>
    <w:rsid w:val="009A5E4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479"/>
    <w:rsid w:val="00A51431"/>
    <w:rsid w:val="00A539AD"/>
    <w:rsid w:val="00A94063"/>
    <w:rsid w:val="00AA6219"/>
    <w:rsid w:val="00AA74E0"/>
    <w:rsid w:val="00AB2C47"/>
    <w:rsid w:val="00AB703F"/>
    <w:rsid w:val="00AC6BB8"/>
    <w:rsid w:val="00AE008F"/>
    <w:rsid w:val="00AE2AA3"/>
    <w:rsid w:val="00AF7AE1"/>
    <w:rsid w:val="00B01FCD"/>
    <w:rsid w:val="00B16912"/>
    <w:rsid w:val="00B1776C"/>
    <w:rsid w:val="00B52583"/>
    <w:rsid w:val="00B52896"/>
    <w:rsid w:val="00B95236"/>
    <w:rsid w:val="00B96BD9"/>
    <w:rsid w:val="00BA1B01"/>
    <w:rsid w:val="00BA2641"/>
    <w:rsid w:val="00BB37AA"/>
    <w:rsid w:val="00BC53A0"/>
    <w:rsid w:val="00BE62AD"/>
    <w:rsid w:val="00BF121F"/>
    <w:rsid w:val="00BF1F80"/>
    <w:rsid w:val="00BF36D9"/>
    <w:rsid w:val="00C166EF"/>
    <w:rsid w:val="00C17EB0"/>
    <w:rsid w:val="00C27F5F"/>
    <w:rsid w:val="00C30A0F"/>
    <w:rsid w:val="00C37E61"/>
    <w:rsid w:val="00C70F1B"/>
    <w:rsid w:val="00C71A47"/>
    <w:rsid w:val="00C7464C"/>
    <w:rsid w:val="00C85588"/>
    <w:rsid w:val="00C92CBA"/>
    <w:rsid w:val="00CB43DF"/>
    <w:rsid w:val="00CD62DE"/>
    <w:rsid w:val="00CD6755"/>
    <w:rsid w:val="00CD6856"/>
    <w:rsid w:val="00CE0089"/>
    <w:rsid w:val="00CE793C"/>
    <w:rsid w:val="00CF193C"/>
    <w:rsid w:val="00D173F1"/>
    <w:rsid w:val="00D24963"/>
    <w:rsid w:val="00D55342"/>
    <w:rsid w:val="00D74CB0"/>
    <w:rsid w:val="00D8295D"/>
    <w:rsid w:val="00DB09B8"/>
    <w:rsid w:val="00DC2A65"/>
    <w:rsid w:val="00DE15F0"/>
    <w:rsid w:val="00DE5663"/>
    <w:rsid w:val="00DE78AA"/>
    <w:rsid w:val="00E02CFB"/>
    <w:rsid w:val="00E053D0"/>
    <w:rsid w:val="00E15994"/>
    <w:rsid w:val="00E3114E"/>
    <w:rsid w:val="00E31727"/>
    <w:rsid w:val="00E31A70"/>
    <w:rsid w:val="00E35B02"/>
    <w:rsid w:val="00E525D8"/>
    <w:rsid w:val="00E66496"/>
    <w:rsid w:val="00E66B35"/>
    <w:rsid w:val="00E66E10"/>
    <w:rsid w:val="00E769F6"/>
    <w:rsid w:val="00E8407C"/>
    <w:rsid w:val="00E84F3C"/>
    <w:rsid w:val="00E909C4"/>
    <w:rsid w:val="00EA012C"/>
    <w:rsid w:val="00EB5499"/>
    <w:rsid w:val="00EC6A55"/>
    <w:rsid w:val="00ED0288"/>
    <w:rsid w:val="00EE52CB"/>
    <w:rsid w:val="00EF581D"/>
    <w:rsid w:val="00EF7FD8"/>
    <w:rsid w:val="00F02997"/>
    <w:rsid w:val="00F06F59"/>
    <w:rsid w:val="00F17988"/>
    <w:rsid w:val="00F32904"/>
    <w:rsid w:val="00F469F0"/>
    <w:rsid w:val="00F53273"/>
    <w:rsid w:val="00F755E4"/>
    <w:rsid w:val="00F77D02"/>
    <w:rsid w:val="00F80E25"/>
    <w:rsid w:val="00FB3A86"/>
    <w:rsid w:val="00FD36C8"/>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33DD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0E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B2C47"/>
    <w:pPr>
      <w:autoSpaceDE w:val="0"/>
      <w:autoSpaceDN w:val="0"/>
      <w:adjustRightInd w:val="0"/>
    </w:pPr>
    <w:rPr>
      <w:color w:val="000000"/>
      <w:sz w:val="24"/>
      <w:szCs w:val="24"/>
      <w:lang w:val="en-PH"/>
    </w:rPr>
  </w:style>
  <w:style w:type="table" w:customStyle="1" w:styleId="TableGrid0">
    <w:name w:val="TableGrid"/>
    <w:rsid w:val="008A3727"/>
    <w:rPr>
      <w:rFonts w:ascii="Aptos" w:hAnsi="Aptos"/>
      <w:kern w:val="2"/>
      <w:sz w:val="24"/>
      <w:szCs w:val="24"/>
      <w:lang w:val="en-PH" w:eastAsia="en-PH"/>
    </w:rPr>
    <w:tblPr>
      <w:tblCellMar>
        <w:top w:w="0" w:type="dxa"/>
        <w:left w:w="0" w:type="dxa"/>
        <w:bottom w:w="0" w:type="dxa"/>
        <w:right w:w="0" w:type="dxa"/>
      </w:tblCellMar>
    </w:tblPr>
  </w:style>
  <w:style w:type="paragraph" w:styleId="NormalWeb">
    <w:name w:val="Normal (Web)"/>
    <w:basedOn w:val="Normal"/>
    <w:semiHidden/>
    <w:unhideWhenUsed/>
    <w:rsid w:val="00B16912"/>
    <w:rPr>
      <w:rFonts w:ascii="Times New Roman" w:hAnsi="Times New Roman"/>
      <w:sz w:val="24"/>
      <w:szCs w:val="24"/>
    </w:rPr>
  </w:style>
  <w:style w:type="character" w:styleId="Strong">
    <w:name w:val="Strong"/>
    <w:basedOn w:val="DefaultParagraphFont"/>
    <w:uiPriority w:val="22"/>
    <w:qFormat/>
    <w:rsid w:val="009633F4"/>
    <w:rPr>
      <w:b/>
      <w:bCs/>
    </w:rPr>
  </w:style>
  <w:style w:type="table" w:customStyle="1" w:styleId="TableGrid1">
    <w:name w:val="TableGrid1"/>
    <w:rsid w:val="007935C4"/>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585A99"/>
    <w:rPr>
      <w:rFonts w:ascii="Aptos" w:hAnsi="Aptos"/>
      <w:kern w:val="2"/>
      <w:sz w:val="24"/>
      <w:szCs w:val="24"/>
      <w:lang w:val="en-PH" w:eastAsia="en-PH"/>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5B0E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632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419/ijet.v7i2.29.13820"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419/ijet.v7i2.29.13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1538-C3F8-42BE-9210-4760A64C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21</Pages>
  <Words>9143</Words>
  <Characters>52119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32</cp:revision>
  <cp:lastPrinted>1999-07-06T11:00:00Z</cp:lastPrinted>
  <dcterms:created xsi:type="dcterms:W3CDTF">2014-10-25T14:34:00Z</dcterms:created>
  <dcterms:modified xsi:type="dcterms:W3CDTF">2025-09-22T11:08:00Z</dcterms:modified>
</cp:coreProperties>
</file>