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53350" w14:textId="0C079A17" w:rsidR="00E72CE1" w:rsidRPr="00E72CE1" w:rsidRDefault="00E72CE1" w:rsidP="00E72CE1">
      <w:pPr>
        <w:rPr>
          <w:rFonts w:ascii="Times New Roman" w:hAnsi="Times New Roman" w:cs="Times New Roman"/>
          <w:b/>
          <w:bCs/>
          <w:sz w:val="28"/>
          <w:szCs w:val="28"/>
          <w:u w:val="single"/>
        </w:rPr>
      </w:pPr>
      <w:r w:rsidRPr="00E72CE1">
        <w:rPr>
          <w:rFonts w:ascii="Times New Roman" w:hAnsi="Times New Roman" w:cs="Times New Roman"/>
          <w:b/>
          <w:bCs/>
          <w:sz w:val="28"/>
          <w:szCs w:val="28"/>
          <w:u w:val="single"/>
        </w:rPr>
        <w:t>Review Article</w:t>
      </w:r>
    </w:p>
    <w:p w14:paraId="7F97367C" w14:textId="5BD8F894" w:rsidR="00236C68" w:rsidRPr="00E719DA" w:rsidRDefault="00236C68" w:rsidP="00236C68">
      <w:pPr>
        <w:jc w:val="center"/>
        <w:rPr>
          <w:rFonts w:ascii="Times New Roman" w:hAnsi="Times New Roman" w:cs="Times New Roman"/>
          <w:b/>
          <w:bCs/>
          <w:sz w:val="28"/>
          <w:szCs w:val="28"/>
        </w:rPr>
      </w:pPr>
      <w:r w:rsidRPr="00714B92">
        <w:rPr>
          <w:rFonts w:ascii="Times New Roman" w:hAnsi="Times New Roman" w:cs="Times New Roman"/>
          <w:b/>
          <w:bCs/>
          <w:sz w:val="28"/>
          <w:szCs w:val="28"/>
        </w:rPr>
        <w:t>ESD as a Pedagogical Framework in the Context of NEP 2020: Bridging Policy Vision with Sustainable Educational Practices</w:t>
      </w:r>
    </w:p>
    <w:p w14:paraId="3FD17A95" w14:textId="77777777" w:rsidR="00E72CE1" w:rsidRDefault="00E72CE1" w:rsidP="00236C68">
      <w:pPr>
        <w:spacing w:before="240" w:line="360" w:lineRule="auto"/>
        <w:rPr>
          <w:rFonts w:ascii="Times New Roman" w:hAnsi="Times New Roman" w:cs="Times New Roman"/>
          <w:b/>
          <w:bCs/>
          <w:sz w:val="24"/>
          <w:szCs w:val="24"/>
          <w:lang w:val="en-US"/>
        </w:rPr>
      </w:pPr>
    </w:p>
    <w:p w14:paraId="29ACC06B" w14:textId="77777777" w:rsidR="00E72CE1" w:rsidRPr="00E719DA" w:rsidRDefault="00E72CE1" w:rsidP="00236C68">
      <w:pPr>
        <w:spacing w:before="240" w:line="360" w:lineRule="auto"/>
        <w:rPr>
          <w:rFonts w:ascii="Times New Roman" w:hAnsi="Times New Roman" w:cs="Times New Roman"/>
          <w:i/>
          <w:iCs/>
          <w:color w:val="0000FF" w:themeColor="hyperlink"/>
          <w:sz w:val="24"/>
          <w:szCs w:val="24"/>
          <w:u w:val="single"/>
        </w:rPr>
      </w:pPr>
    </w:p>
    <w:p w14:paraId="3775773A" w14:textId="77777777" w:rsidR="00236C68" w:rsidRDefault="00236C68" w:rsidP="00236C68">
      <w:pPr>
        <w:rPr>
          <w:rFonts w:ascii="Times New Roman" w:hAnsi="Times New Roman" w:cs="Times New Roman"/>
          <w:b/>
          <w:bCs/>
          <w:sz w:val="24"/>
          <w:szCs w:val="24"/>
        </w:rPr>
      </w:pPr>
      <w:r>
        <w:rPr>
          <w:rFonts w:ascii="Times New Roman" w:hAnsi="Times New Roman" w:cs="Times New Roman"/>
          <w:b/>
          <w:bCs/>
          <w:sz w:val="24"/>
          <w:szCs w:val="24"/>
        </w:rPr>
        <w:t>Abstract</w:t>
      </w:r>
    </w:p>
    <w:p w14:paraId="306BCFA7" w14:textId="757DCC65" w:rsidR="00236C68" w:rsidRPr="00A84C36" w:rsidRDefault="00236C68" w:rsidP="00236C68">
      <w:pPr>
        <w:spacing w:line="360" w:lineRule="auto"/>
        <w:jc w:val="both"/>
        <w:rPr>
          <w:rFonts w:ascii="Times New Roman" w:hAnsi="Times New Roman" w:cs="Times New Roman"/>
          <w:sz w:val="24"/>
          <w:szCs w:val="24"/>
        </w:rPr>
      </w:pPr>
      <w:r w:rsidRPr="003F69C5">
        <w:rPr>
          <w:rFonts w:ascii="Times New Roman" w:hAnsi="Times New Roman" w:cs="Times New Roman"/>
          <w:sz w:val="24"/>
          <w:szCs w:val="24"/>
        </w:rPr>
        <w:t xml:space="preserve">The National Education Policy (NEP) 2020 </w:t>
      </w:r>
      <w:r w:rsidR="009A1732">
        <w:rPr>
          <w:rFonts w:ascii="Times New Roman" w:hAnsi="Times New Roman" w:cs="Times New Roman"/>
          <w:sz w:val="24"/>
          <w:szCs w:val="24"/>
        </w:rPr>
        <w:t xml:space="preserve">envisions a </w:t>
      </w:r>
      <w:r w:rsidRPr="003F69C5">
        <w:rPr>
          <w:rFonts w:ascii="Times New Roman" w:hAnsi="Times New Roman" w:cs="Times New Roman"/>
          <w:sz w:val="24"/>
          <w:szCs w:val="24"/>
        </w:rPr>
        <w:t xml:space="preserve">holistic, inclusive and future-ready education based on Indian culture and </w:t>
      </w:r>
      <w:r>
        <w:rPr>
          <w:rFonts w:ascii="Times New Roman" w:hAnsi="Times New Roman" w:cs="Times New Roman"/>
          <w:sz w:val="24"/>
          <w:szCs w:val="24"/>
        </w:rPr>
        <w:t>responsive to</w:t>
      </w:r>
      <w:r w:rsidRPr="003F69C5">
        <w:rPr>
          <w:rFonts w:ascii="Times New Roman" w:hAnsi="Times New Roman" w:cs="Times New Roman"/>
          <w:sz w:val="24"/>
          <w:szCs w:val="24"/>
        </w:rPr>
        <w:t xml:space="preserve"> global challenges. Education for Sustainable Development (ESD) </w:t>
      </w:r>
      <w:r>
        <w:rPr>
          <w:rFonts w:ascii="Times New Roman" w:hAnsi="Times New Roman" w:cs="Times New Roman"/>
          <w:sz w:val="24"/>
          <w:szCs w:val="24"/>
        </w:rPr>
        <w:t>complements</w:t>
      </w:r>
      <w:r w:rsidRPr="003F69C5">
        <w:rPr>
          <w:rFonts w:ascii="Times New Roman" w:hAnsi="Times New Roman" w:cs="Times New Roman"/>
          <w:sz w:val="24"/>
          <w:szCs w:val="24"/>
        </w:rPr>
        <w:t xml:space="preserve"> </w:t>
      </w:r>
      <w:r>
        <w:rPr>
          <w:rFonts w:ascii="Times New Roman" w:hAnsi="Times New Roman" w:cs="Times New Roman"/>
          <w:sz w:val="24"/>
          <w:szCs w:val="24"/>
        </w:rPr>
        <w:t>such</w:t>
      </w:r>
      <w:r w:rsidRPr="003F69C5">
        <w:rPr>
          <w:rFonts w:ascii="Times New Roman" w:hAnsi="Times New Roman" w:cs="Times New Roman"/>
          <w:sz w:val="24"/>
          <w:szCs w:val="24"/>
        </w:rPr>
        <w:t xml:space="preserve"> vision by nurturing learners to develop critical thinking, act </w:t>
      </w:r>
      <w:r w:rsidR="001573E7">
        <w:rPr>
          <w:rFonts w:ascii="Times New Roman" w:hAnsi="Times New Roman" w:cs="Times New Roman"/>
          <w:sz w:val="24"/>
          <w:szCs w:val="24"/>
        </w:rPr>
        <w:t>with</w:t>
      </w:r>
      <w:r w:rsidRPr="003F69C5">
        <w:rPr>
          <w:rFonts w:ascii="Times New Roman" w:hAnsi="Times New Roman" w:cs="Times New Roman"/>
          <w:sz w:val="24"/>
          <w:szCs w:val="24"/>
        </w:rPr>
        <w:t xml:space="preserve"> responsibility, and actively contribute to society and the environment.</w:t>
      </w:r>
      <w:r>
        <w:rPr>
          <w:rFonts w:ascii="Times New Roman" w:hAnsi="Times New Roman" w:cs="Times New Roman"/>
          <w:sz w:val="24"/>
          <w:szCs w:val="24"/>
        </w:rPr>
        <w:t xml:space="preserve"> </w:t>
      </w:r>
      <w:r w:rsidRPr="003F69C5">
        <w:rPr>
          <w:rFonts w:ascii="Times New Roman" w:hAnsi="Times New Roman" w:cs="Times New Roman"/>
          <w:sz w:val="24"/>
          <w:szCs w:val="24"/>
        </w:rPr>
        <w:t xml:space="preserve">This paper </w:t>
      </w:r>
      <w:r w:rsidR="00354C6C">
        <w:rPr>
          <w:rFonts w:ascii="Times New Roman" w:hAnsi="Times New Roman" w:cs="Times New Roman"/>
          <w:sz w:val="24"/>
          <w:szCs w:val="24"/>
        </w:rPr>
        <w:t>aims to explain</w:t>
      </w:r>
      <w:r w:rsidRPr="003F69C5">
        <w:rPr>
          <w:rFonts w:ascii="Times New Roman" w:hAnsi="Times New Roman" w:cs="Times New Roman"/>
          <w:sz w:val="24"/>
          <w:szCs w:val="24"/>
        </w:rPr>
        <w:t xml:space="preserve"> how ESD aligns with NEP 2020</w:t>
      </w:r>
      <w:r w:rsidR="00DD0DF3">
        <w:rPr>
          <w:rFonts w:ascii="Times New Roman" w:hAnsi="Times New Roman" w:cs="Times New Roman"/>
          <w:sz w:val="24"/>
          <w:szCs w:val="24"/>
        </w:rPr>
        <w:t>,</w:t>
      </w:r>
      <w:r w:rsidRPr="003F69C5">
        <w:rPr>
          <w:rFonts w:ascii="Times New Roman" w:hAnsi="Times New Roman" w:cs="Times New Roman"/>
          <w:sz w:val="24"/>
          <w:szCs w:val="24"/>
        </w:rPr>
        <w:t xml:space="preserve"> through a qualitative analysis of secondary literature around ESD</w:t>
      </w:r>
      <w:r>
        <w:rPr>
          <w:rFonts w:ascii="Times New Roman" w:hAnsi="Times New Roman" w:cs="Times New Roman"/>
          <w:sz w:val="24"/>
          <w:szCs w:val="24"/>
        </w:rPr>
        <w:t>,</w:t>
      </w:r>
      <w:r w:rsidRPr="003F69C5">
        <w:rPr>
          <w:rFonts w:ascii="Times New Roman" w:hAnsi="Times New Roman" w:cs="Times New Roman"/>
          <w:sz w:val="24"/>
          <w:szCs w:val="24"/>
        </w:rPr>
        <w:t xml:space="preserve"> supported by themes identified in NEP 2020. Seven dimensions are recognised: multidisciplinary education, </w:t>
      </w:r>
      <w:r>
        <w:rPr>
          <w:rFonts w:ascii="Times New Roman" w:hAnsi="Times New Roman" w:cs="Times New Roman"/>
          <w:sz w:val="24"/>
          <w:szCs w:val="24"/>
        </w:rPr>
        <w:t>learner-centred</w:t>
      </w:r>
      <w:r w:rsidRPr="003F69C5">
        <w:rPr>
          <w:rFonts w:ascii="Times New Roman" w:hAnsi="Times New Roman" w:cs="Times New Roman"/>
          <w:sz w:val="24"/>
          <w:szCs w:val="24"/>
        </w:rPr>
        <w:t xml:space="preserve"> pedagogy, 21st century competencies, inclusive education, life skills education, global citizenship, and quality education. In summary the results demonstrate that NEP 2020 provides structural reform, while ESD provides pedagogy and </w:t>
      </w:r>
      <w:r w:rsidR="00DD0DF3">
        <w:rPr>
          <w:rFonts w:ascii="Times New Roman" w:hAnsi="Times New Roman" w:cs="Times New Roman"/>
          <w:sz w:val="24"/>
          <w:szCs w:val="24"/>
        </w:rPr>
        <w:t>practices</w:t>
      </w:r>
      <w:r w:rsidRPr="003F69C5">
        <w:rPr>
          <w:rFonts w:ascii="Times New Roman" w:hAnsi="Times New Roman" w:cs="Times New Roman"/>
          <w:sz w:val="24"/>
          <w:szCs w:val="24"/>
        </w:rPr>
        <w:t xml:space="preserve"> that </w:t>
      </w:r>
      <w:r w:rsidR="00DD0DF3">
        <w:rPr>
          <w:rFonts w:ascii="Times New Roman" w:hAnsi="Times New Roman" w:cs="Times New Roman"/>
          <w:sz w:val="24"/>
          <w:szCs w:val="24"/>
        </w:rPr>
        <w:t>are</w:t>
      </w:r>
      <w:r w:rsidRPr="003F69C5">
        <w:rPr>
          <w:rFonts w:ascii="Times New Roman" w:hAnsi="Times New Roman" w:cs="Times New Roman"/>
          <w:sz w:val="24"/>
          <w:szCs w:val="24"/>
        </w:rPr>
        <w:t xml:space="preserve"> action-based and participatory, allowing learners to connect their learning in the classroom with sustainability challenges in the real world.</w:t>
      </w:r>
      <w:r w:rsidRPr="004C5897">
        <w:t xml:space="preserve"> </w:t>
      </w:r>
      <w:r w:rsidRPr="004C5897">
        <w:rPr>
          <w:rFonts w:ascii="Times New Roman" w:hAnsi="Times New Roman" w:cs="Times New Roman"/>
          <w:sz w:val="24"/>
          <w:szCs w:val="24"/>
        </w:rPr>
        <w:t>Despite challenges such as exam-driven systems and teacher capacity limitations, ESD in education can create transformation and future readiness by cultivating socially responsible and sustainability-literate learners as intended in NEP 2020</w:t>
      </w:r>
      <w:r w:rsidRPr="003F69C5">
        <w:rPr>
          <w:rFonts w:ascii="Times New Roman" w:hAnsi="Times New Roman" w:cs="Times New Roman"/>
          <w:sz w:val="24"/>
          <w:szCs w:val="24"/>
        </w:rPr>
        <w:t>.</w:t>
      </w:r>
    </w:p>
    <w:p w14:paraId="3309FC81" w14:textId="77777777" w:rsidR="00236C68" w:rsidRDefault="00236C68" w:rsidP="00236C68">
      <w:pPr>
        <w:rPr>
          <w:rFonts w:ascii="Times New Roman" w:hAnsi="Times New Roman" w:cs="Times New Roman"/>
          <w:b/>
          <w:bCs/>
          <w:sz w:val="24"/>
          <w:szCs w:val="24"/>
        </w:rPr>
      </w:pPr>
      <w:r w:rsidRPr="003372F4">
        <w:rPr>
          <w:rFonts w:ascii="Times New Roman" w:hAnsi="Times New Roman" w:cs="Times New Roman"/>
          <w:b/>
          <w:bCs/>
          <w:i/>
          <w:iCs/>
          <w:sz w:val="24"/>
          <w:szCs w:val="24"/>
        </w:rPr>
        <w:t>Keywords</w:t>
      </w:r>
      <w:r>
        <w:rPr>
          <w:rFonts w:ascii="Times New Roman" w:hAnsi="Times New Roman" w:cs="Times New Roman"/>
          <w:b/>
          <w:bCs/>
          <w:sz w:val="24"/>
          <w:szCs w:val="24"/>
        </w:rPr>
        <w:t xml:space="preserve">: </w:t>
      </w:r>
      <w:r w:rsidRPr="003372F4">
        <w:rPr>
          <w:rFonts w:ascii="Times New Roman" w:hAnsi="Times New Roman" w:cs="Times New Roman"/>
          <w:sz w:val="24"/>
          <w:szCs w:val="24"/>
        </w:rPr>
        <w:t>ESD, Sustainable Development, NEP-2020, Education for Sustainable   Development</w:t>
      </w:r>
    </w:p>
    <w:p w14:paraId="2128BB9B" w14:textId="345E5B74" w:rsidR="00236C68" w:rsidRPr="00720A3C" w:rsidRDefault="00236C68" w:rsidP="00720A3C">
      <w:pPr>
        <w:pStyle w:val="ListParagraph"/>
        <w:numPr>
          <w:ilvl w:val="0"/>
          <w:numId w:val="6"/>
        </w:numPr>
        <w:rPr>
          <w:rFonts w:ascii="Times New Roman" w:hAnsi="Times New Roman" w:cs="Times New Roman"/>
          <w:b/>
          <w:bCs/>
          <w:sz w:val="24"/>
          <w:szCs w:val="24"/>
        </w:rPr>
      </w:pPr>
      <w:r w:rsidRPr="00720A3C">
        <w:rPr>
          <w:rFonts w:ascii="Times New Roman" w:hAnsi="Times New Roman" w:cs="Times New Roman"/>
          <w:b/>
          <w:bCs/>
          <w:sz w:val="24"/>
          <w:szCs w:val="24"/>
        </w:rPr>
        <w:t>Introduction</w:t>
      </w:r>
    </w:p>
    <w:p w14:paraId="32B1DB83" w14:textId="77777777" w:rsidR="00236C68" w:rsidRPr="0056120A" w:rsidRDefault="00236C68" w:rsidP="00236C68">
      <w:pPr>
        <w:spacing w:line="360" w:lineRule="auto"/>
        <w:jc w:val="both"/>
        <w:rPr>
          <w:rFonts w:ascii="Times New Roman" w:hAnsi="Times New Roman" w:cs="Times New Roman"/>
          <w:sz w:val="24"/>
          <w:szCs w:val="24"/>
        </w:rPr>
      </w:pPr>
      <w:r w:rsidRPr="00E558A4">
        <w:rPr>
          <w:rFonts w:ascii="Times New Roman" w:hAnsi="Times New Roman" w:cs="Times New Roman"/>
          <w:sz w:val="24"/>
          <w:szCs w:val="24"/>
        </w:rPr>
        <w:t>The National Education Policy (NEP) was launched in 2020</w:t>
      </w:r>
      <w:r>
        <w:rPr>
          <w:rFonts w:ascii="Times New Roman" w:hAnsi="Times New Roman" w:cs="Times New Roman"/>
          <w:sz w:val="24"/>
          <w:szCs w:val="24"/>
        </w:rPr>
        <w:t xml:space="preserve"> as</w:t>
      </w:r>
      <w:r w:rsidRPr="00E558A4">
        <w:rPr>
          <w:rFonts w:ascii="Times New Roman" w:hAnsi="Times New Roman" w:cs="Times New Roman"/>
          <w:sz w:val="24"/>
          <w:szCs w:val="24"/>
        </w:rPr>
        <w:t xml:space="preserve"> India’s first education policy of the 21st century. It provides a detailed road map on a number of key areas including revision of the curriculum, innovative teaching methods, the integration of technology in education and equitable access to learning opportunities for all</w:t>
      </w:r>
      <w:r w:rsidRPr="0056120A">
        <w:rPr>
          <w:rFonts w:ascii="Times New Roman" w:hAnsi="Times New Roman" w:cs="Times New Roman"/>
          <w:sz w:val="24"/>
          <w:szCs w:val="24"/>
        </w:rPr>
        <w:t xml:space="preserve"> (Shukla et al., 2023). This Policy envisions an education system that embodies Indian values and aims to transform India into a just and thriving knowledge society, positioning it as a global knowledge superpower (</w:t>
      </w:r>
      <w:proofErr w:type="spellStart"/>
      <w:r w:rsidRPr="0056120A">
        <w:rPr>
          <w:rFonts w:ascii="Times New Roman" w:hAnsi="Times New Roman" w:cs="Times New Roman"/>
          <w:sz w:val="24"/>
          <w:szCs w:val="24"/>
        </w:rPr>
        <w:t>Korada</w:t>
      </w:r>
      <w:proofErr w:type="spellEnd"/>
      <w:r w:rsidRPr="0056120A">
        <w:rPr>
          <w:rFonts w:ascii="Times New Roman" w:hAnsi="Times New Roman" w:cs="Times New Roman"/>
          <w:sz w:val="24"/>
          <w:szCs w:val="24"/>
        </w:rPr>
        <w:t>,</w:t>
      </w:r>
      <w:r>
        <w:rPr>
          <w:rFonts w:ascii="Times New Roman" w:hAnsi="Times New Roman" w:cs="Times New Roman"/>
          <w:sz w:val="24"/>
          <w:szCs w:val="24"/>
        </w:rPr>
        <w:t xml:space="preserve"> </w:t>
      </w:r>
      <w:r w:rsidRPr="0056120A">
        <w:rPr>
          <w:rFonts w:ascii="Times New Roman" w:hAnsi="Times New Roman" w:cs="Times New Roman"/>
          <w:sz w:val="24"/>
          <w:szCs w:val="24"/>
        </w:rPr>
        <w:t xml:space="preserve">2023). In recent times Sustainability is a primary concern of the world (Mahat et al., 2016) and education is seen as one of the most effective tools for reshaping </w:t>
      </w:r>
      <w:r w:rsidRPr="0056120A">
        <w:rPr>
          <w:rFonts w:ascii="Times New Roman" w:hAnsi="Times New Roman" w:cs="Times New Roman"/>
          <w:sz w:val="24"/>
          <w:szCs w:val="24"/>
        </w:rPr>
        <w:lastRenderedPageBreak/>
        <w:t>worldviews and values, with the vast potential to address the sustainability challenges confronting humanity (UNESCO,</w:t>
      </w:r>
      <w:r>
        <w:rPr>
          <w:rFonts w:ascii="Times New Roman" w:hAnsi="Times New Roman" w:cs="Times New Roman"/>
          <w:sz w:val="24"/>
          <w:szCs w:val="24"/>
        </w:rPr>
        <w:t xml:space="preserve"> </w:t>
      </w:r>
      <w:r w:rsidRPr="0056120A">
        <w:rPr>
          <w:rFonts w:ascii="Times New Roman" w:hAnsi="Times New Roman" w:cs="Times New Roman"/>
          <w:sz w:val="24"/>
          <w:szCs w:val="24"/>
        </w:rPr>
        <w:t xml:space="preserve">2017). But addressing urgent sustainability challenges, such as surpassing critical planetary boundaries, requires shifts in public perceptions, values, attitudes, and </w:t>
      </w:r>
      <w:proofErr w:type="spellStart"/>
      <w:r w:rsidRPr="0056120A">
        <w:rPr>
          <w:rFonts w:ascii="Times New Roman" w:hAnsi="Times New Roman" w:cs="Times New Roman"/>
          <w:sz w:val="24"/>
          <w:szCs w:val="24"/>
        </w:rPr>
        <w:t>behaviors</w:t>
      </w:r>
      <w:proofErr w:type="spellEnd"/>
      <w:r w:rsidRPr="0056120A">
        <w:rPr>
          <w:rFonts w:ascii="Times New Roman" w:hAnsi="Times New Roman" w:cs="Times New Roman"/>
          <w:sz w:val="24"/>
          <w:szCs w:val="24"/>
        </w:rPr>
        <w:t>, along with creating the right conditions for these fundamental changes (Abera,</w:t>
      </w:r>
      <w:r>
        <w:rPr>
          <w:rFonts w:ascii="Times New Roman" w:hAnsi="Times New Roman" w:cs="Times New Roman"/>
          <w:sz w:val="24"/>
          <w:szCs w:val="24"/>
        </w:rPr>
        <w:t xml:space="preserve"> </w:t>
      </w:r>
      <w:r w:rsidRPr="0056120A">
        <w:rPr>
          <w:rFonts w:ascii="Times New Roman" w:hAnsi="Times New Roman" w:cs="Times New Roman"/>
          <w:sz w:val="24"/>
          <w:szCs w:val="24"/>
        </w:rPr>
        <w:t>2023). Hence considering the sustainability concerns the NEP was launched with a focus on Education for Sustainable Development (ESD), aiming to guide India towards achieving Goal 4 by providing inclusive, equitable education and promoting lifelong learning for all (Choudhary,</w:t>
      </w:r>
      <w:r>
        <w:rPr>
          <w:rFonts w:ascii="Times New Roman" w:hAnsi="Times New Roman" w:cs="Times New Roman"/>
          <w:sz w:val="24"/>
          <w:szCs w:val="24"/>
        </w:rPr>
        <w:t xml:space="preserve"> </w:t>
      </w:r>
      <w:r w:rsidRPr="0056120A">
        <w:rPr>
          <w:rFonts w:ascii="Times New Roman" w:hAnsi="Times New Roman" w:cs="Times New Roman"/>
          <w:sz w:val="24"/>
          <w:szCs w:val="24"/>
        </w:rPr>
        <w:t xml:space="preserve">2022). </w:t>
      </w:r>
    </w:p>
    <w:p w14:paraId="6C3EFEE3" w14:textId="77777777" w:rsidR="00236C68" w:rsidRPr="0056120A" w:rsidRDefault="00236C68" w:rsidP="00236C68">
      <w:pPr>
        <w:spacing w:line="360" w:lineRule="auto"/>
        <w:jc w:val="both"/>
        <w:rPr>
          <w:rFonts w:ascii="Times New Roman" w:hAnsi="Times New Roman" w:cs="Times New Roman"/>
          <w:sz w:val="24"/>
          <w:szCs w:val="24"/>
        </w:rPr>
      </w:pPr>
      <w:r w:rsidRPr="0056120A">
        <w:rPr>
          <w:rFonts w:ascii="Times New Roman" w:hAnsi="Times New Roman" w:cs="Times New Roman"/>
          <w:sz w:val="24"/>
          <w:szCs w:val="24"/>
        </w:rPr>
        <w:t>Education for Sustainable Development (ESD) is both a vision and a learning process that helps us understand our interconnected world while motivating us to take actions that contribute to our vision of a more sustainable future (UNESCO,</w:t>
      </w:r>
      <w:r>
        <w:rPr>
          <w:rFonts w:ascii="Times New Roman" w:hAnsi="Times New Roman" w:cs="Times New Roman"/>
          <w:sz w:val="24"/>
          <w:szCs w:val="24"/>
        </w:rPr>
        <w:t xml:space="preserve"> </w:t>
      </w:r>
      <w:r w:rsidRPr="0056120A">
        <w:rPr>
          <w:rFonts w:ascii="Times New Roman" w:hAnsi="Times New Roman" w:cs="Times New Roman"/>
          <w:sz w:val="24"/>
          <w:szCs w:val="24"/>
        </w:rPr>
        <w:t>2018). To put it simply, ESD is a holistic approach that connects the environmental, economic, and social aspects of sustainable development, emphasizing their interactions and dependencies over time and across various levels, from local communities to the global stage (</w:t>
      </w:r>
      <w:r w:rsidRPr="0056120A">
        <w:rPr>
          <w:rFonts w:ascii="Times New Roman" w:hAnsi="Times New Roman" w:cs="Times New Roman"/>
          <w:sz w:val="24"/>
          <w:szCs w:val="24"/>
          <w:shd w:val="clear" w:color="auto" w:fill="FFFFFF"/>
        </w:rPr>
        <w:t>Ohman,</w:t>
      </w:r>
      <w:r>
        <w:rPr>
          <w:rFonts w:ascii="Times New Roman" w:hAnsi="Times New Roman" w:cs="Times New Roman"/>
          <w:sz w:val="24"/>
          <w:szCs w:val="24"/>
          <w:shd w:val="clear" w:color="auto" w:fill="FFFFFF"/>
        </w:rPr>
        <w:t xml:space="preserve"> </w:t>
      </w:r>
      <w:r w:rsidRPr="0056120A">
        <w:rPr>
          <w:rFonts w:ascii="Times New Roman" w:hAnsi="Times New Roman" w:cs="Times New Roman"/>
          <w:sz w:val="24"/>
          <w:szCs w:val="24"/>
          <w:shd w:val="clear" w:color="auto" w:fill="FFFFFF"/>
        </w:rPr>
        <w:t>2008)</w:t>
      </w:r>
      <w:r w:rsidRPr="0056120A">
        <w:rPr>
          <w:rFonts w:ascii="Times New Roman" w:hAnsi="Times New Roman" w:cs="Times New Roman"/>
          <w:sz w:val="24"/>
          <w:szCs w:val="24"/>
        </w:rPr>
        <w:t xml:space="preserve">. There is no particular pedagogy for ESD but it emphasizes the use of participatory teaching and learning methods that inspire and empower learners to actively change their </w:t>
      </w:r>
      <w:proofErr w:type="spellStart"/>
      <w:r w:rsidRPr="0056120A">
        <w:rPr>
          <w:rFonts w:ascii="Times New Roman" w:hAnsi="Times New Roman" w:cs="Times New Roman"/>
          <w:sz w:val="24"/>
          <w:szCs w:val="24"/>
        </w:rPr>
        <w:t>behavior</w:t>
      </w:r>
      <w:proofErr w:type="spellEnd"/>
      <w:r w:rsidRPr="0056120A">
        <w:rPr>
          <w:rFonts w:ascii="Times New Roman" w:hAnsi="Times New Roman" w:cs="Times New Roman"/>
          <w:sz w:val="24"/>
          <w:szCs w:val="24"/>
        </w:rPr>
        <w:t xml:space="preserve"> and engage in actions that promote sustainable development (UNESCO,</w:t>
      </w:r>
      <w:r>
        <w:rPr>
          <w:rFonts w:ascii="Times New Roman" w:hAnsi="Times New Roman" w:cs="Times New Roman"/>
          <w:sz w:val="24"/>
          <w:szCs w:val="24"/>
        </w:rPr>
        <w:t xml:space="preserve"> </w:t>
      </w:r>
      <w:r w:rsidRPr="0056120A">
        <w:rPr>
          <w:rFonts w:ascii="Times New Roman" w:hAnsi="Times New Roman" w:cs="Times New Roman"/>
          <w:sz w:val="24"/>
          <w:szCs w:val="24"/>
        </w:rPr>
        <w:t xml:space="preserve">2018). UNESCO outlined four key dimensions for incorporating ESD into the education process. </w:t>
      </w:r>
    </w:p>
    <w:p w14:paraId="47C5438C" w14:textId="77777777" w:rsidR="00236C68" w:rsidRPr="0056120A" w:rsidRDefault="00236C68" w:rsidP="00236C68">
      <w:pPr>
        <w:pStyle w:val="ListParagraph"/>
        <w:numPr>
          <w:ilvl w:val="0"/>
          <w:numId w:val="1"/>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 xml:space="preserve">Learning content: </w:t>
      </w:r>
      <w:r w:rsidRPr="0056120A">
        <w:rPr>
          <w:rFonts w:ascii="Times New Roman" w:hAnsi="Times New Roman" w:cs="Times New Roman"/>
          <w:sz w:val="24"/>
          <w:szCs w:val="24"/>
        </w:rPr>
        <w:t>Incorporating key topics like climate change, biodiversity, disaster risk reduction (DRR), and sustainable consumption and production (SCP) into the curriculum.</w:t>
      </w:r>
    </w:p>
    <w:p w14:paraId="75BD4013" w14:textId="77777777" w:rsidR="00236C68" w:rsidRPr="0056120A" w:rsidRDefault="00236C68" w:rsidP="00236C68">
      <w:pPr>
        <w:pStyle w:val="ListParagraph"/>
        <w:numPr>
          <w:ilvl w:val="0"/>
          <w:numId w:val="1"/>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Pedagogy and learning environments:</w:t>
      </w:r>
      <w:r w:rsidRPr="0056120A">
        <w:rPr>
          <w:rFonts w:ascii="Times New Roman" w:hAnsi="Times New Roman" w:cs="Times New Roman"/>
          <w:sz w:val="24"/>
          <w:szCs w:val="24"/>
        </w:rPr>
        <w:t xml:space="preserve"> Creating teaching and learning experiences that are interactive and focused on the learner, encouraging exploration, action, and transformative learning. Redesigning both physical and digital learning environments to motivate students to act for sustainability.</w:t>
      </w:r>
    </w:p>
    <w:p w14:paraId="78502085" w14:textId="77777777" w:rsidR="00236C68" w:rsidRPr="0056120A" w:rsidRDefault="00236C68" w:rsidP="00236C68">
      <w:pPr>
        <w:pStyle w:val="ListParagraph"/>
        <w:numPr>
          <w:ilvl w:val="0"/>
          <w:numId w:val="1"/>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Societal transformation:</w:t>
      </w:r>
      <w:r w:rsidRPr="0056120A">
        <w:rPr>
          <w:rFonts w:ascii="Times New Roman" w:hAnsi="Times New Roman" w:cs="Times New Roman"/>
          <w:sz w:val="24"/>
          <w:szCs w:val="24"/>
        </w:rPr>
        <w:t xml:space="preserve"> Empowering people of all ages, in any learning environment, to change both themselves and their communities by supporting the move toward greener economies and societies. Equipping individuals to be active global citizens to take part in addressing global challenges, working locally and globally to help build a more just, peaceful, tolerant, inclusive, secure, and sustainable world.</w:t>
      </w:r>
    </w:p>
    <w:p w14:paraId="34FC85D4" w14:textId="77777777" w:rsidR="00236C68" w:rsidRPr="0056120A" w:rsidRDefault="00236C68" w:rsidP="00236C68">
      <w:pPr>
        <w:pStyle w:val="ListParagraph"/>
        <w:numPr>
          <w:ilvl w:val="0"/>
          <w:numId w:val="1"/>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lastRenderedPageBreak/>
        <w:t>Learning outcomes:</w:t>
      </w:r>
      <w:r w:rsidRPr="0056120A">
        <w:rPr>
          <w:rFonts w:ascii="Times New Roman" w:hAnsi="Times New Roman" w:cs="Times New Roman"/>
          <w:sz w:val="24"/>
          <w:szCs w:val="24"/>
        </w:rPr>
        <w:t xml:space="preserve"> Encouraging learning and developing key skills like critical and systemic thinking, collaborative decision-making, and taking responsibility for both current and future generations.</w:t>
      </w:r>
    </w:p>
    <w:p w14:paraId="56A6E510" w14:textId="77777777" w:rsidR="00236C68" w:rsidRDefault="00236C68" w:rsidP="00236C68">
      <w:pPr>
        <w:spacing w:line="360" w:lineRule="auto"/>
        <w:jc w:val="both"/>
        <w:rPr>
          <w:rFonts w:ascii="Times New Roman" w:hAnsi="Times New Roman" w:cs="Times New Roman"/>
          <w:sz w:val="24"/>
          <w:szCs w:val="24"/>
        </w:rPr>
      </w:pPr>
      <w:r w:rsidRPr="0056120A">
        <w:rPr>
          <w:rFonts w:ascii="Times New Roman" w:hAnsi="Times New Roman" w:cs="Times New Roman"/>
          <w:sz w:val="24"/>
          <w:szCs w:val="24"/>
        </w:rPr>
        <w:t xml:space="preserve">On the other hand, one of the notable aspects of NEP 2020 is its focus on sustainability, recognizing the need to address developmental concerns by integrating "ethical and sustainable thinking" across all levels of education to develop a sustainable mindset among learners (NEP 2020). This aligns with the core principles of ESD, which emphasize developing environmental literacy, advancing social equity, and building the capacity to critically assess the impact of human activities on the environment (UNESCO, 2020). </w:t>
      </w:r>
    </w:p>
    <w:p w14:paraId="5BAE88DA" w14:textId="77777777" w:rsidR="00236C68" w:rsidRPr="0056120A" w:rsidRDefault="00236C68" w:rsidP="00236C68">
      <w:pPr>
        <w:spacing w:line="360" w:lineRule="auto"/>
        <w:jc w:val="both"/>
        <w:rPr>
          <w:rFonts w:ascii="Times New Roman" w:hAnsi="Times New Roman" w:cs="Times New Roman"/>
          <w:sz w:val="24"/>
          <w:szCs w:val="24"/>
        </w:rPr>
      </w:pPr>
      <w:r w:rsidRPr="00C00436">
        <w:rPr>
          <w:rFonts w:ascii="Times New Roman" w:hAnsi="Times New Roman" w:cs="Times New Roman"/>
          <w:sz w:val="24"/>
          <w:szCs w:val="24"/>
        </w:rPr>
        <w:t xml:space="preserve">In light of the connection between the goals of NEP 2020 and ESD principles, this study analyses the </w:t>
      </w:r>
      <w:r>
        <w:rPr>
          <w:rFonts w:ascii="Times New Roman" w:hAnsi="Times New Roman" w:cs="Times New Roman"/>
          <w:sz w:val="24"/>
          <w:szCs w:val="24"/>
        </w:rPr>
        <w:t>role</w:t>
      </w:r>
      <w:r w:rsidRPr="00C00436">
        <w:rPr>
          <w:rFonts w:ascii="Times New Roman" w:hAnsi="Times New Roman" w:cs="Times New Roman"/>
          <w:sz w:val="24"/>
          <w:szCs w:val="24"/>
        </w:rPr>
        <w:t xml:space="preserve"> of ESD to complement and </w:t>
      </w:r>
      <w:r>
        <w:rPr>
          <w:rFonts w:ascii="Times New Roman" w:hAnsi="Times New Roman" w:cs="Times New Roman"/>
          <w:sz w:val="24"/>
          <w:szCs w:val="24"/>
        </w:rPr>
        <w:t>achieve</w:t>
      </w:r>
      <w:r w:rsidRPr="00C00436">
        <w:rPr>
          <w:rFonts w:ascii="Times New Roman" w:hAnsi="Times New Roman" w:cs="Times New Roman"/>
          <w:sz w:val="24"/>
          <w:szCs w:val="24"/>
        </w:rPr>
        <w:t xml:space="preserve"> the recommendations within NEP 2020. The aim of this study is to show the relationships between the two and how ESD can provide a way to realize the vision of NEP 2020 that calls for an inclusive, environment-conscious and future-oriented education system in India.</w:t>
      </w:r>
    </w:p>
    <w:p w14:paraId="51C4FE91" w14:textId="116B64A2" w:rsidR="00236C68" w:rsidRPr="00720A3C" w:rsidRDefault="00236C68" w:rsidP="00720A3C">
      <w:pPr>
        <w:pStyle w:val="ListParagraph"/>
        <w:numPr>
          <w:ilvl w:val="0"/>
          <w:numId w:val="6"/>
        </w:numPr>
        <w:spacing w:line="360" w:lineRule="auto"/>
        <w:jc w:val="both"/>
        <w:rPr>
          <w:rFonts w:ascii="Times New Roman" w:hAnsi="Times New Roman" w:cs="Times New Roman"/>
          <w:b/>
          <w:bCs/>
          <w:sz w:val="24"/>
          <w:szCs w:val="24"/>
        </w:rPr>
      </w:pPr>
      <w:r w:rsidRPr="00720A3C">
        <w:rPr>
          <w:rFonts w:ascii="Times New Roman" w:hAnsi="Times New Roman" w:cs="Times New Roman"/>
          <w:b/>
          <w:bCs/>
          <w:sz w:val="24"/>
          <w:szCs w:val="24"/>
        </w:rPr>
        <w:t xml:space="preserve">Objective of the study: </w:t>
      </w:r>
    </w:p>
    <w:p w14:paraId="0D66E5AF" w14:textId="77777777" w:rsidR="00236C68" w:rsidRPr="0056120A" w:rsidRDefault="00236C68" w:rsidP="00236C68">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sz w:val="24"/>
          <w:szCs w:val="24"/>
        </w:rPr>
        <w:t xml:space="preserve">To </w:t>
      </w:r>
      <w:r w:rsidRPr="008D5B39">
        <w:rPr>
          <w:rFonts w:ascii="Times New Roman" w:hAnsi="Times New Roman" w:cs="Times New Roman"/>
          <w:color w:val="000000" w:themeColor="text1"/>
          <w:sz w:val="24"/>
          <w:szCs w:val="24"/>
        </w:rPr>
        <w:t xml:space="preserve">study the alignment </w:t>
      </w:r>
      <w:r w:rsidRPr="0056120A">
        <w:rPr>
          <w:rFonts w:ascii="Times New Roman" w:hAnsi="Times New Roman" w:cs="Times New Roman"/>
          <w:sz w:val="24"/>
          <w:szCs w:val="24"/>
        </w:rPr>
        <w:t xml:space="preserve">of Education for Sustainable Development (ESD) approach </w:t>
      </w:r>
      <w:r>
        <w:rPr>
          <w:rFonts w:ascii="Times New Roman" w:hAnsi="Times New Roman" w:cs="Times New Roman"/>
          <w:sz w:val="24"/>
          <w:szCs w:val="24"/>
        </w:rPr>
        <w:t xml:space="preserve">with the </w:t>
      </w:r>
      <w:r w:rsidRPr="0056120A">
        <w:rPr>
          <w:rFonts w:ascii="Times New Roman" w:hAnsi="Times New Roman" w:cs="Times New Roman"/>
          <w:sz w:val="24"/>
          <w:szCs w:val="24"/>
        </w:rPr>
        <w:t>vision</w:t>
      </w:r>
      <w:r>
        <w:rPr>
          <w:rFonts w:ascii="Times New Roman" w:hAnsi="Times New Roman" w:cs="Times New Roman"/>
          <w:sz w:val="24"/>
          <w:szCs w:val="24"/>
        </w:rPr>
        <w:t>s</w:t>
      </w:r>
      <w:r w:rsidRPr="0056120A">
        <w:rPr>
          <w:rFonts w:ascii="Times New Roman" w:hAnsi="Times New Roman" w:cs="Times New Roman"/>
          <w:sz w:val="24"/>
          <w:szCs w:val="24"/>
        </w:rPr>
        <w:t xml:space="preserve"> outlined in the National Education Policy (NEP) 2020.</w:t>
      </w:r>
    </w:p>
    <w:p w14:paraId="3F86185B" w14:textId="43C6C990" w:rsidR="00236C68" w:rsidRPr="00720A3C" w:rsidRDefault="00236C68" w:rsidP="00720A3C">
      <w:pPr>
        <w:pStyle w:val="ListParagraph"/>
        <w:numPr>
          <w:ilvl w:val="0"/>
          <w:numId w:val="6"/>
        </w:numPr>
        <w:spacing w:line="360" w:lineRule="auto"/>
        <w:jc w:val="both"/>
        <w:rPr>
          <w:rFonts w:ascii="Times New Roman" w:hAnsi="Times New Roman" w:cs="Times New Roman"/>
          <w:b/>
          <w:bCs/>
          <w:sz w:val="24"/>
          <w:szCs w:val="24"/>
        </w:rPr>
      </w:pPr>
      <w:r w:rsidRPr="00720A3C">
        <w:rPr>
          <w:rFonts w:ascii="Times New Roman" w:hAnsi="Times New Roman" w:cs="Times New Roman"/>
          <w:b/>
          <w:bCs/>
          <w:sz w:val="24"/>
          <w:szCs w:val="24"/>
        </w:rPr>
        <w:t>Methodology</w:t>
      </w:r>
    </w:p>
    <w:p w14:paraId="1661343A" w14:textId="77777777" w:rsidR="00236C68" w:rsidRPr="008D5B39" w:rsidRDefault="00236C68" w:rsidP="008D5B39">
      <w:pPr>
        <w:spacing w:line="360" w:lineRule="auto"/>
        <w:ind w:left="360"/>
        <w:jc w:val="both"/>
        <w:rPr>
          <w:rFonts w:ascii="Times New Roman" w:hAnsi="Times New Roman" w:cs="Times New Roman"/>
          <w:color w:val="000000" w:themeColor="text1"/>
          <w:sz w:val="24"/>
          <w:szCs w:val="24"/>
        </w:rPr>
      </w:pPr>
      <w:r w:rsidRPr="008D5B39">
        <w:rPr>
          <w:rFonts w:ascii="Times New Roman" w:hAnsi="Times New Roman" w:cs="Times New Roman"/>
          <w:color w:val="000000" w:themeColor="text1"/>
          <w:sz w:val="24"/>
          <w:szCs w:val="24"/>
        </w:rPr>
        <w:t>The entire paper is based on a secondary database gathered from literary sources and has been developed through critical analysis using a qualitative approach.</w:t>
      </w:r>
    </w:p>
    <w:p w14:paraId="2A1D4E64" w14:textId="49224050" w:rsidR="00236C68" w:rsidRPr="00720A3C" w:rsidRDefault="00236C68" w:rsidP="00720A3C">
      <w:pPr>
        <w:pStyle w:val="ListParagraph"/>
        <w:numPr>
          <w:ilvl w:val="0"/>
          <w:numId w:val="6"/>
        </w:numPr>
        <w:spacing w:line="360" w:lineRule="auto"/>
        <w:jc w:val="both"/>
        <w:rPr>
          <w:rFonts w:ascii="Times New Roman" w:hAnsi="Times New Roman" w:cs="Times New Roman"/>
          <w:b/>
          <w:bCs/>
          <w:sz w:val="24"/>
          <w:szCs w:val="24"/>
        </w:rPr>
      </w:pPr>
      <w:r w:rsidRPr="00720A3C">
        <w:rPr>
          <w:rFonts w:ascii="Times New Roman" w:hAnsi="Times New Roman" w:cs="Times New Roman"/>
          <w:b/>
          <w:bCs/>
          <w:sz w:val="24"/>
          <w:szCs w:val="24"/>
        </w:rPr>
        <w:t>The National Education Policy 2020 of India</w:t>
      </w:r>
    </w:p>
    <w:p w14:paraId="41552A72" w14:textId="610D88CC" w:rsidR="00236C68" w:rsidRPr="00730C8C" w:rsidRDefault="00236C68" w:rsidP="008D5B39">
      <w:pPr>
        <w:spacing w:line="360" w:lineRule="auto"/>
        <w:ind w:left="360"/>
        <w:jc w:val="both"/>
        <w:rPr>
          <w:rFonts w:ascii="Times New Roman" w:hAnsi="Times New Roman" w:cs="Times New Roman"/>
          <w:sz w:val="24"/>
          <w:szCs w:val="24"/>
        </w:rPr>
      </w:pPr>
      <w:r w:rsidRPr="00730C8C">
        <w:rPr>
          <w:rFonts w:ascii="Times New Roman" w:hAnsi="Times New Roman" w:cs="Times New Roman"/>
          <w:sz w:val="24"/>
          <w:szCs w:val="24"/>
        </w:rPr>
        <w:t>India’s National Education Policy 2020 (NEP 2020) provides a comprehensive roadmap for reshaping the country’s education system to meet the demands of the 21st century and align with global trends. It addresses a wide range of areas that together aim to bring meaningful change, including curriculum design, teaching and learning methods, assessment processes, and governance structures.</w:t>
      </w:r>
      <w:r w:rsidR="00DD0DF3">
        <w:rPr>
          <w:rFonts w:ascii="Times New Roman" w:hAnsi="Times New Roman" w:cs="Times New Roman"/>
          <w:sz w:val="24"/>
          <w:szCs w:val="24"/>
        </w:rPr>
        <w:t xml:space="preserve"> </w:t>
      </w:r>
      <w:r w:rsidRPr="00730C8C">
        <w:rPr>
          <w:rFonts w:ascii="Times New Roman" w:hAnsi="Times New Roman" w:cs="Times New Roman"/>
          <w:sz w:val="24"/>
          <w:szCs w:val="24"/>
        </w:rPr>
        <w:t>With respect to curriculum and pedagogy refinements, NEP articulated several strategic aims and extensive guidelines to implement meaningful systemic change.</w:t>
      </w:r>
    </w:p>
    <w:p w14:paraId="7B4A2244" w14:textId="77777777" w:rsidR="00236C68" w:rsidRPr="0056120A" w:rsidRDefault="00236C68" w:rsidP="00236C68">
      <w:pPr>
        <w:spacing w:line="360" w:lineRule="auto"/>
        <w:jc w:val="both"/>
        <w:rPr>
          <w:rFonts w:ascii="Times New Roman" w:hAnsi="Times New Roman" w:cs="Times New Roman"/>
          <w:b/>
          <w:bCs/>
          <w:sz w:val="24"/>
          <w:szCs w:val="24"/>
        </w:rPr>
      </w:pPr>
    </w:p>
    <w:p w14:paraId="66117626" w14:textId="459200AD" w:rsidR="00236C68" w:rsidRPr="00C86E93" w:rsidRDefault="00236C68" w:rsidP="00C86E93">
      <w:pPr>
        <w:pStyle w:val="ListParagraph"/>
        <w:numPr>
          <w:ilvl w:val="0"/>
          <w:numId w:val="2"/>
        </w:numPr>
        <w:spacing w:line="360" w:lineRule="auto"/>
        <w:jc w:val="both"/>
        <w:rPr>
          <w:rFonts w:ascii="Times New Roman" w:hAnsi="Times New Roman" w:cs="Times New Roman"/>
          <w:sz w:val="24"/>
          <w:szCs w:val="24"/>
        </w:rPr>
      </w:pPr>
      <w:proofErr w:type="spellStart"/>
      <w:r w:rsidRPr="0056120A">
        <w:rPr>
          <w:rFonts w:ascii="Times New Roman" w:hAnsi="Times New Roman" w:cs="Times New Roman"/>
          <w:b/>
          <w:bCs/>
          <w:sz w:val="24"/>
          <w:szCs w:val="24"/>
        </w:rPr>
        <w:lastRenderedPageBreak/>
        <w:t>Multidisciplinarity</w:t>
      </w:r>
      <w:proofErr w:type="spellEnd"/>
      <w:r w:rsidRPr="0056120A">
        <w:rPr>
          <w:rFonts w:ascii="Times New Roman" w:hAnsi="Times New Roman" w:cs="Times New Roman"/>
          <w:b/>
          <w:bCs/>
          <w:sz w:val="24"/>
          <w:szCs w:val="24"/>
        </w:rPr>
        <w:t>:</w:t>
      </w:r>
      <w:r w:rsidRPr="00DF6491">
        <w:rPr>
          <w:rFonts w:ascii="Times New Roman" w:hAnsi="Times New Roman" w:cs="Times New Roman"/>
          <w:b/>
          <w:bCs/>
          <w:sz w:val="24"/>
          <w:szCs w:val="24"/>
        </w:rPr>
        <w:t xml:space="preserve"> </w:t>
      </w:r>
      <w:r w:rsidR="00C86E93" w:rsidRPr="00C86E93">
        <w:rPr>
          <w:rFonts w:ascii="Times New Roman" w:hAnsi="Times New Roman" w:cs="Times New Roman"/>
          <w:sz w:val="24"/>
          <w:szCs w:val="24"/>
        </w:rPr>
        <w:t>NEP 2020 recommends that education should cover a range of subjects, including science, social studies, arts, humanities, and sports, to create a complete and connected learning experience that reflects the diverse nature of knowledge.</w:t>
      </w:r>
    </w:p>
    <w:p w14:paraId="46EE7BED" w14:textId="77777777" w:rsidR="00236C68" w:rsidRPr="0056120A" w:rsidRDefault="00236C68" w:rsidP="00236C68">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Experiential, holistic and learner-</w:t>
      </w:r>
      <w:proofErr w:type="spellStart"/>
      <w:r w:rsidRPr="0056120A">
        <w:rPr>
          <w:rFonts w:ascii="Times New Roman" w:hAnsi="Times New Roman" w:cs="Times New Roman"/>
          <w:b/>
          <w:bCs/>
          <w:sz w:val="24"/>
          <w:szCs w:val="24"/>
        </w:rPr>
        <w:t>centered</w:t>
      </w:r>
      <w:proofErr w:type="spellEnd"/>
      <w:r w:rsidRPr="0056120A">
        <w:rPr>
          <w:rFonts w:ascii="Times New Roman" w:hAnsi="Times New Roman" w:cs="Times New Roman"/>
          <w:b/>
          <w:bCs/>
          <w:sz w:val="24"/>
          <w:szCs w:val="24"/>
        </w:rPr>
        <w:t xml:space="preserve"> pedagogy:</w:t>
      </w:r>
      <w:r w:rsidRPr="0056120A">
        <w:rPr>
          <w:rFonts w:ascii="Times New Roman" w:hAnsi="Times New Roman" w:cs="Times New Roman"/>
          <w:sz w:val="24"/>
          <w:szCs w:val="24"/>
        </w:rPr>
        <w:t xml:space="preserve"> NEP emphasizes that teaching approaches should develop to become more experiential, holistic, integrated, inquiry-driven, focused on discovery, </w:t>
      </w:r>
      <w:proofErr w:type="spellStart"/>
      <w:r w:rsidRPr="0056120A">
        <w:rPr>
          <w:rFonts w:ascii="Times New Roman" w:hAnsi="Times New Roman" w:cs="Times New Roman"/>
          <w:sz w:val="24"/>
          <w:szCs w:val="24"/>
        </w:rPr>
        <w:t>centered</w:t>
      </w:r>
      <w:proofErr w:type="spellEnd"/>
      <w:r w:rsidRPr="0056120A">
        <w:rPr>
          <w:rFonts w:ascii="Times New Roman" w:hAnsi="Times New Roman" w:cs="Times New Roman"/>
          <w:sz w:val="24"/>
          <w:szCs w:val="24"/>
        </w:rPr>
        <w:t xml:space="preserve"> around learners, discussion-oriented, adaptable, and enjoyable.</w:t>
      </w:r>
    </w:p>
    <w:p w14:paraId="4615110F" w14:textId="77777777" w:rsidR="00236C68" w:rsidRPr="0056120A" w:rsidRDefault="00236C68" w:rsidP="00236C68">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21</w:t>
      </w:r>
      <w:r w:rsidRPr="0056120A">
        <w:rPr>
          <w:rFonts w:ascii="Times New Roman" w:hAnsi="Times New Roman" w:cs="Times New Roman"/>
          <w:b/>
          <w:bCs/>
          <w:sz w:val="24"/>
          <w:szCs w:val="24"/>
          <w:vertAlign w:val="superscript"/>
        </w:rPr>
        <w:t>st</w:t>
      </w:r>
      <w:r w:rsidRPr="0056120A">
        <w:rPr>
          <w:rFonts w:ascii="Times New Roman" w:hAnsi="Times New Roman" w:cs="Times New Roman"/>
          <w:b/>
          <w:bCs/>
          <w:sz w:val="24"/>
          <w:szCs w:val="24"/>
        </w:rPr>
        <w:t xml:space="preserve"> century education:</w:t>
      </w:r>
      <w:r w:rsidRPr="0056120A">
        <w:rPr>
          <w:rFonts w:ascii="Times New Roman" w:hAnsi="Times New Roman" w:cs="Times New Roman"/>
          <w:sz w:val="24"/>
          <w:szCs w:val="24"/>
        </w:rPr>
        <w:t xml:space="preserve"> The policy suggests updating and improving every part of the education system, including how it is managed and regulated, to create a new system that meets the goals of 21st-century education.</w:t>
      </w:r>
    </w:p>
    <w:p w14:paraId="313C3DBF" w14:textId="77777777" w:rsidR="00236C68" w:rsidRPr="0056120A" w:rsidRDefault="00236C68" w:rsidP="00236C68">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Inclusive Education:</w:t>
      </w:r>
      <w:r w:rsidRPr="0056120A">
        <w:rPr>
          <w:rFonts w:ascii="Times New Roman" w:hAnsi="Times New Roman" w:cs="Times New Roman"/>
          <w:sz w:val="24"/>
          <w:szCs w:val="24"/>
        </w:rPr>
        <w:t xml:space="preserve"> NEP recognizes that complete fairness and inclusion are fundamental to all educational choices, ensuring that every student can succeed in the education system.</w:t>
      </w:r>
    </w:p>
    <w:p w14:paraId="6F19A54C" w14:textId="77777777" w:rsidR="00236C68" w:rsidRPr="0056120A" w:rsidRDefault="00236C68" w:rsidP="00236C68">
      <w:pPr>
        <w:pStyle w:val="NormalWeb"/>
        <w:numPr>
          <w:ilvl w:val="0"/>
          <w:numId w:val="2"/>
        </w:numPr>
        <w:spacing w:line="360" w:lineRule="auto"/>
        <w:jc w:val="both"/>
      </w:pPr>
      <w:r w:rsidRPr="0056120A">
        <w:rPr>
          <w:b/>
          <w:bCs/>
        </w:rPr>
        <w:t>Life skill Education:</w:t>
      </w:r>
      <w:r w:rsidRPr="0056120A">
        <w:t xml:space="preserve"> NEP 2020 recommends boosting life skills such as communication, cooperation, teamwork, and resilience through education.</w:t>
      </w:r>
    </w:p>
    <w:p w14:paraId="45E73771" w14:textId="77777777" w:rsidR="00236C68" w:rsidRPr="0056120A" w:rsidRDefault="00236C68" w:rsidP="00236C68">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Global Citizenship Education:</w:t>
      </w:r>
      <w:r w:rsidRPr="0056120A">
        <w:rPr>
          <w:rFonts w:ascii="Times New Roman" w:hAnsi="Times New Roman" w:cs="Times New Roman"/>
          <w:sz w:val="24"/>
          <w:szCs w:val="24"/>
        </w:rPr>
        <w:t xml:space="preserve"> </w:t>
      </w:r>
      <w:r w:rsidRPr="00761353">
        <w:rPr>
          <w:rFonts w:ascii="Times New Roman" w:hAnsi="Times New Roman" w:cs="Times New Roman"/>
          <w:sz w:val="24"/>
          <w:szCs w:val="24"/>
        </w:rPr>
        <w:t>The NEP 2020 highlights the importance of Global Citizenship Education by promoting values such as sustainability, empathy, appreciation of diversity, and active, responsible participation in the global community.</w:t>
      </w:r>
    </w:p>
    <w:p w14:paraId="5246B401" w14:textId="77777777" w:rsidR="00236C68" w:rsidRPr="00761353" w:rsidRDefault="00236C68" w:rsidP="00236C68">
      <w:pPr>
        <w:pStyle w:val="NormalWeb"/>
        <w:numPr>
          <w:ilvl w:val="0"/>
          <w:numId w:val="2"/>
        </w:numPr>
        <w:spacing w:line="360" w:lineRule="auto"/>
        <w:jc w:val="both"/>
      </w:pPr>
      <w:r w:rsidRPr="00761353">
        <w:rPr>
          <w:b/>
          <w:bCs/>
        </w:rPr>
        <w:t>Quality Education:</w:t>
      </w:r>
      <w:r w:rsidRPr="00761353">
        <w:t xml:space="preserve"> The National Education Policy seeks to build an education system rooted in Indian values, with the goal of transforming the country into an equitable and dynamic knowledge society while ensuring wider access to quality learning opportunities.</w:t>
      </w:r>
    </w:p>
    <w:p w14:paraId="7D746EEA" w14:textId="5F45F657" w:rsidR="00236C68" w:rsidRDefault="00236C68" w:rsidP="00720A3C">
      <w:pPr>
        <w:pStyle w:val="ListParagraph"/>
        <w:numPr>
          <w:ilvl w:val="0"/>
          <w:numId w:val="6"/>
        </w:numPr>
        <w:spacing w:line="360" w:lineRule="auto"/>
        <w:jc w:val="both"/>
        <w:rPr>
          <w:rFonts w:ascii="Times New Roman" w:hAnsi="Times New Roman" w:cs="Times New Roman"/>
          <w:b/>
          <w:bCs/>
          <w:sz w:val="24"/>
          <w:szCs w:val="24"/>
        </w:rPr>
      </w:pPr>
      <w:r w:rsidRPr="00720A3C">
        <w:rPr>
          <w:rFonts w:ascii="Times New Roman" w:hAnsi="Times New Roman" w:cs="Times New Roman"/>
          <w:b/>
          <w:bCs/>
          <w:sz w:val="24"/>
          <w:szCs w:val="24"/>
        </w:rPr>
        <w:t>ESD and its alignment with NEP-2020</w:t>
      </w:r>
    </w:p>
    <w:p w14:paraId="1A084797" w14:textId="0ACCEC4A" w:rsidR="00DD0DF3" w:rsidRPr="00DE6A2A" w:rsidRDefault="00DE6A2A" w:rsidP="00DD0DF3">
      <w:pPr>
        <w:pStyle w:val="ListParagraph"/>
        <w:spacing w:line="360" w:lineRule="auto"/>
        <w:jc w:val="both"/>
        <w:rPr>
          <w:rFonts w:ascii="Times New Roman" w:hAnsi="Times New Roman" w:cs="Times New Roman"/>
          <w:sz w:val="24"/>
          <w:szCs w:val="24"/>
        </w:rPr>
      </w:pPr>
      <w:r w:rsidRPr="00DE6A2A">
        <w:rPr>
          <w:rFonts w:ascii="Times New Roman" w:hAnsi="Times New Roman" w:cs="Times New Roman"/>
          <w:sz w:val="24"/>
          <w:szCs w:val="24"/>
        </w:rPr>
        <w:t>The way ESD connects with the visions of NEP-2020 in the above aspects can be explained and justified in the following ways.</w:t>
      </w:r>
    </w:p>
    <w:p w14:paraId="76CFFE11" w14:textId="5B22FCDF" w:rsidR="00236C68" w:rsidRPr="00350752" w:rsidRDefault="00236C68" w:rsidP="00720A3C">
      <w:pPr>
        <w:pStyle w:val="ListParagraph"/>
        <w:numPr>
          <w:ilvl w:val="1"/>
          <w:numId w:val="6"/>
        </w:numPr>
        <w:spacing w:line="360" w:lineRule="auto"/>
        <w:jc w:val="both"/>
        <w:rPr>
          <w:rFonts w:ascii="Times New Roman" w:hAnsi="Times New Roman" w:cs="Times New Roman"/>
          <w:b/>
          <w:bCs/>
          <w:sz w:val="24"/>
          <w:szCs w:val="24"/>
        </w:rPr>
      </w:pPr>
      <w:r w:rsidRPr="00350752">
        <w:rPr>
          <w:rFonts w:ascii="Times New Roman" w:hAnsi="Times New Roman" w:cs="Times New Roman"/>
          <w:b/>
          <w:bCs/>
          <w:sz w:val="24"/>
          <w:szCs w:val="24"/>
        </w:rPr>
        <w:t xml:space="preserve">ESD and </w:t>
      </w:r>
      <w:proofErr w:type="spellStart"/>
      <w:r w:rsidRPr="00350752">
        <w:rPr>
          <w:rFonts w:ascii="Times New Roman" w:hAnsi="Times New Roman" w:cs="Times New Roman"/>
          <w:b/>
          <w:bCs/>
          <w:sz w:val="24"/>
          <w:szCs w:val="24"/>
        </w:rPr>
        <w:t>Multidisciplinarity</w:t>
      </w:r>
      <w:proofErr w:type="spellEnd"/>
    </w:p>
    <w:p w14:paraId="49B3983C" w14:textId="3B2EAE10" w:rsidR="00E35F74" w:rsidRDefault="00E35F74" w:rsidP="00481FBE">
      <w:pPr>
        <w:pStyle w:val="NormalWeb"/>
        <w:spacing w:line="360" w:lineRule="auto"/>
        <w:ind w:left="720"/>
        <w:jc w:val="both"/>
      </w:pPr>
      <w:r w:rsidRPr="00E35F74">
        <w:t xml:space="preserve">NEP 2020 envisions a multidisciplinary education system that provides students with the diverse skillsets to respond to global challenges and to contribute to the advancement of the nation. It emphasizes the necessity of combining science, </w:t>
      </w:r>
      <w:r w:rsidRPr="00E35F74">
        <w:lastRenderedPageBreak/>
        <w:t>technology, humanities, and the arts, recognizing that science, technology, and the humanities and arts must be developed together to prepare flexible and employable workers in the future.</w:t>
      </w:r>
      <w:r w:rsidR="00481FBE" w:rsidRPr="00481FBE">
        <w:t xml:space="preserve"> In addition to flexible subject choices at the secondary stage, vocational education should provide room for students to follow and develop different interests</w:t>
      </w:r>
      <w:r w:rsidRPr="00E35F74">
        <w:t>.</w:t>
      </w:r>
      <w:r w:rsidR="00B47106">
        <w:t xml:space="preserve"> </w:t>
      </w:r>
      <w:r w:rsidRPr="00E35F74">
        <w:t>In higher education</w:t>
      </w:r>
      <w:r w:rsidR="004678F6">
        <w:t>, the policy</w:t>
      </w:r>
      <w:r w:rsidRPr="00E35F74">
        <w:t xml:space="preserve"> directs the establishment of multidisciplinary universities and clusters of institutions with a rollout plan for every higher education institution to use by the year 2040. </w:t>
      </w:r>
    </w:p>
    <w:p w14:paraId="163B7D8F" w14:textId="7DC65BEB" w:rsidR="00236C68" w:rsidRPr="00A82481" w:rsidRDefault="00236C68" w:rsidP="00A82481">
      <w:pPr>
        <w:spacing w:after="0" w:line="360" w:lineRule="auto"/>
        <w:ind w:left="720"/>
        <w:jc w:val="both"/>
        <w:rPr>
          <w:rFonts w:ascii="Times New Roman" w:eastAsia="Times New Roman" w:hAnsi="Times New Roman" w:cs="Times New Roman"/>
          <w:sz w:val="24"/>
          <w:szCs w:val="24"/>
          <w:lang w:eastAsia="en-IN"/>
        </w:rPr>
      </w:pPr>
      <w:r w:rsidRPr="00A82481">
        <w:rPr>
          <w:rFonts w:ascii="Times New Roman" w:hAnsi="Times New Roman" w:cs="Times New Roman"/>
          <w:sz w:val="24"/>
          <w:szCs w:val="24"/>
        </w:rPr>
        <w:t xml:space="preserve">ESD, as an educational approach, emphasizes blending and connecting knowledge across </w:t>
      </w:r>
      <w:r w:rsidR="00A82481">
        <w:rPr>
          <w:rFonts w:ascii="Times New Roman" w:hAnsi="Times New Roman" w:cs="Times New Roman"/>
          <w:sz w:val="24"/>
          <w:szCs w:val="24"/>
        </w:rPr>
        <w:tab/>
      </w:r>
      <w:r w:rsidRPr="00A82481">
        <w:rPr>
          <w:rFonts w:ascii="Times New Roman" w:hAnsi="Times New Roman" w:cs="Times New Roman"/>
          <w:sz w:val="24"/>
          <w:szCs w:val="24"/>
        </w:rPr>
        <w:t>disciplines, highlighting its interdisciplinary and transdisciplinary nature, and is increasingly recognized as essential for strengthening education systems by integrating diverse perspectives into comprehensive frameworks that deepen understanding of sustainability (</w:t>
      </w:r>
      <w:proofErr w:type="spellStart"/>
      <w:r w:rsidRPr="00A82481">
        <w:rPr>
          <w:rFonts w:ascii="Times New Roman" w:hAnsi="Times New Roman" w:cs="Times New Roman"/>
          <w:sz w:val="24"/>
          <w:szCs w:val="24"/>
        </w:rPr>
        <w:t>Didham</w:t>
      </w:r>
      <w:proofErr w:type="spellEnd"/>
      <w:r w:rsidRPr="00A82481">
        <w:rPr>
          <w:rFonts w:ascii="Times New Roman" w:hAnsi="Times New Roman" w:cs="Times New Roman"/>
          <w:sz w:val="24"/>
          <w:szCs w:val="24"/>
        </w:rPr>
        <w:t xml:space="preserve"> et al., 2024).</w:t>
      </w:r>
      <w:r w:rsidR="00A82481" w:rsidRPr="00A82481">
        <w:rPr>
          <w:rFonts w:ascii="Times New Roman" w:hAnsi="Times New Roman" w:cs="Times New Roman"/>
          <w:sz w:val="24"/>
          <w:szCs w:val="24"/>
        </w:rPr>
        <w:t xml:space="preserve"> </w:t>
      </w:r>
      <w:r w:rsidR="00A82481" w:rsidRPr="00A82481">
        <w:rPr>
          <w:rFonts w:ascii="Times New Roman" w:eastAsia="Times New Roman" w:hAnsi="Times New Roman" w:cs="Times New Roman"/>
          <w:sz w:val="24"/>
          <w:szCs w:val="24"/>
          <w:lang w:eastAsia="en-IN"/>
        </w:rPr>
        <w:t>In order to address socio-scientific issues (SSIs) and sustainable development issues, interdisciplinary and transdisciplinary educational mechanisms are an intriguing solution that can assist researchers in exploring, navigating, and grappling with complex, contextual, and contested issues</w:t>
      </w:r>
      <w:r w:rsidR="00A82481">
        <w:rPr>
          <w:rFonts w:ascii="Times New Roman" w:eastAsia="Times New Roman" w:hAnsi="Times New Roman" w:cs="Times New Roman"/>
          <w:sz w:val="24"/>
          <w:szCs w:val="24"/>
          <w:lang w:eastAsia="en-IN"/>
        </w:rPr>
        <w:t xml:space="preserve"> </w:t>
      </w:r>
      <w:r w:rsidRPr="00A82481">
        <w:rPr>
          <w:rFonts w:ascii="Times New Roman" w:hAnsi="Times New Roman" w:cs="Times New Roman"/>
          <w:sz w:val="24"/>
          <w:szCs w:val="24"/>
        </w:rPr>
        <w:t>(</w:t>
      </w:r>
      <w:proofErr w:type="spellStart"/>
      <w:r w:rsidRPr="00A82481">
        <w:rPr>
          <w:rFonts w:ascii="Times New Roman" w:hAnsi="Times New Roman" w:cs="Times New Roman"/>
          <w:sz w:val="24"/>
          <w:szCs w:val="24"/>
        </w:rPr>
        <w:t>Kioupi</w:t>
      </w:r>
      <w:proofErr w:type="spellEnd"/>
      <w:r w:rsidRPr="00A82481">
        <w:rPr>
          <w:rFonts w:ascii="Times New Roman" w:hAnsi="Times New Roman" w:cs="Times New Roman"/>
          <w:sz w:val="24"/>
          <w:szCs w:val="24"/>
        </w:rPr>
        <w:t xml:space="preserve"> &amp; </w:t>
      </w:r>
      <w:proofErr w:type="spellStart"/>
      <w:r w:rsidRPr="00A82481">
        <w:rPr>
          <w:rFonts w:ascii="Times New Roman" w:hAnsi="Times New Roman" w:cs="Times New Roman"/>
          <w:sz w:val="24"/>
          <w:szCs w:val="24"/>
        </w:rPr>
        <w:t>Voulvoulis</w:t>
      </w:r>
      <w:proofErr w:type="spellEnd"/>
      <w:r w:rsidRPr="00A82481">
        <w:rPr>
          <w:rFonts w:ascii="Times New Roman" w:hAnsi="Times New Roman" w:cs="Times New Roman"/>
          <w:sz w:val="24"/>
          <w:szCs w:val="24"/>
        </w:rPr>
        <w:t>, 2019).</w:t>
      </w:r>
    </w:p>
    <w:p w14:paraId="034CA0AF" w14:textId="77777777" w:rsidR="00236C68" w:rsidRPr="0056120A" w:rsidRDefault="00236C68" w:rsidP="00236C68">
      <w:pPr>
        <w:pStyle w:val="NormalWeb"/>
        <w:spacing w:line="360" w:lineRule="auto"/>
        <w:ind w:left="720"/>
        <w:jc w:val="both"/>
      </w:pPr>
      <w:r w:rsidRPr="005C6C1E">
        <w:t>Interdisciplinarity in ESD is valuable for addressing knowledge gaps through collaboration across disciplines and promoting critical thinking by allowing students to draw upon multiple disciplines simultaneously to confront contemporary problems.</w:t>
      </w:r>
      <w:r w:rsidRPr="0056120A">
        <w:t xml:space="preserve"> (</w:t>
      </w:r>
      <w:proofErr w:type="spellStart"/>
      <w:r w:rsidRPr="0056120A">
        <w:t>Mokski</w:t>
      </w:r>
      <w:proofErr w:type="spellEnd"/>
      <w:r w:rsidRPr="0056120A">
        <w:t xml:space="preserve"> et. al.,</w:t>
      </w:r>
      <w:r>
        <w:t xml:space="preserve"> </w:t>
      </w:r>
      <w:r w:rsidRPr="0056120A">
        <w:t xml:space="preserve">2023). </w:t>
      </w:r>
      <w:r w:rsidRPr="005C6C1E">
        <w:t xml:space="preserve">The literature indicates that ESD is founded on the principle of </w:t>
      </w:r>
      <w:proofErr w:type="spellStart"/>
      <w:r w:rsidRPr="005C6C1E">
        <w:t>transdisciplinarity</w:t>
      </w:r>
      <w:proofErr w:type="spellEnd"/>
      <w:r w:rsidRPr="005C6C1E">
        <w:t>, but research does not sufficiently explore this idea. However, being open to diverse ideas and knowledge would make ESD more relevant and used more widely throughout the world</w:t>
      </w:r>
      <w:r>
        <w:t xml:space="preserve"> </w:t>
      </w:r>
      <w:r w:rsidRPr="0056120A">
        <w:t>(Kohl, Sanusi, &amp; Hussien, 2024).</w:t>
      </w:r>
    </w:p>
    <w:p w14:paraId="2DBD02DC" w14:textId="77777777" w:rsidR="00236C68" w:rsidRDefault="00236C68" w:rsidP="00236C68">
      <w:pPr>
        <w:pStyle w:val="NormalWeb"/>
        <w:spacing w:line="360" w:lineRule="auto"/>
        <w:ind w:left="720"/>
        <w:jc w:val="both"/>
      </w:pPr>
      <w:r w:rsidRPr="00723335">
        <w:t xml:space="preserve">In defining the concepts UNESCO explained </w:t>
      </w:r>
      <w:proofErr w:type="spellStart"/>
      <w:r w:rsidRPr="00723335">
        <w:t>Multidisciplinarity</w:t>
      </w:r>
      <w:proofErr w:type="spellEnd"/>
      <w:r w:rsidRPr="00723335">
        <w:t xml:space="preserve"> integrates discrete disciplines in a loose or false manner, interdisciplinarity integrates perspectives but retains the boundaries inherent to each separate discipline, and </w:t>
      </w:r>
      <w:proofErr w:type="spellStart"/>
      <w:r w:rsidRPr="00723335">
        <w:t>transdisciplinarity</w:t>
      </w:r>
      <w:proofErr w:type="spellEnd"/>
      <w:r w:rsidRPr="00723335">
        <w:t xml:space="preserve"> fully integrates knowledge across disciplines to deal with complex global challenges in the same intellectual space</w:t>
      </w:r>
      <w:r>
        <w:t xml:space="preserve"> </w:t>
      </w:r>
      <w:r w:rsidRPr="0056120A">
        <w:t xml:space="preserve">(UNESCO, 1998). </w:t>
      </w:r>
    </w:p>
    <w:p w14:paraId="47238EFC" w14:textId="77777777" w:rsidR="00236C68" w:rsidRPr="0056120A" w:rsidRDefault="00236C68" w:rsidP="00236C68">
      <w:pPr>
        <w:pStyle w:val="NormalWeb"/>
        <w:spacing w:line="360" w:lineRule="auto"/>
        <w:ind w:left="720"/>
        <w:jc w:val="both"/>
      </w:pPr>
      <w:r w:rsidRPr="00723335">
        <w:t xml:space="preserve">Education for Sustainable Development (ESD) supports the objectives of NEP 2020 in promoting multidisciplinary learning by preparing learners to address complicated issues in their local and global contexts. NEP 2020 makes visible room for flexible </w:t>
      </w:r>
      <w:r w:rsidRPr="00723335">
        <w:lastRenderedPageBreak/>
        <w:t>academia and holistic institutional development, while ESD extends the framework of NEP 2020 by fostering interdisciplinary and transdisciplinary perspectives. The two are mutually dependent, as NEP 2020’s structural changes and ESD's orientational constructs work together to develop the higher-order thinking and problem-solving skills needed for sustainable development.</w:t>
      </w:r>
    </w:p>
    <w:p w14:paraId="3A313AF4" w14:textId="11F009A9" w:rsidR="00236C68" w:rsidRPr="00350752" w:rsidRDefault="00236C68" w:rsidP="00720A3C">
      <w:pPr>
        <w:pStyle w:val="NormalWeb"/>
        <w:numPr>
          <w:ilvl w:val="1"/>
          <w:numId w:val="6"/>
        </w:numPr>
        <w:spacing w:line="360" w:lineRule="auto"/>
        <w:jc w:val="both"/>
        <w:rPr>
          <w:b/>
          <w:bCs/>
        </w:rPr>
      </w:pPr>
      <w:r w:rsidRPr="00350752">
        <w:rPr>
          <w:b/>
          <w:bCs/>
        </w:rPr>
        <w:t>ESD and Experiential, holistic and learner-</w:t>
      </w:r>
      <w:proofErr w:type="spellStart"/>
      <w:r w:rsidRPr="00350752">
        <w:rPr>
          <w:b/>
          <w:bCs/>
        </w:rPr>
        <w:t>centered</w:t>
      </w:r>
      <w:proofErr w:type="spellEnd"/>
      <w:r w:rsidRPr="00350752">
        <w:rPr>
          <w:b/>
          <w:bCs/>
        </w:rPr>
        <w:t xml:space="preserve"> pedagogy</w:t>
      </w:r>
    </w:p>
    <w:p w14:paraId="0DAF8194" w14:textId="77777777" w:rsidR="00236C68" w:rsidRPr="0056120A" w:rsidRDefault="00236C68" w:rsidP="00236C68">
      <w:pPr>
        <w:pStyle w:val="NormalWeb"/>
        <w:spacing w:line="360" w:lineRule="auto"/>
        <w:ind w:left="720"/>
        <w:jc w:val="both"/>
      </w:pPr>
      <w:r w:rsidRPr="0056120A">
        <w:t>NEP 2020 advocates for pedagogical approaches that are experiential, holistic, inquiry-driven, discussion-based, and learner-</w:t>
      </w:r>
      <w:proofErr w:type="spellStart"/>
      <w:r w:rsidRPr="0056120A">
        <w:t>centered</w:t>
      </w:r>
      <w:proofErr w:type="spellEnd"/>
      <w:r w:rsidRPr="0056120A">
        <w:t xml:space="preserve">. It emphasizes activity-based learning, storytelling, art- and sports-integration, and hands-on experiences across all subjects and stages of education. The document recommends reducing curriculum content to key concepts, enabling more time for creativity, critical thinking, and interactive learning. It also highlights the importance of teaching that encourages exploration and interlinking of subjects, with assessments aligned to learning competencies. </w:t>
      </w:r>
    </w:p>
    <w:p w14:paraId="210AC390" w14:textId="77777777" w:rsidR="00236C68" w:rsidRPr="0056120A" w:rsidRDefault="00236C68" w:rsidP="00236C68">
      <w:pPr>
        <w:pStyle w:val="NormalWeb"/>
        <w:spacing w:line="360" w:lineRule="auto"/>
        <w:ind w:left="720"/>
        <w:jc w:val="both"/>
      </w:pPr>
      <w:r w:rsidRPr="0056120A">
        <w:t xml:space="preserve">ESD through action-oriented transformative pedagogy aims at developing sustainability competencies and enabling learners to become motivated and critical sustainability citizens who actively engage in creating a sustainable future. This requires pedagogical approaches that are learner-centred as well as action-oriented, and transformative (UNESCO, 2018). </w:t>
      </w:r>
    </w:p>
    <w:p w14:paraId="34FD3904" w14:textId="011D965F" w:rsidR="00236C68" w:rsidRPr="0056120A" w:rsidRDefault="00720A3C" w:rsidP="00236C68">
      <w:pPr>
        <w:pStyle w:val="NormalWeb"/>
        <w:spacing w:line="360" w:lineRule="auto"/>
        <w:ind w:firstLine="720"/>
        <w:jc w:val="both"/>
        <w:rPr>
          <w:b/>
          <w:bCs/>
        </w:rPr>
      </w:pPr>
      <w:r>
        <w:rPr>
          <w:b/>
          <w:bCs/>
        </w:rPr>
        <w:t xml:space="preserve">5.2.1 </w:t>
      </w:r>
      <w:r w:rsidR="00236C68" w:rsidRPr="0056120A">
        <w:rPr>
          <w:b/>
          <w:bCs/>
        </w:rPr>
        <w:t>Pedagogical approaches for ESD (UNESCO, 2018)</w:t>
      </w:r>
    </w:p>
    <w:p w14:paraId="71810FCA" w14:textId="77777777" w:rsidR="00236C68" w:rsidRPr="0056120A" w:rsidRDefault="00236C68" w:rsidP="00236C68">
      <w:pPr>
        <w:pStyle w:val="NormalWeb"/>
        <w:spacing w:line="360" w:lineRule="auto"/>
        <w:ind w:left="720"/>
        <w:jc w:val="both"/>
      </w:pPr>
      <w:r w:rsidRPr="0056120A">
        <w:rPr>
          <w:b/>
          <w:bCs/>
        </w:rPr>
        <w:t>Learner-centred</w:t>
      </w:r>
      <w:r w:rsidRPr="0056120A">
        <w:t xml:space="preserve"> </w:t>
      </w:r>
      <w:r w:rsidRPr="0056120A">
        <w:rPr>
          <w:b/>
          <w:bCs/>
        </w:rPr>
        <w:t>approach:</w:t>
      </w:r>
      <w:r w:rsidRPr="0056120A">
        <w:t xml:space="preserve"> Learner-centred pedagogy emphasizes active knowledge construction based on learners’ prior experiences, encouraging reflection and self-regulation, while shifting the educator’s role from knowledge transmitter to facilitator of learning.</w:t>
      </w:r>
    </w:p>
    <w:p w14:paraId="7F47A134" w14:textId="77777777" w:rsidR="00236C68" w:rsidRPr="0056120A" w:rsidRDefault="00236C68" w:rsidP="00236C68">
      <w:pPr>
        <w:pStyle w:val="NormalWeb"/>
        <w:spacing w:line="360" w:lineRule="auto"/>
        <w:ind w:left="720"/>
        <w:jc w:val="both"/>
      </w:pPr>
      <w:r w:rsidRPr="0056120A">
        <w:rPr>
          <w:b/>
          <w:bCs/>
        </w:rPr>
        <w:t>Action-oriented learning</w:t>
      </w:r>
      <w:r w:rsidRPr="0056120A">
        <w:t>: Action-oriented learning engages learners in real-world experiences and reflection, following Kolb’s experiential learning cycle, to deepen knowledge, develop competencies, and connect abstract concepts to personal growth, with educators facilitating meaningful, reflective learning environments.</w:t>
      </w:r>
    </w:p>
    <w:p w14:paraId="7A004C96" w14:textId="77777777" w:rsidR="00236C68" w:rsidRPr="009A3CD2" w:rsidRDefault="00236C68" w:rsidP="00236C68">
      <w:pPr>
        <w:pStyle w:val="NormalWeb"/>
        <w:spacing w:line="360" w:lineRule="auto"/>
        <w:ind w:left="720"/>
        <w:jc w:val="both"/>
      </w:pPr>
      <w:r w:rsidRPr="0056120A">
        <w:rPr>
          <w:b/>
          <w:bCs/>
        </w:rPr>
        <w:lastRenderedPageBreak/>
        <w:t>Transformative learning:</w:t>
      </w:r>
      <w:r w:rsidRPr="0056120A">
        <w:t xml:space="preserve"> Transformative learning empowers learners to critically question and reshape their worldviews to deepen understanding, with educators facilitating this change, while transgressive learning goes further by encouraging disruptive thinking and co-creation of new knowledge to challenge the status quo.</w:t>
      </w:r>
    </w:p>
    <w:p w14:paraId="78870AB4" w14:textId="72EE1212" w:rsidR="00236C68" w:rsidRPr="0056120A" w:rsidRDefault="00720A3C" w:rsidP="00236C68">
      <w:pPr>
        <w:pStyle w:val="NormalWeb"/>
        <w:spacing w:line="360" w:lineRule="auto"/>
        <w:ind w:firstLine="360"/>
        <w:jc w:val="both"/>
        <w:rPr>
          <w:b/>
          <w:bCs/>
        </w:rPr>
      </w:pPr>
      <w:r>
        <w:rPr>
          <w:b/>
          <w:bCs/>
        </w:rPr>
        <w:t xml:space="preserve">5.2.2 </w:t>
      </w:r>
      <w:r w:rsidR="00236C68" w:rsidRPr="0056120A">
        <w:rPr>
          <w:b/>
          <w:bCs/>
        </w:rPr>
        <w:t>ESD Pedagogies (UNESCO, 2012)</w:t>
      </w:r>
    </w:p>
    <w:p w14:paraId="6FB2911A" w14:textId="77777777" w:rsidR="00236C68" w:rsidRPr="0056120A" w:rsidRDefault="00236C68" w:rsidP="00236C68">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sz w:val="24"/>
          <w:szCs w:val="24"/>
          <w:lang w:eastAsia="en-IN"/>
        </w:rPr>
        <w:t>ESD pedagogies, often place-based or problem-focused, promote critical thinking, social critique, and value-based analysis of local contexts, while integrating the arts to foster creativity, envision alternative futures, and cultivate learners’ sense of social justice and self-efficacy as active community members.</w:t>
      </w:r>
    </w:p>
    <w:p w14:paraId="30757A13" w14:textId="77777777" w:rsidR="00236C68" w:rsidRPr="0056120A" w:rsidRDefault="00236C68" w:rsidP="00236C68">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b/>
          <w:bCs/>
          <w:sz w:val="24"/>
          <w:szCs w:val="24"/>
          <w:lang w:eastAsia="en-IN"/>
        </w:rPr>
        <w:t>Simulation:</w:t>
      </w:r>
      <w:r w:rsidRPr="0056120A">
        <w:rPr>
          <w:rFonts w:ascii="Times New Roman" w:eastAsia="Times New Roman" w:hAnsi="Times New Roman" w:cs="Times New Roman"/>
          <w:sz w:val="24"/>
          <w:szCs w:val="24"/>
          <w:lang w:eastAsia="en-IN"/>
        </w:rPr>
        <w:t xml:space="preserve"> Simulations are simplified, real-world teaching scenarios that allow learners to actively engage with complex, abstract sustainability concepts by providing concrete, relatable experiences. By highlighting key aspects and reducing complexity, simulations make abstract ideas more accessible, especially for children and adolescents still developing abstract thinking skills.</w:t>
      </w:r>
    </w:p>
    <w:p w14:paraId="25D8E679" w14:textId="77777777" w:rsidR="00236C68" w:rsidRPr="0056120A" w:rsidRDefault="00236C68" w:rsidP="00236C68">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b/>
          <w:bCs/>
          <w:sz w:val="24"/>
          <w:szCs w:val="24"/>
          <w:lang w:eastAsia="en-IN"/>
        </w:rPr>
        <w:t>Class discussion:</w:t>
      </w:r>
      <w:r w:rsidRPr="0056120A">
        <w:rPr>
          <w:rFonts w:ascii="Times New Roman" w:eastAsia="Times New Roman" w:hAnsi="Times New Roman" w:cs="Times New Roman"/>
          <w:sz w:val="24"/>
          <w:szCs w:val="24"/>
          <w:lang w:eastAsia="en-IN"/>
        </w:rPr>
        <w:t xml:space="preserve"> </w:t>
      </w:r>
      <w:r w:rsidRPr="00B41406">
        <w:rPr>
          <w:rFonts w:ascii="Times New Roman" w:eastAsia="Times New Roman" w:hAnsi="Times New Roman" w:cs="Times New Roman"/>
          <w:sz w:val="24"/>
          <w:szCs w:val="24"/>
          <w:lang w:eastAsia="en-IN"/>
        </w:rPr>
        <w:t>Class discussions enrich sustainability education by valuing the diverse life experiences and local observations of students, allowing for a reciprocal flow of information between students and teachers, and promote important ESD communication skills such as clear speaking, listening, questioning, and summarizing, especially if students have an auditory preference for learning.</w:t>
      </w:r>
    </w:p>
    <w:p w14:paraId="0D0E72F2" w14:textId="77777777" w:rsidR="00236C68" w:rsidRPr="0056120A" w:rsidRDefault="00236C68" w:rsidP="00236C68">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b/>
          <w:bCs/>
          <w:sz w:val="24"/>
          <w:szCs w:val="24"/>
          <w:lang w:eastAsia="en-IN"/>
        </w:rPr>
        <w:t>Issue analysis</w:t>
      </w:r>
      <w:r w:rsidRPr="0056120A">
        <w:rPr>
          <w:rFonts w:ascii="Times New Roman" w:eastAsia="Times New Roman" w:hAnsi="Times New Roman" w:cs="Times New Roman"/>
          <w:sz w:val="24"/>
          <w:szCs w:val="24"/>
          <w:lang w:eastAsia="en-IN"/>
        </w:rPr>
        <w:t xml:space="preserve">: </w:t>
      </w:r>
      <w:r w:rsidRPr="006500A0">
        <w:rPr>
          <w:rFonts w:ascii="Times New Roman" w:eastAsia="Times New Roman" w:hAnsi="Times New Roman" w:cs="Times New Roman"/>
          <w:sz w:val="24"/>
          <w:szCs w:val="24"/>
          <w:lang w:eastAsia="en-IN"/>
        </w:rPr>
        <w:t>Issue analysis provides a systematic, interdisciplinary approach to considering the environmental, social, economic, and political dimensions of a community problem, including relevant stakeholders, arguments, and implications of proposed solutions. I</w:t>
      </w:r>
      <w:r>
        <w:rPr>
          <w:rFonts w:ascii="Times New Roman" w:eastAsia="Times New Roman" w:hAnsi="Times New Roman" w:cs="Times New Roman"/>
          <w:sz w:val="24"/>
          <w:szCs w:val="24"/>
          <w:lang w:eastAsia="en-IN"/>
        </w:rPr>
        <w:t>t</w:t>
      </w:r>
      <w:r w:rsidRPr="006500A0">
        <w:rPr>
          <w:rFonts w:ascii="Times New Roman" w:eastAsia="Times New Roman" w:hAnsi="Times New Roman" w:cs="Times New Roman"/>
          <w:sz w:val="24"/>
          <w:szCs w:val="24"/>
          <w:lang w:eastAsia="en-IN"/>
        </w:rPr>
        <w:t xml:space="preserve"> gives students critical thinking skills for comprehensively addressing complex sustainability issues, designing local solutions, and recognizing global implications and social inequities.</w:t>
      </w:r>
    </w:p>
    <w:p w14:paraId="357A1609" w14:textId="1DBDF324" w:rsidR="00720A3C" w:rsidRPr="009D255C" w:rsidRDefault="00236C68" w:rsidP="00720A3C">
      <w:pPr>
        <w:pStyle w:val="ListParagraph"/>
        <w:numPr>
          <w:ilvl w:val="0"/>
          <w:numId w:val="5"/>
        </w:numPr>
        <w:spacing w:before="100" w:beforeAutospacing="1" w:after="100" w:afterAutospacing="1" w:line="360" w:lineRule="auto"/>
        <w:jc w:val="both"/>
        <w:rPr>
          <w:b/>
          <w:bCs/>
          <w:u w:val="single"/>
        </w:rPr>
      </w:pPr>
      <w:r w:rsidRPr="001D3F73">
        <w:rPr>
          <w:rFonts w:ascii="Times New Roman" w:eastAsia="Times New Roman" w:hAnsi="Times New Roman" w:cs="Times New Roman"/>
          <w:b/>
          <w:bCs/>
          <w:sz w:val="24"/>
          <w:szCs w:val="24"/>
          <w:lang w:eastAsia="en-IN"/>
        </w:rPr>
        <w:t>Storytelling</w:t>
      </w:r>
      <w:r w:rsidRPr="001D3F73">
        <w:rPr>
          <w:rFonts w:ascii="Times New Roman" w:eastAsia="Times New Roman" w:hAnsi="Times New Roman" w:cs="Times New Roman"/>
          <w:sz w:val="24"/>
          <w:szCs w:val="24"/>
          <w:lang w:eastAsia="en-IN"/>
        </w:rPr>
        <w:t>: Storytelling is an effective ESD pedagogy that embodies sustainability concepts by relating them to cultural traditions, lived experiences, and moral values to expand respect for heritage and the natural world. It can build better understanding and retention, particularly for auditory learners, since it embeds a human element to an abstract idea and makes material more relatable or easy to remember in an experiential way.</w:t>
      </w:r>
    </w:p>
    <w:p w14:paraId="1B256181" w14:textId="77777777" w:rsidR="009D255C" w:rsidRPr="009D255C" w:rsidRDefault="009D255C" w:rsidP="009D255C">
      <w:pPr>
        <w:pStyle w:val="ListParagraph"/>
        <w:spacing w:before="100" w:beforeAutospacing="1" w:after="100" w:afterAutospacing="1" w:line="360" w:lineRule="auto"/>
        <w:jc w:val="both"/>
        <w:rPr>
          <w:b/>
          <w:bCs/>
          <w:u w:val="single"/>
        </w:rPr>
      </w:pPr>
    </w:p>
    <w:p w14:paraId="3B4A3165" w14:textId="327FB43C" w:rsidR="00236C68" w:rsidRPr="00350752" w:rsidRDefault="00236C68" w:rsidP="00720A3C">
      <w:pPr>
        <w:pStyle w:val="ListParagraph"/>
        <w:numPr>
          <w:ilvl w:val="1"/>
          <w:numId w:val="6"/>
        </w:numPr>
        <w:spacing w:before="100" w:beforeAutospacing="1" w:after="100" w:afterAutospacing="1" w:line="360" w:lineRule="auto"/>
        <w:jc w:val="both"/>
        <w:rPr>
          <w:rFonts w:ascii="Times New Roman" w:hAnsi="Times New Roman" w:cs="Times New Roman"/>
          <w:b/>
          <w:bCs/>
          <w:sz w:val="24"/>
          <w:szCs w:val="24"/>
        </w:rPr>
      </w:pPr>
      <w:r w:rsidRPr="00350752">
        <w:rPr>
          <w:rFonts w:ascii="Times New Roman" w:hAnsi="Times New Roman" w:cs="Times New Roman"/>
          <w:b/>
          <w:bCs/>
          <w:sz w:val="24"/>
          <w:szCs w:val="24"/>
        </w:rPr>
        <w:lastRenderedPageBreak/>
        <w:t>ESD and 21</w:t>
      </w:r>
      <w:r w:rsidRPr="00350752">
        <w:rPr>
          <w:rFonts w:ascii="Times New Roman" w:hAnsi="Times New Roman" w:cs="Times New Roman"/>
          <w:b/>
          <w:bCs/>
          <w:sz w:val="24"/>
          <w:szCs w:val="24"/>
          <w:vertAlign w:val="superscript"/>
        </w:rPr>
        <w:t>st</w:t>
      </w:r>
      <w:r w:rsidRPr="00350752">
        <w:rPr>
          <w:rFonts w:ascii="Times New Roman" w:hAnsi="Times New Roman" w:cs="Times New Roman"/>
          <w:b/>
          <w:bCs/>
          <w:sz w:val="24"/>
          <w:szCs w:val="24"/>
        </w:rPr>
        <w:t xml:space="preserve"> century education</w:t>
      </w:r>
    </w:p>
    <w:p w14:paraId="2855BEBE" w14:textId="77777777" w:rsidR="00236C68" w:rsidRPr="0056120A" w:rsidRDefault="00236C68" w:rsidP="00236C68">
      <w:pPr>
        <w:pStyle w:val="NormalWeb"/>
        <w:spacing w:line="360" w:lineRule="auto"/>
        <w:ind w:left="720"/>
        <w:jc w:val="both"/>
      </w:pPr>
      <w:r w:rsidRPr="0056120A">
        <w:t>NEP 2020 emphasizes equipping learners with essential 21st-century skills. Which are categorized into Learning Skills (4Cs—Critical Thinking, Creativity and Innovation, Collaboration, Communication), Literacy Skills (IMT—Information, Media, and Technology Literacy), and Life Skills (FLIPS—Flexibility and Adaptability, Leadership and Responsibility, Initiative and Self-Direction, Social and Cross-Cultural Interaction) (Central Board of Secondary Education, 2020). It envisions a shift from rote learning to experiential, holistic, and value-based education that nurtures critical thinking, character, lifelong learning, and integrates traditional knowledge with modern needs. Ultimately, the policy seeks to create individuals who are academically sound, socially responsible, and future-ready.</w:t>
      </w:r>
    </w:p>
    <w:p w14:paraId="7C834AB3" w14:textId="77777777" w:rsidR="00236C68" w:rsidRPr="0056120A" w:rsidRDefault="00236C68" w:rsidP="00236C68">
      <w:pPr>
        <w:pStyle w:val="NormalWeb"/>
        <w:spacing w:line="360" w:lineRule="auto"/>
        <w:ind w:left="720"/>
        <w:jc w:val="both"/>
      </w:pPr>
      <w:r w:rsidRPr="0056120A">
        <w:t xml:space="preserve">Pedagogical approaches play a vital role in fostering 21st-century skills and delivering high-quality education (Malik, 2018; Allen &amp; Van der Velden, 2012; French et al., 2020). </w:t>
      </w:r>
      <w:r w:rsidRPr="00F11E19">
        <w:t xml:space="preserve">UNESCO advocates that Education for Sustainable Development (ESD) develop sustainability competencies through active, participatory, transformative learning experiences that utilize strategies such as real-world collaboration, future-oriented thinking, systems thinking, and reflective practice. </w:t>
      </w:r>
      <w:r w:rsidRPr="0056120A">
        <w:t xml:space="preserve">(UNESCO,2018). </w:t>
      </w:r>
      <w:r w:rsidRPr="00F11E19">
        <w:t>While some researchers have emphasized the value of flexible teaching strategies that are tailored to each learner's needs, others have concentrated on the role that collaborative and hands-on learning play in developing abilities like creativity, critical thinking, and digital literacy</w:t>
      </w:r>
      <w:r>
        <w:t xml:space="preserve"> </w:t>
      </w:r>
      <w:r w:rsidRPr="0056120A">
        <w:t xml:space="preserve">(Rajaram, 2023; </w:t>
      </w:r>
      <w:proofErr w:type="spellStart"/>
      <w:r w:rsidRPr="0056120A">
        <w:t>Tigchelaar</w:t>
      </w:r>
      <w:proofErr w:type="spellEnd"/>
      <w:r w:rsidRPr="0056120A">
        <w:t xml:space="preserve"> et al., 2010). </w:t>
      </w:r>
      <w:r w:rsidRPr="00F11E19">
        <w:t>Project-Based Learning (PBL) is a dynamic teaching approach that, when combined with other teaching techniques, captivates students in the learning process by improving their critical thinking, teamwork, and application of 21st-century skills</w:t>
      </w:r>
      <w:r>
        <w:t xml:space="preserve"> </w:t>
      </w:r>
      <w:r w:rsidRPr="0056120A">
        <w:t xml:space="preserve">(Gabuardi, 2021; Bell, 2019; Duran &amp; </w:t>
      </w:r>
      <w:proofErr w:type="spellStart"/>
      <w:r w:rsidRPr="0056120A">
        <w:t>Dökme</w:t>
      </w:r>
      <w:proofErr w:type="spellEnd"/>
      <w:r w:rsidRPr="0056120A">
        <w:t xml:space="preserve">, 2016). </w:t>
      </w:r>
      <w:r w:rsidRPr="00110935">
        <w:t>With a focus on extra action-oriented techniques, inquiry-based learning (IBL) engages students in question-driven inquiry and evidence-based reasoning, fostering critical thinking, research, analysis, and creative problem-solving—all of which are essential 21st-century competencies (Adeoye et al., 2024).However, by promoting collaboration, clear communication, and the development of social-emotional skills, cooperative learning fosters both academic and personal development, ultimately promoting high-quality education and lifelong learning</w:t>
      </w:r>
      <w:r>
        <w:t xml:space="preserve"> </w:t>
      </w:r>
      <w:r w:rsidRPr="0056120A">
        <w:t>(Lawrence, 2017; Slavin, 2012). According to (</w:t>
      </w:r>
      <w:proofErr w:type="spellStart"/>
      <w:r w:rsidRPr="0056120A">
        <w:t>Smeda</w:t>
      </w:r>
      <w:proofErr w:type="spellEnd"/>
      <w:r w:rsidRPr="0056120A">
        <w:t xml:space="preserve"> et al. 2014), digital </w:t>
      </w:r>
      <w:r w:rsidRPr="0056120A">
        <w:lastRenderedPageBreak/>
        <w:t>storytelling, as a learner-centred approach, enhances communication, writing, and collaboration skills while also fostering cross-curricular competencies like teamwork, independent learning, and project-based learning, empowering students to take charge of their own learning. Studies also found that ESD-based learning can enhance students' problem-solving abilities, as seen in the case of the Lapindo mud phenomenon, where integrating Science concepts of liquid pressure—such as Archimedes’ Law and Bernoulli’s Law—with ESD principles (social, ecological, and economic aspects) helps students develop a deeper, interdisciplinary understanding (Pradipta et al., 2021). Adding further evidences studies have discovered that the benefits of Education for Sustainable Development (ESD) as a pedagogical approach that enhances not only students’ but also teachers’ and pre-service teachers’ 21st-century attitudes while increasing their environmental awareness (Mishra, 2021), and further emphasizes that education serves as a key instrument for achieving sustainable national development in countries like Nigeria by equipping pre-service teachers with essential 21st-century scientific skills (Ogundare et al., 2023).</w:t>
      </w:r>
    </w:p>
    <w:p w14:paraId="53D5A066" w14:textId="2068247F" w:rsidR="00236C68" w:rsidRPr="00350752" w:rsidRDefault="00236C68" w:rsidP="00720A3C">
      <w:pPr>
        <w:pStyle w:val="NormalWeb"/>
        <w:numPr>
          <w:ilvl w:val="1"/>
          <w:numId w:val="6"/>
        </w:numPr>
        <w:spacing w:line="360" w:lineRule="auto"/>
        <w:jc w:val="both"/>
        <w:rPr>
          <w:b/>
          <w:bCs/>
        </w:rPr>
      </w:pPr>
      <w:r w:rsidRPr="00350752">
        <w:rPr>
          <w:b/>
          <w:bCs/>
        </w:rPr>
        <w:t>ESD and Inclusive Education</w:t>
      </w:r>
    </w:p>
    <w:p w14:paraId="45774E22" w14:textId="77777777" w:rsidR="00236C68" w:rsidRPr="0056120A" w:rsidRDefault="00236C68" w:rsidP="00236C68">
      <w:pPr>
        <w:pStyle w:val="NormalWeb"/>
        <w:spacing w:line="360" w:lineRule="auto"/>
        <w:ind w:left="720"/>
        <w:jc w:val="both"/>
      </w:pPr>
      <w:r w:rsidRPr="0056120A">
        <w:t xml:space="preserve">NEP 2020 focuses on inclusive, equitable, and quality education for all by 2030, aiming to develop responsible, empathetic, and ethical individuals for a just society. It emphasizes safe and supportive learning environments, inclusive school culture, and reducing social and learning gaps. </w:t>
      </w:r>
      <w:r w:rsidRPr="005D7D45">
        <w:t>While programs like internships and Global Citizenship Education link learning to real-world issues, the curriculum encourages inclusivity and social awareness.</w:t>
      </w:r>
    </w:p>
    <w:p w14:paraId="0CFD4978" w14:textId="77777777" w:rsidR="00236C68" w:rsidRPr="0056120A" w:rsidRDefault="00236C68" w:rsidP="00236C68">
      <w:pPr>
        <w:pStyle w:val="NormalWeb"/>
        <w:spacing w:line="360" w:lineRule="auto"/>
        <w:ind w:left="720"/>
        <w:jc w:val="both"/>
      </w:pPr>
      <w:r w:rsidRPr="00A46B81">
        <w:t>Since both education for sustainable development (ESD) and inclusive education emphasize social justice, human rights, personal growth, and empowerment, they should be approached jointly rather than independently.</w:t>
      </w:r>
      <w:r w:rsidRPr="0056120A">
        <w:t xml:space="preserve"> (</w:t>
      </w:r>
      <w:proofErr w:type="spellStart"/>
      <w:r w:rsidRPr="0056120A">
        <w:t>Vierbuchen</w:t>
      </w:r>
      <w:proofErr w:type="spellEnd"/>
      <w:r w:rsidRPr="0056120A">
        <w:t xml:space="preserve"> &amp; </w:t>
      </w:r>
      <w:proofErr w:type="spellStart"/>
      <w:r w:rsidRPr="0056120A">
        <w:t>Rieckmann</w:t>
      </w:r>
      <w:proofErr w:type="spellEnd"/>
      <w:r w:rsidRPr="0056120A">
        <w:t xml:space="preserve">, 2020; Böhme, 2019; </w:t>
      </w:r>
      <w:proofErr w:type="spellStart"/>
      <w:r w:rsidRPr="0056120A">
        <w:t>Böhme</w:t>
      </w:r>
      <w:proofErr w:type="spellEnd"/>
      <w:r w:rsidRPr="0056120A">
        <w:t xml:space="preserve"> &amp; </w:t>
      </w:r>
      <w:proofErr w:type="spellStart"/>
      <w:r w:rsidRPr="0056120A">
        <w:t>Führing</w:t>
      </w:r>
      <w:proofErr w:type="spellEnd"/>
      <w:r w:rsidRPr="0056120A">
        <w:t xml:space="preserve">, 2014). </w:t>
      </w:r>
      <w:r>
        <w:t>Inclusive education creates equal opportunities for all to take part in society. Education for Sustainable Development (ESD) builds on this by preparing individuals to actively support sustainable growth. In this way, inclusion becomes a vital foundation for realizing the aims of ESD.</w:t>
      </w:r>
      <w:r w:rsidRPr="0056120A">
        <w:t xml:space="preserve"> (Chekan et al.,</w:t>
      </w:r>
      <w:r>
        <w:t xml:space="preserve"> </w:t>
      </w:r>
      <w:r w:rsidRPr="0056120A">
        <w:t>2023).</w:t>
      </w:r>
    </w:p>
    <w:p w14:paraId="6BF82F46" w14:textId="77777777" w:rsidR="00236C68" w:rsidRPr="0056120A" w:rsidRDefault="00236C68" w:rsidP="00236C68">
      <w:pPr>
        <w:pStyle w:val="NormalWeb"/>
        <w:spacing w:line="360" w:lineRule="auto"/>
        <w:ind w:left="720"/>
        <w:jc w:val="both"/>
      </w:pPr>
      <w:r w:rsidRPr="0056120A">
        <w:lastRenderedPageBreak/>
        <w:t>Considering the scope of ESD, a democratic viewpoint is vital as it encourages learners to question and reflect on values, norms, and standards (Ohman, 2008).</w:t>
      </w:r>
      <w:r w:rsidRPr="00144A77">
        <w:t xml:space="preserve"> </w:t>
      </w:r>
      <w:r>
        <w:t>Seen from a wider angle, ESD plays an important role in advancing social inclusion. It supports learners in realizing their potential as responsible citizens (Pooley &amp; Connor, 2000) and also enriches the learning environment by opening up greater opportunities for students from disadvantaged groups to be included</w:t>
      </w:r>
      <w:r w:rsidRPr="0056120A">
        <w:t xml:space="preserve">. Within the framework of ESD, promoting Global Citizenship Education (GCED) and Education for Democratic Citizenship (EDC) aligns with Agenda 2030’s aim of ensuring no one is excluded, by fostering in all learners a feeling of connection to the global community and encouraging them to interact with others based on shared universal values and respect for individual differences (Campbell &amp; Covell, 2001). Studies also found that Government policies and ESD-based teacher education, as seen in Malawi and Eswatini, play a vital role in promoting inclusivity by empowering educators to address diverse needs and create accessible, supportive learning environments (de Souza, 2024). Although there is ongoing debate about the most suitable teaching methods for ESD (Huckle &amp; Wals, 2015), it is widely accepted that learners need to engage in active, practical, and participatory learning to not only comprehend the complexities of sustainable development but also to contribute effectively to social transformation. To boost such justification </w:t>
      </w:r>
      <w:proofErr w:type="spellStart"/>
      <w:r w:rsidRPr="0056120A">
        <w:t>Chikamori</w:t>
      </w:r>
      <w:proofErr w:type="spellEnd"/>
      <w:r w:rsidRPr="0056120A">
        <w:t xml:space="preserve">, </w:t>
      </w:r>
      <w:proofErr w:type="spellStart"/>
      <w:r w:rsidRPr="0056120A">
        <w:t>Tanimura</w:t>
      </w:r>
      <w:proofErr w:type="spellEnd"/>
      <w:r w:rsidRPr="0056120A">
        <w:t>, and Ueno, (2019) describe ESD as an inclusive educational process that encourages continuous reflection and critical thinking, leading to transformative change</w:t>
      </w:r>
    </w:p>
    <w:p w14:paraId="2B3A707D" w14:textId="377F1EFF" w:rsidR="00236C68" w:rsidRPr="00350752" w:rsidRDefault="00236C68" w:rsidP="00720A3C">
      <w:pPr>
        <w:pStyle w:val="NormalWeb"/>
        <w:numPr>
          <w:ilvl w:val="1"/>
          <w:numId w:val="6"/>
        </w:numPr>
        <w:spacing w:line="360" w:lineRule="auto"/>
        <w:jc w:val="both"/>
        <w:rPr>
          <w:b/>
          <w:bCs/>
        </w:rPr>
      </w:pPr>
      <w:r w:rsidRPr="00350752">
        <w:rPr>
          <w:b/>
          <w:bCs/>
        </w:rPr>
        <w:t>ESD and Life skill Education:</w:t>
      </w:r>
    </w:p>
    <w:p w14:paraId="7BFA4027" w14:textId="77777777" w:rsidR="00236C68" w:rsidRPr="0056120A" w:rsidRDefault="00236C68" w:rsidP="00236C68">
      <w:pPr>
        <w:pStyle w:val="NormalWeb"/>
        <w:spacing w:line="360" w:lineRule="auto"/>
        <w:ind w:left="720"/>
        <w:jc w:val="both"/>
        <w:rPr>
          <w:b/>
          <w:bCs/>
        </w:rPr>
      </w:pPr>
      <w:r w:rsidRPr="0056120A">
        <w:t xml:space="preserve">NEP 2020 highlights the importance of life skills such as communication, cooperation, teamwork, and resilience as key components of education. It promotes sports-integrated learning as a cross-curricular approach that uses physical activities, including indigenous games, to foster collaboration, self-discipline, self-direction, responsibility, and citizenship. This approach not only enhances life skills but also supports physical fitness and cognitive development, aligning with the goals of the Fit India Movement. The policy also addresses adult education by mandating a dedicated NCERT body to develop a comprehensive curriculum framework covering foundational literacy, numeracy, and critical life skills like financial and digital literacy, healthcare, child care, and family welfare. </w:t>
      </w:r>
    </w:p>
    <w:p w14:paraId="4A7C02B7" w14:textId="0A7060B7" w:rsidR="00236C68" w:rsidRPr="0056120A" w:rsidRDefault="00236C68" w:rsidP="00236C68">
      <w:pPr>
        <w:pStyle w:val="NormalWeb"/>
        <w:spacing w:line="360" w:lineRule="auto"/>
        <w:ind w:left="720"/>
        <w:jc w:val="both"/>
      </w:pPr>
      <w:r w:rsidRPr="0056120A">
        <w:lastRenderedPageBreak/>
        <w:t xml:space="preserve">The ESD </w:t>
      </w:r>
      <w:r w:rsidR="00DA42FE">
        <w:t>approach</w:t>
      </w:r>
      <w:r w:rsidRPr="0056120A">
        <w:t xml:space="preserve"> fosters responsible citizenship by developing students’ leadership and socio-emotional skills—such as self-esteem, autonomy, communication, and collaboration—empowering them to apply these competencies to real-world global challenges (Mahmoud,2022; Global School Programme). It develops awareness of the interconnectedness of natural, socio-economic, and political systems while enhancing problem-solving, participatory, and analytical skills, ultimately promoting sustainable lifestyles, civic engagement, environmental stewardship, and inclusive decision-making through a blend of formal, non-formal, and informal education (Yadav &amp; Suman, 2023). Researches also advocate for a transformative approach to education—referred to as ‘sustainable education’—that blends both instrumental and intrinsic perspectives, aiming to cultivate resilient learners capable of fostering robust social-ecological systems amid a future marked by threats, uncertainty, and unexpected challenges (Sterling, 2011).</w:t>
      </w:r>
    </w:p>
    <w:p w14:paraId="12810BB6" w14:textId="7B643898" w:rsidR="00236C68" w:rsidRPr="00350752" w:rsidRDefault="00236C68" w:rsidP="00720A3C">
      <w:pPr>
        <w:pStyle w:val="ListParagraph"/>
        <w:numPr>
          <w:ilvl w:val="1"/>
          <w:numId w:val="6"/>
        </w:numPr>
        <w:spacing w:line="360" w:lineRule="auto"/>
        <w:jc w:val="both"/>
        <w:rPr>
          <w:rFonts w:ascii="Times New Roman" w:hAnsi="Times New Roman" w:cs="Times New Roman"/>
          <w:b/>
          <w:bCs/>
          <w:sz w:val="24"/>
          <w:szCs w:val="24"/>
        </w:rPr>
      </w:pPr>
      <w:r w:rsidRPr="00350752">
        <w:rPr>
          <w:rFonts w:ascii="Times New Roman" w:hAnsi="Times New Roman" w:cs="Times New Roman"/>
          <w:b/>
          <w:bCs/>
          <w:sz w:val="24"/>
          <w:szCs w:val="24"/>
        </w:rPr>
        <w:t>ESD and Global citizenship Education</w:t>
      </w:r>
    </w:p>
    <w:p w14:paraId="7BAB07CD" w14:textId="2F0F7605" w:rsidR="00236C68" w:rsidRPr="006C7DE3" w:rsidRDefault="00236C68" w:rsidP="006C7DE3">
      <w:pPr>
        <w:spacing w:after="0" w:line="360" w:lineRule="auto"/>
        <w:ind w:left="720"/>
        <w:jc w:val="both"/>
        <w:rPr>
          <w:rFonts w:ascii="Times New Roman" w:eastAsia="Times New Roman" w:hAnsi="Times New Roman" w:cs="Times New Roman"/>
          <w:sz w:val="24"/>
          <w:szCs w:val="24"/>
          <w:lang w:eastAsia="en-IN"/>
        </w:rPr>
      </w:pPr>
      <w:r w:rsidRPr="001F038A">
        <w:rPr>
          <w:rFonts w:ascii="Times New Roman" w:hAnsi="Times New Roman" w:cs="Times New Roman"/>
          <w:sz w:val="24"/>
          <w:szCs w:val="24"/>
        </w:rPr>
        <w:t xml:space="preserve">The NEP 2020 highlights Global Citizenship Education (GCED) as a key element of holistic and multidisciplinary learning. It advocates for curricula that bring together environmental consciousness, value-based education, life skills, and community engagement to prepare learners for the demands of a changing world. </w:t>
      </w:r>
      <w:r w:rsidR="001F038A" w:rsidRPr="001F038A">
        <w:rPr>
          <w:rFonts w:ascii="Times New Roman" w:eastAsia="Times New Roman" w:hAnsi="Times New Roman" w:cs="Times New Roman"/>
          <w:sz w:val="24"/>
          <w:szCs w:val="24"/>
          <w:lang w:eastAsia="en-IN"/>
        </w:rPr>
        <w:t>Students who foster empathy, respect, tolerance, non-violence, and a strong sense of human rights and inclusion are the goal of the policy. In addition, it promotes sustainability and global responsibility while highlighting the importance of fostering pride in India's heritage. The ultimate objective is to empower students to develop into responsible, inclusive, and engaged global citizens.</w:t>
      </w:r>
    </w:p>
    <w:p w14:paraId="6B5736A3" w14:textId="77777777" w:rsidR="00236C68" w:rsidRPr="0056120A" w:rsidRDefault="00236C68" w:rsidP="00236C68">
      <w:pPr>
        <w:pStyle w:val="NormalWeb"/>
        <w:spacing w:line="360" w:lineRule="auto"/>
        <w:ind w:left="720"/>
        <w:jc w:val="both"/>
      </w:pPr>
      <w:r w:rsidRPr="0056120A">
        <w:t xml:space="preserve">Sustainability, once focused mainly on the environment, has expanded to include social, economic, and political dimensions, fostering global citizenship, community engagement, and integrated solutions to complex challenges (Mohanty et al., 2024). In the context of GCED, its link with ESD has been clear since the United Nations’ Global Education First Initiative (GEFI, 2012), which positioned education for sustainable development as the basis for global citizenship education (UNESCO, 2013). While connecting ESD and GCED, studies found that Even though they are not exactly the same, global citizenship education and global sustainability education have many areas in common (Khoo &amp; Jørgensen, 2021) and adopting an ESD-based </w:t>
      </w:r>
      <w:r w:rsidRPr="0056120A">
        <w:lastRenderedPageBreak/>
        <w:t xml:space="preserve">approach in curricula, along with strong faculty support and institutional frameworks, allows international student mobility to enhance sustainability awareness and global citizenship meaningfully (Chasokela,2024). Research also shows that GCED and ESD are closely connected fields, strongly related to CCE (Civic and citizenship education) and to how citizenship is understood in today’s global and post-national context (Damiani &amp; </w:t>
      </w:r>
      <w:proofErr w:type="spellStart"/>
      <w:r w:rsidRPr="0056120A">
        <w:t>Fraillon</w:t>
      </w:r>
      <w:proofErr w:type="spellEnd"/>
      <w:r w:rsidRPr="0056120A">
        <w:t xml:space="preserve">, 2025). </w:t>
      </w:r>
    </w:p>
    <w:p w14:paraId="0BD7EC1A" w14:textId="329744AA" w:rsidR="00236C68" w:rsidRPr="00350752" w:rsidRDefault="00236C68" w:rsidP="00720A3C">
      <w:pPr>
        <w:pStyle w:val="NormalWeb"/>
        <w:numPr>
          <w:ilvl w:val="1"/>
          <w:numId w:val="6"/>
        </w:numPr>
        <w:rPr>
          <w:b/>
          <w:bCs/>
        </w:rPr>
      </w:pPr>
      <w:r w:rsidRPr="00350752">
        <w:rPr>
          <w:b/>
          <w:bCs/>
        </w:rPr>
        <w:t>ESD and Quality Education:</w:t>
      </w:r>
    </w:p>
    <w:p w14:paraId="75894FAC" w14:textId="77777777" w:rsidR="00236C68" w:rsidRPr="000406D0" w:rsidRDefault="00236C68" w:rsidP="00236C68">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sz w:val="24"/>
          <w:szCs w:val="24"/>
          <w:lang w:eastAsia="en-IN"/>
        </w:rPr>
        <w:t xml:space="preserve">The National Education Policy (NEP) 2020 envisions universal access to quality education as a foundation for human potential, equity, and national development. It emphasizes inclusion of marginalized groups while fostering holistic, multidisciplinary, and globally comparable learning rooted in Indian values and sustainability. </w:t>
      </w:r>
      <w:r w:rsidRPr="000406D0">
        <w:rPr>
          <w:rFonts w:ascii="Times New Roman" w:hAnsi="Times New Roman" w:cs="Times New Roman"/>
          <w:sz w:val="24"/>
          <w:szCs w:val="24"/>
        </w:rPr>
        <w:t>The policy places strong focus on the role of technology, continuous teacher development, and greater investment to widen access, raise quality, and equip the system for future needs. Its long-term vision is to position India as a dynamic knowledge society and a global leader in education by 2040.</w:t>
      </w:r>
    </w:p>
    <w:p w14:paraId="2FC27C76" w14:textId="77777777" w:rsidR="00236C68" w:rsidRPr="0056120A" w:rsidRDefault="00236C68" w:rsidP="00236C68">
      <w:pPr>
        <w:pStyle w:val="NormalWeb"/>
        <w:spacing w:line="360" w:lineRule="auto"/>
        <w:ind w:left="720"/>
        <w:jc w:val="both"/>
        <w:rPr>
          <w:rStyle w:val="Strong"/>
          <w:b w:val="0"/>
          <w:bCs w:val="0"/>
        </w:rPr>
      </w:pPr>
      <w:r w:rsidRPr="0056120A">
        <w:rPr>
          <w:rStyle w:val="Strong"/>
          <w:b w:val="0"/>
          <w:bCs w:val="0"/>
        </w:rPr>
        <w:t>Quality education is a dynamic and context-specific concept that evolves with time, adapting to social, economic, and environmental conditions, and therefore varies across different cultures and regions (</w:t>
      </w:r>
      <w:r w:rsidRPr="0056120A">
        <w:t>Dixit, 2018</w:t>
      </w:r>
      <w:r w:rsidRPr="0056120A">
        <w:rPr>
          <w:rStyle w:val="Strong"/>
          <w:b w:val="0"/>
          <w:bCs w:val="0"/>
        </w:rPr>
        <w:t xml:space="preserve">). UNICEF views quality education as an integrated approach that produces equitable learning outcomes by providing healthy learners with family and community support, safe and inclusive environments, relevant and practical curricula, and child-focused teaching by well-trained educators </w:t>
      </w:r>
      <w:r w:rsidRPr="0056120A">
        <w:t>(UNICEF, 2000)</w:t>
      </w:r>
      <w:r w:rsidRPr="0056120A">
        <w:rPr>
          <w:rStyle w:val="Strong"/>
          <w:b w:val="0"/>
          <w:bCs w:val="0"/>
        </w:rPr>
        <w:t>. Models explaining quality education include the economic model, which emphasizes measurable outcomes, the humanist model, focusing on holistic learner development and social goals, and the learning-as-connection model, which integrates local knowledge with abstract concepts for contextual relevance and sustainability.</w:t>
      </w:r>
    </w:p>
    <w:p w14:paraId="532D81D3" w14:textId="77777777" w:rsidR="00236C68" w:rsidRPr="0056120A" w:rsidRDefault="00236C68" w:rsidP="00236C68">
      <w:pPr>
        <w:pStyle w:val="NormalWeb"/>
        <w:spacing w:line="360" w:lineRule="auto"/>
        <w:ind w:left="720"/>
        <w:jc w:val="both"/>
      </w:pPr>
      <w:r w:rsidRPr="0056120A">
        <w:t>The close connection between quality education and ESD was first recognized globally by the UNDESD in 2005 (</w:t>
      </w:r>
      <w:proofErr w:type="spellStart"/>
      <w:r w:rsidRPr="0056120A">
        <w:t>Didham</w:t>
      </w:r>
      <w:proofErr w:type="spellEnd"/>
      <w:r w:rsidRPr="0056120A">
        <w:t xml:space="preserve"> &amp; </w:t>
      </w:r>
      <w:proofErr w:type="spellStart"/>
      <w:r w:rsidRPr="0056120A">
        <w:t>Ofei-manu</w:t>
      </w:r>
      <w:proofErr w:type="spellEnd"/>
      <w:r w:rsidRPr="0056120A">
        <w:t xml:space="preserve">, 2018:87). According to a cross-country study by Lauri et al., Education for Sustainable Development (ESD) enhances the quality of education across UNICEF’s key dimensions by improving learners’ academic outcomes and critical competencies, enriching content to make </w:t>
      </w:r>
      <w:r w:rsidRPr="0056120A">
        <w:lastRenderedPageBreak/>
        <w:t>curricula relevant and engaging, advancing teaching–learning processes through experiential and interdisciplinary methods, fostering supportive environments through strong school–community partnerships, and ultimately equipping students with the knowledge, values, and skills to address sustainability challenges. Studies also found that environment and sustainability education strengthen the quality and relevance of education by engaging communities in collective efforts through formal, non-formal, and informal avenues to nurture sustainable values and practices (Shumba et al., 2008), while the implementation of STEM-ESD enhances education quality by engaging students with environmental issues and fostering critical, systematic thinking to address sustainability challenges (</w:t>
      </w:r>
      <w:proofErr w:type="spellStart"/>
      <w:r w:rsidRPr="0056120A">
        <w:t>Fathurohman</w:t>
      </w:r>
      <w:proofErr w:type="spellEnd"/>
      <w:r w:rsidRPr="0056120A">
        <w:t xml:space="preserve"> et al., 2023). In sum, these findings affirm that ESD serves as a transformative approach to advancing holistic, relevant, and future-oriented quality education.</w:t>
      </w:r>
    </w:p>
    <w:p w14:paraId="13DA5605" w14:textId="04841209" w:rsidR="00236C68" w:rsidRDefault="00236C68" w:rsidP="00720A3C">
      <w:pPr>
        <w:pStyle w:val="NormalWeb"/>
        <w:numPr>
          <w:ilvl w:val="0"/>
          <w:numId w:val="6"/>
        </w:numPr>
        <w:spacing w:line="360" w:lineRule="auto"/>
        <w:jc w:val="both"/>
        <w:rPr>
          <w:b/>
          <w:bCs/>
        </w:rPr>
      </w:pPr>
      <w:r w:rsidRPr="0056120A">
        <w:rPr>
          <w:b/>
          <w:bCs/>
        </w:rPr>
        <w:t>Analysis and Discussion</w:t>
      </w:r>
    </w:p>
    <w:p w14:paraId="2B33247E" w14:textId="77777777" w:rsidR="00E03621" w:rsidRDefault="00E03621" w:rsidP="00720A3C">
      <w:pPr>
        <w:pStyle w:val="NormalWeb"/>
        <w:spacing w:line="360" w:lineRule="auto"/>
        <w:ind w:left="360"/>
        <w:jc w:val="both"/>
      </w:pPr>
      <w:r>
        <w:t xml:space="preserve">NEP 2020 puts forward several ideas for curricular and pedagogical change, such as </w:t>
      </w:r>
      <w:proofErr w:type="spellStart"/>
      <w:r>
        <w:t>multidisciplinarity</w:t>
      </w:r>
      <w:proofErr w:type="spellEnd"/>
      <w:r>
        <w:t>, experiential and learner-focused teaching, inclusivity, life skills, 21st-century competencies, global citizenship, and quality education. The aim is to build an education system that is holistic, practical, and rooted in strong values while preparing learners for the future. Taken together, they strongly connect with the strategies of Education for Sustainable Development (ESD).</w:t>
      </w:r>
    </w:p>
    <w:p w14:paraId="20888602" w14:textId="31EF6551" w:rsidR="00E03621" w:rsidRDefault="00E03621" w:rsidP="00720A3C">
      <w:pPr>
        <w:pStyle w:val="NormalWeb"/>
        <w:spacing w:line="360" w:lineRule="auto"/>
        <w:ind w:left="360"/>
        <w:jc w:val="both"/>
      </w:pPr>
      <w:r w:rsidRPr="00964E7C">
        <w:t xml:space="preserve">NEP 2020 gives importance to </w:t>
      </w:r>
      <w:proofErr w:type="spellStart"/>
      <w:r w:rsidRPr="00964E7C">
        <w:t>multidisciplinarity</w:t>
      </w:r>
      <w:proofErr w:type="spellEnd"/>
      <w:r w:rsidRPr="00964E7C">
        <w:t xml:space="preserve">, while ESD goes further by stressing interdisciplinarity and </w:t>
      </w:r>
      <w:proofErr w:type="spellStart"/>
      <w:r w:rsidRPr="00964E7C">
        <w:t>transdisciplinarity</w:t>
      </w:r>
      <w:proofErr w:type="spellEnd"/>
      <w:r w:rsidRPr="00964E7C">
        <w:t xml:space="preserve"> to deal with complex global challenges. Both together build a supportive framework that encourages critical thinking, problem-solving, and learning focused on sustainability.</w:t>
      </w:r>
      <w:r>
        <w:t xml:space="preserve"> </w:t>
      </w:r>
    </w:p>
    <w:p w14:paraId="422B887B" w14:textId="5C78C774" w:rsidR="00236C68" w:rsidRDefault="00236C68" w:rsidP="00720A3C">
      <w:pPr>
        <w:pStyle w:val="NormalWeb"/>
        <w:spacing w:line="360" w:lineRule="auto"/>
        <w:ind w:left="360"/>
        <w:jc w:val="both"/>
      </w:pPr>
      <w:r w:rsidRPr="001F0EBE">
        <w:t>ESD encourages experiential, holistic, and learner-</w:t>
      </w:r>
      <w:proofErr w:type="spellStart"/>
      <w:r w:rsidRPr="001F0EBE">
        <w:t>centered</w:t>
      </w:r>
      <w:proofErr w:type="spellEnd"/>
      <w:r w:rsidRPr="001F0EBE">
        <w:t xml:space="preserve"> teaching by using strategies such as learner-focused, action-based, transformative, and place-based learning that help students reflect, think critically, and engage with real-world issues. Tools like simulations, discussions, issue analysis, and storytelling make sustainability ideas easier to grasp, connect them to everyday contexts, and build problem-solving, communication, and social responsibility skills.</w:t>
      </w:r>
      <w:r>
        <w:t xml:space="preserve"> </w:t>
      </w:r>
    </w:p>
    <w:p w14:paraId="1B1FB027" w14:textId="77777777" w:rsidR="00236C68" w:rsidRDefault="00236C68" w:rsidP="00720A3C">
      <w:pPr>
        <w:pStyle w:val="NormalWeb"/>
        <w:spacing w:line="360" w:lineRule="auto"/>
        <w:ind w:left="360"/>
        <w:jc w:val="both"/>
      </w:pPr>
      <w:r w:rsidRPr="001F0EBE">
        <w:lastRenderedPageBreak/>
        <w:t>ESD aligns with the goals of 21st-century education in NEP 2020 by building skills like critical thinking, creativity, teamwork, systems thinking, and digital literacy through active, inquiry-based, project-based, and action-oriented teaching methods. Studies highlight that such approaches improve students’ problem-solving and interdisciplinary understanding while also helping teachers and pre-service teachers develop 21st-century skills, environmental awareness, and the ability to support sustainable development.</w:t>
      </w:r>
      <w:r>
        <w:t xml:space="preserve"> </w:t>
      </w:r>
    </w:p>
    <w:p w14:paraId="29B57700" w14:textId="77777777" w:rsidR="00236C68" w:rsidRDefault="00236C68" w:rsidP="00720A3C">
      <w:pPr>
        <w:pStyle w:val="NormalWeb"/>
        <w:spacing w:line="360" w:lineRule="auto"/>
        <w:ind w:left="360"/>
        <w:jc w:val="both"/>
      </w:pPr>
      <w:r w:rsidRPr="001F0EBE">
        <w:t>ESD and inclusive education both focus on equality, human rights, social justice, and empowerment, with inclusion forming the base for achieving ESD’s aim of preparing learners to take part in sustainable development. Through democratic values, global citizenship, and participatory learning, ESD encourages social inclusion, supports disadvantaged groups, equips teachers to meet diverse needs, and drives transformative change through reflection and critical thinking.</w:t>
      </w:r>
    </w:p>
    <w:p w14:paraId="31A302A2" w14:textId="77777777" w:rsidR="00236C68" w:rsidRDefault="00236C68" w:rsidP="00720A3C">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7B3705">
        <w:rPr>
          <w:rFonts w:ascii="Times New Roman" w:eastAsia="Times New Roman" w:hAnsi="Times New Roman" w:cs="Times New Roman"/>
          <w:sz w:val="24"/>
          <w:szCs w:val="24"/>
          <w:lang w:eastAsia="en-IN"/>
        </w:rPr>
        <w:t>ESD strengthens life skills education by helping students develop leadership, communication, collaboration, and socio-emotional abilities, preparing them to responsibly address real-world challenges. It also raises awareness of the links between social, economic, and environmental systems, improves problem-solving and participatory skills, and encourages sustainable living, civic engagement, and inclusive decision-making through all forms of learning.</w:t>
      </w:r>
    </w:p>
    <w:p w14:paraId="55A8CD34" w14:textId="77777777" w:rsidR="00236C68" w:rsidRDefault="00236C68" w:rsidP="00720A3C">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7B3705">
        <w:rPr>
          <w:rFonts w:ascii="Times New Roman" w:eastAsia="Times New Roman" w:hAnsi="Times New Roman" w:cs="Times New Roman"/>
          <w:sz w:val="24"/>
          <w:szCs w:val="24"/>
          <w:lang w:eastAsia="en-IN"/>
        </w:rPr>
        <w:t>ESD supports Global Citizenship Education by broadening sustainability to cover social, economic, and political issues, encouraging community involvement, and preparing learners to tackle complex global problems. Studies show that ESD and GCED are closely linked, and incorporating ESD into curricula helps students develop sustainability awareness, global citizenship, and opportunities for international learning.</w:t>
      </w:r>
    </w:p>
    <w:p w14:paraId="47D52140" w14:textId="77777777" w:rsidR="00236C68" w:rsidRDefault="00236C68" w:rsidP="00720A3C">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7B3705">
        <w:rPr>
          <w:rFonts w:ascii="Times New Roman" w:eastAsia="Times New Roman" w:hAnsi="Times New Roman" w:cs="Times New Roman"/>
          <w:sz w:val="24"/>
          <w:szCs w:val="24"/>
          <w:lang w:eastAsia="en-IN"/>
        </w:rPr>
        <w:t xml:space="preserve">ESD </w:t>
      </w:r>
      <w:r>
        <w:rPr>
          <w:rFonts w:ascii="Times New Roman" w:eastAsia="Times New Roman" w:hAnsi="Times New Roman" w:cs="Times New Roman"/>
          <w:sz w:val="24"/>
          <w:szCs w:val="24"/>
          <w:lang w:eastAsia="en-IN"/>
        </w:rPr>
        <w:t>boosts</w:t>
      </w:r>
      <w:r w:rsidRPr="007B3705">
        <w:rPr>
          <w:rFonts w:ascii="Times New Roman" w:eastAsia="Times New Roman" w:hAnsi="Times New Roman" w:cs="Times New Roman"/>
          <w:sz w:val="24"/>
          <w:szCs w:val="24"/>
          <w:lang w:eastAsia="en-IN"/>
        </w:rPr>
        <w:t xml:space="preserve"> the quality of education</w:t>
      </w:r>
      <w:r>
        <w:rPr>
          <w:rFonts w:ascii="Times New Roman" w:eastAsia="Times New Roman" w:hAnsi="Times New Roman" w:cs="Times New Roman"/>
          <w:sz w:val="24"/>
          <w:szCs w:val="24"/>
          <w:lang w:eastAsia="en-IN"/>
        </w:rPr>
        <w:t xml:space="preserve"> as</w:t>
      </w:r>
      <w:r w:rsidRPr="007B3705">
        <w:rPr>
          <w:rFonts w:ascii="Times New Roman" w:eastAsia="Times New Roman" w:hAnsi="Times New Roman" w:cs="Times New Roman"/>
          <w:sz w:val="24"/>
          <w:szCs w:val="24"/>
          <w:lang w:eastAsia="en-IN"/>
        </w:rPr>
        <w:t xml:space="preserve"> highlighted in NEP 2020 by improving learning outcomes, building critical skills, making curricula more relevant, using hands-on and interdisciplinary teaching, and fostering supportive connections between schools and communities. By including sustainability, community involvement, and STEM approaches, ESD ensures education is practical, future-focused, and equips students with the knowledge, values, and abilities needed to tackle complex global challenges.</w:t>
      </w:r>
    </w:p>
    <w:p w14:paraId="56697A87" w14:textId="77777777" w:rsidR="00236C68" w:rsidRPr="001139FE" w:rsidRDefault="00236C68" w:rsidP="00720A3C">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1139FE">
        <w:rPr>
          <w:rFonts w:ascii="Times New Roman" w:eastAsia="Times New Roman" w:hAnsi="Times New Roman" w:cs="Times New Roman"/>
          <w:sz w:val="24"/>
          <w:szCs w:val="24"/>
          <w:lang w:eastAsia="en-IN"/>
        </w:rPr>
        <w:lastRenderedPageBreak/>
        <w:t>ESD is a transformative approach to education that promotes respect for diversity, encourages teamwork, and develops a sense of global responsibility among learners. It connects real-life challenges with classroom learning, giving students the opportunity to act responsibly and work towards shared goals. In this way, ESD puts policy into practice, helping students grow into thoughtful and responsible contributors to a sustainable future.</w:t>
      </w:r>
    </w:p>
    <w:p w14:paraId="6F04FD55" w14:textId="50594633" w:rsidR="00651C2A" w:rsidRDefault="00651C2A" w:rsidP="00720A3C">
      <w:pPr>
        <w:pStyle w:val="NormalWeb"/>
        <w:spacing w:line="360" w:lineRule="auto"/>
        <w:ind w:left="360"/>
        <w:jc w:val="both"/>
      </w:pPr>
      <w:r w:rsidRPr="00F53D8B">
        <w:t xml:space="preserve">The relationship of NEP 2020 with ESD calls for anticipatory approaches to advance education as transformative and future oriented </w:t>
      </w:r>
      <w:proofErr w:type="spellStart"/>
      <w:r w:rsidRPr="00F53D8B">
        <w:t>endeavors</w:t>
      </w:r>
      <w:proofErr w:type="spellEnd"/>
      <w:r w:rsidRPr="00F53D8B">
        <w:t xml:space="preserve">. Curriculum must include themes of sustainability across all disciplines with pedagogies that are learner </w:t>
      </w:r>
      <w:proofErr w:type="spellStart"/>
      <w:r w:rsidRPr="00F53D8B">
        <w:t>centered</w:t>
      </w:r>
      <w:proofErr w:type="spellEnd"/>
      <w:r>
        <w:t>,</w:t>
      </w:r>
      <w:r w:rsidRPr="00F53D8B">
        <w:t xml:space="preserve"> action based</w:t>
      </w:r>
      <w:r>
        <w:t xml:space="preserve"> and appropriate for </w:t>
      </w:r>
      <w:r w:rsidRPr="00F53D8B">
        <w:t>collaboration and problem solving. It is imperative to build teacher capacities as well as shifting assessment from examination based to a competency based so that education can be inclusive, creative and global. Education can also link schools and communities to global networks creating dynamic opportunities for sustainability and systemic transformation</w:t>
      </w:r>
      <w:r>
        <w:t>.</w:t>
      </w:r>
    </w:p>
    <w:p w14:paraId="1CB4A1C9" w14:textId="6A0A717D" w:rsidR="00236C68" w:rsidRPr="0056120A" w:rsidRDefault="00236C68" w:rsidP="00720A3C">
      <w:pPr>
        <w:pStyle w:val="NormalWeb"/>
        <w:numPr>
          <w:ilvl w:val="0"/>
          <w:numId w:val="6"/>
        </w:numPr>
        <w:spacing w:line="360" w:lineRule="auto"/>
        <w:jc w:val="both"/>
        <w:rPr>
          <w:b/>
          <w:bCs/>
        </w:rPr>
      </w:pPr>
      <w:r w:rsidRPr="0056120A">
        <w:rPr>
          <w:b/>
          <w:bCs/>
        </w:rPr>
        <w:t>Conclusion</w:t>
      </w:r>
    </w:p>
    <w:p w14:paraId="58AF5BB5" w14:textId="6FC53ED0" w:rsidR="00236C68" w:rsidRPr="006B1337" w:rsidRDefault="00236C68" w:rsidP="00720A3C">
      <w:pPr>
        <w:pStyle w:val="NormalWeb"/>
        <w:spacing w:line="360" w:lineRule="auto"/>
        <w:ind w:left="360"/>
        <w:jc w:val="both"/>
      </w:pPr>
      <w:r w:rsidRPr="006B1337">
        <w:t xml:space="preserve">NEP 2020 and ESD intersect on many important educational priorities and collectively build a visionary approach for India's education system as a whole. ESD as a pedagogy is a really important component of NEP 2020 initiatives such as multidisciplinary approaches to learning, inclusive practice, 21st century skill development, </w:t>
      </w:r>
      <w:r w:rsidR="002F2DDC">
        <w:t>inclusive</w:t>
      </w:r>
      <w:r w:rsidRPr="006B1337">
        <w:t xml:space="preserve"> education, learner-</w:t>
      </w:r>
      <w:proofErr w:type="spellStart"/>
      <w:r w:rsidRPr="006B1337">
        <w:t>centered</w:t>
      </w:r>
      <w:proofErr w:type="spellEnd"/>
      <w:r w:rsidRPr="006B1337">
        <w:t xml:space="preserve"> practices, global citizenship education, life skills, and most importantly quality education. Therefore, embedding ESD into everyday classroom practice will directly support the aims and aspirations of NEP 2020 while NEP's alignment with ESD will ensure that the learners develop competencies and abilities, as well as a commitment to a sense of social responsibility and global citizenship. This cross-pollination confirms that education will be crucial to national development and sustainability and, rather more importantly, societal sustainability.</w:t>
      </w:r>
    </w:p>
    <w:p w14:paraId="5A5E17BA" w14:textId="77777777" w:rsidR="00236C68" w:rsidRPr="0056120A" w:rsidRDefault="00236C68" w:rsidP="00236C68">
      <w:pPr>
        <w:pStyle w:val="NormalWeb"/>
        <w:spacing w:line="360" w:lineRule="auto"/>
        <w:ind w:left="720"/>
        <w:jc w:val="both"/>
        <w:rPr>
          <w:b/>
          <w:bCs/>
        </w:rPr>
      </w:pPr>
    </w:p>
    <w:p w14:paraId="697DBE88" w14:textId="77777777" w:rsidR="00E13E6F" w:rsidRPr="00E13E6F" w:rsidRDefault="00E13E6F" w:rsidP="00E13E6F">
      <w:pPr>
        <w:spacing w:after="200" w:line="276" w:lineRule="auto"/>
        <w:jc w:val="both"/>
        <w:outlineLvl w:val="0"/>
        <w:rPr>
          <w:rFonts w:ascii="Arial" w:eastAsia="Times New Roman" w:hAnsi="Arial" w:cs="Arial"/>
          <w:lang w:val="en-GB" w:eastAsia="en-GB" w:bidi="ar-SA"/>
        </w:rPr>
      </w:pPr>
      <w:r w:rsidRPr="00E13E6F">
        <w:rPr>
          <w:rFonts w:ascii="Arial" w:eastAsia="Times New Roman" w:hAnsi="Arial" w:cs="Arial"/>
          <w:b/>
          <w:bCs/>
          <w:lang w:val="en-GB" w:eastAsia="en-GB" w:bidi="ar-SA"/>
        </w:rPr>
        <w:t>COMPETING INTERESTS DISCLAIMER:</w:t>
      </w:r>
    </w:p>
    <w:p w14:paraId="1803473E" w14:textId="77777777" w:rsidR="00E13E6F" w:rsidRPr="00E13E6F" w:rsidRDefault="00E13E6F" w:rsidP="00E13E6F">
      <w:pPr>
        <w:spacing w:after="200" w:line="276" w:lineRule="auto"/>
        <w:rPr>
          <w:rFonts w:ascii="Calibri" w:eastAsia="Times New Roman" w:hAnsi="Calibri" w:cs="Times New Roman"/>
          <w:lang w:val="en-GB" w:eastAsia="en-GB" w:bidi="ar-SA"/>
        </w:rPr>
      </w:pPr>
      <w:r w:rsidRPr="00E13E6F">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260E4AB0" w14:textId="77777777" w:rsidR="00236C68" w:rsidRPr="00B64AAD" w:rsidRDefault="00236C68" w:rsidP="00236C68">
      <w:pPr>
        <w:rPr>
          <w:rFonts w:ascii="Times New Roman" w:hAnsi="Times New Roman" w:cs="Times New Roman"/>
          <w:b/>
          <w:bCs/>
          <w:sz w:val="24"/>
          <w:szCs w:val="24"/>
        </w:rPr>
      </w:pPr>
      <w:bookmarkStart w:id="0" w:name="_GoBack"/>
      <w:bookmarkEnd w:id="0"/>
      <w:r w:rsidRPr="00B64AAD">
        <w:rPr>
          <w:rFonts w:ascii="Times New Roman" w:hAnsi="Times New Roman" w:cs="Times New Roman"/>
          <w:b/>
          <w:bCs/>
          <w:sz w:val="24"/>
          <w:szCs w:val="24"/>
        </w:rPr>
        <w:lastRenderedPageBreak/>
        <w:t>References</w:t>
      </w:r>
    </w:p>
    <w:p w14:paraId="0D540381" w14:textId="77777777" w:rsidR="00236C68" w:rsidRPr="004B4E53" w:rsidRDefault="00236C68" w:rsidP="00236C68">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Abera, H. G. (2023). The role of education in achieving the Sustainable Development Goals (SDGs): A global evidence-based research article. </w:t>
      </w:r>
      <w:r w:rsidRPr="004B4E53">
        <w:rPr>
          <w:rStyle w:val="Emphasis"/>
          <w:rFonts w:ascii="Times New Roman" w:hAnsi="Times New Roman" w:cs="Times New Roman"/>
          <w:sz w:val="24"/>
          <w:szCs w:val="24"/>
        </w:rPr>
        <w:t>International Journal of Social Science and Education Research Studies, 3</w:t>
      </w:r>
      <w:r w:rsidRPr="004B4E53">
        <w:rPr>
          <w:rFonts w:ascii="Times New Roman" w:hAnsi="Times New Roman" w:cs="Times New Roman"/>
          <w:sz w:val="24"/>
          <w:szCs w:val="24"/>
        </w:rPr>
        <w:t xml:space="preserve">(1), 67–81. </w:t>
      </w:r>
      <w:hyperlink r:id="rId7" w:tgtFrame="_new" w:history="1">
        <w:r w:rsidRPr="004B4E53">
          <w:rPr>
            <w:rStyle w:val="Hyperlink"/>
            <w:rFonts w:ascii="Times New Roman" w:hAnsi="Times New Roman" w:cs="Times New Roman"/>
            <w:sz w:val="24"/>
            <w:szCs w:val="24"/>
          </w:rPr>
          <w:t>https://doi.org/10.55677/ijssers/V03I1Y2023-09</w:t>
        </w:r>
      </w:hyperlink>
    </w:p>
    <w:p w14:paraId="6B171CDD" w14:textId="77777777" w:rsidR="00236C68" w:rsidRPr="004B4E53" w:rsidRDefault="00236C68" w:rsidP="00236C68">
      <w:pPr>
        <w:spacing w:before="100" w:beforeAutospacing="1" w:after="100" w:afterAutospacing="1" w:line="360" w:lineRule="auto"/>
        <w:ind w:left="720" w:hanging="720"/>
        <w:jc w:val="both"/>
        <w:rPr>
          <w:rFonts w:ascii="Times New Roman" w:hAnsi="Times New Roman" w:cs="Times New Roman"/>
          <w:color w:val="FF0000"/>
          <w:sz w:val="24"/>
          <w:szCs w:val="24"/>
        </w:rPr>
      </w:pPr>
      <w:r w:rsidRPr="004B4E53">
        <w:rPr>
          <w:rFonts w:ascii="Times New Roman" w:hAnsi="Times New Roman" w:cs="Times New Roman"/>
          <w:sz w:val="24"/>
          <w:szCs w:val="24"/>
        </w:rPr>
        <w:t xml:space="preserve">Adeoye, M. A., </w:t>
      </w:r>
      <w:proofErr w:type="spellStart"/>
      <w:r w:rsidRPr="004B4E53">
        <w:rPr>
          <w:rFonts w:ascii="Times New Roman" w:hAnsi="Times New Roman" w:cs="Times New Roman"/>
          <w:sz w:val="24"/>
          <w:szCs w:val="24"/>
        </w:rPr>
        <w:t>Prastikawati</w:t>
      </w:r>
      <w:proofErr w:type="spellEnd"/>
      <w:r w:rsidRPr="004B4E53">
        <w:rPr>
          <w:rFonts w:ascii="Times New Roman" w:hAnsi="Times New Roman" w:cs="Times New Roman"/>
          <w:sz w:val="24"/>
          <w:szCs w:val="24"/>
        </w:rPr>
        <w:t xml:space="preserve">, E. F., &amp; </w:t>
      </w:r>
      <w:proofErr w:type="spellStart"/>
      <w:r w:rsidRPr="004B4E53">
        <w:rPr>
          <w:rFonts w:ascii="Times New Roman" w:hAnsi="Times New Roman" w:cs="Times New Roman"/>
          <w:sz w:val="24"/>
          <w:szCs w:val="24"/>
        </w:rPr>
        <w:t>Abimbowo</w:t>
      </w:r>
      <w:proofErr w:type="spellEnd"/>
      <w:r w:rsidRPr="004B4E53">
        <w:rPr>
          <w:rFonts w:ascii="Times New Roman" w:hAnsi="Times New Roman" w:cs="Times New Roman"/>
          <w:sz w:val="24"/>
          <w:szCs w:val="24"/>
        </w:rPr>
        <w:t xml:space="preserve">, Y. O. (2024). Empowering Learning: Pedagogical Strategies for Advancing 21st Century Skills and Quality Education. </w:t>
      </w:r>
      <w:r w:rsidRPr="004B4E53">
        <w:rPr>
          <w:rFonts w:ascii="Times New Roman" w:hAnsi="Times New Roman" w:cs="Times New Roman"/>
          <w:i/>
          <w:iCs/>
          <w:sz w:val="24"/>
          <w:szCs w:val="24"/>
        </w:rPr>
        <w:t>Journal of Nonformal Education, 10</w:t>
      </w:r>
      <w:r w:rsidRPr="004B4E53">
        <w:rPr>
          <w:rFonts w:ascii="Times New Roman" w:hAnsi="Times New Roman" w:cs="Times New Roman"/>
          <w:sz w:val="24"/>
          <w:szCs w:val="24"/>
        </w:rPr>
        <w:t xml:space="preserve">(2), 10–21. </w:t>
      </w:r>
      <w:hyperlink r:id="rId8" w:history="1">
        <w:r w:rsidRPr="004B4E53">
          <w:rPr>
            <w:rStyle w:val="Hyperlink"/>
            <w:rFonts w:ascii="Times New Roman" w:hAnsi="Times New Roman" w:cs="Times New Roman"/>
            <w:sz w:val="24"/>
            <w:szCs w:val="24"/>
          </w:rPr>
          <w:t>https://doi.org/https://doi.org/10.15294/jone.v10i1.1451</w:t>
        </w:r>
      </w:hyperlink>
      <w:r w:rsidRPr="004B4E53">
        <w:rPr>
          <w:rFonts w:ascii="Times New Roman" w:hAnsi="Times New Roman" w:cs="Times New Roman"/>
          <w:color w:val="FF0000"/>
          <w:sz w:val="24"/>
          <w:szCs w:val="24"/>
        </w:rPr>
        <w:t xml:space="preserve"> </w:t>
      </w:r>
    </w:p>
    <w:p w14:paraId="70BB428B" w14:textId="77777777" w:rsidR="00236C68" w:rsidRPr="004B4E53" w:rsidRDefault="00236C68" w:rsidP="00236C68">
      <w:pPr>
        <w:ind w:left="720" w:hanging="720"/>
        <w:rPr>
          <w:rStyle w:val="Hyperlink"/>
          <w:rFonts w:ascii="Times New Roman" w:hAnsi="Times New Roman" w:cs="Times New Roman"/>
          <w:sz w:val="24"/>
          <w:szCs w:val="24"/>
        </w:rPr>
      </w:pPr>
      <w:r w:rsidRPr="004B4E53">
        <w:rPr>
          <w:rFonts w:ascii="Times New Roman" w:hAnsi="Times New Roman" w:cs="Times New Roman"/>
          <w:sz w:val="24"/>
          <w:szCs w:val="24"/>
        </w:rPr>
        <w:t xml:space="preserve">Bell, S. (2010). Project-Based Learning for the 21st Century: Skills for the Future. The Clearing House, pp. 83, 39–43. </w:t>
      </w:r>
      <w:hyperlink r:id="rId9" w:history="1">
        <w:r w:rsidRPr="004B4E53">
          <w:rPr>
            <w:rStyle w:val="Hyperlink"/>
            <w:rFonts w:ascii="Times New Roman" w:hAnsi="Times New Roman" w:cs="Times New Roman"/>
            <w:sz w:val="24"/>
            <w:szCs w:val="24"/>
          </w:rPr>
          <w:t>https://doi.org/10.1080/00098650903505415</w:t>
        </w:r>
      </w:hyperlink>
    </w:p>
    <w:p w14:paraId="3FEA1554" w14:textId="080288E0" w:rsidR="009D5EB0" w:rsidRPr="004B4E53" w:rsidRDefault="009D5EB0" w:rsidP="00241C63">
      <w:pPr>
        <w:spacing w:line="360" w:lineRule="auto"/>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Böhme, L. (2019). </w:t>
      </w:r>
      <w:proofErr w:type="spellStart"/>
      <w:r w:rsidRPr="004B4E53">
        <w:rPr>
          <w:rFonts w:ascii="Times New Roman" w:hAnsi="Times New Roman" w:cs="Times New Roman"/>
          <w:sz w:val="24"/>
          <w:szCs w:val="24"/>
        </w:rPr>
        <w:t>Politische</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Bildung</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für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Schülerinnen</w:t>
      </w:r>
      <w:proofErr w:type="spellEnd"/>
      <w:r w:rsidRPr="004B4E53">
        <w:rPr>
          <w:rFonts w:ascii="Times New Roman" w:hAnsi="Times New Roman" w:cs="Times New Roman"/>
          <w:sz w:val="24"/>
          <w:szCs w:val="24"/>
        </w:rPr>
        <w:t xml:space="preserve"> und </w:t>
      </w:r>
      <w:proofErr w:type="spellStart"/>
      <w:r w:rsidRPr="004B4E53">
        <w:rPr>
          <w:rFonts w:ascii="Times New Roman" w:hAnsi="Times New Roman" w:cs="Times New Roman"/>
          <w:sz w:val="24"/>
          <w:szCs w:val="24"/>
        </w:rPr>
        <w:t>Schüler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mit</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sonderpädagogischem</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Förderbedarf</w:t>
      </w:r>
      <w:proofErr w:type="spellEnd"/>
      <w:r w:rsidRPr="004B4E53">
        <w:rPr>
          <w:rFonts w:ascii="Times New Roman" w:hAnsi="Times New Roman" w:cs="Times New Roman"/>
          <w:sz w:val="24"/>
          <w:szCs w:val="24"/>
        </w:rPr>
        <w:t xml:space="preserve">. In </w:t>
      </w:r>
      <w:proofErr w:type="spellStart"/>
      <w:r w:rsidRPr="004B4E53">
        <w:rPr>
          <w:rStyle w:val="Emphasis"/>
          <w:rFonts w:ascii="Times New Roman" w:hAnsi="Times New Roman" w:cs="Times New Roman"/>
          <w:sz w:val="24"/>
          <w:szCs w:val="24"/>
        </w:rPr>
        <w:t>Perspektiven</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globalen</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Lernens</w:t>
      </w:r>
      <w:proofErr w:type="spellEnd"/>
      <w:r w:rsidRPr="004B4E53">
        <w:rPr>
          <w:rStyle w:val="Emphasis"/>
          <w:rFonts w:ascii="Times New Roman" w:hAnsi="Times New Roman" w:cs="Times New Roman"/>
          <w:sz w:val="24"/>
          <w:szCs w:val="24"/>
        </w:rPr>
        <w:t xml:space="preserve"> an </w:t>
      </w:r>
      <w:proofErr w:type="spellStart"/>
      <w:r w:rsidRPr="004B4E53">
        <w:rPr>
          <w:rStyle w:val="Emphasis"/>
          <w:rFonts w:ascii="Times New Roman" w:hAnsi="Times New Roman" w:cs="Times New Roman"/>
          <w:sz w:val="24"/>
          <w:szCs w:val="24"/>
        </w:rPr>
        <w:t>Förderzentren</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Wochenschau</w:t>
      </w:r>
      <w:proofErr w:type="spellEnd"/>
      <w:r w:rsidRPr="004B4E53">
        <w:rPr>
          <w:rFonts w:ascii="Times New Roman" w:hAnsi="Times New Roman" w:cs="Times New Roman"/>
          <w:sz w:val="24"/>
          <w:szCs w:val="24"/>
        </w:rPr>
        <w:t>-Verlag.</w:t>
      </w:r>
    </w:p>
    <w:p w14:paraId="7E4C4B6F" w14:textId="47546B07" w:rsidR="009D5EB0" w:rsidRPr="004B4E53" w:rsidRDefault="009D5EB0" w:rsidP="00241C63">
      <w:pPr>
        <w:spacing w:line="360" w:lineRule="auto"/>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Böhme, L., &amp; </w:t>
      </w:r>
      <w:proofErr w:type="spellStart"/>
      <w:r w:rsidRPr="004B4E53">
        <w:rPr>
          <w:rFonts w:ascii="Times New Roman" w:hAnsi="Times New Roman" w:cs="Times New Roman"/>
          <w:sz w:val="24"/>
          <w:szCs w:val="24"/>
        </w:rPr>
        <w:t>Führing</w:t>
      </w:r>
      <w:proofErr w:type="spellEnd"/>
      <w:r w:rsidRPr="004B4E53">
        <w:rPr>
          <w:rFonts w:ascii="Times New Roman" w:hAnsi="Times New Roman" w:cs="Times New Roman"/>
          <w:sz w:val="24"/>
          <w:szCs w:val="24"/>
        </w:rPr>
        <w:t xml:space="preserve">, G. (2014). </w:t>
      </w:r>
      <w:proofErr w:type="spellStart"/>
      <w:r w:rsidRPr="004B4E53">
        <w:rPr>
          <w:rFonts w:ascii="Times New Roman" w:hAnsi="Times New Roman" w:cs="Times New Roman"/>
          <w:sz w:val="24"/>
          <w:szCs w:val="24"/>
        </w:rPr>
        <w:t>Globales</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Lernen</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als</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Katalysator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für</w:t>
      </w:r>
      <w:proofErr w:type="spellEnd"/>
      <w:r w:rsidRPr="004B4E53">
        <w:rPr>
          <w:rFonts w:ascii="Times New Roman" w:hAnsi="Times New Roman" w:cs="Times New Roman"/>
          <w:sz w:val="24"/>
          <w:szCs w:val="24"/>
        </w:rPr>
        <w:t xml:space="preserve"> Diversity und </w:t>
      </w:r>
      <w:proofErr w:type="spellStart"/>
      <w:r w:rsidRPr="004B4E53">
        <w:rPr>
          <w:rFonts w:ascii="Times New Roman" w:hAnsi="Times New Roman" w:cs="Times New Roman"/>
          <w:sz w:val="24"/>
          <w:szCs w:val="24"/>
        </w:rPr>
        <w:t>Inklusion</w:t>
      </w:r>
      <w:proofErr w:type="spellEnd"/>
      <w:r w:rsidRPr="004B4E53">
        <w:rPr>
          <w:rFonts w:ascii="Times New Roman" w:hAnsi="Times New Roman" w:cs="Times New Roman"/>
          <w:sz w:val="24"/>
          <w:szCs w:val="24"/>
        </w:rPr>
        <w:t xml:space="preserve">. In Verein </w:t>
      </w:r>
      <w:proofErr w:type="spellStart"/>
      <w:r w:rsidRPr="004B4E53">
        <w:rPr>
          <w:rFonts w:ascii="Times New Roman" w:hAnsi="Times New Roman" w:cs="Times New Roman"/>
          <w:sz w:val="24"/>
          <w:szCs w:val="24"/>
        </w:rPr>
        <w:t>niedersächsischer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Bildungsinitiativen</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e.V</w:t>
      </w:r>
      <w:proofErr w:type="spellEnd"/>
      <w:r w:rsidRPr="004B4E53">
        <w:rPr>
          <w:rFonts w:ascii="Times New Roman" w:hAnsi="Times New Roman" w:cs="Times New Roman"/>
          <w:sz w:val="24"/>
          <w:szCs w:val="24"/>
        </w:rPr>
        <w:t xml:space="preserve">. (Ed.), </w:t>
      </w:r>
      <w:r w:rsidRPr="004B4E53">
        <w:rPr>
          <w:rStyle w:val="Emphasis"/>
          <w:rFonts w:ascii="Times New Roman" w:hAnsi="Times New Roman" w:cs="Times New Roman"/>
          <w:sz w:val="24"/>
          <w:szCs w:val="24"/>
        </w:rPr>
        <w:t xml:space="preserve">Die </w:t>
      </w:r>
      <w:proofErr w:type="spellStart"/>
      <w:r w:rsidRPr="004B4E53">
        <w:rPr>
          <w:rStyle w:val="Emphasis"/>
          <w:rFonts w:ascii="Times New Roman" w:hAnsi="Times New Roman" w:cs="Times New Roman"/>
          <w:sz w:val="24"/>
          <w:szCs w:val="24"/>
        </w:rPr>
        <w:t>große</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Globalisierung</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für</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kleine</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Leute</w:t>
      </w:r>
      <w:proofErr w:type="spellEnd"/>
      <w:r w:rsidRPr="004B4E53">
        <w:rPr>
          <w:rStyle w:val="Emphasis"/>
          <w:rFonts w:ascii="Times New Roman" w:hAnsi="Times New Roman" w:cs="Times New Roman"/>
          <w:sz w:val="24"/>
          <w:szCs w:val="24"/>
        </w:rPr>
        <w:t xml:space="preserve"> – </w:t>
      </w:r>
      <w:proofErr w:type="spellStart"/>
      <w:r w:rsidRPr="004B4E53">
        <w:rPr>
          <w:rStyle w:val="Emphasis"/>
          <w:rFonts w:ascii="Times New Roman" w:hAnsi="Times New Roman" w:cs="Times New Roman"/>
          <w:sz w:val="24"/>
          <w:szCs w:val="24"/>
        </w:rPr>
        <w:t>Globales</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Lernen</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mit</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Grundschulkindern</w:t>
      </w:r>
      <w:proofErr w:type="spellEnd"/>
      <w:r w:rsidRPr="004B4E53">
        <w:rPr>
          <w:rFonts w:ascii="Times New Roman" w:hAnsi="Times New Roman" w:cs="Times New Roman"/>
          <w:sz w:val="24"/>
          <w:szCs w:val="24"/>
        </w:rPr>
        <w:t xml:space="preserve"> (pp. 13–15). VNB. </w:t>
      </w:r>
      <w:hyperlink r:id="rId10" w:history="1">
        <w:r w:rsidRPr="004B4E53">
          <w:rPr>
            <w:rStyle w:val="Hyperlink"/>
            <w:rFonts w:ascii="Times New Roman" w:hAnsi="Times New Roman" w:cs="Times New Roman"/>
            <w:sz w:val="24"/>
            <w:szCs w:val="24"/>
          </w:rPr>
          <w:t>https://www.bizme.de/documents/VNB_Broschuere_Webansicht_NRO.pdf</w:t>
        </w:r>
      </w:hyperlink>
    </w:p>
    <w:p w14:paraId="59A1E3FB" w14:textId="1FD0D056" w:rsidR="009D5EB0" w:rsidRPr="004B4E53" w:rsidRDefault="009D5EB0" w:rsidP="00236C68">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Campbell, K. M., &amp; Covell, K. (2001). Children’s rights education at the university level: An effective means of promoting rights knowledge and rights-based attitudes. </w:t>
      </w:r>
      <w:r w:rsidRPr="004B4E53">
        <w:rPr>
          <w:rStyle w:val="Emphasis"/>
          <w:rFonts w:ascii="Times New Roman" w:hAnsi="Times New Roman" w:cs="Times New Roman"/>
          <w:sz w:val="24"/>
          <w:szCs w:val="24"/>
        </w:rPr>
        <w:t>The International Journal of Children’s Rights, 9</w:t>
      </w:r>
      <w:r w:rsidRPr="004B4E53">
        <w:rPr>
          <w:rFonts w:ascii="Times New Roman" w:hAnsi="Times New Roman" w:cs="Times New Roman"/>
          <w:sz w:val="24"/>
          <w:szCs w:val="24"/>
        </w:rPr>
        <w:t xml:space="preserve">(2), 123–135. </w:t>
      </w:r>
      <w:hyperlink r:id="rId11" w:tgtFrame="_new" w:history="1">
        <w:r w:rsidRPr="004B4E53">
          <w:rPr>
            <w:rStyle w:val="Hyperlink"/>
            <w:rFonts w:ascii="Times New Roman" w:hAnsi="Times New Roman" w:cs="Times New Roman"/>
            <w:sz w:val="24"/>
            <w:szCs w:val="24"/>
          </w:rPr>
          <w:t>https://doi.org/10.1023/A:1015156001438</w:t>
        </w:r>
      </w:hyperlink>
    </w:p>
    <w:p w14:paraId="3F6E0665" w14:textId="1D0BBA83" w:rsidR="00E9277F" w:rsidRPr="004B4E53" w:rsidRDefault="00E9277F" w:rsidP="00E9277F">
      <w:pPr>
        <w:spacing w:before="100" w:beforeAutospacing="1" w:after="100" w:afterAutospacing="1" w:line="360" w:lineRule="auto"/>
        <w:jc w:val="both"/>
        <w:rPr>
          <w:rStyle w:val="Hyperlink"/>
          <w:rFonts w:ascii="Times New Roman" w:hAnsi="Times New Roman" w:cs="Times New Roman"/>
          <w:color w:val="auto"/>
          <w:sz w:val="24"/>
          <w:szCs w:val="24"/>
          <w:u w:val="none"/>
        </w:rPr>
      </w:pPr>
      <w:r w:rsidRPr="004B4E53">
        <w:rPr>
          <w:rFonts w:ascii="Times New Roman" w:hAnsi="Times New Roman" w:cs="Times New Roman"/>
          <w:sz w:val="24"/>
          <w:szCs w:val="24"/>
        </w:rPr>
        <w:t xml:space="preserve">Central Board of Secondary Education. (2020, May). </w:t>
      </w:r>
      <w:r w:rsidRPr="004B4E53">
        <w:rPr>
          <w:rStyle w:val="Emphasis"/>
          <w:rFonts w:ascii="Times New Roman" w:hAnsi="Times New Roman" w:cs="Times New Roman"/>
          <w:sz w:val="24"/>
          <w:szCs w:val="24"/>
        </w:rPr>
        <w:t>21st century skills: A handbook</w:t>
      </w:r>
      <w:r w:rsidRPr="004B4E53">
        <w:rPr>
          <w:rFonts w:ascii="Times New Roman" w:hAnsi="Times New Roman" w:cs="Times New Roman"/>
          <w:sz w:val="24"/>
          <w:szCs w:val="24"/>
        </w:rPr>
        <w:t>. Secretary, CBSE.</w:t>
      </w:r>
    </w:p>
    <w:p w14:paraId="2DBE6C50" w14:textId="77777777" w:rsidR="00236C68" w:rsidRPr="004B4E53" w:rsidRDefault="00236C68" w:rsidP="00236C68">
      <w:pPr>
        <w:spacing w:before="100" w:beforeAutospacing="1" w:after="100" w:afterAutospacing="1" w:line="240" w:lineRule="auto"/>
        <w:ind w:left="720" w:hanging="720"/>
        <w:rPr>
          <w:rFonts w:ascii="Times New Roman" w:hAnsi="Times New Roman" w:cs="Times New Roman"/>
          <w:color w:val="FF0000"/>
          <w:sz w:val="24"/>
          <w:szCs w:val="24"/>
        </w:rPr>
      </w:pPr>
      <w:proofErr w:type="spellStart"/>
      <w:r w:rsidRPr="004B4E53">
        <w:rPr>
          <w:rFonts w:ascii="Times New Roman" w:hAnsi="Times New Roman" w:cs="Times New Roman"/>
          <w:sz w:val="24"/>
          <w:szCs w:val="24"/>
        </w:rPr>
        <w:t>Chasokela</w:t>
      </w:r>
      <w:proofErr w:type="spellEnd"/>
      <w:r w:rsidRPr="004B4E53">
        <w:rPr>
          <w:rFonts w:ascii="Times New Roman" w:hAnsi="Times New Roman" w:cs="Times New Roman"/>
          <w:sz w:val="24"/>
          <w:szCs w:val="24"/>
        </w:rPr>
        <w:t xml:space="preserve">, D. (2024). Fostering global citizenship through ESD in higher education: A study of international student mobility and sustainability awareness. </w:t>
      </w:r>
      <w:r w:rsidRPr="004B4E53">
        <w:rPr>
          <w:rStyle w:val="Emphasis"/>
          <w:rFonts w:ascii="Times New Roman" w:hAnsi="Times New Roman" w:cs="Times New Roman"/>
          <w:sz w:val="24"/>
          <w:szCs w:val="24"/>
        </w:rPr>
        <w:t>Journal of Education for Sustainable Development Studies, 1</w:t>
      </w:r>
      <w:r w:rsidRPr="004B4E53">
        <w:rPr>
          <w:rFonts w:ascii="Times New Roman" w:hAnsi="Times New Roman" w:cs="Times New Roman"/>
          <w:sz w:val="24"/>
          <w:szCs w:val="24"/>
        </w:rPr>
        <w:t xml:space="preserve">(2), 117–133. </w:t>
      </w:r>
      <w:hyperlink r:id="rId12" w:history="1">
        <w:r w:rsidRPr="004B4E53">
          <w:rPr>
            <w:rStyle w:val="Hyperlink"/>
            <w:rFonts w:ascii="Times New Roman" w:hAnsi="Times New Roman" w:cs="Times New Roman"/>
            <w:color w:val="FF0000"/>
            <w:sz w:val="24"/>
            <w:szCs w:val="24"/>
          </w:rPr>
          <w:t>https://doi.org/10.70232/jesds.v1i2.7</w:t>
        </w:r>
      </w:hyperlink>
    </w:p>
    <w:p w14:paraId="7D4DF6BA" w14:textId="77777777" w:rsidR="00236C68" w:rsidRPr="004B4E53" w:rsidRDefault="00236C68" w:rsidP="00236C68">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Chekan, O., Liubchenko, I., Barna, K., </w:t>
      </w:r>
      <w:proofErr w:type="spellStart"/>
      <w:r w:rsidRPr="004B4E53">
        <w:rPr>
          <w:rFonts w:ascii="Times New Roman" w:hAnsi="Times New Roman" w:cs="Times New Roman"/>
          <w:sz w:val="24"/>
          <w:szCs w:val="24"/>
        </w:rPr>
        <w:t>Haiash</w:t>
      </w:r>
      <w:proofErr w:type="spellEnd"/>
      <w:r w:rsidRPr="004B4E53">
        <w:rPr>
          <w:rFonts w:ascii="Times New Roman" w:hAnsi="Times New Roman" w:cs="Times New Roman"/>
          <w:sz w:val="24"/>
          <w:szCs w:val="24"/>
        </w:rPr>
        <w:t xml:space="preserve">, O., &amp; </w:t>
      </w:r>
      <w:proofErr w:type="spellStart"/>
      <w:r w:rsidRPr="004B4E53">
        <w:rPr>
          <w:rFonts w:ascii="Times New Roman" w:hAnsi="Times New Roman" w:cs="Times New Roman"/>
          <w:sz w:val="24"/>
          <w:szCs w:val="24"/>
        </w:rPr>
        <w:t>Popovych</w:t>
      </w:r>
      <w:proofErr w:type="spellEnd"/>
      <w:r w:rsidRPr="004B4E53">
        <w:rPr>
          <w:rFonts w:ascii="Times New Roman" w:hAnsi="Times New Roman" w:cs="Times New Roman"/>
          <w:sz w:val="24"/>
          <w:szCs w:val="24"/>
        </w:rPr>
        <w:t>, N. (2023). Inclusive education: Approaches and methods of working with children with special needs [</w:t>
      </w:r>
      <w:proofErr w:type="spellStart"/>
      <w:r w:rsidRPr="004B4E53">
        <w:rPr>
          <w:rFonts w:ascii="Times New Roman" w:hAnsi="Times New Roman" w:cs="Times New Roman"/>
          <w:sz w:val="24"/>
          <w:szCs w:val="24"/>
        </w:rPr>
        <w:t>Educação</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inclusiva</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Abordagens</w:t>
      </w:r>
      <w:proofErr w:type="spellEnd"/>
      <w:r w:rsidRPr="004B4E53">
        <w:rPr>
          <w:rFonts w:ascii="Times New Roman" w:hAnsi="Times New Roman" w:cs="Times New Roman"/>
          <w:sz w:val="24"/>
          <w:szCs w:val="24"/>
        </w:rPr>
        <w:t xml:space="preserve"> e </w:t>
      </w:r>
      <w:proofErr w:type="spellStart"/>
      <w:r w:rsidRPr="004B4E53">
        <w:rPr>
          <w:rFonts w:ascii="Times New Roman" w:hAnsi="Times New Roman" w:cs="Times New Roman"/>
          <w:sz w:val="24"/>
          <w:szCs w:val="24"/>
        </w:rPr>
        <w:t>métodos</w:t>
      </w:r>
      <w:proofErr w:type="spellEnd"/>
      <w:r w:rsidRPr="004B4E53">
        <w:rPr>
          <w:rFonts w:ascii="Times New Roman" w:hAnsi="Times New Roman" w:cs="Times New Roman"/>
          <w:sz w:val="24"/>
          <w:szCs w:val="24"/>
        </w:rPr>
        <w:t xml:space="preserve"> de </w:t>
      </w:r>
      <w:proofErr w:type="spellStart"/>
      <w:r w:rsidRPr="004B4E53">
        <w:rPr>
          <w:rFonts w:ascii="Times New Roman" w:hAnsi="Times New Roman" w:cs="Times New Roman"/>
          <w:sz w:val="24"/>
          <w:szCs w:val="24"/>
        </w:rPr>
        <w:t>trabalho</w:t>
      </w:r>
      <w:proofErr w:type="spellEnd"/>
      <w:r w:rsidRPr="004B4E53">
        <w:rPr>
          <w:rFonts w:ascii="Times New Roman" w:hAnsi="Times New Roman" w:cs="Times New Roman"/>
          <w:sz w:val="24"/>
          <w:szCs w:val="24"/>
        </w:rPr>
        <w:t xml:space="preserve"> com </w:t>
      </w:r>
      <w:proofErr w:type="spellStart"/>
      <w:r w:rsidRPr="004B4E53">
        <w:rPr>
          <w:rFonts w:ascii="Times New Roman" w:hAnsi="Times New Roman" w:cs="Times New Roman"/>
          <w:sz w:val="24"/>
          <w:szCs w:val="24"/>
        </w:rPr>
        <w:t>crianças</w:t>
      </w:r>
      <w:proofErr w:type="spellEnd"/>
      <w:r w:rsidRPr="004B4E53">
        <w:rPr>
          <w:rFonts w:ascii="Times New Roman" w:hAnsi="Times New Roman" w:cs="Times New Roman"/>
          <w:sz w:val="24"/>
          <w:szCs w:val="24"/>
        </w:rPr>
        <w:t xml:space="preserve"> com </w:t>
      </w:r>
      <w:proofErr w:type="spellStart"/>
      <w:r w:rsidRPr="004B4E53">
        <w:rPr>
          <w:rFonts w:ascii="Times New Roman" w:hAnsi="Times New Roman" w:cs="Times New Roman"/>
          <w:sz w:val="24"/>
          <w:szCs w:val="24"/>
        </w:rPr>
        <w:t>necessidades</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especiais</w:t>
      </w:r>
      <w:proofErr w:type="spellEnd"/>
      <w:r w:rsidRPr="004B4E53">
        <w:rPr>
          <w:rFonts w:ascii="Times New Roman" w:hAnsi="Times New Roman" w:cs="Times New Roman"/>
          <w:sz w:val="24"/>
          <w:szCs w:val="24"/>
        </w:rPr>
        <w:t xml:space="preserve">]. </w:t>
      </w:r>
      <w:r w:rsidRPr="004B4E53">
        <w:rPr>
          <w:rStyle w:val="Emphasis"/>
          <w:rFonts w:ascii="Times New Roman" w:hAnsi="Times New Roman" w:cs="Times New Roman"/>
          <w:sz w:val="24"/>
          <w:szCs w:val="24"/>
        </w:rPr>
        <w:t>Brazilian Journal of Education, Technology and Society, 16</w:t>
      </w:r>
      <w:r w:rsidRPr="004B4E53">
        <w:rPr>
          <w:rFonts w:ascii="Times New Roman" w:hAnsi="Times New Roman" w:cs="Times New Roman"/>
          <w:sz w:val="24"/>
          <w:szCs w:val="24"/>
        </w:rPr>
        <w:t xml:space="preserve">(3). </w:t>
      </w:r>
      <w:hyperlink r:id="rId13" w:tgtFrame="_new" w:history="1">
        <w:r w:rsidRPr="004B4E53">
          <w:rPr>
            <w:rStyle w:val="Hyperlink"/>
            <w:rFonts w:ascii="Times New Roman" w:hAnsi="Times New Roman" w:cs="Times New Roman"/>
            <w:sz w:val="24"/>
            <w:szCs w:val="24"/>
          </w:rPr>
          <w:t>https://doi.org/10.14571/brajets.v16.n3.2023</w:t>
        </w:r>
      </w:hyperlink>
    </w:p>
    <w:p w14:paraId="0D72B07F" w14:textId="77FF0EDC" w:rsidR="00E86C2F" w:rsidRPr="004B4E53" w:rsidRDefault="00E86C2F" w:rsidP="00236C68">
      <w:pPr>
        <w:pStyle w:val="NormalWeb"/>
        <w:ind w:left="720" w:hanging="720"/>
      </w:pPr>
      <w:proofErr w:type="spellStart"/>
      <w:r w:rsidRPr="004B4E53">
        <w:lastRenderedPageBreak/>
        <w:t>Chikamori</w:t>
      </w:r>
      <w:proofErr w:type="spellEnd"/>
      <w:r w:rsidRPr="004B4E53">
        <w:t xml:space="preserve">, K., Tanimura, C., &amp; Ueno, M. (2019). Transformational model of education for sustainable development (TMESD) as a learning process of socialization. </w:t>
      </w:r>
      <w:r w:rsidRPr="004B4E53">
        <w:rPr>
          <w:rStyle w:val="Emphasis"/>
        </w:rPr>
        <w:t>Journal of Critical Realism, 18</w:t>
      </w:r>
      <w:r w:rsidRPr="004B4E53">
        <w:t xml:space="preserve">(4), 420–436. </w:t>
      </w:r>
      <w:hyperlink r:id="rId14" w:history="1">
        <w:r w:rsidRPr="004B4E53">
          <w:rPr>
            <w:rStyle w:val="Hyperlink"/>
          </w:rPr>
          <w:t>https://doi.org/10.1080/14767430.2019.1667090</w:t>
        </w:r>
      </w:hyperlink>
      <w:r w:rsidRPr="004B4E53">
        <w:t xml:space="preserve"> </w:t>
      </w:r>
    </w:p>
    <w:p w14:paraId="02036882" w14:textId="5F1D9890" w:rsidR="00236C68" w:rsidRPr="004B4E53" w:rsidRDefault="00236C68" w:rsidP="00236C68">
      <w:pPr>
        <w:pStyle w:val="NormalWeb"/>
        <w:ind w:left="720" w:hanging="720"/>
      </w:pPr>
      <w:r w:rsidRPr="004B4E53">
        <w:t xml:space="preserve">Choudhary, S. K. (2022). Education for sustainable development in India: A narrative review. </w:t>
      </w:r>
      <w:r w:rsidRPr="004B4E53">
        <w:rPr>
          <w:rStyle w:val="Emphasis"/>
        </w:rPr>
        <w:t>International Journal of Mechanical Engineering, 7</w:t>
      </w:r>
      <w:r w:rsidRPr="004B4E53">
        <w:t xml:space="preserve">(Special Issue 2). </w:t>
      </w:r>
    </w:p>
    <w:p w14:paraId="57CD059D" w14:textId="77777777" w:rsidR="00236C68" w:rsidRPr="004B4E53" w:rsidRDefault="00236C68" w:rsidP="00236C68">
      <w:pPr>
        <w:pStyle w:val="NormalWeb"/>
        <w:ind w:left="720" w:hanging="720"/>
      </w:pPr>
      <w:r w:rsidRPr="004B4E53">
        <w:t xml:space="preserve">Damiani, V., &amp; </w:t>
      </w:r>
      <w:proofErr w:type="spellStart"/>
      <w:r w:rsidRPr="004B4E53">
        <w:t>Fraillon</w:t>
      </w:r>
      <w:proofErr w:type="spellEnd"/>
      <w:r w:rsidRPr="004B4E53">
        <w:t xml:space="preserve">, J. (2025). Civic and citizenship education, global citizenship education, and education for sustainable development: An analysis of their integrated conceptualization and measurement in the International Civic and Citizenship Education Study (ICCS) 2016 and 2022. </w:t>
      </w:r>
      <w:r w:rsidRPr="004B4E53">
        <w:rPr>
          <w:rStyle w:val="Emphasis"/>
        </w:rPr>
        <w:t>Large-scale Assessments in Education, 13</w:t>
      </w:r>
      <w:r w:rsidRPr="004B4E53">
        <w:t xml:space="preserve">(1). </w:t>
      </w:r>
      <w:hyperlink r:id="rId15" w:tgtFrame="_new" w:history="1">
        <w:r w:rsidRPr="004B4E53">
          <w:rPr>
            <w:rStyle w:val="Hyperlink"/>
          </w:rPr>
          <w:t>https://doi.org/10.1186/s40536-025-00237-y</w:t>
        </w:r>
      </w:hyperlink>
    </w:p>
    <w:p w14:paraId="6F5D2F54" w14:textId="77777777" w:rsidR="00236C68" w:rsidRPr="004B4E53" w:rsidRDefault="00236C68" w:rsidP="00236C68">
      <w:pPr>
        <w:ind w:left="720" w:hanging="720"/>
        <w:rPr>
          <w:rFonts w:ascii="Times New Roman" w:hAnsi="Times New Roman" w:cs="Times New Roman"/>
          <w:color w:val="FF0000"/>
          <w:sz w:val="24"/>
          <w:szCs w:val="24"/>
        </w:rPr>
      </w:pPr>
      <w:r w:rsidRPr="004B4E53">
        <w:rPr>
          <w:rFonts w:ascii="Times New Roman" w:hAnsi="Times New Roman" w:cs="Times New Roman"/>
          <w:sz w:val="24"/>
          <w:szCs w:val="24"/>
        </w:rPr>
        <w:t xml:space="preserve">de Souza, B. (2024). Examining the role of Education for Sustainable Development (ESD) in strengthening inclusive education in teacher education: A Vygotskian analysis of change projects from Malawi and Eswatini. </w:t>
      </w:r>
      <w:r w:rsidRPr="004B4E53">
        <w:rPr>
          <w:rStyle w:val="Emphasis"/>
          <w:rFonts w:ascii="Times New Roman" w:hAnsi="Times New Roman" w:cs="Times New Roman"/>
          <w:sz w:val="24"/>
          <w:szCs w:val="24"/>
        </w:rPr>
        <w:t>Journal of Education, (96)</w:t>
      </w:r>
      <w:r w:rsidRPr="004B4E53">
        <w:rPr>
          <w:rFonts w:ascii="Times New Roman" w:hAnsi="Times New Roman" w:cs="Times New Roman"/>
          <w:sz w:val="24"/>
          <w:szCs w:val="24"/>
        </w:rPr>
        <w:t xml:space="preserve">. </w:t>
      </w:r>
      <w:hyperlink r:id="rId16" w:tgtFrame="_new" w:history="1">
        <w:r w:rsidRPr="004B4E53">
          <w:rPr>
            <w:rStyle w:val="Hyperlink"/>
            <w:rFonts w:ascii="Times New Roman" w:hAnsi="Times New Roman" w:cs="Times New Roman"/>
            <w:sz w:val="24"/>
            <w:szCs w:val="24"/>
          </w:rPr>
          <w:t>https://doi.org/10.17159/2520-9868/i96a06</w:t>
        </w:r>
      </w:hyperlink>
    </w:p>
    <w:p w14:paraId="4323584A" w14:textId="687DC48C" w:rsidR="00E86C2F" w:rsidRPr="004B4E53" w:rsidRDefault="00E86C2F" w:rsidP="00236C68">
      <w:pPr>
        <w:pStyle w:val="NormalWeb"/>
        <w:ind w:left="720" w:hanging="720"/>
      </w:pPr>
      <w:proofErr w:type="spellStart"/>
      <w:r w:rsidRPr="004B4E53">
        <w:t>Didham</w:t>
      </w:r>
      <w:proofErr w:type="spellEnd"/>
      <w:r w:rsidRPr="004B4E53">
        <w:t xml:space="preserve">, R., &amp; </w:t>
      </w:r>
      <w:proofErr w:type="spellStart"/>
      <w:r w:rsidRPr="004B4E53">
        <w:t>Ofei</w:t>
      </w:r>
      <w:proofErr w:type="spellEnd"/>
      <w:r w:rsidRPr="004B4E53">
        <w:t xml:space="preserve">-Manu, P. (2018). Advancing policy to achieve quality education for sustainable development. In A. Leicht, J. Heiss, &amp; W. Byun (Eds.), </w:t>
      </w:r>
      <w:r w:rsidRPr="004B4E53">
        <w:rPr>
          <w:rStyle w:val="Emphasis"/>
        </w:rPr>
        <w:t>Issues and trends in education for sustainable development</w:t>
      </w:r>
      <w:r w:rsidRPr="004B4E53">
        <w:t xml:space="preserve"> (pp. 87–110). UNESCO Publishing.</w:t>
      </w:r>
    </w:p>
    <w:p w14:paraId="080B7DD8" w14:textId="07D64BB7" w:rsidR="00236C68" w:rsidRPr="004B4E53" w:rsidRDefault="00236C68" w:rsidP="00236C68">
      <w:pPr>
        <w:pStyle w:val="NormalWeb"/>
        <w:ind w:left="720" w:hanging="720"/>
      </w:pPr>
      <w:proofErr w:type="spellStart"/>
      <w:r w:rsidRPr="004B4E53">
        <w:t>Didham</w:t>
      </w:r>
      <w:proofErr w:type="spellEnd"/>
      <w:r w:rsidRPr="004B4E53">
        <w:t xml:space="preserve">, R. J., Fujii, H., &amp; Torkar, G. (2024). Exploring interdisciplinary approaches to education for sustainable development. </w:t>
      </w:r>
      <w:r w:rsidRPr="004B4E53">
        <w:rPr>
          <w:rStyle w:val="Emphasis"/>
        </w:rPr>
        <w:t>Nordic Journal of Comparative and International Education, 8</w:t>
      </w:r>
      <w:r w:rsidRPr="004B4E53">
        <w:t xml:space="preserve">(2). </w:t>
      </w:r>
      <w:hyperlink r:id="rId17" w:history="1">
        <w:r w:rsidRPr="004B4E53">
          <w:rPr>
            <w:rStyle w:val="Hyperlink"/>
          </w:rPr>
          <w:t>https://doi.org/10.7577/njcie.5877</w:t>
        </w:r>
      </w:hyperlink>
    </w:p>
    <w:p w14:paraId="3BE76A63" w14:textId="77777777" w:rsidR="00236C68" w:rsidRPr="004B4E53" w:rsidRDefault="00236C68" w:rsidP="00236C68">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Dixit, K. (2018). Contributions of education for sustainable development (ESD) to quality education. </w:t>
      </w:r>
      <w:r w:rsidRPr="004B4E53">
        <w:rPr>
          <w:rStyle w:val="Emphasis"/>
          <w:rFonts w:ascii="Times New Roman" w:hAnsi="Times New Roman" w:cs="Times New Roman"/>
          <w:sz w:val="24"/>
          <w:szCs w:val="24"/>
        </w:rPr>
        <w:t>Journal of Industrial Relationship, Corporate Governance &amp; Management Explorer, 2</w:t>
      </w:r>
      <w:r w:rsidRPr="004B4E53">
        <w:rPr>
          <w:rFonts w:ascii="Times New Roman" w:hAnsi="Times New Roman" w:cs="Times New Roman"/>
          <w:sz w:val="24"/>
          <w:szCs w:val="24"/>
        </w:rPr>
        <w:t>(2), 14–17. National Research &amp; Journal Publication.</w:t>
      </w:r>
    </w:p>
    <w:p w14:paraId="37E9242B" w14:textId="77777777" w:rsidR="00236C68" w:rsidRPr="004B4E53" w:rsidRDefault="00236C68" w:rsidP="00236C68">
      <w:pPr>
        <w:spacing w:before="100" w:beforeAutospacing="1" w:after="100" w:afterAutospacing="1" w:line="240" w:lineRule="auto"/>
        <w:ind w:left="720" w:hanging="720"/>
        <w:rPr>
          <w:rFonts w:ascii="Times New Roman" w:eastAsia="Times New Roman" w:hAnsi="Times New Roman" w:cs="Times New Roman"/>
          <w:sz w:val="24"/>
          <w:szCs w:val="24"/>
          <w:lang w:eastAsia="en-IN"/>
        </w:rPr>
      </w:pPr>
      <w:proofErr w:type="spellStart"/>
      <w:r w:rsidRPr="004B4E53">
        <w:rPr>
          <w:rFonts w:ascii="Times New Roman" w:eastAsia="Times New Roman" w:hAnsi="Times New Roman" w:cs="Times New Roman"/>
          <w:sz w:val="24"/>
          <w:szCs w:val="24"/>
          <w:lang w:eastAsia="en-IN"/>
        </w:rPr>
        <w:t>Fathurohman</w:t>
      </w:r>
      <w:proofErr w:type="spellEnd"/>
      <w:r w:rsidRPr="004B4E53">
        <w:rPr>
          <w:rFonts w:ascii="Times New Roman" w:eastAsia="Times New Roman" w:hAnsi="Times New Roman" w:cs="Times New Roman"/>
          <w:sz w:val="24"/>
          <w:szCs w:val="24"/>
          <w:lang w:eastAsia="en-IN"/>
        </w:rPr>
        <w:t xml:space="preserve">, I., Amri, M. F., </w:t>
      </w:r>
      <w:proofErr w:type="spellStart"/>
      <w:r w:rsidRPr="004B4E53">
        <w:rPr>
          <w:rFonts w:ascii="Times New Roman" w:eastAsia="Times New Roman" w:hAnsi="Times New Roman" w:cs="Times New Roman"/>
          <w:sz w:val="24"/>
          <w:szCs w:val="24"/>
          <w:lang w:eastAsia="en-IN"/>
        </w:rPr>
        <w:t>Septiyanto</w:t>
      </w:r>
      <w:proofErr w:type="spellEnd"/>
      <w:r w:rsidRPr="004B4E53">
        <w:rPr>
          <w:rFonts w:ascii="Times New Roman" w:eastAsia="Times New Roman" w:hAnsi="Times New Roman" w:cs="Times New Roman"/>
          <w:sz w:val="24"/>
          <w:szCs w:val="24"/>
          <w:lang w:eastAsia="en-IN"/>
        </w:rPr>
        <w:t xml:space="preserve">, A., &amp; </w:t>
      </w:r>
      <w:proofErr w:type="spellStart"/>
      <w:r w:rsidRPr="004B4E53">
        <w:rPr>
          <w:rFonts w:ascii="Times New Roman" w:eastAsia="Times New Roman" w:hAnsi="Times New Roman" w:cs="Times New Roman"/>
          <w:sz w:val="24"/>
          <w:szCs w:val="24"/>
          <w:lang w:eastAsia="en-IN"/>
        </w:rPr>
        <w:t>Riandi</w:t>
      </w:r>
      <w:proofErr w:type="spellEnd"/>
      <w:r w:rsidRPr="004B4E53">
        <w:rPr>
          <w:rFonts w:ascii="Times New Roman" w:eastAsia="Times New Roman" w:hAnsi="Times New Roman" w:cs="Times New Roman"/>
          <w:sz w:val="24"/>
          <w:szCs w:val="24"/>
          <w:lang w:eastAsia="en-IN"/>
        </w:rPr>
        <w:t xml:space="preserve">. (2023). Integrating STEM-based education for sustainable development (ESD) to promote quality education: A systematic literature review. </w:t>
      </w:r>
      <w:proofErr w:type="spellStart"/>
      <w:r w:rsidRPr="004B4E53">
        <w:rPr>
          <w:rFonts w:ascii="Times New Roman" w:eastAsia="Times New Roman" w:hAnsi="Times New Roman" w:cs="Times New Roman"/>
          <w:i/>
          <w:iCs/>
          <w:sz w:val="24"/>
          <w:szCs w:val="24"/>
          <w:lang w:eastAsia="en-IN"/>
        </w:rPr>
        <w:t>Jurnal</w:t>
      </w:r>
      <w:proofErr w:type="spellEnd"/>
      <w:r w:rsidRPr="004B4E53">
        <w:rPr>
          <w:rFonts w:ascii="Times New Roman" w:eastAsia="Times New Roman" w:hAnsi="Times New Roman" w:cs="Times New Roman"/>
          <w:i/>
          <w:iCs/>
          <w:sz w:val="24"/>
          <w:szCs w:val="24"/>
          <w:lang w:eastAsia="en-IN"/>
        </w:rPr>
        <w:t xml:space="preserve"> </w:t>
      </w:r>
      <w:proofErr w:type="spellStart"/>
      <w:r w:rsidRPr="004B4E53">
        <w:rPr>
          <w:rFonts w:ascii="Times New Roman" w:eastAsia="Times New Roman" w:hAnsi="Times New Roman" w:cs="Times New Roman"/>
          <w:i/>
          <w:iCs/>
          <w:sz w:val="24"/>
          <w:szCs w:val="24"/>
          <w:lang w:eastAsia="en-IN"/>
        </w:rPr>
        <w:t>Penelitian</w:t>
      </w:r>
      <w:proofErr w:type="spellEnd"/>
      <w:r w:rsidRPr="004B4E53">
        <w:rPr>
          <w:rFonts w:ascii="Times New Roman" w:eastAsia="Times New Roman" w:hAnsi="Times New Roman" w:cs="Times New Roman"/>
          <w:i/>
          <w:iCs/>
          <w:sz w:val="24"/>
          <w:szCs w:val="24"/>
          <w:lang w:eastAsia="en-IN"/>
        </w:rPr>
        <w:t xml:space="preserve"> Pendidikan IPA, 9</w:t>
      </w:r>
      <w:r w:rsidRPr="004B4E53">
        <w:rPr>
          <w:rFonts w:ascii="Times New Roman" w:eastAsia="Times New Roman" w:hAnsi="Times New Roman" w:cs="Times New Roman"/>
          <w:sz w:val="24"/>
          <w:szCs w:val="24"/>
          <w:lang w:eastAsia="en-IN"/>
        </w:rPr>
        <w:t xml:space="preserve">(11), 1005–1018. </w:t>
      </w:r>
      <w:hyperlink r:id="rId18" w:history="1">
        <w:r w:rsidRPr="004B4E53">
          <w:rPr>
            <w:rStyle w:val="Hyperlink"/>
            <w:rFonts w:ascii="Times New Roman" w:eastAsia="Times New Roman" w:hAnsi="Times New Roman" w:cs="Times New Roman"/>
            <w:sz w:val="24"/>
            <w:szCs w:val="24"/>
            <w:lang w:eastAsia="en-IN"/>
          </w:rPr>
          <w:t>http://jppipa.unram.ac.id/index.php/jppipa/article/view/6000</w:t>
        </w:r>
      </w:hyperlink>
      <w:r w:rsidRPr="004B4E53">
        <w:rPr>
          <w:rFonts w:ascii="Times New Roman" w:eastAsia="Times New Roman" w:hAnsi="Times New Roman" w:cs="Times New Roman"/>
          <w:sz w:val="24"/>
          <w:szCs w:val="24"/>
          <w:lang w:eastAsia="en-IN"/>
        </w:rPr>
        <w:t xml:space="preserve"> </w:t>
      </w:r>
    </w:p>
    <w:p w14:paraId="44169372" w14:textId="6AAC21EC" w:rsidR="00E86C2F" w:rsidRPr="004B4E53" w:rsidRDefault="00E86C2F" w:rsidP="00236C68">
      <w:pPr>
        <w:ind w:left="720" w:hanging="720"/>
        <w:rPr>
          <w:rFonts w:ascii="Times New Roman" w:hAnsi="Times New Roman" w:cs="Times New Roman"/>
          <w:color w:val="C00000"/>
          <w:sz w:val="24"/>
          <w:szCs w:val="24"/>
        </w:rPr>
      </w:pPr>
      <w:r w:rsidRPr="004B4E53">
        <w:rPr>
          <w:rFonts w:ascii="Times New Roman" w:hAnsi="Times New Roman" w:cs="Times New Roman"/>
          <w:sz w:val="24"/>
          <w:szCs w:val="24"/>
        </w:rPr>
        <w:t xml:space="preserve">French, R., </w:t>
      </w:r>
      <w:proofErr w:type="spellStart"/>
      <w:r w:rsidRPr="004B4E53">
        <w:rPr>
          <w:rFonts w:ascii="Times New Roman" w:hAnsi="Times New Roman" w:cs="Times New Roman"/>
          <w:sz w:val="24"/>
          <w:szCs w:val="24"/>
        </w:rPr>
        <w:t>Imms</w:t>
      </w:r>
      <w:proofErr w:type="spellEnd"/>
      <w:r w:rsidRPr="004B4E53">
        <w:rPr>
          <w:rFonts w:ascii="Times New Roman" w:hAnsi="Times New Roman" w:cs="Times New Roman"/>
          <w:sz w:val="24"/>
          <w:szCs w:val="24"/>
        </w:rPr>
        <w:t xml:space="preserve">, W., &amp; Mahat, M. (2020). Case studies on transitioning from traditional classrooms to innovative learning environments: Emerging strategies for success. </w:t>
      </w:r>
      <w:r w:rsidRPr="004B4E53">
        <w:rPr>
          <w:rStyle w:val="Emphasis"/>
          <w:rFonts w:ascii="Times New Roman" w:hAnsi="Times New Roman" w:cs="Times New Roman"/>
          <w:sz w:val="24"/>
          <w:szCs w:val="24"/>
        </w:rPr>
        <w:t>Improving Schools, 23</w:t>
      </w:r>
      <w:r w:rsidRPr="004B4E53">
        <w:rPr>
          <w:rFonts w:ascii="Times New Roman" w:hAnsi="Times New Roman" w:cs="Times New Roman"/>
          <w:sz w:val="24"/>
          <w:szCs w:val="24"/>
        </w:rPr>
        <w:t xml:space="preserve">(2), 175–189. </w:t>
      </w:r>
      <w:hyperlink r:id="rId19" w:tgtFrame="_new" w:history="1">
        <w:r w:rsidRPr="004B4E53">
          <w:rPr>
            <w:rStyle w:val="Hyperlink"/>
            <w:rFonts w:ascii="Times New Roman" w:hAnsi="Times New Roman" w:cs="Times New Roman"/>
            <w:sz w:val="24"/>
            <w:szCs w:val="24"/>
          </w:rPr>
          <w:t>https://doi.org/10.1177/1365480219894408</w:t>
        </w:r>
      </w:hyperlink>
    </w:p>
    <w:p w14:paraId="2E547584" w14:textId="1CFA6104" w:rsidR="00236C68" w:rsidRPr="004B4E53" w:rsidRDefault="00236C68" w:rsidP="00236C68">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Gabuardi, V. M. F. (2021). Project-Based Learning: Boosting 21st-century skills. </w:t>
      </w:r>
      <w:proofErr w:type="spellStart"/>
      <w:r w:rsidRPr="004B4E53">
        <w:rPr>
          <w:rFonts w:ascii="Times New Roman" w:hAnsi="Times New Roman" w:cs="Times New Roman"/>
          <w:sz w:val="24"/>
          <w:szCs w:val="24"/>
        </w:rPr>
        <w:t>Estudios</w:t>
      </w:r>
      <w:proofErr w:type="spellEnd"/>
      <w:r w:rsidRPr="004B4E53">
        <w:rPr>
          <w:rFonts w:ascii="Times New Roman" w:hAnsi="Times New Roman" w:cs="Times New Roman"/>
          <w:sz w:val="24"/>
          <w:szCs w:val="24"/>
        </w:rPr>
        <w:t xml:space="preserve">, (43), 340-419. </w:t>
      </w:r>
      <w:hyperlink r:id="rId20" w:history="1">
        <w:r w:rsidRPr="004B4E53">
          <w:rPr>
            <w:rStyle w:val="Hyperlink"/>
            <w:rFonts w:ascii="Times New Roman" w:hAnsi="Times New Roman" w:cs="Times New Roman"/>
            <w:color w:val="auto"/>
            <w:sz w:val="24"/>
            <w:szCs w:val="24"/>
          </w:rPr>
          <w:t>https://doi.org/10.15517/re.v0i43.49335</w:t>
        </w:r>
      </w:hyperlink>
      <w:r w:rsidR="00E1639C" w:rsidRPr="004B4E53">
        <w:rPr>
          <w:rStyle w:val="Hyperlink"/>
          <w:rFonts w:ascii="Times New Roman" w:hAnsi="Times New Roman" w:cs="Times New Roman"/>
          <w:color w:val="auto"/>
          <w:sz w:val="24"/>
          <w:szCs w:val="24"/>
        </w:rPr>
        <w:t xml:space="preserve"> </w:t>
      </w:r>
    </w:p>
    <w:p w14:paraId="792D1FB8" w14:textId="77777777" w:rsidR="00236C68" w:rsidRPr="004B4E53" w:rsidRDefault="00236C68" w:rsidP="00236C68">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Global Schools Program. (n.d.). </w:t>
      </w:r>
      <w:r w:rsidRPr="004B4E53">
        <w:rPr>
          <w:rStyle w:val="Emphasis"/>
          <w:rFonts w:ascii="Times New Roman" w:hAnsi="Times New Roman" w:cs="Times New Roman"/>
          <w:sz w:val="24"/>
          <w:szCs w:val="24"/>
        </w:rPr>
        <w:t>Education for Sustainable Development (ESD) is good for society</w:t>
      </w:r>
      <w:r w:rsidRPr="004B4E53">
        <w:rPr>
          <w:rFonts w:ascii="Times New Roman" w:hAnsi="Times New Roman" w:cs="Times New Roman"/>
          <w:sz w:val="24"/>
          <w:szCs w:val="24"/>
        </w:rPr>
        <w:t xml:space="preserve">. Global Schools Program. Retrieved August 7, 2025, from </w:t>
      </w:r>
      <w:hyperlink r:id="rId21" w:anchor=":~:text=Our%20literature%20review%20of%20over,physical%20well%2Dbeing%20for%20students" w:tgtFrame="_new" w:history="1">
        <w:r w:rsidRPr="004B4E53">
          <w:rPr>
            <w:rStyle w:val="Hyperlink"/>
            <w:rFonts w:ascii="Times New Roman" w:hAnsi="Times New Roman" w:cs="Times New Roman"/>
            <w:sz w:val="24"/>
            <w:szCs w:val="24"/>
          </w:rPr>
          <w:t>https://www.globalschoolsprogram.org/resources#:~:text=Our%20literature%20review%20of%20over,physical%20well%2Dbeing%20for%20students</w:t>
        </w:r>
      </w:hyperlink>
      <w:r w:rsidRPr="004B4E53">
        <w:rPr>
          <w:rFonts w:ascii="Times New Roman" w:hAnsi="Times New Roman" w:cs="Times New Roman"/>
          <w:sz w:val="24"/>
          <w:szCs w:val="24"/>
        </w:rPr>
        <w:t>.</w:t>
      </w:r>
    </w:p>
    <w:p w14:paraId="7C83FE2C" w14:textId="66AAB45D" w:rsidR="00E86C2F" w:rsidRPr="004B4E53" w:rsidRDefault="00E86C2F" w:rsidP="00236C68">
      <w:pPr>
        <w:spacing w:before="100" w:beforeAutospacing="1" w:after="100" w:afterAutospacing="1" w:line="240" w:lineRule="auto"/>
        <w:ind w:left="720" w:hanging="720"/>
        <w:rPr>
          <w:rFonts w:ascii="Times New Roman" w:hAnsi="Times New Roman" w:cs="Times New Roman"/>
          <w:color w:val="FF0000"/>
          <w:sz w:val="24"/>
          <w:szCs w:val="24"/>
        </w:rPr>
      </w:pPr>
      <w:r w:rsidRPr="004B4E53">
        <w:rPr>
          <w:rFonts w:ascii="Times New Roman" w:hAnsi="Times New Roman" w:cs="Times New Roman"/>
          <w:sz w:val="24"/>
          <w:szCs w:val="24"/>
        </w:rPr>
        <w:lastRenderedPageBreak/>
        <w:t xml:space="preserve">Huckle, J., &amp; Wals, A. E. J. (2015). The UN Decade of Education for Sustainable Development: Business as usual in the end. </w:t>
      </w:r>
      <w:r w:rsidRPr="004B4E53">
        <w:rPr>
          <w:rStyle w:val="Emphasis"/>
          <w:rFonts w:ascii="Times New Roman" w:hAnsi="Times New Roman" w:cs="Times New Roman"/>
          <w:sz w:val="24"/>
          <w:szCs w:val="24"/>
        </w:rPr>
        <w:t>Environmental Education Research, 21</w:t>
      </w:r>
      <w:r w:rsidRPr="004B4E53">
        <w:rPr>
          <w:rFonts w:ascii="Times New Roman" w:hAnsi="Times New Roman" w:cs="Times New Roman"/>
          <w:sz w:val="24"/>
          <w:szCs w:val="24"/>
        </w:rPr>
        <w:t>(3), 491–505. https://doi.org/10.1080/13504622.2015.1011084</w:t>
      </w:r>
    </w:p>
    <w:p w14:paraId="1022C7D2" w14:textId="37ACD569" w:rsidR="00236C68" w:rsidRPr="004B4E53" w:rsidRDefault="00236C68" w:rsidP="00236C68">
      <w:pPr>
        <w:spacing w:before="100" w:beforeAutospacing="1" w:after="100" w:afterAutospacing="1" w:line="240" w:lineRule="auto"/>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Khoo, S., &amp; Jørgensen, N. J. (2021). Intersections and collaborative potentials between global citizenship education and education for sustainable development. </w:t>
      </w:r>
      <w:r w:rsidRPr="004B4E53">
        <w:rPr>
          <w:rStyle w:val="Emphasis"/>
          <w:rFonts w:ascii="Times New Roman" w:hAnsi="Times New Roman" w:cs="Times New Roman"/>
          <w:sz w:val="24"/>
          <w:szCs w:val="24"/>
        </w:rPr>
        <w:t>Globalisation, Societies and Education, 19</w:t>
      </w:r>
      <w:r w:rsidRPr="004B4E53">
        <w:rPr>
          <w:rFonts w:ascii="Times New Roman" w:hAnsi="Times New Roman" w:cs="Times New Roman"/>
          <w:sz w:val="24"/>
          <w:szCs w:val="24"/>
        </w:rPr>
        <w:t xml:space="preserve">(4), 470–481. </w:t>
      </w:r>
      <w:hyperlink r:id="rId22" w:tgtFrame="_new" w:history="1">
        <w:r w:rsidRPr="004B4E53">
          <w:rPr>
            <w:rStyle w:val="Hyperlink"/>
            <w:rFonts w:ascii="Times New Roman" w:hAnsi="Times New Roman" w:cs="Times New Roman"/>
            <w:sz w:val="24"/>
            <w:szCs w:val="24"/>
          </w:rPr>
          <w:t>https://doi.org/10.1080/14767724.2021.1889361</w:t>
        </w:r>
      </w:hyperlink>
    </w:p>
    <w:p w14:paraId="3BAC2B1E" w14:textId="5266898A" w:rsidR="00E86C2F" w:rsidRPr="004B4E53" w:rsidRDefault="00E86C2F" w:rsidP="00236C68">
      <w:pPr>
        <w:pStyle w:val="NormalWeb"/>
        <w:ind w:left="720" w:hanging="720"/>
      </w:pPr>
      <w:proofErr w:type="spellStart"/>
      <w:r w:rsidRPr="004B4E53">
        <w:t>Kioupi</w:t>
      </w:r>
      <w:proofErr w:type="spellEnd"/>
      <w:r w:rsidRPr="004B4E53">
        <w:t xml:space="preserve">, V., &amp; </w:t>
      </w:r>
      <w:proofErr w:type="spellStart"/>
      <w:r w:rsidRPr="004B4E53">
        <w:t>Voulvoulis</w:t>
      </w:r>
      <w:proofErr w:type="spellEnd"/>
      <w:r w:rsidRPr="004B4E53">
        <w:t xml:space="preserve">, N. (2019). Education for sustainable development: A systemic framework for connecting the SDGs to educational outcomes. </w:t>
      </w:r>
      <w:r w:rsidRPr="004B4E53">
        <w:rPr>
          <w:rStyle w:val="Emphasis"/>
        </w:rPr>
        <w:t>Sustainability, 11</w:t>
      </w:r>
      <w:r w:rsidRPr="004B4E53">
        <w:t xml:space="preserve">(21), Article 6104. </w:t>
      </w:r>
      <w:hyperlink r:id="rId23" w:tgtFrame="_new" w:history="1">
        <w:r w:rsidRPr="004B4E53">
          <w:rPr>
            <w:rStyle w:val="Hyperlink"/>
          </w:rPr>
          <w:t>https://doi.org/10.3390/su11216104</w:t>
        </w:r>
      </w:hyperlink>
    </w:p>
    <w:p w14:paraId="5C914F30" w14:textId="5BEA0419" w:rsidR="00236C68" w:rsidRPr="004B4E53" w:rsidRDefault="00236C68" w:rsidP="00236C68">
      <w:pPr>
        <w:pStyle w:val="NormalWeb"/>
        <w:ind w:left="720" w:hanging="720"/>
      </w:pPr>
      <w:r w:rsidRPr="004B4E53">
        <w:t xml:space="preserve">Kohl, K., Sanusi, Z., &amp; Hussien, S. (2024). </w:t>
      </w:r>
      <w:r w:rsidRPr="004B4E53">
        <w:rPr>
          <w:rStyle w:val="Emphasis"/>
        </w:rPr>
        <w:t>Humanistic thought and education for sustainable development</w:t>
      </w:r>
      <w:r w:rsidRPr="004B4E53">
        <w:t xml:space="preserve">. </w:t>
      </w:r>
      <w:r w:rsidRPr="004B4E53">
        <w:rPr>
          <w:rStyle w:val="Emphasis"/>
        </w:rPr>
        <w:t>Nordic Journal of Comparative and International Education, 8</w:t>
      </w:r>
      <w:r w:rsidRPr="004B4E53">
        <w:t xml:space="preserve">(2). </w:t>
      </w:r>
      <w:hyperlink r:id="rId24" w:history="1">
        <w:r w:rsidRPr="004B4E53">
          <w:rPr>
            <w:rStyle w:val="Hyperlink"/>
          </w:rPr>
          <w:t>https://doi.org/10.7577/njcie.5611</w:t>
        </w:r>
      </w:hyperlink>
    </w:p>
    <w:p w14:paraId="4D97D7FA" w14:textId="77777777" w:rsidR="00236C68" w:rsidRPr="004B4E53" w:rsidRDefault="00236C68" w:rsidP="00236C68">
      <w:pPr>
        <w:ind w:left="720" w:hanging="720"/>
        <w:rPr>
          <w:rStyle w:val="Hyperlink"/>
          <w:rFonts w:ascii="Times New Roman" w:hAnsi="Times New Roman" w:cs="Times New Roman"/>
          <w:sz w:val="24"/>
          <w:szCs w:val="24"/>
        </w:rPr>
      </w:pPr>
      <w:proofErr w:type="spellStart"/>
      <w:r w:rsidRPr="004B4E53">
        <w:rPr>
          <w:rFonts w:ascii="Times New Roman" w:hAnsi="Times New Roman" w:cs="Times New Roman"/>
          <w:sz w:val="24"/>
          <w:szCs w:val="24"/>
        </w:rPr>
        <w:t>Korada</w:t>
      </w:r>
      <w:proofErr w:type="spellEnd"/>
      <w:r w:rsidRPr="004B4E53">
        <w:rPr>
          <w:rFonts w:ascii="Times New Roman" w:hAnsi="Times New Roman" w:cs="Times New Roman"/>
          <w:sz w:val="24"/>
          <w:szCs w:val="24"/>
        </w:rPr>
        <w:t xml:space="preserve">, M. (2023). NEP-2020: Teacher education and sustainable development. </w:t>
      </w:r>
      <w:r w:rsidRPr="004B4E53">
        <w:rPr>
          <w:rStyle w:val="Emphasis"/>
          <w:rFonts w:ascii="Times New Roman" w:hAnsi="Times New Roman" w:cs="Times New Roman"/>
          <w:sz w:val="24"/>
          <w:szCs w:val="24"/>
        </w:rPr>
        <w:t>International Journal of Multidisciplinary Educational Research, 12</w:t>
      </w:r>
      <w:r w:rsidRPr="004B4E53">
        <w:rPr>
          <w:rFonts w:ascii="Times New Roman" w:hAnsi="Times New Roman" w:cs="Times New Roman"/>
          <w:sz w:val="24"/>
          <w:szCs w:val="24"/>
        </w:rPr>
        <w:t xml:space="preserve">(4[4]), 73–80. </w:t>
      </w:r>
      <w:hyperlink r:id="rId25" w:tgtFrame="_new" w:history="1">
        <w:r w:rsidRPr="004B4E53">
          <w:rPr>
            <w:rStyle w:val="Hyperlink"/>
            <w:rFonts w:ascii="Times New Roman" w:hAnsi="Times New Roman" w:cs="Times New Roman"/>
            <w:sz w:val="24"/>
            <w:szCs w:val="24"/>
          </w:rPr>
          <w:t>http://ijmer.in.doi./2023/12.04.73</w:t>
        </w:r>
      </w:hyperlink>
    </w:p>
    <w:p w14:paraId="3C6DB91C" w14:textId="5ACB0FD3" w:rsidR="00E86C2F" w:rsidRPr="004B4E53" w:rsidRDefault="00E86C2F" w:rsidP="00236C68">
      <w:pPr>
        <w:ind w:left="720" w:hanging="720"/>
        <w:rPr>
          <w:rFonts w:ascii="Times New Roman" w:hAnsi="Times New Roman" w:cs="Times New Roman"/>
          <w:color w:val="C00000"/>
          <w:sz w:val="24"/>
          <w:szCs w:val="24"/>
        </w:rPr>
      </w:pPr>
      <w:r w:rsidRPr="004B4E53">
        <w:rPr>
          <w:rFonts w:ascii="Times New Roman" w:hAnsi="Times New Roman" w:cs="Times New Roman"/>
          <w:sz w:val="24"/>
          <w:szCs w:val="24"/>
        </w:rPr>
        <w:t xml:space="preserve">Lawrence, R. L. (2017). Understanding collaborative leadership in theory and practice. </w:t>
      </w:r>
      <w:r w:rsidRPr="004B4E53">
        <w:rPr>
          <w:rStyle w:val="Emphasis"/>
          <w:rFonts w:ascii="Times New Roman" w:hAnsi="Times New Roman" w:cs="Times New Roman"/>
          <w:sz w:val="24"/>
          <w:szCs w:val="24"/>
        </w:rPr>
        <w:t>New Directions for Adult and Continuing Education, 2017</w:t>
      </w:r>
      <w:r w:rsidRPr="004B4E53">
        <w:rPr>
          <w:rFonts w:ascii="Times New Roman" w:hAnsi="Times New Roman" w:cs="Times New Roman"/>
          <w:sz w:val="24"/>
          <w:szCs w:val="24"/>
        </w:rPr>
        <w:t xml:space="preserve">(156), 89–96. </w:t>
      </w:r>
      <w:hyperlink r:id="rId26" w:tgtFrame="_new" w:history="1">
        <w:r w:rsidRPr="004B4E53">
          <w:rPr>
            <w:rStyle w:val="Hyperlink"/>
            <w:rFonts w:ascii="Times New Roman" w:hAnsi="Times New Roman" w:cs="Times New Roman"/>
            <w:sz w:val="24"/>
            <w:szCs w:val="24"/>
          </w:rPr>
          <w:t>https://doi.org/10.1002/ace.20262</w:t>
        </w:r>
      </w:hyperlink>
      <w:r w:rsidRPr="004B4E53">
        <w:rPr>
          <w:rFonts w:ascii="Times New Roman" w:hAnsi="Times New Roman" w:cs="Times New Roman"/>
          <w:sz w:val="24"/>
          <w:szCs w:val="24"/>
        </w:rPr>
        <w:t xml:space="preserve"> </w:t>
      </w:r>
    </w:p>
    <w:p w14:paraId="1AA2265B" w14:textId="1E752909" w:rsidR="00E86C2F" w:rsidRPr="004B4E53" w:rsidRDefault="00E86C2F" w:rsidP="00236C68">
      <w:pPr>
        <w:spacing w:before="100" w:beforeAutospacing="1" w:after="100" w:afterAutospacing="1" w:line="360" w:lineRule="auto"/>
        <w:ind w:left="720" w:hanging="720"/>
        <w:jc w:val="both"/>
        <w:rPr>
          <w:rFonts w:ascii="Times New Roman" w:hAnsi="Times New Roman" w:cs="Times New Roman"/>
          <w:b/>
          <w:bCs/>
          <w:sz w:val="24"/>
          <w:szCs w:val="24"/>
        </w:rPr>
      </w:pPr>
      <w:r w:rsidRPr="004B4E53">
        <w:rPr>
          <w:rFonts w:ascii="Times New Roman" w:hAnsi="Times New Roman" w:cs="Times New Roman"/>
          <w:sz w:val="24"/>
          <w:szCs w:val="24"/>
        </w:rPr>
        <w:t xml:space="preserve">Mahat, H., Saleh, Y., Hashim, M., &amp; Nayan, N. (2016). Model development on awareness of education for sustainable </w:t>
      </w:r>
      <w:proofErr w:type="gramStart"/>
      <w:r w:rsidRPr="004B4E53">
        <w:rPr>
          <w:rFonts w:ascii="Times New Roman" w:hAnsi="Times New Roman" w:cs="Times New Roman"/>
          <w:sz w:val="24"/>
          <w:szCs w:val="24"/>
        </w:rPr>
        <w:t>schools</w:t>
      </w:r>
      <w:proofErr w:type="gramEnd"/>
      <w:r w:rsidRPr="004B4E53">
        <w:rPr>
          <w:rFonts w:ascii="Times New Roman" w:hAnsi="Times New Roman" w:cs="Times New Roman"/>
          <w:sz w:val="24"/>
          <w:szCs w:val="24"/>
        </w:rPr>
        <w:t xml:space="preserve"> development in Malaysia. </w:t>
      </w:r>
      <w:r w:rsidRPr="004B4E53">
        <w:rPr>
          <w:rStyle w:val="Emphasis"/>
          <w:rFonts w:ascii="Times New Roman" w:hAnsi="Times New Roman" w:cs="Times New Roman"/>
          <w:sz w:val="24"/>
          <w:szCs w:val="24"/>
        </w:rPr>
        <w:t>Indonesian Journal of Geography, 48</w:t>
      </w:r>
      <w:r w:rsidRPr="004B4E53">
        <w:rPr>
          <w:rFonts w:ascii="Times New Roman" w:hAnsi="Times New Roman" w:cs="Times New Roman"/>
          <w:sz w:val="24"/>
          <w:szCs w:val="24"/>
        </w:rPr>
        <w:t xml:space="preserve">(1), 37–46. </w:t>
      </w:r>
      <w:hyperlink r:id="rId27" w:history="1">
        <w:r w:rsidRPr="004B4E53">
          <w:rPr>
            <w:rStyle w:val="Hyperlink"/>
            <w:rFonts w:ascii="Times New Roman" w:hAnsi="Times New Roman" w:cs="Times New Roman"/>
            <w:sz w:val="24"/>
            <w:szCs w:val="24"/>
          </w:rPr>
          <w:t>https://doi.org/10.22146/ijg.12496</w:t>
        </w:r>
      </w:hyperlink>
      <w:r w:rsidRPr="004B4E53">
        <w:rPr>
          <w:rFonts w:ascii="Times New Roman" w:hAnsi="Times New Roman" w:cs="Times New Roman"/>
          <w:sz w:val="24"/>
          <w:szCs w:val="24"/>
        </w:rPr>
        <w:t xml:space="preserve"> </w:t>
      </w:r>
    </w:p>
    <w:p w14:paraId="7A8FE088" w14:textId="390BF426" w:rsidR="00236C68" w:rsidRPr="004B4E53" w:rsidRDefault="00236C68" w:rsidP="00236C68">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Mahmoud, H. (2022). </w:t>
      </w:r>
      <w:r w:rsidRPr="004B4E53">
        <w:rPr>
          <w:rStyle w:val="Emphasis"/>
          <w:rFonts w:ascii="Times New Roman" w:hAnsi="Times New Roman" w:cs="Times New Roman"/>
          <w:sz w:val="24"/>
          <w:szCs w:val="24"/>
        </w:rPr>
        <w:t>Why ESD is important</w:t>
      </w:r>
      <w:r w:rsidRPr="004B4E53">
        <w:rPr>
          <w:rFonts w:ascii="Times New Roman" w:hAnsi="Times New Roman" w:cs="Times New Roman"/>
          <w:sz w:val="24"/>
          <w:szCs w:val="24"/>
        </w:rPr>
        <w:t xml:space="preserve">. LinkedIn. </w:t>
      </w:r>
      <w:hyperlink r:id="rId28" w:tgtFrame="_new" w:history="1">
        <w:r w:rsidRPr="004B4E53">
          <w:rPr>
            <w:rStyle w:val="Hyperlink"/>
            <w:rFonts w:ascii="Times New Roman" w:hAnsi="Times New Roman" w:cs="Times New Roman"/>
            <w:sz w:val="24"/>
            <w:szCs w:val="24"/>
          </w:rPr>
          <w:t>https://www.linkedin.com/pulse/why-esd-important-hatem-mahmoud</w:t>
        </w:r>
      </w:hyperlink>
    </w:p>
    <w:p w14:paraId="016E9C3A" w14:textId="6AC331C8" w:rsidR="00E86C2F" w:rsidRPr="004B4E53" w:rsidRDefault="00E86C2F" w:rsidP="00236C68">
      <w:pPr>
        <w:ind w:left="720" w:hanging="720"/>
        <w:rPr>
          <w:rFonts w:ascii="Times New Roman" w:hAnsi="Times New Roman" w:cs="Times New Roman"/>
          <w:color w:val="C00000"/>
          <w:sz w:val="24"/>
          <w:szCs w:val="24"/>
        </w:rPr>
      </w:pPr>
      <w:r w:rsidRPr="004B4E53">
        <w:rPr>
          <w:rFonts w:ascii="Times New Roman" w:hAnsi="Times New Roman" w:cs="Times New Roman"/>
          <w:sz w:val="24"/>
          <w:szCs w:val="24"/>
        </w:rPr>
        <w:t xml:space="preserve">Malik, R. S. (2018). Educational challenges in the 21st century and sustainable development. </w:t>
      </w:r>
      <w:r w:rsidRPr="004B4E53">
        <w:rPr>
          <w:rStyle w:val="Emphasis"/>
          <w:rFonts w:ascii="Times New Roman" w:hAnsi="Times New Roman" w:cs="Times New Roman"/>
          <w:sz w:val="24"/>
          <w:szCs w:val="24"/>
        </w:rPr>
        <w:t>Journal of Sustainable Development Education and Research, 2</w:t>
      </w:r>
      <w:r w:rsidRPr="004B4E53">
        <w:rPr>
          <w:rFonts w:ascii="Times New Roman" w:hAnsi="Times New Roman" w:cs="Times New Roman"/>
          <w:sz w:val="24"/>
          <w:szCs w:val="24"/>
        </w:rPr>
        <w:t xml:space="preserve">(1), 9–20. </w:t>
      </w:r>
      <w:hyperlink r:id="rId29" w:tgtFrame="_new" w:history="1">
        <w:r w:rsidRPr="004B4E53">
          <w:rPr>
            <w:rStyle w:val="Hyperlink"/>
            <w:rFonts w:ascii="Times New Roman" w:hAnsi="Times New Roman" w:cs="Times New Roman"/>
            <w:sz w:val="24"/>
            <w:szCs w:val="24"/>
          </w:rPr>
          <w:t>https://doi.org/10.17509/jsder.v2i1.12266</w:t>
        </w:r>
      </w:hyperlink>
      <w:r w:rsidRPr="004B4E53">
        <w:rPr>
          <w:rFonts w:ascii="Times New Roman" w:hAnsi="Times New Roman" w:cs="Times New Roman"/>
          <w:sz w:val="24"/>
          <w:szCs w:val="24"/>
        </w:rPr>
        <w:t xml:space="preserve"> </w:t>
      </w:r>
    </w:p>
    <w:p w14:paraId="7ED8E5CA" w14:textId="547757C2" w:rsidR="00236C68" w:rsidRPr="004B4E53" w:rsidRDefault="00236C68" w:rsidP="00236C68">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Ministry of Education. (2020). </w:t>
      </w:r>
      <w:r w:rsidRPr="004B4E53">
        <w:rPr>
          <w:rStyle w:val="Emphasis"/>
          <w:rFonts w:ascii="Times New Roman" w:hAnsi="Times New Roman" w:cs="Times New Roman"/>
          <w:sz w:val="24"/>
          <w:szCs w:val="24"/>
        </w:rPr>
        <w:t>National Education Policy 2020</w:t>
      </w:r>
      <w:r w:rsidRPr="004B4E53">
        <w:rPr>
          <w:rFonts w:ascii="Times New Roman" w:hAnsi="Times New Roman" w:cs="Times New Roman"/>
          <w:sz w:val="24"/>
          <w:szCs w:val="24"/>
        </w:rPr>
        <w:t>. New Delhi: Ministry of Education.</w:t>
      </w:r>
    </w:p>
    <w:p w14:paraId="61F481F9" w14:textId="77777777" w:rsidR="00236C68" w:rsidRPr="004B4E53" w:rsidRDefault="00236C68" w:rsidP="00236C68">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Mishra, S. N. (2021). Assessing secondary school teachers' 21st century attitude and environmental awareness for promoting education for sustainable development. </w:t>
      </w:r>
      <w:proofErr w:type="spellStart"/>
      <w:r w:rsidRPr="004B4E53">
        <w:rPr>
          <w:rStyle w:val="Emphasis"/>
          <w:rFonts w:ascii="Times New Roman" w:hAnsi="Times New Roman" w:cs="Times New Roman"/>
          <w:sz w:val="24"/>
          <w:szCs w:val="24"/>
        </w:rPr>
        <w:t>Vidhyayana</w:t>
      </w:r>
      <w:proofErr w:type="spellEnd"/>
      <w:r w:rsidRPr="004B4E53">
        <w:rPr>
          <w:rStyle w:val="Emphasis"/>
          <w:rFonts w:ascii="Times New Roman" w:hAnsi="Times New Roman" w:cs="Times New Roman"/>
          <w:sz w:val="24"/>
          <w:szCs w:val="24"/>
        </w:rPr>
        <w:t>: An International Multidisciplinary Peer-Reviewed E-Journal, 7</w:t>
      </w:r>
      <w:r w:rsidRPr="004B4E53">
        <w:rPr>
          <w:rFonts w:ascii="Times New Roman" w:hAnsi="Times New Roman" w:cs="Times New Roman"/>
          <w:sz w:val="24"/>
          <w:szCs w:val="24"/>
        </w:rPr>
        <w:t xml:space="preserve">(6), 66–75. </w:t>
      </w:r>
      <w:hyperlink r:id="rId30" w:tgtFrame="_new" w:history="1">
        <w:r w:rsidRPr="004B4E53">
          <w:rPr>
            <w:rStyle w:val="Hyperlink"/>
            <w:rFonts w:ascii="Times New Roman" w:hAnsi="Times New Roman" w:cs="Times New Roman"/>
            <w:sz w:val="24"/>
            <w:szCs w:val="24"/>
          </w:rPr>
          <w:t>https://www.vidhyayanaejournal.org</w:t>
        </w:r>
      </w:hyperlink>
    </w:p>
    <w:p w14:paraId="7C2B1694" w14:textId="77777777" w:rsidR="00236C68" w:rsidRPr="004B4E53" w:rsidRDefault="00236C68" w:rsidP="00236C68">
      <w:pPr>
        <w:spacing w:before="100" w:beforeAutospacing="1" w:after="100" w:afterAutospacing="1" w:line="240" w:lineRule="auto"/>
        <w:ind w:left="720" w:hanging="720"/>
        <w:rPr>
          <w:rFonts w:ascii="Times New Roman" w:hAnsi="Times New Roman" w:cs="Times New Roman"/>
          <w:sz w:val="24"/>
          <w:szCs w:val="24"/>
        </w:rPr>
      </w:pPr>
      <w:r w:rsidRPr="004B4E53">
        <w:rPr>
          <w:rFonts w:ascii="Times New Roman" w:hAnsi="Times New Roman" w:cs="Times New Roman"/>
          <w:sz w:val="24"/>
          <w:szCs w:val="24"/>
        </w:rPr>
        <w:lastRenderedPageBreak/>
        <w:t xml:space="preserve">Mohanty, A., Alam, A., &amp; Mohanty, A. (2024). Education for sustainable development (ESD) and global citizenship for India. </w:t>
      </w:r>
      <w:r w:rsidRPr="004B4E53">
        <w:rPr>
          <w:rStyle w:val="Emphasis"/>
          <w:rFonts w:ascii="Times New Roman" w:hAnsi="Times New Roman" w:cs="Times New Roman"/>
          <w:sz w:val="24"/>
          <w:szCs w:val="24"/>
        </w:rPr>
        <w:t>Journal of Education for Sustainable Development Studies, 1</w:t>
      </w:r>
      <w:r w:rsidRPr="004B4E53">
        <w:rPr>
          <w:rFonts w:ascii="Times New Roman" w:hAnsi="Times New Roman" w:cs="Times New Roman"/>
          <w:sz w:val="24"/>
          <w:szCs w:val="24"/>
        </w:rPr>
        <w:t xml:space="preserve">(2), 134–159. </w:t>
      </w:r>
      <w:hyperlink r:id="rId31" w:history="1">
        <w:r w:rsidRPr="004B4E53">
          <w:rPr>
            <w:rStyle w:val="Hyperlink"/>
            <w:rFonts w:ascii="Times New Roman" w:hAnsi="Times New Roman" w:cs="Times New Roman"/>
            <w:sz w:val="24"/>
            <w:szCs w:val="24"/>
          </w:rPr>
          <w:t>https://doi.org/10.70232/jesds.v1i2.17</w:t>
        </w:r>
      </w:hyperlink>
    </w:p>
    <w:p w14:paraId="1AF6E088" w14:textId="3FC5FDC6" w:rsidR="00E86C2F" w:rsidRPr="004B4E53" w:rsidRDefault="00E86C2F" w:rsidP="00236C68">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Mokski, E., Leal, W., </w:t>
      </w:r>
      <w:proofErr w:type="spellStart"/>
      <w:r w:rsidRPr="004B4E53">
        <w:rPr>
          <w:rFonts w:ascii="Times New Roman" w:hAnsi="Times New Roman" w:cs="Times New Roman"/>
          <w:sz w:val="24"/>
          <w:szCs w:val="24"/>
        </w:rPr>
        <w:t>Sehnem</w:t>
      </w:r>
      <w:proofErr w:type="spellEnd"/>
      <w:r w:rsidRPr="004B4E53">
        <w:rPr>
          <w:rFonts w:ascii="Times New Roman" w:hAnsi="Times New Roman" w:cs="Times New Roman"/>
          <w:sz w:val="24"/>
          <w:szCs w:val="24"/>
        </w:rPr>
        <w:t xml:space="preserve">, S., &amp; Andrade Guerra, J. B. S. O. D. (2023). Education for sustainable development in higher education institutions: An approach for effective interdisciplinarity. </w:t>
      </w:r>
      <w:r w:rsidRPr="004B4E53">
        <w:rPr>
          <w:rStyle w:val="Emphasis"/>
          <w:rFonts w:ascii="Times New Roman" w:hAnsi="Times New Roman" w:cs="Times New Roman"/>
          <w:sz w:val="24"/>
          <w:szCs w:val="24"/>
        </w:rPr>
        <w:t>International Journal of Sustainability in Higher Education, 24</w:t>
      </w:r>
      <w:r w:rsidRPr="004B4E53">
        <w:rPr>
          <w:rFonts w:ascii="Times New Roman" w:hAnsi="Times New Roman" w:cs="Times New Roman"/>
          <w:sz w:val="24"/>
          <w:szCs w:val="24"/>
        </w:rPr>
        <w:t xml:space="preserve">(1), 96–117. </w:t>
      </w:r>
      <w:hyperlink r:id="rId32" w:history="1">
        <w:r w:rsidRPr="004B4E53">
          <w:rPr>
            <w:rStyle w:val="Hyperlink"/>
            <w:rFonts w:ascii="Times New Roman" w:hAnsi="Times New Roman" w:cs="Times New Roman"/>
            <w:sz w:val="24"/>
            <w:szCs w:val="24"/>
          </w:rPr>
          <w:t>https://doi.org/10.1108/IJSHE-12-2021-0529</w:t>
        </w:r>
      </w:hyperlink>
      <w:r w:rsidRPr="004B4E53">
        <w:rPr>
          <w:rFonts w:ascii="Times New Roman" w:hAnsi="Times New Roman" w:cs="Times New Roman"/>
          <w:sz w:val="24"/>
          <w:szCs w:val="24"/>
        </w:rPr>
        <w:t xml:space="preserve"> </w:t>
      </w:r>
    </w:p>
    <w:p w14:paraId="29A573DE" w14:textId="227E0AC7" w:rsidR="00E86C2F" w:rsidRPr="004B4E53" w:rsidRDefault="00E86C2F" w:rsidP="00236C68">
      <w:pPr>
        <w:ind w:left="720" w:hanging="720"/>
        <w:rPr>
          <w:rFonts w:ascii="Times New Roman" w:hAnsi="Times New Roman" w:cs="Times New Roman"/>
          <w:color w:val="FF0000"/>
          <w:sz w:val="24"/>
          <w:szCs w:val="24"/>
        </w:rPr>
      </w:pPr>
      <w:r w:rsidRPr="004B4E53">
        <w:rPr>
          <w:rFonts w:ascii="Times New Roman" w:hAnsi="Times New Roman" w:cs="Times New Roman"/>
          <w:sz w:val="24"/>
          <w:szCs w:val="24"/>
        </w:rPr>
        <w:t xml:space="preserve">Nikel, J., &amp; Lowe, J. (2010). Talking of fabric: A multi-dimensional model of quality in education. </w:t>
      </w:r>
      <w:r w:rsidRPr="004B4E53">
        <w:rPr>
          <w:rStyle w:val="Emphasis"/>
          <w:rFonts w:ascii="Times New Roman" w:hAnsi="Times New Roman" w:cs="Times New Roman"/>
          <w:sz w:val="24"/>
          <w:szCs w:val="24"/>
        </w:rPr>
        <w:t>Compare, 40</w:t>
      </w:r>
      <w:r w:rsidRPr="004B4E53">
        <w:rPr>
          <w:rFonts w:ascii="Times New Roman" w:hAnsi="Times New Roman" w:cs="Times New Roman"/>
          <w:sz w:val="24"/>
          <w:szCs w:val="24"/>
        </w:rPr>
        <w:t xml:space="preserve">(5), 589–605. </w:t>
      </w:r>
      <w:hyperlink r:id="rId33" w:history="1">
        <w:r w:rsidRPr="004B4E53">
          <w:rPr>
            <w:rStyle w:val="Hyperlink"/>
            <w:rFonts w:ascii="Times New Roman" w:hAnsi="Times New Roman" w:cs="Times New Roman"/>
            <w:sz w:val="24"/>
            <w:szCs w:val="24"/>
          </w:rPr>
          <w:t>https://doi.org/10.1080/03057920902909477</w:t>
        </w:r>
      </w:hyperlink>
      <w:r w:rsidRPr="004B4E53">
        <w:rPr>
          <w:rFonts w:ascii="Times New Roman" w:hAnsi="Times New Roman" w:cs="Times New Roman"/>
          <w:sz w:val="24"/>
          <w:szCs w:val="24"/>
        </w:rPr>
        <w:t xml:space="preserve"> </w:t>
      </w:r>
    </w:p>
    <w:p w14:paraId="2CD92C53" w14:textId="77777777" w:rsidR="00E86C2F" w:rsidRPr="00E86C2F" w:rsidRDefault="00E86C2F" w:rsidP="00962C32">
      <w:pPr>
        <w:spacing w:before="100" w:beforeAutospacing="1" w:after="100" w:afterAutospacing="1" w:line="360" w:lineRule="auto"/>
        <w:ind w:left="720" w:hanging="720"/>
        <w:jc w:val="both"/>
        <w:rPr>
          <w:rFonts w:ascii="Times New Roman" w:hAnsi="Times New Roman" w:cs="Times New Roman"/>
          <w:sz w:val="24"/>
          <w:szCs w:val="24"/>
        </w:rPr>
      </w:pPr>
      <w:r w:rsidRPr="00E86C2F">
        <w:rPr>
          <w:rFonts w:ascii="Times New Roman" w:hAnsi="Times New Roman" w:cs="Times New Roman"/>
          <w:sz w:val="24"/>
          <w:szCs w:val="24"/>
        </w:rPr>
        <w:t xml:space="preserve">Ogundare, S. A., Manu, J., &amp; Yohanna, C. (2023). Education for sustainable development: A bedrock for pre-service science teachers’ 21st century skills in Nigeria. </w:t>
      </w:r>
      <w:proofErr w:type="spellStart"/>
      <w:r w:rsidRPr="004B4E53">
        <w:rPr>
          <w:rFonts w:ascii="Times New Roman" w:hAnsi="Times New Roman" w:cs="Times New Roman"/>
          <w:sz w:val="24"/>
          <w:szCs w:val="24"/>
        </w:rPr>
        <w:t>Kashere</w:t>
      </w:r>
      <w:proofErr w:type="spellEnd"/>
      <w:r w:rsidRPr="004B4E53">
        <w:rPr>
          <w:rFonts w:ascii="Times New Roman" w:hAnsi="Times New Roman" w:cs="Times New Roman"/>
          <w:sz w:val="24"/>
          <w:szCs w:val="24"/>
        </w:rPr>
        <w:t xml:space="preserve"> Journal of Education, 5</w:t>
      </w:r>
      <w:r w:rsidRPr="00E86C2F">
        <w:rPr>
          <w:rFonts w:ascii="Times New Roman" w:hAnsi="Times New Roman" w:cs="Times New Roman"/>
          <w:sz w:val="24"/>
          <w:szCs w:val="24"/>
        </w:rPr>
        <w:t>(1), 286–301.</w:t>
      </w:r>
    </w:p>
    <w:p w14:paraId="22862C5E" w14:textId="33D3AB98" w:rsidR="00E86C2F" w:rsidRPr="00E86C2F" w:rsidRDefault="00E86C2F" w:rsidP="00962C32">
      <w:pPr>
        <w:spacing w:before="100" w:beforeAutospacing="1" w:after="100" w:afterAutospacing="1" w:line="360" w:lineRule="auto"/>
        <w:ind w:left="720" w:hanging="720"/>
        <w:jc w:val="both"/>
        <w:rPr>
          <w:rFonts w:ascii="Times New Roman" w:hAnsi="Times New Roman" w:cs="Times New Roman"/>
          <w:sz w:val="24"/>
          <w:szCs w:val="24"/>
        </w:rPr>
      </w:pPr>
      <w:r w:rsidRPr="00E86C2F">
        <w:rPr>
          <w:rFonts w:ascii="Times New Roman" w:hAnsi="Times New Roman" w:cs="Times New Roman"/>
          <w:sz w:val="24"/>
          <w:szCs w:val="24"/>
        </w:rPr>
        <w:t xml:space="preserve">Ohman, J. (2008). Environmental ethics and democratic responsibility – A pluralistic approach to ESD. In J. Öhman (Ed.), </w:t>
      </w:r>
      <w:r w:rsidRPr="004B4E53">
        <w:rPr>
          <w:rFonts w:ascii="Times New Roman" w:hAnsi="Times New Roman" w:cs="Times New Roman"/>
          <w:sz w:val="24"/>
          <w:szCs w:val="24"/>
        </w:rPr>
        <w:t>Values and democracy in education for sustainable development: Contributions from Swedish research</w:t>
      </w:r>
      <w:r w:rsidRPr="00E86C2F">
        <w:rPr>
          <w:rFonts w:ascii="Times New Roman" w:hAnsi="Times New Roman" w:cs="Times New Roman"/>
          <w:sz w:val="24"/>
          <w:szCs w:val="24"/>
        </w:rPr>
        <w:t>.</w:t>
      </w:r>
      <w:r w:rsidR="00A006C3" w:rsidRPr="004B4E53">
        <w:rPr>
          <w:rFonts w:ascii="Times New Roman" w:hAnsi="Times New Roman" w:cs="Times New Roman"/>
          <w:sz w:val="24"/>
          <w:szCs w:val="24"/>
        </w:rPr>
        <w:t xml:space="preserve"> </w:t>
      </w:r>
    </w:p>
    <w:p w14:paraId="1060DF2E" w14:textId="77777777" w:rsidR="00E86C2F" w:rsidRPr="00E86C2F" w:rsidRDefault="00E86C2F" w:rsidP="00962C32">
      <w:pPr>
        <w:spacing w:before="100" w:beforeAutospacing="1" w:after="100" w:afterAutospacing="1" w:line="360" w:lineRule="auto"/>
        <w:ind w:left="720" w:hanging="720"/>
        <w:jc w:val="both"/>
        <w:rPr>
          <w:rFonts w:ascii="Times New Roman" w:hAnsi="Times New Roman" w:cs="Times New Roman"/>
          <w:sz w:val="24"/>
          <w:szCs w:val="24"/>
        </w:rPr>
      </w:pPr>
      <w:r w:rsidRPr="00E86C2F">
        <w:rPr>
          <w:rFonts w:ascii="Times New Roman" w:hAnsi="Times New Roman" w:cs="Times New Roman"/>
          <w:sz w:val="24"/>
          <w:szCs w:val="24"/>
        </w:rPr>
        <w:t xml:space="preserve">Öhman, J. (2008). </w:t>
      </w:r>
      <w:r w:rsidRPr="004B4E53">
        <w:rPr>
          <w:rFonts w:ascii="Times New Roman" w:hAnsi="Times New Roman" w:cs="Times New Roman"/>
          <w:sz w:val="24"/>
          <w:szCs w:val="24"/>
        </w:rPr>
        <w:t>Values and democracy in education for sustainable development</w:t>
      </w:r>
      <w:r w:rsidRPr="00E86C2F">
        <w:rPr>
          <w:rFonts w:ascii="Times New Roman" w:hAnsi="Times New Roman" w:cs="Times New Roman"/>
          <w:sz w:val="24"/>
          <w:szCs w:val="24"/>
        </w:rPr>
        <w:t>. Liber.</w:t>
      </w:r>
    </w:p>
    <w:p w14:paraId="66431062" w14:textId="19E1E438" w:rsidR="00E86C2F" w:rsidRPr="004B4E53" w:rsidRDefault="00E86C2F" w:rsidP="00962C32">
      <w:pPr>
        <w:spacing w:before="100" w:beforeAutospacing="1" w:after="100" w:afterAutospacing="1" w:line="360" w:lineRule="auto"/>
        <w:ind w:left="720" w:hanging="720"/>
        <w:jc w:val="both"/>
        <w:rPr>
          <w:rFonts w:ascii="Times New Roman" w:hAnsi="Times New Roman" w:cs="Times New Roman"/>
          <w:sz w:val="24"/>
          <w:szCs w:val="24"/>
        </w:rPr>
      </w:pPr>
      <w:r w:rsidRPr="00E86C2F">
        <w:rPr>
          <w:rFonts w:ascii="Times New Roman" w:hAnsi="Times New Roman" w:cs="Times New Roman"/>
          <w:sz w:val="24"/>
          <w:szCs w:val="24"/>
        </w:rPr>
        <w:t xml:space="preserve">Pooley, J. A., &amp; O’Connor, M. (2000). Environmental education and attitudes: Emotions and beliefs are what is needed. </w:t>
      </w:r>
      <w:r w:rsidRPr="004B4E53">
        <w:rPr>
          <w:rFonts w:ascii="Times New Roman" w:hAnsi="Times New Roman" w:cs="Times New Roman"/>
          <w:sz w:val="24"/>
          <w:szCs w:val="24"/>
        </w:rPr>
        <w:t xml:space="preserve">Environment and </w:t>
      </w:r>
      <w:proofErr w:type="spellStart"/>
      <w:r w:rsidRPr="004B4E53">
        <w:rPr>
          <w:rFonts w:ascii="Times New Roman" w:hAnsi="Times New Roman" w:cs="Times New Roman"/>
          <w:sz w:val="24"/>
          <w:szCs w:val="24"/>
        </w:rPr>
        <w:t>Behavior</w:t>
      </w:r>
      <w:proofErr w:type="spellEnd"/>
      <w:r w:rsidRPr="004B4E53">
        <w:rPr>
          <w:rFonts w:ascii="Times New Roman" w:hAnsi="Times New Roman" w:cs="Times New Roman"/>
          <w:sz w:val="24"/>
          <w:szCs w:val="24"/>
        </w:rPr>
        <w:t>, 32</w:t>
      </w:r>
      <w:r w:rsidRPr="00E86C2F">
        <w:rPr>
          <w:rFonts w:ascii="Times New Roman" w:hAnsi="Times New Roman" w:cs="Times New Roman"/>
          <w:sz w:val="24"/>
          <w:szCs w:val="24"/>
        </w:rPr>
        <w:t>(5), 711–723. https://doi.org/10.1177/0013916500325007</w:t>
      </w:r>
    </w:p>
    <w:p w14:paraId="3E3B4CEA" w14:textId="4E607A5D" w:rsidR="00236C68" w:rsidRPr="004B4E53" w:rsidRDefault="00236C68" w:rsidP="00236C68">
      <w:pPr>
        <w:spacing w:before="100" w:beforeAutospacing="1" w:after="100" w:afterAutospacing="1" w:line="360" w:lineRule="auto"/>
        <w:ind w:left="720" w:hanging="720"/>
        <w:jc w:val="both"/>
        <w:rPr>
          <w:rStyle w:val="Hyperlink"/>
          <w:rFonts w:ascii="Times New Roman" w:hAnsi="Times New Roman" w:cs="Times New Roman"/>
          <w:sz w:val="24"/>
          <w:szCs w:val="24"/>
        </w:rPr>
      </w:pPr>
      <w:r w:rsidRPr="004B4E53">
        <w:rPr>
          <w:rFonts w:ascii="Times New Roman" w:hAnsi="Times New Roman" w:cs="Times New Roman"/>
          <w:sz w:val="24"/>
          <w:szCs w:val="24"/>
        </w:rPr>
        <w:t xml:space="preserve">Pradipta, D. D., </w:t>
      </w:r>
      <w:proofErr w:type="spellStart"/>
      <w:r w:rsidRPr="004B4E53">
        <w:rPr>
          <w:rFonts w:ascii="Times New Roman" w:hAnsi="Times New Roman" w:cs="Times New Roman"/>
          <w:sz w:val="24"/>
          <w:szCs w:val="24"/>
        </w:rPr>
        <w:t>Madlazim</w:t>
      </w:r>
      <w:proofErr w:type="spellEnd"/>
      <w:r w:rsidRPr="004B4E53">
        <w:rPr>
          <w:rFonts w:ascii="Times New Roman" w:hAnsi="Times New Roman" w:cs="Times New Roman"/>
          <w:sz w:val="24"/>
          <w:szCs w:val="24"/>
        </w:rPr>
        <w:t xml:space="preserve">, &amp; </w:t>
      </w:r>
      <w:proofErr w:type="spellStart"/>
      <w:r w:rsidRPr="004B4E53">
        <w:rPr>
          <w:rFonts w:ascii="Times New Roman" w:hAnsi="Times New Roman" w:cs="Times New Roman"/>
          <w:sz w:val="24"/>
          <w:szCs w:val="24"/>
        </w:rPr>
        <w:t>Hariyono</w:t>
      </w:r>
      <w:proofErr w:type="spellEnd"/>
      <w:r w:rsidRPr="004B4E53">
        <w:rPr>
          <w:rFonts w:ascii="Times New Roman" w:hAnsi="Times New Roman" w:cs="Times New Roman"/>
          <w:sz w:val="24"/>
          <w:szCs w:val="24"/>
        </w:rPr>
        <w:t xml:space="preserve">, E. (2021). The effectiveness of science learning tools based on education sustainable development (ESD) to improve problem-solving skills. </w:t>
      </w:r>
      <w:r w:rsidRPr="004B4E53">
        <w:rPr>
          <w:rStyle w:val="Emphasis"/>
          <w:rFonts w:ascii="Times New Roman" w:hAnsi="Times New Roman" w:cs="Times New Roman"/>
          <w:sz w:val="24"/>
          <w:szCs w:val="24"/>
        </w:rPr>
        <w:t>International Journal of Recent Educational Research (IJORER), 2</w:t>
      </w:r>
      <w:r w:rsidRPr="004B4E53">
        <w:rPr>
          <w:rFonts w:ascii="Times New Roman" w:hAnsi="Times New Roman" w:cs="Times New Roman"/>
          <w:sz w:val="24"/>
          <w:szCs w:val="24"/>
        </w:rPr>
        <w:t xml:space="preserve">(3), 342–353. </w:t>
      </w:r>
      <w:hyperlink r:id="rId34" w:tgtFrame="_new" w:history="1">
        <w:r w:rsidRPr="004B4E53">
          <w:rPr>
            <w:rStyle w:val="Hyperlink"/>
            <w:rFonts w:ascii="Times New Roman" w:hAnsi="Times New Roman" w:cs="Times New Roman"/>
            <w:sz w:val="24"/>
            <w:szCs w:val="24"/>
          </w:rPr>
          <w:t>https://doi.org/10.46245/ijorer.v2i3.113</w:t>
        </w:r>
      </w:hyperlink>
    </w:p>
    <w:p w14:paraId="07FCD0B3" w14:textId="688A5BFE" w:rsidR="00E86C2F" w:rsidRPr="004B4E53" w:rsidRDefault="00E86C2F" w:rsidP="00E86C2F">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Rajaram, K. (2023). Future of learning: Teaching and learning strategies. In </w:t>
      </w:r>
      <w:r w:rsidRPr="004B4E53">
        <w:rPr>
          <w:rFonts w:ascii="Times New Roman" w:hAnsi="Times New Roman" w:cs="Times New Roman"/>
          <w:i/>
          <w:iCs/>
          <w:sz w:val="24"/>
          <w:szCs w:val="24"/>
        </w:rPr>
        <w:t>Learning intelligence: Innovative and digital transformative learning strategies: Cultural and social engineering perspectives</w:t>
      </w:r>
      <w:r w:rsidRPr="004B4E53">
        <w:rPr>
          <w:rFonts w:ascii="Times New Roman" w:hAnsi="Times New Roman" w:cs="Times New Roman"/>
          <w:sz w:val="24"/>
          <w:szCs w:val="24"/>
        </w:rPr>
        <w:t xml:space="preserve"> (pp. 3–53). Springer Nature Singapore. </w:t>
      </w:r>
      <w:hyperlink r:id="rId35" w:tgtFrame="_new" w:history="1">
        <w:r w:rsidRPr="004B4E53">
          <w:rPr>
            <w:rFonts w:ascii="Times New Roman" w:hAnsi="Times New Roman" w:cs="Times New Roman"/>
            <w:sz w:val="24"/>
            <w:szCs w:val="24"/>
          </w:rPr>
          <w:t>https://doi.org/10.1007/978-981-19-9201-8_1</w:t>
        </w:r>
      </w:hyperlink>
      <w:r w:rsidRPr="004B4E53">
        <w:rPr>
          <w:rFonts w:ascii="Times New Roman" w:hAnsi="Times New Roman" w:cs="Times New Roman"/>
          <w:sz w:val="24"/>
          <w:szCs w:val="24"/>
        </w:rPr>
        <w:t xml:space="preserve"> </w:t>
      </w:r>
    </w:p>
    <w:p w14:paraId="08DF0580" w14:textId="77777777" w:rsidR="00E86C2F" w:rsidRPr="004B4E53" w:rsidRDefault="00E86C2F" w:rsidP="00E86C2F">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Shukla, T. D., Singh, H., Bishnoi, A., &amp; Padda, A. S. (2023). Alignment of India's National Education Policy 2020 with the United Nations' Sustainable Development Goals: A </w:t>
      </w:r>
      <w:r w:rsidRPr="004B4E53">
        <w:rPr>
          <w:rFonts w:ascii="Times New Roman" w:hAnsi="Times New Roman" w:cs="Times New Roman"/>
          <w:sz w:val="24"/>
          <w:szCs w:val="24"/>
        </w:rPr>
        <w:lastRenderedPageBreak/>
        <w:t xml:space="preserve">path towards quality education for all. </w:t>
      </w:r>
      <w:r w:rsidRPr="004B4E53">
        <w:rPr>
          <w:rFonts w:ascii="Times New Roman" w:hAnsi="Times New Roman" w:cs="Times New Roman"/>
          <w:i/>
          <w:iCs/>
          <w:sz w:val="24"/>
          <w:szCs w:val="24"/>
        </w:rPr>
        <w:t>World Journal of Advanced Research and Reviews, 19</w:t>
      </w:r>
      <w:r w:rsidRPr="004B4E53">
        <w:rPr>
          <w:rFonts w:ascii="Times New Roman" w:hAnsi="Times New Roman" w:cs="Times New Roman"/>
          <w:sz w:val="24"/>
          <w:szCs w:val="24"/>
        </w:rPr>
        <w:t xml:space="preserve">(3), 49–54. </w:t>
      </w:r>
      <w:hyperlink r:id="rId36" w:tgtFrame="_new" w:history="1">
        <w:r w:rsidRPr="004B4E53">
          <w:rPr>
            <w:rFonts w:ascii="Times New Roman" w:hAnsi="Times New Roman" w:cs="Times New Roman"/>
            <w:sz w:val="24"/>
            <w:szCs w:val="24"/>
          </w:rPr>
          <w:t>https://doi.org/10.30574/wjarr.2023.19.3.1768</w:t>
        </w:r>
      </w:hyperlink>
    </w:p>
    <w:p w14:paraId="6EE2A1E4" w14:textId="77777777" w:rsidR="00E86C2F" w:rsidRPr="004B4E53" w:rsidRDefault="00E86C2F" w:rsidP="00E86C2F">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Shumba, O., </w:t>
      </w:r>
      <w:proofErr w:type="spellStart"/>
      <w:r w:rsidRPr="004B4E53">
        <w:rPr>
          <w:rFonts w:ascii="Times New Roman" w:hAnsi="Times New Roman" w:cs="Times New Roman"/>
          <w:sz w:val="24"/>
          <w:szCs w:val="24"/>
        </w:rPr>
        <w:t>Kasembe</w:t>
      </w:r>
      <w:proofErr w:type="spellEnd"/>
      <w:r w:rsidRPr="004B4E53">
        <w:rPr>
          <w:rFonts w:ascii="Times New Roman" w:hAnsi="Times New Roman" w:cs="Times New Roman"/>
          <w:sz w:val="24"/>
          <w:szCs w:val="24"/>
        </w:rPr>
        <w:t xml:space="preserve">, R., </w:t>
      </w:r>
      <w:proofErr w:type="spellStart"/>
      <w:r w:rsidRPr="004B4E53">
        <w:rPr>
          <w:rFonts w:ascii="Times New Roman" w:hAnsi="Times New Roman" w:cs="Times New Roman"/>
          <w:sz w:val="24"/>
          <w:szCs w:val="24"/>
        </w:rPr>
        <w:t>Mukundu</w:t>
      </w:r>
      <w:proofErr w:type="spellEnd"/>
      <w:r w:rsidRPr="004B4E53">
        <w:rPr>
          <w:rFonts w:ascii="Times New Roman" w:hAnsi="Times New Roman" w:cs="Times New Roman"/>
          <w:sz w:val="24"/>
          <w:szCs w:val="24"/>
        </w:rPr>
        <w:t xml:space="preserve">, C., &amp; Muzenda, C. (2008). Environmental sustainability and quality education: Perspectives from a community living in a context of poverty. </w:t>
      </w:r>
      <w:r w:rsidRPr="004B4E53">
        <w:rPr>
          <w:rFonts w:ascii="Times New Roman" w:hAnsi="Times New Roman" w:cs="Times New Roman"/>
          <w:i/>
          <w:iCs/>
          <w:sz w:val="24"/>
          <w:szCs w:val="24"/>
        </w:rPr>
        <w:t>Southern African Journal of Environmental Education, 25</w:t>
      </w:r>
      <w:r w:rsidRPr="004B4E53">
        <w:rPr>
          <w:rFonts w:ascii="Times New Roman" w:hAnsi="Times New Roman" w:cs="Times New Roman"/>
          <w:sz w:val="24"/>
          <w:szCs w:val="24"/>
        </w:rPr>
        <w:t>, 89–103.</w:t>
      </w:r>
    </w:p>
    <w:p w14:paraId="07698FFB" w14:textId="77777777" w:rsidR="00E86C2F" w:rsidRPr="004B4E53" w:rsidRDefault="00E86C2F" w:rsidP="00E86C2F">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Slavin, R. E. (2012). Classroom applications of cooperative learning. In K. R. Harris, S. Graham, T. </w:t>
      </w:r>
      <w:proofErr w:type="spellStart"/>
      <w:r w:rsidRPr="004B4E53">
        <w:rPr>
          <w:rFonts w:ascii="Times New Roman" w:hAnsi="Times New Roman" w:cs="Times New Roman"/>
          <w:sz w:val="24"/>
          <w:szCs w:val="24"/>
        </w:rPr>
        <w:t>Urdan</w:t>
      </w:r>
      <w:proofErr w:type="spellEnd"/>
      <w:r w:rsidRPr="004B4E53">
        <w:rPr>
          <w:rFonts w:ascii="Times New Roman" w:hAnsi="Times New Roman" w:cs="Times New Roman"/>
          <w:sz w:val="24"/>
          <w:szCs w:val="24"/>
        </w:rPr>
        <w:t xml:space="preserve">, A. G. Bus, S. Major, &amp; H. L. Swanson (Eds.), </w:t>
      </w:r>
      <w:r w:rsidRPr="004B4E53">
        <w:rPr>
          <w:rFonts w:ascii="Times New Roman" w:hAnsi="Times New Roman" w:cs="Times New Roman"/>
          <w:i/>
          <w:iCs/>
          <w:sz w:val="24"/>
          <w:szCs w:val="24"/>
        </w:rPr>
        <w:t>APA educational psychology handbook: Vol. 3. Application to learning and teaching</w:t>
      </w:r>
      <w:r w:rsidRPr="004B4E53">
        <w:rPr>
          <w:rFonts w:ascii="Times New Roman" w:hAnsi="Times New Roman" w:cs="Times New Roman"/>
          <w:sz w:val="24"/>
          <w:szCs w:val="24"/>
        </w:rPr>
        <w:t xml:space="preserve"> (pp. 359–378). American Psychological Association. </w:t>
      </w:r>
      <w:hyperlink r:id="rId37" w:tgtFrame="_new" w:history="1">
        <w:r w:rsidRPr="004B4E53">
          <w:rPr>
            <w:rFonts w:ascii="Times New Roman" w:hAnsi="Times New Roman" w:cs="Times New Roman"/>
            <w:sz w:val="24"/>
            <w:szCs w:val="24"/>
          </w:rPr>
          <w:t>https://doi.org/10.1037/13275-014</w:t>
        </w:r>
      </w:hyperlink>
    </w:p>
    <w:p w14:paraId="38FB25DC" w14:textId="61957B45" w:rsidR="00236C68" w:rsidRPr="004B4E53" w:rsidRDefault="00E86C2F" w:rsidP="00962C32">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B4E53">
        <w:rPr>
          <w:rFonts w:ascii="Times New Roman" w:hAnsi="Times New Roman" w:cs="Times New Roman"/>
          <w:sz w:val="24"/>
          <w:szCs w:val="24"/>
        </w:rPr>
        <w:t>Smeda</w:t>
      </w:r>
      <w:proofErr w:type="spellEnd"/>
      <w:r w:rsidRPr="004B4E53">
        <w:rPr>
          <w:rFonts w:ascii="Times New Roman" w:hAnsi="Times New Roman" w:cs="Times New Roman"/>
          <w:sz w:val="24"/>
          <w:szCs w:val="24"/>
        </w:rPr>
        <w:t xml:space="preserve">, N., </w:t>
      </w:r>
      <w:proofErr w:type="spellStart"/>
      <w:r w:rsidRPr="004B4E53">
        <w:rPr>
          <w:rFonts w:ascii="Times New Roman" w:hAnsi="Times New Roman" w:cs="Times New Roman"/>
          <w:sz w:val="24"/>
          <w:szCs w:val="24"/>
        </w:rPr>
        <w:t>Dakich</w:t>
      </w:r>
      <w:proofErr w:type="spellEnd"/>
      <w:r w:rsidRPr="004B4E53">
        <w:rPr>
          <w:rFonts w:ascii="Times New Roman" w:hAnsi="Times New Roman" w:cs="Times New Roman"/>
          <w:sz w:val="24"/>
          <w:szCs w:val="24"/>
        </w:rPr>
        <w:t xml:space="preserve">, E., &amp; Sharda, N. (2014). The effectiveness of digital storytelling in the classrooms: A comprehensive study. </w:t>
      </w:r>
      <w:r w:rsidRPr="004B4E53">
        <w:rPr>
          <w:rFonts w:ascii="Times New Roman" w:hAnsi="Times New Roman" w:cs="Times New Roman"/>
          <w:i/>
          <w:iCs/>
          <w:sz w:val="24"/>
          <w:szCs w:val="24"/>
        </w:rPr>
        <w:t>Smart Learning Environments, 1</w:t>
      </w:r>
      <w:r w:rsidRPr="004B4E53">
        <w:rPr>
          <w:rFonts w:ascii="Times New Roman" w:hAnsi="Times New Roman" w:cs="Times New Roman"/>
          <w:sz w:val="24"/>
          <w:szCs w:val="24"/>
        </w:rPr>
        <w:t xml:space="preserve">(1), Article 6. </w:t>
      </w:r>
      <w:hyperlink r:id="rId38" w:tgtFrame="_new" w:history="1">
        <w:r w:rsidRPr="004B4E53">
          <w:rPr>
            <w:rFonts w:ascii="Times New Roman" w:hAnsi="Times New Roman" w:cs="Times New Roman"/>
            <w:sz w:val="24"/>
            <w:szCs w:val="24"/>
          </w:rPr>
          <w:t>https://doi.org/10.1186/s40561-014-0006-3</w:t>
        </w:r>
      </w:hyperlink>
      <w:r w:rsidR="00962C32" w:rsidRPr="004B4E53">
        <w:rPr>
          <w:rFonts w:ascii="Times New Roman" w:hAnsi="Times New Roman" w:cs="Times New Roman"/>
          <w:sz w:val="24"/>
          <w:szCs w:val="24"/>
        </w:rPr>
        <w:t xml:space="preserve"> </w:t>
      </w:r>
    </w:p>
    <w:p w14:paraId="15E82B03" w14:textId="64F76E35" w:rsidR="00236C68" w:rsidRPr="004B4E53" w:rsidRDefault="00236C68" w:rsidP="00236C68">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Sterling, S. (2011). Learning for resilience, or the resilient learner? Towards a necessary reconciliation in a paradigm of sustainable education. In </w:t>
      </w:r>
      <w:r w:rsidRPr="004B4E53">
        <w:rPr>
          <w:rStyle w:val="Emphasis"/>
          <w:rFonts w:ascii="Times New Roman" w:hAnsi="Times New Roman" w:cs="Times New Roman"/>
          <w:sz w:val="24"/>
          <w:szCs w:val="24"/>
        </w:rPr>
        <w:t>Resilience in social-ecological systems</w:t>
      </w:r>
      <w:r w:rsidRPr="004B4E53">
        <w:rPr>
          <w:rFonts w:ascii="Times New Roman" w:hAnsi="Times New Roman" w:cs="Times New Roman"/>
          <w:sz w:val="24"/>
          <w:szCs w:val="24"/>
        </w:rPr>
        <w:t xml:space="preserve"> (1st ed., p. 18). Routledge. </w:t>
      </w:r>
      <w:hyperlink r:id="rId39" w:history="1">
        <w:r w:rsidR="00282F66" w:rsidRPr="004B4E53">
          <w:rPr>
            <w:rStyle w:val="Hyperlink"/>
            <w:rFonts w:ascii="Times New Roman" w:hAnsi="Times New Roman" w:cs="Times New Roman"/>
            <w:sz w:val="24"/>
            <w:szCs w:val="24"/>
          </w:rPr>
          <w:t>https://doi.org/10.4324/9781315868387</w:t>
        </w:r>
      </w:hyperlink>
    </w:p>
    <w:p w14:paraId="627B62FC" w14:textId="6CCB165F" w:rsidR="00282F66" w:rsidRPr="004B4E53" w:rsidRDefault="00282F66" w:rsidP="00282F66">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UNESCO. (2012). </w:t>
      </w:r>
      <w:r w:rsidRPr="004B4E53">
        <w:rPr>
          <w:rFonts w:ascii="Times New Roman" w:hAnsi="Times New Roman" w:cs="Times New Roman"/>
          <w:i/>
          <w:iCs/>
          <w:sz w:val="24"/>
          <w:szCs w:val="24"/>
        </w:rPr>
        <w:t>Shaping the education of tomorrow: 2012 full-length report on the UN Decade of Education for Sustainable Development</w:t>
      </w:r>
      <w:r w:rsidRPr="004B4E53">
        <w:rPr>
          <w:rFonts w:ascii="Times New Roman" w:hAnsi="Times New Roman" w:cs="Times New Roman"/>
          <w:sz w:val="24"/>
          <w:szCs w:val="24"/>
        </w:rPr>
        <w:t xml:space="preserve">.  </w:t>
      </w:r>
      <w:hyperlink r:id="rId40" w:history="1">
        <w:r w:rsidRPr="004B4E53">
          <w:rPr>
            <w:rStyle w:val="Hyperlink"/>
            <w:rFonts w:ascii="Times New Roman" w:hAnsi="Times New Roman" w:cs="Times New Roman"/>
            <w:sz w:val="24"/>
            <w:szCs w:val="24"/>
          </w:rPr>
          <w:t>https://unesdoc.unesco.org/ark:/48223/pf0000216472</w:t>
        </w:r>
      </w:hyperlink>
    </w:p>
    <w:p w14:paraId="06C6CD83" w14:textId="77777777" w:rsidR="00236C68" w:rsidRPr="004B4E53" w:rsidRDefault="00236C68" w:rsidP="00236C68">
      <w:pPr>
        <w:spacing w:before="100" w:beforeAutospacing="1" w:after="100" w:afterAutospacing="1" w:line="240" w:lineRule="auto"/>
        <w:ind w:left="720" w:hanging="720"/>
        <w:rPr>
          <w:rFonts w:ascii="Times New Roman" w:hAnsi="Times New Roman" w:cs="Times New Roman"/>
          <w:color w:val="FF0000"/>
          <w:sz w:val="24"/>
          <w:szCs w:val="24"/>
        </w:rPr>
      </w:pPr>
      <w:r w:rsidRPr="00241C63">
        <w:rPr>
          <w:rFonts w:ascii="Times New Roman" w:hAnsi="Times New Roman" w:cs="Times New Roman"/>
          <w:sz w:val="24"/>
          <w:szCs w:val="24"/>
        </w:rPr>
        <w:t xml:space="preserve">UNESCO (2013). Global Citizenship Education. An Emerging Perspective. Outcome document of the Technical Consultation on Global Citizenship Education. </w:t>
      </w:r>
      <w:hyperlink r:id="rId41" w:history="1">
        <w:r w:rsidRPr="004B4E53">
          <w:rPr>
            <w:rStyle w:val="Hyperlink"/>
            <w:rFonts w:ascii="Times New Roman" w:hAnsi="Times New Roman" w:cs="Times New Roman"/>
            <w:sz w:val="24"/>
            <w:szCs w:val="24"/>
          </w:rPr>
          <w:t>https://unesdoc.unesco.org/ark:/48223/pf0000224115</w:t>
        </w:r>
      </w:hyperlink>
    </w:p>
    <w:p w14:paraId="13C6CFA4" w14:textId="77777777" w:rsidR="00236C68" w:rsidRPr="004B4E53" w:rsidRDefault="00236C68" w:rsidP="00236C68">
      <w:pPr>
        <w:spacing w:before="100" w:beforeAutospacing="1" w:after="100" w:afterAutospacing="1" w:line="240" w:lineRule="auto"/>
        <w:ind w:left="720" w:hanging="720"/>
        <w:rPr>
          <w:rFonts w:ascii="Times New Roman" w:eastAsia="Times New Roman" w:hAnsi="Times New Roman" w:cs="Times New Roman"/>
          <w:sz w:val="24"/>
          <w:szCs w:val="24"/>
          <w:lang w:eastAsia="en-IN"/>
        </w:rPr>
      </w:pPr>
      <w:r w:rsidRPr="004B4E53">
        <w:rPr>
          <w:rFonts w:ascii="Times New Roman" w:eastAsia="Times New Roman" w:hAnsi="Times New Roman" w:cs="Times New Roman"/>
          <w:sz w:val="24"/>
          <w:szCs w:val="24"/>
          <w:lang w:eastAsia="en-IN"/>
        </w:rPr>
        <w:t xml:space="preserve">UNESCO. (2018). </w:t>
      </w:r>
      <w:r w:rsidRPr="004B4E53">
        <w:rPr>
          <w:rFonts w:ascii="Times New Roman" w:eastAsia="Times New Roman" w:hAnsi="Times New Roman" w:cs="Times New Roman"/>
          <w:i/>
          <w:iCs/>
          <w:sz w:val="24"/>
          <w:szCs w:val="24"/>
          <w:lang w:eastAsia="en-IN"/>
        </w:rPr>
        <w:t>Issues and trends in education for sustainable development</w:t>
      </w:r>
      <w:r w:rsidRPr="004B4E53">
        <w:rPr>
          <w:rFonts w:ascii="Times New Roman" w:eastAsia="Times New Roman" w:hAnsi="Times New Roman" w:cs="Times New Roman"/>
          <w:sz w:val="24"/>
          <w:szCs w:val="24"/>
          <w:lang w:eastAsia="en-IN"/>
        </w:rPr>
        <w:t xml:space="preserve">. United Nations Educational, Scientific and Cultural Organization. </w:t>
      </w:r>
      <w:hyperlink r:id="rId42" w:history="1">
        <w:r w:rsidRPr="004B4E53">
          <w:rPr>
            <w:rStyle w:val="Hyperlink"/>
            <w:rFonts w:ascii="Times New Roman" w:eastAsia="Times New Roman" w:hAnsi="Times New Roman" w:cs="Times New Roman"/>
            <w:sz w:val="24"/>
            <w:szCs w:val="24"/>
            <w:lang w:eastAsia="en-IN"/>
          </w:rPr>
          <w:t>https://unesdoc.unesco.org/ark:/48223/pf0000261445</w:t>
        </w:r>
      </w:hyperlink>
    </w:p>
    <w:p w14:paraId="4D189122" w14:textId="77777777" w:rsidR="00236C68" w:rsidRPr="004B4E53" w:rsidRDefault="00236C68" w:rsidP="00236C68">
      <w:pPr>
        <w:ind w:left="720" w:hanging="720"/>
        <w:rPr>
          <w:rStyle w:val="Hyperlink"/>
          <w:rFonts w:ascii="Times New Roman" w:hAnsi="Times New Roman" w:cs="Times New Roman"/>
          <w:sz w:val="24"/>
          <w:szCs w:val="24"/>
        </w:rPr>
      </w:pPr>
      <w:r w:rsidRPr="004B4E53">
        <w:rPr>
          <w:rFonts w:ascii="Times New Roman" w:hAnsi="Times New Roman" w:cs="Times New Roman"/>
          <w:sz w:val="24"/>
          <w:szCs w:val="24"/>
        </w:rPr>
        <w:t xml:space="preserve">UNESCO. (2020). </w:t>
      </w:r>
      <w:r w:rsidRPr="004B4E53">
        <w:rPr>
          <w:rStyle w:val="Emphasis"/>
          <w:rFonts w:ascii="Times New Roman" w:hAnsi="Times New Roman" w:cs="Times New Roman"/>
          <w:sz w:val="24"/>
          <w:szCs w:val="24"/>
        </w:rPr>
        <w:t>Framework for the Implementation of Education for Sustainable Development (ESD) beyond 2019</w:t>
      </w:r>
      <w:r w:rsidRPr="004B4E53">
        <w:rPr>
          <w:rFonts w:ascii="Times New Roman" w:hAnsi="Times New Roman" w:cs="Times New Roman"/>
          <w:sz w:val="24"/>
          <w:szCs w:val="24"/>
        </w:rPr>
        <w:t xml:space="preserve">. Retrieved from </w:t>
      </w:r>
      <w:hyperlink r:id="rId43" w:tgtFrame="_new" w:history="1">
        <w:r w:rsidRPr="004B4E53">
          <w:rPr>
            <w:rStyle w:val="Hyperlink"/>
            <w:rFonts w:ascii="Times New Roman" w:hAnsi="Times New Roman" w:cs="Times New Roman"/>
            <w:sz w:val="24"/>
            <w:szCs w:val="24"/>
          </w:rPr>
          <w:t>https://unesdoc.unesco.org</w:t>
        </w:r>
      </w:hyperlink>
    </w:p>
    <w:p w14:paraId="428494ED" w14:textId="77777777" w:rsidR="00236C68" w:rsidRPr="004B4E53" w:rsidRDefault="00236C68" w:rsidP="00236C68">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United Nations Children’s Fund. (2000). </w:t>
      </w:r>
      <w:r w:rsidRPr="004B4E53">
        <w:rPr>
          <w:rStyle w:val="Emphasis"/>
          <w:rFonts w:ascii="Times New Roman" w:hAnsi="Times New Roman" w:cs="Times New Roman"/>
          <w:sz w:val="24"/>
          <w:szCs w:val="24"/>
        </w:rPr>
        <w:t>Defining quality in education</w:t>
      </w:r>
      <w:r w:rsidRPr="004B4E53">
        <w:rPr>
          <w:rFonts w:ascii="Times New Roman" w:hAnsi="Times New Roman" w:cs="Times New Roman"/>
          <w:sz w:val="24"/>
          <w:szCs w:val="24"/>
        </w:rPr>
        <w:t xml:space="preserve"> (Working Paper Series). Education Section, Programme Division, UNICEF. </w:t>
      </w:r>
    </w:p>
    <w:p w14:paraId="713158A6" w14:textId="0B53E84F" w:rsidR="00962C32" w:rsidRPr="004B4E53" w:rsidRDefault="00962C32" w:rsidP="00236C68">
      <w:pPr>
        <w:spacing w:before="100" w:beforeAutospacing="1" w:after="100" w:afterAutospacing="1" w:line="360" w:lineRule="auto"/>
        <w:ind w:left="720" w:hanging="720"/>
        <w:jc w:val="both"/>
        <w:rPr>
          <w:rFonts w:ascii="Times New Roman" w:hAnsi="Times New Roman" w:cs="Times New Roman"/>
          <w:color w:val="FF0000"/>
          <w:sz w:val="24"/>
          <w:szCs w:val="24"/>
        </w:rPr>
      </w:pPr>
      <w:proofErr w:type="spellStart"/>
      <w:r w:rsidRPr="004B4E53">
        <w:rPr>
          <w:rFonts w:ascii="Times New Roman" w:hAnsi="Times New Roman" w:cs="Times New Roman"/>
          <w:sz w:val="24"/>
          <w:szCs w:val="24"/>
        </w:rPr>
        <w:lastRenderedPageBreak/>
        <w:t>Vierbuchen</w:t>
      </w:r>
      <w:proofErr w:type="spellEnd"/>
      <w:r w:rsidRPr="004B4E53">
        <w:rPr>
          <w:rFonts w:ascii="Times New Roman" w:hAnsi="Times New Roman" w:cs="Times New Roman"/>
          <w:sz w:val="24"/>
          <w:szCs w:val="24"/>
        </w:rPr>
        <w:t xml:space="preserve">, M.-C., &amp; Rieckmann, M. (2020). </w:t>
      </w:r>
      <w:proofErr w:type="spellStart"/>
      <w:r w:rsidRPr="004B4E53">
        <w:rPr>
          <w:rFonts w:ascii="Times New Roman" w:hAnsi="Times New Roman" w:cs="Times New Roman"/>
          <w:sz w:val="24"/>
          <w:szCs w:val="24"/>
        </w:rPr>
        <w:t>Bildung</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für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nachhaltige</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Entwicklung</w:t>
      </w:r>
      <w:proofErr w:type="spellEnd"/>
      <w:r w:rsidRPr="004B4E53">
        <w:rPr>
          <w:rFonts w:ascii="Times New Roman" w:hAnsi="Times New Roman" w:cs="Times New Roman"/>
          <w:sz w:val="24"/>
          <w:szCs w:val="24"/>
        </w:rPr>
        <w:t xml:space="preserve"> und </w:t>
      </w:r>
      <w:proofErr w:type="spellStart"/>
      <w:r w:rsidRPr="004B4E53">
        <w:rPr>
          <w:rFonts w:ascii="Times New Roman" w:hAnsi="Times New Roman" w:cs="Times New Roman"/>
          <w:sz w:val="24"/>
          <w:szCs w:val="24"/>
        </w:rPr>
        <w:t>inklusive</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Bildung</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Grundlagen</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Konzepte</w:t>
      </w:r>
      <w:proofErr w:type="spellEnd"/>
      <w:r w:rsidRPr="004B4E53">
        <w:rPr>
          <w:rFonts w:ascii="Times New Roman" w:hAnsi="Times New Roman" w:cs="Times New Roman"/>
          <w:sz w:val="24"/>
          <w:szCs w:val="24"/>
        </w:rPr>
        <w:t xml:space="preserve"> und </w:t>
      </w:r>
      <w:proofErr w:type="spellStart"/>
      <w:r w:rsidRPr="004B4E53">
        <w:rPr>
          <w:rFonts w:ascii="Times New Roman" w:hAnsi="Times New Roman" w:cs="Times New Roman"/>
          <w:sz w:val="24"/>
          <w:szCs w:val="24"/>
        </w:rPr>
        <w:t>Potenziale</w:t>
      </w:r>
      <w:proofErr w:type="spellEnd"/>
      <w:r w:rsidRPr="004B4E53">
        <w:rPr>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Zeitschrift</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für</w:t>
      </w:r>
      <w:proofErr w:type="spellEnd"/>
      <w:r w:rsidRPr="004B4E53">
        <w:rPr>
          <w:rStyle w:val="Emphasis"/>
          <w:rFonts w:ascii="Times New Roman" w:hAnsi="Times New Roman" w:cs="Times New Roman"/>
          <w:sz w:val="24"/>
          <w:szCs w:val="24"/>
        </w:rPr>
        <w:t xml:space="preserve"> Internationale </w:t>
      </w:r>
      <w:proofErr w:type="spellStart"/>
      <w:r w:rsidRPr="004B4E53">
        <w:rPr>
          <w:rStyle w:val="Emphasis"/>
          <w:rFonts w:ascii="Times New Roman" w:hAnsi="Times New Roman" w:cs="Times New Roman"/>
          <w:sz w:val="24"/>
          <w:szCs w:val="24"/>
        </w:rPr>
        <w:t>Bildungsforschung</w:t>
      </w:r>
      <w:proofErr w:type="spellEnd"/>
      <w:r w:rsidRPr="004B4E53">
        <w:rPr>
          <w:rStyle w:val="Emphasis"/>
          <w:rFonts w:ascii="Times New Roman" w:hAnsi="Times New Roman" w:cs="Times New Roman"/>
          <w:sz w:val="24"/>
          <w:szCs w:val="24"/>
        </w:rPr>
        <w:t xml:space="preserve"> und </w:t>
      </w:r>
      <w:proofErr w:type="spellStart"/>
      <w:r w:rsidRPr="004B4E53">
        <w:rPr>
          <w:rStyle w:val="Emphasis"/>
          <w:rFonts w:ascii="Times New Roman" w:hAnsi="Times New Roman" w:cs="Times New Roman"/>
          <w:sz w:val="24"/>
          <w:szCs w:val="24"/>
        </w:rPr>
        <w:t>Entwicklungspädagogik</w:t>
      </w:r>
      <w:proofErr w:type="spellEnd"/>
      <w:r w:rsidRPr="004B4E53">
        <w:rPr>
          <w:rStyle w:val="Emphasis"/>
          <w:rFonts w:ascii="Times New Roman" w:hAnsi="Times New Roman" w:cs="Times New Roman"/>
          <w:sz w:val="24"/>
          <w:szCs w:val="24"/>
        </w:rPr>
        <w:t>, 43</w:t>
      </w:r>
      <w:r w:rsidRPr="004B4E53">
        <w:rPr>
          <w:rFonts w:ascii="Times New Roman" w:hAnsi="Times New Roman" w:cs="Times New Roman"/>
          <w:sz w:val="24"/>
          <w:szCs w:val="24"/>
        </w:rPr>
        <w:t xml:space="preserve">(1), 4–10. </w:t>
      </w:r>
    </w:p>
    <w:p w14:paraId="305D0C54" w14:textId="262193D7" w:rsidR="00236C68" w:rsidRPr="004B4E53" w:rsidRDefault="00236C68" w:rsidP="00236C68">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Yadav, I., &amp; Suman. (2023). ESD: Education for Sustainable Development. </w:t>
      </w:r>
      <w:r w:rsidRPr="004B4E53">
        <w:rPr>
          <w:rStyle w:val="Emphasis"/>
          <w:rFonts w:ascii="Times New Roman" w:hAnsi="Times New Roman" w:cs="Times New Roman"/>
          <w:sz w:val="24"/>
          <w:szCs w:val="24"/>
        </w:rPr>
        <w:t>International Journal of Applied Research, 9</w:t>
      </w:r>
      <w:r w:rsidRPr="004B4E53">
        <w:rPr>
          <w:rFonts w:ascii="Times New Roman" w:hAnsi="Times New Roman" w:cs="Times New Roman"/>
          <w:sz w:val="24"/>
          <w:szCs w:val="24"/>
        </w:rPr>
        <w:t>(8), 23–26.</w:t>
      </w:r>
    </w:p>
    <w:p w14:paraId="7CAEB3C6" w14:textId="77777777" w:rsidR="00236C68" w:rsidRDefault="00236C68" w:rsidP="00236C68"/>
    <w:p w14:paraId="5533BB26" w14:textId="77777777" w:rsidR="00236C68" w:rsidRDefault="00236C68" w:rsidP="00236C68"/>
    <w:p w14:paraId="3C9F8356" w14:textId="77777777" w:rsidR="00236C68" w:rsidRDefault="00236C68" w:rsidP="00236C68"/>
    <w:p w14:paraId="4E7E4E9C" w14:textId="77777777" w:rsidR="00236C68" w:rsidRDefault="00236C68" w:rsidP="00236C68"/>
    <w:p w14:paraId="5E9AA4BD" w14:textId="77777777" w:rsidR="00236C68" w:rsidRDefault="00236C68" w:rsidP="00236C68"/>
    <w:p w14:paraId="6DAEE057" w14:textId="77777777" w:rsidR="00236C68" w:rsidRDefault="00236C68" w:rsidP="00236C68"/>
    <w:p w14:paraId="68E16935" w14:textId="77777777" w:rsidR="00236C68" w:rsidRDefault="00236C68" w:rsidP="00236C68"/>
    <w:p w14:paraId="2A8DFCFB" w14:textId="77777777" w:rsidR="00236C68" w:rsidRDefault="00236C68" w:rsidP="00236C68"/>
    <w:p w14:paraId="62B7FC25" w14:textId="77777777" w:rsidR="00391078" w:rsidRDefault="00391078"/>
    <w:sectPr w:rsidR="00391078">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EFE52" w14:textId="77777777" w:rsidR="0008475F" w:rsidRDefault="0008475F" w:rsidP="00EE13F6">
      <w:pPr>
        <w:spacing w:after="0" w:line="240" w:lineRule="auto"/>
      </w:pPr>
      <w:r>
        <w:separator/>
      </w:r>
    </w:p>
  </w:endnote>
  <w:endnote w:type="continuationSeparator" w:id="0">
    <w:p w14:paraId="66134816" w14:textId="77777777" w:rsidR="0008475F" w:rsidRDefault="0008475F" w:rsidP="00EE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altName w:val="Kalinga"/>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63AF" w14:textId="77777777" w:rsidR="00EE13F6" w:rsidRDefault="00EE1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89EA" w14:textId="77777777" w:rsidR="00EE13F6" w:rsidRDefault="00EE1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14D0" w14:textId="77777777" w:rsidR="00EE13F6" w:rsidRDefault="00EE1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A08DB" w14:textId="77777777" w:rsidR="0008475F" w:rsidRDefault="0008475F" w:rsidP="00EE13F6">
      <w:pPr>
        <w:spacing w:after="0" w:line="240" w:lineRule="auto"/>
      </w:pPr>
      <w:r>
        <w:separator/>
      </w:r>
    </w:p>
  </w:footnote>
  <w:footnote w:type="continuationSeparator" w:id="0">
    <w:p w14:paraId="527D8C21" w14:textId="77777777" w:rsidR="0008475F" w:rsidRDefault="0008475F" w:rsidP="00EE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DBA5" w14:textId="0BD5464F" w:rsidR="00EE13F6" w:rsidRDefault="00EE13F6">
    <w:pPr>
      <w:pStyle w:val="Header"/>
    </w:pPr>
    <w:r>
      <w:rPr>
        <w:noProof/>
      </w:rPr>
      <w:pict w14:anchorId="538E0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31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F9B0" w14:textId="5AA73A9C" w:rsidR="00EE13F6" w:rsidRDefault="00EE13F6">
    <w:pPr>
      <w:pStyle w:val="Header"/>
    </w:pPr>
    <w:r>
      <w:rPr>
        <w:noProof/>
      </w:rPr>
      <w:pict w14:anchorId="61B0E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31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66DD" w14:textId="61B0CDA3" w:rsidR="00EE13F6" w:rsidRDefault="00EE13F6">
    <w:pPr>
      <w:pStyle w:val="Header"/>
    </w:pPr>
    <w:r>
      <w:rPr>
        <w:noProof/>
      </w:rPr>
      <w:pict w14:anchorId="23467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31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6EA6"/>
    <w:multiLevelType w:val="hybridMultilevel"/>
    <w:tmpl w:val="DA16385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170848"/>
    <w:multiLevelType w:val="hybridMultilevel"/>
    <w:tmpl w:val="C8C479C6"/>
    <w:lvl w:ilvl="0" w:tplc="950C60F4">
      <w:start w:val="4"/>
      <w:numFmt w:val="lowerLetter"/>
      <w:lvlText w:val="%1."/>
      <w:lvlJc w:val="left"/>
      <w:pPr>
        <w:ind w:left="720" w:hanging="360"/>
      </w:pPr>
      <w:rPr>
        <w:rFonts w:ascii="Times New Roman" w:eastAsia="Times New Roman" w:hAnsi="Times New Roman" w:cs="Times New Roman" w:hint="default"/>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DC1F41"/>
    <w:multiLevelType w:val="hybridMultilevel"/>
    <w:tmpl w:val="5762E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E71F0E"/>
    <w:multiLevelType w:val="multilevel"/>
    <w:tmpl w:val="D0968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9A3450"/>
    <w:multiLevelType w:val="hybridMultilevel"/>
    <w:tmpl w:val="348A22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EB36A9"/>
    <w:multiLevelType w:val="hybridMultilevel"/>
    <w:tmpl w:val="993890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00CA5"/>
    <w:rsid w:val="00067674"/>
    <w:rsid w:val="0008475F"/>
    <w:rsid w:val="001573E7"/>
    <w:rsid w:val="001760E4"/>
    <w:rsid w:val="001F038A"/>
    <w:rsid w:val="00236C68"/>
    <w:rsid w:val="00241C63"/>
    <w:rsid w:val="00282F66"/>
    <w:rsid w:val="002C326F"/>
    <w:rsid w:val="002F2DDC"/>
    <w:rsid w:val="00340269"/>
    <w:rsid w:val="00341FC9"/>
    <w:rsid w:val="00350752"/>
    <w:rsid w:val="00354C6C"/>
    <w:rsid w:val="00391078"/>
    <w:rsid w:val="004322FF"/>
    <w:rsid w:val="004678F6"/>
    <w:rsid w:val="00481FBE"/>
    <w:rsid w:val="004B4E53"/>
    <w:rsid w:val="00500CA5"/>
    <w:rsid w:val="0058085F"/>
    <w:rsid w:val="00595D57"/>
    <w:rsid w:val="005B7D54"/>
    <w:rsid w:val="00651C2A"/>
    <w:rsid w:val="00690EEB"/>
    <w:rsid w:val="006C7DE3"/>
    <w:rsid w:val="00720A3C"/>
    <w:rsid w:val="007E15E7"/>
    <w:rsid w:val="008D5B39"/>
    <w:rsid w:val="00962C32"/>
    <w:rsid w:val="00985507"/>
    <w:rsid w:val="009A1732"/>
    <w:rsid w:val="009D255C"/>
    <w:rsid w:val="009D5EB0"/>
    <w:rsid w:val="00A006C3"/>
    <w:rsid w:val="00A026DB"/>
    <w:rsid w:val="00A57C12"/>
    <w:rsid w:val="00A80400"/>
    <w:rsid w:val="00A82481"/>
    <w:rsid w:val="00AC7C21"/>
    <w:rsid w:val="00B47106"/>
    <w:rsid w:val="00C86E93"/>
    <w:rsid w:val="00CA3CFC"/>
    <w:rsid w:val="00CC2A44"/>
    <w:rsid w:val="00DA42FE"/>
    <w:rsid w:val="00DD0DF3"/>
    <w:rsid w:val="00DE6A2A"/>
    <w:rsid w:val="00DF6491"/>
    <w:rsid w:val="00E03621"/>
    <w:rsid w:val="00E13E6F"/>
    <w:rsid w:val="00E1600F"/>
    <w:rsid w:val="00E1639C"/>
    <w:rsid w:val="00E35F74"/>
    <w:rsid w:val="00E51B1B"/>
    <w:rsid w:val="00E72CE1"/>
    <w:rsid w:val="00E808EA"/>
    <w:rsid w:val="00E86C2F"/>
    <w:rsid w:val="00E9277F"/>
    <w:rsid w:val="00EE13F6"/>
    <w:rsid w:val="00F61639"/>
    <w:rsid w:val="00FB6163"/>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2EE11E"/>
  <w15:chartTrackingRefBased/>
  <w15:docId w15:val="{9CB88960-B595-4EC0-AFD2-FC443750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16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163"/>
    <w:pPr>
      <w:ind w:left="720"/>
      <w:contextualSpacing/>
    </w:pPr>
  </w:style>
  <w:style w:type="paragraph" w:styleId="NormalWeb">
    <w:name w:val="Normal (Web)"/>
    <w:basedOn w:val="Normal"/>
    <w:uiPriority w:val="99"/>
    <w:unhideWhenUsed/>
    <w:rsid w:val="00FB61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B6163"/>
    <w:rPr>
      <w:b/>
      <w:bCs/>
    </w:rPr>
  </w:style>
  <w:style w:type="character" w:styleId="Hyperlink">
    <w:name w:val="Hyperlink"/>
    <w:basedOn w:val="DefaultParagraphFont"/>
    <w:uiPriority w:val="99"/>
    <w:unhideWhenUsed/>
    <w:rsid w:val="00FB6163"/>
    <w:rPr>
      <w:color w:val="0000FF" w:themeColor="hyperlink"/>
      <w:u w:val="single"/>
    </w:rPr>
  </w:style>
  <w:style w:type="character" w:styleId="Emphasis">
    <w:name w:val="Emphasis"/>
    <w:basedOn w:val="DefaultParagraphFont"/>
    <w:uiPriority w:val="20"/>
    <w:qFormat/>
    <w:rsid w:val="00FB6163"/>
    <w:rPr>
      <w:i/>
      <w:iCs/>
    </w:rPr>
  </w:style>
  <w:style w:type="character" w:customStyle="1" w:styleId="html-italic">
    <w:name w:val="html-italic"/>
    <w:basedOn w:val="DefaultParagraphFont"/>
    <w:rsid w:val="00FB6163"/>
  </w:style>
  <w:style w:type="character" w:styleId="UnresolvedMention">
    <w:name w:val="Unresolved Mention"/>
    <w:basedOn w:val="DefaultParagraphFont"/>
    <w:uiPriority w:val="99"/>
    <w:semiHidden/>
    <w:unhideWhenUsed/>
    <w:rsid w:val="00282F66"/>
    <w:rPr>
      <w:color w:val="605E5C"/>
      <w:shd w:val="clear" w:color="auto" w:fill="E1DFDD"/>
    </w:rPr>
  </w:style>
  <w:style w:type="paragraph" w:styleId="Header">
    <w:name w:val="header"/>
    <w:basedOn w:val="Normal"/>
    <w:link w:val="HeaderChar"/>
    <w:uiPriority w:val="99"/>
    <w:unhideWhenUsed/>
    <w:rsid w:val="00EE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6"/>
  </w:style>
  <w:style w:type="paragraph" w:styleId="Footer">
    <w:name w:val="footer"/>
    <w:basedOn w:val="Normal"/>
    <w:link w:val="FooterChar"/>
    <w:uiPriority w:val="99"/>
    <w:unhideWhenUsed/>
    <w:rsid w:val="00EE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5692">
      <w:bodyDiv w:val="1"/>
      <w:marLeft w:val="0"/>
      <w:marRight w:val="0"/>
      <w:marTop w:val="0"/>
      <w:marBottom w:val="0"/>
      <w:divBdr>
        <w:top w:val="none" w:sz="0" w:space="0" w:color="auto"/>
        <w:left w:val="none" w:sz="0" w:space="0" w:color="auto"/>
        <w:bottom w:val="none" w:sz="0" w:space="0" w:color="auto"/>
        <w:right w:val="none" w:sz="0" w:space="0" w:color="auto"/>
      </w:divBdr>
    </w:div>
    <w:div w:id="423263997">
      <w:bodyDiv w:val="1"/>
      <w:marLeft w:val="0"/>
      <w:marRight w:val="0"/>
      <w:marTop w:val="0"/>
      <w:marBottom w:val="0"/>
      <w:divBdr>
        <w:top w:val="none" w:sz="0" w:space="0" w:color="auto"/>
        <w:left w:val="none" w:sz="0" w:space="0" w:color="auto"/>
        <w:bottom w:val="none" w:sz="0" w:space="0" w:color="auto"/>
        <w:right w:val="none" w:sz="0" w:space="0" w:color="auto"/>
      </w:divBdr>
    </w:div>
    <w:div w:id="892041012">
      <w:bodyDiv w:val="1"/>
      <w:marLeft w:val="0"/>
      <w:marRight w:val="0"/>
      <w:marTop w:val="0"/>
      <w:marBottom w:val="0"/>
      <w:divBdr>
        <w:top w:val="none" w:sz="0" w:space="0" w:color="auto"/>
        <w:left w:val="none" w:sz="0" w:space="0" w:color="auto"/>
        <w:bottom w:val="none" w:sz="0" w:space="0" w:color="auto"/>
        <w:right w:val="none" w:sz="0" w:space="0" w:color="auto"/>
      </w:divBdr>
    </w:div>
    <w:div w:id="1356230625">
      <w:bodyDiv w:val="1"/>
      <w:marLeft w:val="0"/>
      <w:marRight w:val="0"/>
      <w:marTop w:val="0"/>
      <w:marBottom w:val="0"/>
      <w:divBdr>
        <w:top w:val="none" w:sz="0" w:space="0" w:color="auto"/>
        <w:left w:val="none" w:sz="0" w:space="0" w:color="auto"/>
        <w:bottom w:val="none" w:sz="0" w:space="0" w:color="auto"/>
        <w:right w:val="none" w:sz="0" w:space="0" w:color="auto"/>
      </w:divBdr>
    </w:div>
    <w:div w:id="1590118472">
      <w:bodyDiv w:val="1"/>
      <w:marLeft w:val="0"/>
      <w:marRight w:val="0"/>
      <w:marTop w:val="0"/>
      <w:marBottom w:val="0"/>
      <w:divBdr>
        <w:top w:val="none" w:sz="0" w:space="0" w:color="auto"/>
        <w:left w:val="none" w:sz="0" w:space="0" w:color="auto"/>
        <w:bottom w:val="none" w:sz="0" w:space="0" w:color="auto"/>
        <w:right w:val="none" w:sz="0" w:space="0" w:color="auto"/>
      </w:divBdr>
    </w:div>
    <w:div w:id="1989825205">
      <w:bodyDiv w:val="1"/>
      <w:marLeft w:val="0"/>
      <w:marRight w:val="0"/>
      <w:marTop w:val="0"/>
      <w:marBottom w:val="0"/>
      <w:divBdr>
        <w:top w:val="none" w:sz="0" w:space="0" w:color="auto"/>
        <w:left w:val="none" w:sz="0" w:space="0" w:color="auto"/>
        <w:bottom w:val="none" w:sz="0" w:space="0" w:color="auto"/>
        <w:right w:val="none" w:sz="0" w:space="0" w:color="auto"/>
      </w:divBdr>
    </w:div>
    <w:div w:id="20627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571/brajets.v16.n3.2023" TargetMode="External"/><Relationship Id="rId18" Type="http://schemas.openxmlformats.org/officeDocument/2006/relationships/hyperlink" Target="http://jppipa.unram.ac.id/index.php/jppipa/article/view/6000" TargetMode="External"/><Relationship Id="rId26" Type="http://schemas.openxmlformats.org/officeDocument/2006/relationships/hyperlink" Target="https://doi.org/10.1002/ace.20262" TargetMode="External"/><Relationship Id="rId39" Type="http://schemas.openxmlformats.org/officeDocument/2006/relationships/hyperlink" Target="https://doi.org/10.4324/9781315868387" TargetMode="External"/><Relationship Id="rId21" Type="http://schemas.openxmlformats.org/officeDocument/2006/relationships/hyperlink" Target="https://www.globalschoolsprogram.org/resources" TargetMode="External"/><Relationship Id="rId34" Type="http://schemas.openxmlformats.org/officeDocument/2006/relationships/hyperlink" Target="https://doi.org/10.46245/ijorer.v2i3.113" TargetMode="External"/><Relationship Id="rId42" Type="http://schemas.openxmlformats.org/officeDocument/2006/relationships/hyperlink" Target="https://unesdoc.unesco.org/ark:/48223/pf000026144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doi.org/10.55677/ijssers/V03I1Y2023-09" TargetMode="External"/><Relationship Id="rId2" Type="http://schemas.openxmlformats.org/officeDocument/2006/relationships/styles" Target="styles.xml"/><Relationship Id="rId16" Type="http://schemas.openxmlformats.org/officeDocument/2006/relationships/hyperlink" Target="https://doi.org/10.17159/2520-9868/i96a06" TargetMode="External"/><Relationship Id="rId29" Type="http://schemas.openxmlformats.org/officeDocument/2006/relationships/hyperlink" Target="https://doi.org/10.17509/jsder.v2i1.12266" TargetMode="External"/><Relationship Id="rId11" Type="http://schemas.openxmlformats.org/officeDocument/2006/relationships/hyperlink" Target="https://doi.org/10.1023/A:1015156001438" TargetMode="External"/><Relationship Id="rId24" Type="http://schemas.openxmlformats.org/officeDocument/2006/relationships/hyperlink" Target="https://doi.org/10.7577/njcie.5611" TargetMode="External"/><Relationship Id="rId32" Type="http://schemas.openxmlformats.org/officeDocument/2006/relationships/hyperlink" Target="https://doi.org/10.1108/IJSHE-12-2021-0529" TargetMode="External"/><Relationship Id="rId37" Type="http://schemas.openxmlformats.org/officeDocument/2006/relationships/hyperlink" Target="https://doi.org/10.1037/13275-014" TargetMode="External"/><Relationship Id="rId40" Type="http://schemas.openxmlformats.org/officeDocument/2006/relationships/hyperlink" Target="https://unesdoc.unesco.org/ark:/48223/pf0000216472"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86/s40536-025-00237-y" TargetMode="External"/><Relationship Id="rId23" Type="http://schemas.openxmlformats.org/officeDocument/2006/relationships/hyperlink" Target="https://doi.org/10.3390/su11216104" TargetMode="External"/><Relationship Id="rId28" Type="http://schemas.openxmlformats.org/officeDocument/2006/relationships/hyperlink" Target="https://www.linkedin.com/pulse/why-esd-important-hatem-mahmoud" TargetMode="External"/><Relationship Id="rId36" Type="http://schemas.openxmlformats.org/officeDocument/2006/relationships/hyperlink" Target="https://doi.org/10.30574/wjarr.2023.19.3.1768" TargetMode="External"/><Relationship Id="rId49" Type="http://schemas.openxmlformats.org/officeDocument/2006/relationships/footer" Target="footer3.xml"/><Relationship Id="rId10" Type="http://schemas.openxmlformats.org/officeDocument/2006/relationships/hyperlink" Target="https://www.bizme.de/documents/VNB_Broschuere_Webansicht_NRO.pdf" TargetMode="External"/><Relationship Id="rId19" Type="http://schemas.openxmlformats.org/officeDocument/2006/relationships/hyperlink" Target="https://doi.org/10.1177/1365480219894408" TargetMode="External"/><Relationship Id="rId31" Type="http://schemas.openxmlformats.org/officeDocument/2006/relationships/hyperlink" Target="https://doi.org/10.70232/jesds.v1i2.17"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00098650903505415" TargetMode="External"/><Relationship Id="rId14" Type="http://schemas.openxmlformats.org/officeDocument/2006/relationships/hyperlink" Target="https://doi.org/10.1080/14767430.2019.1667090" TargetMode="External"/><Relationship Id="rId22" Type="http://schemas.openxmlformats.org/officeDocument/2006/relationships/hyperlink" Target="https://doi.org/10.1080/14767724.2021.1889361" TargetMode="External"/><Relationship Id="rId27" Type="http://schemas.openxmlformats.org/officeDocument/2006/relationships/hyperlink" Target="https://doi.org/10.22146/ijg.12496" TargetMode="External"/><Relationship Id="rId30" Type="http://schemas.openxmlformats.org/officeDocument/2006/relationships/hyperlink" Target="https://www.vidhyayanaejournal.org" TargetMode="External"/><Relationship Id="rId35" Type="http://schemas.openxmlformats.org/officeDocument/2006/relationships/hyperlink" Target="https://doi.org/10.1007/978-981-19-9201-8_1" TargetMode="External"/><Relationship Id="rId43" Type="http://schemas.openxmlformats.org/officeDocument/2006/relationships/hyperlink" Target="https://unesdoc.unesco.org" TargetMode="External"/><Relationship Id="rId48" Type="http://schemas.openxmlformats.org/officeDocument/2006/relationships/header" Target="header3.xml"/><Relationship Id="rId8" Type="http://schemas.openxmlformats.org/officeDocument/2006/relationships/hyperlink" Target="https://doi.org/https://doi.org/10.15294/jone.v10i1.1451"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70232/jesds.v1i2.7" TargetMode="External"/><Relationship Id="rId17" Type="http://schemas.openxmlformats.org/officeDocument/2006/relationships/hyperlink" Target="https://doi.org/10.7577/njcie.5877" TargetMode="External"/><Relationship Id="rId25" Type="http://schemas.openxmlformats.org/officeDocument/2006/relationships/hyperlink" Target="http://ijmer.in.doi./2023/12.04.73" TargetMode="External"/><Relationship Id="rId33" Type="http://schemas.openxmlformats.org/officeDocument/2006/relationships/hyperlink" Target="https://doi.org/10.1080/03057920902909477" TargetMode="External"/><Relationship Id="rId38" Type="http://schemas.openxmlformats.org/officeDocument/2006/relationships/hyperlink" Target="https://doi.org/10.1186/s40561-014-0006-3" TargetMode="External"/><Relationship Id="rId46" Type="http://schemas.openxmlformats.org/officeDocument/2006/relationships/footer" Target="footer1.xml"/><Relationship Id="rId20" Type="http://schemas.openxmlformats.org/officeDocument/2006/relationships/hyperlink" Target="https://doi.org/10.15517/re.v0i43.49335" TargetMode="External"/><Relationship Id="rId41" Type="http://schemas.openxmlformats.org/officeDocument/2006/relationships/hyperlink" Target="https://unesdoc.unesco.org/ark:/48223/pf000022411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21</Pages>
  <Words>7300</Words>
  <Characters>41611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Subhasmita Pattnaik</dc:creator>
  <cp:keywords/>
  <dc:description/>
  <cp:lastModifiedBy>SDI 1084</cp:lastModifiedBy>
  <cp:revision>49</cp:revision>
  <dcterms:created xsi:type="dcterms:W3CDTF">2025-09-15T05:13:00Z</dcterms:created>
  <dcterms:modified xsi:type="dcterms:W3CDTF">2025-09-19T08:35:00Z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c5e53049-64c0-4615-9c69-5e7eda8609bb</vt:lpwstr>
  </property>
</Properties>
</file>