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2CE0A" w14:textId="77777777" w:rsidR="00754C9A" w:rsidRDefault="00754C9A" w:rsidP="00441B6F">
      <w:pPr>
        <w:pStyle w:val="Title"/>
        <w:spacing w:after="0"/>
        <w:jc w:val="both"/>
        <w:rPr>
          <w:rFonts w:ascii="Arial" w:hAnsi="Arial" w:cs="Arial"/>
        </w:rPr>
      </w:pPr>
    </w:p>
    <w:p w14:paraId="3CED511F" w14:textId="541357A8" w:rsidR="00A258C3" w:rsidRPr="00823C09" w:rsidRDefault="00967BB4" w:rsidP="00967BB4">
      <w:pPr>
        <w:pStyle w:val="Author"/>
        <w:spacing w:line="240" w:lineRule="auto"/>
        <w:rPr>
          <w:rFonts w:ascii="Arial" w:hAnsi="Arial" w:cs="Arial"/>
          <w:bCs/>
          <w:iCs/>
          <w:kern w:val="28"/>
          <w:sz w:val="36"/>
        </w:rPr>
      </w:pPr>
      <w:r w:rsidRPr="00823C09">
        <w:rPr>
          <w:rFonts w:ascii="Arial" w:hAnsi="Arial" w:cs="Arial"/>
          <w:bCs/>
          <w:iCs/>
          <w:kern w:val="28"/>
          <w:sz w:val="36"/>
        </w:rPr>
        <w:t>VILLAGE SDGs AND ENVIRONMENTAL RESILIENCE: AN EVALUATION OF SUSTAINABLE DEVELOPMENT IN UNDERDEVELOPED VILLAGES, MANOKWARI REGENCY, WEST PAPUA PROVINCE, INDONESIA</w:t>
      </w:r>
    </w:p>
    <w:p w14:paraId="57FEEACD" w14:textId="77777777" w:rsidR="00967BB4" w:rsidRPr="00823C09" w:rsidRDefault="00967BB4" w:rsidP="00967BB4">
      <w:pPr>
        <w:pStyle w:val="Author"/>
        <w:spacing w:line="240" w:lineRule="auto"/>
        <w:rPr>
          <w:rFonts w:ascii="Arial" w:hAnsi="Arial" w:cs="Arial"/>
          <w:sz w:val="36"/>
        </w:rPr>
      </w:pPr>
    </w:p>
    <w:p w14:paraId="05ACC53F" w14:textId="77777777" w:rsidR="00371A47" w:rsidRPr="00823C09" w:rsidRDefault="00371A47" w:rsidP="00967BB4">
      <w:pPr>
        <w:jc w:val="right"/>
        <w:rPr>
          <w:rFonts w:cstheme="minorHAnsi"/>
        </w:rPr>
      </w:pPr>
    </w:p>
    <w:p w14:paraId="014D9D2A" w14:textId="77777777" w:rsidR="00967BB4" w:rsidRPr="00823C09" w:rsidRDefault="00967BB4" w:rsidP="00441B6F">
      <w:pPr>
        <w:pStyle w:val="Author"/>
        <w:spacing w:line="240" w:lineRule="auto"/>
        <w:rPr>
          <w:rFonts w:ascii="Arial" w:hAnsi="Arial" w:cs="Arial"/>
        </w:rPr>
      </w:pPr>
    </w:p>
    <w:p w14:paraId="37345938" w14:textId="45F962D1" w:rsidR="00B01FCD" w:rsidRPr="00823C09" w:rsidRDefault="00EE5829" w:rsidP="00441B6F">
      <w:pPr>
        <w:pStyle w:val="Copyright"/>
        <w:spacing w:after="0" w:line="240" w:lineRule="auto"/>
        <w:jc w:val="both"/>
        <w:rPr>
          <w:rFonts w:ascii="Arial" w:hAnsi="Arial" w:cs="Arial"/>
        </w:rPr>
        <w:sectPr w:rsidR="00B01FCD" w:rsidRPr="00823C09" w:rsidSect="009D2E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23C09">
        <w:rPr>
          <w:rFonts w:ascii="Arial" w:hAnsi="Arial" w:cs="Arial"/>
          <w:noProof/>
        </w:rPr>
        <mc:AlternateContent>
          <mc:Choice Requires="wps">
            <w:drawing>
              <wp:inline distT="0" distB="0" distL="0" distR="0" wp14:anchorId="76FDDC07" wp14:editId="55E825A7">
                <wp:extent cx="5303520" cy="635"/>
                <wp:effectExtent l="13335" t="13335" r="17145" b="15240"/>
                <wp:docPr id="6741749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8759B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23C09">
        <w:rPr>
          <w:rFonts w:ascii="Arial" w:hAnsi="Arial" w:cs="Arial"/>
        </w:rPr>
        <w:t>.</w:t>
      </w:r>
    </w:p>
    <w:p w14:paraId="6E4F889E" w14:textId="6C629776" w:rsidR="00B01FCD" w:rsidRPr="00823C09" w:rsidRDefault="00B01FCD" w:rsidP="00441B6F">
      <w:pPr>
        <w:pStyle w:val="AbstHead"/>
        <w:spacing w:after="0"/>
        <w:jc w:val="both"/>
        <w:rPr>
          <w:rFonts w:ascii="Arial" w:hAnsi="Arial" w:cs="Arial"/>
        </w:rPr>
      </w:pPr>
      <w:r w:rsidRPr="00823C09">
        <w:rPr>
          <w:rFonts w:ascii="Arial" w:hAnsi="Arial" w:cs="Arial"/>
        </w:rPr>
        <w:t>ABSTRACT</w:t>
      </w:r>
    </w:p>
    <w:p w14:paraId="7C38F5FA" w14:textId="77777777" w:rsidR="00790ADA" w:rsidRPr="00823C0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23C09" w14:paraId="59495F08" w14:textId="77777777" w:rsidTr="001E44FE">
        <w:tc>
          <w:tcPr>
            <w:tcW w:w="9576" w:type="dxa"/>
            <w:shd w:val="clear" w:color="auto" w:fill="F2F2F2"/>
          </w:tcPr>
          <w:p w14:paraId="177AB39D" w14:textId="45FA06DA" w:rsidR="00505F06" w:rsidRPr="00823C09" w:rsidRDefault="00967BB4" w:rsidP="00622749">
            <w:pPr>
              <w:jc w:val="both"/>
              <w:rPr>
                <w:rFonts w:ascii="Arial" w:eastAsia="Calibri" w:hAnsi="Arial" w:cs="Arial"/>
                <w:szCs w:val="22"/>
              </w:rPr>
            </w:pPr>
            <w:r w:rsidRPr="00823C09">
              <w:rPr>
                <w:rFonts w:cstheme="minorHAnsi"/>
              </w:rPr>
              <w:t xml:space="preserve">Development inequality and ecosystem vulnerability remain major challenges in achieving sustainable development in underdeveloped villages, particularly in West Papua Province. This study aims to evaluate the contribution of the Village Sustainable Development Goals (SDGs), specifically SDG 2 (Zero Hunger), SDG 6 (Clean Water and Sanitation), and SDG 10 (Reduced Inequalities), to the Environmental Resilience Index (ERI). The research was conducted in underdeveloped villages in </w:t>
            </w:r>
            <w:proofErr w:type="spellStart"/>
            <w:r w:rsidRPr="00823C09">
              <w:rPr>
                <w:rFonts w:cstheme="minorHAnsi"/>
              </w:rPr>
              <w:t>Manokwari</w:t>
            </w:r>
            <w:proofErr w:type="spellEnd"/>
            <w:r w:rsidRPr="00823C09">
              <w:rPr>
                <w:rFonts w:cstheme="minorHAnsi"/>
              </w:rPr>
              <w:t xml:space="preserve"> Regency using a case study approach and qualitative-comparative analysis based on 2023 Village SDGs data and the Village Development Index (VDI) status. The results indicate that while food security (SDG 2) is relatively strong in certain locations, disparities in access to clean water and sanitation (SDG 6) as well as unequal distribution of basic services (SDG 10) remain significant constraints. Each village exhibits a distinct resilience profile shaped by the interplay of socio-ecological indicators and local contexts. These findings underscore the importance of cross-sectoral and context-sensitive approaches in planning sustainable village development.</w:t>
            </w:r>
          </w:p>
        </w:tc>
      </w:tr>
    </w:tbl>
    <w:p w14:paraId="6ECF9D4E" w14:textId="77777777" w:rsidR="00636EB2" w:rsidRPr="00823C09" w:rsidRDefault="00636EB2" w:rsidP="00441B6F">
      <w:pPr>
        <w:pStyle w:val="Body"/>
        <w:spacing w:after="0"/>
        <w:rPr>
          <w:rFonts w:ascii="Arial" w:hAnsi="Arial" w:cs="Arial"/>
          <w:i/>
        </w:rPr>
      </w:pPr>
    </w:p>
    <w:p w14:paraId="116DD52C" w14:textId="4963A3D5" w:rsidR="0024282C" w:rsidRPr="00823C09" w:rsidRDefault="00A24E7E" w:rsidP="00441B6F">
      <w:pPr>
        <w:pStyle w:val="Body"/>
        <w:spacing w:after="0"/>
        <w:rPr>
          <w:rFonts w:ascii="Arial" w:hAnsi="Arial" w:cs="Arial"/>
          <w:i/>
        </w:rPr>
      </w:pPr>
      <w:r w:rsidRPr="00823C09">
        <w:rPr>
          <w:rFonts w:ascii="Arial" w:hAnsi="Arial" w:cs="Arial"/>
          <w:i/>
        </w:rPr>
        <w:t xml:space="preserve">Keywords: </w:t>
      </w:r>
      <w:r w:rsidR="00967BB4" w:rsidRPr="00823C09">
        <w:rPr>
          <w:rFonts w:ascii="Arial" w:hAnsi="Arial" w:cs="Arial"/>
          <w:i/>
        </w:rPr>
        <w:t>Village SDGs, Environmental Resilience, underdeveloped villages, sustainable development, West Papua</w:t>
      </w:r>
    </w:p>
    <w:p w14:paraId="3D97B8D3" w14:textId="77777777" w:rsidR="00505F06" w:rsidRPr="00823C09" w:rsidRDefault="00505F06" w:rsidP="00441B6F">
      <w:pPr>
        <w:pStyle w:val="Body"/>
        <w:spacing w:after="0"/>
        <w:rPr>
          <w:rFonts w:ascii="Arial" w:hAnsi="Arial" w:cs="Arial"/>
          <w:i/>
        </w:rPr>
      </w:pPr>
    </w:p>
    <w:p w14:paraId="009A4734" w14:textId="580552E5" w:rsidR="007F7B32" w:rsidRPr="00823C09" w:rsidRDefault="00902823" w:rsidP="00441B6F">
      <w:pPr>
        <w:pStyle w:val="AbstHead"/>
        <w:spacing w:after="0"/>
        <w:jc w:val="both"/>
        <w:rPr>
          <w:rFonts w:ascii="Arial" w:hAnsi="Arial" w:cs="Arial"/>
        </w:rPr>
      </w:pPr>
      <w:r w:rsidRPr="00823C09">
        <w:rPr>
          <w:rFonts w:ascii="Arial" w:hAnsi="Arial" w:cs="Arial"/>
        </w:rPr>
        <w:t xml:space="preserve">1. </w:t>
      </w:r>
      <w:r w:rsidR="00B01FCD" w:rsidRPr="00823C09">
        <w:rPr>
          <w:rFonts w:ascii="Arial" w:hAnsi="Arial" w:cs="Arial"/>
        </w:rPr>
        <w:t>INTRODUCTION</w:t>
      </w:r>
    </w:p>
    <w:p w14:paraId="57A5BD15" w14:textId="7A0E55CD" w:rsidR="00EB0D97" w:rsidRPr="00823C09" w:rsidRDefault="00EB0D97" w:rsidP="00EB0D97">
      <w:pPr>
        <w:pStyle w:val="Body"/>
        <w:rPr>
          <w:rFonts w:ascii="Arial" w:hAnsi="Arial" w:cs="Arial"/>
        </w:rPr>
      </w:pPr>
      <w:bookmarkStart w:id="1" w:name="_Hlk208917068"/>
      <w:r w:rsidRPr="00823C09">
        <w:rPr>
          <w:rFonts w:ascii="Arial" w:hAnsi="Arial" w:cs="Arial"/>
        </w:rPr>
        <w:t xml:space="preserve">Sustainable village development is a key element in achieving the Sustainable Development Goals (SDGs), which emphasize not only economic growth and social welfare but also environmental resilience. Environmental resilience at the village level serves as the foundation for long-term sustainability, as rural communities are highly dependent on natural ecosystems as their primary source of livelihood. In this context, resilient environments not only support productivity and public health but also strengthen the adaptive capacity of villages in responding to external pressures such as climate change, natural disasters, and resource degradation </w:t>
      </w:r>
      <w:sdt>
        <w:sdtPr>
          <w:rPr>
            <w:rFonts w:ascii="Arial" w:hAnsi="Arial" w:cs="Arial"/>
          </w:rPr>
          <w:tag w:val="MENDELEY_CITATION_v3_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"/>
          <w:id w:val="990051727"/>
          <w:placeholder>
            <w:docPart w:val="2E0D2B96305041E0960A31FAFB92C756"/>
          </w:placeholder>
        </w:sdtPr>
        <w:sdtEndPr/>
        <w:sdtContent>
          <w:r w:rsidRPr="00823C09">
            <w:rPr>
              <w:rFonts w:ascii="Arial" w:hAnsi="Arial" w:cs="Arial"/>
            </w:rPr>
            <w:t>(UN, 2015)</w:t>
          </w:r>
        </w:sdtContent>
      </w:sdt>
      <w:r w:rsidRPr="00823C09">
        <w:rPr>
          <w:rFonts w:ascii="Arial" w:hAnsi="Arial" w:cs="Arial"/>
        </w:rPr>
        <w:t>.</w:t>
      </w:r>
    </w:p>
    <w:p w14:paraId="0C53C35F" w14:textId="77777777" w:rsidR="00EB0D97" w:rsidRPr="00823C09" w:rsidRDefault="00EB0D97" w:rsidP="00EB0D97">
      <w:pPr>
        <w:pStyle w:val="Body"/>
        <w:rPr>
          <w:rFonts w:ascii="Arial" w:hAnsi="Arial" w:cs="Arial"/>
        </w:rPr>
      </w:pPr>
      <w:r w:rsidRPr="00823C09">
        <w:rPr>
          <w:rFonts w:ascii="Arial" w:hAnsi="Arial" w:cs="Arial"/>
        </w:rPr>
        <w:t xml:space="preserve">To accelerate the contextual implementation of the SDGs in Indonesia, the Ministry of Villages, Development of Disadvantaged Regions, and Transmigration </w:t>
      </w:r>
      <w:sdt>
        <w:sdtPr>
          <w:rPr>
            <w:rFonts w:ascii="Arial" w:hAnsi="Arial" w:cs="Arial"/>
          </w:rPr>
          <w:tag w:val="MENDELEY_CITATION_v3_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"/>
          <w:id w:val="-1284880991"/>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Kemendes</w:t>
          </w:r>
          <w:proofErr w:type="spellEnd"/>
          <w:r w:rsidRPr="00823C09">
            <w:rPr>
              <w:rFonts w:ascii="Arial" w:hAnsi="Arial" w:cs="Arial"/>
            </w:rPr>
            <w:t xml:space="preserve"> PDTT, 2021)</w:t>
          </w:r>
        </w:sdtContent>
      </w:sdt>
      <w:r w:rsidRPr="00823C09">
        <w:rPr>
          <w:rFonts w:ascii="Arial" w:hAnsi="Arial" w:cs="Arial"/>
        </w:rPr>
        <w:t xml:space="preserve"> developed the Village SDGs framework, which translates 18 development goals into the local context. This approach provides indicators that are relevant to the socio-economic and ecological realities of rural communities </w:t>
      </w:r>
      <w:sdt>
        <w:sdtPr>
          <w:rPr>
            <w:rFonts w:ascii="Arial" w:hAnsi="Arial" w:cs="Arial"/>
          </w:rPr>
          <w:tag w:val="MENDELEY_CITATION_v3_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"/>
          <w:id w:val="1019288700"/>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Kemendes</w:t>
          </w:r>
          <w:proofErr w:type="spellEnd"/>
          <w:r w:rsidRPr="00823C09">
            <w:rPr>
              <w:rFonts w:ascii="Arial" w:hAnsi="Arial" w:cs="Arial"/>
            </w:rPr>
            <w:t xml:space="preserve"> PDTT, 2021)</w:t>
          </w:r>
        </w:sdtContent>
      </w:sdt>
      <w:r w:rsidRPr="00823C09">
        <w:rPr>
          <w:rFonts w:ascii="Arial" w:hAnsi="Arial" w:cs="Arial"/>
        </w:rPr>
        <w:t xml:space="preserve">. One of its key </w:t>
      </w:r>
      <w:r w:rsidRPr="00823C09">
        <w:rPr>
          <w:rFonts w:ascii="Arial" w:hAnsi="Arial" w:cs="Arial"/>
        </w:rPr>
        <w:lastRenderedPageBreak/>
        <w:t>implementation strategies is to evaluate the extent to which underdeveloped villages have achieved progress in fundamental dimensions, particularly environmental resilience.</w:t>
      </w:r>
    </w:p>
    <w:p w14:paraId="047AC6D7" w14:textId="77777777" w:rsidR="00EB0D97" w:rsidRPr="00823C09" w:rsidRDefault="00EB0D97" w:rsidP="00EB0D97">
      <w:pPr>
        <w:pStyle w:val="Body"/>
        <w:rPr>
          <w:rFonts w:ascii="Arial" w:hAnsi="Arial" w:cs="Arial"/>
        </w:rPr>
      </w:pPr>
      <w:proofErr w:type="spellStart"/>
      <w:r w:rsidRPr="00823C09">
        <w:rPr>
          <w:rFonts w:ascii="Arial" w:hAnsi="Arial" w:cs="Arial"/>
        </w:rPr>
        <w:t>Manokwari</w:t>
      </w:r>
      <w:proofErr w:type="spellEnd"/>
      <w:r w:rsidRPr="00823C09">
        <w:rPr>
          <w:rFonts w:ascii="Arial" w:hAnsi="Arial" w:cs="Arial"/>
        </w:rPr>
        <w:t xml:space="preserve"> Regency, located in West Papua Province Indonesia, faces significant structural challenges in pursuing sustainable development. Many villages in this regency are still categorized as underdeveloped or severely underdeveloped, with limited access to basic services such as food, clean water, sanitation, and infrastructure. High dependency on natural resources, compounded by structural poverty and geographical isolation, increases the socio-ecological vulnerability of the region </w:t>
      </w:r>
      <w:sdt>
        <w:sdtPr>
          <w:rPr>
            <w:rFonts w:ascii="Arial" w:hAnsi="Arial" w:cs="Arial"/>
          </w:rPr>
          <w:tag w:val="MENDELEY_CITATION_v3_eyJjaXRhdGlvbklEIjoiTUVOREVMRVlfQ0lUQVRJT05fMDY0YWE4MDYtOTljZS00Y2I3LWJjZWEtOWY1MTdjNjNhN2E0IiwicHJvcGVydGllcyI6eyJub3RlSW5kZXgiOjB9LCJpc0VkaXRlZCI6ZmFsc2UsIm1hbnVhbE92ZXJyaWRlIjp7ImlzTWFudWFsbHlPdmVycmlkZGVuIjpmYWxzZSwiY2l0ZXByb2NUZXh0IjoiKEJhcHBlbmFzLCAyMDIwKSIsIm1hbnVhbE92ZXJyaWRlVGV4dCI6Ii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1519306926"/>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Bappenas</w:t>
          </w:r>
          <w:proofErr w:type="spellEnd"/>
          <w:r w:rsidRPr="00823C09">
            <w:rPr>
              <w:rFonts w:ascii="Arial" w:hAnsi="Arial" w:cs="Arial"/>
            </w:rPr>
            <w:t>, 2020)</w:t>
          </w:r>
        </w:sdtContent>
      </w:sdt>
      <w:r w:rsidRPr="00823C09">
        <w:rPr>
          <w:rFonts w:ascii="Arial" w:hAnsi="Arial" w:cs="Arial"/>
        </w:rPr>
        <w:t>. Within this context, assessing environmental resilience is crucial to ensure that development pathways are not only sectoral and short-term but also equitable and ecologically sustainable.</w:t>
      </w:r>
    </w:p>
    <w:p w14:paraId="752AE9D6" w14:textId="77777777" w:rsidR="00EB0D97" w:rsidRPr="00823C09" w:rsidRDefault="00EB0D97" w:rsidP="00EB0D97">
      <w:pPr>
        <w:pStyle w:val="Body"/>
        <w:rPr>
          <w:rFonts w:ascii="Arial" w:hAnsi="Arial" w:cs="Arial"/>
        </w:rPr>
      </w:pPr>
      <w:r w:rsidRPr="00823C09">
        <w:rPr>
          <w:rFonts w:ascii="Arial" w:hAnsi="Arial" w:cs="Arial"/>
        </w:rPr>
        <w:t>Evaluating development outcomes is a strategic step to understand the dynamics of ongoing progress. Such evaluation does not merely focus on the end results but also on the processes and inequalities in the distribution of development benefits. By examining the interlinkages between the achievement of Village SDGs indicators and environmental resilience, this research seeks to identify policy gaps, priority needs, and opportunities for strengthening village institutions to support development that is resilient, inclusive, and adaptive.</w:t>
      </w:r>
    </w:p>
    <w:p w14:paraId="0A59BEBE" w14:textId="77777777" w:rsidR="00EB0D97" w:rsidRPr="00823C09" w:rsidRDefault="00EB0D97" w:rsidP="00EB0D97">
      <w:pPr>
        <w:pStyle w:val="Body"/>
        <w:rPr>
          <w:rFonts w:ascii="Arial" w:hAnsi="Arial" w:cs="Arial"/>
        </w:rPr>
      </w:pPr>
      <w:r w:rsidRPr="00823C09">
        <w:rPr>
          <w:rFonts w:ascii="Arial" w:hAnsi="Arial" w:cs="Arial"/>
        </w:rPr>
        <w:t>This study specifically focuses its evaluation on three SDGs indicators: SDG 2 (Zero Hunger), SDG 6 (Clean Water and Sanitation), and SDG 10 (Reduced Inequalities). These three indicators were chosen because they represent the most fundamental aspects of life in underdeveloped villages: food security, access to clean water, and social equity. Together, they directly reflect the environmental and social capacity to sustain a decent standard of living in the face of development challenges.</w:t>
      </w:r>
    </w:p>
    <w:p w14:paraId="2FF72636" w14:textId="77777777" w:rsidR="00EB0D97" w:rsidRPr="00823C09" w:rsidRDefault="00EB0D97" w:rsidP="00EB0D97">
      <w:pPr>
        <w:pStyle w:val="Body"/>
        <w:rPr>
          <w:rFonts w:ascii="Arial" w:hAnsi="Arial" w:cs="Arial"/>
        </w:rPr>
      </w:pPr>
      <w:r w:rsidRPr="00823C09">
        <w:rPr>
          <w:rFonts w:ascii="Arial" w:hAnsi="Arial" w:cs="Arial"/>
        </w:rPr>
        <w:t xml:space="preserve">In greater detail, SDG 2 is essential as it concerns the fulfillment of basic food needs and the management of local resources such as forests, agricultural land, and water bodies. When access to food is limited, communities often resort to intensive ecosystem exploitation for survival, thereby increasing environmental pressures </w:t>
      </w:r>
      <w:sdt>
        <w:sdtPr>
          <w:rPr>
            <w:rFonts w:ascii="Arial" w:hAnsi="Arial" w:cs="Arial"/>
          </w:rPr>
          <w:tag w:val="MENDELEY_CITATION_v3_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"/>
          <w:id w:val="180480634"/>
          <w:placeholder>
            <w:docPart w:val="2E0D2B96305041E0960A31FAFB92C756"/>
          </w:placeholder>
        </w:sdtPr>
        <w:sdtEndPr/>
        <w:sdtContent>
          <w:r w:rsidRPr="00823C09">
            <w:rPr>
              <w:rFonts w:ascii="Arial" w:hAnsi="Arial" w:cs="Arial"/>
            </w:rPr>
            <w:t>(The State of Food Security and Nutrition in the World 2019, 2019)</w:t>
          </w:r>
        </w:sdtContent>
      </w:sdt>
      <w:r w:rsidRPr="00823C09">
        <w:rPr>
          <w:rFonts w:ascii="Arial" w:hAnsi="Arial" w:cs="Arial"/>
        </w:rPr>
        <w:t xml:space="preserve">. Similarly, SDG 6 is a critical indicator since access to clean water and proper sanitation is fundamental not only to public health but also to environmental quality. Lack of adequate clean water access often leads to environmental degradation and conflicts over water use </w:t>
      </w:r>
      <w:sdt>
        <w:sdtPr>
          <w:rPr>
            <w:rFonts w:ascii="Arial" w:hAnsi="Arial" w:cs="Arial"/>
          </w:rPr>
          <w:tag w:val="MENDELEY_CITATION_v3_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"/>
          <w:id w:val="-392348306"/>
          <w:placeholder>
            <w:docPart w:val="2E0D2B96305041E0960A31FAFB92C756"/>
          </w:placeholder>
        </w:sdtPr>
        <w:sdtEndPr/>
        <w:sdtContent>
          <w:r w:rsidRPr="00823C09">
            <w:rPr>
              <w:rFonts w:ascii="Arial" w:hAnsi="Arial" w:cs="Arial"/>
            </w:rPr>
            <w:t>(Campbell et al., 2014)</w:t>
          </w:r>
        </w:sdtContent>
      </w:sdt>
      <w:r w:rsidRPr="00823C09">
        <w:rPr>
          <w:rFonts w:ascii="Arial" w:hAnsi="Arial" w:cs="Arial"/>
        </w:rPr>
        <w:t>. Meanwhile, SDG 10 highlights the importance of social justice and equitable access to resources and basic services. Unequal distribution of development benefits may exacerbate disparities in community adaptive capacity toward environmental change</w:t>
      </w:r>
      <w:sdt>
        <w:sdtPr>
          <w:rPr>
            <w:rFonts w:ascii="Arial" w:hAnsi="Arial" w:cs="Arial"/>
          </w:rPr>
          <w:tag w:val="MENDELEY_CITATION_v3_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"/>
          <w:id w:val="379756026"/>
          <w:placeholder>
            <w:docPart w:val="2E0D2B96305041E0960A31FAFB92C756"/>
          </w:placeholder>
        </w:sdtPr>
        <w:sdtEndPr/>
        <w:sdtContent>
          <w:r w:rsidRPr="00823C09">
            <w:rPr>
              <w:rFonts w:ascii="Arial" w:hAnsi="Arial" w:cs="Arial"/>
            </w:rPr>
            <w:t>(Raut, 2022)</w:t>
          </w:r>
        </w:sdtContent>
      </w:sdt>
      <w:r w:rsidRPr="00823C09">
        <w:rPr>
          <w:rFonts w:ascii="Arial" w:hAnsi="Arial" w:cs="Arial"/>
        </w:rPr>
        <w:t>.</w:t>
      </w:r>
    </w:p>
    <w:p w14:paraId="3781BF62" w14:textId="77777777" w:rsidR="00EB0D97" w:rsidRPr="00823C09" w:rsidRDefault="00EB0D97" w:rsidP="00EB0D97">
      <w:pPr>
        <w:pStyle w:val="Body"/>
        <w:rPr>
          <w:rFonts w:ascii="Arial" w:hAnsi="Arial" w:cs="Arial"/>
        </w:rPr>
      </w:pPr>
      <w:r w:rsidRPr="00823C09">
        <w:rPr>
          <w:rFonts w:ascii="Arial" w:hAnsi="Arial" w:cs="Arial"/>
        </w:rPr>
        <w:t xml:space="preserve">Thus, the selection of these three indicators is both strategic and urgent, as they reflect the objective conditions and main challenges faced by underdeveloped villages in building ecological resilience. Through this approach, the study aims to evaluate the relationship between the achievement of SDGs 2, 6, and 10 and the Environmental Resilience Index (ERI) in underdeveloped villages in </w:t>
      </w:r>
      <w:proofErr w:type="spellStart"/>
      <w:r w:rsidRPr="00823C09">
        <w:rPr>
          <w:rFonts w:ascii="Arial" w:hAnsi="Arial" w:cs="Arial"/>
        </w:rPr>
        <w:t>Manokwari</w:t>
      </w:r>
      <w:proofErr w:type="spellEnd"/>
      <w:r w:rsidRPr="00823C09">
        <w:rPr>
          <w:rFonts w:ascii="Arial" w:hAnsi="Arial" w:cs="Arial"/>
        </w:rPr>
        <w:t xml:space="preserve"> Regency. The findings are expected to provide empirical insights into the sustainability trajectory of village development and serve as a basis for evidence-based policy strategies that are equitable, resilient, and responsive to environmental risks.</w:t>
      </w:r>
    </w:p>
    <w:bookmarkEnd w:id="1"/>
    <w:p w14:paraId="3050206C" w14:textId="714F4FF3" w:rsidR="007F7B32" w:rsidRPr="00823C09" w:rsidRDefault="00902823" w:rsidP="00441B6F">
      <w:pPr>
        <w:pStyle w:val="AbstHead"/>
        <w:spacing w:after="0"/>
        <w:jc w:val="both"/>
        <w:rPr>
          <w:rFonts w:ascii="Arial" w:hAnsi="Arial" w:cs="Arial"/>
        </w:rPr>
      </w:pPr>
      <w:r w:rsidRPr="00823C09">
        <w:rPr>
          <w:rFonts w:ascii="Arial" w:hAnsi="Arial" w:cs="Arial"/>
        </w:rPr>
        <w:t>2. material and method</w:t>
      </w:r>
      <w:r w:rsidR="00000F8F" w:rsidRPr="00823C09">
        <w:rPr>
          <w:rFonts w:ascii="Arial" w:hAnsi="Arial" w:cs="Arial"/>
        </w:rPr>
        <w:t>s</w:t>
      </w:r>
    </w:p>
    <w:p w14:paraId="0CF89EBD" w14:textId="77777777" w:rsidR="00790ADA" w:rsidRPr="00823C09" w:rsidRDefault="00790ADA" w:rsidP="00EB0D97">
      <w:pPr>
        <w:pStyle w:val="AbstHead"/>
        <w:spacing w:after="0"/>
        <w:jc w:val="both"/>
        <w:rPr>
          <w:rFonts w:ascii="Arial" w:hAnsi="Arial" w:cs="Arial"/>
          <w:sz w:val="20"/>
        </w:rPr>
      </w:pPr>
    </w:p>
    <w:p w14:paraId="66F5DE7D" w14:textId="176E85AC" w:rsidR="00EB0D97" w:rsidRPr="00823C09" w:rsidRDefault="00EB0D97" w:rsidP="00EB0D97">
      <w:pPr>
        <w:spacing w:after="160" w:line="278" w:lineRule="auto"/>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2.1 Research Site and Duration</w:t>
      </w:r>
    </w:p>
    <w:p w14:paraId="0165613E"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research focuses on underdeveloped and severely underdeveloped villages in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districts,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West Papua Province, Indonesia. These </w:t>
      </w:r>
      <w:r w:rsidRPr="00823C09">
        <w:rPr>
          <w:rFonts w:ascii="Arial" w:eastAsia="Calibri" w:hAnsi="Arial" w:cs="Arial"/>
          <w:kern w:val="2"/>
          <w14:ligatures w14:val="standardContextual"/>
        </w:rPr>
        <w:lastRenderedPageBreak/>
        <w:t>villages were selected as study sites because they represent areas with high environmental vulnerability and significant challenges in achieving the Village Sustainable Development Goals (SDGs), particularly in relation to infrastructure, basic services, and socio-economic resilience. The spatial distribution of these research locations is illustrated in the map (Figure 1). The study was carried out in 2024, utilizing data from the 2023 Village SDGs mapping managed by the Ministry of Villages, Development of Disadvantaged Regions, and Transmigration of the Republic of Indonesia.</w:t>
      </w:r>
    </w:p>
    <w:p w14:paraId="31D44432"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research population consisted of all villages in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From this population, a total of 28 villages were purposively selected as the sample, comprising both underdeveloped and severely underdeveloped villages. The purposive sampling was based on two main criteria: villages located within districts with the highest number of underdeveloped or severely underdeveloped villages, and villages situated in relatively isolated locations. Based on these criteria, the research focused on two districts, namely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District, which has the largest number of underdeveloped villages,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 which has the highest number of severely underdeveloped villages.</w:t>
      </w:r>
    </w:p>
    <w:p w14:paraId="7ED44C45" w14:textId="12CF34DD" w:rsidR="00EB0D97" w:rsidRPr="00823C09" w:rsidRDefault="00EB0D97" w:rsidP="00EB0D97">
      <w:pPr>
        <w:spacing w:after="160" w:line="278" w:lineRule="auto"/>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2.2 Research Design.</w:t>
      </w:r>
    </w:p>
    <w:p w14:paraId="317EF78A" w14:textId="1D18294A"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study employed a quantitative approach with an explanatory research design. This approach was chosen because the primary objective was to examine the influence of Village SDGs indicators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specifically SDG 2 (Zero Hunger), SDG 6 (Clean Water and Sanitation), and SDG 10 (Reduced Inequalities)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on the Environmental Resilience Index (ERI) in underdeveloped and severely underdeveloped villages. The data were sourced from secondary data, obtained through the Village Information System (SID) </w:t>
      </w:r>
      <w:sdt>
        <w:sdtPr>
          <w:rPr>
            <w:rFonts w:ascii="Arial" w:eastAsia="Calibri" w:hAnsi="Arial" w:cs="Arial"/>
            <w:color w:val="000000"/>
            <w:kern w:val="2"/>
            <w14:ligatures w14:val="standardContextual"/>
          </w:rPr>
          <w:tag w:val="MENDELEY_CITATION_v3_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"/>
          <w:id w:val="234829493"/>
          <w:placeholder>
            <w:docPart w:val="2DEB3C621A324070AD534540C3004D50"/>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w:t>
          </w:r>
        </w:sdtContent>
      </w:sdt>
      <w:r w:rsidRPr="00823C09">
        <w:rPr>
          <w:rFonts w:ascii="Arial" w:eastAsia="Calibri" w:hAnsi="Arial" w:cs="Arial"/>
          <w:kern w:val="2"/>
          <w14:ligatures w14:val="standardContextual"/>
        </w:rPr>
        <w:t xml:space="preserve"> and the official decree </w:t>
      </w:r>
      <w:sdt>
        <w:sdtPr>
          <w:rPr>
            <w:rFonts w:ascii="Arial" w:eastAsia="Calibri" w:hAnsi="Arial" w:cs="Arial"/>
            <w:color w:val="000000"/>
            <w:kern w:val="2"/>
            <w14:ligatures w14:val="standardContextual"/>
          </w:rPr>
          <w:tag w:val="MENDELEY_CITATION_v3_eyJjaXRhdGlvbklEIjoiTUVOREVMRVlfQ0lUQVRJT05fZjdmZWI2ZjAtYTQzMC00NzEzLTkwOTYtMjMyZTZjZjFjMjg0IiwicHJvcGVydGllcyI6eyJub3RlSW5kZXgiOjB9LCJpc0VkaXRlZCI6ZmFsc2UsIm1hbnVhbE92ZXJyaWRlIjp7ImlzTWFudWFsbHlPdmVycmlkZGVuIjpmYWxzZSwiY2l0ZXByb2NUZXh0IjoiKEtlbWVuZGVzIFBEVFQsIDIwMjQpIiwibWFudWFsT3ZlcnJpZGVUZXh0IjoiIn0sImNpdGF0aW9uSXRlbXMiOlt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1dfQ=="/>
          <w:id w:val="397021888"/>
          <w:placeholder>
            <w:docPart w:val="2DEB3C621A324070AD534540C3004D50"/>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2024)</w:t>
          </w:r>
        </w:sdtContent>
      </w:sdt>
      <w:r w:rsidRPr="00823C09">
        <w:rPr>
          <w:rFonts w:ascii="Arial" w:eastAsia="Calibri" w:hAnsi="Arial" w:cs="Arial"/>
          <w:kern w:val="2"/>
          <w14:ligatures w14:val="standardContextual"/>
        </w:rPr>
        <w:t xml:space="preserve">. Data collection techniques included documentation and an in-depth review of official government databases, particularly those related to Village SDGs and the VDI. </w:t>
      </w:r>
    </w:p>
    <w:p w14:paraId="6197BBD6"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study variables consisted of one dependent variable and three independent variables. The dependent variable was the ERI, while the independent variables included SDG 2 (representing food security), SDG 6 (emphasizing access to clean water and sanitation), and SDG 10 (focusing on reducing social inequalities). These three indicators were selected because food, water, and social justice represent the most fundamental elements of life in underdeveloped villages </w:t>
      </w:r>
      <w:sdt>
        <w:sdtPr>
          <w:rPr>
            <w:rFonts w:ascii="Arial" w:eastAsia="Calibri" w:hAnsi="Arial" w:cs="Arial"/>
            <w:color w:val="000000"/>
            <w:kern w:val="2"/>
            <w14:ligatures w14:val="standardContextual"/>
          </w:rPr>
          <w:tag w:val="MENDELEY_CITATION_v3_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"/>
          <w:id w:val="1419839249"/>
          <w:placeholder>
            <w:docPart w:val="5CA5A3B011194CD995BAE75E8BF55045"/>
          </w:placeholder>
        </w:sdtPr>
        <w:sdtEndPr/>
        <w:sdtContent>
          <w:r w:rsidRPr="00823C09">
            <w:rPr>
              <w:rFonts w:ascii="Arial" w:eastAsia="Calibri" w:hAnsi="Arial" w:cs="Arial"/>
              <w:color w:val="000000"/>
              <w:kern w:val="2"/>
              <w14:ligatures w14:val="standardContextual"/>
            </w:rPr>
            <w:t>(Mehta et al., 2019)</w:t>
          </w:r>
        </w:sdtContent>
      </w:sdt>
      <w:r w:rsidRPr="00823C09">
        <w:rPr>
          <w:rFonts w:ascii="Arial" w:eastAsia="Calibri" w:hAnsi="Arial" w:cs="Arial"/>
          <w:kern w:val="2"/>
          <w14:ligatures w14:val="standardContextual"/>
        </w:rPr>
        <w:t>. They significantly affect both the carrying capacity and the resilience of the environment, particularly in the context of climate change, structural poverty, and limited access to basic resources.</w:t>
      </w:r>
    </w:p>
    <w:p w14:paraId="33679F51" w14:textId="77777777" w:rsidR="00EB0D97" w:rsidRPr="00823C09" w:rsidRDefault="00EB0D97" w:rsidP="00EB0D97">
      <w:pPr>
        <w:spacing w:after="160" w:line="278" w:lineRule="auto"/>
        <w:jc w:val="both"/>
        <w:rPr>
          <w:rFonts w:ascii="Arial" w:eastAsia="Calibri" w:hAnsi="Arial" w:cs="Arial"/>
          <w:kern w:val="2"/>
          <w14:ligatures w14:val="standardContextual"/>
        </w:rPr>
      </w:pPr>
    </w:p>
    <w:p w14:paraId="2950365B" w14:textId="77777777" w:rsidR="00EB0D97" w:rsidRPr="00823C09" w:rsidRDefault="00EB0D97" w:rsidP="00EB0D97">
      <w:pPr>
        <w:spacing w:after="160" w:line="278" w:lineRule="auto"/>
        <w:jc w:val="both"/>
        <w:rPr>
          <w:rFonts w:ascii="Arial" w:eastAsia="Calibri" w:hAnsi="Arial" w:cs="Arial"/>
          <w:kern w:val="2"/>
          <w14:ligatures w14:val="standardContextual"/>
        </w:rPr>
      </w:pPr>
      <w:r w:rsidRPr="00823C09">
        <w:rPr>
          <w:rFonts w:ascii="Arial" w:eastAsia="Calibri" w:hAnsi="Arial" w:cs="Arial"/>
          <w:noProof/>
          <w:kern w:val="2"/>
          <w14:ligatures w14:val="standardContextual"/>
        </w:rPr>
        <w:lastRenderedPageBreak/>
        <w:drawing>
          <wp:inline distT="0" distB="0" distL="0" distR="0" wp14:anchorId="0F17EB70" wp14:editId="0BD2FC2A">
            <wp:extent cx="5155539" cy="4000500"/>
            <wp:effectExtent l="0" t="0" r="7620" b="0"/>
            <wp:docPr id="187761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14081" name="Picture 1877614081"/>
                    <pic:cNvPicPr/>
                  </pic:nvPicPr>
                  <pic:blipFill>
                    <a:blip r:embed="rId14">
                      <a:extLst>
                        <a:ext uri="{28A0092B-C50C-407E-A947-70E740481C1C}">
                          <a14:useLocalDpi xmlns:a14="http://schemas.microsoft.com/office/drawing/2010/main" val="0"/>
                        </a:ext>
                      </a:extLst>
                    </a:blip>
                    <a:stretch>
                      <a:fillRect/>
                    </a:stretch>
                  </pic:blipFill>
                  <pic:spPr>
                    <a:xfrm>
                      <a:off x="0" y="0"/>
                      <a:ext cx="5160301" cy="4004195"/>
                    </a:xfrm>
                    <a:prstGeom prst="rect">
                      <a:avLst/>
                    </a:prstGeom>
                  </pic:spPr>
                </pic:pic>
              </a:graphicData>
            </a:graphic>
          </wp:inline>
        </w:drawing>
      </w:r>
    </w:p>
    <w:p w14:paraId="054208B2"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Figure 1. The research location is in underdeveloped and severely underdeveloped villages (highlighted in pink in the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Districts) of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West Papua Province, Indonesia.</w:t>
      </w:r>
    </w:p>
    <w:p w14:paraId="34CD8C64" w14:textId="57C4AACB" w:rsidR="00EB0D97" w:rsidRPr="00823C09" w:rsidRDefault="00EB0D97" w:rsidP="00622749">
      <w:pPr>
        <w:spacing w:after="160"/>
        <w:jc w:val="both"/>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2.3 Data Analysis</w:t>
      </w:r>
    </w:p>
    <w:p w14:paraId="4C8FA31B"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Data analysis was carried out in three stages to produce comprehensive results. The first stage was descriptive analysis, which aimed to calculate mean values, standard errors, and the distribution of ERI scores as well as the achievement of SDGs 2, 6, and 10 across village categories. These descriptive findings were presented in summary tables to provide a general overview of differences among villages.</w:t>
      </w:r>
    </w:p>
    <w:p w14:paraId="3D7132CA" w14:textId="6AA79E68"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second stage involved multiple linear regression analysis to examine the influence of the independent variables</w:t>
      </w:r>
      <w:r w:rsidR="004A7443"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SDGs 2, 6, and 10</w:t>
      </w:r>
      <w:r w:rsidR="004A7443"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on the dependent variable, the Environmental Resilience Index (ERI). An F-test (ANOVA) was applied to assess the overall significance of the model, while t-tests were used to determine the significance of each independent variable individually </w:t>
      </w:r>
      <w:sdt>
        <w:sdtPr>
          <w:rPr>
            <w:rFonts w:ascii="Arial" w:eastAsia="Calibri" w:hAnsi="Arial" w:cs="Arial"/>
            <w:color w:val="000000"/>
            <w:kern w:val="2"/>
            <w14:ligatures w14:val="standardContextual"/>
          </w:rPr>
          <w:tag w:val="MENDELEY_CITATION_v3_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"/>
          <w:id w:val="36089133"/>
          <w:placeholder>
            <w:docPart w:val="FD2120E1B2FC41E58C65BA739CC79D90"/>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Zar</w:t>
          </w:r>
          <w:proofErr w:type="spellEnd"/>
          <w:r w:rsidRPr="00823C09">
            <w:rPr>
              <w:rFonts w:ascii="Arial" w:eastAsia="Calibri" w:hAnsi="Arial" w:cs="Arial"/>
              <w:color w:val="000000"/>
              <w:kern w:val="2"/>
              <w14:ligatures w14:val="standardContextual"/>
            </w:rPr>
            <w:t>, 2010)</w:t>
          </w:r>
        </w:sdtContent>
      </w:sdt>
      <w:r w:rsidRPr="00823C09">
        <w:rPr>
          <w:rFonts w:ascii="Arial" w:eastAsia="Calibri" w:hAnsi="Arial" w:cs="Arial"/>
          <w:kern w:val="2"/>
          <w14:ligatures w14:val="standardContextual"/>
        </w:rPr>
        <w:t>. In addition, the coefficient of determination (R²) was calculated to identify the proportion of ERI variance explained by the three SDG indicators. Significance levels were set at α = 0.05 and 0.10 to allow for interpretation at both 95% and 90% confidence intervals.</w:t>
      </w:r>
    </w:p>
    <w:p w14:paraId="3AB647CD"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third stage involved interpreting the quantitative findings by referencing academic literature and official policy documents. In this stage, relationships between variables were not only evaluated in terms of direction and magnitude but also situated within the broader framework of sustainable village development. For instance, evidence of a negative relationship between SDG 2 and ERI was interpreted considering </w:t>
      </w:r>
      <w:sdt>
        <w:sdtPr>
          <w:rPr>
            <w:rFonts w:ascii="Arial" w:eastAsia="Calibri" w:hAnsi="Arial" w:cs="Arial"/>
            <w:color w:val="000000"/>
            <w:kern w:val="2"/>
            <w14:ligatures w14:val="standardContextual"/>
          </w:rPr>
          <w:tag w:val="MENDELEY_CITATION_v3_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"/>
          <w:id w:val="1740437524"/>
          <w:placeholder>
            <w:docPart w:val="FD2120E1B2FC41E58C65BA739CC79D90"/>
          </w:placeholder>
        </w:sdtPr>
        <w:sdtEndPr/>
        <w:sdtContent>
          <w:r w:rsidRPr="00823C09">
            <w:rPr>
              <w:rFonts w:ascii="Arial" w:eastAsia="Calibri" w:hAnsi="Arial" w:cs="Arial"/>
              <w:color w:val="000000"/>
              <w:kern w:val="2"/>
              <w14:ligatures w14:val="standardContextual"/>
            </w:rPr>
            <w:t xml:space="preserve">The State of Food Security </w:t>
          </w:r>
          <w:r w:rsidRPr="00823C09">
            <w:rPr>
              <w:rFonts w:ascii="Arial" w:eastAsia="Calibri" w:hAnsi="Arial" w:cs="Arial"/>
              <w:color w:val="000000"/>
              <w:kern w:val="2"/>
              <w14:ligatures w14:val="standardContextual"/>
            </w:rPr>
            <w:lastRenderedPageBreak/>
            <w:t>and Nutrition in the World 2021</w:t>
          </w:r>
        </w:sdtContent>
      </w:sdt>
      <w:r w:rsidRPr="00823C09">
        <w:rPr>
          <w:rFonts w:ascii="Arial" w:eastAsia="Calibri" w:hAnsi="Arial" w:cs="Arial"/>
          <w:kern w:val="2"/>
          <w14:ligatures w14:val="standardContextual"/>
        </w:rPr>
        <w:t xml:space="preserve">, which highlights the environmental degradation risks of agricultural intensification. Conversely, the positive relationship between SDG 10 and ERI was reinforced by </w:t>
      </w:r>
      <w:sdt>
        <w:sdtPr>
          <w:rPr>
            <w:rFonts w:ascii="Arial" w:eastAsia="Calibri" w:hAnsi="Arial" w:cs="Arial"/>
            <w:color w:val="000000"/>
            <w:kern w:val="2"/>
            <w14:ligatures w14:val="standardContextual"/>
          </w:rPr>
          <w:tag w:val="MENDELEY_CITATION_v3_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"/>
          <w:id w:val="-399289208"/>
          <w:placeholder>
            <w:docPart w:val="FD2120E1B2FC41E58C65BA739CC79D90"/>
          </w:placeholder>
        </w:sdtPr>
        <w:sdtEndPr/>
        <w:sdtContent>
          <w:proofErr w:type="spellStart"/>
          <w:r w:rsidRPr="00823C09">
            <w:rPr>
              <w:rFonts w:ascii="Arial" w:hAnsi="Arial" w:cs="Arial"/>
              <w:color w:val="000000"/>
              <w:kern w:val="2"/>
              <w14:ligatures w14:val="standardContextual"/>
            </w:rPr>
            <w:t>Camarero</w:t>
          </w:r>
          <w:proofErr w:type="spellEnd"/>
          <w:r w:rsidRPr="00823C09">
            <w:rPr>
              <w:rFonts w:ascii="Arial" w:hAnsi="Arial" w:cs="Arial"/>
              <w:color w:val="000000"/>
              <w:kern w:val="2"/>
              <w14:ligatures w14:val="standardContextual"/>
            </w:rPr>
            <w:t xml:space="preserve"> &amp; Oliva, (2019); </w:t>
          </w:r>
          <w:proofErr w:type="spellStart"/>
          <w:r w:rsidRPr="00823C09">
            <w:rPr>
              <w:rFonts w:ascii="Arial" w:hAnsi="Arial" w:cs="Arial"/>
              <w:color w:val="000000"/>
              <w:kern w:val="2"/>
              <w14:ligatures w14:val="standardContextual"/>
            </w:rPr>
            <w:t>Rahat</w:t>
          </w:r>
          <w:proofErr w:type="spellEnd"/>
          <w:r w:rsidRPr="00823C09">
            <w:rPr>
              <w:rFonts w:ascii="Arial" w:hAnsi="Arial" w:cs="Arial"/>
              <w:color w:val="000000"/>
              <w:kern w:val="2"/>
              <w14:ligatures w14:val="standardContextual"/>
            </w:rPr>
            <w:t xml:space="preserve"> et al., (2024)</w:t>
          </w:r>
        </w:sdtContent>
      </w:sdt>
      <w:r w:rsidRPr="00823C09">
        <w:rPr>
          <w:rFonts w:ascii="Arial" w:eastAsia="Calibri" w:hAnsi="Arial" w:cs="Arial"/>
          <w:kern w:val="2"/>
          <w14:ligatures w14:val="standardContextual"/>
        </w:rPr>
        <w:t>, who emphasize the role of social equity in supporting ecological sustainability.</w:t>
      </w:r>
    </w:p>
    <w:p w14:paraId="7DED43D5" w14:textId="2FA3E623"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To examine the linkage between village-level of SDGs and ERI, this study employed one dependent variable and three independent variables. The ERI was selected as the dependent variable, while SDG 2 (Zero Hunger), SDG 6 (Clean Water and Sanitation), and SDG 10 (Reduced Inequalities) served as the independent variables. Each variable was operationalized through specific indicators and measured using official data sources provided by the Ministry of Villages, Development of Disadvantaged Regions, and Transmigration as well as the Village Information System (SID). Descriptive statistics and multiple linear regression analysis were applied to assess the influence of these variables. The operationalization of the study variables is summarized in </w:t>
      </w:r>
      <w:r w:rsidR="00604C52" w:rsidRPr="00823C09">
        <w:rPr>
          <w:rFonts w:ascii="Arial" w:eastAsia="Calibri" w:hAnsi="Arial" w:cs="Arial"/>
          <w:kern w:val="2"/>
          <w14:ligatures w14:val="standardContextual"/>
        </w:rPr>
        <w:t xml:space="preserve">Chart </w:t>
      </w:r>
      <w:r w:rsidRPr="00823C09">
        <w:rPr>
          <w:rFonts w:ascii="Arial" w:eastAsia="Calibri" w:hAnsi="Arial" w:cs="Arial"/>
          <w:kern w:val="2"/>
          <w14:ligatures w14:val="standardContextual"/>
        </w:rPr>
        <w:t>1.</w:t>
      </w:r>
    </w:p>
    <w:p w14:paraId="125043B5" w14:textId="2EFE0551" w:rsidR="00EB0D97" w:rsidRPr="00823C09" w:rsidRDefault="00604C52"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Chart</w:t>
      </w:r>
      <w:r w:rsidR="00EB0D97" w:rsidRPr="00823C09">
        <w:rPr>
          <w:rFonts w:ascii="Arial" w:eastAsia="Calibri" w:hAnsi="Arial" w:cs="Arial"/>
          <w:b/>
          <w:bCs/>
          <w:kern w:val="2"/>
          <w14:ligatures w14:val="standardContextual"/>
        </w:rPr>
        <w:t xml:space="preserve"> 1. Operationalization of Research Variables</w:t>
      </w:r>
    </w:p>
    <w:tbl>
      <w:tblPr>
        <w:tblW w:w="846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1173"/>
        <w:gridCol w:w="2551"/>
        <w:gridCol w:w="1571"/>
        <w:gridCol w:w="1517"/>
      </w:tblGrid>
      <w:tr w:rsidR="00EB0D97" w:rsidRPr="00823C09" w14:paraId="462F60ED" w14:textId="77777777" w:rsidTr="00EB0D97">
        <w:trPr>
          <w:tblHeader/>
          <w:tblCellSpacing w:w="15" w:type="dxa"/>
        </w:trPr>
        <w:tc>
          <w:tcPr>
            <w:tcW w:w="0" w:type="auto"/>
            <w:vAlign w:val="center"/>
            <w:hideMark/>
          </w:tcPr>
          <w:p w14:paraId="2C423E03"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Variable</w:t>
            </w:r>
          </w:p>
        </w:tc>
        <w:tc>
          <w:tcPr>
            <w:tcW w:w="0" w:type="auto"/>
            <w:vAlign w:val="center"/>
            <w:hideMark/>
          </w:tcPr>
          <w:p w14:paraId="0451C8F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Type</w:t>
            </w:r>
          </w:p>
        </w:tc>
        <w:tc>
          <w:tcPr>
            <w:tcW w:w="2521" w:type="dxa"/>
            <w:vAlign w:val="center"/>
            <w:hideMark/>
          </w:tcPr>
          <w:p w14:paraId="50977755"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Indicators/Dimensions</w:t>
            </w:r>
          </w:p>
        </w:tc>
        <w:tc>
          <w:tcPr>
            <w:tcW w:w="1541" w:type="dxa"/>
            <w:vAlign w:val="center"/>
            <w:hideMark/>
          </w:tcPr>
          <w:p w14:paraId="5DC9DC4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Data Sources</w:t>
            </w:r>
          </w:p>
        </w:tc>
        <w:tc>
          <w:tcPr>
            <w:tcW w:w="0" w:type="auto"/>
            <w:vAlign w:val="center"/>
            <w:hideMark/>
          </w:tcPr>
          <w:p w14:paraId="24149F4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Analytical Technique</w:t>
            </w:r>
          </w:p>
        </w:tc>
      </w:tr>
      <w:tr w:rsidR="00EB0D97" w:rsidRPr="00823C09" w14:paraId="4F0D7AA3" w14:textId="77777777" w:rsidTr="00EB0D97">
        <w:trPr>
          <w:tblCellSpacing w:w="15" w:type="dxa"/>
        </w:trPr>
        <w:tc>
          <w:tcPr>
            <w:tcW w:w="0" w:type="auto"/>
            <w:tcBorders>
              <w:top w:val="single" w:sz="4" w:space="0" w:color="auto"/>
              <w:bottom w:val="nil"/>
            </w:tcBorders>
            <w:hideMark/>
          </w:tcPr>
          <w:p w14:paraId="22A640C9"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Environmental Resilience Index (ERI)</w:t>
            </w:r>
          </w:p>
        </w:tc>
        <w:tc>
          <w:tcPr>
            <w:tcW w:w="0" w:type="auto"/>
            <w:tcBorders>
              <w:top w:val="single" w:sz="4" w:space="0" w:color="auto"/>
              <w:bottom w:val="nil"/>
            </w:tcBorders>
            <w:hideMark/>
          </w:tcPr>
          <w:p w14:paraId="5F102CF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Dependent</w:t>
            </w:r>
          </w:p>
        </w:tc>
        <w:tc>
          <w:tcPr>
            <w:tcW w:w="2521" w:type="dxa"/>
            <w:tcBorders>
              <w:top w:val="single" w:sz="4" w:space="0" w:color="auto"/>
              <w:bottom w:val="nil"/>
            </w:tcBorders>
            <w:hideMark/>
          </w:tcPr>
          <w:p w14:paraId="0A991629"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Official ERI score set by </w:t>
            </w:r>
            <w:proofErr w:type="spellStart"/>
            <w:r w:rsidRPr="00823C09">
              <w:rPr>
                <w:rFonts w:ascii="Arial" w:eastAsia="Calibri" w:hAnsi="Arial" w:cs="Arial"/>
                <w:kern w:val="2"/>
                <w14:ligatures w14:val="standardContextual"/>
              </w:rPr>
              <w:t>Kemendes</w:t>
            </w:r>
            <w:proofErr w:type="spellEnd"/>
            <w:r w:rsidRPr="00823C09">
              <w:rPr>
                <w:rFonts w:ascii="Arial" w:eastAsia="Calibri" w:hAnsi="Arial" w:cs="Arial"/>
                <w:kern w:val="2"/>
                <w14:ligatures w14:val="standardContextual"/>
              </w:rPr>
              <w:t xml:space="preserve"> PDTT documents</w:t>
            </w:r>
          </w:p>
        </w:tc>
        <w:tc>
          <w:tcPr>
            <w:tcW w:w="1541" w:type="dxa"/>
            <w:tcBorders>
              <w:top w:val="single" w:sz="4" w:space="0" w:color="auto"/>
              <w:bottom w:val="nil"/>
            </w:tcBorders>
            <w:hideMark/>
          </w:tcPr>
          <w:p w14:paraId="2DF3D8FF" w14:textId="77777777" w:rsidR="00EB0D97" w:rsidRPr="00823C09" w:rsidRDefault="00345307" w:rsidP="00622749">
            <w:pPr>
              <w:rPr>
                <w:rFonts w:ascii="Arial" w:eastAsia="Calibri" w:hAnsi="Arial" w:cs="Arial"/>
                <w:kern w:val="2"/>
                <w14:ligatures w14:val="standardContextual"/>
              </w:rPr>
            </w:pPr>
            <w:sdt>
              <w:sdtPr>
                <w:rPr>
                  <w:rFonts w:ascii="Arial" w:eastAsia="Calibri" w:hAnsi="Arial" w:cs="Arial"/>
                  <w:color w:val="000000"/>
                  <w:kern w:val="2"/>
                  <w14:ligatures w14:val="standardContextual"/>
                </w:rPr>
                <w:tag w:val="MENDELEY_CITATION_v3_eyJjaXRhdGlvbklEIjoiTUVOREVMRVlfQ0lUQVRJT05fNWIyOTM5YzYtMzQyNy00N2M4LThlZWQtYTQ1ODJiMGU5Mjg4IiwicHJvcGVydGllcyI6eyJub3RlSW5kZXgiOjB9LCJpc0VkaXRlZCI6ZmFsc2UsIm1hbnVhbE92ZXJyaWRlIjp7ImlzTWFudWFsbHlPdmVycmlkZGVuIjp0cnVlLCJjaXRlcHJvY1RleHQiOiIoS2VtZW5kZXMgUERUVCwgMjAyMywgMjAyNCkiLCJtYW51YWxPdmVycmlkZVRleHQiOiJLZW1lbmRlcyBQRFRULCAyMDIzLCAyMDI0In0sImNpdGF0aW9uSXRlbXMiOlt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2003952798"/>
                <w:placeholder>
                  <w:docPart w:val="FD2120E1B2FC41E58C65BA739CC79D90"/>
                </w:placeholder>
              </w:sdtPr>
              <w:sdtEndPr/>
              <w:sdtContent>
                <w:proofErr w:type="spellStart"/>
                <w:r w:rsidR="00EB0D97" w:rsidRPr="00823C09">
                  <w:rPr>
                    <w:rFonts w:ascii="Arial" w:eastAsia="Calibri" w:hAnsi="Arial" w:cs="Arial"/>
                    <w:color w:val="000000"/>
                    <w:kern w:val="2"/>
                    <w14:ligatures w14:val="standardContextual"/>
                  </w:rPr>
                  <w:t>Kemendes</w:t>
                </w:r>
                <w:proofErr w:type="spellEnd"/>
                <w:r w:rsidR="00EB0D97" w:rsidRPr="00823C09">
                  <w:rPr>
                    <w:rFonts w:ascii="Arial" w:eastAsia="Calibri" w:hAnsi="Arial" w:cs="Arial"/>
                    <w:color w:val="000000"/>
                    <w:kern w:val="2"/>
                    <w14:ligatures w14:val="standardContextual"/>
                  </w:rPr>
                  <w:t xml:space="preserve"> PDTT, 2023, 2024</w:t>
                </w:r>
              </w:sdtContent>
            </w:sdt>
          </w:p>
        </w:tc>
        <w:tc>
          <w:tcPr>
            <w:tcW w:w="0" w:type="auto"/>
            <w:tcBorders>
              <w:top w:val="single" w:sz="4" w:space="0" w:color="auto"/>
              <w:bottom w:val="nil"/>
            </w:tcBorders>
            <w:hideMark/>
          </w:tcPr>
          <w:p w14:paraId="7ED867A7"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6DFF2918" w14:textId="77777777" w:rsidTr="00EB0D97">
        <w:trPr>
          <w:tblCellSpacing w:w="15" w:type="dxa"/>
        </w:trPr>
        <w:tc>
          <w:tcPr>
            <w:tcW w:w="0" w:type="auto"/>
            <w:hideMark/>
          </w:tcPr>
          <w:p w14:paraId="53269A8D"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2 – Zero Hunger</w:t>
            </w:r>
          </w:p>
        </w:tc>
        <w:tc>
          <w:tcPr>
            <w:tcW w:w="0" w:type="auto"/>
            <w:hideMark/>
          </w:tcPr>
          <w:p w14:paraId="0B03FD2D"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331454AE"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Food security level; community access to local food resources; utilization of agricultural land, forests, water</w:t>
            </w:r>
          </w:p>
        </w:tc>
        <w:tc>
          <w:tcPr>
            <w:tcW w:w="1541" w:type="dxa"/>
            <w:hideMark/>
          </w:tcPr>
          <w:p w14:paraId="2E016CEE" w14:textId="77777777" w:rsidR="00EB0D97" w:rsidRPr="00823C09" w:rsidRDefault="00345307" w:rsidP="00622749">
            <w:pPr>
              <w:rPr>
                <w:rFonts w:ascii="Arial" w:eastAsia="Calibri" w:hAnsi="Arial" w:cs="Arial"/>
                <w:kern w:val="2"/>
                <w14:ligatures w14:val="standardContextual"/>
              </w:rPr>
            </w:pPr>
            <w:sdt>
              <w:sdtPr>
                <w:rPr>
                  <w:rFonts w:ascii="Arial" w:eastAsia="Calibri" w:hAnsi="Arial" w:cs="Arial"/>
                  <w:color w:val="000000"/>
                  <w:kern w:val="2"/>
                  <w14:ligatures w14:val="standardContextual"/>
                </w:rPr>
                <w:tag w:val="MENDELEY_CITATION_v3_eyJjaXRhdGlvbklEIjoiTUVOREVMRVlfQ0lUQVRJT05fMDBiNmEyYjYtYmRhMi00NTI2LTliMmUtNGRkZWJlZDY5OTVh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743367822"/>
                <w:placeholder>
                  <w:docPart w:val="FD2120E1B2FC41E58C65BA739CC79D90"/>
                </w:placeholder>
              </w:sdtPr>
              <w:sdtEndPr/>
              <w:sdtContent>
                <w:r w:rsidR="00EB0D97" w:rsidRPr="00823C09">
                  <w:rPr>
                    <w:rFonts w:ascii="Arial" w:eastAsia="Calibri" w:hAnsi="Arial" w:cs="Arial"/>
                    <w:color w:val="000000"/>
                    <w:kern w:val="2"/>
                    <w14:ligatures w14:val="standardContextual"/>
                  </w:rPr>
                  <w:t>(</w:t>
                </w:r>
                <w:proofErr w:type="spellStart"/>
                <w:r w:rsidR="00EB0D97" w:rsidRPr="00823C09">
                  <w:rPr>
                    <w:rFonts w:ascii="Arial" w:eastAsia="Calibri" w:hAnsi="Arial" w:cs="Arial"/>
                    <w:color w:val="000000"/>
                    <w:kern w:val="2"/>
                    <w14:ligatures w14:val="standardContextual"/>
                  </w:rPr>
                  <w:t>Kemendes</w:t>
                </w:r>
                <w:proofErr w:type="spellEnd"/>
                <w:r w:rsidR="00EB0D97" w:rsidRPr="00823C09">
                  <w:rPr>
                    <w:rFonts w:ascii="Arial" w:eastAsia="Calibri" w:hAnsi="Arial" w:cs="Arial"/>
                    <w:color w:val="000000"/>
                    <w:kern w:val="2"/>
                    <w14:ligatures w14:val="standardContextual"/>
                  </w:rPr>
                  <w:t xml:space="preserve"> PDTT, 2023</w:t>
                </w:r>
              </w:sdtContent>
            </w:sdt>
          </w:p>
        </w:tc>
        <w:tc>
          <w:tcPr>
            <w:tcW w:w="0" w:type="auto"/>
            <w:hideMark/>
          </w:tcPr>
          <w:p w14:paraId="07BCB883"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42D29E4B" w14:textId="77777777" w:rsidTr="00EB0D97">
        <w:trPr>
          <w:tblCellSpacing w:w="15" w:type="dxa"/>
        </w:trPr>
        <w:tc>
          <w:tcPr>
            <w:tcW w:w="0" w:type="auto"/>
            <w:hideMark/>
          </w:tcPr>
          <w:p w14:paraId="70D85DB3"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6 – Clean Water and Sanitation</w:t>
            </w:r>
          </w:p>
        </w:tc>
        <w:tc>
          <w:tcPr>
            <w:tcW w:w="0" w:type="auto"/>
            <w:hideMark/>
          </w:tcPr>
          <w:p w14:paraId="378F9018"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1997AA2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Household access to clean water; availability of adequate sanitation facilities; water resource management</w:t>
            </w:r>
          </w:p>
        </w:tc>
        <w:sdt>
          <w:sdtPr>
            <w:rPr>
              <w:rFonts w:ascii="Arial" w:eastAsia="Calibri" w:hAnsi="Arial" w:cs="Arial"/>
              <w:color w:val="000000"/>
              <w:kern w:val="2"/>
              <w14:ligatures w14:val="standardContextual"/>
            </w:rPr>
            <w:tag w:val="MENDELEY_CITATION_v3_eyJjaXRhdGlvbklEIjoiTUVOREVMRVlfQ0lUQVRJT05fNjE1MDgxZGEtOTljZS00MTRkLWIxZDQtZmUzMTUwNmIyMThi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31323211"/>
            <w:placeholder>
              <w:docPart w:val="FD2120E1B2FC41E58C65BA739CC79D90"/>
            </w:placeholder>
          </w:sdtPr>
          <w:sdtEndPr/>
          <w:sdtContent>
            <w:tc>
              <w:tcPr>
                <w:tcW w:w="1541" w:type="dxa"/>
                <w:hideMark/>
              </w:tcPr>
              <w:p w14:paraId="6A66A3C7"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w:t>
                </w:r>
              </w:p>
            </w:tc>
          </w:sdtContent>
        </w:sdt>
        <w:tc>
          <w:tcPr>
            <w:tcW w:w="0" w:type="auto"/>
            <w:hideMark/>
          </w:tcPr>
          <w:p w14:paraId="7EA609CB"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4E085F54" w14:textId="77777777" w:rsidTr="00EB0D97">
        <w:trPr>
          <w:tblCellSpacing w:w="15" w:type="dxa"/>
        </w:trPr>
        <w:tc>
          <w:tcPr>
            <w:tcW w:w="0" w:type="auto"/>
            <w:hideMark/>
          </w:tcPr>
          <w:p w14:paraId="250F6C4E"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10 – Reduced Inequalities</w:t>
            </w:r>
          </w:p>
        </w:tc>
        <w:tc>
          <w:tcPr>
            <w:tcW w:w="0" w:type="auto"/>
            <w:hideMark/>
          </w:tcPr>
          <w:p w14:paraId="5BBAA3A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222459A4"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Distribution of basic services (education, health, infrastructure); socio-economic inequality; access of vulnerable groups to resources</w:t>
            </w:r>
          </w:p>
        </w:tc>
        <w:sdt>
          <w:sdtPr>
            <w:rPr>
              <w:rFonts w:ascii="Arial" w:eastAsia="Calibri" w:hAnsi="Arial" w:cs="Arial"/>
              <w:color w:val="000000"/>
              <w:kern w:val="2"/>
              <w14:ligatures w14:val="standardContextual"/>
            </w:rPr>
            <w:tag w:val="MENDELEY_CITATION_v3_eyJjaXRhdGlvbklEIjoiTUVOREVMRVlfQ0lUQVRJT05fODlmZDNlYTUtYzdlMi00NDA5LWE0NDItNmZjMGI4MzljOTli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064913828"/>
            <w:placeholder>
              <w:docPart w:val="FD2120E1B2FC41E58C65BA739CC79D90"/>
            </w:placeholder>
          </w:sdtPr>
          <w:sdtEndPr/>
          <w:sdtContent>
            <w:tc>
              <w:tcPr>
                <w:tcW w:w="1541" w:type="dxa"/>
                <w:hideMark/>
              </w:tcPr>
              <w:p w14:paraId="678FAF9C"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w:t>
                </w:r>
              </w:p>
            </w:tc>
          </w:sdtContent>
        </w:sdt>
        <w:tc>
          <w:tcPr>
            <w:tcW w:w="0" w:type="auto"/>
            <w:hideMark/>
          </w:tcPr>
          <w:p w14:paraId="0E50D50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bl>
    <w:p w14:paraId="323DFCCC" w14:textId="77777777" w:rsidR="00EB0D97" w:rsidRPr="00823C09" w:rsidRDefault="00EB0D97" w:rsidP="00EB0D97">
      <w:pPr>
        <w:spacing w:after="160" w:line="278" w:lineRule="auto"/>
        <w:jc w:val="both"/>
        <w:rPr>
          <w:rFonts w:ascii="Arial" w:eastAsia="Calibri" w:hAnsi="Arial" w:cs="Arial"/>
          <w:kern w:val="2"/>
          <w14:ligatures w14:val="standardContextual"/>
        </w:rPr>
      </w:pPr>
    </w:p>
    <w:p w14:paraId="1839BD07" w14:textId="77777777" w:rsidR="00902823" w:rsidRPr="00823C09" w:rsidRDefault="00000F8F" w:rsidP="00441B6F">
      <w:pPr>
        <w:pStyle w:val="Head1"/>
        <w:spacing w:after="0"/>
        <w:jc w:val="both"/>
        <w:rPr>
          <w:rFonts w:ascii="Arial" w:hAnsi="Arial" w:cs="Arial"/>
        </w:rPr>
      </w:pPr>
      <w:r w:rsidRPr="00823C09">
        <w:rPr>
          <w:rFonts w:ascii="Arial" w:hAnsi="Arial" w:cs="Arial"/>
        </w:rPr>
        <w:t>3</w:t>
      </w:r>
      <w:r w:rsidR="00902823" w:rsidRPr="00823C09">
        <w:rPr>
          <w:rFonts w:ascii="Arial" w:hAnsi="Arial" w:cs="Arial"/>
        </w:rPr>
        <w:t xml:space="preserve">. </w:t>
      </w:r>
      <w:r w:rsidRPr="00823C09">
        <w:rPr>
          <w:rFonts w:ascii="Arial" w:hAnsi="Arial" w:cs="Arial"/>
        </w:rPr>
        <w:t>results and discussion</w:t>
      </w:r>
    </w:p>
    <w:p w14:paraId="4FA422D7" w14:textId="77777777" w:rsidR="00E053D0" w:rsidRPr="00823C09" w:rsidRDefault="00E053D0" w:rsidP="00441B6F">
      <w:pPr>
        <w:pStyle w:val="Body"/>
        <w:spacing w:after="0"/>
        <w:rPr>
          <w:rFonts w:ascii="Arial" w:hAnsi="Arial" w:cs="Arial"/>
        </w:rPr>
      </w:pPr>
    </w:p>
    <w:p w14:paraId="5F04001A" w14:textId="5E5321CC" w:rsidR="00DF166D" w:rsidRPr="00823C09" w:rsidRDefault="00DF166D" w:rsidP="00DF166D">
      <w:pPr>
        <w:spacing w:after="160" w:line="278" w:lineRule="auto"/>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3.1 Environmental Resilience</w:t>
      </w:r>
    </w:p>
    <w:p w14:paraId="3784BC96"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Environmental Resilience Index (ERI) is an integral part of the Village Development Index (VDI),</w:t>
      </w:r>
      <w:r w:rsidRPr="00823C09">
        <w:rPr>
          <w:rFonts w:ascii="Arial" w:eastAsia="Calibri" w:hAnsi="Arial" w:cs="Arial"/>
          <w:i/>
          <w:iCs/>
          <w:kern w:val="2"/>
          <w14:ligatures w14:val="standardContextual"/>
        </w:rPr>
        <w:t xml:space="preserve"> </w:t>
      </w:r>
      <w:r w:rsidRPr="00823C09">
        <w:rPr>
          <w:rFonts w:ascii="Arial" w:eastAsia="Calibri" w:hAnsi="Arial" w:cs="Arial"/>
          <w:kern w:val="2"/>
          <w14:ligatures w14:val="standardContextual"/>
        </w:rPr>
        <w:t xml:space="preserve">which emphasizes environmental management and community sustainability </w:t>
      </w:r>
      <w:sdt>
        <w:sdtPr>
          <w:rPr>
            <w:rFonts w:ascii="Arial" w:eastAsia="Calibri" w:hAnsi="Arial" w:cs="Arial"/>
            <w:color w:val="000000"/>
            <w:kern w:val="2"/>
            <w14:ligatures w14:val="standardContextual"/>
          </w:rPr>
          <w:tag w:val="MENDELEY_CITATION_v3_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1dfQ=="/>
          <w:id w:val="1736739683"/>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2024)</w:t>
          </w:r>
        </w:sdtContent>
      </w:sdt>
      <w:r w:rsidRPr="00823C09">
        <w:rPr>
          <w:rFonts w:ascii="Arial" w:eastAsia="Calibri" w:hAnsi="Arial" w:cs="Arial"/>
          <w:kern w:val="2"/>
          <w14:ligatures w14:val="standardContextual"/>
        </w:rPr>
        <w:t xml:space="preserve">. This index is essential for assessing village resilience to environmental degradation and preparedness in facing ecological crises. This study showed that 16 villages are categorized as “very underdeveloped,” with an average of ERI score of 67.18 ± 2.25. Meanwhile, 12 villages fall into the “underdeveloped” category, with an ERI average score of 65.56 ± 1.61 (Table 1). Overall, the difference between the two categories is relatively small. Interestingly, some villages classified as very underdeveloped recorded high </w:t>
      </w:r>
      <w:r w:rsidRPr="00823C09">
        <w:rPr>
          <w:rFonts w:ascii="Arial" w:eastAsia="Calibri" w:hAnsi="Arial" w:cs="Arial"/>
          <w:kern w:val="2"/>
          <w14:ligatures w14:val="standardContextual"/>
        </w:rPr>
        <w:lastRenderedPageBreak/>
        <w:t xml:space="preserve">ERI scores, such as </w:t>
      </w: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(86.67)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(80). This highlights that local well-being is not solely determined by administrative status but also by socio-ecological factors, resource availability, and institutional support.</w:t>
      </w:r>
    </w:p>
    <w:p w14:paraId="7A43A9D8" w14:textId="77777777" w:rsidR="00DF166D" w:rsidRPr="00823C09" w:rsidRDefault="00DF166D" w:rsidP="00622749">
      <w:pPr>
        <w:spacing w:after="160"/>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Table 1. Average Environmental Resilience Index by Village Status in </w:t>
      </w:r>
      <w:proofErr w:type="spellStart"/>
      <w:r w:rsidRPr="00823C09">
        <w:rPr>
          <w:rFonts w:ascii="Arial" w:eastAsia="Calibri" w:hAnsi="Arial" w:cs="Arial"/>
          <w:b/>
          <w:bCs/>
          <w:kern w:val="2"/>
          <w14:ligatures w14:val="standardContextual"/>
        </w:rPr>
        <w:t>Manokwari</w:t>
      </w:r>
      <w:proofErr w:type="spellEnd"/>
      <w:r w:rsidRPr="00823C09">
        <w:rPr>
          <w:rFonts w:ascii="Arial" w:eastAsia="Calibri" w:hAnsi="Arial" w:cs="Arial"/>
          <w:b/>
          <w:bCs/>
          <w:kern w:val="2"/>
          <w14:ligatures w14:val="standardContextual"/>
        </w:rPr>
        <w:t xml:space="preserve"> District, West Papua, Indonesia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9"/>
        <w:gridCol w:w="2482"/>
        <w:gridCol w:w="1984"/>
        <w:gridCol w:w="1487"/>
      </w:tblGrid>
      <w:tr w:rsidR="00DF166D" w:rsidRPr="00823C09" w14:paraId="34835105" w14:textId="77777777" w:rsidTr="00DE61CD">
        <w:trPr>
          <w:tblHeader/>
          <w:tblCellSpacing w:w="15" w:type="dxa"/>
        </w:trPr>
        <w:tc>
          <w:tcPr>
            <w:tcW w:w="0" w:type="auto"/>
            <w:hideMark/>
          </w:tcPr>
          <w:p w14:paraId="10D7BE21"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Status</w:t>
            </w:r>
          </w:p>
        </w:tc>
        <w:tc>
          <w:tcPr>
            <w:tcW w:w="2452" w:type="dxa"/>
            <w:hideMark/>
          </w:tcPr>
          <w:p w14:paraId="3FA5B8CD"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Number of Villages</w:t>
            </w:r>
          </w:p>
        </w:tc>
        <w:tc>
          <w:tcPr>
            <w:tcW w:w="1954" w:type="dxa"/>
            <w:hideMark/>
          </w:tcPr>
          <w:p w14:paraId="53AF6EE2"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Average (%)</w:t>
            </w:r>
          </w:p>
        </w:tc>
        <w:tc>
          <w:tcPr>
            <w:tcW w:w="0" w:type="auto"/>
            <w:hideMark/>
          </w:tcPr>
          <w:p w14:paraId="0C3DA8D9"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Standard Error </w:t>
            </w:r>
          </w:p>
        </w:tc>
      </w:tr>
      <w:tr w:rsidR="00DF166D" w:rsidRPr="00823C09" w14:paraId="33DECA6E" w14:textId="77777777" w:rsidTr="00DE61CD">
        <w:trPr>
          <w:tblCellSpacing w:w="15" w:type="dxa"/>
        </w:trPr>
        <w:tc>
          <w:tcPr>
            <w:tcW w:w="0" w:type="auto"/>
            <w:tcBorders>
              <w:top w:val="single" w:sz="4" w:space="0" w:color="auto"/>
              <w:bottom w:val="nil"/>
            </w:tcBorders>
            <w:hideMark/>
          </w:tcPr>
          <w:p w14:paraId="2CC7EB88"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2452" w:type="dxa"/>
            <w:tcBorders>
              <w:top w:val="single" w:sz="4" w:space="0" w:color="auto"/>
              <w:bottom w:val="nil"/>
            </w:tcBorders>
            <w:hideMark/>
          </w:tcPr>
          <w:p w14:paraId="0CA39B86"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w:t>
            </w:r>
          </w:p>
        </w:tc>
        <w:tc>
          <w:tcPr>
            <w:tcW w:w="1954" w:type="dxa"/>
            <w:tcBorders>
              <w:top w:val="single" w:sz="4" w:space="0" w:color="auto"/>
              <w:bottom w:val="nil"/>
            </w:tcBorders>
            <w:hideMark/>
          </w:tcPr>
          <w:p w14:paraId="7B92125B"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67.18</w:t>
            </w:r>
          </w:p>
        </w:tc>
        <w:tc>
          <w:tcPr>
            <w:tcW w:w="0" w:type="auto"/>
            <w:tcBorders>
              <w:top w:val="single" w:sz="4" w:space="0" w:color="auto"/>
              <w:bottom w:val="nil"/>
            </w:tcBorders>
            <w:hideMark/>
          </w:tcPr>
          <w:p w14:paraId="2DD7337B"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2.25</w:t>
            </w:r>
          </w:p>
        </w:tc>
      </w:tr>
      <w:tr w:rsidR="00DF166D" w:rsidRPr="00823C09" w14:paraId="5AF2B66C" w14:textId="77777777" w:rsidTr="00DE61CD">
        <w:trPr>
          <w:tblCellSpacing w:w="15" w:type="dxa"/>
        </w:trPr>
        <w:tc>
          <w:tcPr>
            <w:tcW w:w="0" w:type="auto"/>
            <w:hideMark/>
          </w:tcPr>
          <w:p w14:paraId="0508A226"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2452" w:type="dxa"/>
            <w:hideMark/>
          </w:tcPr>
          <w:p w14:paraId="37414A85"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12</w:t>
            </w:r>
          </w:p>
        </w:tc>
        <w:tc>
          <w:tcPr>
            <w:tcW w:w="1954" w:type="dxa"/>
            <w:hideMark/>
          </w:tcPr>
          <w:p w14:paraId="5ED4AB6D"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65.56</w:t>
            </w:r>
          </w:p>
        </w:tc>
        <w:tc>
          <w:tcPr>
            <w:tcW w:w="0" w:type="auto"/>
            <w:hideMark/>
          </w:tcPr>
          <w:p w14:paraId="1FC17002"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1.61</w:t>
            </w:r>
          </w:p>
        </w:tc>
      </w:tr>
    </w:tbl>
    <w:p w14:paraId="2C4D21D4"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i/>
          <w:iCs/>
          <w:kern w:val="2"/>
          <w14:ligatures w14:val="standardContextual"/>
        </w:rPr>
        <w:t xml:space="preserve">Source: Processed from SID </w:t>
      </w:r>
      <w:proofErr w:type="spellStart"/>
      <w:r w:rsidRPr="00823C09">
        <w:rPr>
          <w:rFonts w:ascii="Arial" w:eastAsia="Calibri" w:hAnsi="Arial" w:cs="Arial"/>
          <w:i/>
          <w:iCs/>
          <w:kern w:val="2"/>
          <w14:ligatures w14:val="standardContextual"/>
        </w:rPr>
        <w:t>Kemendes</w:t>
      </w:r>
      <w:proofErr w:type="spellEnd"/>
      <w:r w:rsidRPr="00823C09">
        <w:rPr>
          <w:rFonts w:ascii="Arial" w:eastAsia="Calibri" w:hAnsi="Arial" w:cs="Arial"/>
          <w:i/>
          <w:iCs/>
          <w:kern w:val="2"/>
          <w14:ligatures w14:val="standardContextual"/>
        </w:rPr>
        <w:t>, 2023.</w:t>
      </w:r>
    </w:p>
    <w:p w14:paraId="732D4D71" w14:textId="2EA05FD4"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This phenomenon is consistent with the analysis of </w:t>
      </w:r>
      <w:sdt>
        <w:sdtPr>
          <w:rPr>
            <w:rFonts w:ascii="Arial" w:eastAsia="Calibri" w:hAnsi="Arial" w:cs="Arial"/>
            <w:color w:val="000000"/>
            <w:kern w:val="2"/>
            <w14:ligatures w14:val="standardContextual"/>
          </w:rPr>
          <w:tag w:val="MENDELEY_CITATION_v3_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"/>
          <w:id w:val="1553888337"/>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Berhanu</w:t>
          </w:r>
          <w:proofErr w:type="spellEnd"/>
          <w:r w:rsidRPr="00823C09">
            <w:rPr>
              <w:rFonts w:ascii="Arial" w:eastAsia="Calibri" w:hAnsi="Arial" w:cs="Arial"/>
              <w:color w:val="000000"/>
              <w:kern w:val="2"/>
              <w14:ligatures w14:val="standardContextual"/>
            </w:rPr>
            <w:t xml:space="preserve"> et al., (2022)</w:t>
          </w:r>
        </w:sdtContent>
      </w:sdt>
      <w:r w:rsidRPr="00823C09">
        <w:rPr>
          <w:rFonts w:ascii="Arial" w:eastAsia="Calibri" w:hAnsi="Arial" w:cs="Arial"/>
          <w:kern w:val="2"/>
          <w14:ligatures w14:val="standardContextual"/>
        </w:rPr>
        <w:t>, which emphasizes the importance of the “asset-based livelihood framework.” According to this framework, rural well-being is not defined merely by formal categories but is shaped by local social, natural, and institutional assets. Thus, even if a village is classified as very underdeveloped, the presence of such assets can enhance community welfare. Research in Indonesia supports this finding.</w:t>
      </w:r>
      <w:sdt>
        <w:sdtPr>
          <w:rPr>
            <w:rFonts w:ascii="Arial" w:eastAsia="Calibri" w:hAnsi="Arial" w:cs="Arial"/>
            <w:color w:val="000000"/>
            <w:kern w:val="2"/>
            <w14:ligatures w14:val="standardContextual"/>
          </w:rPr>
          <w:tag w:val="MENDELEY_CITATION_v3_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"/>
          <w:id w:val="-426422823"/>
          <w:placeholder>
            <w:docPart w:val="19129F14316A40C2B5B8AB2D5763CB7D"/>
          </w:placeholder>
        </w:sdtPr>
        <w:sdtEndPr/>
        <w:sdtContent>
          <w:r w:rsidRPr="00823C09">
            <w:rPr>
              <w:rFonts w:ascii="Arial" w:eastAsia="Calibri" w:hAnsi="Arial" w:cs="Arial"/>
              <w:color w:val="000000"/>
              <w:kern w:val="2"/>
              <w14:ligatures w14:val="standardContextual"/>
            </w:rPr>
            <w:t xml:space="preserve">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demonstrated that village well-being indices are more influenced by access to education, markets, and social infrastructure than by administrative status alone. This explains why some very underdeveloped villages achieved higher ERI scores compared to those classified as underdeveloped.  Furthermore, </w:t>
      </w:r>
      <w:sdt>
        <w:sdtPr>
          <w:rPr>
            <w:rFonts w:ascii="Arial" w:eastAsia="Calibri" w:hAnsi="Arial" w:cs="Arial"/>
            <w:color w:val="000000"/>
            <w:kern w:val="2"/>
            <w14:ligatures w14:val="standardContextual"/>
          </w:rPr>
          <w:tag w:val="MENDELEY_CITATION_v3_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"/>
          <w:id w:val="-1201934509"/>
          <w:placeholder>
            <w:docPart w:val="19129F14316A40C2B5B8AB2D5763CB7D"/>
          </w:placeholder>
        </w:sdtPr>
        <w:sdtEndPr/>
        <w:sdtContent>
          <w:r w:rsidRPr="00823C09">
            <w:rPr>
              <w:rFonts w:ascii="Arial" w:eastAsia="Calibri" w:hAnsi="Arial" w:cs="Arial"/>
              <w:color w:val="000000"/>
              <w:kern w:val="2"/>
              <w14:ligatures w14:val="standardContextual"/>
            </w:rPr>
            <w:t>Li et al., (2019)</w:t>
          </w:r>
        </w:sdtContent>
      </w:sdt>
      <w:r w:rsidRPr="00823C09">
        <w:rPr>
          <w:rFonts w:ascii="Arial" w:eastAsia="Calibri" w:hAnsi="Arial" w:cs="Arial"/>
          <w:kern w:val="2"/>
          <w14:ligatures w14:val="standardContextual"/>
        </w:rPr>
        <w:t xml:space="preserve"> confirmed that underdeveloped classifications often fail to fully represent the actual condition of rural communities. Their study found that community adaptation to socio-economic change plays an essential role in shaping levels of well-being. This aligns with the findings in Table 1, where substantial variation exists within the same category.</w:t>
      </w:r>
    </w:p>
    <w:p w14:paraId="39EEF688" w14:textId="0A571ECB"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From a policy perspective, the Ministry of Villages, Development of Disadvantaged Regions, and Transmigration has also highlighted that locally driven, asset-based development is far more effective than uniform, top-down approaches. Such a strategy emphasizes the utilization of natural and social potentials that differ across villages, thereby achieving more sustainable and context-sensitive outcomes.  From this analysis, three key insights emerge. First, administrative classification does not always reflect the actual welfare conditions of communities. Second, local assets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including natural resources, social capital, and institutions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are critical determinants of resilience and well-being. Third, both international </w:t>
      </w:r>
      <w:sdt>
        <w:sdtPr>
          <w:rPr>
            <w:rFonts w:ascii="Arial" w:eastAsia="Calibri" w:hAnsi="Arial" w:cs="Arial"/>
            <w:color w:val="000000"/>
            <w:kern w:val="2"/>
            <w14:ligatures w14:val="standardContextual"/>
          </w:rPr>
          <w:tag w:val="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"/>
          <w:id w:val="750386827"/>
          <w:placeholder>
            <w:docPart w:val="19129F14316A40C2B5B8AB2D5763CB7D"/>
          </w:placeholder>
        </w:sdtPr>
        <w:sdtEndPr/>
        <w:sdtContent>
          <w:r w:rsidRPr="00823C09">
            <w:rPr>
              <w:rFonts w:ascii="Arial" w:eastAsia="Calibri" w:hAnsi="Arial" w:cs="Arial"/>
              <w:color w:val="000000"/>
              <w:kern w:val="2"/>
              <w14:ligatures w14:val="standardContextual"/>
            </w:rPr>
            <w:t>(Chen et al., 2022; Kidane et al., 2019)</w:t>
          </w:r>
        </w:sdtContent>
      </w:sdt>
      <w:r w:rsidRPr="00823C09">
        <w:rPr>
          <w:rFonts w:ascii="Arial" w:eastAsia="Calibri" w:hAnsi="Arial" w:cs="Arial"/>
          <w:kern w:val="2"/>
          <w14:ligatures w14:val="standardContextual"/>
        </w:rPr>
        <w:t xml:space="preserve"> and national </w:t>
      </w:r>
      <w:sdt>
        <w:sdtPr>
          <w:rPr>
            <w:rFonts w:ascii="Arial" w:eastAsia="Calibri" w:hAnsi="Arial" w:cs="Arial"/>
            <w:color w:val="000000"/>
            <w:kern w:val="2"/>
            <w14:ligatures w14:val="standardContextual"/>
          </w:rPr>
          <w:tag w:val="MENDELEY_CITATION_v3_eyJjaXRhdGlvbklEIjoiTUVOREVMRVlfQ0lUQVRJT05fOTNhMzYxNjEtNGNiNy00NzU5LTk1NDQtOTJkNjlkYTA3ZDgyIiwicHJvcGVydGllcyI6eyJub3RlSW5kZXgiOjB9LCJpc0VkaXRlZCI6ZmFsc2UsIm1hbnVhbE92ZXJyaWRlIjp7ImlzTWFudWFsbHlPdmVycmlkZGVuIjpmYWxzZSwiY2l0ZXByb2NUZXh0IjoiKEtlbWVuZGVzIFBEVFQsIDIwMjM7I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635707940"/>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literature strongly support these findings, underscoring the need for locally adapted, asset-based rural development strategies.</w:t>
      </w:r>
    </w:p>
    <w:p w14:paraId="1F7489E3" w14:textId="0154514A" w:rsidR="00DF166D" w:rsidRPr="00823C09" w:rsidRDefault="00DF166D" w:rsidP="00622749">
      <w:pPr>
        <w:spacing w:after="160"/>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3.2 Sustainable Development Goals (SDGs)</w:t>
      </w:r>
    </w:p>
    <w:p w14:paraId="54DA9212"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Village-level SDGs serve as planning and monitoring tools to ensure that rural development efforts are well-targeted and aligned with the national sustainable development agenda. Table 2 presents the average scores of SDG 2 (Zero Hunger), SDG 6 (Clean Water and Sanitation), and SDG 10 (Reduced Inequality) from 28 villages across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districts. All villages fall under the very underdeveloped or underdeveloped classifications based on VDI. These indicators reflect food security, access to water and sanitation, and equity in social services.</w:t>
      </w:r>
    </w:p>
    <w:p w14:paraId="223E5912" w14:textId="77777777" w:rsidR="00622749" w:rsidRPr="00823C09" w:rsidRDefault="00622749" w:rsidP="00622749">
      <w:pPr>
        <w:spacing w:after="160"/>
        <w:jc w:val="both"/>
        <w:rPr>
          <w:rFonts w:ascii="Arial" w:eastAsia="Calibri" w:hAnsi="Arial" w:cs="Arial"/>
          <w:kern w:val="2"/>
          <w14:ligatures w14:val="standardContextual"/>
        </w:rPr>
      </w:pPr>
    </w:p>
    <w:p w14:paraId="0D1C3F44" w14:textId="77777777" w:rsidR="00622749" w:rsidRPr="00823C09" w:rsidRDefault="00622749" w:rsidP="00622749">
      <w:pPr>
        <w:spacing w:after="160"/>
        <w:jc w:val="both"/>
        <w:rPr>
          <w:rFonts w:ascii="Arial" w:eastAsia="Calibri" w:hAnsi="Arial" w:cs="Arial"/>
          <w:kern w:val="2"/>
          <w14:ligatures w14:val="standardContextual"/>
        </w:rPr>
      </w:pPr>
    </w:p>
    <w:p w14:paraId="602296C0" w14:textId="77777777" w:rsidR="00DF166D" w:rsidRPr="00823C09" w:rsidRDefault="00DF166D" w:rsidP="00622749">
      <w:pPr>
        <w:spacing w:after="160"/>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lastRenderedPageBreak/>
        <w:t xml:space="preserve">Table 2. SDG Scores by Village Status in </w:t>
      </w:r>
      <w:proofErr w:type="spellStart"/>
      <w:r w:rsidRPr="00823C09">
        <w:rPr>
          <w:rFonts w:ascii="Arial" w:eastAsia="Calibri" w:hAnsi="Arial" w:cs="Arial"/>
          <w:b/>
          <w:bCs/>
          <w:kern w:val="2"/>
          <w14:ligatures w14:val="standardContextual"/>
        </w:rPr>
        <w:t>Manokwari</w:t>
      </w:r>
      <w:proofErr w:type="spellEnd"/>
      <w:r w:rsidRPr="00823C09">
        <w:rPr>
          <w:rFonts w:ascii="Arial" w:eastAsia="Calibri" w:hAnsi="Arial" w:cs="Arial"/>
          <w:b/>
          <w:bCs/>
          <w:kern w:val="2"/>
          <w14:ligatures w14:val="standardContextual"/>
        </w:rPr>
        <w:t xml:space="preserve"> Regency, West Papua Province, Indonesia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276"/>
        <w:gridCol w:w="2126"/>
        <w:gridCol w:w="1505"/>
        <w:gridCol w:w="1600"/>
      </w:tblGrid>
      <w:tr w:rsidR="00DF166D" w:rsidRPr="00823C09" w14:paraId="7D2F487D" w14:textId="77777777" w:rsidTr="00DE61CD">
        <w:trPr>
          <w:tblHeader/>
          <w:tblCellSpacing w:w="15" w:type="dxa"/>
        </w:trPr>
        <w:tc>
          <w:tcPr>
            <w:tcW w:w="1656" w:type="dxa"/>
            <w:vAlign w:val="center"/>
            <w:hideMark/>
          </w:tcPr>
          <w:p w14:paraId="29FE3844"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Status</w:t>
            </w:r>
          </w:p>
        </w:tc>
        <w:tc>
          <w:tcPr>
            <w:tcW w:w="1246" w:type="dxa"/>
            <w:vAlign w:val="center"/>
            <w:hideMark/>
          </w:tcPr>
          <w:p w14:paraId="18C14D7D"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Number of Villages</w:t>
            </w:r>
          </w:p>
        </w:tc>
        <w:tc>
          <w:tcPr>
            <w:tcW w:w="2096" w:type="dxa"/>
            <w:vAlign w:val="center"/>
            <w:hideMark/>
          </w:tcPr>
          <w:p w14:paraId="4AC68482"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SDG-2 (Mean ± SE)</w:t>
            </w:r>
          </w:p>
        </w:tc>
        <w:tc>
          <w:tcPr>
            <w:tcW w:w="0" w:type="auto"/>
            <w:vAlign w:val="center"/>
            <w:hideMark/>
          </w:tcPr>
          <w:p w14:paraId="3CD64FBC"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SDG-6 (Mean ± SE)</w:t>
            </w:r>
          </w:p>
        </w:tc>
        <w:tc>
          <w:tcPr>
            <w:tcW w:w="0" w:type="auto"/>
            <w:vAlign w:val="center"/>
            <w:hideMark/>
          </w:tcPr>
          <w:p w14:paraId="04BDB75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SDG-10 (Mean ± SE)</w:t>
            </w:r>
          </w:p>
        </w:tc>
      </w:tr>
      <w:tr w:rsidR="00DF166D" w:rsidRPr="00823C09" w14:paraId="734ACBA3" w14:textId="77777777" w:rsidTr="00DE61CD">
        <w:trPr>
          <w:tblCellSpacing w:w="15" w:type="dxa"/>
        </w:trPr>
        <w:tc>
          <w:tcPr>
            <w:tcW w:w="1656" w:type="dxa"/>
            <w:tcBorders>
              <w:top w:val="single" w:sz="4" w:space="0" w:color="auto"/>
              <w:bottom w:val="nil"/>
            </w:tcBorders>
            <w:hideMark/>
          </w:tcPr>
          <w:p w14:paraId="19FCD2FB"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1246" w:type="dxa"/>
            <w:tcBorders>
              <w:top w:val="single" w:sz="4" w:space="0" w:color="auto"/>
              <w:bottom w:val="nil"/>
            </w:tcBorders>
            <w:hideMark/>
          </w:tcPr>
          <w:p w14:paraId="1336AC7F"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w:t>
            </w:r>
          </w:p>
        </w:tc>
        <w:tc>
          <w:tcPr>
            <w:tcW w:w="2096" w:type="dxa"/>
            <w:tcBorders>
              <w:top w:val="single" w:sz="4" w:space="0" w:color="auto"/>
              <w:bottom w:val="nil"/>
            </w:tcBorders>
            <w:hideMark/>
          </w:tcPr>
          <w:p w14:paraId="3384384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62.32 ± 8.11</w:t>
            </w:r>
          </w:p>
        </w:tc>
        <w:tc>
          <w:tcPr>
            <w:tcW w:w="0" w:type="auto"/>
            <w:tcBorders>
              <w:top w:val="single" w:sz="4" w:space="0" w:color="auto"/>
              <w:bottom w:val="nil"/>
            </w:tcBorders>
            <w:hideMark/>
          </w:tcPr>
          <w:p w14:paraId="7270328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56.54 ± 4.40</w:t>
            </w:r>
          </w:p>
        </w:tc>
        <w:tc>
          <w:tcPr>
            <w:tcW w:w="0" w:type="auto"/>
            <w:tcBorders>
              <w:top w:val="single" w:sz="4" w:space="0" w:color="auto"/>
              <w:bottom w:val="nil"/>
            </w:tcBorders>
            <w:hideMark/>
          </w:tcPr>
          <w:p w14:paraId="554FD92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33.39 ± 5.32</w:t>
            </w:r>
          </w:p>
        </w:tc>
      </w:tr>
      <w:tr w:rsidR="00DF166D" w:rsidRPr="00823C09" w14:paraId="2B59F389" w14:textId="77777777" w:rsidTr="00DE61CD">
        <w:trPr>
          <w:tblCellSpacing w:w="15" w:type="dxa"/>
        </w:trPr>
        <w:tc>
          <w:tcPr>
            <w:tcW w:w="1656" w:type="dxa"/>
            <w:hideMark/>
          </w:tcPr>
          <w:p w14:paraId="177332F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1246" w:type="dxa"/>
            <w:hideMark/>
          </w:tcPr>
          <w:p w14:paraId="3975EB7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12</w:t>
            </w:r>
          </w:p>
        </w:tc>
        <w:tc>
          <w:tcPr>
            <w:tcW w:w="2096" w:type="dxa"/>
            <w:hideMark/>
          </w:tcPr>
          <w:p w14:paraId="7BD628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32.64 ± 9.76</w:t>
            </w:r>
          </w:p>
        </w:tc>
        <w:tc>
          <w:tcPr>
            <w:tcW w:w="0" w:type="auto"/>
            <w:hideMark/>
          </w:tcPr>
          <w:p w14:paraId="61CDC7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55.07 ± 6.67</w:t>
            </w:r>
          </w:p>
        </w:tc>
        <w:tc>
          <w:tcPr>
            <w:tcW w:w="0" w:type="auto"/>
            <w:hideMark/>
          </w:tcPr>
          <w:p w14:paraId="2E5C70A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22.02 ± 6.83</w:t>
            </w:r>
          </w:p>
        </w:tc>
      </w:tr>
    </w:tbl>
    <w:p w14:paraId="34E08BD6" w14:textId="77777777" w:rsidR="00DF166D" w:rsidRPr="00823C09" w:rsidRDefault="00DF166D" w:rsidP="00622749">
      <w:pPr>
        <w:spacing w:after="160"/>
        <w:rPr>
          <w:rFonts w:ascii="Arial" w:eastAsia="Calibri" w:hAnsi="Arial" w:cs="Arial"/>
          <w:b/>
          <w:bCs/>
          <w:kern w:val="2"/>
          <w14:ligatures w14:val="standardContextual"/>
        </w:rPr>
      </w:pPr>
    </w:p>
    <w:p w14:paraId="25616C02" w14:textId="4E8E5242"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3.2.1 SDG 2: Zero Hunger</w:t>
      </w:r>
    </w:p>
    <w:p w14:paraId="25794558"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average SDG-2 score reveals that very underdeveloped villages (62.32 ± 8.11) outperform underdeveloped ones (32.64 ± 9.76). This suggests that food availability and security are relatively stronger in very underdeveloped settings. This resilience is often shaped by subsistence practices, including traditional farming, small-scale fisheries, and non-timber forest product use.  </w:t>
      </w:r>
      <w:sdt>
        <w:sdtPr>
          <w:rPr>
            <w:rFonts w:ascii="Arial" w:eastAsia="Calibri" w:hAnsi="Arial" w:cs="Arial"/>
            <w:color w:val="000000"/>
            <w:kern w:val="2"/>
            <w14:ligatures w14:val="standardContextual"/>
          </w:rPr>
          <w:tag w:val="MENDELEY_CITATION_v3_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"/>
          <w:id w:val="-545456589"/>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Sehnem</w:t>
          </w:r>
          <w:proofErr w:type="spellEnd"/>
          <w:r w:rsidRPr="00823C09">
            <w:rPr>
              <w:rFonts w:ascii="Arial" w:eastAsia="Calibri" w:hAnsi="Arial" w:cs="Arial"/>
              <w:color w:val="000000"/>
              <w:kern w:val="2"/>
              <w14:ligatures w14:val="standardContextual"/>
            </w:rPr>
            <w:t xml:space="preserve"> et al., (2022)</w:t>
          </w:r>
        </w:sdtContent>
      </w:sdt>
      <w:r w:rsidRPr="00823C09">
        <w:rPr>
          <w:rFonts w:ascii="Arial" w:eastAsia="Calibri" w:hAnsi="Arial" w:cs="Arial"/>
          <w:kern w:val="2"/>
          <w14:ligatures w14:val="standardContextual"/>
        </w:rPr>
        <w:t xml:space="preserve"> noted that remote villages often demonstrate stronger natural-resource-based food systems, even when infrastructure and market access are limited. Similarly, </w:t>
      </w:r>
      <w:sdt>
        <w:sdtPr>
          <w:rPr>
            <w:rFonts w:ascii="Arial" w:eastAsia="Calibri" w:hAnsi="Arial" w:cs="Arial"/>
            <w:color w:val="000000"/>
            <w:kern w:val="2"/>
            <w14:ligatures w14:val="standardContextual"/>
          </w:rPr>
          <w:tag w:val="MENDELEY_CITATION_v3_eyJjaXRhdGlvbklEIjoiTUVOREVMRVlfQ0lUQVRJT05fYjJjZGU5M2EtNGNlYi00YWExLWI2ZDUtMjQyNzY2MmI4Y2VhIiwicHJvcGVydGllcyI6eyJub3RlSW5kZXgiOjB9LCJpc0VkaXRlZCI6ZmFsc2UsIm1hbnVhbE92ZXJyaWRlIjp7ImlzTWFudWFsbHlPdmVycmlkZGVuIjpmYWxzZSwiY2l0ZXByb2NUZXh0IjoiK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1dfQ=="/>
          <w:id w:val="194744828"/>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emphasized the stability of traditional food systems in Papua, where communities rely heavily on local resources.</w:t>
      </w:r>
    </w:p>
    <w:p w14:paraId="5ACC7C01" w14:textId="77777777" w:rsidR="00622749" w:rsidRPr="00823C09" w:rsidRDefault="00622749" w:rsidP="00622749">
      <w:pPr>
        <w:jc w:val="both"/>
        <w:rPr>
          <w:rFonts w:ascii="Arial" w:eastAsia="Calibri" w:hAnsi="Arial" w:cs="Arial"/>
          <w:kern w:val="2"/>
          <w14:ligatures w14:val="standardContextual"/>
        </w:rPr>
      </w:pPr>
    </w:p>
    <w:p w14:paraId="386618C9" w14:textId="730E6ABB"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3.2.2 SDG 6: Clean Water and Sanitation</w:t>
      </w:r>
    </w:p>
    <w:p w14:paraId="3FD1AC5D"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SDG-6 scores are nearly equivalent between very underdeveloped (56.54 ± 4.40) and underdeveloped (55.07 ± 6.67) villages. This indicates that water and sanitation challenges are widespread, not confined to the most remote areas. Global evidence highlights that rural communities consistently face infrastructure deficits in these sectors. According to </w:t>
      </w:r>
      <w:sdt>
        <w:sdtPr>
          <w:rPr>
            <w:rFonts w:ascii="Arial" w:eastAsia="Calibri" w:hAnsi="Arial" w:cs="Arial"/>
            <w:color w:val="000000"/>
            <w:kern w:val="2"/>
            <w14:ligatures w14:val="standardContextual"/>
          </w:rPr>
          <w:tag w:val="MENDELEY_CITATION_v3_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"/>
          <w:id w:val="1043488371"/>
          <w:placeholder>
            <w:docPart w:val="19129F14316A40C2B5B8AB2D5763CB7D"/>
          </w:placeholder>
        </w:sdtPr>
        <w:sdtEndPr/>
        <w:sdtContent>
          <w:r w:rsidRPr="00823C09">
            <w:rPr>
              <w:rFonts w:ascii="Arial" w:hAnsi="Arial" w:cs="Arial"/>
              <w:color w:val="000000"/>
              <w:kern w:val="2"/>
              <w14:ligatures w14:val="standardContextual"/>
            </w:rPr>
            <w:t>(</w:t>
          </w:r>
          <w:proofErr w:type="spellStart"/>
          <w:r w:rsidRPr="00823C09">
            <w:rPr>
              <w:rFonts w:ascii="Arial" w:hAnsi="Arial" w:cs="Arial"/>
              <w:color w:val="000000"/>
              <w:kern w:val="2"/>
              <w14:ligatures w14:val="standardContextual"/>
            </w:rPr>
            <w:t>Irianti</w:t>
          </w:r>
          <w:proofErr w:type="spellEnd"/>
          <w:r w:rsidRPr="00823C09">
            <w:rPr>
              <w:rFonts w:ascii="Arial" w:hAnsi="Arial" w:cs="Arial"/>
              <w:color w:val="000000"/>
              <w:kern w:val="2"/>
              <w14:ligatures w14:val="standardContextual"/>
            </w:rPr>
            <w:t xml:space="preserve"> &amp; </w:t>
          </w:r>
          <w:proofErr w:type="spellStart"/>
          <w:r w:rsidRPr="00823C09">
            <w:rPr>
              <w:rFonts w:ascii="Arial" w:hAnsi="Arial" w:cs="Arial"/>
              <w:color w:val="000000"/>
              <w:kern w:val="2"/>
              <w14:ligatures w14:val="standardContextual"/>
            </w:rPr>
            <w:t>Prasetyoputra</w:t>
          </w:r>
          <w:proofErr w:type="spellEnd"/>
          <w:r w:rsidRPr="00823C09">
            <w:rPr>
              <w:rFonts w:ascii="Arial" w:hAnsi="Arial" w:cs="Arial"/>
              <w:color w:val="000000"/>
              <w:kern w:val="2"/>
              <w14:ligatures w14:val="standardContextual"/>
            </w:rPr>
            <w:t>, 2021)</w:t>
          </w:r>
        </w:sdtContent>
      </w:sdt>
      <w:r w:rsidRPr="00823C09">
        <w:rPr>
          <w:rFonts w:ascii="Arial" w:eastAsia="Calibri" w:hAnsi="Arial" w:cs="Arial"/>
          <w:kern w:val="2"/>
          <w14:ligatures w14:val="standardContextual"/>
        </w:rPr>
        <w:t xml:space="preserve">, rural-urban gaps in sanitation access remain one of the largest public health challenges worldwide. In Indonesia, </w:t>
      </w:r>
      <w:sdt>
        <w:sdtPr>
          <w:rPr>
            <w:rFonts w:ascii="Arial" w:eastAsia="Calibri" w:hAnsi="Arial" w:cs="Arial"/>
            <w:color w:val="000000"/>
            <w:kern w:val="2"/>
            <w14:ligatures w14:val="standardContextual"/>
          </w:rPr>
          <w:tag w:val="MENDELEY_CITATION_v3_eyJjaXRhdGlvbklEIjoiTUVOREVMRVlfQ0lUQVRJT05fMDk0NjI3MTAtYTRjNi00OGE5LTk1OTMtYTRhMTZjYzhjMmZhIiwicHJvcGVydGllcyI6eyJub3RlSW5kZXgiOjB9LCJpc0VkaXRlZCI6ZmFsc2UsIm1hbnVhbE92ZXJyaWRlIjp7ImlzTWFudWFsbHlPdmVycmlkZGVuIjpmYWxzZSwiY2l0ZXByb2NUZXh0IjoiKEJhcHBlbmFzLCAyMDIwKSIsIm1hbnVhbE92ZXJyaWRlVGV4dCI6Ii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956364129"/>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Bappenas</w:t>
          </w:r>
          <w:proofErr w:type="spellEnd"/>
          <w:r w:rsidRPr="00823C09">
            <w:rPr>
              <w:rFonts w:ascii="Arial" w:eastAsia="Calibri" w:hAnsi="Arial" w:cs="Arial"/>
              <w:color w:val="000000"/>
              <w:kern w:val="2"/>
              <w14:ligatures w14:val="standardContextual"/>
            </w:rPr>
            <w:t>, 2020)</w:t>
          </w:r>
        </w:sdtContent>
      </w:sdt>
      <w:r w:rsidRPr="00823C09">
        <w:rPr>
          <w:rFonts w:ascii="Arial" w:eastAsia="Calibri" w:hAnsi="Arial" w:cs="Arial"/>
          <w:kern w:val="2"/>
          <w14:ligatures w14:val="standardContextual"/>
        </w:rPr>
        <w:t>reports that Papua and Papua Barat Province record the lowest SDG-6 performance nationally due to structural and financial barriers in water infrastructure.</w:t>
      </w:r>
    </w:p>
    <w:p w14:paraId="7DBCBC33" w14:textId="77777777" w:rsidR="00622749" w:rsidRPr="00823C09" w:rsidRDefault="00622749" w:rsidP="00622749">
      <w:pPr>
        <w:jc w:val="both"/>
        <w:rPr>
          <w:rFonts w:ascii="Arial" w:eastAsia="Calibri" w:hAnsi="Arial" w:cs="Arial"/>
          <w:kern w:val="2"/>
          <w14:ligatures w14:val="standardContextual"/>
        </w:rPr>
      </w:pPr>
    </w:p>
    <w:p w14:paraId="69CE415A" w14:textId="1CCD138C"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3.2.3 SDG 10: Reduced Inequality</w:t>
      </w:r>
    </w:p>
    <w:p w14:paraId="28AE042C"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SDG-10 scores are relatively low in both categories: 33.39 ± 5.32 for very underdeveloped villages and 22.02 ± 6.83 for underdeveloped villages. Although the former scored slightly higher, both remain inadequate. This aligns with </w:t>
      </w:r>
      <w:sdt>
        <w:sdtPr>
          <w:rPr>
            <w:rFonts w:ascii="Arial" w:eastAsia="Calibri" w:hAnsi="Arial" w:cs="Arial"/>
            <w:color w:val="000000"/>
            <w:kern w:val="2"/>
            <w14:ligatures w14:val="standardContextual"/>
          </w:rPr>
          <w:tag w:val="MENDELEY_CITATION_v3_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"/>
          <w:id w:val="-767073188"/>
          <w:placeholder>
            <w:docPart w:val="19129F14316A40C2B5B8AB2D5763CB7D"/>
          </w:placeholder>
        </w:sdtPr>
        <w:sdtEndPr/>
        <w:sdtContent>
          <w:proofErr w:type="spellStart"/>
          <w:r w:rsidRPr="00823C09">
            <w:rPr>
              <w:rFonts w:ascii="Arial" w:hAnsi="Arial" w:cs="Arial"/>
              <w:color w:val="000000"/>
              <w:kern w:val="2"/>
              <w14:ligatures w14:val="standardContextual"/>
            </w:rPr>
            <w:t>Camarero</w:t>
          </w:r>
          <w:proofErr w:type="spellEnd"/>
          <w:r w:rsidRPr="00823C09">
            <w:rPr>
              <w:rFonts w:ascii="Arial" w:hAnsi="Arial" w:cs="Arial"/>
              <w:color w:val="000000"/>
              <w:kern w:val="2"/>
              <w14:ligatures w14:val="standardContextual"/>
            </w:rPr>
            <w:t xml:space="preserve"> &amp; Oliva, (2019)</w:t>
          </w:r>
        </w:sdtContent>
      </w:sdt>
      <w:r w:rsidRPr="00823C09">
        <w:rPr>
          <w:rFonts w:ascii="Arial" w:eastAsia="Calibri" w:hAnsi="Arial" w:cs="Arial"/>
          <w:kern w:val="2"/>
          <w14:ligatures w14:val="standardContextual"/>
        </w:rPr>
        <w:t>, who highlighted that rural inequality is amplified by poor access to education, healthcare, and infrastructure. In Papua, the Earth Innovation Institute (2016) also observed that inequality exists not only between rural and urban areas but also across rural villages, especially regarding the distribution of economic and social services.</w:t>
      </w:r>
    </w:p>
    <w:p w14:paraId="36E2C3B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In summary, the findings reveal a complex interplay between village status and SDG achievements. Very underdeveloped villages tend to perform better in food security (SDG-2), likely due to their reliance on subsistence systems. For water and sanitation (SDG-6), both categories face similar systemic challenges. For inequality reduction (SDG-10), both groups perform poorly, reinforcing persistent structural barriers. These results confirm insights from international literature </w:t>
      </w:r>
      <w:sdt>
        <w:sdtPr>
          <w:rPr>
            <w:rFonts w:ascii="Arial" w:eastAsia="Calibri" w:hAnsi="Arial" w:cs="Arial"/>
            <w:color w:val="000000"/>
            <w:kern w:val="2"/>
            <w14:ligatures w14:val="standardContextual"/>
          </w:rPr>
          <w:tag w:val="MENDELEY_CITATION_v3_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"/>
          <w:id w:val="-2018829346"/>
          <w:placeholder>
            <w:docPart w:val="19129F14316A40C2B5B8AB2D5763CB7D"/>
          </w:placeholder>
        </w:sdtPr>
        <w:sdtEndPr/>
        <w:sdtContent>
          <w:r w:rsidRPr="00823C09">
            <w:rPr>
              <w:rFonts w:ascii="Arial" w:hAnsi="Arial" w:cs="Arial"/>
              <w:color w:val="000000"/>
              <w:kern w:val="2"/>
              <w14:ligatures w14:val="standardContextual"/>
            </w:rPr>
            <w:t>(</w:t>
          </w:r>
          <w:proofErr w:type="spellStart"/>
          <w:r w:rsidRPr="00823C09">
            <w:rPr>
              <w:rFonts w:ascii="Arial" w:hAnsi="Arial" w:cs="Arial"/>
              <w:color w:val="000000"/>
              <w:kern w:val="2"/>
              <w14:ligatures w14:val="standardContextual"/>
            </w:rPr>
            <w:t>Camarero</w:t>
          </w:r>
          <w:proofErr w:type="spellEnd"/>
          <w:r w:rsidRPr="00823C09">
            <w:rPr>
              <w:rFonts w:ascii="Arial" w:hAnsi="Arial" w:cs="Arial"/>
              <w:color w:val="000000"/>
              <w:kern w:val="2"/>
              <w14:ligatures w14:val="standardContextual"/>
            </w:rPr>
            <w:t xml:space="preserve"> &amp; Oliva, 2019)</w:t>
          </w:r>
        </w:sdtContent>
      </w:sdt>
      <w:r w:rsidRPr="00823C09">
        <w:rPr>
          <w:rFonts w:ascii="Arial" w:eastAsia="Calibri" w:hAnsi="Arial" w:cs="Arial"/>
          <w:kern w:val="2"/>
          <w14:ligatures w14:val="standardContextual"/>
        </w:rPr>
        <w:t xml:space="preserve">, as well as national reports </w:t>
      </w:r>
      <w:sdt>
        <w:sdtPr>
          <w:rPr>
            <w:rFonts w:ascii="Arial" w:eastAsia="Calibri" w:hAnsi="Arial" w:cs="Arial"/>
            <w:color w:val="000000"/>
            <w:kern w:val="2"/>
            <w14:ligatures w14:val="standardContextual"/>
          </w:rPr>
          <w:tag w:val="MENDELEY_CITATION_v3_eyJjaXRhdGlvbklEIjoiTUVOREVMRVlfQ0lUQVRJT05fMWI4NmYyZjgtZTQyNi00NDc1LWE4Y2QtMGEzOTlmYzMwZDQwIiwicHJvcGVydGllcyI6eyJub3RlSW5kZXgiOjB9LCJpc0VkaXRlZCI6ZmFsc2UsIm1hbnVhbE92ZXJyaWRlIjp7ImlzTWFudWFsbHlPdmVycmlkZGVuIjpmYWxzZSwiY2l0ZXByb2NUZXh0IjoiKEtlbWVuZGVzIFBEVFQsIDIwMjM7I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192289259"/>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which highlight that SDG outcomes in marginalized regions are shaped by a mix of structural, institutional, and cultural factors.</w:t>
      </w:r>
    </w:p>
    <w:p w14:paraId="03603731" w14:textId="77777777" w:rsidR="00622749" w:rsidRPr="00823C09" w:rsidRDefault="00622749" w:rsidP="00622749">
      <w:pPr>
        <w:jc w:val="both"/>
        <w:rPr>
          <w:rFonts w:ascii="Arial" w:eastAsia="Calibri" w:hAnsi="Arial" w:cs="Arial"/>
          <w:kern w:val="2"/>
          <w14:ligatures w14:val="standardContextual"/>
        </w:rPr>
      </w:pPr>
    </w:p>
    <w:p w14:paraId="09EE924B" w14:textId="49A6F8DE" w:rsidR="00DF166D" w:rsidRPr="00823C09" w:rsidRDefault="00DF166D" w:rsidP="00622749">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3.2.4 Relationship Between Village SDGs and the Environmental Resilience Index</w:t>
      </w:r>
    </w:p>
    <w:p w14:paraId="206F047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Village Sustainable Development Goals (SDGs) framework is closely linked to environmental resilience at the local level. In this study, the dependent variable (Y) is the ERI, which represents one of the essential dimensions of sustainable rural development. Three independent variables (X) were analyzed as potential determinants of ERI: SDG 2 (Zero Hunger, X1), SDG 6 (Clean Water and Sanitation, X2), and SDG 10 (Reduced Inequalities, </w:t>
      </w:r>
      <w:r w:rsidRPr="00823C09">
        <w:rPr>
          <w:rFonts w:ascii="Arial" w:eastAsia="Calibri" w:hAnsi="Arial" w:cs="Arial"/>
          <w:kern w:val="2"/>
          <w14:ligatures w14:val="standardContextual"/>
        </w:rPr>
        <w:lastRenderedPageBreak/>
        <w:t>X3). The analysis aimed to evaluate the extent to which these three indicators contribute to strengthening environmental resilience in disadvantaged and very disadvantaged villages.</w:t>
      </w:r>
    </w:p>
    <w:p w14:paraId="5E0B0C1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To examine whether SDG 2, SDG 6, and SDG 10 exert a significant joint influence on Environmental Resilience Index, an Analysis of Variance (ANOVA) test was performed. The results, presented in Table 3, show an F-value of 2.830 with a significance level of 0.060. Although this result does not reach the conventional 5% significance level, it is statistically significant at the 10% level (α = 0.10). This indicates that, at 90% confidence, the model provides sufficient evidence that the three SDG indicators collectively affect environmental resilience.</w:t>
      </w:r>
    </w:p>
    <w:p w14:paraId="68DAC2E9" w14:textId="77777777" w:rsidR="00DF166D" w:rsidRPr="00823C09" w:rsidRDefault="00DF166D"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3. ANOVA Results for the Regression Model</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87"/>
        <w:gridCol w:w="1898"/>
        <w:gridCol w:w="771"/>
        <w:gridCol w:w="1834"/>
        <w:gridCol w:w="1194"/>
        <w:gridCol w:w="1424"/>
      </w:tblGrid>
      <w:tr w:rsidR="00DF166D" w:rsidRPr="00823C09" w14:paraId="207D6ED0" w14:textId="77777777" w:rsidTr="00DE61CD">
        <w:trPr>
          <w:tblHeader/>
          <w:tblCellSpacing w:w="15" w:type="dxa"/>
        </w:trPr>
        <w:tc>
          <w:tcPr>
            <w:tcW w:w="0" w:type="auto"/>
            <w:vAlign w:val="center"/>
            <w:hideMark/>
          </w:tcPr>
          <w:p w14:paraId="2B746393"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Source</w:t>
            </w:r>
          </w:p>
        </w:tc>
        <w:tc>
          <w:tcPr>
            <w:tcW w:w="1960" w:type="dxa"/>
            <w:vAlign w:val="center"/>
            <w:hideMark/>
          </w:tcPr>
          <w:p w14:paraId="2B1CCCB4"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Sum of Squares</w:t>
            </w:r>
          </w:p>
        </w:tc>
        <w:tc>
          <w:tcPr>
            <w:tcW w:w="785" w:type="dxa"/>
            <w:vAlign w:val="center"/>
            <w:hideMark/>
          </w:tcPr>
          <w:p w14:paraId="0AE5E81D"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df</w:t>
            </w:r>
          </w:p>
        </w:tc>
        <w:tc>
          <w:tcPr>
            <w:tcW w:w="1899" w:type="dxa"/>
            <w:vAlign w:val="center"/>
            <w:hideMark/>
          </w:tcPr>
          <w:p w14:paraId="31066865"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Mean Square</w:t>
            </w:r>
          </w:p>
        </w:tc>
        <w:tc>
          <w:tcPr>
            <w:tcW w:w="1221" w:type="dxa"/>
            <w:vAlign w:val="center"/>
            <w:hideMark/>
          </w:tcPr>
          <w:p w14:paraId="5DDFA595"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F</w:t>
            </w:r>
          </w:p>
        </w:tc>
        <w:tc>
          <w:tcPr>
            <w:tcW w:w="1449" w:type="dxa"/>
            <w:vAlign w:val="center"/>
            <w:hideMark/>
          </w:tcPr>
          <w:p w14:paraId="67E03C7D"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Sig. (p)</w:t>
            </w:r>
          </w:p>
        </w:tc>
      </w:tr>
      <w:tr w:rsidR="00DF166D" w:rsidRPr="00823C09" w14:paraId="27512ABD" w14:textId="77777777" w:rsidTr="00DE61CD">
        <w:trPr>
          <w:tblCellSpacing w:w="15" w:type="dxa"/>
        </w:trPr>
        <w:tc>
          <w:tcPr>
            <w:tcW w:w="0" w:type="auto"/>
            <w:tcBorders>
              <w:top w:val="single" w:sz="4" w:space="0" w:color="auto"/>
              <w:bottom w:val="nil"/>
            </w:tcBorders>
            <w:vAlign w:val="center"/>
            <w:hideMark/>
          </w:tcPr>
          <w:p w14:paraId="0710EE85"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Regression</w:t>
            </w:r>
          </w:p>
        </w:tc>
        <w:tc>
          <w:tcPr>
            <w:tcW w:w="1960" w:type="dxa"/>
            <w:tcBorders>
              <w:top w:val="single" w:sz="4" w:space="0" w:color="auto"/>
              <w:bottom w:val="nil"/>
            </w:tcBorders>
            <w:vAlign w:val="center"/>
            <w:hideMark/>
          </w:tcPr>
          <w:p w14:paraId="2F9B0656"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409.913</w:t>
            </w:r>
          </w:p>
        </w:tc>
        <w:tc>
          <w:tcPr>
            <w:tcW w:w="785" w:type="dxa"/>
            <w:tcBorders>
              <w:top w:val="single" w:sz="4" w:space="0" w:color="auto"/>
              <w:bottom w:val="nil"/>
            </w:tcBorders>
            <w:vAlign w:val="center"/>
            <w:hideMark/>
          </w:tcPr>
          <w:p w14:paraId="694ED68C"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w:t>
            </w:r>
          </w:p>
        </w:tc>
        <w:tc>
          <w:tcPr>
            <w:tcW w:w="1899" w:type="dxa"/>
            <w:tcBorders>
              <w:top w:val="single" w:sz="4" w:space="0" w:color="auto"/>
              <w:bottom w:val="nil"/>
            </w:tcBorders>
            <w:vAlign w:val="center"/>
            <w:hideMark/>
          </w:tcPr>
          <w:p w14:paraId="1089B9BD"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136.638</w:t>
            </w:r>
          </w:p>
        </w:tc>
        <w:tc>
          <w:tcPr>
            <w:tcW w:w="1221" w:type="dxa"/>
            <w:tcBorders>
              <w:top w:val="single" w:sz="4" w:space="0" w:color="auto"/>
              <w:bottom w:val="nil"/>
            </w:tcBorders>
            <w:vAlign w:val="center"/>
            <w:hideMark/>
          </w:tcPr>
          <w:p w14:paraId="0EA74B53"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2.830</w:t>
            </w:r>
          </w:p>
        </w:tc>
        <w:tc>
          <w:tcPr>
            <w:tcW w:w="1449" w:type="dxa"/>
            <w:tcBorders>
              <w:top w:val="single" w:sz="4" w:space="0" w:color="auto"/>
              <w:bottom w:val="nil"/>
            </w:tcBorders>
            <w:vAlign w:val="center"/>
            <w:hideMark/>
          </w:tcPr>
          <w:p w14:paraId="43016374"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0.060*</w:t>
            </w:r>
          </w:p>
        </w:tc>
      </w:tr>
      <w:tr w:rsidR="00DF166D" w:rsidRPr="00823C09" w14:paraId="18BC3AB2" w14:textId="77777777" w:rsidTr="00DE61CD">
        <w:trPr>
          <w:tblCellSpacing w:w="15" w:type="dxa"/>
        </w:trPr>
        <w:tc>
          <w:tcPr>
            <w:tcW w:w="0" w:type="auto"/>
            <w:vAlign w:val="center"/>
            <w:hideMark/>
          </w:tcPr>
          <w:p w14:paraId="6FE16714"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Residual</w:t>
            </w:r>
          </w:p>
        </w:tc>
        <w:tc>
          <w:tcPr>
            <w:tcW w:w="1960" w:type="dxa"/>
            <w:vAlign w:val="center"/>
            <w:hideMark/>
          </w:tcPr>
          <w:p w14:paraId="353C62FA"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1158.868</w:t>
            </w:r>
          </w:p>
        </w:tc>
        <w:tc>
          <w:tcPr>
            <w:tcW w:w="785" w:type="dxa"/>
            <w:vAlign w:val="center"/>
            <w:hideMark/>
          </w:tcPr>
          <w:p w14:paraId="68ADDC45"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24</w:t>
            </w:r>
          </w:p>
        </w:tc>
        <w:tc>
          <w:tcPr>
            <w:tcW w:w="1899" w:type="dxa"/>
            <w:vAlign w:val="center"/>
            <w:hideMark/>
          </w:tcPr>
          <w:p w14:paraId="70E83FE5"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48.286</w:t>
            </w:r>
          </w:p>
        </w:tc>
        <w:tc>
          <w:tcPr>
            <w:tcW w:w="1221" w:type="dxa"/>
            <w:vAlign w:val="center"/>
            <w:hideMark/>
          </w:tcPr>
          <w:p w14:paraId="18E82590"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449" w:type="dxa"/>
            <w:vAlign w:val="center"/>
            <w:hideMark/>
          </w:tcPr>
          <w:p w14:paraId="1CF5B20C" w14:textId="77777777" w:rsidR="00DF166D" w:rsidRPr="00823C09" w:rsidRDefault="00DF166D" w:rsidP="00DF166D">
            <w:pPr>
              <w:spacing w:line="278" w:lineRule="auto"/>
              <w:jc w:val="center"/>
              <w:rPr>
                <w:rFonts w:ascii="Arial" w:eastAsia="Calibri" w:hAnsi="Arial" w:cs="Arial"/>
                <w:kern w:val="2"/>
                <w14:ligatures w14:val="standardContextual"/>
              </w:rPr>
            </w:pPr>
          </w:p>
        </w:tc>
      </w:tr>
      <w:tr w:rsidR="00DF166D" w:rsidRPr="00823C09" w14:paraId="1F5BF1DD" w14:textId="77777777" w:rsidTr="00DE61CD">
        <w:trPr>
          <w:tblCellSpacing w:w="15" w:type="dxa"/>
        </w:trPr>
        <w:tc>
          <w:tcPr>
            <w:tcW w:w="0" w:type="auto"/>
            <w:vAlign w:val="center"/>
            <w:hideMark/>
          </w:tcPr>
          <w:p w14:paraId="08248B52"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Total</w:t>
            </w:r>
          </w:p>
        </w:tc>
        <w:tc>
          <w:tcPr>
            <w:tcW w:w="1960" w:type="dxa"/>
            <w:vAlign w:val="center"/>
            <w:hideMark/>
          </w:tcPr>
          <w:p w14:paraId="7D01754B"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1568.781</w:t>
            </w:r>
          </w:p>
        </w:tc>
        <w:tc>
          <w:tcPr>
            <w:tcW w:w="785" w:type="dxa"/>
            <w:vAlign w:val="center"/>
            <w:hideMark/>
          </w:tcPr>
          <w:p w14:paraId="3BFDBA67"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27</w:t>
            </w:r>
          </w:p>
        </w:tc>
        <w:tc>
          <w:tcPr>
            <w:tcW w:w="1899" w:type="dxa"/>
            <w:vAlign w:val="center"/>
            <w:hideMark/>
          </w:tcPr>
          <w:p w14:paraId="0FE4DA83"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221" w:type="dxa"/>
            <w:vAlign w:val="center"/>
            <w:hideMark/>
          </w:tcPr>
          <w:p w14:paraId="599F85F1"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449" w:type="dxa"/>
            <w:vAlign w:val="center"/>
            <w:hideMark/>
          </w:tcPr>
          <w:p w14:paraId="57E24AC9" w14:textId="77777777" w:rsidR="00DF166D" w:rsidRPr="00823C09" w:rsidRDefault="00DF166D" w:rsidP="00DF166D">
            <w:pPr>
              <w:spacing w:line="278" w:lineRule="auto"/>
              <w:jc w:val="center"/>
              <w:rPr>
                <w:rFonts w:ascii="Arial" w:eastAsia="Calibri" w:hAnsi="Arial" w:cs="Arial"/>
                <w:kern w:val="2"/>
                <w14:ligatures w14:val="standardContextual"/>
              </w:rPr>
            </w:pPr>
          </w:p>
        </w:tc>
      </w:tr>
    </w:tbl>
    <w:p w14:paraId="255A73E5"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*Note: Dependent Variable = ERI; Predictors = SDG 2, SDG 6, SDG 10; </w:t>
      </w:r>
      <w:r w:rsidRPr="00823C09">
        <w:rPr>
          <w:rFonts w:ascii="Arial" w:eastAsia="Calibri" w:hAnsi="Arial" w:cs="Arial"/>
          <w:i/>
          <w:iCs/>
          <w:kern w:val="2"/>
          <w14:ligatures w14:val="standardContextual"/>
        </w:rPr>
        <w:t>p &lt; 0.10</w:t>
      </w:r>
    </w:p>
    <w:p w14:paraId="1A1CCC0B" w14:textId="77777777" w:rsidR="00DF166D" w:rsidRPr="00823C09" w:rsidRDefault="00DF166D" w:rsidP="00DF166D">
      <w:pPr>
        <w:spacing w:after="160" w:line="278" w:lineRule="auto"/>
        <w:rPr>
          <w:rFonts w:ascii="Arial" w:eastAsia="Calibri" w:hAnsi="Arial" w:cs="Arial"/>
          <w:kern w:val="2"/>
          <w14:ligatures w14:val="standardContextual"/>
        </w:rPr>
      </w:pPr>
    </w:p>
    <w:p w14:paraId="5DCC9025"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The model’s R² value of 0.261 indicates that approximately 26.1% of the variation in environmental resilience can be explained by the three SDG indicators, while the remaining 73.9% is influenced by other factors not included in this model, such as governance, infrastructure, or external shocks. Further insight was obtained through multiple regression analysis, which assessed the individual contribution of each SDG indicator to environmental resilience. The results are summarized in Table 4.</w:t>
      </w:r>
    </w:p>
    <w:p w14:paraId="0BC2C698" w14:textId="77777777" w:rsidR="00DF166D" w:rsidRPr="00823C09" w:rsidRDefault="00DF166D"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4. Coefficients of the Regression Model</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1694"/>
        <w:gridCol w:w="561"/>
        <w:gridCol w:w="1449"/>
        <w:gridCol w:w="1062"/>
        <w:gridCol w:w="1311"/>
      </w:tblGrid>
      <w:tr w:rsidR="00DF166D" w:rsidRPr="00823C09" w14:paraId="3F9207A5" w14:textId="77777777" w:rsidTr="00DE61CD">
        <w:trPr>
          <w:tblHeader/>
          <w:tblCellSpacing w:w="15" w:type="dxa"/>
        </w:trPr>
        <w:tc>
          <w:tcPr>
            <w:tcW w:w="2223" w:type="dxa"/>
            <w:vAlign w:val="center"/>
            <w:hideMark/>
          </w:tcPr>
          <w:p w14:paraId="4A495EF4"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Variable (Independent)</w:t>
            </w:r>
          </w:p>
        </w:tc>
        <w:tc>
          <w:tcPr>
            <w:tcW w:w="1602" w:type="dxa"/>
            <w:vAlign w:val="center"/>
            <w:hideMark/>
          </w:tcPr>
          <w:p w14:paraId="7BCC9725"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B (Unstandardized)</w:t>
            </w:r>
          </w:p>
        </w:tc>
        <w:tc>
          <w:tcPr>
            <w:tcW w:w="0" w:type="auto"/>
            <w:vAlign w:val="center"/>
            <w:hideMark/>
          </w:tcPr>
          <w:p w14:paraId="72CF64D8"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Std. Error</w:t>
            </w:r>
          </w:p>
        </w:tc>
        <w:tc>
          <w:tcPr>
            <w:tcW w:w="1385" w:type="dxa"/>
            <w:vAlign w:val="center"/>
            <w:hideMark/>
          </w:tcPr>
          <w:p w14:paraId="195C9CCB"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Beta (Standardized)</w:t>
            </w:r>
          </w:p>
        </w:tc>
        <w:tc>
          <w:tcPr>
            <w:tcW w:w="1104" w:type="dxa"/>
            <w:vAlign w:val="center"/>
            <w:hideMark/>
          </w:tcPr>
          <w:p w14:paraId="10F7E7FF"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w:t>
            </w:r>
          </w:p>
        </w:tc>
        <w:tc>
          <w:tcPr>
            <w:tcW w:w="1373" w:type="dxa"/>
            <w:vAlign w:val="center"/>
            <w:hideMark/>
          </w:tcPr>
          <w:p w14:paraId="118BE9B9"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Sig. (p)</w:t>
            </w:r>
          </w:p>
        </w:tc>
      </w:tr>
      <w:tr w:rsidR="00DF166D" w:rsidRPr="00823C09" w14:paraId="3F44BE79" w14:textId="77777777" w:rsidTr="00DE61CD">
        <w:trPr>
          <w:tblCellSpacing w:w="15" w:type="dxa"/>
        </w:trPr>
        <w:tc>
          <w:tcPr>
            <w:tcW w:w="2223" w:type="dxa"/>
            <w:tcBorders>
              <w:top w:val="single" w:sz="4" w:space="0" w:color="auto"/>
              <w:bottom w:val="nil"/>
            </w:tcBorders>
            <w:hideMark/>
          </w:tcPr>
          <w:p w14:paraId="603C0993"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Constant</w:t>
            </w:r>
          </w:p>
        </w:tc>
        <w:tc>
          <w:tcPr>
            <w:tcW w:w="1602" w:type="dxa"/>
            <w:tcBorders>
              <w:top w:val="single" w:sz="4" w:space="0" w:color="auto"/>
              <w:bottom w:val="nil"/>
            </w:tcBorders>
            <w:hideMark/>
          </w:tcPr>
          <w:p w14:paraId="7A4834ED"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71.389</w:t>
            </w:r>
          </w:p>
        </w:tc>
        <w:tc>
          <w:tcPr>
            <w:tcW w:w="0" w:type="auto"/>
            <w:tcBorders>
              <w:top w:val="single" w:sz="4" w:space="0" w:color="auto"/>
              <w:bottom w:val="nil"/>
            </w:tcBorders>
            <w:hideMark/>
          </w:tcPr>
          <w:p w14:paraId="3F2350D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4.527</w:t>
            </w:r>
          </w:p>
        </w:tc>
        <w:tc>
          <w:tcPr>
            <w:tcW w:w="1385" w:type="dxa"/>
            <w:tcBorders>
              <w:top w:val="single" w:sz="4" w:space="0" w:color="auto"/>
              <w:bottom w:val="nil"/>
            </w:tcBorders>
            <w:hideMark/>
          </w:tcPr>
          <w:p w14:paraId="48E16C46"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w:t>
            </w:r>
          </w:p>
        </w:tc>
        <w:tc>
          <w:tcPr>
            <w:tcW w:w="1104" w:type="dxa"/>
            <w:tcBorders>
              <w:top w:val="single" w:sz="4" w:space="0" w:color="auto"/>
              <w:bottom w:val="nil"/>
            </w:tcBorders>
            <w:hideMark/>
          </w:tcPr>
          <w:p w14:paraId="0B03924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15.768</w:t>
            </w:r>
          </w:p>
        </w:tc>
        <w:tc>
          <w:tcPr>
            <w:tcW w:w="1373" w:type="dxa"/>
            <w:tcBorders>
              <w:top w:val="single" w:sz="4" w:space="0" w:color="auto"/>
              <w:bottom w:val="nil"/>
            </w:tcBorders>
            <w:hideMark/>
          </w:tcPr>
          <w:p w14:paraId="2310316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0.000**</w:t>
            </w:r>
          </w:p>
        </w:tc>
      </w:tr>
      <w:tr w:rsidR="00DF166D" w:rsidRPr="00823C09" w14:paraId="00DBD331" w14:textId="77777777" w:rsidTr="00DE61CD">
        <w:trPr>
          <w:tblCellSpacing w:w="15" w:type="dxa"/>
        </w:trPr>
        <w:tc>
          <w:tcPr>
            <w:tcW w:w="2223" w:type="dxa"/>
            <w:hideMark/>
          </w:tcPr>
          <w:p w14:paraId="4B4BF15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2 (Zero Hunger)</w:t>
            </w:r>
          </w:p>
        </w:tc>
        <w:tc>
          <w:tcPr>
            <w:tcW w:w="1602" w:type="dxa"/>
            <w:hideMark/>
          </w:tcPr>
          <w:p w14:paraId="3B755D3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-0.055</w:t>
            </w:r>
          </w:p>
        </w:tc>
        <w:tc>
          <w:tcPr>
            <w:tcW w:w="0" w:type="auto"/>
            <w:hideMark/>
          </w:tcPr>
          <w:p w14:paraId="2086921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0.039</w:t>
            </w:r>
          </w:p>
        </w:tc>
        <w:tc>
          <w:tcPr>
            <w:tcW w:w="1385" w:type="dxa"/>
            <w:hideMark/>
          </w:tcPr>
          <w:p w14:paraId="659FB7F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-0.259</w:t>
            </w:r>
          </w:p>
        </w:tc>
        <w:tc>
          <w:tcPr>
            <w:tcW w:w="1104" w:type="dxa"/>
            <w:hideMark/>
          </w:tcPr>
          <w:p w14:paraId="3B61C51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-1.426</w:t>
            </w:r>
          </w:p>
        </w:tc>
        <w:tc>
          <w:tcPr>
            <w:tcW w:w="1373" w:type="dxa"/>
            <w:hideMark/>
          </w:tcPr>
          <w:p w14:paraId="30D1EF7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0.167</w:t>
            </w:r>
          </w:p>
        </w:tc>
      </w:tr>
      <w:tr w:rsidR="00DF166D" w:rsidRPr="00823C09" w14:paraId="420ACF66" w14:textId="77777777" w:rsidTr="00DE61CD">
        <w:trPr>
          <w:tblCellSpacing w:w="15" w:type="dxa"/>
        </w:trPr>
        <w:tc>
          <w:tcPr>
            <w:tcW w:w="2223" w:type="dxa"/>
            <w:hideMark/>
          </w:tcPr>
          <w:p w14:paraId="0C41AC1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6 (Clean Water &amp; Sanitation)</w:t>
            </w:r>
          </w:p>
        </w:tc>
        <w:tc>
          <w:tcPr>
            <w:tcW w:w="1602" w:type="dxa"/>
            <w:hideMark/>
          </w:tcPr>
          <w:p w14:paraId="4E728A3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-0.130</w:t>
            </w:r>
          </w:p>
        </w:tc>
        <w:tc>
          <w:tcPr>
            <w:tcW w:w="0" w:type="auto"/>
            <w:hideMark/>
          </w:tcPr>
          <w:p w14:paraId="1B2CA83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0.074</w:t>
            </w:r>
          </w:p>
        </w:tc>
        <w:tc>
          <w:tcPr>
            <w:tcW w:w="1385" w:type="dxa"/>
            <w:hideMark/>
          </w:tcPr>
          <w:p w14:paraId="1B3D6A45"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-0.336</w:t>
            </w:r>
          </w:p>
        </w:tc>
        <w:tc>
          <w:tcPr>
            <w:tcW w:w="1104" w:type="dxa"/>
            <w:hideMark/>
          </w:tcPr>
          <w:p w14:paraId="1E22A652"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-1.762</w:t>
            </w:r>
          </w:p>
        </w:tc>
        <w:tc>
          <w:tcPr>
            <w:tcW w:w="1373" w:type="dxa"/>
            <w:hideMark/>
          </w:tcPr>
          <w:p w14:paraId="325355AE"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0.091*</w:t>
            </w:r>
          </w:p>
        </w:tc>
      </w:tr>
      <w:tr w:rsidR="00DF166D" w:rsidRPr="00823C09" w14:paraId="7D034016" w14:textId="77777777" w:rsidTr="00DE61CD">
        <w:trPr>
          <w:tblCellSpacing w:w="15" w:type="dxa"/>
        </w:trPr>
        <w:tc>
          <w:tcPr>
            <w:tcW w:w="2223" w:type="dxa"/>
            <w:hideMark/>
          </w:tcPr>
          <w:p w14:paraId="33C35811"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10 (Reduced Inequalities)</w:t>
            </w:r>
          </w:p>
        </w:tc>
        <w:tc>
          <w:tcPr>
            <w:tcW w:w="1602" w:type="dxa"/>
            <w:hideMark/>
          </w:tcPr>
          <w:p w14:paraId="681660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0.181</w:t>
            </w:r>
          </w:p>
        </w:tc>
        <w:tc>
          <w:tcPr>
            <w:tcW w:w="0" w:type="auto"/>
            <w:hideMark/>
          </w:tcPr>
          <w:p w14:paraId="3D720D8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0.067</w:t>
            </w:r>
          </w:p>
        </w:tc>
        <w:tc>
          <w:tcPr>
            <w:tcW w:w="1385" w:type="dxa"/>
            <w:hideMark/>
          </w:tcPr>
          <w:p w14:paraId="5B7CE6F4"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0.527</w:t>
            </w:r>
          </w:p>
        </w:tc>
        <w:tc>
          <w:tcPr>
            <w:tcW w:w="1104" w:type="dxa"/>
            <w:hideMark/>
          </w:tcPr>
          <w:p w14:paraId="61B4F75B"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2.711</w:t>
            </w:r>
          </w:p>
        </w:tc>
        <w:tc>
          <w:tcPr>
            <w:tcW w:w="1373" w:type="dxa"/>
            <w:hideMark/>
          </w:tcPr>
          <w:p w14:paraId="76823A4B"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0.012**</w:t>
            </w:r>
          </w:p>
        </w:tc>
      </w:tr>
    </w:tbl>
    <w:p w14:paraId="00BE7B1D"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Regression equation: Environmental resilience = 71.389 – 0.055(SDG 2) – 0.130(SDG 6) + 0.181(SDG 10); R² = 0.261</w:t>
      </w:r>
    </w:p>
    <w:p w14:paraId="2685C966" w14:textId="77777777" w:rsidR="00DF166D" w:rsidRPr="00823C09" w:rsidRDefault="00DF166D" w:rsidP="00622749">
      <w:pPr>
        <w:spacing w:after="160"/>
        <w:rPr>
          <w:rFonts w:ascii="Arial" w:eastAsia="Calibri" w:hAnsi="Arial" w:cs="Arial"/>
          <w:kern w:val="2"/>
          <w14:ligatures w14:val="standardContextual"/>
        </w:rPr>
      </w:pPr>
    </w:p>
    <w:p w14:paraId="758C1AEE"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Zero Hunger (SDG 2) on Environmental Resilience. </w:t>
      </w:r>
      <w:r w:rsidRPr="00823C09">
        <w:rPr>
          <w:rFonts w:ascii="Arial" w:eastAsia="Calibri" w:hAnsi="Arial" w:cs="Arial"/>
          <w:kern w:val="2"/>
          <w14:ligatures w14:val="standardContextual"/>
        </w:rPr>
        <w:t xml:space="preserve">The regression coefficient for SDG 2 is −0.055, indicating a negative relationship with environmental resilience. This suggests that every one-unit increase in SDG 2 achievement reduces environmental resilience by 0.055 points, assuming other variables remain constant. Although the effect is not statistically significant (p = 0.167), the negative sign reflects a critical ecological trade-off. In many rural areas, food security programs are often pursued through agricultural expansion or input-intensive farming practices, which can lead to deforestation, soil degradation, and water pollution </w:t>
      </w:r>
      <w:sdt>
        <w:sdtPr>
          <w:rPr>
            <w:rFonts w:ascii="Arial" w:eastAsia="Calibri" w:hAnsi="Arial" w:cs="Arial"/>
            <w:color w:val="000000"/>
            <w:kern w:val="2"/>
            <w14:ligatures w14:val="standardContextual"/>
          </w:rPr>
          <w:tag w:val="MENDELEY_CITATION_v3_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"/>
          <w:id w:val="-2052526924"/>
          <w:placeholder>
            <w:docPart w:val="19129F14316A40C2B5B8AB2D5763CB7D"/>
          </w:placeholder>
        </w:sdtPr>
        <w:sdtEndPr/>
        <w:sdtContent>
          <w:r w:rsidRPr="00823C09">
            <w:rPr>
              <w:rFonts w:ascii="Arial" w:eastAsia="Calibri" w:hAnsi="Arial" w:cs="Arial"/>
              <w:color w:val="000000"/>
              <w:kern w:val="2"/>
              <w14:ligatures w14:val="standardContextual"/>
            </w:rPr>
            <w:t>(FAO, 2019)</w:t>
          </w:r>
        </w:sdtContent>
      </w:sdt>
      <w:r w:rsidRPr="00823C09">
        <w:rPr>
          <w:rFonts w:ascii="Arial" w:eastAsia="Calibri" w:hAnsi="Arial" w:cs="Arial"/>
          <w:kern w:val="2"/>
          <w14:ligatures w14:val="standardContextual"/>
        </w:rPr>
        <w:t xml:space="preserve">. Thus, while SDG 2 aims to reduce hunger, its implementation may </w:t>
      </w:r>
      <w:r w:rsidRPr="00823C09">
        <w:rPr>
          <w:rFonts w:ascii="Arial" w:eastAsia="Calibri" w:hAnsi="Arial" w:cs="Arial"/>
          <w:kern w:val="2"/>
          <w14:ligatures w14:val="standardContextual"/>
        </w:rPr>
        <w:lastRenderedPageBreak/>
        <w:t xml:space="preserve">inadvertently undermine ecological resilience unless sustainable agroecological approaches are adopted </w:t>
      </w:r>
      <w:sdt>
        <w:sdtPr>
          <w:rPr>
            <w:rFonts w:ascii="Arial" w:eastAsia="Calibri" w:hAnsi="Arial" w:cs="Arial"/>
            <w:color w:val="000000"/>
            <w:kern w:val="2"/>
            <w14:ligatures w14:val="standardContextual"/>
          </w:rPr>
          <w:tag w:val="MENDELEY_CITATION_v3_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"/>
          <w:id w:val="-1440761305"/>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Monjane</w:t>
          </w:r>
          <w:proofErr w:type="spellEnd"/>
          <w:r w:rsidRPr="00823C09">
            <w:rPr>
              <w:rFonts w:ascii="Arial" w:eastAsia="Calibri" w:hAnsi="Arial" w:cs="Arial"/>
              <w:color w:val="000000"/>
              <w:kern w:val="2"/>
              <w14:ligatures w14:val="standardContextual"/>
            </w:rPr>
            <w:t>, 2019)</w:t>
          </w:r>
        </w:sdtContent>
      </w:sdt>
      <w:r w:rsidRPr="00823C09">
        <w:rPr>
          <w:rFonts w:ascii="Arial" w:eastAsia="Calibri" w:hAnsi="Arial" w:cs="Arial"/>
          <w:kern w:val="2"/>
          <w14:ligatures w14:val="standardContextual"/>
        </w:rPr>
        <w:t>.</w:t>
      </w:r>
    </w:p>
    <w:p w14:paraId="1AF20FBE" w14:textId="52C04531"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Clean Water and Sanitation (SDG 6) on Environmental Resilience. </w:t>
      </w:r>
      <w:r w:rsidRPr="00823C09">
        <w:rPr>
          <w:rFonts w:ascii="Arial" w:eastAsia="Calibri" w:hAnsi="Arial" w:cs="Arial"/>
          <w:kern w:val="2"/>
          <w14:ligatures w14:val="standardContextual"/>
        </w:rPr>
        <w:t xml:space="preserve">The coefficient for SDG 6 is </w:t>
      </w:r>
      <w:r w:rsidRPr="00823C09">
        <w:rPr>
          <w:rFonts w:ascii="Arial" w:eastAsia="Calibri" w:hAnsi="Arial" w:cs="Arial"/>
          <w:b/>
          <w:bCs/>
          <w:kern w:val="2"/>
          <w14:ligatures w14:val="standardContextual"/>
        </w:rPr>
        <w:t>−</w:t>
      </w:r>
      <w:r w:rsidRPr="00823C09">
        <w:rPr>
          <w:rFonts w:ascii="Arial" w:eastAsia="Calibri" w:hAnsi="Arial" w:cs="Arial"/>
          <w:kern w:val="2"/>
          <w14:ligatures w14:val="standardContextual"/>
        </w:rPr>
        <w:t xml:space="preserve">0.130 and is statistically significant at the 10% level (p = 0.091). This means that a one-unit increase in SDG 6 achievement decreases environmental resilience by 0.130 points, holding other variables constant. At first glance, this result seems counterintuitive, as access to clean water and sanitation is generally expected to enhance environmental and public health. However, unsustainable water infrastructure development, such as excessive groundwater extraction or poorly planned sanitation systems, may place additional pressure on local ecosystems </w:t>
      </w:r>
      <w:sdt>
        <w:sdtPr>
          <w:rPr>
            <w:rFonts w:ascii="Arial" w:eastAsia="Calibri" w:hAnsi="Arial" w:cs="Arial"/>
            <w:color w:val="000000"/>
            <w:kern w:val="2"/>
            <w14:ligatures w14:val="standardContextual"/>
          </w:rPr>
          <w:tag w:val="MENDELEY_CITATION_v3_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"/>
          <w:id w:val="-1621839943"/>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Kanoti</w:t>
          </w:r>
          <w:proofErr w:type="spellEnd"/>
          <w:r w:rsidRPr="00823C09">
            <w:rPr>
              <w:rFonts w:ascii="Arial" w:eastAsia="Calibri" w:hAnsi="Arial" w:cs="Arial"/>
              <w:color w:val="000000"/>
              <w:kern w:val="2"/>
              <w14:ligatures w14:val="standardContextual"/>
            </w:rPr>
            <w:t xml:space="preserve"> et al., 2019)</w:t>
          </w:r>
        </w:sdtContent>
      </w:sdt>
      <w:r w:rsidRPr="00823C09">
        <w:rPr>
          <w:rFonts w:ascii="Arial" w:eastAsia="Calibri" w:hAnsi="Arial" w:cs="Arial"/>
          <w:kern w:val="2"/>
          <w14:ligatures w14:val="standardContextual"/>
        </w:rPr>
        <w:t xml:space="preserve">. To reconcile this contradiction, policies should emphasize community-based water management and eco-friendly technologies, such as rainwater harvesting and decentralized wastewater treatment </w:t>
      </w:r>
      <w:sdt>
        <w:sdtPr>
          <w:rPr>
            <w:rFonts w:ascii="Arial" w:eastAsia="Calibri" w:hAnsi="Arial" w:cs="Arial"/>
            <w:color w:val="000000"/>
            <w:kern w:val="2"/>
            <w14:ligatures w14:val="standardContextual"/>
          </w:rPr>
          <w:tag w:val="MENDELEY_CITATION_v3_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"/>
          <w:id w:val="1740598821"/>
          <w:placeholder>
            <w:docPart w:val="19129F14316A40C2B5B8AB2D5763CB7D"/>
          </w:placeholder>
        </w:sdtPr>
        <w:sdtEndPr/>
        <w:sdtContent>
          <w:r w:rsidRPr="00823C09">
            <w:rPr>
              <w:rFonts w:ascii="Arial" w:eastAsia="Calibri" w:hAnsi="Arial" w:cs="Arial"/>
              <w:color w:val="000000"/>
              <w:kern w:val="2"/>
              <w14:ligatures w14:val="standardContextual"/>
            </w:rPr>
            <w:t>(Zang et al., 2021)</w:t>
          </w:r>
        </w:sdtContent>
      </w:sdt>
      <w:r w:rsidRPr="00823C09">
        <w:rPr>
          <w:rFonts w:ascii="Arial" w:eastAsia="Calibri" w:hAnsi="Arial" w:cs="Arial"/>
          <w:kern w:val="2"/>
          <w14:ligatures w14:val="standardContextual"/>
        </w:rPr>
        <w:t>.</w:t>
      </w:r>
    </w:p>
    <w:p w14:paraId="237E8605" w14:textId="21DBB296"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Reduced Inequalities (SDG 10) on Environmental Resilience. </w:t>
      </w:r>
      <w:r w:rsidRPr="00823C09">
        <w:rPr>
          <w:rFonts w:ascii="Arial" w:eastAsia="Calibri" w:hAnsi="Arial" w:cs="Arial"/>
          <w:kern w:val="2"/>
          <w14:ligatures w14:val="standardContextual"/>
        </w:rPr>
        <w:t xml:space="preserve">Unlike the previous two variables, SDG 10 shows a positive and significant effect on environmental resilience, with a coefficient of +0.181 (p = 0.012). This indicates that greater progress in reducing inequalities directly contributes to stronger environmental resilience. Inclusive societies, where marginalized groups have access to education, health services, and decision-making processes, are better equipped to implement sustainable resource management and conservation practices </w:t>
      </w:r>
      <w:sdt>
        <w:sdtPr>
          <w:rPr>
            <w:rFonts w:ascii="Arial" w:eastAsia="Calibri" w:hAnsi="Arial" w:cs="Arial"/>
            <w:color w:val="000000"/>
            <w:kern w:val="2"/>
            <w14:ligatures w14:val="standardContextual"/>
          </w:rPr>
          <w:tag w:val="MENDELEY_CITATION_v3_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"/>
          <w:id w:val="476425191"/>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Muchunguzi</w:t>
          </w:r>
          <w:proofErr w:type="spellEnd"/>
          <w:r w:rsidRPr="00823C09">
            <w:rPr>
              <w:rFonts w:ascii="Arial" w:eastAsia="Calibri" w:hAnsi="Arial" w:cs="Arial"/>
              <w:color w:val="000000"/>
              <w:kern w:val="2"/>
              <w14:ligatures w14:val="standardContextual"/>
            </w:rPr>
            <w:t>, 2023)</w:t>
          </w:r>
        </w:sdtContent>
      </w:sdt>
      <w:r w:rsidRPr="00823C09">
        <w:rPr>
          <w:rFonts w:ascii="Arial" w:eastAsia="Calibri" w:hAnsi="Arial" w:cs="Arial"/>
          <w:kern w:val="2"/>
          <w14:ligatures w14:val="standardContextual"/>
        </w:rPr>
        <w:t xml:space="preserve">. Supporting this, </w:t>
      </w:r>
      <w:sdt>
        <w:sdtPr>
          <w:rPr>
            <w:rFonts w:ascii="Arial" w:eastAsia="Calibri" w:hAnsi="Arial" w:cs="Arial"/>
            <w:color w:val="000000"/>
            <w:kern w:val="2"/>
            <w14:ligatures w14:val="standardContextual"/>
          </w:rPr>
          <w:tag w:val="MENDELEY_CITATION_v3_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"/>
          <w:id w:val="-1156220376"/>
          <w:placeholder>
            <w:docPart w:val="19129F14316A40C2B5B8AB2D5763CB7D"/>
          </w:placeholder>
        </w:sdtPr>
        <w:sdtEndPr/>
        <w:sdtContent>
          <w:r w:rsidRPr="00823C09">
            <w:rPr>
              <w:rFonts w:ascii="Arial" w:eastAsia="Calibri" w:hAnsi="Arial" w:cs="Arial"/>
              <w:color w:val="000000"/>
              <w:kern w:val="2"/>
              <w14:ligatures w14:val="standardContextual"/>
            </w:rPr>
            <w:t>(Islam, 2015)</w:t>
          </w:r>
        </w:sdtContent>
      </w:sdt>
      <w:r w:rsidRPr="00823C09">
        <w:rPr>
          <w:rFonts w:ascii="Arial" w:eastAsia="Calibri" w:hAnsi="Arial" w:cs="Arial"/>
          <w:kern w:val="2"/>
          <w14:ligatures w14:val="standardContextual"/>
        </w:rPr>
        <w:t xml:space="preserve"> found that inequality exacerbates environmental degradation, while equitable distribution fosters ecological sustainability. Strengthening social equity programs and participatory governance in disadvantaged villages is therefore a critical pathway toward resilience.</w:t>
      </w:r>
      <w:r w:rsidR="00622749" w:rsidRPr="00823C09">
        <w:rPr>
          <w:rFonts w:ascii="Arial" w:eastAsia="Calibri" w:hAnsi="Arial" w:cs="Arial"/>
          <w:kern w:val="2"/>
          <w14:ligatures w14:val="standardContextual"/>
        </w:rPr>
        <w:t xml:space="preserve"> </w:t>
      </w:r>
      <w:proofErr w:type="gramStart"/>
      <w:r w:rsidR="00622749" w:rsidRPr="00823C09">
        <w:rPr>
          <w:rFonts w:ascii="Arial" w:eastAsia="Calibri" w:hAnsi="Arial" w:cs="Arial"/>
          <w:kern w:val="2"/>
          <w14:ligatures w14:val="standardContextual"/>
        </w:rPr>
        <w:t>This</w:t>
      </w:r>
      <w:r w:rsidRPr="00823C09">
        <w:rPr>
          <w:rFonts w:ascii="Arial" w:eastAsia="Calibri" w:hAnsi="Arial" w:cs="Arial"/>
          <w:kern w:val="2"/>
          <w14:ligatures w14:val="standardContextual"/>
        </w:rPr>
        <w:t xml:space="preserve"> findings</w:t>
      </w:r>
      <w:proofErr w:type="gramEnd"/>
      <w:r w:rsidRPr="00823C09">
        <w:rPr>
          <w:rFonts w:ascii="Arial" w:eastAsia="Calibri" w:hAnsi="Arial" w:cs="Arial"/>
          <w:kern w:val="2"/>
          <w14:ligatures w14:val="standardContextual"/>
        </w:rPr>
        <w:t xml:space="preserve"> highlight the complexity of interactions between social development and environmental resilience. While food security (SDG 2) and water access (SDG 6) may have unintended ecological costs if pursued unsustainably, reducing inequality (SDG 10) emerges as a robust driver of resilience. These results underscore the need for integrated and cross-sectoral strategies that balance immediate human needs with long-term ecological sustainability in rural development planning.</w:t>
      </w:r>
    </w:p>
    <w:p w14:paraId="47E82EC7" w14:textId="69AA83A1" w:rsidR="00DF166D" w:rsidRPr="00823C09" w:rsidRDefault="00DF166D" w:rsidP="00622749">
      <w:pPr>
        <w:spacing w:after="160"/>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3.3 Policy Implications</w:t>
      </w:r>
    </w:p>
    <w:p w14:paraId="315774A4"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analysis of the Environmental Resilience Index reveals disparities among villages classified as very underdeveloped and underdeveloped. Some villages in the very underdeveloped category, such as </w:t>
      </w: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recorded relatively high environmental resilience scores. This condition indicates the presence of local capacity in maintaining environmental sustainability and ecological resilience despite socioeconomic limitations. Such potential can serve as a model for replication of conservation-based development through forest protection, water resource management, and the strengthening of sustainable agricultural systems. Villages with strong local conservation practices can become the foundation for sustainable rural development if supported by adaptive policies and institutions </w:t>
      </w:r>
      <w:sdt>
        <w:sdtPr>
          <w:rPr>
            <w:rFonts w:ascii="Arial" w:eastAsia="Calibri" w:hAnsi="Arial" w:cs="Arial"/>
            <w:color w:val="000000"/>
            <w:kern w:val="2"/>
            <w14:ligatures w14:val="standardContextual"/>
          </w:rPr>
          <w:tag w:val="MENDELEY_CITATION_v3_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"/>
          <w:id w:val="1338421416"/>
          <w:placeholder>
            <w:docPart w:val="19129F14316A40C2B5B8AB2D5763CB7D"/>
          </w:placeholder>
        </w:sdtPr>
        <w:sdtEndPr/>
        <w:sdtContent>
          <w:r w:rsidRPr="00823C09">
            <w:rPr>
              <w:rFonts w:ascii="Arial" w:hAnsi="Arial" w:cs="Arial"/>
              <w:color w:val="000000"/>
              <w:kern w:val="2"/>
              <w14:ligatures w14:val="standardContextual"/>
            </w:rPr>
            <w:t>(He &amp; Jiao, 2022, 2023)</w:t>
          </w:r>
        </w:sdtContent>
      </w:sdt>
      <w:r w:rsidRPr="00823C09">
        <w:rPr>
          <w:rFonts w:ascii="Arial" w:eastAsia="Calibri" w:hAnsi="Arial" w:cs="Arial"/>
          <w:kern w:val="2"/>
          <w14:ligatures w14:val="standardContextual"/>
        </w:rPr>
        <w:t xml:space="preserve">. In contrast, villages with low scores, such as </w:t>
      </w:r>
      <w:proofErr w:type="spellStart"/>
      <w:r w:rsidRPr="00823C09">
        <w:rPr>
          <w:rFonts w:ascii="Arial" w:eastAsia="Calibri" w:hAnsi="Arial" w:cs="Arial"/>
          <w:kern w:val="2"/>
          <w14:ligatures w14:val="standardContextual"/>
        </w:rPr>
        <w:t>Ningdip</w:t>
      </w:r>
      <w:proofErr w:type="spellEnd"/>
      <w:r w:rsidRPr="00823C09">
        <w:rPr>
          <w:rFonts w:ascii="Arial" w:eastAsia="Calibri" w:hAnsi="Arial" w:cs="Arial"/>
          <w:kern w:val="2"/>
          <w14:ligatures w14:val="standardContextual"/>
        </w:rPr>
        <w:t xml:space="preserve">, require priority interventions through environmental restoration programs, the development of environmentally friendly infrastructure such as clean water and sanitation facilities, and the strengthening of community awareness on the importance of natural resource governance. This finding aligns with </w:t>
      </w:r>
      <w:sdt>
        <w:sdtPr>
          <w:rPr>
            <w:rFonts w:ascii="Arial" w:eastAsia="Calibri" w:hAnsi="Arial" w:cs="Arial"/>
            <w:color w:val="000000"/>
            <w:kern w:val="2"/>
            <w14:ligatures w14:val="standardContextual"/>
          </w:rPr>
          <w:tag w:val="MENDELEY_CITATION_v3_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"/>
          <w:id w:val="469790856"/>
          <w:placeholder>
            <w:docPart w:val="19129F14316A40C2B5B8AB2D5763CB7D"/>
          </w:placeholder>
        </w:sdtPr>
        <w:sdtEndPr/>
        <w:sdtContent>
          <w:r w:rsidRPr="00823C09">
            <w:rPr>
              <w:rFonts w:ascii="Arial" w:eastAsia="Calibri" w:hAnsi="Arial" w:cs="Arial"/>
              <w:color w:val="000000"/>
              <w:kern w:val="2"/>
              <w14:ligatures w14:val="standardContextual"/>
            </w:rPr>
            <w:t>(Chen et al., 2022)</w:t>
          </w:r>
        </w:sdtContent>
      </w:sdt>
      <w:r w:rsidRPr="00823C09">
        <w:rPr>
          <w:rFonts w:ascii="Arial" w:eastAsia="Calibri" w:hAnsi="Arial" w:cs="Arial"/>
          <w:kern w:val="2"/>
          <w14:ligatures w14:val="standardContextual"/>
        </w:rPr>
        <w:t>, who argue that rural development requires differentiated strategies in regions with weak ecological capacities.</w:t>
      </w:r>
    </w:p>
    <w:p w14:paraId="03228415"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Within the underdeveloped village group,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provides an interesting case. Despite its underdeveloped status, the village achieved a relatively high Environmental Resilience Index (ERI), suggesting resilience potential that can be harnessed to support holistic village development. Relevant policies include strengthening village institutions, integrating ERI indicators into village development planning, and empowering local economies through </w:t>
      </w:r>
      <w:r w:rsidRPr="00823C09">
        <w:rPr>
          <w:rFonts w:ascii="Arial" w:eastAsia="Calibri" w:hAnsi="Arial" w:cs="Arial"/>
          <w:kern w:val="2"/>
          <w14:ligatures w14:val="standardContextual"/>
        </w:rPr>
        <w:lastRenderedPageBreak/>
        <w:t xml:space="preserve">sustainable use of natural resources. Conversely, villages such as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Snaimboy</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Madrat</w:t>
      </w:r>
      <w:proofErr w:type="spellEnd"/>
      <w:r w:rsidRPr="00823C09">
        <w:rPr>
          <w:rFonts w:ascii="Arial" w:eastAsia="Calibri" w:hAnsi="Arial" w:cs="Arial"/>
          <w:kern w:val="2"/>
          <w14:ligatures w14:val="standardContextual"/>
        </w:rPr>
        <w:t xml:space="preserve"> still recorded low ERI scores, requiring cross-sector interventions. These may include enhancing institutional capacity for environmental risk mitigation, providing basic services to improve community well-being, and implementing community-based natural resource management programs. These recommendations are in line with </w:t>
      </w:r>
      <w:proofErr w:type="spellStart"/>
      <w:r w:rsidRPr="00823C09">
        <w:rPr>
          <w:rFonts w:ascii="Arial" w:eastAsia="Calibri" w:hAnsi="Arial" w:cs="Arial"/>
          <w:kern w:val="2"/>
          <w14:ligatures w14:val="standardContextual"/>
        </w:rPr>
        <w:t>Nursini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Pujiati</w:t>
      </w:r>
      <w:proofErr w:type="spellEnd"/>
      <w:r w:rsidRPr="00823C09">
        <w:rPr>
          <w:rFonts w:ascii="Arial" w:eastAsia="Calibri" w:hAnsi="Arial" w:cs="Arial"/>
          <w:kern w:val="2"/>
          <w14:ligatures w14:val="standardContextual"/>
        </w:rPr>
        <w:t xml:space="preserve"> (2020), who stress the importance of local institutions and community participation in improving socio-ecological resilience in rural areas.</w:t>
      </w:r>
    </w:p>
    <w:p w14:paraId="5E31DE90"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In relation to the Village SDGs, the findings of this study show varying achievements. For SDG 2 (Zero Hunger), several very underdeveloped villages such as </w:t>
      </w:r>
      <w:proofErr w:type="spellStart"/>
      <w:r w:rsidRPr="00823C09">
        <w:rPr>
          <w:rFonts w:ascii="Arial" w:eastAsia="Calibri" w:hAnsi="Arial" w:cs="Arial"/>
          <w:kern w:val="2"/>
          <w14:ligatures w14:val="standardContextual"/>
        </w:rPr>
        <w:t>Umnum</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and </w:t>
      </w:r>
      <w:proofErr w:type="spellStart"/>
      <w:r w:rsidRPr="00823C09">
        <w:rPr>
          <w:rFonts w:ascii="Arial" w:eastAsia="Calibri" w:hAnsi="Arial" w:cs="Arial"/>
          <w:kern w:val="2"/>
          <w14:ligatures w14:val="standardContextual"/>
        </w:rPr>
        <w:t>Rembuy</w:t>
      </w:r>
      <w:proofErr w:type="spellEnd"/>
      <w:r w:rsidRPr="00823C09">
        <w:rPr>
          <w:rFonts w:ascii="Arial" w:eastAsia="Calibri" w:hAnsi="Arial" w:cs="Arial"/>
          <w:kern w:val="2"/>
          <w14:ligatures w14:val="standardContextual"/>
        </w:rPr>
        <w:t xml:space="preserve"> demonstrated strong local food security. The government can strengthen this condition by protecting agricultural land, promoting household gardens, and preserving traditional food systems as the basis for food resilience. Conversely, villages with low scores, such as </w:t>
      </w: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require interventions to improve food access, diversify agriculture, and implement inclusive community nutrition programs. Within the underdeveloped village group,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can serve as a best practice example for integrating food security into village development plans, whereas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Syou</w:t>
      </w:r>
      <w:proofErr w:type="spellEnd"/>
      <w:r w:rsidRPr="00823C09">
        <w:rPr>
          <w:rFonts w:ascii="Arial" w:eastAsia="Calibri" w:hAnsi="Arial" w:cs="Arial"/>
          <w:kern w:val="2"/>
          <w14:ligatures w14:val="standardContextual"/>
        </w:rPr>
        <w:t xml:space="preserve"> require support in the form of community food barns, crop diversification, and increased women’s roles in food production. These findings are consistent with </w:t>
      </w:r>
      <w:sdt>
        <w:sdtPr>
          <w:rPr>
            <w:rFonts w:ascii="Arial" w:eastAsia="Calibri" w:hAnsi="Arial" w:cs="Arial"/>
            <w:color w:val="000000"/>
            <w:kern w:val="2"/>
            <w14:ligatures w14:val="standardContextual"/>
          </w:rPr>
          <w:tag w:val="MENDELEY_CITATION_v3_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"/>
          <w:id w:val="607470100"/>
          <w:placeholder>
            <w:docPart w:val="19129F14316A40C2B5B8AB2D5763CB7D"/>
          </w:placeholder>
        </w:sdtPr>
        <w:sdtEndPr/>
        <w:sdtContent>
          <w:r w:rsidRPr="00823C09">
            <w:rPr>
              <w:rFonts w:ascii="Arial" w:eastAsia="Calibri" w:hAnsi="Arial" w:cs="Arial"/>
              <w:color w:val="000000"/>
              <w:kern w:val="2"/>
              <w14:ligatures w14:val="standardContextual"/>
            </w:rPr>
            <w:t>(FAO, 2019)</w:t>
          </w:r>
        </w:sdtContent>
      </w:sdt>
      <w:r w:rsidRPr="00823C09">
        <w:rPr>
          <w:rFonts w:ascii="Arial" w:eastAsia="Calibri" w:hAnsi="Arial" w:cs="Arial"/>
          <w:kern w:val="2"/>
          <w14:ligatures w14:val="standardContextual"/>
        </w:rPr>
        <w:t>, which emphasizes that local food diversification and gender roles are key to strengthening rural food security.</w:t>
      </w:r>
    </w:p>
    <w:p w14:paraId="3A34185A"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For SDG 6 (Clean Water and Sanitation), </w:t>
      </w:r>
      <w:proofErr w:type="spellStart"/>
      <w:r w:rsidRPr="00823C09">
        <w:rPr>
          <w:rFonts w:ascii="Arial" w:eastAsia="Calibri" w:hAnsi="Arial" w:cs="Arial"/>
          <w:kern w:val="2"/>
          <w14:ligatures w14:val="standardContextual"/>
        </w:rPr>
        <w:t>Ningdip</w:t>
      </w:r>
      <w:proofErr w:type="spellEnd"/>
      <w:r w:rsidRPr="00823C09">
        <w:rPr>
          <w:rFonts w:ascii="Arial" w:eastAsia="Calibri" w:hAnsi="Arial" w:cs="Arial"/>
          <w:kern w:val="2"/>
          <w14:ligatures w14:val="standardContextual"/>
        </w:rPr>
        <w:t xml:space="preserve">, despite its very underdeveloped status, has successfully maintained access to clean water. This achievement should be preserved through maintenance of water systems, sanitation education, and replication of good practices in other villages. Conversely,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requires the development of basic infrastructure such as bore wells, gravity-fed piping systems, and community-supported sanitation facilities. In underdeveloped villages,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recorded a high score and could serve as a model of community-based sanitation management, for instance, through integrated household waste management and rainwater harvesting.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on the other hand, scored low and thus requires urgent interventions in the form of safe drinking water facilities, communal sanitation, and hygiene education programs. This condition resonates with </w:t>
      </w:r>
      <w:sdt>
        <w:sdtPr>
          <w:rPr>
            <w:rFonts w:ascii="Arial" w:eastAsia="Calibri" w:hAnsi="Arial" w:cs="Arial"/>
            <w:color w:val="000000"/>
            <w:kern w:val="2"/>
            <w14:ligatures w14:val="standardContextual"/>
          </w:rPr>
          <w:tag w:val="MENDELEY_CITATION_v3_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"/>
          <w:id w:val="2103918023"/>
          <w:placeholder>
            <w:docPart w:val="19129F14316A40C2B5B8AB2D5763CB7D"/>
          </w:placeholder>
        </w:sdtPr>
        <w:sdtEndPr/>
        <w:sdtContent>
          <w:r w:rsidRPr="00823C09">
            <w:rPr>
              <w:rFonts w:ascii="Arial" w:eastAsia="Calibri" w:hAnsi="Arial" w:cs="Arial"/>
              <w:color w:val="000000"/>
              <w:kern w:val="2"/>
              <w14:ligatures w14:val="standardContextual"/>
            </w:rPr>
            <w:t>Souza et al., (2025)</w:t>
          </w:r>
        </w:sdtContent>
      </w:sdt>
      <w:r w:rsidRPr="00823C09">
        <w:rPr>
          <w:rFonts w:ascii="Arial" w:eastAsia="Calibri" w:hAnsi="Arial" w:cs="Arial"/>
          <w:kern w:val="2"/>
          <w14:ligatures w14:val="standardContextual"/>
        </w:rPr>
        <w:t>, which underline that access to safe water and sanitation is critical for improving the quality of life in poor rural communities.</w:t>
      </w:r>
    </w:p>
    <w:p w14:paraId="7B96FD99"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For SDG 10 (Reduced Inequalities), very underdeveloped villages such as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highlight the importance of maintaining inclusive access to basic services, which could serve as models for integrating social protection programs into other villages. Conversely, </w:t>
      </w: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requires strengthened services for vulnerable groups through affirmative policies targeting women, the elderly, and persons with disabilities. Among underdeveloped villages,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Kwau</w:t>
      </w:r>
      <w:proofErr w:type="spellEnd"/>
      <w:r w:rsidRPr="00823C09">
        <w:rPr>
          <w:rFonts w:ascii="Arial" w:eastAsia="Calibri" w:hAnsi="Arial" w:cs="Arial"/>
          <w:kern w:val="2"/>
          <w14:ligatures w14:val="standardContextual"/>
        </w:rPr>
        <w:t xml:space="preserve"> demonstrated good equity in basic service provision, which should be expanded further. Conversely,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Syou</w:t>
      </w:r>
      <w:proofErr w:type="spellEnd"/>
      <w:r w:rsidRPr="00823C09">
        <w:rPr>
          <w:rFonts w:ascii="Arial" w:eastAsia="Calibri" w:hAnsi="Arial" w:cs="Arial"/>
          <w:kern w:val="2"/>
          <w14:ligatures w14:val="standardContextual"/>
        </w:rPr>
        <w:t xml:space="preserve"> need special attention through programs that improve access to education, healthcare, and the involvement of marginalized groups in development planning. These findings are in line with </w:t>
      </w:r>
      <w:sdt>
        <w:sdtPr>
          <w:rPr>
            <w:rFonts w:ascii="Arial" w:eastAsia="Calibri" w:hAnsi="Arial" w:cs="Arial"/>
            <w:color w:val="000000"/>
            <w:kern w:val="2"/>
            <w14:ligatures w14:val="standardContextual"/>
          </w:rPr>
          <w:tag w:val="MENDELEY_CITATION_v3_eyJjaXRhdGlvbklEIjoiTUVOREVMRVlfQ0lUQVRJT05fODNkN2RiNmUtZTA4YS00ZjBmLTgwZmMtZTI4YjhjYmZlNmExIiwicHJvcGVydGllcyI6eyJub3RlSW5kZXgiOjB9LCJpc0VkaXRlZCI6ZmFsc2UsIm1hbnVhbE92ZXJyaWRlIjp7ImlzTWFudWFsbHlPdmVycmlkZGVuIjp0cnVlLCJjaXRlcHJvY1RleHQiOiIoQmFwcGVuYXMsIDIwMjApIiwibWFudWFsT3ZlcnJpZGVUZXh0IjoiQmFwcGVuYXMsICgyMDIwKS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1711258819"/>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Bappenas</w:t>
          </w:r>
          <w:proofErr w:type="spellEnd"/>
          <w:r w:rsidRPr="00823C09">
            <w:rPr>
              <w:rFonts w:ascii="Arial" w:eastAsia="Calibri" w:hAnsi="Arial" w:cs="Arial"/>
              <w:color w:val="000000"/>
              <w:kern w:val="2"/>
              <w14:ligatures w14:val="standardContextual"/>
            </w:rPr>
            <w:t>, (2020)</w:t>
          </w:r>
        </w:sdtContent>
      </w:sdt>
      <w:r w:rsidRPr="00823C09">
        <w:rPr>
          <w:rFonts w:ascii="Arial" w:eastAsia="Calibri" w:hAnsi="Arial" w:cs="Arial"/>
          <w:kern w:val="2"/>
          <w14:ligatures w14:val="standardContextual"/>
        </w:rPr>
        <w:t>, which highlights that inclusivity in rural development is a key factor in achieving SDGs at the local level.</w:t>
      </w:r>
    </w:p>
    <w:p w14:paraId="6A8BCCAB" w14:textId="5D2E9B1B"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3.4 Policy Roadmap Based on ERI and SDGs 2, 6, and 10</w:t>
      </w:r>
    </w:p>
    <w:p w14:paraId="1037A027"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policy implications derived from the Environmental Resilience Index (ERI) analysis and the achievement of Village SDGs highlight the need for differentiated strategies between very underdeveloped and underdeveloped villages (Table 5). The integration of ERI and Village SDGs indicates that each group of villages requires tailored approaches to address their specific challenges and potentials. This roadmap focuses on three priority goals—SDG 2 (Zero Hunger), SDG 6 (Clean Water and Sanitation), and SDG 10 (Reduced Inequalities)—as they </w:t>
      </w:r>
      <w:r w:rsidRPr="00823C09">
        <w:rPr>
          <w:rFonts w:ascii="Arial" w:eastAsia="Calibri" w:hAnsi="Arial" w:cs="Arial"/>
          <w:kern w:val="2"/>
          <w14:ligatures w14:val="standardContextual"/>
        </w:rPr>
        <w:lastRenderedPageBreak/>
        <w:t>represent the most critical dimensions of resilience and community welfare in the studied areas. Villages with higher ERI and stronger SDG performance can serve as models for replication and scaling up best practices, while those with weaker scores demand urgent and targeted interventions. Accordingly, the roadmap provides strategic directions for each village cluster by linking ecological resilience capacity with priority SDG achievements to ensure sustainable and inclusive rural development.</w:t>
      </w:r>
    </w:p>
    <w:p w14:paraId="4107BE73"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5. Strategic Directions for Very Underdeveloped and Underdeveloped Villages, Linking ERI Capacity with SDGs 2, 6, and 10.</w:t>
      </w:r>
    </w:p>
    <w:tbl>
      <w:tblPr>
        <w:tblW w:w="822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87"/>
        <w:gridCol w:w="4450"/>
      </w:tblGrid>
      <w:tr w:rsidR="00DF166D" w:rsidRPr="00823C09" w14:paraId="0C79FD1A" w14:textId="77777777" w:rsidTr="00DF166D">
        <w:trPr>
          <w:tblHeader/>
          <w:tblCellSpacing w:w="15" w:type="dxa"/>
        </w:trPr>
        <w:tc>
          <w:tcPr>
            <w:tcW w:w="1940" w:type="dxa"/>
            <w:vAlign w:val="center"/>
            <w:hideMark/>
          </w:tcPr>
          <w:p w14:paraId="61222A2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Category</w:t>
            </w:r>
          </w:p>
        </w:tc>
        <w:tc>
          <w:tcPr>
            <w:tcW w:w="1757" w:type="dxa"/>
            <w:vAlign w:val="center"/>
            <w:hideMark/>
          </w:tcPr>
          <w:p w14:paraId="76B7F4FA"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Villages</w:t>
            </w:r>
          </w:p>
        </w:tc>
        <w:tc>
          <w:tcPr>
            <w:tcW w:w="4405" w:type="dxa"/>
            <w:vAlign w:val="center"/>
            <w:hideMark/>
          </w:tcPr>
          <w:p w14:paraId="00E8485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Strategic Direction </w:t>
            </w:r>
          </w:p>
          <w:p w14:paraId="0A3E20B9" w14:textId="2B554296"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(Integrated ERI &amp; SDGs 2, 6, 10)</w:t>
            </w:r>
          </w:p>
        </w:tc>
      </w:tr>
      <w:tr w:rsidR="00DF166D" w:rsidRPr="00823C09" w14:paraId="5DC415D1" w14:textId="77777777" w:rsidTr="00DF166D">
        <w:trPr>
          <w:tblCellSpacing w:w="15" w:type="dxa"/>
        </w:trPr>
        <w:tc>
          <w:tcPr>
            <w:tcW w:w="1940" w:type="dxa"/>
            <w:tcBorders>
              <w:top w:val="single" w:sz="4" w:space="0" w:color="auto"/>
              <w:bottom w:val="nil"/>
            </w:tcBorders>
            <w:hideMark/>
          </w:tcPr>
          <w:p w14:paraId="3EEF8225"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1757" w:type="dxa"/>
            <w:tcBorders>
              <w:top w:val="single" w:sz="4" w:space="0" w:color="auto"/>
              <w:bottom w:val="nil"/>
            </w:tcBorders>
            <w:hideMark/>
          </w:tcPr>
          <w:p w14:paraId="0560AC0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Warmarwai</w:t>
            </w:r>
            <w:proofErr w:type="spellEnd"/>
          </w:p>
        </w:tc>
        <w:tc>
          <w:tcPr>
            <w:tcW w:w="4405" w:type="dxa"/>
            <w:tcBorders>
              <w:top w:val="single" w:sz="4" w:space="0" w:color="auto"/>
              <w:bottom w:val="nil"/>
            </w:tcBorders>
            <w:hideMark/>
          </w:tcPr>
          <w:p w14:paraId="68B408D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and replicate conservation-based livelihoods (forests, water, agriculture) to sustain food security (SDG 2) and clean water access (SDG 6), while ensuring inclusive community involvement (SDG 10).</w:t>
            </w:r>
          </w:p>
        </w:tc>
      </w:tr>
      <w:tr w:rsidR="00DF166D" w:rsidRPr="00823C09" w14:paraId="0FDCB08A" w14:textId="77777777" w:rsidTr="00DF166D">
        <w:trPr>
          <w:tblCellSpacing w:w="15" w:type="dxa"/>
        </w:trPr>
        <w:tc>
          <w:tcPr>
            <w:tcW w:w="1940" w:type="dxa"/>
            <w:hideMark/>
          </w:tcPr>
          <w:p w14:paraId="4685DA7A"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81B553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Ningdip</w:t>
            </w:r>
            <w:proofErr w:type="spellEnd"/>
          </w:p>
        </w:tc>
        <w:tc>
          <w:tcPr>
            <w:tcW w:w="4405" w:type="dxa"/>
            <w:hideMark/>
          </w:tcPr>
          <w:p w14:paraId="6BA0B8C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Prioritize ecological restoration and develop eco-friendly infrastructure (water, sanitation) to address low ERI (SDG 6), while building institutional capacity to reduce inequalities in service access (SDG 10).</w:t>
            </w:r>
          </w:p>
        </w:tc>
      </w:tr>
      <w:tr w:rsidR="00DF166D" w:rsidRPr="00823C09" w14:paraId="5E9B629D" w14:textId="77777777" w:rsidTr="00DF166D">
        <w:trPr>
          <w:tblCellSpacing w:w="15" w:type="dxa"/>
        </w:trPr>
        <w:tc>
          <w:tcPr>
            <w:tcW w:w="1940" w:type="dxa"/>
            <w:hideMark/>
          </w:tcPr>
          <w:p w14:paraId="206D4B51"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BEF2A3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Umnum</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w:t>
            </w:r>
            <w:proofErr w:type="spellStart"/>
            <w:r w:rsidRPr="00823C09">
              <w:rPr>
                <w:rFonts w:ascii="Arial" w:eastAsia="Calibri" w:hAnsi="Arial" w:cs="Arial"/>
                <w:kern w:val="2"/>
                <w14:ligatures w14:val="standardContextual"/>
              </w:rPr>
              <w:t>Rembuy</w:t>
            </w:r>
            <w:proofErr w:type="spellEnd"/>
          </w:p>
        </w:tc>
        <w:tc>
          <w:tcPr>
            <w:tcW w:w="4405" w:type="dxa"/>
            <w:hideMark/>
          </w:tcPr>
          <w:p w14:paraId="41330D8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Consolidate strong food security through protection of farmland and traditional food systems (SDG 2), while gradually expanding access to basic services for equity (SDG 10).</w:t>
            </w:r>
          </w:p>
        </w:tc>
      </w:tr>
      <w:tr w:rsidR="00DF166D" w:rsidRPr="00823C09" w14:paraId="67F245BC" w14:textId="77777777" w:rsidTr="00DF166D">
        <w:trPr>
          <w:tblCellSpacing w:w="15" w:type="dxa"/>
        </w:trPr>
        <w:tc>
          <w:tcPr>
            <w:tcW w:w="1940" w:type="dxa"/>
            <w:hideMark/>
          </w:tcPr>
          <w:p w14:paraId="0A230811"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7CF91E48"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Warmarwai</w:t>
            </w:r>
            <w:proofErr w:type="spellEnd"/>
          </w:p>
        </w:tc>
        <w:tc>
          <w:tcPr>
            <w:tcW w:w="4405" w:type="dxa"/>
            <w:hideMark/>
          </w:tcPr>
          <w:p w14:paraId="7C0BB38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Address food insecurity with agricultural diversification and inclusive nutrition programs (SDG 2), complemented by stronger social services for vulnerable groups (SDG 10).</w:t>
            </w:r>
          </w:p>
        </w:tc>
      </w:tr>
      <w:tr w:rsidR="00DF166D" w:rsidRPr="00823C09" w14:paraId="6EEDEBD1" w14:textId="77777777" w:rsidTr="00DF166D">
        <w:trPr>
          <w:tblCellSpacing w:w="15" w:type="dxa"/>
        </w:trPr>
        <w:tc>
          <w:tcPr>
            <w:tcW w:w="1940" w:type="dxa"/>
            <w:hideMark/>
          </w:tcPr>
          <w:p w14:paraId="546A3076"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08D1FFAE"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Mbatma</w:t>
            </w:r>
            <w:proofErr w:type="spellEnd"/>
          </w:p>
        </w:tc>
        <w:tc>
          <w:tcPr>
            <w:tcW w:w="4405" w:type="dxa"/>
            <w:hideMark/>
          </w:tcPr>
          <w:p w14:paraId="7B4A5D65"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Develop basic water and sanitation infrastructure (bore wells, pipelines, communal sanitation) to improve health and well-being (SDG 6), while ensuring fair distribution across households (SDG 10).</w:t>
            </w:r>
          </w:p>
        </w:tc>
      </w:tr>
      <w:tr w:rsidR="00DF166D" w:rsidRPr="00823C09" w14:paraId="3FD93A95" w14:textId="77777777" w:rsidTr="00DF166D">
        <w:trPr>
          <w:tblCellSpacing w:w="15" w:type="dxa"/>
        </w:trPr>
        <w:tc>
          <w:tcPr>
            <w:tcW w:w="1940" w:type="dxa"/>
            <w:hideMark/>
          </w:tcPr>
          <w:p w14:paraId="387CA225"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20652A9A"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w:t>
            </w:r>
            <w:proofErr w:type="spellStart"/>
            <w:r w:rsidRPr="00823C09">
              <w:rPr>
                <w:rFonts w:ascii="Arial" w:eastAsia="Calibri" w:hAnsi="Arial" w:cs="Arial"/>
                <w:kern w:val="2"/>
                <w14:ligatures w14:val="standardContextual"/>
              </w:rPr>
              <w:t>Warmarwai</w:t>
            </w:r>
            <w:proofErr w:type="spellEnd"/>
          </w:p>
        </w:tc>
        <w:tc>
          <w:tcPr>
            <w:tcW w:w="4405" w:type="dxa"/>
            <w:hideMark/>
          </w:tcPr>
          <w:p w14:paraId="64202285"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Leverage inclusive service systems as models of social protection (SDG 10), while strengthening community-based food and water systems to sustain resilience (SDG 2 &amp; SDG 6).</w:t>
            </w:r>
          </w:p>
        </w:tc>
      </w:tr>
      <w:tr w:rsidR="00DF166D" w:rsidRPr="00823C09" w14:paraId="27298BCC" w14:textId="77777777" w:rsidTr="00DF166D">
        <w:trPr>
          <w:tblCellSpacing w:w="15" w:type="dxa"/>
        </w:trPr>
        <w:tc>
          <w:tcPr>
            <w:tcW w:w="1940" w:type="dxa"/>
            <w:hideMark/>
          </w:tcPr>
          <w:p w14:paraId="0BA9400C"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1757" w:type="dxa"/>
            <w:hideMark/>
          </w:tcPr>
          <w:p w14:paraId="770ABEA2"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p>
        </w:tc>
        <w:tc>
          <w:tcPr>
            <w:tcW w:w="4405" w:type="dxa"/>
            <w:hideMark/>
          </w:tcPr>
          <w:p w14:paraId="7240487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Utilize high ERI to integrate ecological resilience into village planning, enhance sustainable food production (SDG 2), and expand inclusive service delivery (SDG 10).</w:t>
            </w:r>
          </w:p>
        </w:tc>
      </w:tr>
      <w:tr w:rsidR="00DF166D" w:rsidRPr="00823C09" w14:paraId="1933605C" w14:textId="77777777" w:rsidTr="00DF166D">
        <w:trPr>
          <w:tblCellSpacing w:w="15" w:type="dxa"/>
        </w:trPr>
        <w:tc>
          <w:tcPr>
            <w:tcW w:w="1940" w:type="dxa"/>
            <w:hideMark/>
          </w:tcPr>
          <w:p w14:paraId="7FE4E759"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0B8C4429"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Snaimboy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Madrat</w:t>
            </w:r>
            <w:proofErr w:type="spellEnd"/>
          </w:p>
        </w:tc>
        <w:tc>
          <w:tcPr>
            <w:tcW w:w="4405" w:type="dxa"/>
            <w:hideMark/>
          </w:tcPr>
          <w:p w14:paraId="1F1F921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environmental risk mitigation and community-based resource management to address weak ERI, alongside provision of clean water and equitable services (SDG 6 &amp; SDG 10).</w:t>
            </w:r>
          </w:p>
        </w:tc>
      </w:tr>
      <w:tr w:rsidR="00DF166D" w:rsidRPr="00823C09" w14:paraId="5E9489D8" w14:textId="77777777" w:rsidTr="00DF166D">
        <w:trPr>
          <w:tblCellSpacing w:w="15" w:type="dxa"/>
        </w:trPr>
        <w:tc>
          <w:tcPr>
            <w:tcW w:w="1940" w:type="dxa"/>
            <w:hideMark/>
          </w:tcPr>
          <w:p w14:paraId="63045627"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386A00DE"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Subsay</w:t>
            </w:r>
            <w:proofErr w:type="spellEnd"/>
          </w:p>
        </w:tc>
        <w:tc>
          <w:tcPr>
            <w:tcW w:w="4405" w:type="dxa"/>
            <w:hideMark/>
          </w:tcPr>
          <w:p w14:paraId="55B0114D"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Institutionalize strong food security within village planning as a best-practice model (SDG 2), while closing service gaps to reduce inequalities (SDG 10).</w:t>
            </w:r>
          </w:p>
        </w:tc>
      </w:tr>
      <w:tr w:rsidR="00DF166D" w:rsidRPr="00823C09" w14:paraId="3773FB32" w14:textId="77777777" w:rsidTr="00DF166D">
        <w:trPr>
          <w:tblCellSpacing w:w="15" w:type="dxa"/>
        </w:trPr>
        <w:tc>
          <w:tcPr>
            <w:tcW w:w="1940" w:type="dxa"/>
            <w:hideMark/>
          </w:tcPr>
          <w:p w14:paraId="0378F944"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52FF585B"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Syou</w:t>
            </w:r>
            <w:proofErr w:type="spellEnd"/>
          </w:p>
        </w:tc>
        <w:tc>
          <w:tcPr>
            <w:tcW w:w="4405" w:type="dxa"/>
            <w:hideMark/>
          </w:tcPr>
          <w:p w14:paraId="28ED6CCF"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Reduce food vulnerability through food barns, crop diversification, and greater involvement of women in food production (SDG 2), while addressing disparities in health and education services (SDG 10).</w:t>
            </w:r>
          </w:p>
        </w:tc>
      </w:tr>
      <w:tr w:rsidR="00DF166D" w:rsidRPr="00823C09" w14:paraId="7239DC09" w14:textId="77777777" w:rsidTr="00DF166D">
        <w:trPr>
          <w:tblCellSpacing w:w="15" w:type="dxa"/>
        </w:trPr>
        <w:tc>
          <w:tcPr>
            <w:tcW w:w="1940" w:type="dxa"/>
            <w:hideMark/>
          </w:tcPr>
          <w:p w14:paraId="77787744"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63845E31"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Ibuwau</w:t>
            </w:r>
            <w:proofErr w:type="spellEnd"/>
          </w:p>
        </w:tc>
        <w:tc>
          <w:tcPr>
            <w:tcW w:w="4405" w:type="dxa"/>
            <w:hideMark/>
          </w:tcPr>
          <w:p w14:paraId="681E6C9E"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community-based sanitation management and rainwater harvesting (SDG 6), while promoting equitable participation in water governance (SDG 10).</w:t>
            </w:r>
          </w:p>
        </w:tc>
      </w:tr>
      <w:tr w:rsidR="00DF166D" w:rsidRPr="00823C09" w14:paraId="5D671F86" w14:textId="77777777" w:rsidTr="00DF166D">
        <w:trPr>
          <w:tblCellSpacing w:w="15" w:type="dxa"/>
        </w:trPr>
        <w:tc>
          <w:tcPr>
            <w:tcW w:w="1940" w:type="dxa"/>
            <w:hideMark/>
          </w:tcPr>
          <w:p w14:paraId="30BB4207"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AE0CAA8"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Figout</w:t>
            </w:r>
            <w:proofErr w:type="spellEnd"/>
          </w:p>
        </w:tc>
        <w:tc>
          <w:tcPr>
            <w:tcW w:w="4405" w:type="dxa"/>
            <w:hideMark/>
          </w:tcPr>
          <w:p w14:paraId="3CCB46C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Provide urgent interventions in safe water supply, communal sanitation, and hygiene education (SDG 6), while simultaneously addressing service inequalities (SDG 10).</w:t>
            </w:r>
          </w:p>
        </w:tc>
      </w:tr>
      <w:tr w:rsidR="00DF166D" w:rsidRPr="00823C09" w14:paraId="3F80E506" w14:textId="77777777" w:rsidTr="00DF166D">
        <w:trPr>
          <w:tblCellSpacing w:w="15" w:type="dxa"/>
        </w:trPr>
        <w:tc>
          <w:tcPr>
            <w:tcW w:w="1940" w:type="dxa"/>
            <w:hideMark/>
          </w:tcPr>
          <w:p w14:paraId="583152B6"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773EF3B2"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Kwau</w:t>
            </w:r>
            <w:proofErr w:type="spellEnd"/>
          </w:p>
        </w:tc>
        <w:tc>
          <w:tcPr>
            <w:tcW w:w="4405" w:type="dxa"/>
            <w:hideMark/>
          </w:tcPr>
          <w:p w14:paraId="4517DCDD"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Expand equitable access to education, healthcare, and basic services (SDG 10), while aligning development with sustainable food and water systems (SDG 2 &amp; SDG 6).</w:t>
            </w:r>
          </w:p>
        </w:tc>
      </w:tr>
      <w:tr w:rsidR="00DF166D" w:rsidRPr="00823C09" w14:paraId="37E18540" w14:textId="77777777" w:rsidTr="00DF166D">
        <w:trPr>
          <w:tblCellSpacing w:w="15" w:type="dxa"/>
        </w:trPr>
        <w:tc>
          <w:tcPr>
            <w:tcW w:w="1940" w:type="dxa"/>
            <w:hideMark/>
          </w:tcPr>
          <w:p w14:paraId="4EDEEFBF"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59A040AF"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Syou</w:t>
            </w:r>
            <w:proofErr w:type="spellEnd"/>
          </w:p>
        </w:tc>
        <w:tc>
          <w:tcPr>
            <w:tcW w:w="4405" w:type="dxa"/>
            <w:hideMark/>
          </w:tcPr>
          <w:p w14:paraId="73DE72A8"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Implement affirmative policies to strengthen access for marginalized groups in education and health (SDG 10), while integrating food and water resilience into village development (SDG 2 &amp; SDG 6).</w:t>
            </w:r>
          </w:p>
        </w:tc>
      </w:tr>
    </w:tbl>
    <w:p w14:paraId="61C1C995" w14:textId="77777777" w:rsidR="00DF166D" w:rsidRPr="00823C09" w:rsidRDefault="00DF166D" w:rsidP="00DF166D">
      <w:pPr>
        <w:spacing w:after="160" w:line="278" w:lineRule="auto"/>
        <w:rPr>
          <w:rFonts w:ascii="Calibri" w:eastAsia="Calibri" w:hAnsi="Calibri" w:cs="Calibri"/>
          <w:kern w:val="2"/>
          <w:sz w:val="24"/>
          <w:szCs w:val="24"/>
          <w14:ligatures w14:val="standardContextual"/>
        </w:rPr>
      </w:pPr>
    </w:p>
    <w:p w14:paraId="4098975C" w14:textId="77777777" w:rsidR="00B01FCD" w:rsidRPr="00823C09" w:rsidRDefault="00000F8F" w:rsidP="00441B6F">
      <w:pPr>
        <w:pStyle w:val="ConcHead"/>
        <w:spacing w:after="0"/>
        <w:jc w:val="both"/>
        <w:rPr>
          <w:rFonts w:ascii="Arial" w:hAnsi="Arial" w:cs="Arial"/>
        </w:rPr>
      </w:pPr>
      <w:r w:rsidRPr="00823C09">
        <w:rPr>
          <w:rFonts w:ascii="Arial" w:hAnsi="Arial" w:cs="Arial"/>
        </w:rPr>
        <w:t xml:space="preserve">4. </w:t>
      </w:r>
      <w:r w:rsidR="00B01FCD" w:rsidRPr="00823C09">
        <w:rPr>
          <w:rFonts w:ascii="Arial" w:hAnsi="Arial" w:cs="Arial"/>
        </w:rPr>
        <w:t>Conclusion</w:t>
      </w:r>
    </w:p>
    <w:p w14:paraId="38F3732C" w14:textId="77777777" w:rsidR="00790ADA" w:rsidRPr="00823C09" w:rsidRDefault="00790ADA" w:rsidP="00441B6F">
      <w:pPr>
        <w:pStyle w:val="ConcHead"/>
        <w:spacing w:after="0"/>
        <w:jc w:val="both"/>
        <w:rPr>
          <w:rFonts w:ascii="Arial" w:hAnsi="Arial" w:cs="Arial"/>
        </w:rPr>
      </w:pPr>
    </w:p>
    <w:p w14:paraId="08C5AFD6" w14:textId="02381ABD" w:rsidR="006B180B" w:rsidRPr="00823C09" w:rsidRDefault="006B180B" w:rsidP="006B180B">
      <w:pPr>
        <w:spacing w:after="240"/>
        <w:jc w:val="both"/>
        <w:rPr>
          <w:rFonts w:cstheme="minorHAnsi"/>
        </w:rPr>
      </w:pPr>
      <w:r w:rsidRPr="00823C09">
        <w:rPr>
          <w:rFonts w:cstheme="minorHAnsi"/>
        </w:rPr>
        <w:t xml:space="preserve">The analysis of the Environmental Vulnerability Index (EVI) demonstrates that several very underdeveloped villages, such as </w:t>
      </w:r>
      <w:proofErr w:type="spellStart"/>
      <w:r w:rsidRPr="00823C09">
        <w:rPr>
          <w:rFonts w:cstheme="minorHAnsi"/>
        </w:rPr>
        <w:t>Warkapi</w:t>
      </w:r>
      <w:proofErr w:type="spellEnd"/>
      <w:r w:rsidRPr="00823C09">
        <w:rPr>
          <w:rFonts w:cstheme="minorHAnsi"/>
        </w:rPr>
        <w:t xml:space="preserve">, </w:t>
      </w:r>
      <w:proofErr w:type="spellStart"/>
      <w:r w:rsidRPr="00823C09">
        <w:rPr>
          <w:rFonts w:cstheme="minorHAnsi"/>
        </w:rPr>
        <w:t>Warmarwai</w:t>
      </w:r>
      <w:proofErr w:type="spellEnd"/>
      <w:r w:rsidRPr="00823C09">
        <w:rPr>
          <w:rFonts w:cstheme="minorHAnsi"/>
        </w:rPr>
        <w:t xml:space="preserve">, and </w:t>
      </w:r>
      <w:proofErr w:type="spellStart"/>
      <w:r w:rsidRPr="00823C09">
        <w:rPr>
          <w:rFonts w:cstheme="minorHAnsi"/>
        </w:rPr>
        <w:t>Mingre</w:t>
      </w:r>
      <w:proofErr w:type="spellEnd"/>
      <w:r w:rsidRPr="00823C09">
        <w:rPr>
          <w:rFonts w:cstheme="minorHAnsi"/>
        </w:rPr>
        <w:t>, were still able to achieve relatively high scores. This finding indicates the presence of internal potential to safeguard environmental sustainability despite persistent socioeconomic limitations. In contrast, villages with low EVI scores</w:t>
      </w:r>
      <w:r w:rsidR="00622749" w:rsidRPr="00823C09">
        <w:rPr>
          <w:rFonts w:cstheme="minorHAnsi"/>
        </w:rPr>
        <w:t xml:space="preserve">, </w:t>
      </w:r>
      <w:r w:rsidRPr="00823C09">
        <w:rPr>
          <w:rFonts w:cstheme="minorHAnsi"/>
        </w:rPr>
        <w:t xml:space="preserve">such as </w:t>
      </w:r>
      <w:proofErr w:type="spellStart"/>
      <w:r w:rsidRPr="00823C09">
        <w:rPr>
          <w:rFonts w:cstheme="minorHAnsi"/>
        </w:rPr>
        <w:t>Ningdip</w:t>
      </w:r>
      <w:proofErr w:type="spellEnd"/>
      <w:r w:rsidRPr="00823C09">
        <w:rPr>
          <w:rFonts w:cstheme="minorHAnsi"/>
        </w:rPr>
        <w:t xml:space="preserve">, </w:t>
      </w:r>
      <w:proofErr w:type="spellStart"/>
      <w:r w:rsidRPr="00823C09">
        <w:rPr>
          <w:rFonts w:cstheme="minorHAnsi"/>
        </w:rPr>
        <w:t>Warmare</w:t>
      </w:r>
      <w:proofErr w:type="spellEnd"/>
      <w:r w:rsidRPr="00823C09">
        <w:rPr>
          <w:rFonts w:cstheme="minorHAnsi"/>
        </w:rPr>
        <w:t xml:space="preserve">, </w:t>
      </w:r>
      <w:proofErr w:type="spellStart"/>
      <w:r w:rsidRPr="00823C09">
        <w:rPr>
          <w:rFonts w:cstheme="minorHAnsi"/>
        </w:rPr>
        <w:t>Nimbay</w:t>
      </w:r>
      <w:proofErr w:type="spellEnd"/>
      <w:r w:rsidRPr="00823C09">
        <w:rPr>
          <w:rFonts w:cstheme="minorHAnsi"/>
        </w:rPr>
        <w:t xml:space="preserve">, </w:t>
      </w:r>
      <w:proofErr w:type="spellStart"/>
      <w:r w:rsidRPr="00823C09">
        <w:rPr>
          <w:rFonts w:cstheme="minorHAnsi"/>
        </w:rPr>
        <w:t>Snaimboy</w:t>
      </w:r>
      <w:proofErr w:type="spellEnd"/>
      <w:r w:rsidRPr="00823C09">
        <w:rPr>
          <w:rFonts w:cstheme="minorHAnsi"/>
        </w:rPr>
        <w:t xml:space="preserve">, and </w:t>
      </w:r>
      <w:proofErr w:type="spellStart"/>
      <w:r w:rsidRPr="00823C09">
        <w:rPr>
          <w:rFonts w:cstheme="minorHAnsi"/>
        </w:rPr>
        <w:t>Madrat</w:t>
      </w:r>
      <w:proofErr w:type="spellEnd"/>
      <w:r w:rsidR="00622749" w:rsidRPr="00823C09">
        <w:rPr>
          <w:rFonts w:cstheme="minorHAnsi"/>
        </w:rPr>
        <w:t xml:space="preserve">, </w:t>
      </w:r>
      <w:r w:rsidRPr="00823C09">
        <w:rPr>
          <w:rFonts w:cstheme="minorHAnsi"/>
        </w:rPr>
        <w:t>require priority interventions through the provision of environmentally friendly infrastructure, the enhancement of community awareness, and the strengthening of local institutional capacities. Therefore, conservation-based development patterns that leverage local potential should serve as a fundamental framework for strengthening environmental resilience in a sustainable and inclusive manner.</w:t>
      </w:r>
    </w:p>
    <w:p w14:paraId="22F75A05" w14:textId="77777777" w:rsidR="006B180B" w:rsidRPr="00823C09" w:rsidRDefault="006B180B" w:rsidP="006B180B">
      <w:pPr>
        <w:spacing w:after="240"/>
        <w:jc w:val="both"/>
        <w:rPr>
          <w:rFonts w:cstheme="minorHAnsi"/>
        </w:rPr>
      </w:pPr>
      <w:r w:rsidRPr="00823C09">
        <w:rPr>
          <w:rFonts w:cstheme="minorHAnsi"/>
        </w:rPr>
        <w:t xml:space="preserve">In the context of achieving the Village SDGs, the results reveal variations in performance that are critical for informing development policy. Some very underdeveloped and underdeveloped villages achieved high scores on SDG 2 (Zero Hunger), SDG 6 (Clean Water and Sanitation), and SDG 10 (Reduced Inequalities). For example, </w:t>
      </w:r>
      <w:proofErr w:type="spellStart"/>
      <w:r w:rsidRPr="00823C09">
        <w:rPr>
          <w:rFonts w:cstheme="minorHAnsi"/>
        </w:rPr>
        <w:t>Umnum</w:t>
      </w:r>
      <w:proofErr w:type="spellEnd"/>
      <w:r w:rsidRPr="00823C09">
        <w:rPr>
          <w:rFonts w:cstheme="minorHAnsi"/>
        </w:rPr>
        <w:t xml:space="preserve">, </w:t>
      </w:r>
      <w:proofErr w:type="spellStart"/>
      <w:r w:rsidRPr="00823C09">
        <w:rPr>
          <w:rFonts w:cstheme="minorHAnsi"/>
        </w:rPr>
        <w:t>Mbatma</w:t>
      </w:r>
      <w:proofErr w:type="spellEnd"/>
      <w:r w:rsidRPr="00823C09">
        <w:rPr>
          <w:rFonts w:cstheme="minorHAnsi"/>
        </w:rPr>
        <w:t xml:space="preserve">, </w:t>
      </w:r>
      <w:proofErr w:type="spellStart"/>
      <w:r w:rsidRPr="00823C09">
        <w:rPr>
          <w:rFonts w:cstheme="minorHAnsi"/>
        </w:rPr>
        <w:t>Imbeisika</w:t>
      </w:r>
      <w:proofErr w:type="spellEnd"/>
      <w:r w:rsidRPr="00823C09">
        <w:rPr>
          <w:rFonts w:cstheme="minorHAnsi"/>
        </w:rPr>
        <w:t xml:space="preserve"> I, and </w:t>
      </w:r>
      <w:proofErr w:type="spellStart"/>
      <w:r w:rsidRPr="00823C09">
        <w:rPr>
          <w:rFonts w:cstheme="minorHAnsi"/>
        </w:rPr>
        <w:t>Rembuy</w:t>
      </w:r>
      <w:proofErr w:type="spellEnd"/>
      <w:r w:rsidRPr="00823C09">
        <w:rPr>
          <w:rFonts w:cstheme="minorHAnsi"/>
        </w:rPr>
        <w:t xml:space="preserve"> demonstrated strong food security, while </w:t>
      </w:r>
      <w:proofErr w:type="spellStart"/>
      <w:r w:rsidRPr="00823C09">
        <w:rPr>
          <w:rFonts w:cstheme="minorHAnsi"/>
        </w:rPr>
        <w:t>Ningdip</w:t>
      </w:r>
      <w:proofErr w:type="spellEnd"/>
      <w:r w:rsidRPr="00823C09">
        <w:rPr>
          <w:rFonts w:cstheme="minorHAnsi"/>
        </w:rPr>
        <w:t xml:space="preserve"> and </w:t>
      </w:r>
      <w:proofErr w:type="spellStart"/>
      <w:r w:rsidRPr="00823C09">
        <w:rPr>
          <w:rFonts w:cstheme="minorHAnsi"/>
        </w:rPr>
        <w:t>Ibuwau</w:t>
      </w:r>
      <w:proofErr w:type="spellEnd"/>
      <w:r w:rsidRPr="00823C09">
        <w:rPr>
          <w:rFonts w:cstheme="minorHAnsi"/>
        </w:rPr>
        <w:t xml:space="preserve"> managed to maintain access to clean water and sanitation. However, other villages such as </w:t>
      </w:r>
      <w:proofErr w:type="spellStart"/>
      <w:r w:rsidRPr="00823C09">
        <w:rPr>
          <w:rFonts w:cstheme="minorHAnsi"/>
        </w:rPr>
        <w:t>Mirowi</w:t>
      </w:r>
      <w:proofErr w:type="spellEnd"/>
      <w:r w:rsidRPr="00823C09">
        <w:rPr>
          <w:rFonts w:cstheme="minorHAnsi"/>
        </w:rPr>
        <w:t xml:space="preserve">, </w:t>
      </w:r>
      <w:proofErr w:type="spellStart"/>
      <w:r w:rsidRPr="00823C09">
        <w:rPr>
          <w:rFonts w:cstheme="minorHAnsi"/>
        </w:rPr>
        <w:t>Figout</w:t>
      </w:r>
      <w:proofErr w:type="spellEnd"/>
      <w:r w:rsidRPr="00823C09">
        <w:rPr>
          <w:rFonts w:cstheme="minorHAnsi"/>
        </w:rPr>
        <w:t xml:space="preserve">, </w:t>
      </w:r>
      <w:proofErr w:type="spellStart"/>
      <w:r w:rsidRPr="00823C09">
        <w:rPr>
          <w:rFonts w:cstheme="minorHAnsi"/>
        </w:rPr>
        <w:t>Nimbay</w:t>
      </w:r>
      <w:proofErr w:type="spellEnd"/>
      <w:r w:rsidRPr="00823C09">
        <w:rPr>
          <w:rFonts w:cstheme="minorHAnsi"/>
        </w:rPr>
        <w:t xml:space="preserve">, </w:t>
      </w:r>
      <w:proofErr w:type="spellStart"/>
      <w:r w:rsidRPr="00823C09">
        <w:rPr>
          <w:rFonts w:cstheme="minorHAnsi"/>
        </w:rPr>
        <w:t>Ibuwau</w:t>
      </w:r>
      <w:proofErr w:type="spellEnd"/>
      <w:r w:rsidRPr="00823C09">
        <w:rPr>
          <w:rFonts w:cstheme="minorHAnsi"/>
        </w:rPr>
        <w:t xml:space="preserve">, and </w:t>
      </w:r>
      <w:proofErr w:type="spellStart"/>
      <w:r w:rsidRPr="00823C09">
        <w:rPr>
          <w:rFonts w:cstheme="minorHAnsi"/>
        </w:rPr>
        <w:t>Syou</w:t>
      </w:r>
      <w:proofErr w:type="spellEnd"/>
      <w:r w:rsidRPr="00823C09">
        <w:rPr>
          <w:rFonts w:cstheme="minorHAnsi"/>
        </w:rPr>
        <w:t xml:space="preserve"> continue to face serious challenges related to food, water, and equitable access to basic services. These conditions underscore the need for a differential policy approach that both strengthens good practices in high-performing villages and delivers comprehensive interventions in lagging villages.</w:t>
      </w:r>
    </w:p>
    <w:p w14:paraId="06452AEA" w14:textId="77777777" w:rsidR="006B180B" w:rsidRPr="00823C09" w:rsidRDefault="006B180B" w:rsidP="006B180B">
      <w:pPr>
        <w:spacing w:after="240"/>
        <w:jc w:val="both"/>
        <w:rPr>
          <w:rFonts w:cstheme="minorHAnsi"/>
        </w:rPr>
      </w:pPr>
      <w:r w:rsidRPr="00823C09">
        <w:rPr>
          <w:rFonts w:cstheme="minorHAnsi"/>
        </w:rPr>
        <w:lastRenderedPageBreak/>
        <w:t>The regression analysis further shows that SDG 2 and SDG 6 are negatively correlated with the Environmental Vulnerability Index. This suggests that improvements in food and sanitation indicators have not been accompanied by sustainability principles and may even increase environmental pressures. Conversely, SDG 10 demonstrates a significant positive influence on the Environmental Vulnerability Index, highlighting that inclusive development with equal access to basic services can enhance environmental resilience. This finding underscores that synergy between socioeconomic development and ecological conservation is essential. By formulating village development strategies grounded in conservation, social inclusion, and local potential, policymakers can advance the achievement of the Village SDGs in a fair, sustainable, and contextually appropriate manner.</w:t>
      </w:r>
    </w:p>
    <w:p w14:paraId="7044E1CA" w14:textId="3FA7D808" w:rsidR="002B685A" w:rsidRPr="00823C09" w:rsidRDefault="002B685A" w:rsidP="00441B6F">
      <w:pPr>
        <w:pStyle w:val="ReferHead"/>
        <w:spacing w:after="0"/>
        <w:jc w:val="both"/>
        <w:rPr>
          <w:rFonts w:ascii="Arial" w:hAnsi="Arial" w:cs="Arial"/>
          <w:bCs/>
        </w:rPr>
      </w:pPr>
      <w:r w:rsidRPr="00823C09">
        <w:rPr>
          <w:rFonts w:ascii="Arial" w:hAnsi="Arial" w:cs="Arial"/>
          <w:bCs/>
        </w:rPr>
        <w:t>Consent</w:t>
      </w:r>
    </w:p>
    <w:p w14:paraId="1D96E870" w14:textId="77777777" w:rsidR="002B685A" w:rsidRPr="00823C09" w:rsidRDefault="002B685A" w:rsidP="00A90AD1">
      <w:pPr>
        <w:rPr>
          <w:rFonts w:ascii="Arial" w:hAnsi="Arial" w:cs="Arial"/>
        </w:rPr>
      </w:pPr>
    </w:p>
    <w:p w14:paraId="0B69B199" w14:textId="4F67A929" w:rsidR="001A29D8" w:rsidRPr="00823C09" w:rsidRDefault="00A90AD1" w:rsidP="00A90AD1">
      <w:pPr>
        <w:jc w:val="both"/>
        <w:rPr>
          <w:rFonts w:ascii="Arial" w:hAnsi="Arial" w:cs="Arial"/>
          <w:bCs/>
          <w:caps/>
        </w:rPr>
      </w:pPr>
      <w:r w:rsidRPr="00823C09">
        <w:rPr>
          <w:rFonts w:ascii="Arial" w:hAnsi="Arial" w:cs="Arial"/>
          <w:bCs/>
        </w:rPr>
        <w:t>All authors confirm that the research was conducted in compliance with ethical standards appropriate to the field of social and environmental sciences.</w:t>
      </w:r>
    </w:p>
    <w:p w14:paraId="70CEFE2A" w14:textId="77777777" w:rsidR="005C784C" w:rsidRPr="00823C09" w:rsidRDefault="005C784C" w:rsidP="00A90AD1">
      <w:pPr>
        <w:rPr>
          <w:rFonts w:ascii="Arial" w:hAnsi="Arial" w:cs="Arial"/>
          <w:b/>
          <w:caps/>
        </w:rPr>
      </w:pPr>
    </w:p>
    <w:p w14:paraId="4FF98B51" w14:textId="77777777" w:rsidR="005C784C" w:rsidRPr="00823C09" w:rsidRDefault="005C784C" w:rsidP="00441B6F">
      <w:pPr>
        <w:pStyle w:val="ReferHead"/>
        <w:spacing w:after="0"/>
        <w:jc w:val="both"/>
        <w:rPr>
          <w:rFonts w:ascii="Arial" w:hAnsi="Arial" w:cs="Arial"/>
          <w:bCs/>
        </w:rPr>
      </w:pPr>
      <w:r w:rsidRPr="00823C09">
        <w:rPr>
          <w:rFonts w:ascii="Arial" w:hAnsi="Arial" w:cs="Arial"/>
          <w:bCs/>
        </w:rPr>
        <w:t>Ethical approval (where</w:t>
      </w:r>
      <w:r w:rsidR="007369E6" w:rsidRPr="00823C09">
        <w:rPr>
          <w:rFonts w:ascii="Arial" w:hAnsi="Arial" w:cs="Arial"/>
          <w:bCs/>
        </w:rPr>
        <w:t xml:space="preserve"> </w:t>
      </w:r>
      <w:r w:rsidRPr="00823C09">
        <w:rPr>
          <w:rFonts w:ascii="Arial" w:hAnsi="Arial" w:cs="Arial"/>
          <w:bCs/>
        </w:rPr>
        <w:t>ever applicable)</w:t>
      </w:r>
    </w:p>
    <w:p w14:paraId="33627838" w14:textId="77777777" w:rsidR="005C784C" w:rsidRPr="00823C09" w:rsidRDefault="005C784C" w:rsidP="00A90AD1"/>
    <w:p w14:paraId="575D5424" w14:textId="75E98621" w:rsidR="00A90AD1" w:rsidRPr="00823C09" w:rsidRDefault="00A90AD1" w:rsidP="00A90AD1">
      <w:r w:rsidRPr="00823C09">
        <w:t>This study does not involve human experiments, clinical trials, or animal subjects that require approval from an Institutional Review Board (IRB) or Ethical Committee. Therefore, the requirement for ethical approval is not applicable to this manuscript. Nevertheless, all authors confirm that the research was conducted in accordance with recognized ethical standards for social and environmental sciences. The study design, data collection, and analysis respected the rights, privacy, and well-being of all participants involved, and no activity was undertaken that contravenes public interest or legal provisions.</w:t>
      </w:r>
    </w:p>
    <w:p w14:paraId="6814DC2D" w14:textId="77777777" w:rsidR="00860000" w:rsidRPr="00823C09" w:rsidRDefault="00860000" w:rsidP="00A90AD1"/>
    <w:p w14:paraId="034F8E75" w14:textId="77777777" w:rsidR="00B01FCD" w:rsidRPr="00823C09" w:rsidRDefault="00B01FCD" w:rsidP="00441B6F">
      <w:pPr>
        <w:pStyle w:val="ReferHead"/>
        <w:spacing w:after="0"/>
        <w:jc w:val="both"/>
        <w:rPr>
          <w:rFonts w:ascii="Arial" w:hAnsi="Arial" w:cs="Arial"/>
        </w:rPr>
      </w:pPr>
      <w:r w:rsidRPr="00823C09">
        <w:rPr>
          <w:rFonts w:ascii="Arial" w:hAnsi="Arial" w:cs="Arial"/>
        </w:rPr>
        <w:t>References</w:t>
      </w:r>
    </w:p>
    <w:p w14:paraId="1DD70E8E" w14:textId="3762AB3A" w:rsidR="00790ADA" w:rsidRPr="00823C09" w:rsidRDefault="00790ADA" w:rsidP="00A90AD1"/>
    <w:sdt>
      <w:sdtPr>
        <w:rPr>
          <w:rFonts w:ascii="Arial" w:eastAsia="Calibri" w:hAnsi="Arial" w:cs="Arial"/>
          <w:color w:val="000000"/>
          <w:kern w:val="2"/>
          <w14:ligatures w14:val="standardContextual"/>
        </w:rPr>
        <w:tag w:val="MENDELEY_BIBLIOGRAPHY"/>
        <w:id w:val="-1424111578"/>
        <w:placeholder>
          <w:docPart w:val="5BC87E0C0C674B548C08F8C5F4BD2BB7"/>
        </w:placeholder>
      </w:sdtPr>
      <w:sdtEndPr/>
      <w:sdtContent>
        <w:p w14:paraId="4305B2EB" w14:textId="77777777" w:rsidR="00A90AD1" w:rsidRPr="00823C09" w:rsidRDefault="00A90AD1" w:rsidP="00A90AD1">
          <w:pPr>
            <w:autoSpaceDE w:val="0"/>
            <w:autoSpaceDN w:val="0"/>
            <w:ind w:hanging="480"/>
            <w:jc w:val="both"/>
            <w:rPr>
              <w:rFonts w:ascii="Arial" w:hAnsi="Arial" w:cs="Arial"/>
            </w:rPr>
          </w:pPr>
          <w:proofErr w:type="spellStart"/>
          <w:r w:rsidRPr="00823C09">
            <w:rPr>
              <w:rFonts w:ascii="Arial" w:hAnsi="Arial" w:cs="Arial"/>
              <w:kern w:val="2"/>
              <w14:ligatures w14:val="standardContextual"/>
            </w:rPr>
            <w:t>Bappenas</w:t>
          </w:r>
          <w:proofErr w:type="spellEnd"/>
          <w:r w:rsidRPr="00823C09">
            <w:rPr>
              <w:rFonts w:ascii="Arial" w:hAnsi="Arial" w:cs="Arial"/>
              <w:kern w:val="2"/>
              <w14:ligatures w14:val="standardContextual"/>
            </w:rPr>
            <w:t xml:space="preserve">. (2020). </w:t>
          </w:r>
          <w:r w:rsidRPr="00823C09">
            <w:rPr>
              <w:rFonts w:ascii="Arial" w:hAnsi="Arial" w:cs="Arial"/>
              <w:i/>
              <w:iCs/>
              <w:kern w:val="2"/>
              <w14:ligatures w14:val="standardContextual"/>
            </w:rPr>
            <w:t>Peta Jalan SDGs Indonesia: 2020–2030</w:t>
          </w:r>
          <w:r w:rsidRPr="00823C09">
            <w:rPr>
              <w:rFonts w:ascii="Arial" w:hAnsi="Arial" w:cs="Arial"/>
              <w:kern w:val="2"/>
              <w14:ligatures w14:val="standardContextual"/>
            </w:rPr>
            <w:t xml:space="preserve">. Kementerian </w:t>
          </w:r>
          <w:proofErr w:type="spellStart"/>
          <w:r w:rsidRPr="00823C09">
            <w:rPr>
              <w:rFonts w:ascii="Arial" w:hAnsi="Arial" w:cs="Arial"/>
              <w:kern w:val="2"/>
              <w14:ligatures w14:val="standardContextual"/>
            </w:rPr>
            <w:t>Perencanaan</w:t>
          </w:r>
          <w:proofErr w:type="spellEnd"/>
          <w:r w:rsidRPr="00823C09">
            <w:rPr>
              <w:rFonts w:ascii="Arial" w:hAnsi="Arial" w:cs="Arial"/>
              <w:kern w:val="2"/>
              <w14:ligatures w14:val="standardContextual"/>
            </w:rPr>
            <w:t xml:space="preserve"> Pembangunan Nasional/</w:t>
          </w:r>
          <w:proofErr w:type="spellStart"/>
          <w:r w:rsidRPr="00823C09">
            <w:rPr>
              <w:rFonts w:ascii="Arial" w:hAnsi="Arial" w:cs="Arial"/>
              <w:kern w:val="2"/>
              <w14:ligatures w14:val="standardContextual"/>
            </w:rPr>
            <w:t>Bappenas</w:t>
          </w:r>
          <w:proofErr w:type="spellEnd"/>
          <w:r w:rsidRPr="00823C09">
            <w:rPr>
              <w:rFonts w:ascii="Arial" w:hAnsi="Arial" w:cs="Arial"/>
              <w:kern w:val="2"/>
              <w14:ligatures w14:val="standardContextual"/>
            </w:rPr>
            <w:t>.</w:t>
          </w:r>
        </w:p>
        <w:p w14:paraId="4CADB31E"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Berhanu</w:t>
          </w:r>
          <w:proofErr w:type="spellEnd"/>
          <w:r w:rsidRPr="00823C09">
            <w:rPr>
              <w:rFonts w:ascii="Arial" w:hAnsi="Arial" w:cs="Arial"/>
              <w:kern w:val="2"/>
              <w14:ligatures w14:val="standardContextual"/>
            </w:rPr>
            <w:t xml:space="preserve">, G., </w:t>
          </w:r>
          <w:proofErr w:type="spellStart"/>
          <w:r w:rsidRPr="00823C09">
            <w:rPr>
              <w:rFonts w:ascii="Arial" w:hAnsi="Arial" w:cs="Arial"/>
              <w:kern w:val="2"/>
              <w14:ligatures w14:val="standardContextual"/>
            </w:rPr>
            <w:t>Woldemikael</w:t>
          </w:r>
          <w:proofErr w:type="spellEnd"/>
          <w:r w:rsidRPr="00823C09">
            <w:rPr>
              <w:rFonts w:ascii="Arial" w:hAnsi="Arial" w:cs="Arial"/>
              <w:kern w:val="2"/>
              <w14:ligatures w14:val="standardContextual"/>
            </w:rPr>
            <w:t xml:space="preserve">, S. M., &amp; </w:t>
          </w:r>
          <w:proofErr w:type="spellStart"/>
          <w:r w:rsidRPr="00823C09">
            <w:rPr>
              <w:rFonts w:ascii="Arial" w:hAnsi="Arial" w:cs="Arial"/>
              <w:kern w:val="2"/>
              <w14:ligatures w14:val="standardContextual"/>
            </w:rPr>
            <w:t>Beyene</w:t>
          </w:r>
          <w:proofErr w:type="spellEnd"/>
          <w:r w:rsidRPr="00823C09">
            <w:rPr>
              <w:rFonts w:ascii="Arial" w:hAnsi="Arial" w:cs="Arial"/>
              <w:kern w:val="2"/>
              <w14:ligatures w14:val="standardContextual"/>
            </w:rPr>
            <w:t xml:space="preserve">, E. G. (2022). The interrelationships of sustainable livelihood capital assets deprivations and asset based social policy interventions: The case of Addis Ababa informal settlement areas, Ethiopia. </w:t>
          </w:r>
          <w:r w:rsidRPr="00823C09">
            <w:rPr>
              <w:rFonts w:ascii="Arial" w:hAnsi="Arial" w:cs="Arial"/>
              <w:i/>
              <w:iCs/>
              <w:kern w:val="2"/>
              <w14:ligatures w14:val="standardContextual"/>
            </w:rPr>
            <w:t>Research in Globalization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w:t>
          </w:r>
          <w:r w:rsidRPr="00823C09">
            <w:rPr>
              <w:rFonts w:ascii="Arial" w:hAnsi="Arial" w:cs="Arial"/>
              <w:kern w:val="2"/>
              <w14:ligatures w14:val="standardContextual"/>
            </w:rPr>
            <w:t>. https://doi.org/10.1016/j.resglo.2022.100081</w:t>
          </w:r>
        </w:p>
        <w:p w14:paraId="3EBD6642"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Camarero</w:t>
          </w:r>
          <w:proofErr w:type="spellEnd"/>
          <w:r w:rsidRPr="00823C09">
            <w:rPr>
              <w:rFonts w:ascii="Arial" w:hAnsi="Arial" w:cs="Arial"/>
              <w:kern w:val="2"/>
              <w14:ligatures w14:val="standardContextual"/>
            </w:rPr>
            <w:t xml:space="preserve">, L., &amp; Oliva, J. (2019). Thinking in rural gap: mobility and social inequalities. </w:t>
          </w:r>
          <w:r w:rsidRPr="00823C09">
            <w:rPr>
              <w:rFonts w:ascii="Arial" w:hAnsi="Arial" w:cs="Arial"/>
              <w:i/>
              <w:iCs/>
              <w:kern w:val="2"/>
              <w14:ligatures w14:val="standardContextual"/>
            </w:rPr>
            <w:t>Palgrave Communications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5</w:t>
          </w:r>
          <w:r w:rsidRPr="00823C09">
            <w:rPr>
              <w:rFonts w:ascii="Arial" w:hAnsi="Arial" w:cs="Arial"/>
              <w:kern w:val="2"/>
              <w14:ligatures w14:val="standardContextual"/>
            </w:rPr>
            <w:t>(1). https://doi.org/10.1057/s41599-019-0306-x</w:t>
          </w:r>
        </w:p>
        <w:p w14:paraId="0308BC16"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Campbell, S. J., Savage, G. B., Gray, D. J., Atkinson, J. A. M., Soares </w:t>
          </w:r>
          <w:proofErr w:type="spellStart"/>
          <w:r w:rsidRPr="00823C09">
            <w:rPr>
              <w:rFonts w:ascii="Arial" w:hAnsi="Arial" w:cs="Arial"/>
              <w:kern w:val="2"/>
              <w14:ligatures w14:val="standardContextual"/>
            </w:rPr>
            <w:t>Magalhães</w:t>
          </w:r>
          <w:proofErr w:type="spellEnd"/>
          <w:r w:rsidRPr="00823C09">
            <w:rPr>
              <w:rFonts w:ascii="Arial" w:hAnsi="Arial" w:cs="Arial"/>
              <w:kern w:val="2"/>
              <w14:ligatures w14:val="standardContextual"/>
            </w:rPr>
            <w:t xml:space="preserve">, R. J., Nery, S. V., McCarthy, J. S., </w:t>
          </w:r>
          <w:proofErr w:type="spellStart"/>
          <w:r w:rsidRPr="00823C09">
            <w:rPr>
              <w:rFonts w:ascii="Arial" w:hAnsi="Arial" w:cs="Arial"/>
              <w:kern w:val="2"/>
              <w14:ligatures w14:val="standardContextual"/>
            </w:rPr>
            <w:t>Velleman</w:t>
          </w:r>
          <w:proofErr w:type="spellEnd"/>
          <w:r w:rsidRPr="00823C09">
            <w:rPr>
              <w:rFonts w:ascii="Arial" w:hAnsi="Arial" w:cs="Arial"/>
              <w:kern w:val="2"/>
              <w14:ligatures w14:val="standardContextual"/>
            </w:rPr>
            <w:t xml:space="preserve">, Y., </w:t>
          </w:r>
          <w:proofErr w:type="spellStart"/>
          <w:r w:rsidRPr="00823C09">
            <w:rPr>
              <w:rFonts w:ascii="Arial" w:hAnsi="Arial" w:cs="Arial"/>
              <w:kern w:val="2"/>
              <w14:ligatures w14:val="standardContextual"/>
            </w:rPr>
            <w:t>Wicken</w:t>
          </w:r>
          <w:proofErr w:type="spellEnd"/>
          <w:r w:rsidRPr="00823C09">
            <w:rPr>
              <w:rFonts w:ascii="Arial" w:hAnsi="Arial" w:cs="Arial"/>
              <w:kern w:val="2"/>
              <w14:ligatures w14:val="standardContextual"/>
            </w:rPr>
            <w:t xml:space="preserve">, J. H., Traub, R. J., Williams, G. M., Andrews, R. M., &amp; Clements, A. C. A. (2014). Water, Sanitation, and Hygiene (WASH): A Critical Component for Sustainable Soil-Transmitted Helminth and Schistosomiasis Control. </w:t>
          </w:r>
          <w:proofErr w:type="spellStart"/>
          <w:r w:rsidRPr="00823C09">
            <w:rPr>
              <w:rFonts w:ascii="Arial" w:hAnsi="Arial" w:cs="Arial"/>
              <w:i/>
              <w:iCs/>
              <w:kern w:val="2"/>
              <w14:ligatures w14:val="standardContextual"/>
            </w:rPr>
            <w:t>PLoS</w:t>
          </w:r>
          <w:proofErr w:type="spellEnd"/>
          <w:r w:rsidRPr="00823C09">
            <w:rPr>
              <w:rFonts w:ascii="Arial" w:hAnsi="Arial" w:cs="Arial"/>
              <w:i/>
              <w:iCs/>
              <w:kern w:val="2"/>
              <w14:ligatures w14:val="standardContextual"/>
            </w:rPr>
            <w:t xml:space="preserve"> Neglected Tropical Diseases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8</w:t>
          </w:r>
          <w:r w:rsidRPr="00823C09">
            <w:rPr>
              <w:rFonts w:ascii="Arial" w:hAnsi="Arial" w:cs="Arial"/>
              <w:kern w:val="2"/>
              <w14:ligatures w14:val="standardContextual"/>
            </w:rPr>
            <w:t>(4). https://doi.org/10.1371/journal.pntd.0002651</w:t>
          </w:r>
        </w:p>
        <w:p w14:paraId="01243DC3"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Chen, X., Huang, Y., &amp; Wang, X. (2022). Process, Characteristics and Mechanism of Spatial Transformation in Traditional Villages from the Perspective of Spatial Production: A Case Study of </w:t>
          </w:r>
          <w:proofErr w:type="spellStart"/>
          <w:r w:rsidRPr="00823C09">
            <w:rPr>
              <w:rFonts w:ascii="Arial" w:hAnsi="Arial" w:cs="Arial"/>
              <w:kern w:val="2"/>
              <w14:ligatures w14:val="standardContextual"/>
            </w:rPr>
            <w:t>Maihuayucun</w:t>
          </w:r>
          <w:proofErr w:type="spellEnd"/>
          <w:r w:rsidRPr="00823C09">
            <w:rPr>
              <w:rFonts w:ascii="Arial" w:hAnsi="Arial" w:cs="Arial"/>
              <w:kern w:val="2"/>
              <w14:ligatures w14:val="standardContextual"/>
            </w:rPr>
            <w:t xml:space="preserve"> Village in Huangshan City. </w:t>
          </w:r>
          <w:r w:rsidRPr="00823C09">
            <w:rPr>
              <w:rFonts w:ascii="Arial" w:hAnsi="Arial" w:cs="Arial"/>
              <w:i/>
              <w:iCs/>
              <w:kern w:val="2"/>
              <w14:ligatures w14:val="standardContextual"/>
            </w:rPr>
            <w:t>Tropical Geography</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42</w:t>
          </w:r>
          <w:r w:rsidRPr="00823C09">
            <w:rPr>
              <w:rFonts w:ascii="Arial" w:hAnsi="Arial" w:cs="Arial"/>
              <w:kern w:val="2"/>
              <w14:ligatures w14:val="standardContextual"/>
            </w:rPr>
            <w:t>(1). https://doi.org/10.13284/j.cnki.rddl.003425</w:t>
          </w:r>
        </w:p>
        <w:p w14:paraId="666203EF"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FAO. (2019). The State of Food and Agriculture 2019. Moving forward on food loss and waste reduction. In </w:t>
          </w:r>
          <w:r w:rsidRPr="00823C09">
            <w:rPr>
              <w:rFonts w:ascii="Arial" w:hAnsi="Arial" w:cs="Arial"/>
              <w:i/>
              <w:iCs/>
              <w:kern w:val="2"/>
              <w14:ligatures w14:val="standardContextual"/>
            </w:rPr>
            <w:t>THE STATE OF THE WORLD</w:t>
          </w:r>
          <w:r w:rsidRPr="00823C09">
            <w:rPr>
              <w:rFonts w:ascii="Arial" w:hAnsi="Arial" w:cs="Arial"/>
              <w:kern w:val="2"/>
              <w14:ligatures w14:val="standardContextual"/>
            </w:rPr>
            <w:t>.</w:t>
          </w:r>
        </w:p>
        <w:p w14:paraId="593DCB1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He, S., &amp; Jiao, W. (2022). Conservation-Compatible Livelihoods: An Approach to Rural Development in Protected Areas of Developing Countries. </w:t>
          </w:r>
          <w:r w:rsidRPr="00823C09">
            <w:rPr>
              <w:rFonts w:ascii="Arial" w:hAnsi="Arial" w:cs="Arial"/>
              <w:i/>
              <w:iCs/>
              <w:kern w:val="2"/>
              <w14:ligatures w14:val="standardContextual"/>
            </w:rPr>
            <w:t>SSRN Electronic Journal</w:t>
          </w:r>
          <w:r w:rsidRPr="00823C09">
            <w:rPr>
              <w:rFonts w:ascii="Arial" w:hAnsi="Arial" w:cs="Arial"/>
              <w:kern w:val="2"/>
              <w14:ligatures w14:val="standardContextual"/>
            </w:rPr>
            <w:t>. https://doi.org/10.2139/ssrn.4112905</w:t>
          </w:r>
        </w:p>
        <w:p w14:paraId="32A55EA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He, S., &amp; Jiao, W. (2023). Conservation-compatible livelihoods: An approach to rural development in protected areas of developing countries. </w:t>
          </w:r>
          <w:r w:rsidRPr="00823C09">
            <w:rPr>
              <w:rFonts w:ascii="Arial" w:hAnsi="Arial" w:cs="Arial"/>
              <w:i/>
              <w:iCs/>
              <w:kern w:val="2"/>
              <w14:ligatures w14:val="standardContextual"/>
            </w:rPr>
            <w:t>Environmental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45</w:t>
          </w:r>
          <w:r w:rsidRPr="00823C09">
            <w:rPr>
              <w:rFonts w:ascii="Arial" w:hAnsi="Arial" w:cs="Arial"/>
              <w:kern w:val="2"/>
              <w14:ligatures w14:val="standardContextual"/>
            </w:rPr>
            <w:t>. https://doi.org/10.1016/j.envdev.2022.100797</w:t>
          </w:r>
        </w:p>
        <w:p w14:paraId="0D2D7EC5"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lastRenderedPageBreak/>
            <w:t>Irianti</w:t>
          </w:r>
          <w:proofErr w:type="spellEnd"/>
          <w:r w:rsidRPr="00823C09">
            <w:rPr>
              <w:rFonts w:ascii="Arial" w:hAnsi="Arial" w:cs="Arial"/>
              <w:kern w:val="2"/>
              <w14:ligatures w14:val="standardContextual"/>
            </w:rPr>
            <w:t xml:space="preserve">, S., &amp; </w:t>
          </w:r>
          <w:proofErr w:type="spellStart"/>
          <w:r w:rsidRPr="00823C09">
            <w:rPr>
              <w:rFonts w:ascii="Arial" w:hAnsi="Arial" w:cs="Arial"/>
              <w:kern w:val="2"/>
              <w14:ligatures w14:val="standardContextual"/>
            </w:rPr>
            <w:t>Prasetyoputra</w:t>
          </w:r>
          <w:proofErr w:type="spellEnd"/>
          <w:r w:rsidRPr="00823C09">
            <w:rPr>
              <w:rFonts w:ascii="Arial" w:hAnsi="Arial" w:cs="Arial"/>
              <w:kern w:val="2"/>
              <w14:ligatures w14:val="standardContextual"/>
            </w:rPr>
            <w:t xml:space="preserve">, P. (2021). Rural–Urban Disparities in Access to Improved Sanitation in Indonesia: A Decomposition Approach. </w:t>
          </w:r>
          <w:r w:rsidRPr="00823C09">
            <w:rPr>
              <w:rFonts w:ascii="Arial" w:hAnsi="Arial" w:cs="Arial"/>
              <w:i/>
              <w:iCs/>
              <w:kern w:val="2"/>
              <w14:ligatures w14:val="standardContextual"/>
            </w:rPr>
            <w:t>SAGE Open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11</w:t>
          </w:r>
          <w:r w:rsidRPr="00823C09">
            <w:rPr>
              <w:rFonts w:ascii="Arial" w:hAnsi="Arial" w:cs="Arial"/>
              <w:kern w:val="2"/>
              <w14:ligatures w14:val="standardContextual"/>
            </w:rPr>
            <w:t>(3). https://doi.org/10.1177/21582440211029920</w:t>
          </w:r>
        </w:p>
        <w:p w14:paraId="25650B55"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Islam, S. N. (2015). Inequality and Environmental Sustainability. </w:t>
          </w:r>
          <w:r w:rsidRPr="00823C09">
            <w:rPr>
              <w:rFonts w:ascii="Arial" w:hAnsi="Arial" w:cs="Arial"/>
              <w:i/>
              <w:iCs/>
              <w:kern w:val="2"/>
              <w14:ligatures w14:val="standardContextual"/>
            </w:rPr>
            <w:t>DESA Working Paper</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145</w:t>
          </w:r>
          <w:r w:rsidRPr="00823C09">
            <w:rPr>
              <w:rFonts w:ascii="Arial" w:hAnsi="Arial" w:cs="Arial"/>
              <w:kern w:val="2"/>
              <w14:ligatures w14:val="standardContextual"/>
            </w:rPr>
            <w:t>.</w:t>
          </w:r>
        </w:p>
        <w:p w14:paraId="30708576"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Kanoti</w:t>
          </w:r>
          <w:proofErr w:type="spellEnd"/>
          <w:r w:rsidRPr="00823C09">
            <w:rPr>
              <w:rFonts w:ascii="Arial" w:hAnsi="Arial" w:cs="Arial"/>
              <w:kern w:val="2"/>
              <w14:ligatures w14:val="standardContextual"/>
            </w:rPr>
            <w:t xml:space="preserve">, J. R., </w:t>
          </w:r>
          <w:proofErr w:type="spellStart"/>
          <w:r w:rsidRPr="00823C09">
            <w:rPr>
              <w:rFonts w:ascii="Arial" w:hAnsi="Arial" w:cs="Arial"/>
              <w:kern w:val="2"/>
              <w14:ligatures w14:val="standardContextual"/>
            </w:rPr>
            <w:t>Olago</w:t>
          </w:r>
          <w:proofErr w:type="spellEnd"/>
          <w:r w:rsidRPr="00823C09">
            <w:rPr>
              <w:rFonts w:ascii="Arial" w:hAnsi="Arial" w:cs="Arial"/>
              <w:kern w:val="2"/>
              <w14:ligatures w14:val="standardContextual"/>
            </w:rPr>
            <w:t xml:space="preserve">, D., Opiyo, N., &amp; </w:t>
          </w:r>
          <w:proofErr w:type="spellStart"/>
          <w:r w:rsidRPr="00823C09">
            <w:rPr>
              <w:rFonts w:ascii="Arial" w:hAnsi="Arial" w:cs="Arial"/>
              <w:kern w:val="2"/>
              <w14:ligatures w14:val="standardContextual"/>
            </w:rPr>
            <w:t>Nyamai</w:t>
          </w:r>
          <w:proofErr w:type="spellEnd"/>
          <w:r w:rsidRPr="00823C09">
            <w:rPr>
              <w:rFonts w:ascii="Arial" w:hAnsi="Arial" w:cs="Arial"/>
              <w:kern w:val="2"/>
              <w14:ligatures w14:val="standardContextual"/>
            </w:rPr>
            <w:t xml:space="preserve">, C. (2019). An overview of groundwater and sanitation challenges in Kisumu City, Kenya. </w:t>
          </w:r>
          <w:r w:rsidRPr="00823C09">
            <w:rPr>
              <w:rFonts w:ascii="Arial" w:hAnsi="Arial" w:cs="Arial"/>
              <w:i/>
              <w:iCs/>
              <w:kern w:val="2"/>
              <w14:ligatures w14:val="standardContextual"/>
            </w:rPr>
            <w:t>International Journal of Innovative Research and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8</w:t>
          </w:r>
          <w:r w:rsidRPr="00823C09">
            <w:rPr>
              <w:rFonts w:ascii="Arial" w:hAnsi="Arial" w:cs="Arial"/>
              <w:kern w:val="2"/>
              <w14:ligatures w14:val="standardContextual"/>
            </w:rPr>
            <w:t>(4). https://doi.org/10.24940/ijird/2019/v8/i4/143592-347932-</w:t>
          </w:r>
        </w:p>
        <w:p w14:paraId="67BCC194"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Kemendes</w:t>
          </w:r>
          <w:proofErr w:type="spellEnd"/>
          <w:r w:rsidRPr="00823C09">
            <w:rPr>
              <w:rFonts w:ascii="Arial" w:hAnsi="Arial" w:cs="Arial"/>
              <w:kern w:val="2"/>
              <w14:ligatures w14:val="standardContextual"/>
            </w:rPr>
            <w:t xml:space="preserve"> PDTT. (2021). </w:t>
          </w:r>
          <w:r w:rsidRPr="00823C09">
            <w:rPr>
              <w:rFonts w:ascii="Arial" w:hAnsi="Arial" w:cs="Arial"/>
              <w:i/>
              <w:iCs/>
              <w:kern w:val="2"/>
              <w14:ligatures w14:val="standardContextual"/>
            </w:rPr>
            <w:t xml:space="preserve">Panduan </w:t>
          </w:r>
          <w:proofErr w:type="spellStart"/>
          <w:r w:rsidRPr="00823C09">
            <w:rPr>
              <w:rFonts w:ascii="Arial" w:hAnsi="Arial" w:cs="Arial"/>
              <w:i/>
              <w:iCs/>
              <w:kern w:val="2"/>
              <w14:ligatures w14:val="standardContextual"/>
            </w:rPr>
            <w:t>Penerapan</w:t>
          </w:r>
          <w:proofErr w:type="spellEnd"/>
          <w:r w:rsidRPr="00823C09">
            <w:rPr>
              <w:rFonts w:ascii="Arial" w:hAnsi="Arial" w:cs="Arial"/>
              <w:i/>
              <w:iCs/>
              <w:kern w:val="2"/>
              <w14:ligatures w14:val="standardContextual"/>
            </w:rPr>
            <w:t xml:space="preserve"> SDGs </w:t>
          </w:r>
          <w:proofErr w:type="spellStart"/>
          <w:r w:rsidRPr="00823C09">
            <w:rPr>
              <w:rFonts w:ascii="Arial" w:hAnsi="Arial" w:cs="Arial"/>
              <w:i/>
              <w:iCs/>
              <w:kern w:val="2"/>
              <w14:ligatures w14:val="standardContextual"/>
            </w:rPr>
            <w:t>Desa</w:t>
          </w:r>
          <w:proofErr w:type="spellEnd"/>
          <w:r w:rsidRPr="00823C09">
            <w:rPr>
              <w:rFonts w:ascii="Arial" w:hAnsi="Arial" w:cs="Arial"/>
              <w:kern w:val="2"/>
              <w14:ligatures w14:val="standardContextual"/>
            </w:rPr>
            <w:t xml:space="preserve">. Kementerian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Pembangunan Daerah </w:t>
          </w:r>
          <w:proofErr w:type="spellStart"/>
          <w:r w:rsidRPr="00823C09">
            <w:rPr>
              <w:rFonts w:ascii="Arial" w:hAnsi="Arial" w:cs="Arial"/>
              <w:kern w:val="2"/>
              <w14:ligatures w14:val="standardContextual"/>
            </w:rPr>
            <w:t>Tertinggal</w:t>
          </w:r>
          <w:proofErr w:type="spellEnd"/>
          <w:r w:rsidRPr="00823C09">
            <w:rPr>
              <w:rFonts w:ascii="Arial" w:hAnsi="Arial" w:cs="Arial"/>
              <w:kern w:val="2"/>
              <w14:ligatures w14:val="standardContextual"/>
            </w:rPr>
            <w:t xml:space="preserve"> dan </w:t>
          </w:r>
          <w:proofErr w:type="spellStart"/>
          <w:r w:rsidRPr="00823C09">
            <w:rPr>
              <w:rFonts w:ascii="Arial" w:hAnsi="Arial" w:cs="Arial"/>
              <w:kern w:val="2"/>
              <w14:ligatures w14:val="standardContextual"/>
            </w:rPr>
            <w:t>Transmigrasi</w:t>
          </w:r>
          <w:proofErr w:type="spellEnd"/>
          <w:r w:rsidRPr="00823C09">
            <w:rPr>
              <w:rFonts w:ascii="Arial" w:hAnsi="Arial" w:cs="Arial"/>
              <w:kern w:val="2"/>
              <w14:ligatures w14:val="standardContextual"/>
            </w:rPr>
            <w:t>.</w:t>
          </w:r>
        </w:p>
        <w:p w14:paraId="4F5B3011"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Kemendes</w:t>
          </w:r>
          <w:proofErr w:type="spellEnd"/>
          <w:r w:rsidRPr="00823C09">
            <w:rPr>
              <w:rFonts w:ascii="Arial" w:hAnsi="Arial" w:cs="Arial"/>
              <w:kern w:val="2"/>
              <w14:ligatures w14:val="standardContextual"/>
            </w:rPr>
            <w:t xml:space="preserve"> PDTT. (2023). </w:t>
          </w:r>
          <w:r w:rsidRPr="00823C09">
            <w:rPr>
              <w:rFonts w:ascii="Arial" w:hAnsi="Arial" w:cs="Arial"/>
              <w:i/>
              <w:iCs/>
              <w:kern w:val="2"/>
              <w14:ligatures w14:val="standardContextual"/>
            </w:rPr>
            <w:t xml:space="preserve">Data SDGs </w:t>
          </w:r>
          <w:proofErr w:type="spellStart"/>
          <w:r w:rsidRPr="00823C09">
            <w:rPr>
              <w:rFonts w:ascii="Arial" w:hAnsi="Arial" w:cs="Arial"/>
              <w:i/>
              <w:iCs/>
              <w:kern w:val="2"/>
              <w14:ligatures w14:val="standardContextual"/>
            </w:rPr>
            <w:t>Desa</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Tahun</w:t>
          </w:r>
          <w:proofErr w:type="spellEnd"/>
          <w:r w:rsidRPr="00823C09">
            <w:rPr>
              <w:rFonts w:ascii="Arial" w:hAnsi="Arial" w:cs="Arial"/>
              <w:i/>
              <w:iCs/>
              <w:kern w:val="2"/>
              <w14:ligatures w14:val="standardContextual"/>
            </w:rPr>
            <w:t xml:space="preserve"> 2023</w:t>
          </w:r>
          <w:r w:rsidRPr="00823C09">
            <w:rPr>
              <w:rFonts w:ascii="Arial" w:hAnsi="Arial" w:cs="Arial"/>
              <w:kern w:val="2"/>
              <w14:ligatures w14:val="standardContextual"/>
            </w:rPr>
            <w:t xml:space="preserve">. Kementerian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Pembangunan Daerah </w:t>
          </w:r>
          <w:proofErr w:type="spellStart"/>
          <w:r w:rsidRPr="00823C09">
            <w:rPr>
              <w:rFonts w:ascii="Arial" w:hAnsi="Arial" w:cs="Arial"/>
              <w:kern w:val="2"/>
              <w14:ligatures w14:val="standardContextual"/>
            </w:rPr>
            <w:t>Tertinggal</w:t>
          </w:r>
          <w:proofErr w:type="spellEnd"/>
          <w:r w:rsidRPr="00823C09">
            <w:rPr>
              <w:rFonts w:ascii="Arial" w:hAnsi="Arial" w:cs="Arial"/>
              <w:kern w:val="2"/>
              <w14:ligatures w14:val="standardContextual"/>
            </w:rPr>
            <w:t xml:space="preserve"> dan </w:t>
          </w:r>
          <w:proofErr w:type="spellStart"/>
          <w:r w:rsidRPr="00823C09">
            <w:rPr>
              <w:rFonts w:ascii="Arial" w:hAnsi="Arial" w:cs="Arial"/>
              <w:kern w:val="2"/>
              <w14:ligatures w14:val="standardContextual"/>
            </w:rPr>
            <w:t>Transmigrasi</w:t>
          </w:r>
          <w:proofErr w:type="spellEnd"/>
          <w:r w:rsidRPr="00823C09">
            <w:rPr>
              <w:rFonts w:ascii="Arial" w:hAnsi="Arial" w:cs="Arial"/>
              <w:kern w:val="2"/>
              <w14:ligatures w14:val="standardContextual"/>
            </w:rPr>
            <w:t>.</w:t>
          </w:r>
        </w:p>
        <w:p w14:paraId="784FEC31"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Kemendes</w:t>
          </w:r>
          <w:proofErr w:type="spellEnd"/>
          <w:r w:rsidRPr="00823C09">
            <w:rPr>
              <w:rFonts w:ascii="Arial" w:hAnsi="Arial" w:cs="Arial"/>
              <w:kern w:val="2"/>
              <w14:ligatures w14:val="standardContextual"/>
            </w:rPr>
            <w:t xml:space="preserve"> PDTT. (2024). </w:t>
          </w:r>
          <w:proofErr w:type="spellStart"/>
          <w:r w:rsidRPr="00823C09">
            <w:rPr>
              <w:rFonts w:ascii="Arial" w:hAnsi="Arial" w:cs="Arial"/>
              <w:kern w:val="2"/>
              <w14:ligatures w14:val="standardContextual"/>
            </w:rPr>
            <w:t>Indeks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Ketahanan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Lingkungan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In </w:t>
          </w:r>
          <w:r w:rsidRPr="00823C09">
            <w:rPr>
              <w:rFonts w:ascii="Arial" w:hAnsi="Arial" w:cs="Arial"/>
              <w:i/>
              <w:iCs/>
              <w:kern w:val="2"/>
              <w14:ligatures w14:val="standardContextual"/>
            </w:rPr>
            <w:t xml:space="preserve">Kementerian </w:t>
          </w:r>
          <w:proofErr w:type="spellStart"/>
          <w:r w:rsidRPr="00823C09">
            <w:rPr>
              <w:rFonts w:ascii="Arial" w:hAnsi="Arial" w:cs="Arial"/>
              <w:i/>
              <w:iCs/>
              <w:kern w:val="2"/>
              <w14:ligatures w14:val="standardContextual"/>
            </w:rPr>
            <w:t>Desa</w:t>
          </w:r>
          <w:proofErr w:type="spellEnd"/>
          <w:r w:rsidRPr="00823C09">
            <w:rPr>
              <w:rFonts w:ascii="Arial" w:hAnsi="Arial" w:cs="Arial"/>
              <w:i/>
              <w:iCs/>
              <w:kern w:val="2"/>
              <w14:ligatures w14:val="standardContextual"/>
            </w:rPr>
            <w:t xml:space="preserve">, Pembangunan Daerah </w:t>
          </w:r>
          <w:proofErr w:type="spellStart"/>
          <w:r w:rsidRPr="00823C09">
            <w:rPr>
              <w:rFonts w:ascii="Arial" w:hAnsi="Arial" w:cs="Arial"/>
              <w:i/>
              <w:iCs/>
              <w:kern w:val="2"/>
              <w14:ligatures w14:val="standardContextual"/>
            </w:rPr>
            <w:t>Tertinggal</w:t>
          </w:r>
          <w:proofErr w:type="spellEnd"/>
          <w:r w:rsidRPr="00823C09">
            <w:rPr>
              <w:rFonts w:ascii="Arial" w:hAnsi="Arial" w:cs="Arial"/>
              <w:i/>
              <w:iCs/>
              <w:kern w:val="2"/>
              <w14:ligatures w14:val="standardContextual"/>
            </w:rPr>
            <w:t xml:space="preserve"> dan </w:t>
          </w:r>
          <w:proofErr w:type="spellStart"/>
          <w:r w:rsidRPr="00823C09">
            <w:rPr>
              <w:rFonts w:ascii="Arial" w:hAnsi="Arial" w:cs="Arial"/>
              <w:i/>
              <w:iCs/>
              <w:kern w:val="2"/>
              <w14:ligatures w14:val="standardContextual"/>
            </w:rPr>
            <w:t>Transmigrasi</w:t>
          </w:r>
          <w:proofErr w:type="spellEnd"/>
          <w:r w:rsidRPr="00823C09">
            <w:rPr>
              <w:rFonts w:ascii="Arial" w:hAnsi="Arial" w:cs="Arial"/>
              <w:kern w:val="2"/>
              <w14:ligatures w14:val="standardContextual"/>
            </w:rPr>
            <w:t>.</w:t>
          </w:r>
        </w:p>
        <w:p w14:paraId="2D2502D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Kidane, R., Prowse, M., &amp; de </w:t>
          </w:r>
          <w:proofErr w:type="spellStart"/>
          <w:r w:rsidRPr="00823C09">
            <w:rPr>
              <w:rFonts w:ascii="Arial" w:hAnsi="Arial" w:cs="Arial"/>
              <w:kern w:val="2"/>
              <w14:ligatures w14:val="standardContextual"/>
            </w:rPr>
            <w:t>Neergaard</w:t>
          </w:r>
          <w:proofErr w:type="spellEnd"/>
          <w:r w:rsidRPr="00823C09">
            <w:rPr>
              <w:rFonts w:ascii="Arial" w:hAnsi="Arial" w:cs="Arial"/>
              <w:kern w:val="2"/>
              <w14:ligatures w14:val="standardContextual"/>
            </w:rPr>
            <w:t xml:space="preserve">, A. (2019). Bespoke Adaptation in Rural Africa? An Asset-Based Approach from Southern Ethiopia. </w:t>
          </w:r>
          <w:r w:rsidRPr="00823C09">
            <w:rPr>
              <w:rFonts w:ascii="Arial" w:hAnsi="Arial" w:cs="Arial"/>
              <w:i/>
              <w:iCs/>
              <w:kern w:val="2"/>
              <w14:ligatures w14:val="standardContextual"/>
            </w:rPr>
            <w:t>European Journal of Development Research</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31</w:t>
          </w:r>
          <w:r w:rsidRPr="00823C09">
            <w:rPr>
              <w:rFonts w:ascii="Arial" w:hAnsi="Arial" w:cs="Arial"/>
              <w:kern w:val="2"/>
              <w14:ligatures w14:val="standardContextual"/>
            </w:rPr>
            <w:t>(3). https://doi.org/10.1057/s41287-018-0161-4</w:t>
          </w:r>
        </w:p>
        <w:p w14:paraId="7FEAF9C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Li, Y., </w:t>
          </w:r>
          <w:proofErr w:type="spellStart"/>
          <w:r w:rsidRPr="00823C09">
            <w:rPr>
              <w:rFonts w:ascii="Arial" w:hAnsi="Arial" w:cs="Arial"/>
              <w:kern w:val="2"/>
              <w14:ligatures w14:val="standardContextual"/>
            </w:rPr>
            <w:t>Westlund</w:t>
          </w:r>
          <w:proofErr w:type="spellEnd"/>
          <w:r w:rsidRPr="00823C09">
            <w:rPr>
              <w:rFonts w:ascii="Arial" w:hAnsi="Arial" w:cs="Arial"/>
              <w:kern w:val="2"/>
              <w14:ligatures w14:val="standardContextual"/>
            </w:rPr>
            <w:t xml:space="preserve">, H., &amp; Liu, Y. (2019). Why some rural areas decline while some others not: An overview of rural evolution in the world. </w:t>
          </w:r>
          <w:r w:rsidRPr="00823C09">
            <w:rPr>
              <w:rFonts w:ascii="Arial" w:hAnsi="Arial" w:cs="Arial"/>
              <w:i/>
              <w:iCs/>
              <w:kern w:val="2"/>
              <w14:ligatures w14:val="standardContextual"/>
            </w:rPr>
            <w:t>Journal of Rural Studies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68</w:t>
          </w:r>
          <w:r w:rsidRPr="00823C09">
            <w:rPr>
              <w:rFonts w:ascii="Arial" w:hAnsi="Arial" w:cs="Arial"/>
              <w:kern w:val="2"/>
              <w14:ligatures w14:val="standardContextual"/>
            </w:rPr>
            <w:t>. https://doi.org/10.1016/j.jrurstud.2019.03.003</w:t>
          </w:r>
        </w:p>
        <w:p w14:paraId="747E0570"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Mehta, L., </w:t>
          </w:r>
          <w:proofErr w:type="spellStart"/>
          <w:r w:rsidRPr="00823C09">
            <w:rPr>
              <w:rFonts w:ascii="Arial" w:hAnsi="Arial" w:cs="Arial"/>
              <w:kern w:val="2"/>
              <w14:ligatures w14:val="standardContextual"/>
            </w:rPr>
            <w:t>Oweis</w:t>
          </w:r>
          <w:proofErr w:type="spellEnd"/>
          <w:r w:rsidRPr="00823C09">
            <w:rPr>
              <w:rFonts w:ascii="Arial" w:hAnsi="Arial" w:cs="Arial"/>
              <w:kern w:val="2"/>
              <w14:ligatures w14:val="standardContextual"/>
            </w:rPr>
            <w:t xml:space="preserve">, T., Ringler, C., Schreiner, B., &amp; Varghese, S. (2019). Water for food security, nutrition and social justice. In </w:t>
          </w:r>
          <w:r w:rsidRPr="00823C09">
            <w:rPr>
              <w:rFonts w:ascii="Arial" w:hAnsi="Arial" w:cs="Arial"/>
              <w:i/>
              <w:iCs/>
              <w:kern w:val="2"/>
              <w14:ligatures w14:val="standardContextual"/>
            </w:rPr>
            <w:t>Water for Food Security, Nutrition and Social Justice</w:t>
          </w:r>
          <w:r w:rsidRPr="00823C09">
            <w:rPr>
              <w:rFonts w:ascii="Arial" w:hAnsi="Arial" w:cs="Arial"/>
              <w:kern w:val="2"/>
              <w14:ligatures w14:val="standardContextual"/>
            </w:rPr>
            <w:t>. https://doi.org/10.4324/9781351747622</w:t>
          </w:r>
        </w:p>
        <w:p w14:paraId="21A37D1F"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Monjane</w:t>
          </w:r>
          <w:proofErr w:type="spellEnd"/>
          <w:r w:rsidRPr="00823C09">
            <w:rPr>
              <w:rFonts w:ascii="Arial" w:hAnsi="Arial" w:cs="Arial"/>
              <w:kern w:val="2"/>
              <w14:ligatures w14:val="standardContextual"/>
            </w:rPr>
            <w:t xml:space="preserve">, B. (2019). Agroecology: science and politics. </w:t>
          </w:r>
          <w:r w:rsidRPr="00823C09">
            <w:rPr>
              <w:rFonts w:ascii="Arial" w:hAnsi="Arial" w:cs="Arial"/>
              <w:i/>
              <w:iCs/>
              <w:kern w:val="2"/>
              <w14:ligatures w14:val="standardContextual"/>
            </w:rPr>
            <w:t>The Journal of Peasant Studies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46</w:t>
          </w:r>
          <w:r w:rsidRPr="00823C09">
            <w:rPr>
              <w:rFonts w:ascii="Arial" w:hAnsi="Arial" w:cs="Arial"/>
              <w:kern w:val="2"/>
              <w14:ligatures w14:val="standardContextual"/>
            </w:rPr>
            <w:t>(5). https://doi.org/10.1080/03066150.2019.1615184</w:t>
          </w:r>
        </w:p>
        <w:p w14:paraId="1803C33D"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Muchunguzi</w:t>
          </w:r>
          <w:proofErr w:type="spellEnd"/>
          <w:r w:rsidRPr="00823C09">
            <w:rPr>
              <w:rFonts w:ascii="Arial" w:hAnsi="Arial" w:cs="Arial"/>
              <w:kern w:val="2"/>
              <w14:ligatures w14:val="standardContextual"/>
            </w:rPr>
            <w:t xml:space="preserve">, S. (2023). Participatory management of natural resources in Africa: an imperative policy direction for sustainable development. </w:t>
          </w:r>
          <w:r w:rsidRPr="00823C09">
            <w:rPr>
              <w:rFonts w:ascii="Arial" w:hAnsi="Arial" w:cs="Arial"/>
              <w:i/>
              <w:iCs/>
              <w:kern w:val="2"/>
              <w14:ligatures w14:val="standardContextual"/>
            </w:rPr>
            <w:t>Management of Environmental Quality: An International Journal</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34</w:t>
          </w:r>
          <w:r w:rsidRPr="00823C09">
            <w:rPr>
              <w:rFonts w:ascii="Arial" w:hAnsi="Arial" w:cs="Arial"/>
              <w:kern w:val="2"/>
              <w14:ligatures w14:val="standardContextual"/>
            </w:rPr>
            <w:t>(3). https://doi.org/10.1108/MEQ-06-2022-0170</w:t>
          </w:r>
        </w:p>
        <w:p w14:paraId="6365BEBE"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Rahat</w:t>
          </w:r>
          <w:proofErr w:type="spellEnd"/>
          <w:r w:rsidRPr="00823C09">
            <w:rPr>
              <w:rFonts w:ascii="Arial" w:hAnsi="Arial" w:cs="Arial"/>
              <w:kern w:val="2"/>
              <w14:ligatures w14:val="standardContextual"/>
            </w:rPr>
            <w:t xml:space="preserve">, R., Calle Müller, C., &amp; </w:t>
          </w:r>
          <w:proofErr w:type="spellStart"/>
          <w:r w:rsidRPr="00823C09">
            <w:rPr>
              <w:rFonts w:ascii="Arial" w:hAnsi="Arial" w:cs="Arial"/>
              <w:kern w:val="2"/>
              <w14:ligatures w14:val="standardContextual"/>
            </w:rPr>
            <w:t>ElZomor</w:t>
          </w:r>
          <w:proofErr w:type="spellEnd"/>
          <w:r w:rsidRPr="00823C09">
            <w:rPr>
              <w:rFonts w:ascii="Arial" w:hAnsi="Arial" w:cs="Arial"/>
              <w:kern w:val="2"/>
              <w14:ligatures w14:val="standardContextual"/>
            </w:rPr>
            <w:t xml:space="preserve">, M. (2024). Reinforcing infrastructure equity through leveraging Envision rating system within construction education. </w:t>
          </w:r>
          <w:r w:rsidRPr="00823C09">
            <w:rPr>
              <w:rFonts w:ascii="Arial" w:hAnsi="Arial" w:cs="Arial"/>
              <w:i/>
              <w:iCs/>
              <w:kern w:val="2"/>
              <w14:ligatures w14:val="standardContextual"/>
            </w:rPr>
            <w:t>International Journal of Sustainability in Higher Education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25</w:t>
          </w:r>
          <w:r w:rsidRPr="00823C09">
            <w:rPr>
              <w:rFonts w:ascii="Arial" w:hAnsi="Arial" w:cs="Arial"/>
              <w:kern w:val="2"/>
              <w14:ligatures w14:val="standardContextual"/>
            </w:rPr>
            <w:t>(8). https://doi.org/10.1108/IJSHE-09-2023-0409</w:t>
          </w:r>
        </w:p>
        <w:p w14:paraId="51537915"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Raut, N. K. (2022). Kate </w:t>
          </w:r>
          <w:proofErr w:type="spellStart"/>
          <w:r w:rsidRPr="00823C09">
            <w:rPr>
              <w:rFonts w:ascii="Arial" w:hAnsi="Arial" w:cs="Arial"/>
              <w:kern w:val="2"/>
              <w14:ligatures w14:val="standardContextual"/>
            </w:rPr>
            <w:t>Raworth</w:t>
          </w:r>
          <w:proofErr w:type="spellEnd"/>
          <w:r w:rsidRPr="00823C09">
            <w:rPr>
              <w:rFonts w:ascii="Arial" w:hAnsi="Arial" w:cs="Arial"/>
              <w:kern w:val="2"/>
              <w14:ligatures w14:val="standardContextual"/>
            </w:rPr>
            <w:t xml:space="preserve"> (2017). Doughnut Economics: Seven Ways to Think Like a 21st – Century Economist. </w:t>
          </w:r>
          <w:r w:rsidRPr="00823C09">
            <w:rPr>
              <w:rFonts w:ascii="Arial" w:hAnsi="Arial" w:cs="Arial"/>
              <w:i/>
              <w:iCs/>
              <w:kern w:val="2"/>
              <w14:ligatures w14:val="standardContextual"/>
            </w:rPr>
            <w:t>Economic Journal of Nepal</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45</w:t>
          </w:r>
          <w:r w:rsidRPr="00823C09">
            <w:rPr>
              <w:rFonts w:ascii="Arial" w:hAnsi="Arial" w:cs="Arial"/>
              <w:kern w:val="2"/>
              <w14:ligatures w14:val="standardContextual"/>
            </w:rPr>
            <w:t>(1–2). https://doi.org/10.3126/ejon.v45i1-2.58544</w:t>
          </w:r>
        </w:p>
        <w:p w14:paraId="0A58F05A"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Sehnem</w:t>
          </w:r>
          <w:proofErr w:type="spellEnd"/>
          <w:r w:rsidRPr="00823C09">
            <w:rPr>
              <w:rFonts w:ascii="Arial" w:hAnsi="Arial" w:cs="Arial"/>
              <w:kern w:val="2"/>
              <w14:ligatures w14:val="standardContextual"/>
            </w:rPr>
            <w:t xml:space="preserve">, S., </w:t>
          </w:r>
          <w:proofErr w:type="spellStart"/>
          <w:r w:rsidRPr="00823C09">
            <w:rPr>
              <w:rFonts w:ascii="Arial" w:hAnsi="Arial" w:cs="Arial"/>
              <w:kern w:val="2"/>
              <w14:ligatures w14:val="standardContextual"/>
            </w:rPr>
            <w:t>Bispo</w:t>
          </w:r>
          <w:proofErr w:type="spellEnd"/>
          <w:r w:rsidRPr="00823C09">
            <w:rPr>
              <w:rFonts w:ascii="Arial" w:hAnsi="Arial" w:cs="Arial"/>
              <w:kern w:val="2"/>
              <w14:ligatures w14:val="standardContextual"/>
            </w:rPr>
            <w:t xml:space="preserve">, D. S., João, J. O., de Souza, M. A. L., </w:t>
          </w:r>
          <w:proofErr w:type="spellStart"/>
          <w:r w:rsidRPr="00823C09">
            <w:rPr>
              <w:rFonts w:ascii="Arial" w:hAnsi="Arial" w:cs="Arial"/>
              <w:kern w:val="2"/>
              <w14:ligatures w14:val="standardContextual"/>
            </w:rPr>
            <w:t>Bertoglio</w:t>
          </w:r>
          <w:proofErr w:type="spellEnd"/>
          <w:r w:rsidRPr="00823C09">
            <w:rPr>
              <w:rFonts w:ascii="Arial" w:hAnsi="Arial" w:cs="Arial"/>
              <w:kern w:val="2"/>
              <w14:ligatures w14:val="standardContextual"/>
            </w:rPr>
            <w:t xml:space="preserve">, O., </w:t>
          </w:r>
          <w:proofErr w:type="spellStart"/>
          <w:r w:rsidRPr="00823C09">
            <w:rPr>
              <w:rFonts w:ascii="Arial" w:hAnsi="Arial" w:cs="Arial"/>
              <w:kern w:val="2"/>
              <w14:ligatures w14:val="standardContextual"/>
            </w:rPr>
            <w:t>Ciotti</w:t>
          </w:r>
          <w:proofErr w:type="spellEnd"/>
          <w:r w:rsidRPr="00823C09">
            <w:rPr>
              <w:rFonts w:ascii="Arial" w:hAnsi="Arial" w:cs="Arial"/>
              <w:kern w:val="2"/>
              <w14:ligatures w14:val="standardContextual"/>
            </w:rPr>
            <w:t xml:space="preserve">, R., &amp; Deon, S. M. (2022). Upscaling circular economy in </w:t>
          </w:r>
          <w:proofErr w:type="spellStart"/>
          <w:r w:rsidRPr="00823C09">
            <w:rPr>
              <w:rFonts w:ascii="Arial" w:hAnsi="Arial" w:cs="Arial"/>
              <w:kern w:val="2"/>
              <w14:ligatures w14:val="standardContextual"/>
            </w:rPr>
            <w:t>foodtechs</w:t>
          </w:r>
          <w:proofErr w:type="spellEnd"/>
          <w:r w:rsidRPr="00823C09">
            <w:rPr>
              <w:rFonts w:ascii="Arial" w:hAnsi="Arial" w:cs="Arial"/>
              <w:kern w:val="2"/>
              <w14:ligatures w14:val="standardContextual"/>
            </w:rPr>
            <w:t xml:space="preserve"> businesses in emergent countries: Towards sustainable development through natural </w:t>
          </w:r>
          <w:proofErr w:type="gramStart"/>
          <w:r w:rsidRPr="00823C09">
            <w:rPr>
              <w:rFonts w:ascii="Arial" w:hAnsi="Arial" w:cs="Arial"/>
              <w:kern w:val="2"/>
              <w14:ligatures w14:val="standardContextual"/>
            </w:rPr>
            <w:t>resource based</w:t>
          </w:r>
          <w:proofErr w:type="gramEnd"/>
          <w:r w:rsidRPr="00823C09">
            <w:rPr>
              <w:rFonts w:ascii="Arial" w:hAnsi="Arial" w:cs="Arial"/>
              <w:kern w:val="2"/>
              <w14:ligatures w14:val="standardContextual"/>
            </w:rPr>
            <w:t xml:space="preserve"> view. </w:t>
          </w:r>
          <w:r w:rsidRPr="00823C09">
            <w:rPr>
              <w:rFonts w:ascii="Arial" w:hAnsi="Arial" w:cs="Arial"/>
              <w:i/>
              <w:iCs/>
              <w:kern w:val="2"/>
              <w14:ligatures w14:val="standardContextual"/>
            </w:rPr>
            <w:t>Sustainable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30</w:t>
          </w:r>
          <w:r w:rsidRPr="00823C09">
            <w:rPr>
              <w:rFonts w:ascii="Arial" w:hAnsi="Arial" w:cs="Arial"/>
              <w:kern w:val="2"/>
              <w14:ligatures w14:val="standardContextual"/>
            </w:rPr>
            <w:t>(5). https://doi.org/10.1002/sd.2311</w:t>
          </w:r>
        </w:p>
        <w:p w14:paraId="11095862"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Sinaga</w:t>
          </w:r>
          <w:proofErr w:type="spellEnd"/>
          <w:r w:rsidRPr="00823C09">
            <w:rPr>
              <w:rFonts w:ascii="Arial" w:hAnsi="Arial" w:cs="Arial"/>
              <w:kern w:val="2"/>
              <w14:ligatures w14:val="standardContextual"/>
            </w:rPr>
            <w:t xml:space="preserve">, A. (2016). </w:t>
          </w:r>
          <w:proofErr w:type="spellStart"/>
          <w:r w:rsidRPr="00823C09">
            <w:rPr>
              <w:rFonts w:ascii="Arial" w:hAnsi="Arial" w:cs="Arial"/>
              <w:kern w:val="2"/>
              <w14:ligatures w14:val="standardContextual"/>
            </w:rPr>
            <w:t>Analisis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Faktor-Faktor</w:t>
          </w:r>
          <w:proofErr w:type="spellEnd"/>
          <w:r w:rsidRPr="00823C09">
            <w:rPr>
              <w:rFonts w:ascii="Arial" w:hAnsi="Arial" w:cs="Arial"/>
              <w:kern w:val="2"/>
              <w14:ligatures w14:val="standardContextual"/>
            </w:rPr>
            <w:t xml:space="preserve"> Yang </w:t>
          </w:r>
          <w:proofErr w:type="spellStart"/>
          <w:r w:rsidRPr="00823C09">
            <w:rPr>
              <w:rFonts w:ascii="Arial" w:hAnsi="Arial" w:cs="Arial"/>
              <w:kern w:val="2"/>
              <w14:ligatures w14:val="standardContextual"/>
            </w:rPr>
            <w:t>Mempengaruhi</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Kesejahteraan</w:t>
          </w:r>
          <w:proofErr w:type="spellEnd"/>
          <w:r w:rsidRPr="00823C09">
            <w:rPr>
              <w:rFonts w:ascii="Arial" w:hAnsi="Arial" w:cs="Arial"/>
              <w:kern w:val="2"/>
              <w14:ligatures w14:val="standardContextual"/>
            </w:rPr>
            <w:t xml:space="preserve"> Masyarakat Di Kota Medan (</w:t>
          </w:r>
          <w:proofErr w:type="spellStart"/>
          <w:r w:rsidRPr="00823C09">
            <w:rPr>
              <w:rFonts w:ascii="Arial" w:hAnsi="Arial" w:cs="Arial"/>
              <w:kern w:val="2"/>
              <w14:ligatures w14:val="standardContextual"/>
            </w:rPr>
            <w:t>Studi</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Kasus</w:t>
          </w:r>
          <w:proofErr w:type="spellEnd"/>
          <w:r w:rsidRPr="00823C09">
            <w:rPr>
              <w:rFonts w:ascii="Arial" w:hAnsi="Arial" w:cs="Arial"/>
              <w:kern w:val="2"/>
              <w14:ligatures w14:val="standardContextual"/>
            </w:rPr>
            <w:t xml:space="preserve"> Usaha Kecil Dan </w:t>
          </w:r>
          <w:proofErr w:type="spellStart"/>
          <w:r w:rsidRPr="00823C09">
            <w:rPr>
              <w:rFonts w:ascii="Arial" w:hAnsi="Arial" w:cs="Arial"/>
              <w:kern w:val="2"/>
              <w14:ligatures w14:val="standardContextual"/>
            </w:rPr>
            <w:t>Menengah</w:t>
          </w:r>
          <w:proofErr w:type="spellEnd"/>
          <w:r w:rsidRPr="00823C09">
            <w:rPr>
              <w:rFonts w:ascii="Arial" w:hAnsi="Arial" w:cs="Arial"/>
              <w:kern w:val="2"/>
              <w14:ligatures w14:val="standardContextual"/>
            </w:rPr>
            <w:t xml:space="preserve">). </w:t>
          </w:r>
          <w:proofErr w:type="spellStart"/>
          <w:r w:rsidRPr="00823C09">
            <w:rPr>
              <w:rFonts w:ascii="Arial" w:hAnsi="Arial" w:cs="Arial"/>
              <w:i/>
              <w:iCs/>
              <w:kern w:val="2"/>
              <w14:ligatures w14:val="standardContextual"/>
            </w:rPr>
            <w:t>Jurnal</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Ilmiah</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Methonomi</w:t>
          </w:r>
          <w:proofErr w:type="spellEnd"/>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w:t>
          </w:r>
          <w:r w:rsidRPr="00823C09">
            <w:rPr>
              <w:rFonts w:ascii="Arial" w:hAnsi="Arial" w:cs="Arial"/>
              <w:kern w:val="2"/>
              <w14:ligatures w14:val="standardContextual"/>
            </w:rPr>
            <w:t>(1).</w:t>
          </w:r>
        </w:p>
        <w:p w14:paraId="2E90571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Souza, G., Santos, C., &amp; </w:t>
          </w:r>
          <w:proofErr w:type="spellStart"/>
          <w:r w:rsidRPr="00823C09">
            <w:rPr>
              <w:rFonts w:ascii="Arial" w:hAnsi="Arial" w:cs="Arial"/>
              <w:kern w:val="2"/>
              <w14:ligatures w14:val="standardContextual"/>
            </w:rPr>
            <w:t>Lisboa</w:t>
          </w:r>
          <w:proofErr w:type="spellEnd"/>
          <w:r w:rsidRPr="00823C09">
            <w:rPr>
              <w:rFonts w:ascii="Arial" w:hAnsi="Arial" w:cs="Arial"/>
              <w:kern w:val="2"/>
              <w14:ligatures w14:val="standardContextual"/>
            </w:rPr>
            <w:t xml:space="preserve">, É. (2025). Water, Sanitation, and Hygiene in Urban Areas: A Review. </w:t>
          </w:r>
          <w:r w:rsidRPr="00823C09">
            <w:rPr>
              <w:rFonts w:ascii="Arial" w:hAnsi="Arial" w:cs="Arial"/>
              <w:i/>
              <w:iCs/>
              <w:kern w:val="2"/>
              <w14:ligatures w14:val="standardContextual"/>
            </w:rPr>
            <w:t>Water</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17</w:t>
          </w:r>
          <w:r w:rsidRPr="00823C09">
            <w:rPr>
              <w:rFonts w:ascii="Arial" w:hAnsi="Arial" w:cs="Arial"/>
              <w:kern w:val="2"/>
              <w14:ligatures w14:val="standardContextual"/>
            </w:rPr>
            <w:t>(17), 2634.</w:t>
          </w:r>
        </w:p>
        <w:p w14:paraId="726A86C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The State of Food Security and Nutrition in the World 2019. (2019). In </w:t>
          </w:r>
          <w:proofErr w:type="gramStart"/>
          <w:r w:rsidRPr="00823C09">
            <w:rPr>
              <w:rFonts w:ascii="Arial" w:hAnsi="Arial" w:cs="Arial"/>
              <w:i/>
              <w:iCs/>
              <w:kern w:val="2"/>
              <w14:ligatures w14:val="standardContextual"/>
            </w:rPr>
            <w:t>The</w:t>
          </w:r>
          <w:proofErr w:type="gramEnd"/>
          <w:r w:rsidRPr="00823C09">
            <w:rPr>
              <w:rFonts w:ascii="Arial" w:hAnsi="Arial" w:cs="Arial"/>
              <w:i/>
              <w:iCs/>
              <w:kern w:val="2"/>
              <w14:ligatures w14:val="standardContextual"/>
            </w:rPr>
            <w:t xml:space="preserve"> State of Food Security and Nutrition in the World 2019</w:t>
          </w:r>
          <w:r w:rsidRPr="00823C09">
            <w:rPr>
              <w:rFonts w:ascii="Arial" w:hAnsi="Arial" w:cs="Arial"/>
              <w:kern w:val="2"/>
              <w14:ligatures w14:val="standardContextual"/>
            </w:rPr>
            <w:t>. https://doi.org/10.4060/ca5162en</w:t>
          </w:r>
        </w:p>
        <w:p w14:paraId="7BC1E75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The State of Food Security and Nutrition in the World 2021. (2021). In </w:t>
          </w:r>
          <w:proofErr w:type="gramStart"/>
          <w:r w:rsidRPr="00823C09">
            <w:rPr>
              <w:rFonts w:ascii="Arial" w:hAnsi="Arial" w:cs="Arial"/>
              <w:i/>
              <w:iCs/>
              <w:kern w:val="2"/>
              <w14:ligatures w14:val="standardContextual"/>
            </w:rPr>
            <w:t>The</w:t>
          </w:r>
          <w:proofErr w:type="gramEnd"/>
          <w:r w:rsidRPr="00823C09">
            <w:rPr>
              <w:rFonts w:ascii="Arial" w:hAnsi="Arial" w:cs="Arial"/>
              <w:i/>
              <w:iCs/>
              <w:kern w:val="2"/>
              <w14:ligatures w14:val="standardContextual"/>
            </w:rPr>
            <w:t xml:space="preserve"> State of Food Security and Nutrition in the World 2021</w:t>
          </w:r>
          <w:r w:rsidRPr="00823C09">
            <w:rPr>
              <w:rFonts w:ascii="Arial" w:hAnsi="Arial" w:cs="Arial"/>
              <w:kern w:val="2"/>
              <w14:ligatures w14:val="standardContextual"/>
            </w:rPr>
            <w:t>. https://doi.org/10.4060/cb4474en</w:t>
          </w:r>
        </w:p>
        <w:p w14:paraId="58D6083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UN. (2015). Summit Charts New Era of Sustainable Development. </w:t>
          </w:r>
          <w:r w:rsidRPr="00823C09">
            <w:rPr>
              <w:rFonts w:ascii="Arial" w:hAnsi="Arial" w:cs="Arial"/>
              <w:i/>
              <w:iCs/>
              <w:kern w:val="2"/>
              <w14:ligatures w14:val="standardContextual"/>
            </w:rPr>
            <w:t>United Nations Press Release</w:t>
          </w:r>
          <w:r w:rsidRPr="00823C09">
            <w:rPr>
              <w:rFonts w:ascii="Arial" w:hAnsi="Arial" w:cs="Arial"/>
              <w:kern w:val="2"/>
              <w14:ligatures w14:val="standardContextual"/>
            </w:rPr>
            <w:t>.</w:t>
          </w:r>
        </w:p>
        <w:p w14:paraId="26071F8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Zang, J., Kumar, M., &amp; Werner, D. (2021). Real-world sustainability analysis of an innovative decentralized water system with rainwater harvesting and wastewater reclamation. </w:t>
          </w:r>
          <w:r w:rsidRPr="00823C09">
            <w:rPr>
              <w:rFonts w:ascii="Arial" w:hAnsi="Arial" w:cs="Arial"/>
              <w:i/>
              <w:iCs/>
              <w:kern w:val="2"/>
              <w14:ligatures w14:val="standardContextual"/>
            </w:rPr>
            <w:t>Journal of Environmental Management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280</w:t>
          </w:r>
          <w:r w:rsidRPr="00823C09">
            <w:rPr>
              <w:rFonts w:ascii="Arial" w:hAnsi="Arial" w:cs="Arial"/>
              <w:kern w:val="2"/>
              <w14:ligatures w14:val="standardContextual"/>
            </w:rPr>
            <w:t>. https://doi.org/10.1016/j.jenvman.2020.111639</w:t>
          </w:r>
        </w:p>
        <w:p w14:paraId="7A51FC59"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Zar</w:t>
          </w:r>
          <w:proofErr w:type="spellEnd"/>
          <w:r w:rsidRPr="00823C09">
            <w:rPr>
              <w:rFonts w:ascii="Arial" w:hAnsi="Arial" w:cs="Arial"/>
              <w:kern w:val="2"/>
              <w14:ligatures w14:val="standardContextual"/>
            </w:rPr>
            <w:t xml:space="preserve">, J. H. (2010). Biostatistical Analysis - ERRATA. </w:t>
          </w:r>
          <w:r w:rsidRPr="00823C09">
            <w:rPr>
              <w:rFonts w:ascii="Arial" w:hAnsi="Arial" w:cs="Arial"/>
              <w:i/>
              <w:iCs/>
              <w:kern w:val="2"/>
              <w14:ligatures w14:val="standardContextual"/>
            </w:rPr>
            <w:t>Prentice Hall New Jersey USA</w:t>
          </w:r>
          <w:r w:rsidRPr="00823C09">
            <w:rPr>
              <w:rFonts w:ascii="Arial" w:hAnsi="Arial" w:cs="Arial"/>
              <w:kern w:val="2"/>
              <w14:ligatures w14:val="standardContextual"/>
            </w:rPr>
            <w:t>.</w:t>
          </w:r>
        </w:p>
        <w:p w14:paraId="364ACEE7" w14:textId="77777777" w:rsidR="00A90AD1" w:rsidRPr="00A90AD1" w:rsidRDefault="00A90AD1" w:rsidP="00A90AD1">
          <w:pPr>
            <w:jc w:val="both"/>
            <w:rPr>
              <w:rFonts w:ascii="Calibri" w:eastAsia="Calibri" w:hAnsi="Calibri" w:cs="Calibri"/>
              <w:color w:val="000000"/>
              <w:kern w:val="2"/>
              <w:sz w:val="24"/>
              <w:szCs w:val="24"/>
              <w14:ligatures w14:val="standardContextual"/>
            </w:rPr>
          </w:pPr>
          <w:r w:rsidRPr="00823C09">
            <w:rPr>
              <w:rFonts w:ascii="Arial" w:hAnsi="Arial" w:cs="Arial"/>
              <w:kern w:val="2"/>
              <w14:ligatures w14:val="standardContextual"/>
            </w:rPr>
            <w:t> </w:t>
          </w:r>
        </w:p>
      </w:sdtContent>
    </w:sdt>
    <w:sectPr w:rsidR="00A90AD1" w:rsidRPr="00A90AD1" w:rsidSect="009D2E7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CBAA6" w14:textId="77777777" w:rsidR="00345307" w:rsidRDefault="00345307" w:rsidP="00C37E61">
      <w:r>
        <w:separator/>
      </w:r>
    </w:p>
  </w:endnote>
  <w:endnote w:type="continuationSeparator" w:id="0">
    <w:p w14:paraId="6AFBA320" w14:textId="77777777" w:rsidR="00345307" w:rsidRDefault="003453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788B" w14:textId="77777777" w:rsidR="00246CEE" w:rsidRDefault="0024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CBD6" w14:textId="77777777" w:rsidR="00246CEE" w:rsidRDefault="00246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F951" w14:textId="51FBCFD4" w:rsidR="00754C9A" w:rsidRPr="00F16722" w:rsidRDefault="00754C9A" w:rsidP="00F1672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9E9F9" w14:textId="77777777" w:rsidR="00345307" w:rsidRDefault="00345307" w:rsidP="00C37E61">
      <w:r>
        <w:separator/>
      </w:r>
    </w:p>
  </w:footnote>
  <w:footnote w:type="continuationSeparator" w:id="0">
    <w:p w14:paraId="399EC1B1" w14:textId="77777777" w:rsidR="00345307" w:rsidRDefault="003453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1ABD" w14:textId="748BF770" w:rsidR="00246CEE" w:rsidRDefault="00246CEE">
    <w:pPr>
      <w:pStyle w:val="Header"/>
    </w:pPr>
    <w:r>
      <w:rPr>
        <w:noProof/>
      </w:rPr>
      <w:pict w14:anchorId="692C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8D8B" w14:textId="0F896CC0" w:rsidR="00246CEE" w:rsidRDefault="00246CEE">
    <w:pPr>
      <w:pStyle w:val="Header"/>
    </w:pPr>
    <w:r>
      <w:rPr>
        <w:noProof/>
      </w:rPr>
      <w:pict w14:anchorId="2200B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249B" w14:textId="361B9FDE" w:rsidR="00296529" w:rsidRPr="00296529" w:rsidRDefault="00246CEE" w:rsidP="00296529">
    <w:pPr>
      <w:ind w:left="2160"/>
      <w:jc w:val="center"/>
      <w:rPr>
        <w:rFonts w:ascii="Times New Roman" w:eastAsia="Calibri" w:hAnsi="Times New Roman"/>
        <w:i/>
        <w:sz w:val="18"/>
        <w:szCs w:val="22"/>
      </w:rPr>
    </w:pPr>
    <w:r>
      <w:rPr>
        <w:noProof/>
      </w:rPr>
      <w:pict w14:anchorId="78DFA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B63D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5C86E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AF2F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C85D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C0753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5DDE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CE686F"/>
    <w:multiLevelType w:val="multilevel"/>
    <w:tmpl w:val="83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731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CEE"/>
    <w:rsid w:val="00250985"/>
    <w:rsid w:val="002556F6"/>
    <w:rsid w:val="00283105"/>
    <w:rsid w:val="00284C4C"/>
    <w:rsid w:val="00287E68"/>
    <w:rsid w:val="00296529"/>
    <w:rsid w:val="002B27FB"/>
    <w:rsid w:val="002B685A"/>
    <w:rsid w:val="002C57D2"/>
    <w:rsid w:val="002E0D56"/>
    <w:rsid w:val="00315186"/>
    <w:rsid w:val="0033343E"/>
    <w:rsid w:val="00345307"/>
    <w:rsid w:val="003512C2"/>
    <w:rsid w:val="00371A4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7443"/>
    <w:rsid w:val="004D305E"/>
    <w:rsid w:val="004D4277"/>
    <w:rsid w:val="00502516"/>
    <w:rsid w:val="00505F06"/>
    <w:rsid w:val="00506828"/>
    <w:rsid w:val="0053056E"/>
    <w:rsid w:val="00554FDA"/>
    <w:rsid w:val="005C784C"/>
    <w:rsid w:val="005D17F6"/>
    <w:rsid w:val="005E5539"/>
    <w:rsid w:val="00602BF5"/>
    <w:rsid w:val="00604C52"/>
    <w:rsid w:val="00617FDD"/>
    <w:rsid w:val="00622749"/>
    <w:rsid w:val="00633614"/>
    <w:rsid w:val="00633F68"/>
    <w:rsid w:val="00636EB2"/>
    <w:rsid w:val="006375B8"/>
    <w:rsid w:val="0066510A"/>
    <w:rsid w:val="00673F9F"/>
    <w:rsid w:val="00686953"/>
    <w:rsid w:val="00687DEA"/>
    <w:rsid w:val="00687E67"/>
    <w:rsid w:val="006967F7"/>
    <w:rsid w:val="006A250C"/>
    <w:rsid w:val="006B180B"/>
    <w:rsid w:val="006B21D3"/>
    <w:rsid w:val="006B57D0"/>
    <w:rsid w:val="006D30FF"/>
    <w:rsid w:val="006D6940"/>
    <w:rsid w:val="006F11EC"/>
    <w:rsid w:val="0070082C"/>
    <w:rsid w:val="00711845"/>
    <w:rsid w:val="007369E6"/>
    <w:rsid w:val="00746E59"/>
    <w:rsid w:val="00754C9A"/>
    <w:rsid w:val="0075599A"/>
    <w:rsid w:val="00761D52"/>
    <w:rsid w:val="0077749E"/>
    <w:rsid w:val="00790ADA"/>
    <w:rsid w:val="007D2288"/>
    <w:rsid w:val="007E088F"/>
    <w:rsid w:val="007F7B32"/>
    <w:rsid w:val="00804BC2"/>
    <w:rsid w:val="0081431A"/>
    <w:rsid w:val="00823C09"/>
    <w:rsid w:val="0083216F"/>
    <w:rsid w:val="00860000"/>
    <w:rsid w:val="00863BD3"/>
    <w:rsid w:val="008641ED"/>
    <w:rsid w:val="00865ED1"/>
    <w:rsid w:val="00866D66"/>
    <w:rsid w:val="008671C6"/>
    <w:rsid w:val="00875803"/>
    <w:rsid w:val="008810FD"/>
    <w:rsid w:val="008B459E"/>
    <w:rsid w:val="008C6C9B"/>
    <w:rsid w:val="008E13AE"/>
    <w:rsid w:val="008E1506"/>
    <w:rsid w:val="008E710C"/>
    <w:rsid w:val="008F69D6"/>
    <w:rsid w:val="00902823"/>
    <w:rsid w:val="00915CA6"/>
    <w:rsid w:val="00927834"/>
    <w:rsid w:val="009500A6"/>
    <w:rsid w:val="00957C18"/>
    <w:rsid w:val="00957EC1"/>
    <w:rsid w:val="009659BA"/>
    <w:rsid w:val="00967BB4"/>
    <w:rsid w:val="00983040"/>
    <w:rsid w:val="009B3FB9"/>
    <w:rsid w:val="009C2465"/>
    <w:rsid w:val="009D2E75"/>
    <w:rsid w:val="009D35A0"/>
    <w:rsid w:val="009D7EB7"/>
    <w:rsid w:val="009E048A"/>
    <w:rsid w:val="009E08E9"/>
    <w:rsid w:val="009E3DB9"/>
    <w:rsid w:val="009E6E35"/>
    <w:rsid w:val="009E7732"/>
    <w:rsid w:val="009F0EDA"/>
    <w:rsid w:val="00A03B96"/>
    <w:rsid w:val="00A05B19"/>
    <w:rsid w:val="00A1134E"/>
    <w:rsid w:val="00A24E7E"/>
    <w:rsid w:val="00A258C3"/>
    <w:rsid w:val="00A347C0"/>
    <w:rsid w:val="00A51431"/>
    <w:rsid w:val="00A539AD"/>
    <w:rsid w:val="00A83F0A"/>
    <w:rsid w:val="00A90AD1"/>
    <w:rsid w:val="00A94063"/>
    <w:rsid w:val="00AA6219"/>
    <w:rsid w:val="00AA74E0"/>
    <w:rsid w:val="00AB703F"/>
    <w:rsid w:val="00AC6BB8"/>
    <w:rsid w:val="00AE008F"/>
    <w:rsid w:val="00B01FCD"/>
    <w:rsid w:val="00B1776C"/>
    <w:rsid w:val="00B52583"/>
    <w:rsid w:val="00B52896"/>
    <w:rsid w:val="00B54FA6"/>
    <w:rsid w:val="00B95236"/>
    <w:rsid w:val="00B96BD9"/>
    <w:rsid w:val="00BA1B01"/>
    <w:rsid w:val="00BA2641"/>
    <w:rsid w:val="00BB37AA"/>
    <w:rsid w:val="00BC5255"/>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166D"/>
    <w:rsid w:val="00E053D0"/>
    <w:rsid w:val="00E15994"/>
    <w:rsid w:val="00E3114E"/>
    <w:rsid w:val="00E31A70"/>
    <w:rsid w:val="00E35B02"/>
    <w:rsid w:val="00E66496"/>
    <w:rsid w:val="00E66B35"/>
    <w:rsid w:val="00E66E10"/>
    <w:rsid w:val="00E769F6"/>
    <w:rsid w:val="00E8407C"/>
    <w:rsid w:val="00E84F3C"/>
    <w:rsid w:val="00E95035"/>
    <w:rsid w:val="00EA012C"/>
    <w:rsid w:val="00EB0D97"/>
    <w:rsid w:val="00EC6A55"/>
    <w:rsid w:val="00ED0288"/>
    <w:rsid w:val="00EE52CB"/>
    <w:rsid w:val="00EE5829"/>
    <w:rsid w:val="00EF581D"/>
    <w:rsid w:val="00EF7FD8"/>
    <w:rsid w:val="00F06F59"/>
    <w:rsid w:val="00F16722"/>
    <w:rsid w:val="00F17988"/>
    <w:rsid w:val="00F469F0"/>
    <w:rsid w:val="00F53273"/>
    <w:rsid w:val="00F755E4"/>
    <w:rsid w:val="00F77D02"/>
    <w:rsid w:val="00FB169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7DA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810F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81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0D2B96305041E0960A31FAFB92C756"/>
        <w:category>
          <w:name w:val="General"/>
          <w:gallery w:val="placeholder"/>
        </w:category>
        <w:types>
          <w:type w:val="bbPlcHdr"/>
        </w:types>
        <w:behaviors>
          <w:behavior w:val="content"/>
        </w:behaviors>
        <w:guid w:val="{668C83F2-5DDA-453D-82F4-64444C3CF93A}"/>
      </w:docPartPr>
      <w:docPartBody>
        <w:p w:rsidR="001C6756" w:rsidRDefault="00867230" w:rsidP="00867230">
          <w:pPr>
            <w:pStyle w:val="2E0D2B96305041E0960A31FAFB92C756"/>
          </w:pPr>
          <w:r w:rsidRPr="004A78DC">
            <w:rPr>
              <w:rStyle w:val="PlaceholderText"/>
            </w:rPr>
            <w:t>Click or tap here to enter text.</w:t>
          </w:r>
        </w:p>
      </w:docPartBody>
    </w:docPart>
    <w:docPart>
      <w:docPartPr>
        <w:name w:val="FD2120E1B2FC41E58C65BA739CC79D90"/>
        <w:category>
          <w:name w:val="General"/>
          <w:gallery w:val="placeholder"/>
        </w:category>
        <w:types>
          <w:type w:val="bbPlcHdr"/>
        </w:types>
        <w:behaviors>
          <w:behavior w:val="content"/>
        </w:behaviors>
        <w:guid w:val="{F3EBA34A-A6BB-432C-BBCB-B4B77BDB9317}"/>
      </w:docPartPr>
      <w:docPartBody>
        <w:p w:rsidR="001C6756" w:rsidRDefault="00867230" w:rsidP="00867230">
          <w:pPr>
            <w:pStyle w:val="FD2120E1B2FC41E58C65BA739CC79D90"/>
          </w:pPr>
          <w:r w:rsidRPr="004A78DC">
            <w:rPr>
              <w:rStyle w:val="PlaceholderText"/>
            </w:rPr>
            <w:t>Click or tap here to enter text.</w:t>
          </w:r>
        </w:p>
      </w:docPartBody>
    </w:docPart>
    <w:docPart>
      <w:docPartPr>
        <w:name w:val="2DEB3C621A324070AD534540C3004D50"/>
        <w:category>
          <w:name w:val="General"/>
          <w:gallery w:val="placeholder"/>
        </w:category>
        <w:types>
          <w:type w:val="bbPlcHdr"/>
        </w:types>
        <w:behaviors>
          <w:behavior w:val="content"/>
        </w:behaviors>
        <w:guid w:val="{BAC57190-A322-4C36-9C68-ECBC0323B292}"/>
      </w:docPartPr>
      <w:docPartBody>
        <w:p w:rsidR="001C6756" w:rsidRDefault="00867230" w:rsidP="00867230">
          <w:pPr>
            <w:pStyle w:val="2DEB3C621A324070AD534540C3004D50"/>
          </w:pPr>
          <w:r w:rsidRPr="004A78DC">
            <w:rPr>
              <w:rStyle w:val="PlaceholderText"/>
            </w:rPr>
            <w:t>Click or tap here to enter text.</w:t>
          </w:r>
        </w:p>
      </w:docPartBody>
    </w:docPart>
    <w:docPart>
      <w:docPartPr>
        <w:name w:val="5CA5A3B011194CD995BAE75E8BF55045"/>
        <w:category>
          <w:name w:val="General"/>
          <w:gallery w:val="placeholder"/>
        </w:category>
        <w:types>
          <w:type w:val="bbPlcHdr"/>
        </w:types>
        <w:behaviors>
          <w:behavior w:val="content"/>
        </w:behaviors>
        <w:guid w:val="{784FEAC5-0760-4D0B-BC28-0F719309169D}"/>
      </w:docPartPr>
      <w:docPartBody>
        <w:p w:rsidR="001C6756" w:rsidRDefault="00867230" w:rsidP="00867230">
          <w:pPr>
            <w:pStyle w:val="5CA5A3B011194CD995BAE75E8BF55045"/>
          </w:pPr>
          <w:r w:rsidRPr="004A78DC">
            <w:rPr>
              <w:rStyle w:val="PlaceholderText"/>
            </w:rPr>
            <w:t>Click or tap here to enter text.</w:t>
          </w:r>
        </w:p>
      </w:docPartBody>
    </w:docPart>
    <w:docPart>
      <w:docPartPr>
        <w:name w:val="19129F14316A40C2B5B8AB2D5763CB7D"/>
        <w:category>
          <w:name w:val="General"/>
          <w:gallery w:val="placeholder"/>
        </w:category>
        <w:types>
          <w:type w:val="bbPlcHdr"/>
        </w:types>
        <w:behaviors>
          <w:behavior w:val="content"/>
        </w:behaviors>
        <w:guid w:val="{5FAF8B9F-5C0F-4D0B-9244-871EB94B15CA}"/>
      </w:docPartPr>
      <w:docPartBody>
        <w:p w:rsidR="001C6756" w:rsidRDefault="00867230" w:rsidP="00867230">
          <w:pPr>
            <w:pStyle w:val="19129F14316A40C2B5B8AB2D5763CB7D"/>
          </w:pPr>
          <w:r w:rsidRPr="004A78DC">
            <w:rPr>
              <w:rStyle w:val="PlaceholderText"/>
            </w:rPr>
            <w:t>Click or tap here to enter text.</w:t>
          </w:r>
        </w:p>
      </w:docPartBody>
    </w:docPart>
    <w:docPart>
      <w:docPartPr>
        <w:name w:val="5BC87E0C0C674B548C08F8C5F4BD2BB7"/>
        <w:category>
          <w:name w:val="General"/>
          <w:gallery w:val="placeholder"/>
        </w:category>
        <w:types>
          <w:type w:val="bbPlcHdr"/>
        </w:types>
        <w:behaviors>
          <w:behavior w:val="content"/>
        </w:behaviors>
        <w:guid w:val="{074D05FA-2550-45E5-A747-1D2C919568B3}"/>
      </w:docPartPr>
      <w:docPartBody>
        <w:p w:rsidR="001C6756" w:rsidRDefault="00867230" w:rsidP="00867230">
          <w:pPr>
            <w:pStyle w:val="5BC87E0C0C674B548C08F8C5F4BD2BB7"/>
          </w:pPr>
          <w:r w:rsidRPr="004A78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30"/>
    <w:rsid w:val="001C6756"/>
    <w:rsid w:val="00711845"/>
    <w:rsid w:val="00865ED1"/>
    <w:rsid w:val="00867230"/>
    <w:rsid w:val="00AD771B"/>
    <w:rsid w:val="00B54FA6"/>
    <w:rsid w:val="00B861B7"/>
    <w:rsid w:val="00C5033B"/>
    <w:rsid w:val="00CD35CF"/>
    <w:rsid w:val="00F6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230"/>
    <w:rPr>
      <w:color w:val="666666"/>
    </w:rPr>
  </w:style>
  <w:style w:type="paragraph" w:customStyle="1" w:styleId="2E0D2B96305041E0960A31FAFB92C756">
    <w:name w:val="2E0D2B96305041E0960A31FAFB92C756"/>
    <w:rsid w:val="00867230"/>
  </w:style>
  <w:style w:type="paragraph" w:customStyle="1" w:styleId="FD2120E1B2FC41E58C65BA739CC79D90">
    <w:name w:val="FD2120E1B2FC41E58C65BA739CC79D90"/>
    <w:rsid w:val="00867230"/>
  </w:style>
  <w:style w:type="paragraph" w:customStyle="1" w:styleId="2DEB3C621A324070AD534540C3004D50">
    <w:name w:val="2DEB3C621A324070AD534540C3004D50"/>
    <w:rsid w:val="00867230"/>
  </w:style>
  <w:style w:type="paragraph" w:customStyle="1" w:styleId="5CA5A3B011194CD995BAE75E8BF55045">
    <w:name w:val="5CA5A3B011194CD995BAE75E8BF55045"/>
    <w:rsid w:val="00867230"/>
  </w:style>
  <w:style w:type="paragraph" w:customStyle="1" w:styleId="19129F14316A40C2B5B8AB2D5763CB7D">
    <w:name w:val="19129F14316A40C2B5B8AB2D5763CB7D"/>
    <w:rsid w:val="00867230"/>
  </w:style>
  <w:style w:type="paragraph" w:customStyle="1" w:styleId="5BC87E0C0C674B548C08F8C5F4BD2BB7">
    <w:name w:val="5BC87E0C0C674B548C08F8C5F4BD2BB7"/>
    <w:rsid w:val="00867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6B00D-53EA-49DA-879D-35A3A163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14</Pages>
  <Words>6603</Words>
  <Characters>37639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2025-09-16T02:55:00Z</dcterms:created>
  <dcterms:modified xsi:type="dcterms:W3CDTF">2025-09-17T09:00:00Z</dcterms:modified>
</cp:coreProperties>
</file>