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CBC75" w14:textId="459787A0" w:rsidR="000F54FC" w:rsidRPr="00AB3E42" w:rsidRDefault="002E11B2" w:rsidP="002E11B2">
      <w:pPr>
        <w:ind w:left="720"/>
        <w:jc w:val="both"/>
        <w:rPr>
          <w:rFonts w:ascii="Arial Narrow" w:eastAsia="Times New Roman" w:hAnsi="Arial Narrow" w:cs="Times New Roman"/>
          <w:b/>
          <w:kern w:val="0"/>
          <w:lang w:val="en-US"/>
          <w14:ligatures w14:val="none"/>
        </w:rPr>
      </w:pPr>
      <w:r w:rsidRPr="00AB3E42">
        <w:rPr>
          <w:rFonts w:ascii="Arial Narrow" w:eastAsia="Times New Roman" w:hAnsi="Arial Narrow" w:cs="Times New Roman"/>
          <w:b/>
          <w:bCs/>
          <w:kern w:val="0"/>
          <w:lang w:val="en-US"/>
          <w14:ligatures w14:val="none"/>
        </w:rPr>
        <w:t>FACTORS SHAPING THE ADOPTION OF LPG FOR COOKING IN URBAN TANZANIA: EVIDENCE FROM GEITA MUNICIPAL</w:t>
      </w:r>
    </w:p>
    <w:p w14:paraId="7EB95405" w14:textId="77777777" w:rsidR="00FC591B" w:rsidRDefault="00FC591B" w:rsidP="006E0B6E">
      <w:pPr>
        <w:spacing w:after="0"/>
        <w:jc w:val="left"/>
        <w:rPr>
          <w:rFonts w:ascii="Arial Narrow" w:eastAsia="TimesNewRomanPSMT" w:hAnsi="Arial Narrow" w:cstheme="majorHAnsi"/>
          <w:b/>
          <w:bCs/>
          <w:kern w:val="0"/>
        </w:rPr>
      </w:pPr>
    </w:p>
    <w:p w14:paraId="76ABF5CD" w14:textId="77777777" w:rsidR="00FC591B" w:rsidRDefault="00FC591B" w:rsidP="006E0B6E">
      <w:pPr>
        <w:spacing w:after="0"/>
        <w:jc w:val="left"/>
        <w:rPr>
          <w:rFonts w:ascii="Arial Narrow" w:eastAsia="TimesNewRomanPSMT" w:hAnsi="Arial Narrow" w:cstheme="majorHAnsi"/>
          <w:b/>
          <w:bCs/>
          <w:kern w:val="0"/>
        </w:rPr>
      </w:pPr>
    </w:p>
    <w:p w14:paraId="3DB5915B" w14:textId="26D93AA8" w:rsidR="00C45BCB" w:rsidRPr="00AB3E42" w:rsidRDefault="004602F5" w:rsidP="006E0B6E">
      <w:pPr>
        <w:spacing w:after="0"/>
        <w:jc w:val="left"/>
        <w:rPr>
          <w:rFonts w:ascii="Arial Narrow" w:eastAsia="TimesNewRomanPSMT" w:hAnsi="Arial Narrow" w:cstheme="majorHAnsi"/>
          <w:b/>
          <w:bCs/>
          <w:kern w:val="0"/>
        </w:rPr>
      </w:pPr>
      <w:r w:rsidRPr="00AB3E42">
        <w:rPr>
          <w:rFonts w:ascii="Arial Narrow" w:eastAsia="TimesNewRomanPSMT" w:hAnsi="Arial Narrow" w:cstheme="majorHAnsi"/>
          <w:b/>
          <w:bCs/>
          <w:kern w:val="0"/>
        </w:rPr>
        <w:t>Abstract</w:t>
      </w:r>
    </w:p>
    <w:p w14:paraId="6EC146B4" w14:textId="57E65CD2" w:rsidR="002E11B2" w:rsidRPr="00AB3E42" w:rsidRDefault="002E11B2" w:rsidP="000F2C92">
      <w:pPr>
        <w:pStyle w:val="NormalWeb"/>
        <w:spacing w:before="120" w:beforeAutospacing="0" w:after="120" w:afterAutospacing="0" w:line="360" w:lineRule="auto"/>
        <w:jc w:val="both"/>
        <w:rPr>
          <w:rFonts w:ascii="Arial Narrow" w:hAnsi="Arial Narrow" w:cstheme="majorHAnsi"/>
        </w:rPr>
      </w:pPr>
      <w:r w:rsidRPr="00AB3E42">
        <w:rPr>
          <w:rFonts w:ascii="Arial Narrow" w:hAnsi="Arial Narrow" w:cstheme="majorHAnsi"/>
        </w:rPr>
        <w:t>The global shift towards sustainable energy systems positions the adoption of Liquefied Petroleum Gas (LPG) as a critical objective. However, a significant disparity exists between these international efforts and the persistent dominance of traditional biomass fuels, such as firewood and charcoal, in Tanzanian households. This study examines the socio-economic determinants of LPG adoption for cooking in urban Tanzania, focusing on Kalangalala Ward, Geita Municipal Council. Grounded in the framework of UN Sustainable Development Goal 7, the research seeks to identify pathways to affordable and clean energy access. Employing a mixed-methods approach, data were collected from 87 respondents including households, food vendors, and key informants through structured questionnaires, interviews, and observation. A logistic regression analysis identified several factors with a statistically significant positive influence on LPG adoption (p &lt; 0.05): higher household income, greater awareness of LPG benefits, advanced education levels, positive attitudes towards LPG, and the availability of suppliers. Conversely, major adoption barriers included the high initial cost, ongoing refill expenses, safety concerns, and cultural preferences for traditional fuels. Notably, proximity to a refilling station (within 1 km for all respondents) was not a significant factor (p &gt; 0.05). The study concludes that while awareness of LPG's benefits is high, financial barriers are the primary constraint. It is recommended that policymakers and stakeholders develop strategies to lower the upfront and recurrent costs of LPG to foster its consistent use and support a sustainable energy transition in the region</w:t>
      </w:r>
    </w:p>
    <w:p w14:paraId="70655A3B" w14:textId="43F85A59" w:rsidR="00AA1BD6" w:rsidRPr="00AB3E42" w:rsidRDefault="00CF36C2" w:rsidP="000F2C92">
      <w:pPr>
        <w:pStyle w:val="NormalWeb"/>
        <w:spacing w:before="120" w:beforeAutospacing="0" w:after="120" w:afterAutospacing="0" w:line="360" w:lineRule="auto"/>
        <w:jc w:val="both"/>
        <w:rPr>
          <w:rFonts w:ascii="Arial Narrow" w:hAnsi="Arial Narrow" w:cstheme="majorHAnsi"/>
        </w:rPr>
      </w:pPr>
      <w:r w:rsidRPr="00AB3E42">
        <w:rPr>
          <w:rFonts w:ascii="Arial Narrow" w:hAnsi="Arial Narrow" w:cstheme="majorHAnsi"/>
          <w:b/>
          <w:bCs/>
        </w:rPr>
        <w:t>Keywords</w:t>
      </w:r>
      <w:r w:rsidRPr="00AB3E42">
        <w:rPr>
          <w:rFonts w:ascii="Arial Narrow" w:hAnsi="Arial Narrow" w:cstheme="majorHAnsi"/>
        </w:rPr>
        <w:t xml:space="preserve">: </w:t>
      </w:r>
      <w:r w:rsidR="00FD57A5" w:rsidRPr="00AB3E42">
        <w:rPr>
          <w:rFonts w:ascii="Arial Narrow" w:hAnsi="Arial Narrow" w:cstheme="majorHAnsi"/>
          <w:b/>
          <w:bCs/>
        </w:rPr>
        <w:t xml:space="preserve">LPG </w:t>
      </w:r>
      <w:r w:rsidR="002E11B2" w:rsidRPr="00AB3E42">
        <w:rPr>
          <w:rFonts w:ascii="Arial Narrow" w:hAnsi="Arial Narrow" w:cstheme="majorHAnsi"/>
          <w:b/>
          <w:bCs/>
        </w:rPr>
        <w:t>Adoption</w:t>
      </w:r>
      <w:r w:rsidR="002E11B2" w:rsidRPr="00AB3E42">
        <w:rPr>
          <w:rFonts w:ascii="Arial Narrow" w:hAnsi="Arial Narrow" w:cstheme="majorHAnsi"/>
        </w:rPr>
        <w:t>,</w:t>
      </w:r>
      <w:r w:rsidRPr="00AB3E42">
        <w:rPr>
          <w:rFonts w:ascii="Arial Narrow" w:hAnsi="Arial Narrow" w:cstheme="majorHAnsi"/>
        </w:rPr>
        <w:t xml:space="preserve"> </w:t>
      </w:r>
      <w:r w:rsidR="00FD57A5" w:rsidRPr="00AB3E42">
        <w:rPr>
          <w:rFonts w:ascii="Arial Narrow" w:hAnsi="Arial Narrow" w:cstheme="majorHAnsi"/>
          <w:b/>
          <w:bCs/>
        </w:rPr>
        <w:t>Socio-economic Factors</w:t>
      </w:r>
      <w:r w:rsidRPr="00AB3E42">
        <w:rPr>
          <w:rFonts w:ascii="Arial Narrow" w:hAnsi="Arial Narrow" w:cstheme="majorHAnsi"/>
        </w:rPr>
        <w:t xml:space="preserve">, </w:t>
      </w:r>
      <w:r w:rsidR="00FD57A5" w:rsidRPr="00AB3E42">
        <w:rPr>
          <w:rFonts w:ascii="Arial Narrow" w:hAnsi="Arial Narrow" w:cstheme="majorHAnsi"/>
          <w:b/>
          <w:bCs/>
        </w:rPr>
        <w:t>Cooking</w:t>
      </w:r>
      <w:r w:rsidRPr="00AB3E42">
        <w:rPr>
          <w:rFonts w:ascii="Arial Narrow" w:hAnsi="Arial Narrow" w:cstheme="majorHAnsi"/>
        </w:rPr>
        <w:t xml:space="preserve">, </w:t>
      </w:r>
      <w:r w:rsidR="00FD57A5" w:rsidRPr="00AB3E42">
        <w:rPr>
          <w:rFonts w:ascii="Arial Narrow" w:hAnsi="Arial Narrow" w:cstheme="majorHAnsi"/>
          <w:b/>
          <w:bCs/>
        </w:rPr>
        <w:t>Urban Tanzania</w:t>
      </w:r>
    </w:p>
    <w:p w14:paraId="6C4FBE31" w14:textId="094EC17C" w:rsidR="004954D6" w:rsidRPr="00AB3E42" w:rsidRDefault="004954D6" w:rsidP="00CF36C2">
      <w:pPr>
        <w:spacing w:before="0" w:after="0" w:line="240" w:lineRule="auto"/>
        <w:jc w:val="both"/>
        <w:rPr>
          <w:rFonts w:ascii="Arial Narrow" w:hAnsi="Arial Narrow" w:cstheme="majorHAnsi"/>
        </w:rPr>
      </w:pPr>
    </w:p>
    <w:p w14:paraId="2D616A3F" w14:textId="0D35AF35" w:rsidR="0028568F" w:rsidRPr="00AB3E42" w:rsidRDefault="0028568F" w:rsidP="00CF36C2">
      <w:pPr>
        <w:spacing w:before="0" w:after="0" w:line="240" w:lineRule="auto"/>
        <w:jc w:val="both"/>
        <w:rPr>
          <w:rFonts w:ascii="Arial Narrow" w:hAnsi="Arial Narrow" w:cstheme="majorHAnsi"/>
        </w:rPr>
      </w:pPr>
    </w:p>
    <w:p w14:paraId="5F8F4032" w14:textId="159EA3FF" w:rsidR="0028568F" w:rsidRPr="00AB3E42" w:rsidRDefault="0028568F" w:rsidP="00CF36C2">
      <w:pPr>
        <w:spacing w:before="0" w:after="0" w:line="240" w:lineRule="auto"/>
        <w:jc w:val="both"/>
        <w:rPr>
          <w:rFonts w:ascii="Arial Narrow" w:hAnsi="Arial Narrow" w:cstheme="majorHAnsi"/>
        </w:rPr>
      </w:pPr>
    </w:p>
    <w:p w14:paraId="02061B59" w14:textId="3F53D12A" w:rsidR="0028568F" w:rsidRPr="00AB3E42" w:rsidRDefault="0028568F" w:rsidP="00CF36C2">
      <w:pPr>
        <w:spacing w:before="0" w:after="0" w:line="240" w:lineRule="auto"/>
        <w:jc w:val="both"/>
        <w:rPr>
          <w:rFonts w:ascii="Arial Narrow" w:hAnsi="Arial Narrow" w:cstheme="majorHAnsi"/>
        </w:rPr>
      </w:pPr>
    </w:p>
    <w:p w14:paraId="0D8C1C11" w14:textId="3E01B135" w:rsidR="0028568F" w:rsidRDefault="0028568F" w:rsidP="00CF36C2">
      <w:pPr>
        <w:spacing w:before="0" w:after="0" w:line="240" w:lineRule="auto"/>
        <w:jc w:val="both"/>
        <w:rPr>
          <w:rFonts w:ascii="Arial Narrow" w:hAnsi="Arial Narrow" w:cstheme="majorHAnsi"/>
        </w:rPr>
      </w:pPr>
    </w:p>
    <w:p w14:paraId="61F82248" w14:textId="074810CE" w:rsidR="00FC591B" w:rsidRDefault="00FC591B" w:rsidP="00CF36C2">
      <w:pPr>
        <w:spacing w:before="0" w:after="0" w:line="240" w:lineRule="auto"/>
        <w:jc w:val="both"/>
        <w:rPr>
          <w:rFonts w:ascii="Arial Narrow" w:hAnsi="Arial Narrow" w:cstheme="majorHAnsi"/>
        </w:rPr>
      </w:pPr>
    </w:p>
    <w:p w14:paraId="72B970D8" w14:textId="4F2B0FA5" w:rsidR="00FC591B" w:rsidRDefault="00FC591B" w:rsidP="00CF36C2">
      <w:pPr>
        <w:spacing w:before="0" w:after="0" w:line="240" w:lineRule="auto"/>
        <w:jc w:val="both"/>
        <w:rPr>
          <w:rFonts w:ascii="Arial Narrow" w:hAnsi="Arial Narrow" w:cstheme="majorHAnsi"/>
        </w:rPr>
      </w:pPr>
    </w:p>
    <w:p w14:paraId="42040C7A" w14:textId="305F6E80" w:rsidR="00FC591B" w:rsidRDefault="00FC591B" w:rsidP="00CF36C2">
      <w:pPr>
        <w:spacing w:before="0" w:after="0" w:line="240" w:lineRule="auto"/>
        <w:jc w:val="both"/>
        <w:rPr>
          <w:rFonts w:ascii="Arial Narrow" w:hAnsi="Arial Narrow" w:cstheme="majorHAnsi"/>
        </w:rPr>
      </w:pPr>
    </w:p>
    <w:p w14:paraId="581EF798" w14:textId="370D6CEB" w:rsidR="00FC591B" w:rsidRDefault="00FC591B" w:rsidP="00CF36C2">
      <w:pPr>
        <w:spacing w:before="0" w:after="0" w:line="240" w:lineRule="auto"/>
        <w:jc w:val="both"/>
        <w:rPr>
          <w:rFonts w:ascii="Arial Narrow" w:hAnsi="Arial Narrow" w:cstheme="majorHAnsi"/>
        </w:rPr>
      </w:pPr>
    </w:p>
    <w:p w14:paraId="19184007" w14:textId="77777777" w:rsidR="00FC591B" w:rsidRPr="00AB3E42" w:rsidRDefault="00FC591B" w:rsidP="00CF36C2">
      <w:pPr>
        <w:spacing w:before="0" w:after="0" w:line="240" w:lineRule="auto"/>
        <w:jc w:val="both"/>
        <w:rPr>
          <w:rFonts w:ascii="Arial Narrow" w:hAnsi="Arial Narrow" w:cstheme="majorHAnsi"/>
        </w:rPr>
      </w:pPr>
    </w:p>
    <w:p w14:paraId="2DD9B342" w14:textId="77777777" w:rsidR="0028568F" w:rsidRPr="00AB3E42" w:rsidRDefault="0028568F" w:rsidP="00CF36C2">
      <w:pPr>
        <w:spacing w:before="0" w:after="0" w:line="240" w:lineRule="auto"/>
        <w:jc w:val="both"/>
        <w:rPr>
          <w:rFonts w:ascii="Arial Narrow" w:hAnsi="Arial Narrow" w:cstheme="majorHAnsi"/>
        </w:rPr>
      </w:pPr>
    </w:p>
    <w:p w14:paraId="79962DB7" w14:textId="0A289D74" w:rsidR="00C45BCB" w:rsidRPr="00AB3E42" w:rsidRDefault="00C45BCB" w:rsidP="0031352D">
      <w:pPr>
        <w:spacing w:before="100" w:beforeAutospacing="1" w:after="100" w:afterAutospacing="1" w:line="240" w:lineRule="auto"/>
        <w:jc w:val="left"/>
        <w:outlineLvl w:val="3"/>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lastRenderedPageBreak/>
        <w:t>Introduction</w:t>
      </w:r>
    </w:p>
    <w:p w14:paraId="0142604E" w14:textId="4BCD5DB9" w:rsidR="009120F4" w:rsidRPr="00AB3E42" w:rsidRDefault="009120F4" w:rsidP="009120F4">
      <w:pPr>
        <w:spacing w:before="0" w:after="0"/>
        <w:jc w:val="both"/>
        <w:rPr>
          <w:rFonts w:ascii="Arial Narrow" w:eastAsia="Times New Roman" w:hAnsi="Arial Narrow" w:cs="Times New Roman"/>
          <w:kern w:val="0"/>
          <w:lang w:val="en-US"/>
          <w14:ligatures w14:val="none"/>
        </w:rPr>
      </w:pPr>
      <w:r w:rsidRPr="00AB3E42">
        <w:rPr>
          <w:rFonts w:ascii="Arial Narrow" w:eastAsia="Times New Roman" w:hAnsi="Arial Narrow" w:cstheme="majorHAnsi"/>
          <w:b/>
          <w:bCs/>
          <w:kern w:val="0"/>
          <w:lang w:eastAsia="en-GB"/>
          <w14:ligatures w14:val="none"/>
        </w:rPr>
        <w:t xml:space="preserve"> </w:t>
      </w:r>
      <w:r w:rsidRPr="00AB3E42">
        <w:rPr>
          <w:rFonts w:ascii="Arial Narrow" w:eastAsia="Times New Roman" w:hAnsi="Arial Narrow" w:cs="Times New Roman"/>
          <w:kern w:val="0"/>
          <w:lang w:val="en-US"/>
          <w14:ligatures w14:val="none"/>
        </w:rPr>
        <w:t xml:space="preserve">Adoption of Liquefied Petroleum Gas (LPG) has been considered globally as a crucial step in accomplishing sustainable energy transitions. Sustainable Development Goal (SDG) goal 7 of the United Nation (UN) places a strong emphasis on making sure that everyone has access to modern, reliable, affordable, and dependable energy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{"citationItems":[{"id":"ITEM-1","itemData":{"author":[{"dropping-particle":"","family":"Nations","given":"United","non-dropping-particle":"","parse-names":false,"suffix":""}],"id":"ITEM-1","issued":{"date-parts":[["0"]]},"title":"Transforming our world: the 2030 agenda for sustainable development","type":"article-journal"},"uris":["http://www.mendeley.com/documents/?uuid=d19f02df-b881-4e9a-9750-0ccec512bb34"]}],"mendeley":{"formattedCitation":"(Nations, n.d.)","plainTextFormattedCitation":"(Nations, n.d.)","previouslyFormattedCitation":"(Nations, n.d.)"},"properties":{"noteIndex":0},"schema":"https://github.com/citation-style-language/schema/raw/master/csl-citation.json"}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(United Nation, 2015)</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 xml:space="preserve">. Adoption of LPG is essential in lowering dependency on traditional biomass, which still accounts for over 2.4 billion people globally who uses firewood and charcoal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{"citationItems":[{"id":"ITEM-1","itemData":{"id":"ITEM-1","issued":{"date-parts":[["0"]]},"title":"Household Energy and Health Household Energy and Health","type":"article-journal"},"uris":["http://www.mendeley.com/documents/?uuid=ee360eff-e9ab-40e9-ac4f-6d2987feea0c"]}],"mendeley":{"formattedCitation":"(&lt;i&gt;Household Energy and Health Household Energy and Health&lt;/i&gt;, n.d.)","plainTextFormattedCitation":"(Household Energy and Health Household Energy and Health, n.d.)","previouslyFormattedCitation":"(&lt;i&gt;Household Energy and Health Household Energy and Health&lt;/i&gt;, n.d.)"},"properties":{"noteIndex":0},"schema":"https://github.com/citation-style-language/schema/raw/master/csl-citation.json"}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w:t>
      </w:r>
      <w:r w:rsidRPr="00AB3E42">
        <w:rPr>
          <w:rFonts w:ascii="Arial Narrow" w:eastAsia="Times New Roman" w:hAnsi="Arial Narrow" w:cs="Times New Roman"/>
          <w:kern w:val="0"/>
          <w:lang w:val="en-US"/>
          <w14:ligatures w14:val="none"/>
        </w:rPr>
        <w:t>WHO, 2022</w:t>
      </w:r>
      <w:r w:rsidRPr="00AB3E42">
        <w:rPr>
          <w:rFonts w:ascii="Arial Narrow" w:eastAsia="Times New Roman" w:hAnsi="Arial Narrow" w:cs="Times New Roman"/>
          <w:noProof/>
          <w:kern w:val="0"/>
          <w:lang w:val="en-US"/>
          <w14:ligatures w14:val="none"/>
        </w:rPr>
        <w:t>)</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 xml:space="preserve">. According to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{"citationItems":[{"id":"ITEM-1","itemData":{"DOI":"10.1016/S2214-109X(20)30343-0","ISSN":"2214-109X","author":[{"dropping-particle":"","family":"Lee","given":"Kuan Ken","non-dropping-particle":"","parse-names":false,"suffix":""},{"dropping-particle":"","family":"Bing","given":"Rong","non-dropping-particle":"","parse-names":false,"suffix":""},{"dropping-particle":"","family":"Kiang","given":"Joanne","non-dropping-particle":"","parse-names":false,"suffix":""},{"dropping-particle":"","family":"Bashir","given":"Sophia","non-dropping-particle":"","parse-names":false,"suffix":""},{"dropping-particle":"","family":"Spath","given":"Nicholas","non-dropping-particle":"","parse-names":false,"suffix":""},{"dropping-particle":"","family":"Stelzle","given":"Dominik","non-dropping-particle":"","parse-names":false,"suffix":""},{"dropping-particle":"","family":"Mortimer","given":"Kevin","non-dropping-particle":"","parse-names":false,"suffix":""},{"dropping-particle":"","family":"Bularga","given":"Anda","non-dropping-particle":"","parse-names":false,"suffix":""},{"dropping-particle":"","family":"Doudesis","given":"Dimitrios","non-dropping-particle":"","parse-names":false,"suffix":""},{"dropping-particle":"","family":"Joshi","given":"Shruti S","non-dropping-particle":"","parse-names":false,"suffix":""},{"dropping-particle":"","family":"Strachan","given":"Fiona","non-dropping-particle":"","parse-names":false,"suffix":""},{"dropping-particle":"","family":"Gumy","given":"Sophie","non-dropping-particle":"","parse-names":false,"suffix":""},{"dropping-particle":"","family":"Adair-rohani","given":"Heather","non-dropping-particle":"","parse-names":false,"suffix":""},{"dropping-particle":"","family":"Attia","given":"Engi F","non-dropping-particle":"","parse-names":false,"suffix":""},{"dropping-particle":"","family":"Chung","given":"Michael H","non-dropping-particle":"","parse-names":false,"suffix":""},{"dropping-particle":"","family":"Miller","given":"Mark R","non-dropping-particle":"","parse-names":false,"suffix":""},{"dropping-particle":"","family":"Newby","given":"David E","non-dropping-particle":"","parse-names":false,"suffix":""}],"container-title":"The Lancet Global Health","id":"ITEM-1","issue":"11","issued":{"date-parts":[["2020"]]},"page":"e1427-e1434","publisher":"The Author(s). Published by Elsevier Ltd. This is an Open Access article under the CC BY 4.0 license","title":"Articles Adverse health effects associated with household air pollution : a systematic review , meta-analysis , and burden estimation study","type":"article-journal","volume":"8"},"uris":["http://www.mendeley.com/documents/?uuid=c685113e-7d62-4a39-87a8-0bff97e70a8c"]}],"mendeley":{"formattedCitation":"(Lee et al., 2020)","manualFormatting":"Lee et al., (2020)","plainTextFormattedCitation":"(Lee et al., 2020)","previouslyFormattedCitation":"(Lee et al., 2020)"},"properties":{"noteIndex":0},"schema":"https://github.com/citation-style-language/schema/raw/master/csl-citation.json"}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 xml:space="preserve">Lee </w:t>
      </w:r>
      <w:r w:rsidRPr="00AB3E42">
        <w:rPr>
          <w:rFonts w:ascii="Arial Narrow" w:eastAsia="Times New Roman" w:hAnsi="Arial Narrow" w:cs="Times New Roman"/>
          <w:i/>
          <w:iCs/>
          <w:noProof/>
          <w:kern w:val="0"/>
          <w:lang w:val="en-US"/>
          <w14:ligatures w14:val="none"/>
        </w:rPr>
        <w:t>et al.</w:t>
      </w:r>
      <w:r w:rsidRPr="00AB3E42">
        <w:rPr>
          <w:rFonts w:ascii="Arial Narrow" w:eastAsia="Times New Roman" w:hAnsi="Arial Narrow" w:cs="Times New Roman"/>
          <w:noProof/>
          <w:kern w:val="0"/>
          <w:lang w:val="en-US"/>
          <w14:ligatures w14:val="none"/>
        </w:rPr>
        <w:t xml:space="preserve"> (2020)</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 xml:space="preserve"> and WHO (2022 ) estimates that almost 3 billion people worldwide rely on polluting fuels such as wood, coal, crop waste, animal dung, or charcoal paired with inefficient stoves for cooking and heating. This dependence adds to indoor air pollution, which is estimated to cause more than 3.8 million deaths each year globally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{"citationItems":[{"id":"ITEM-1","itemData":{"author":[{"dropping-particle":"","family":"Investigator","given":"Principal","non-dropping-particle":"","parse-names":false,"suffix":""}],"id":"ITEM-1","issued":{"date-parts":[["0"]]},"title":"No Title","type":"article-journal"},"uris":["http://www.mendeley.com/documents/?uuid=b72da5f1-41e1-4486-adbe-848f9faaeb8b"]}],"mendeley":{"formattedCitation":"(Investigator, n.d.)","manualFormatting":"(Indian institute of technology,2023.)","plainTextFormattedCitation":"(Investigator, n.d.)","previouslyFormattedCitation":"(Investigator, n.d.)"},"properties":{"noteIndex":0},"schema":"https://github.com/citation-style-language/schema/raw/master/csl-citation.json"}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w:t>
      </w:r>
      <w:r w:rsidRPr="00AB3E42">
        <w:rPr>
          <w:rFonts w:ascii="Arial Narrow" w:eastAsia="Calibri" w:hAnsi="Arial Narrow" w:cs="Times New Roman"/>
          <w:kern w:val="0"/>
          <w:lang w:val="en-US"/>
          <w14:ligatures w14:val="none"/>
        </w:rPr>
        <w:t>Tripathi and Sutaria</w:t>
      </w:r>
      <w:r w:rsidRPr="00AB3E42">
        <w:rPr>
          <w:rFonts w:ascii="Arial Narrow" w:eastAsia="Times New Roman" w:hAnsi="Arial Narrow" w:cs="Times New Roman"/>
          <w:noProof/>
          <w:kern w:val="0"/>
          <w:lang w:val="en-US"/>
          <w14:ligatures w14:val="none"/>
        </w:rPr>
        <w:t>, 2023)</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w:t>
      </w:r>
    </w:p>
    <w:p w14:paraId="6A754A67" w14:textId="77777777" w:rsidR="009120F4" w:rsidRPr="00AB3E42" w:rsidRDefault="009120F4" w:rsidP="009120F4">
      <w:pPr>
        <w:spacing w:before="0" w:after="0"/>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 xml:space="preserve">In Latin America, Brazil and Mexico have implemented comprehensive LPG subsidy programs, ensuring affordability and accessibility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{"citationItems":[{"id":"ITEM-1","itemData":{"DOI":"10.1016/j.enpol.2017.04.046","ISSN":"03014215","abstract":"The use of solid fuels (USF) for cooking is a key environmental health risk factor, affecting more than 2.8 billion people globally. The Sustainable /Development Goal seven (SDG7) aspires to ensure access to affordable, reliable, sustainable and modern energy for all by 2030. This will require transition toward modern cooking fuels such as Liquefied Petroleum Gas (LPG) and electricity. In Latin American and the Caribbean (LAC), 90 million people still rely on solid fuels for cooking. Access and price have been identified as the main factors that limit substitution of solid fuels by clean fuels. In this paper, we present an exploratory analysis of the effects of subsidy policies for LPG in reducing USF in LAC countries when controlling for indicators of socioeconomic development and urbanization. In LAC, subsidies to LPG have substantially contributed to accelerate the transition from USF to clean fuels for cooking. Targeted subsidies should be considered as a policy option to implement the SDG7 on clean energy. Making clean energy accessible to all has the co-benefits of preventing diseases and premature deaths. Understanding the transition processes from USF to cleaner fuels made by LAC countries can better inform policy making in other regions.","author":[{"dropping-particle":"","family":"Troncoso","given":"Karin","non-dropping-particle":"","parse-names":false,"suffix":""},{"dropping-particle":"","family":"Soares da Silva","given":"Agnes","non-dropping-particle":"","parse-names":false,"suffix":""}],"container-title":"Energy Policy","id":"ITEM-1","issue":"April","issued":{"date-parts":[["2017"]]},"page":"188-196","publisher":"Elsevier Ltd","title":"LPG fuel subsidies in Latin America and the use of solid fuels to cook","type":"article-journal","volume":"107"},"uris":["http://www.mendeley.com/documents/?uuid=6cdcdd83-9dc0-4cf4-8af6-0d41d0a8c456"]}],"mendeley":{"formattedCitation":"(Troncoso &amp; Soares da Silva, 2017)","plainTextFormattedCitation":"(Troncoso &amp; Soares da Silva, 2017)","previouslyFormattedCitation":"(Troncoso &amp; Soares da Silva, 2017)"},"properties":{"noteIndex":0},"schema":"https://github.com/citation-style-language/schema/raw/master/csl-citation.json"}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(Troncoso and Soares da Silva, 2017)</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 xml:space="preserve">. The </w:t>
      </w:r>
      <w:r w:rsidRPr="00AB3E42">
        <w:rPr>
          <w:rFonts w:ascii="Arial Narrow" w:eastAsia="Times New Roman" w:hAnsi="Arial Narrow" w:cs="Times New Roman"/>
          <w:bCs/>
          <w:kern w:val="0"/>
          <w:lang w:val="en-US"/>
          <w14:ligatures w14:val="none"/>
        </w:rPr>
        <w:t>Global LPG Partnership (GLPGP)</w:t>
      </w:r>
      <w:r w:rsidRPr="00AB3E42">
        <w:rPr>
          <w:rFonts w:ascii="Arial Narrow" w:eastAsia="Times New Roman" w:hAnsi="Arial Narrow" w:cs="Times New Roman"/>
          <w:kern w:val="0"/>
          <w:lang w:val="en-US"/>
          <w14:ligatures w14:val="none"/>
        </w:rPr>
        <w:t xml:space="preserve"> continues to support governments in developing robust LPG ecosystems, highlighting the health, environmental, and gender equity benefits of switching to LPG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{"citationItems":[{"id":"ITEM-1","itemData":{"author":[{"dropping-particle":"","family":"Chen","given":"Kimball","non-dropping-particle":"","parse-names":false,"suffix":""}],"id":"ITEM-1","issue":"March","issued":{"date-parts":[["2023"]]},"title":"THE IMPORTANCE OF LPG TO AFRICA AND THE PROSPECTS FOR LPG DECARBONIZATION THROUGH IMPLEMENTATION OF BIOLPG","type":"article-journal"},"uris":["http://www.mendeley.com/documents/?uuid=46e00494-362c-4720-a248-129985b742c5"]}],"mendeley":{"formattedCitation":"(Chen, 2023)","plainTextFormattedCitation":"(Chen, 2023)","previouslyFormattedCitation":"(Chen, 2023)"},"properties":{"noteIndex":0},"schema":"https://github.com/citation-style-language/schema/raw/master/csl-citation.json"}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(Chen, 2023)</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w:t>
      </w:r>
    </w:p>
    <w:p w14:paraId="30B448DB" w14:textId="661E8F98" w:rsidR="009120F4" w:rsidRPr="00AB3E42" w:rsidRDefault="009120F4" w:rsidP="009120F4">
      <w:pPr>
        <w:spacing w:before="0" w:after="0"/>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 xml:space="preserve">Nearly 80% of Sub-Saharan African households cook with firewood or charcoal, which contributes to deforestation, degraded soil, and serious health hazards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{"citationItems":[{"id":"ITEM-1","itemData":{"author":[{"dropping-particle":"","family":"Agency","given":"International Energy","non-dropping-particle":"","parse-names":false,"suffix":""}],"id":"ITEM-1","issued":{"date-parts":[["2022"]]},"title":"Africa Energy Outlook 2022","type":"article-journal"},"uris":["http://www.mendeley.com/documents/?uuid=8f3529cf-f373-4edf-a8c7-e89056ce527f"]}],"mendeley":{"formattedCitation":"(Agency, 2022)","plainTextFormattedCitation":"(Agency, 2022)","previouslyFormattedCitation":"(Agency, 2022)"},"properties":{"noteIndex":0},"schema":"https://github.com/citation-style-language/schema/raw/master/csl-citation.json"}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w:t>
      </w:r>
      <w:r w:rsidR="00872781" w:rsidRPr="00AB3E42">
        <w:rPr>
          <w:rFonts w:ascii="Arial Narrow" w:eastAsia="Times New Roman" w:hAnsi="Arial Narrow" w:cs="Times New Roman"/>
          <w:noProof/>
          <w:kern w:val="0"/>
          <w:lang w:val="en-US"/>
          <w14:ligatures w14:val="none"/>
        </w:rPr>
        <w:t>IEA</w:t>
      </w:r>
      <w:r w:rsidRPr="00AB3E42">
        <w:rPr>
          <w:rFonts w:ascii="Arial Narrow" w:eastAsia="Times New Roman" w:hAnsi="Arial Narrow" w:cs="Times New Roman"/>
          <w:noProof/>
          <w:kern w:val="0"/>
          <w:lang w:val="en-US"/>
          <w14:ligatures w14:val="none"/>
        </w:rPr>
        <w:t>, 2022)</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 xml:space="preserve">. For example, Senegal has used financial incentives and public awareness campaigns to boost adoption rates, and Ghana's Cylinder Recirculation Model (CRM) seeks to encourage LPG usage by establishing a safer, standardized supply chain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{"citationItems":[{"id":"ITEM-1","itemData":{"author":[{"dropping-particle":"","family":"Agency","given":"International Energy","non-dropping-particle":"","parse-names":false,"suffix":""}],"id":"ITEM-1","issued":{"date-parts":[["2022"]]},"title":"Africa Energy Outlook 2022","type":"article-journal"},"uris":["http://www.mendeley.com/documents/?uuid=8f3529cf-f373-4edf-a8c7-e89056ce527f"]}],"mendeley":{"formattedCitation":"(Agency, 2022)","plainTextFormattedCitation":"(Agency, 2022)","previouslyFormattedCitation":"(Agency, 2022)"},"properties":{"noteIndex":0},"schema":"https://github.com/citation-style-language/schema/raw/master/csl-citation.json"}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w:t>
      </w:r>
      <w:r w:rsidR="00872781" w:rsidRPr="00AB3E42">
        <w:rPr>
          <w:rFonts w:ascii="Arial Narrow" w:eastAsia="Times New Roman" w:hAnsi="Arial Narrow" w:cs="Times New Roman"/>
          <w:noProof/>
          <w:kern w:val="0"/>
          <w:lang w:val="en-US"/>
          <w14:ligatures w14:val="none"/>
        </w:rPr>
        <w:t>IEA</w:t>
      </w:r>
      <w:r w:rsidRPr="00AB3E42">
        <w:rPr>
          <w:rFonts w:ascii="Arial Narrow" w:eastAsia="Times New Roman" w:hAnsi="Arial Narrow" w:cs="Times New Roman"/>
          <w:noProof/>
          <w:kern w:val="0"/>
          <w:lang w:val="en-US"/>
          <w14:ligatures w14:val="none"/>
        </w:rPr>
        <w:t>, 2022)</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w:t>
      </w:r>
    </w:p>
    <w:p w14:paraId="0F5BCD08" w14:textId="77777777" w:rsidR="009120F4" w:rsidRPr="00AB3E42" w:rsidRDefault="009120F4" w:rsidP="009120F4">
      <w:pPr>
        <w:spacing w:before="0" w:after="160"/>
        <w:jc w:val="both"/>
        <w:rPr>
          <w:rFonts w:ascii="Arial Narrow" w:eastAsia="Calibri" w:hAnsi="Arial Narrow" w:cs="Times New Roman"/>
          <w:kern w:val="0"/>
          <w:lang w:val="en-US"/>
          <w14:ligatures w14:val="none"/>
        </w:rPr>
      </w:pPr>
    </w:p>
    <w:p w14:paraId="4FD56CB8" w14:textId="77777777" w:rsidR="009120F4" w:rsidRPr="00AB3E42" w:rsidRDefault="009120F4" w:rsidP="009120F4">
      <w:pPr>
        <w:spacing w:before="0" w:after="160"/>
        <w:jc w:val="both"/>
        <w:rPr>
          <w:rFonts w:ascii="Arial Narrow" w:eastAsia="Times New Roman" w:hAnsi="Arial Narrow" w:cs="Times New Roman"/>
          <w:kern w:val="0"/>
          <w:lang w:val="en-US"/>
          <w14:ligatures w14:val="none"/>
        </w:rPr>
      </w:pPr>
      <w:r w:rsidRPr="00AB3E42">
        <w:rPr>
          <w:rFonts w:ascii="Arial Narrow" w:eastAsia="Calibri" w:hAnsi="Arial Narrow" w:cs="Times New Roman"/>
          <w:kern w:val="0"/>
          <w:lang w:val="en-US"/>
          <w14:ligatures w14:val="none"/>
        </w:rPr>
        <w:t>According to the Tanzania Household Budget Survey (HBS) of 2017-18 the main source of energy for cooking in Tanzania Mainland is firewood (60.9%) followed by charcoal (28.8%), industrial gas (3.2%), Electricity (2.1%), paraffin (1.3%) and solar (1.1% of households). Use of firewood as the main source of energy for cooking is more common in Rural Areas (84.8% of households) than in Urban Areas (17.4%). Furthermore, according</w:t>
      </w:r>
      <w:r w:rsidRPr="00AB3E42">
        <w:rPr>
          <w:rFonts w:ascii="Arial Narrow" w:eastAsia="Times New Roman" w:hAnsi="Arial Narrow" w:cs="Times New Roman"/>
          <w:kern w:val="0"/>
          <w:lang w:val="en-US"/>
          <w14:ligatures w14:val="none"/>
        </w:rPr>
        <w:t xml:space="preserve"> HBS 2017-18</w:t>
      </w:r>
      <w:r w:rsidRPr="00AB3E42">
        <w:rPr>
          <w:rFonts w:ascii="Arial Narrow" w:eastAsia="Calibri" w:hAnsi="Arial Narrow" w:cs="Times New Roman"/>
          <w:kern w:val="0"/>
          <w:lang w:val="en-US"/>
          <w14:ligatures w14:val="none"/>
        </w:rPr>
        <w:t xml:space="preserve"> </w:t>
      </w:r>
      <w:r w:rsidRPr="00AB3E42">
        <w:rPr>
          <w:rFonts w:ascii="Arial Narrow" w:eastAsia="Times New Roman" w:hAnsi="Arial Narrow" w:cs="Times New Roman"/>
          <w:kern w:val="0"/>
          <w:lang w:val="en-US"/>
          <w14:ligatures w14:val="none"/>
        </w:rPr>
        <w:t>increased earnings, urbanization, and easier access to supply chains have all contributed to the increased use of LPG in cities like Dar es Salaam and Arusha. To make LPG goods more inexpensive, the Tanzanian government has made subsidy and lowered import taxes on LPG cylinders (EWURA, 2023).</w:t>
      </w:r>
    </w:p>
    <w:p w14:paraId="49B8AD41" w14:textId="77777777" w:rsidR="009120F4" w:rsidRPr="00AB3E42" w:rsidRDefault="009120F4" w:rsidP="009120F4">
      <w:pPr>
        <w:spacing w:before="100" w:beforeAutospacing="1" w:after="100" w:afterAutospacing="1"/>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 xml:space="preserve">According to Kamwela (2021) private sector participation in provision of LPG cylinders in rural and urban areas has increased its availability, with companies like Oryx, Mihan, Orange, lake and Taifa Gas have expanding LPG distribution networks. However, challenges on the uses of LPG is persisting due to small </w:t>
      </w:r>
      <w:r w:rsidRPr="00AB3E42">
        <w:rPr>
          <w:rFonts w:ascii="Arial Narrow" w:eastAsia="Times New Roman" w:hAnsi="Arial Narrow" w:cs="Times New Roman"/>
          <w:kern w:val="0"/>
          <w:lang w:val="en-US"/>
          <w14:ligatures w14:val="none"/>
        </w:rPr>
        <w:lastRenderedPageBreak/>
        <w:t>number of households which are using LPG in rural areas while LPG adoption is higher in urban areas, many peri-urban and rural households struggle with affordability, lack of infrastructure, and limited awareness of the benefits of LPG compared to traditional fuels (</w:t>
      </w:r>
      <w:proofErr w:type="spellStart"/>
      <w:r w:rsidRPr="00AB3E42">
        <w:rPr>
          <w:rFonts w:ascii="Arial Narrow" w:eastAsia="Times New Roman" w:hAnsi="Arial Narrow" w:cs="Times New Roman"/>
          <w:kern w:val="0"/>
          <w:lang w:val="en-US"/>
          <w14:ligatures w14:val="none"/>
        </w:rPr>
        <w:t>Ngunguru</w:t>
      </w:r>
      <w:proofErr w:type="spellEnd"/>
      <w:r w:rsidRPr="00AB3E42">
        <w:rPr>
          <w:rFonts w:ascii="Arial Narrow" w:eastAsia="Times New Roman" w:hAnsi="Arial Narrow" w:cs="Times New Roman"/>
          <w:kern w:val="0"/>
          <w:lang w:val="en-US"/>
          <w14:ligatures w14:val="none"/>
        </w:rPr>
        <w:t xml:space="preserve"> and </w:t>
      </w:r>
      <w:proofErr w:type="spellStart"/>
      <w:r w:rsidRPr="00AB3E42">
        <w:rPr>
          <w:rFonts w:ascii="Arial Narrow" w:eastAsia="Times New Roman" w:hAnsi="Arial Narrow" w:cs="Times New Roman"/>
          <w:kern w:val="0"/>
          <w:lang w:val="en-US"/>
          <w14:ligatures w14:val="none"/>
        </w:rPr>
        <w:t>Lema</w:t>
      </w:r>
      <w:proofErr w:type="spellEnd"/>
      <w:r w:rsidRPr="00AB3E42">
        <w:rPr>
          <w:rFonts w:ascii="Arial Narrow" w:eastAsia="Times New Roman" w:hAnsi="Arial Narrow" w:cs="Times New Roman"/>
          <w:kern w:val="0"/>
          <w:lang w:val="en-US"/>
          <w14:ligatures w14:val="none"/>
        </w:rPr>
        <w:t>, 2020).</w:t>
      </w:r>
    </w:p>
    <w:p w14:paraId="4CDB6B5B" w14:textId="77777777" w:rsidR="009120F4" w:rsidRPr="00AB3E42" w:rsidRDefault="009120F4" w:rsidP="009120F4">
      <w:pPr>
        <w:spacing w:before="100" w:beforeAutospacing="1" w:after="100" w:afterAutospacing="1"/>
        <w:jc w:val="both"/>
        <w:rPr>
          <w:rFonts w:ascii="Arial Narrow" w:eastAsia="Times New Roman" w:hAnsi="Arial Narrow" w:cs="Times New Roman"/>
        </w:rPr>
      </w:pPr>
      <w:r w:rsidRPr="00AB3E42">
        <w:rPr>
          <w:rFonts w:ascii="Arial Narrow" w:eastAsia="Times New Roman" w:hAnsi="Arial Narrow" w:cs="Times New Roman"/>
        </w:rPr>
        <w:t>Geita Municipal Council, including, where charcoal and firewood account for 98% of household energy use, while LPG adoption is as low as 0.1% (NBS, 2019). This heavy reliance contributes to severe indoor air pollution, linked to respiratory diseases and over 3.2 million deaths globally per year (WHO, 2022). Additionally, the growing population and urban expansion in Geita Town have increased energy demands, exacerbating the environmental impact, especially through deforestation driven by fuelwood harvesting (Geita Regional Commissioner’s Office, 2022). Although Liquefied Petroleum Gas (LPG) offers a cleaner, more efficient cooking alternative, its adoption remains minimal due to challenges such as high upfront costs, traditional preferences, fear of accident, price fluctuations, and limited public awareness (EWURA, 2022).</w:t>
      </w:r>
    </w:p>
    <w:p w14:paraId="18B26C9C" w14:textId="481F1C72" w:rsidR="009120F4" w:rsidRPr="00AB3E42" w:rsidRDefault="009120F4" w:rsidP="009120F4">
      <w:pPr>
        <w:spacing w:before="100" w:beforeAutospacing="1" w:after="100" w:afterAutospacing="1"/>
        <w:jc w:val="both"/>
        <w:outlineLvl w:val="3"/>
        <w:rPr>
          <w:rFonts w:ascii="Arial Narrow" w:eastAsia="Times New Roman" w:hAnsi="Arial Narrow" w:cs="Times New Roman"/>
        </w:rPr>
      </w:pPr>
      <w:r w:rsidRPr="00AB3E42">
        <w:rPr>
          <w:rFonts w:ascii="Arial Narrow" w:eastAsia="Times New Roman" w:hAnsi="Arial Narrow" w:cs="Times New Roman"/>
        </w:rPr>
        <w:t xml:space="preserve">The magnitude of this issue extends beyond health and environmental concerns to social and economic dimensions. Economically, households relying on firewood and charcoal often spend a substantial portion of their income on fuel, limiting funds for other essential needs (Clean Cooking Alliance, 2022). Socially, women and children are disproportionately affected, as they are mainly responsible for fuel collection and cooking, which exposes them to health risks and restricts their education and income-generating opportunities (Ubaid </w:t>
      </w:r>
      <w:r w:rsidRPr="00AB3E42">
        <w:rPr>
          <w:rFonts w:ascii="Arial Narrow" w:eastAsia="Times New Roman" w:hAnsi="Arial Narrow" w:cs="Times New Roman"/>
          <w:i/>
        </w:rPr>
        <w:t>et al</w:t>
      </w:r>
      <w:r w:rsidRPr="00AB3E42">
        <w:rPr>
          <w:rFonts w:ascii="Arial Narrow" w:eastAsia="Times New Roman" w:hAnsi="Arial Narrow" w:cs="Times New Roman"/>
        </w:rPr>
        <w:t xml:space="preserve">., 2021). </w:t>
      </w:r>
    </w:p>
    <w:p w14:paraId="0FFD5B64" w14:textId="77777777" w:rsidR="009120F4" w:rsidRPr="00AB3E42" w:rsidRDefault="009120F4" w:rsidP="009120F4">
      <w:pPr>
        <w:spacing w:before="100" w:beforeAutospacing="1" w:after="100" w:afterAutospacing="1"/>
        <w:jc w:val="both"/>
        <w:outlineLvl w:val="3"/>
        <w:rPr>
          <w:rFonts w:ascii="Arial Narrow" w:eastAsia="Times New Roman" w:hAnsi="Arial Narrow" w:cs="Times New Roman"/>
        </w:rPr>
      </w:pPr>
      <w:r w:rsidRPr="00AB3E42">
        <w:rPr>
          <w:rFonts w:ascii="Arial Narrow" w:eastAsia="Times New Roman" w:hAnsi="Arial Narrow" w:cs="Times New Roman"/>
        </w:rPr>
        <w:t xml:space="preserve">Despite government policies and donor-led efforts to promote LPG, existing literature such as by Msuya and Mwakaje (2023) tends to focus on rural energy access and overlooks localized urban contexts like. There remains a clear research gap in understanding how socio-economic factors such as income, education, and infrastructure influence LPG adoption in smaller urban settings. This gap is reinforced by studies in Dodoma and Kinondoni by Ndunguru and Lema (2020) as well as Sulley </w:t>
      </w:r>
      <w:r w:rsidRPr="00AB3E42">
        <w:rPr>
          <w:rFonts w:ascii="Arial Narrow" w:eastAsia="Times New Roman" w:hAnsi="Arial Narrow" w:cs="Times New Roman"/>
          <w:i/>
          <w:iCs/>
        </w:rPr>
        <w:t>et al.</w:t>
      </w:r>
      <w:r w:rsidRPr="00AB3E42">
        <w:rPr>
          <w:rFonts w:ascii="Arial Narrow" w:eastAsia="Times New Roman" w:hAnsi="Arial Narrow" w:cs="Times New Roman"/>
        </w:rPr>
        <w:t xml:space="preserve"> (2023) that stress the need for broader urban research.</w:t>
      </w:r>
    </w:p>
    <w:p w14:paraId="05A7C015" w14:textId="77777777" w:rsidR="009120F4" w:rsidRPr="00AB3E42" w:rsidRDefault="009120F4" w:rsidP="009120F4">
      <w:pPr>
        <w:spacing w:before="100" w:beforeAutospacing="1" w:after="100" w:afterAutospacing="1"/>
        <w:jc w:val="both"/>
        <w:rPr>
          <w:rFonts w:ascii="Arial Narrow" w:eastAsia="Times New Roman" w:hAnsi="Arial Narrow" w:cs="Times New Roman"/>
          <w:kern w:val="0"/>
          <w:lang w:val="en-US"/>
          <w14:ligatures w14:val="none"/>
        </w:rPr>
      </w:pPr>
    </w:p>
    <w:p w14:paraId="0F809450" w14:textId="77777777" w:rsidR="009120F4" w:rsidRPr="00AB3E42" w:rsidRDefault="009120F4" w:rsidP="009120F4">
      <w:pPr>
        <w:spacing w:before="0" w:after="160"/>
        <w:jc w:val="both"/>
        <w:rPr>
          <w:rFonts w:ascii="Arial Narrow" w:eastAsia="Calibri" w:hAnsi="Arial Narrow" w:cs="Times New Roman"/>
          <w:kern w:val="0"/>
          <w:lang w:val="en-US"/>
          <w14:ligatures w14:val="none"/>
        </w:rPr>
      </w:pPr>
    </w:p>
    <w:p w14:paraId="52C67AC2" w14:textId="77777777" w:rsidR="009120F4" w:rsidRPr="00AB3E42" w:rsidRDefault="009120F4" w:rsidP="009120F4">
      <w:pPr>
        <w:rPr>
          <w:rFonts w:ascii="Arial Narrow" w:hAnsi="Arial Narrow"/>
        </w:rPr>
      </w:pPr>
    </w:p>
    <w:p w14:paraId="10FB0CD9" w14:textId="0549F4D6" w:rsidR="009120F4" w:rsidRPr="00AB3E42" w:rsidRDefault="009120F4" w:rsidP="009120F4">
      <w:pPr>
        <w:spacing w:before="100" w:beforeAutospacing="1" w:after="100" w:afterAutospacing="1" w:line="240" w:lineRule="auto"/>
        <w:jc w:val="left"/>
        <w:outlineLvl w:val="3"/>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 xml:space="preserve"> </w:t>
      </w:r>
    </w:p>
    <w:p w14:paraId="3BCAE0D6" w14:textId="58787FAB" w:rsidR="00C45BCB" w:rsidRPr="00AB3E42" w:rsidRDefault="00C45BCB" w:rsidP="0097413C">
      <w:pPr>
        <w:spacing w:before="100" w:beforeAutospacing="1" w:after="100" w:afterAutospacing="1"/>
        <w:jc w:val="both"/>
        <w:outlineLvl w:val="3"/>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lastRenderedPageBreak/>
        <w:t>Methods</w:t>
      </w:r>
    </w:p>
    <w:p w14:paraId="21FD959F" w14:textId="33BFF10E" w:rsidR="008B4D06" w:rsidRPr="00AB3E42" w:rsidRDefault="0097413C" w:rsidP="00691084">
      <w:pPr>
        <w:spacing w:before="0" w:after="0"/>
        <w:jc w:val="both"/>
        <w:rPr>
          <w:rFonts w:ascii="Arial Narrow" w:hAnsi="Arial Narrow" w:cstheme="majorHAnsi"/>
          <w:lang w:val="en-US" w:eastAsia="en-GB"/>
        </w:rPr>
      </w:pPr>
      <w:r w:rsidRPr="00AB3E42">
        <w:rPr>
          <w:rFonts w:ascii="Arial Narrow" w:hAnsi="Arial Narrow" w:cstheme="majorHAnsi"/>
          <w:lang w:val="en-US" w:eastAsia="en-GB"/>
        </w:rPr>
        <w:t xml:space="preserve">The study </w:t>
      </w:r>
      <w:r w:rsidR="00FE6892" w:rsidRPr="00AB3E42">
        <w:rPr>
          <w:rFonts w:ascii="Arial Narrow" w:hAnsi="Arial Narrow" w:cstheme="majorHAnsi"/>
          <w:lang w:val="en-US" w:eastAsia="en-GB"/>
        </w:rPr>
        <w:t>used</w:t>
      </w:r>
      <w:r w:rsidRPr="00AB3E42">
        <w:rPr>
          <w:rFonts w:ascii="Arial Narrow" w:hAnsi="Arial Narrow" w:cstheme="majorHAnsi"/>
          <w:lang w:val="en-US" w:eastAsia="en-GB"/>
        </w:rPr>
        <w:t xml:space="preserve"> cross-</w:t>
      </w:r>
      <w:r w:rsidR="00FE6892" w:rsidRPr="00AB3E42">
        <w:rPr>
          <w:rFonts w:ascii="Arial Narrow" w:hAnsi="Arial Narrow" w:cstheme="majorHAnsi"/>
          <w:lang w:val="en-US" w:eastAsia="en-GB"/>
        </w:rPr>
        <w:t xml:space="preserve">sectional research design to thoroughly investigate the factors shaping the adoption of LPG for cooking in urban Tanzania Evidence from Geita Municipal. The cross-section </w:t>
      </w:r>
      <w:r w:rsidRPr="00AB3E42">
        <w:rPr>
          <w:rFonts w:ascii="Arial Narrow" w:hAnsi="Arial Narrow" w:cstheme="majorHAnsi"/>
          <w:lang w:val="en-US" w:eastAsia="en-GB"/>
        </w:rPr>
        <w:t>design</w:t>
      </w:r>
      <w:r w:rsidR="00FE6892" w:rsidRPr="00AB3E42">
        <w:rPr>
          <w:rFonts w:ascii="Arial Narrow" w:hAnsi="Arial Narrow" w:cstheme="majorHAnsi"/>
          <w:lang w:val="en-US" w:eastAsia="en-GB"/>
        </w:rPr>
        <w:t xml:space="preserve"> was</w:t>
      </w:r>
      <w:r w:rsidRPr="00AB3E42">
        <w:rPr>
          <w:rFonts w:ascii="Arial Narrow" w:hAnsi="Arial Narrow" w:cstheme="majorHAnsi"/>
          <w:lang w:val="en-US" w:eastAsia="en-GB"/>
        </w:rPr>
        <w:t xml:space="preserve"> </w:t>
      </w:r>
      <w:r w:rsidR="00FE6892" w:rsidRPr="00AB3E42">
        <w:rPr>
          <w:rFonts w:ascii="Arial Narrow" w:hAnsi="Arial Narrow" w:cstheme="majorHAnsi"/>
          <w:lang w:val="en-US" w:eastAsia="en-GB"/>
        </w:rPr>
        <w:t>chosen because allow</w:t>
      </w:r>
      <w:r w:rsidRPr="00AB3E42">
        <w:rPr>
          <w:rFonts w:ascii="Arial Narrow" w:hAnsi="Arial Narrow" w:cstheme="majorHAnsi"/>
          <w:lang w:val="en-US" w:eastAsia="en-GB"/>
        </w:rPr>
        <w:t xml:space="preserve"> collection of data at a single point in time,</w:t>
      </w:r>
      <w:r w:rsidR="00FE6892" w:rsidRPr="00AB3E42">
        <w:rPr>
          <w:rFonts w:ascii="Arial Narrow" w:hAnsi="Arial Narrow" w:cstheme="majorHAnsi"/>
          <w:lang w:val="en-US" w:eastAsia="en-GB"/>
        </w:rPr>
        <w:t xml:space="preserve"> this design ensure the efficient data collection </w:t>
      </w:r>
      <w:r w:rsidR="00510446">
        <w:rPr>
          <w:rFonts w:ascii="Arial Narrow" w:hAnsi="Arial Narrow" w:cs="Times New Roman"/>
          <w:lang w:val="en-US" w:eastAsia="en-GB"/>
        </w:rPr>
        <w:t>without prolonged observation.</w:t>
      </w:r>
      <w:r w:rsidR="00510446" w:rsidRPr="00AB3E42">
        <w:rPr>
          <w:rFonts w:ascii="Arial Narrow" w:hAnsi="Arial Narrow" w:cs="Times New Roman"/>
        </w:rPr>
        <w:t xml:space="preserve"> It</w:t>
      </w:r>
      <w:r w:rsidR="00DA0443" w:rsidRPr="00AB3E42">
        <w:rPr>
          <w:rFonts w:ascii="Arial Narrow" w:hAnsi="Arial Narrow" w:cs="Times New Roman"/>
        </w:rPr>
        <w:t xml:space="preserve"> facilitates the analysis of multiple variables, which is crucial for understanding the factors influencing market outlet selection. The cross-sectional method ensured that the study addressed its objectives while maintaining high external validity and timely completion</w:t>
      </w:r>
      <w:r w:rsidR="00DA0443" w:rsidRPr="00AB3E42">
        <w:rPr>
          <w:rFonts w:ascii="Arial Narrow" w:hAnsi="Arial Narrow"/>
        </w:rPr>
        <w:t>.</w:t>
      </w:r>
    </w:p>
    <w:p w14:paraId="500EE8EE" w14:textId="77777777" w:rsidR="004B1E29" w:rsidRPr="00AB3E42" w:rsidRDefault="004B1E29" w:rsidP="0097413C">
      <w:pPr>
        <w:spacing w:before="0" w:after="0"/>
        <w:jc w:val="both"/>
        <w:rPr>
          <w:rFonts w:ascii="Arial Narrow" w:hAnsi="Arial Narrow" w:cs="Times New Roman"/>
        </w:rPr>
      </w:pPr>
    </w:p>
    <w:p w14:paraId="4BBA6EC8" w14:textId="7C03B2DE" w:rsidR="0097413C" w:rsidRPr="00AB3E42" w:rsidRDefault="00DA0443" w:rsidP="0097413C">
      <w:pPr>
        <w:spacing w:before="0" w:after="0"/>
        <w:jc w:val="both"/>
        <w:rPr>
          <w:rFonts w:ascii="Arial Narrow" w:hAnsi="Arial Narrow" w:cstheme="majorHAnsi"/>
          <w:lang w:val="en-US" w:eastAsia="en-GB"/>
        </w:rPr>
      </w:pPr>
      <w:r w:rsidRPr="00AB3E42">
        <w:rPr>
          <w:rFonts w:ascii="Arial Narrow" w:hAnsi="Arial Narrow" w:cs="Times New Roman"/>
        </w:rPr>
        <w:t xml:space="preserve">The research took place in the Geita Municipal of Tanzania </w:t>
      </w:r>
      <w:r w:rsidR="0097413C" w:rsidRPr="00AB3E42">
        <w:rPr>
          <w:rFonts w:ascii="Arial Narrow" w:hAnsi="Arial Narrow" w:cs="Times New Roman"/>
          <w:lang w:val="en-US" w:eastAsia="en-GB"/>
        </w:rPr>
        <w:t>s</w:t>
      </w:r>
      <w:r w:rsidRPr="00AB3E42">
        <w:rPr>
          <w:rFonts w:ascii="Arial Narrow" w:hAnsi="Arial Narrow" w:cs="Times New Roman"/>
          <w:lang w:val="en-US" w:eastAsia="en-GB"/>
        </w:rPr>
        <w:t xml:space="preserve">pecifically in Kalangalala Ward. </w:t>
      </w:r>
      <w:r w:rsidR="0097413C" w:rsidRPr="00AB3E42">
        <w:rPr>
          <w:rFonts w:ascii="Arial Narrow" w:hAnsi="Arial Narrow" w:cs="Times New Roman"/>
          <w:lang w:val="en-US" w:eastAsia="en-GB"/>
        </w:rPr>
        <w:t>Geita</w:t>
      </w:r>
      <w:r w:rsidR="0097413C" w:rsidRPr="00AB3E42">
        <w:rPr>
          <w:rFonts w:ascii="Arial Narrow" w:hAnsi="Arial Narrow" w:cstheme="majorHAnsi"/>
          <w:lang w:val="en-US" w:eastAsia="en-GB"/>
        </w:rPr>
        <w:t xml:space="preserve"> </w:t>
      </w:r>
      <w:r w:rsidR="0097413C" w:rsidRPr="00AB3E42">
        <w:rPr>
          <w:rFonts w:ascii="Arial Narrow" w:hAnsi="Arial Narrow" w:cs="Times New Roman"/>
          <w:lang w:val="en-US" w:eastAsia="en-GB"/>
        </w:rPr>
        <w:t>Region is located in the northwestern part of Tanzania and is known for its mining activities, primarily involving gold extraction. The Municipal had a unique socio-economic landscape where the adoption of Liquefied Petroleum Gas (LPG) could have significantly impacted cooking practices that traditionally relied on biomass. Kalangalala Ward was selected due to its lower level of LPG adoption, largely attributed to a high dependence on firewood and charcoal.</w:t>
      </w:r>
    </w:p>
    <w:p w14:paraId="08E0A440" w14:textId="0D84DA89" w:rsidR="006A5127" w:rsidRPr="00AB3E42" w:rsidRDefault="006A5127" w:rsidP="0097413C">
      <w:pPr>
        <w:jc w:val="both"/>
        <w:rPr>
          <w:rFonts w:ascii="Arial Narrow" w:hAnsi="Arial Narrow" w:cstheme="majorHAnsi"/>
          <w:lang w:val="en-US" w:eastAsia="en-GB"/>
        </w:rPr>
      </w:pPr>
      <w:r w:rsidRPr="00AB3E42">
        <w:rPr>
          <w:rFonts w:ascii="Arial Narrow" w:hAnsi="Arial Narrow" w:cstheme="majorHAnsi"/>
          <w:lang w:eastAsia="en-GB"/>
        </w:rPr>
        <w:t>The study</w:t>
      </w:r>
      <w:r w:rsidR="004B1E29" w:rsidRPr="00AB3E42">
        <w:rPr>
          <w:rFonts w:ascii="Arial Narrow" w:hAnsi="Arial Narrow" w:cstheme="majorHAnsi"/>
          <w:lang w:eastAsia="en-GB"/>
        </w:rPr>
        <w:t xml:space="preserve"> focused</w:t>
      </w:r>
      <w:r w:rsidRPr="00AB3E42">
        <w:rPr>
          <w:rFonts w:ascii="Arial Narrow" w:hAnsi="Arial Narrow" w:cstheme="majorHAnsi"/>
          <w:lang w:eastAsia="en-GB"/>
        </w:rPr>
        <w:t xml:space="preserve"> </w:t>
      </w:r>
      <w:r w:rsidR="0097413C" w:rsidRPr="00AB3E42">
        <w:rPr>
          <w:rFonts w:ascii="Arial Narrow" w:hAnsi="Arial Narrow" w:cstheme="majorHAnsi"/>
          <w:lang w:val="en-US" w:eastAsia="en-GB"/>
        </w:rPr>
        <w:t xml:space="preserve">individual households and food </w:t>
      </w:r>
      <w:r w:rsidR="001950F9" w:rsidRPr="00AB3E42">
        <w:rPr>
          <w:rFonts w:ascii="Arial Narrow" w:hAnsi="Arial Narrow" w:cstheme="majorHAnsi"/>
          <w:lang w:val="en-US" w:eastAsia="en-GB"/>
        </w:rPr>
        <w:t>venders,</w:t>
      </w:r>
      <w:r w:rsidR="0097413C" w:rsidRPr="00AB3E42">
        <w:rPr>
          <w:rFonts w:ascii="Arial Narrow" w:hAnsi="Arial Narrow" w:cstheme="majorHAnsi"/>
          <w:lang w:val="en-US" w:eastAsia="en-GB"/>
        </w:rPr>
        <w:t xml:space="preserve"> </w:t>
      </w:r>
      <w:r w:rsidR="004B1E29" w:rsidRPr="00AB3E42">
        <w:rPr>
          <w:rFonts w:ascii="Arial Narrow" w:hAnsi="Arial Narrow" w:cstheme="majorHAnsi"/>
          <w:lang w:val="en-US" w:eastAsia="en-GB"/>
        </w:rPr>
        <w:t>engaged on Geita Municipal primary</w:t>
      </w:r>
      <w:r w:rsidR="0097413C" w:rsidRPr="00AB3E42">
        <w:rPr>
          <w:rFonts w:ascii="Arial Narrow" w:hAnsi="Arial Narrow" w:cstheme="majorHAnsi"/>
          <w:lang w:val="en-US" w:eastAsia="en-GB"/>
        </w:rPr>
        <w:t xml:space="preserve"> </w:t>
      </w:r>
      <w:bookmarkStart w:id="0" w:name="_Hlk211075014"/>
      <w:r w:rsidR="004B1E29" w:rsidRPr="00AB3E42">
        <w:rPr>
          <w:rFonts w:ascii="Arial Narrow" w:hAnsi="Arial Narrow" w:cstheme="majorHAnsi"/>
          <w:lang w:val="en-US" w:eastAsia="en-GB"/>
        </w:rPr>
        <w:t>Kalangalanga ward specifically</w:t>
      </w:r>
      <w:r w:rsidR="004B1E29" w:rsidRPr="00AB3E42">
        <w:rPr>
          <w:rFonts w:ascii="Arial Narrow" w:hAnsi="Arial Narrow"/>
        </w:rPr>
        <w:t xml:space="preserve">, it targeted households and food vendors who use LPG foe cooking food for client and family members. This age range is significant as it encompasses individuals transitioning into adulthood and making crucial decisions about their livelihoods and career paths. </w:t>
      </w:r>
      <w:r w:rsidR="001950F9" w:rsidRPr="00AB3E42">
        <w:rPr>
          <w:rFonts w:ascii="Arial Narrow" w:hAnsi="Arial Narrow" w:cstheme="majorHAnsi"/>
          <w:lang w:val="en-US" w:eastAsia="en-GB"/>
        </w:rPr>
        <w:t>The study involves 95 households and food vendors from Geita Municipal especially Kalangalanga ward that presented on table (1).</w:t>
      </w:r>
    </w:p>
    <w:p w14:paraId="250D05BA" w14:textId="77777777" w:rsidR="0097413C" w:rsidRPr="00AB3E42" w:rsidRDefault="0097413C" w:rsidP="0097413C">
      <w:pPr>
        <w:jc w:val="both"/>
        <w:rPr>
          <w:rFonts w:ascii="Arial Narrow" w:hAnsi="Arial Narrow" w:cstheme="majorHAnsi"/>
          <w:b/>
          <w:bCs/>
          <w:lang w:val="en-US" w:eastAsia="en-GB"/>
        </w:rPr>
      </w:pPr>
      <w:bookmarkStart w:id="1" w:name="_Toc207001067"/>
      <w:bookmarkEnd w:id="0"/>
      <w:r w:rsidRPr="00AB3E42">
        <w:rPr>
          <w:rFonts w:ascii="Arial Narrow" w:hAnsi="Arial Narrow" w:cstheme="majorHAnsi"/>
          <w:b/>
          <w:bCs/>
          <w:lang w:val="en-US" w:eastAsia="en-GB"/>
        </w:rPr>
        <w:t xml:space="preserve">Table </w:t>
      </w:r>
      <w:r w:rsidRPr="00AB3E42">
        <w:rPr>
          <w:rFonts w:ascii="Arial Narrow" w:hAnsi="Arial Narrow" w:cstheme="majorHAnsi"/>
          <w:b/>
          <w:bCs/>
          <w:lang w:val="en-US" w:eastAsia="en-GB"/>
        </w:rPr>
        <w:fldChar w:fldCharType="begin"/>
      </w:r>
      <w:r w:rsidRPr="00AB3E42">
        <w:rPr>
          <w:rFonts w:ascii="Arial Narrow" w:hAnsi="Arial Narrow" w:cstheme="majorHAnsi"/>
          <w:b/>
          <w:bCs/>
          <w:lang w:val="en-US" w:eastAsia="en-GB"/>
        </w:rPr>
        <w:instrText xml:space="preserve"> SEQ Table \* ARABIC </w:instrText>
      </w:r>
      <w:r w:rsidRPr="00AB3E42">
        <w:rPr>
          <w:rFonts w:ascii="Arial Narrow" w:hAnsi="Arial Narrow" w:cstheme="majorHAnsi"/>
          <w:b/>
          <w:bCs/>
          <w:lang w:val="en-US" w:eastAsia="en-GB"/>
        </w:rPr>
        <w:fldChar w:fldCharType="separate"/>
      </w:r>
      <w:r w:rsidRPr="00AB3E42">
        <w:rPr>
          <w:rFonts w:ascii="Arial Narrow" w:hAnsi="Arial Narrow" w:cstheme="majorHAnsi"/>
          <w:b/>
          <w:bCs/>
          <w:lang w:val="en-US" w:eastAsia="en-GB"/>
        </w:rPr>
        <w:t>1</w:t>
      </w:r>
      <w:r w:rsidRPr="00AB3E42">
        <w:rPr>
          <w:rFonts w:ascii="Arial Narrow" w:hAnsi="Arial Narrow" w:cstheme="majorHAnsi"/>
          <w:b/>
          <w:bCs/>
          <w:lang w:eastAsia="en-GB"/>
        </w:rPr>
        <w:fldChar w:fldCharType="end"/>
      </w:r>
      <w:r w:rsidRPr="00AB3E42">
        <w:rPr>
          <w:rFonts w:ascii="Arial Narrow" w:hAnsi="Arial Narrow" w:cstheme="majorHAnsi"/>
          <w:b/>
          <w:bCs/>
          <w:lang w:val="en-US" w:eastAsia="en-GB"/>
        </w:rPr>
        <w:t>: Respondent composition</w:t>
      </w:r>
      <w:bookmarkEnd w:id="1"/>
      <w:r w:rsidRPr="00AB3E42">
        <w:rPr>
          <w:rFonts w:ascii="Arial Narrow" w:hAnsi="Arial Narrow" w:cstheme="majorHAnsi"/>
          <w:b/>
          <w:bCs/>
          <w:lang w:val="en-US"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72"/>
      </w:tblGrid>
      <w:tr w:rsidR="0097413C" w:rsidRPr="00AB3E42" w14:paraId="30037070" w14:textId="77777777" w:rsidTr="00510446">
        <w:tc>
          <w:tcPr>
            <w:tcW w:w="4688" w:type="dxa"/>
            <w:tcBorders>
              <w:top w:val="single" w:sz="4" w:space="0" w:color="auto"/>
              <w:bottom w:val="single" w:sz="4" w:space="0" w:color="auto"/>
            </w:tcBorders>
          </w:tcPr>
          <w:p w14:paraId="7FA187A2" w14:textId="77777777" w:rsidR="0097413C" w:rsidRPr="00AB3E42" w:rsidRDefault="0097413C" w:rsidP="006A5127">
            <w:pPr>
              <w:spacing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Category </w:t>
            </w:r>
          </w:p>
        </w:tc>
        <w:tc>
          <w:tcPr>
            <w:tcW w:w="4672" w:type="dxa"/>
            <w:tcBorders>
              <w:top w:val="single" w:sz="4" w:space="0" w:color="auto"/>
              <w:bottom w:val="single" w:sz="4" w:space="0" w:color="auto"/>
            </w:tcBorders>
          </w:tcPr>
          <w:p w14:paraId="72DD5499" w14:textId="77777777" w:rsidR="0097413C" w:rsidRPr="00AB3E42" w:rsidRDefault="0097413C" w:rsidP="006A5127">
            <w:pPr>
              <w:spacing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Sample size</w:t>
            </w:r>
          </w:p>
        </w:tc>
      </w:tr>
      <w:tr w:rsidR="0097413C" w:rsidRPr="00AB3E42" w14:paraId="5EB742C4" w14:textId="77777777" w:rsidTr="00510446">
        <w:tc>
          <w:tcPr>
            <w:tcW w:w="4688" w:type="dxa"/>
            <w:tcBorders>
              <w:top w:val="single" w:sz="4" w:space="0" w:color="auto"/>
            </w:tcBorders>
          </w:tcPr>
          <w:p w14:paraId="0EFD4019" w14:textId="77777777" w:rsidR="0097413C" w:rsidRPr="00AB3E42" w:rsidRDefault="0097413C" w:rsidP="006A5127">
            <w:pPr>
              <w:spacing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 xml:space="preserve">Households </w:t>
            </w:r>
          </w:p>
        </w:tc>
        <w:tc>
          <w:tcPr>
            <w:tcW w:w="4672" w:type="dxa"/>
            <w:tcBorders>
              <w:top w:val="single" w:sz="4" w:space="0" w:color="auto"/>
            </w:tcBorders>
          </w:tcPr>
          <w:p w14:paraId="2490B688" w14:textId="77777777" w:rsidR="0097413C" w:rsidRPr="00AB3E42" w:rsidRDefault="0097413C" w:rsidP="006A5127">
            <w:pPr>
              <w:spacing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63</w:t>
            </w:r>
          </w:p>
        </w:tc>
      </w:tr>
      <w:tr w:rsidR="0097413C" w:rsidRPr="00AB3E42" w14:paraId="12FA3501" w14:textId="77777777" w:rsidTr="00510446">
        <w:tc>
          <w:tcPr>
            <w:tcW w:w="4688" w:type="dxa"/>
          </w:tcPr>
          <w:p w14:paraId="37893E5B" w14:textId="77777777" w:rsidR="0097413C" w:rsidRPr="00AB3E42" w:rsidRDefault="0097413C" w:rsidP="006A5127">
            <w:pPr>
              <w:spacing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 xml:space="preserve">Food venders </w:t>
            </w:r>
          </w:p>
        </w:tc>
        <w:tc>
          <w:tcPr>
            <w:tcW w:w="4672" w:type="dxa"/>
          </w:tcPr>
          <w:p w14:paraId="272A0B24" w14:textId="77777777" w:rsidR="0097413C" w:rsidRPr="00AB3E42" w:rsidRDefault="0097413C" w:rsidP="006A5127">
            <w:pPr>
              <w:spacing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24</w:t>
            </w:r>
          </w:p>
        </w:tc>
      </w:tr>
      <w:tr w:rsidR="0097413C" w:rsidRPr="00AB3E42" w14:paraId="118DA74F" w14:textId="77777777" w:rsidTr="00510446">
        <w:tc>
          <w:tcPr>
            <w:tcW w:w="4688" w:type="dxa"/>
            <w:tcBorders>
              <w:top w:val="single" w:sz="4" w:space="0" w:color="auto"/>
              <w:bottom w:val="single" w:sz="4" w:space="0" w:color="auto"/>
            </w:tcBorders>
          </w:tcPr>
          <w:p w14:paraId="166A5815" w14:textId="77777777" w:rsidR="0097413C" w:rsidRPr="00AB3E42" w:rsidRDefault="0097413C" w:rsidP="006A5127">
            <w:pPr>
              <w:spacing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Total</w:t>
            </w:r>
          </w:p>
        </w:tc>
        <w:tc>
          <w:tcPr>
            <w:tcW w:w="4672" w:type="dxa"/>
            <w:tcBorders>
              <w:top w:val="single" w:sz="4" w:space="0" w:color="auto"/>
              <w:bottom w:val="single" w:sz="4" w:space="0" w:color="auto"/>
            </w:tcBorders>
          </w:tcPr>
          <w:p w14:paraId="08C1E57D" w14:textId="7CF8A3B1" w:rsidR="0097413C" w:rsidRPr="00AB3E42" w:rsidRDefault="00510446" w:rsidP="006A5127">
            <w:pPr>
              <w:spacing w:line="276" w:lineRule="auto"/>
              <w:jc w:val="both"/>
              <w:rPr>
                <w:rFonts w:ascii="Arial Narrow" w:hAnsi="Arial Narrow" w:cstheme="majorHAnsi"/>
                <w:b/>
                <w:bCs/>
                <w:lang w:val="en-US" w:eastAsia="en-GB"/>
              </w:rPr>
            </w:pPr>
            <w:r>
              <w:rPr>
                <w:rFonts w:ascii="Arial Narrow" w:hAnsi="Arial Narrow" w:cstheme="majorHAnsi"/>
                <w:b/>
                <w:bCs/>
                <w:lang w:val="en-US" w:eastAsia="en-GB"/>
              </w:rPr>
              <w:t>87</w:t>
            </w:r>
          </w:p>
        </w:tc>
      </w:tr>
    </w:tbl>
    <w:p w14:paraId="13A36DD9" w14:textId="0F4CBEDD" w:rsidR="0071610A" w:rsidRPr="00AB3E42" w:rsidRDefault="00685DFB" w:rsidP="006A5127">
      <w:pPr>
        <w:spacing w:before="0" w:after="0" w:line="276" w:lineRule="auto"/>
        <w:jc w:val="both"/>
        <w:rPr>
          <w:rFonts w:ascii="Arial Narrow" w:hAnsi="Arial Narrow" w:cstheme="majorHAnsi"/>
          <w:b/>
          <w:lang w:eastAsia="en-GB"/>
        </w:rPr>
      </w:pPr>
      <w:r w:rsidRPr="00AB3E42">
        <w:rPr>
          <w:rFonts w:ascii="Arial Narrow" w:hAnsi="Arial Narrow" w:cstheme="majorHAnsi"/>
          <w:b/>
          <w:lang w:eastAsia="en-GB"/>
        </w:rPr>
        <w:t>Source: Study Construction, 202</w:t>
      </w:r>
      <w:r w:rsidR="0097413C" w:rsidRPr="00AB3E42">
        <w:rPr>
          <w:rFonts w:ascii="Arial Narrow" w:hAnsi="Arial Narrow" w:cstheme="majorHAnsi"/>
          <w:b/>
          <w:lang w:eastAsia="en-GB"/>
        </w:rPr>
        <w:t>5</w:t>
      </w:r>
    </w:p>
    <w:p w14:paraId="0E42D1EB" w14:textId="77777777" w:rsidR="006A5127" w:rsidRPr="00AB3E42" w:rsidRDefault="006A5127" w:rsidP="006A5127">
      <w:pPr>
        <w:spacing w:before="0" w:after="0" w:line="276" w:lineRule="auto"/>
        <w:jc w:val="both"/>
        <w:rPr>
          <w:rFonts w:ascii="Arial Narrow" w:hAnsi="Arial Narrow" w:cstheme="majorHAnsi"/>
          <w:b/>
          <w:bCs/>
          <w:lang w:val="en-US" w:eastAsia="en-GB"/>
        </w:rPr>
      </w:pPr>
    </w:p>
    <w:p w14:paraId="68F5BE56" w14:textId="233597BC" w:rsidR="006A5127" w:rsidRPr="00AB3E42" w:rsidRDefault="001950F9" w:rsidP="006A5127">
      <w:pPr>
        <w:jc w:val="both"/>
        <w:rPr>
          <w:rFonts w:ascii="Arial Narrow" w:hAnsi="Arial Narrow"/>
        </w:rPr>
      </w:pPr>
      <w:r w:rsidRPr="00AB3E42">
        <w:rPr>
          <w:rFonts w:ascii="Arial Narrow" w:hAnsi="Arial Narrow" w:cstheme="majorHAnsi"/>
          <w:lang w:val="en-US" w:eastAsia="en-GB"/>
        </w:rPr>
        <w:t xml:space="preserve">The study used </w:t>
      </w:r>
      <w:r w:rsidR="006A5127" w:rsidRPr="00AB3E42">
        <w:rPr>
          <w:rFonts w:ascii="Arial Narrow" w:hAnsi="Arial Narrow" w:cstheme="majorHAnsi"/>
          <w:lang w:val="en-US" w:eastAsia="en-GB"/>
        </w:rPr>
        <w:t xml:space="preserve">simple random </w:t>
      </w:r>
      <w:r w:rsidRPr="00AB3E42">
        <w:rPr>
          <w:rFonts w:ascii="Arial Narrow" w:hAnsi="Arial Narrow" w:cstheme="majorHAnsi"/>
          <w:lang w:val="en-US" w:eastAsia="en-GB"/>
        </w:rPr>
        <w:t xml:space="preserve">sampling </w:t>
      </w:r>
      <w:r w:rsidR="006A5127" w:rsidRPr="00AB3E42">
        <w:rPr>
          <w:rFonts w:ascii="Arial Narrow" w:hAnsi="Arial Narrow" w:cstheme="majorHAnsi"/>
          <w:lang w:val="en-US" w:eastAsia="en-GB"/>
        </w:rPr>
        <w:t xml:space="preserve">to select </w:t>
      </w:r>
      <w:r w:rsidRPr="00AB3E42">
        <w:rPr>
          <w:rFonts w:ascii="Arial Narrow" w:hAnsi="Arial Narrow" w:cstheme="majorHAnsi"/>
          <w:lang w:val="en-US" w:eastAsia="en-GB"/>
        </w:rPr>
        <w:t>household’s</w:t>
      </w:r>
      <w:r w:rsidR="006A5127" w:rsidRPr="00AB3E42">
        <w:rPr>
          <w:rFonts w:ascii="Arial Narrow" w:hAnsi="Arial Narrow" w:cstheme="majorHAnsi"/>
          <w:lang w:val="en-US" w:eastAsia="en-GB"/>
        </w:rPr>
        <w:t xml:space="preserve"> </w:t>
      </w:r>
      <w:r w:rsidRPr="00AB3E42">
        <w:rPr>
          <w:rFonts w:ascii="Arial Narrow" w:hAnsi="Arial Narrow" w:cstheme="majorHAnsi"/>
          <w:lang w:val="en-US" w:eastAsia="en-GB"/>
        </w:rPr>
        <w:t>food vendors</w:t>
      </w:r>
      <w:r w:rsidR="006A5127" w:rsidRPr="00AB3E42">
        <w:rPr>
          <w:rFonts w:ascii="Arial Narrow" w:hAnsi="Arial Narrow" w:cstheme="majorHAnsi"/>
          <w:lang w:val="en-US" w:eastAsia="en-GB"/>
        </w:rPr>
        <w:t xml:space="preserve"> to represent the entire population. </w:t>
      </w:r>
      <w:r w:rsidRPr="00AB3E42">
        <w:rPr>
          <w:rFonts w:ascii="Arial Narrow" w:hAnsi="Arial Narrow" w:cstheme="majorHAnsi"/>
          <w:lang w:val="en-US" w:eastAsia="en-GB"/>
        </w:rPr>
        <w:t>The population obtained from one location in Kalangalanga ward. The simple randomly were selected f</w:t>
      </w:r>
      <w:r w:rsidR="00C20B8A" w:rsidRPr="00AB3E42">
        <w:rPr>
          <w:rFonts w:ascii="Arial Narrow" w:hAnsi="Arial Narrow" w:cstheme="majorHAnsi"/>
          <w:lang w:val="en-US" w:eastAsia="en-GB"/>
        </w:rPr>
        <w:t xml:space="preserve">rom households and food vendors. </w:t>
      </w:r>
      <w:r w:rsidR="00C20B8A" w:rsidRPr="00AB3E42">
        <w:rPr>
          <w:rFonts w:ascii="Arial Narrow" w:hAnsi="Arial Narrow"/>
        </w:rPr>
        <w:t>This method ensured that each group had an equal chance of being chosen and reduced any bias in the selection process.</w:t>
      </w:r>
    </w:p>
    <w:p w14:paraId="5A0AC556" w14:textId="77777777" w:rsidR="00C20B8A" w:rsidRPr="00AB3E42" w:rsidRDefault="00C20B8A" w:rsidP="006A5127">
      <w:pPr>
        <w:jc w:val="both"/>
        <w:rPr>
          <w:rFonts w:ascii="Arial Narrow" w:hAnsi="Arial Narrow" w:cstheme="majorHAnsi"/>
          <w:lang w:val="en-US" w:eastAsia="en-GB"/>
        </w:rPr>
      </w:pPr>
    </w:p>
    <w:p w14:paraId="5777C249" w14:textId="0487BE10" w:rsidR="003F6A39" w:rsidRPr="00AB3E42" w:rsidRDefault="003940C2" w:rsidP="00C20B8A">
      <w:pPr>
        <w:spacing w:before="0"/>
        <w:jc w:val="both"/>
        <w:rPr>
          <w:rFonts w:ascii="Arial Narrow" w:hAnsi="Arial Narrow" w:cstheme="majorHAnsi"/>
          <w:lang w:val="en-US" w:eastAsia="en-GB"/>
        </w:rPr>
      </w:pPr>
      <w:r w:rsidRPr="00AB3E42">
        <w:rPr>
          <w:rFonts w:ascii="Arial Narrow" w:hAnsi="Arial Narrow" w:cstheme="majorHAnsi"/>
          <w:lang w:eastAsia="en-GB"/>
        </w:rPr>
        <w:t>The d</w:t>
      </w:r>
      <w:r w:rsidR="008B4D06" w:rsidRPr="00AB3E42">
        <w:rPr>
          <w:rFonts w:ascii="Arial Narrow" w:hAnsi="Arial Narrow" w:cstheme="majorHAnsi"/>
          <w:lang w:eastAsia="en-GB"/>
        </w:rPr>
        <w:t xml:space="preserve">ata </w:t>
      </w:r>
      <w:r w:rsidR="00636AF3" w:rsidRPr="00AB3E42">
        <w:rPr>
          <w:rFonts w:ascii="Arial Narrow" w:hAnsi="Arial Narrow" w:cstheme="majorHAnsi"/>
          <w:lang w:eastAsia="en-GB"/>
        </w:rPr>
        <w:t>wa</w:t>
      </w:r>
      <w:r w:rsidR="008B4D06" w:rsidRPr="00AB3E42">
        <w:rPr>
          <w:rFonts w:ascii="Arial Narrow" w:hAnsi="Arial Narrow" w:cstheme="majorHAnsi"/>
          <w:lang w:eastAsia="en-GB"/>
        </w:rPr>
        <w:t>s mai</w:t>
      </w:r>
      <w:r w:rsidRPr="00AB3E42">
        <w:rPr>
          <w:rFonts w:ascii="Arial Narrow" w:hAnsi="Arial Narrow" w:cstheme="majorHAnsi"/>
          <w:lang w:eastAsia="en-GB"/>
        </w:rPr>
        <w:t>n</w:t>
      </w:r>
      <w:r w:rsidR="008B4D06" w:rsidRPr="00AB3E42">
        <w:rPr>
          <w:rFonts w:ascii="Arial Narrow" w:hAnsi="Arial Narrow" w:cstheme="majorHAnsi"/>
          <w:lang w:eastAsia="en-GB"/>
        </w:rPr>
        <w:t xml:space="preserve">ly </w:t>
      </w:r>
      <w:r w:rsidRPr="00AB3E42">
        <w:rPr>
          <w:rFonts w:ascii="Arial Narrow" w:hAnsi="Arial Narrow" w:cstheme="majorHAnsi"/>
          <w:lang w:eastAsia="en-GB"/>
        </w:rPr>
        <w:t>ga</w:t>
      </w:r>
      <w:r w:rsidR="008B4D06" w:rsidRPr="00AB3E42">
        <w:rPr>
          <w:rFonts w:ascii="Arial Narrow" w:hAnsi="Arial Narrow" w:cstheme="majorHAnsi"/>
          <w:lang w:eastAsia="en-GB"/>
        </w:rPr>
        <w:t>t</w:t>
      </w:r>
      <w:r w:rsidRPr="00AB3E42">
        <w:rPr>
          <w:rFonts w:ascii="Arial Narrow" w:hAnsi="Arial Narrow" w:cstheme="majorHAnsi"/>
          <w:lang w:eastAsia="en-GB"/>
        </w:rPr>
        <w:t>her</w:t>
      </w:r>
      <w:r w:rsidR="008B4D06" w:rsidRPr="00AB3E42">
        <w:rPr>
          <w:rFonts w:ascii="Arial Narrow" w:hAnsi="Arial Narrow" w:cstheme="majorHAnsi"/>
          <w:lang w:eastAsia="en-GB"/>
        </w:rPr>
        <w:t>ed through a structured</w:t>
      </w:r>
      <w:r w:rsidR="006A5127" w:rsidRPr="00AB3E42">
        <w:rPr>
          <w:rFonts w:ascii="Arial Narrow" w:hAnsi="Arial Narrow" w:cstheme="majorHAnsi"/>
          <w:lang w:eastAsia="en-GB"/>
        </w:rPr>
        <w:t xml:space="preserve"> interview</w:t>
      </w:r>
      <w:r w:rsidRPr="00AB3E42">
        <w:rPr>
          <w:rFonts w:ascii="Arial Narrow" w:hAnsi="Arial Narrow" w:cstheme="majorHAnsi"/>
          <w:lang w:eastAsia="en-GB"/>
        </w:rPr>
        <w:t xml:space="preserve">. </w:t>
      </w:r>
      <w:r w:rsidR="006A5127" w:rsidRPr="00AB3E42">
        <w:rPr>
          <w:rFonts w:ascii="Arial Narrow" w:hAnsi="Arial Narrow" w:cstheme="majorHAnsi"/>
          <w:lang w:val="en-US" w:eastAsia="en-GB"/>
        </w:rPr>
        <w:t>Structured interviews were conducted with selected cooked food vendors and household respondents using structured questionnaires for quantitative data. The questionnaires included closed-ended questions that assessed demographic information, frequency of LPG usage, and cost implications. Semi-structured interviews were also conducted for qualitative data with key informants, including local government officials, LPG suppliers, and policymakers. Key informant interviews provided broader perspectives on market dynamics and poli</w:t>
      </w:r>
      <w:r w:rsidR="00C20B8A" w:rsidRPr="00AB3E42">
        <w:rPr>
          <w:rFonts w:ascii="Arial Narrow" w:hAnsi="Arial Narrow" w:cstheme="majorHAnsi"/>
          <w:lang w:val="en-US" w:eastAsia="en-GB"/>
        </w:rPr>
        <w:t>cy implications related to LPG.</w:t>
      </w:r>
    </w:p>
    <w:p w14:paraId="3D7ACD67" w14:textId="2C4CCC04" w:rsidR="006F099F" w:rsidRPr="00AB3E42" w:rsidRDefault="00F61141" w:rsidP="00424168">
      <w:pPr>
        <w:spacing w:before="0" w:after="0"/>
        <w:jc w:val="both"/>
        <w:rPr>
          <w:rFonts w:ascii="Arial Narrow" w:hAnsi="Arial Narrow" w:cstheme="majorHAnsi"/>
        </w:rPr>
      </w:pPr>
      <w:r w:rsidRPr="00AB3E42">
        <w:rPr>
          <w:rFonts w:ascii="Arial Narrow" w:hAnsi="Arial Narrow" w:cstheme="majorHAnsi"/>
        </w:rPr>
        <w:t>In t</w:t>
      </w:r>
      <w:r w:rsidR="006F099F" w:rsidRPr="00AB3E42">
        <w:rPr>
          <w:rFonts w:ascii="Arial Narrow" w:hAnsi="Arial Narrow" w:cstheme="majorHAnsi"/>
        </w:rPr>
        <w:t>his study</w:t>
      </w:r>
      <w:r w:rsidRPr="00AB3E42">
        <w:rPr>
          <w:rFonts w:ascii="Arial Narrow" w:hAnsi="Arial Narrow" w:cstheme="majorHAnsi"/>
        </w:rPr>
        <w:t>,</w:t>
      </w:r>
      <w:r w:rsidR="006F099F" w:rsidRPr="00AB3E42">
        <w:rPr>
          <w:rFonts w:ascii="Arial Narrow" w:hAnsi="Arial Narrow" w:cstheme="majorHAnsi"/>
        </w:rPr>
        <w:t xml:space="preserve"> </w:t>
      </w:r>
      <w:r w:rsidRPr="00AB3E42">
        <w:rPr>
          <w:rFonts w:ascii="Arial Narrow" w:hAnsi="Arial Narrow" w:cstheme="majorHAnsi"/>
        </w:rPr>
        <w:t>w</w:t>
      </w:r>
      <w:r w:rsidR="006F099F" w:rsidRPr="00AB3E42">
        <w:rPr>
          <w:rFonts w:ascii="Arial Narrow" w:hAnsi="Arial Narrow" w:cstheme="majorHAnsi"/>
        </w:rPr>
        <w:t>e</w:t>
      </w:r>
      <w:r w:rsidRPr="00AB3E42">
        <w:rPr>
          <w:rFonts w:ascii="Arial Narrow" w:hAnsi="Arial Narrow" w:cstheme="majorHAnsi"/>
        </w:rPr>
        <w:t xml:space="preserve"> us</w:t>
      </w:r>
      <w:r w:rsidR="006F099F" w:rsidRPr="00AB3E42">
        <w:rPr>
          <w:rFonts w:ascii="Arial Narrow" w:hAnsi="Arial Narrow" w:cstheme="majorHAnsi"/>
        </w:rPr>
        <w:t xml:space="preserve">ed the logistic </w:t>
      </w:r>
      <w:r w:rsidR="00C73318" w:rsidRPr="00AB3E42">
        <w:rPr>
          <w:rFonts w:ascii="Arial Narrow" w:hAnsi="Arial Narrow" w:cstheme="majorHAnsi"/>
        </w:rPr>
        <w:t>regression model</w:t>
      </w:r>
      <w:r w:rsidR="006F099F" w:rsidRPr="00AB3E42">
        <w:rPr>
          <w:rFonts w:ascii="Arial Narrow" w:hAnsi="Arial Narrow" w:cstheme="majorHAnsi"/>
        </w:rPr>
        <w:t xml:space="preserve"> to </w:t>
      </w:r>
      <w:r w:rsidR="0032098F" w:rsidRPr="00AB3E42">
        <w:rPr>
          <w:rFonts w:ascii="Arial Narrow" w:hAnsi="Arial Narrow" w:cstheme="majorHAnsi"/>
        </w:rPr>
        <w:t>analyse</w:t>
      </w:r>
      <w:r w:rsidR="006F099F" w:rsidRPr="00AB3E42">
        <w:rPr>
          <w:rFonts w:ascii="Arial Narrow" w:hAnsi="Arial Narrow" w:cstheme="majorHAnsi"/>
        </w:rPr>
        <w:t xml:space="preserve"> the factors </w:t>
      </w:r>
      <w:r w:rsidRPr="00AB3E42">
        <w:rPr>
          <w:rFonts w:ascii="Arial Narrow" w:hAnsi="Arial Narrow" w:cstheme="majorHAnsi"/>
        </w:rPr>
        <w:t xml:space="preserve">that </w:t>
      </w:r>
      <w:r w:rsidR="006F099F" w:rsidRPr="00AB3E42">
        <w:rPr>
          <w:rFonts w:ascii="Arial Narrow" w:hAnsi="Arial Narrow" w:cstheme="majorHAnsi"/>
        </w:rPr>
        <w:t>influenc</w:t>
      </w:r>
      <w:r w:rsidRPr="00AB3E42">
        <w:rPr>
          <w:rFonts w:ascii="Arial Narrow" w:hAnsi="Arial Narrow" w:cstheme="majorHAnsi"/>
        </w:rPr>
        <w:t xml:space="preserve">e the </w:t>
      </w:r>
      <w:r w:rsidR="00C73318" w:rsidRPr="00AB3E42">
        <w:rPr>
          <w:rFonts w:ascii="Arial Narrow" w:hAnsi="Arial Narrow" w:cstheme="majorHAnsi"/>
          <w:bCs/>
          <w:lang w:val="en-US"/>
        </w:rPr>
        <w:t>influencing the adoption of LPG in the study area</w:t>
      </w:r>
      <w:r w:rsidRPr="00AB3E42">
        <w:rPr>
          <w:rFonts w:ascii="Arial Narrow" w:hAnsi="Arial Narrow" w:cstheme="majorHAnsi"/>
        </w:rPr>
        <w:t>. W</w:t>
      </w:r>
      <w:r w:rsidR="006F099F" w:rsidRPr="00AB3E42">
        <w:rPr>
          <w:rFonts w:ascii="Arial Narrow" w:hAnsi="Arial Narrow" w:cstheme="majorHAnsi"/>
        </w:rPr>
        <w:t>e</w:t>
      </w:r>
      <w:r w:rsidRPr="00AB3E42">
        <w:rPr>
          <w:rFonts w:ascii="Arial Narrow" w:hAnsi="Arial Narrow" w:cstheme="majorHAnsi"/>
        </w:rPr>
        <w:t xml:space="preserve"> </w:t>
      </w:r>
      <w:r w:rsidR="006F099F" w:rsidRPr="00AB3E42">
        <w:rPr>
          <w:rFonts w:ascii="Arial Narrow" w:hAnsi="Arial Narrow" w:cstheme="majorHAnsi"/>
        </w:rPr>
        <w:t>c</w:t>
      </w:r>
      <w:r w:rsidRPr="00AB3E42">
        <w:rPr>
          <w:rFonts w:ascii="Arial Narrow" w:hAnsi="Arial Narrow" w:cstheme="majorHAnsi"/>
        </w:rPr>
        <w:t>h</w:t>
      </w:r>
      <w:r w:rsidR="006F099F" w:rsidRPr="00AB3E42">
        <w:rPr>
          <w:rFonts w:ascii="Arial Narrow" w:hAnsi="Arial Narrow" w:cstheme="majorHAnsi"/>
        </w:rPr>
        <w:t>o</w:t>
      </w:r>
      <w:r w:rsidRPr="00AB3E42">
        <w:rPr>
          <w:rFonts w:ascii="Arial Narrow" w:hAnsi="Arial Narrow" w:cstheme="majorHAnsi"/>
        </w:rPr>
        <w:t>se</w:t>
      </w:r>
      <w:r w:rsidR="006F099F" w:rsidRPr="00AB3E42">
        <w:rPr>
          <w:rFonts w:ascii="Arial Narrow" w:hAnsi="Arial Narrow" w:cstheme="majorHAnsi"/>
        </w:rPr>
        <w:t xml:space="preserve"> </w:t>
      </w:r>
      <w:r w:rsidRPr="00AB3E42">
        <w:rPr>
          <w:rFonts w:ascii="Arial Narrow" w:hAnsi="Arial Narrow" w:cstheme="majorHAnsi"/>
        </w:rPr>
        <w:t>t</w:t>
      </w:r>
      <w:r w:rsidR="006F099F" w:rsidRPr="00AB3E42">
        <w:rPr>
          <w:rFonts w:ascii="Arial Narrow" w:hAnsi="Arial Narrow" w:cstheme="majorHAnsi"/>
        </w:rPr>
        <w:t xml:space="preserve">his model </w:t>
      </w:r>
      <w:r w:rsidRPr="00AB3E42">
        <w:rPr>
          <w:rFonts w:ascii="Arial Narrow" w:hAnsi="Arial Narrow" w:cstheme="majorHAnsi"/>
        </w:rPr>
        <w:t>b</w:t>
      </w:r>
      <w:r w:rsidR="006F099F" w:rsidRPr="00AB3E42">
        <w:rPr>
          <w:rFonts w:ascii="Arial Narrow" w:hAnsi="Arial Narrow" w:cstheme="majorHAnsi"/>
        </w:rPr>
        <w:t>ecau</w:t>
      </w:r>
      <w:r w:rsidRPr="00AB3E42">
        <w:rPr>
          <w:rFonts w:ascii="Arial Narrow" w:hAnsi="Arial Narrow" w:cstheme="majorHAnsi"/>
        </w:rPr>
        <w:t>s</w:t>
      </w:r>
      <w:r w:rsidR="006F099F" w:rsidRPr="00AB3E42">
        <w:rPr>
          <w:rFonts w:ascii="Arial Narrow" w:hAnsi="Arial Narrow" w:cstheme="majorHAnsi"/>
        </w:rPr>
        <w:t xml:space="preserve">e the dependent variable involves </w:t>
      </w:r>
      <w:r w:rsidR="00C73318" w:rsidRPr="00AB3E42">
        <w:rPr>
          <w:rFonts w:ascii="Arial Narrow" w:hAnsi="Arial Narrow" w:cstheme="majorHAnsi"/>
        </w:rPr>
        <w:t xml:space="preserve">binary </w:t>
      </w:r>
      <w:r w:rsidR="003F6A39" w:rsidRPr="00AB3E42">
        <w:rPr>
          <w:rFonts w:ascii="Arial Narrow" w:hAnsi="Arial Narrow" w:cstheme="majorHAnsi"/>
        </w:rPr>
        <w:t xml:space="preserve">base on </w:t>
      </w:r>
      <w:r w:rsidR="003F6A39" w:rsidRPr="00AB3E42">
        <w:rPr>
          <w:rFonts w:ascii="Arial Narrow" w:hAnsi="Arial Narrow" w:cstheme="majorHAnsi"/>
          <w:lang w:val="en-US"/>
        </w:rPr>
        <w:t>adoption</w:t>
      </w:r>
      <w:r w:rsidR="00C73318" w:rsidRPr="00AB3E42">
        <w:rPr>
          <w:rFonts w:ascii="Arial Narrow" w:hAnsi="Arial Narrow" w:cstheme="majorHAnsi"/>
          <w:lang w:val="en-US"/>
        </w:rPr>
        <w:t xml:space="preserve"> status of LPG (1 = Adopted, 0 = Not adopted).</w:t>
      </w:r>
      <w:r w:rsidR="006F099F" w:rsidRPr="00AB3E42">
        <w:rPr>
          <w:rFonts w:ascii="Arial Narrow" w:hAnsi="Arial Narrow" w:cstheme="majorHAnsi"/>
        </w:rPr>
        <w:t xml:space="preserve"> </w:t>
      </w:r>
      <w:r w:rsidRPr="00AB3E42">
        <w:rPr>
          <w:rFonts w:ascii="Arial Narrow" w:hAnsi="Arial Narrow" w:cstheme="majorHAnsi"/>
        </w:rPr>
        <w:t>Since e</w:t>
      </w:r>
      <w:r w:rsidR="006F099F" w:rsidRPr="00AB3E42">
        <w:rPr>
          <w:rFonts w:ascii="Arial Narrow" w:hAnsi="Arial Narrow" w:cstheme="majorHAnsi"/>
        </w:rPr>
        <w:t xml:space="preserve">ach </w:t>
      </w:r>
      <w:r w:rsidR="003F6A39" w:rsidRPr="00AB3E42">
        <w:rPr>
          <w:rFonts w:ascii="Arial Narrow" w:hAnsi="Arial Narrow" w:cstheme="majorHAnsi"/>
        </w:rPr>
        <w:t>1 = represents adopted and 0 = represent Note adopted, the</w:t>
      </w:r>
      <w:r w:rsidR="006F099F" w:rsidRPr="00AB3E42">
        <w:rPr>
          <w:rFonts w:ascii="Arial Narrow" w:hAnsi="Arial Narrow" w:cstheme="majorHAnsi"/>
        </w:rPr>
        <w:t xml:space="preserve"> LR model </w:t>
      </w:r>
      <w:r w:rsidRPr="00AB3E42">
        <w:rPr>
          <w:rFonts w:ascii="Arial Narrow" w:hAnsi="Arial Narrow" w:cstheme="majorHAnsi"/>
        </w:rPr>
        <w:t xml:space="preserve">is </w:t>
      </w:r>
      <w:r w:rsidR="006F099F" w:rsidRPr="00AB3E42">
        <w:rPr>
          <w:rFonts w:ascii="Arial Narrow" w:hAnsi="Arial Narrow" w:cstheme="majorHAnsi"/>
        </w:rPr>
        <w:t>suitable for th</w:t>
      </w:r>
      <w:r w:rsidRPr="00AB3E42">
        <w:rPr>
          <w:rFonts w:ascii="Arial Narrow" w:hAnsi="Arial Narrow" w:cstheme="majorHAnsi"/>
        </w:rPr>
        <w:t>is</w:t>
      </w:r>
      <w:r w:rsidR="006F099F" w:rsidRPr="00AB3E42">
        <w:rPr>
          <w:rFonts w:ascii="Arial Narrow" w:hAnsi="Arial Narrow" w:cstheme="majorHAnsi"/>
        </w:rPr>
        <w:t xml:space="preserve"> analysis</w:t>
      </w:r>
      <w:r w:rsidRPr="00AB3E42">
        <w:rPr>
          <w:rFonts w:ascii="Arial Narrow" w:hAnsi="Arial Narrow" w:cstheme="majorHAnsi"/>
        </w:rPr>
        <w:t>.</w:t>
      </w:r>
    </w:p>
    <w:p w14:paraId="335B201E" w14:textId="77777777" w:rsidR="00C20B8A" w:rsidRPr="00AB3E42" w:rsidRDefault="00C20B8A" w:rsidP="003F6A39">
      <w:pPr>
        <w:spacing w:before="0" w:after="0"/>
        <w:jc w:val="both"/>
        <w:rPr>
          <w:rFonts w:ascii="Arial Narrow" w:hAnsi="Arial Narrow" w:cstheme="majorHAnsi"/>
          <w:b/>
          <w:bCs/>
        </w:rPr>
      </w:pPr>
    </w:p>
    <w:p w14:paraId="51D5BB4D" w14:textId="3BD9E6CD" w:rsidR="003F6A39" w:rsidRPr="00AB3E42" w:rsidRDefault="003F6A39" w:rsidP="003F6A39">
      <w:pPr>
        <w:spacing w:before="0" w:after="0"/>
        <w:jc w:val="both"/>
        <w:rPr>
          <w:rFonts w:ascii="Arial Narrow" w:hAnsi="Arial Narrow" w:cstheme="majorHAnsi"/>
          <w:b/>
          <w:bCs/>
        </w:rPr>
      </w:pPr>
      <w:r w:rsidRPr="00AB3E42">
        <w:rPr>
          <w:rFonts w:ascii="Arial Narrow" w:hAnsi="Arial Narrow" w:cstheme="majorHAnsi"/>
          <w:bCs/>
        </w:rPr>
        <w:t xml:space="preserve">The </w:t>
      </w:r>
      <w:r w:rsidR="00C20B8A" w:rsidRPr="00AB3E42">
        <w:rPr>
          <w:rFonts w:ascii="Arial Narrow" w:hAnsi="Arial Narrow" w:cstheme="majorHAnsi"/>
          <w:bCs/>
        </w:rPr>
        <w:t xml:space="preserve">study utilized </w:t>
      </w:r>
      <w:r w:rsidRPr="00AB3E42">
        <w:rPr>
          <w:rFonts w:ascii="Arial Narrow" w:hAnsi="Arial Narrow" w:cstheme="majorHAnsi"/>
          <w:bCs/>
        </w:rPr>
        <w:t xml:space="preserve">LR model to estimate the probability </w:t>
      </w:r>
      <w:r w:rsidR="0028568F" w:rsidRPr="00AB3E42">
        <w:rPr>
          <w:rFonts w:ascii="Arial Narrow" w:hAnsi="Arial Narrow" w:cstheme="majorHAnsi"/>
          <w:bCs/>
        </w:rPr>
        <w:t>of individual</w:t>
      </w:r>
      <w:r w:rsidRPr="00AB3E42">
        <w:rPr>
          <w:rFonts w:ascii="Arial Narrow" w:hAnsi="Arial Narrow" w:cstheme="majorHAnsi"/>
          <w:bCs/>
        </w:rPr>
        <w:t xml:space="preserve"> household to </w:t>
      </w:r>
      <w:r w:rsidR="0031352D" w:rsidRPr="00AB3E42">
        <w:rPr>
          <w:rFonts w:ascii="Arial Narrow" w:hAnsi="Arial Narrow" w:cstheme="majorHAnsi"/>
          <w:bCs/>
        </w:rPr>
        <w:t>adopt or Not</w:t>
      </w:r>
      <w:r w:rsidRPr="00AB3E42">
        <w:rPr>
          <w:rFonts w:ascii="Arial Narrow" w:hAnsi="Arial Narrow" w:cstheme="majorHAnsi"/>
          <w:bCs/>
        </w:rPr>
        <w:t xml:space="preserve"> </w:t>
      </w:r>
      <w:r w:rsidR="0031352D" w:rsidRPr="00AB3E42">
        <w:rPr>
          <w:rFonts w:ascii="Arial Narrow" w:hAnsi="Arial Narrow" w:cstheme="majorHAnsi"/>
          <w:bCs/>
        </w:rPr>
        <w:t xml:space="preserve">adopt LPG </w:t>
      </w:r>
      <w:r w:rsidR="0031352D" w:rsidRPr="00AB3E42">
        <w:rPr>
          <w:rFonts w:ascii="Arial Narrow" w:eastAsia="Calibri" w:hAnsi="Arial Narrow" w:cs="Times New Roman"/>
          <w:kern w:val="0"/>
          <w:lang w:val="en-US"/>
          <w14:ligatures w14:val="none"/>
        </w:rPr>
        <w:t>β</w:t>
      </w:r>
      <w:r w:rsidR="0031352D" w:rsidRPr="00AB3E42">
        <w:rPr>
          <w:rFonts w:ascii="Arial Narrow" w:hAnsi="Arial Narrow" w:cstheme="majorHAnsi"/>
          <w:bCs/>
        </w:rPr>
        <w:t xml:space="preserve"> relative</w:t>
      </w:r>
      <w:r w:rsidRPr="00AB3E42">
        <w:rPr>
          <w:rFonts w:ascii="Arial Narrow" w:hAnsi="Arial Narrow" w:cstheme="majorHAnsi"/>
          <w:bCs/>
        </w:rPr>
        <w:t xml:space="preserve"> to a reference category based on a set of explanatory variables. </w:t>
      </w:r>
    </w:p>
    <w:p w14:paraId="2EBCEBB9" w14:textId="77777777" w:rsidR="003F6A39" w:rsidRPr="00AB3E42" w:rsidRDefault="003F6A39" w:rsidP="00424168">
      <w:pPr>
        <w:spacing w:before="0" w:after="0"/>
        <w:jc w:val="both"/>
        <w:rPr>
          <w:rFonts w:ascii="Arial Narrow" w:hAnsi="Arial Narrow" w:cstheme="majorHAnsi"/>
          <w:b/>
          <w:bCs/>
        </w:rPr>
      </w:pPr>
    </w:p>
    <w:p w14:paraId="33FE4A0F" w14:textId="2AF5C446" w:rsidR="003F6A39" w:rsidRPr="00AB3E42" w:rsidRDefault="003F6A39" w:rsidP="003F6A39">
      <w:pPr>
        <w:spacing w:before="0" w:after="100" w:afterAutospacing="1"/>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Y=β0</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w:t>
      </w:r>
      <w:bookmarkStart w:id="2" w:name="_Hlk211076579"/>
      <w:r w:rsidRPr="00AB3E42">
        <w:rPr>
          <w:rFonts w:ascii="Arial Narrow" w:eastAsia="Calibri" w:hAnsi="Arial Narrow" w:cs="Times New Roman"/>
          <w:kern w:val="0"/>
          <w:lang w:val="en-US"/>
          <w14:ligatures w14:val="none"/>
        </w:rPr>
        <w:t>β</w:t>
      </w:r>
      <w:bookmarkEnd w:id="2"/>
      <w:r w:rsidRPr="00AB3E42">
        <w:rPr>
          <w:rFonts w:ascii="Arial Narrow" w:eastAsia="Calibri" w:hAnsi="Arial Narrow" w:cs="Times New Roman"/>
          <w:kern w:val="0"/>
          <w:lang w:val="en-US"/>
          <w14:ligatures w14:val="none"/>
        </w:rPr>
        <w:t>1</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X1</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+β2</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X2</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+β3</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X3</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+β4</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X4</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+β5</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X5</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+β6</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X6</w:t>
      </w:r>
      <w:r w:rsidRPr="00AB3E42">
        <w:rPr>
          <w:rFonts w:ascii="Arial" w:eastAsia="Calibri" w:hAnsi="Arial" w:cs="Arial"/>
          <w:kern w:val="0"/>
          <w:lang w:val="en-US"/>
          <w14:ligatures w14:val="none"/>
        </w:rPr>
        <w:t>​​</w:t>
      </w:r>
      <w:r w:rsidR="00C20B8A" w:rsidRPr="00AB3E42">
        <w:rPr>
          <w:rFonts w:ascii="Arial Narrow" w:eastAsia="Calibri" w:hAnsi="Arial Narrow" w:cs="Times New Roman"/>
          <w:kern w:val="0"/>
          <w:lang w:val="en-US"/>
          <w14:ligatures w14:val="none"/>
        </w:rPr>
        <w:t>+ε</w:t>
      </w:r>
    </w:p>
    <w:p w14:paraId="6B704A0A" w14:textId="77777777" w:rsidR="003F6A39" w:rsidRPr="00AB3E42" w:rsidRDefault="003F6A39" w:rsidP="003F6A39">
      <w:pPr>
        <w:spacing w:before="0" w:after="100" w:afterAutospacing="1"/>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Where:</w:t>
      </w:r>
    </w:p>
    <w:p w14:paraId="4DD54B6E" w14:textId="77777777" w:rsidR="003F6A39" w:rsidRPr="00AB3E42" w:rsidRDefault="003F6A39" w:rsidP="003F6A39">
      <w:pPr>
        <w:numPr>
          <w:ilvl w:val="0"/>
          <w:numId w:val="24"/>
        </w:numPr>
        <w:spacing w:before="0" w:after="100" w:afterAutospacing="1" w:line="259" w:lineRule="auto"/>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b/>
          <w:bCs/>
          <w:kern w:val="0"/>
          <w:lang w:val="en-US"/>
          <w14:ligatures w14:val="none"/>
        </w:rPr>
        <w:t>Y</w:t>
      </w:r>
      <w:r w:rsidRPr="00AB3E42">
        <w:rPr>
          <w:rFonts w:ascii="Arial Narrow" w:eastAsia="Times New Roman" w:hAnsi="Arial Narrow" w:cs="Times New Roman"/>
          <w:kern w:val="0"/>
          <w:lang w:val="en-US"/>
          <w14:ligatures w14:val="none"/>
        </w:rPr>
        <w:t xml:space="preserve"> = Adoption of LPG</w:t>
      </w:r>
    </w:p>
    <w:p w14:paraId="0ABBA716" w14:textId="77777777" w:rsidR="003F6A39" w:rsidRPr="00AB3E42" w:rsidRDefault="003F6A39" w:rsidP="003F6A39">
      <w:pPr>
        <w:numPr>
          <w:ilvl w:val="0"/>
          <w:numId w:val="24"/>
        </w:numPr>
        <w:spacing w:before="0" w:after="100" w:afterAutospacing="1" w:line="259" w:lineRule="auto"/>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b/>
          <w:bCs/>
          <w:kern w:val="0"/>
          <w:lang w:val="en-US"/>
          <w14:ligatures w14:val="none"/>
        </w:rPr>
        <w:t>β</w:t>
      </w:r>
      <w:r w:rsidRPr="00AB3E42">
        <w:rPr>
          <w:rFonts w:ascii="Cambria Math" w:eastAsia="Times New Roman" w:hAnsi="Cambria Math" w:cs="Cambria Math"/>
          <w:b/>
          <w:bCs/>
          <w:kern w:val="0"/>
          <w:lang w:val="en-US"/>
          <w14:ligatures w14:val="none"/>
        </w:rPr>
        <w:t>₀</w:t>
      </w:r>
      <w:r w:rsidRPr="00AB3E42">
        <w:rPr>
          <w:rFonts w:ascii="Arial Narrow" w:eastAsia="Times New Roman" w:hAnsi="Arial Narrow" w:cs="Times New Roman"/>
          <w:kern w:val="0"/>
          <w:lang w:val="en-US"/>
          <w14:ligatures w14:val="none"/>
        </w:rPr>
        <w:t xml:space="preserve"> = Constant (intercept)</w:t>
      </w:r>
    </w:p>
    <w:p w14:paraId="5C05AE96" w14:textId="77777777" w:rsidR="003F6A39" w:rsidRPr="00AB3E42" w:rsidRDefault="003F6A39" w:rsidP="003F6A39">
      <w:pPr>
        <w:numPr>
          <w:ilvl w:val="0"/>
          <w:numId w:val="24"/>
        </w:numPr>
        <w:spacing w:before="0" w:after="100" w:afterAutospacing="1" w:line="259" w:lineRule="auto"/>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b/>
          <w:bCs/>
          <w:kern w:val="0"/>
          <w:lang w:val="en-US"/>
          <w14:ligatures w14:val="none"/>
        </w:rPr>
        <w:t>β</w:t>
      </w:r>
      <w:r w:rsidRPr="00AB3E42">
        <w:rPr>
          <w:rFonts w:ascii="Cambria Math" w:eastAsia="Times New Roman" w:hAnsi="Cambria Math" w:cs="Cambria Math"/>
          <w:b/>
          <w:bCs/>
          <w:kern w:val="0"/>
          <w:lang w:val="en-US"/>
          <w14:ligatures w14:val="none"/>
        </w:rPr>
        <w:t>₁</w:t>
      </w:r>
      <w:r w:rsidRPr="00AB3E42">
        <w:rPr>
          <w:rFonts w:ascii="Arial Narrow" w:eastAsia="Times New Roman" w:hAnsi="Arial Narrow" w:cs="Times New Roman"/>
          <w:b/>
          <w:bCs/>
          <w:kern w:val="0"/>
          <w:lang w:val="en-US"/>
          <w14:ligatures w14:val="none"/>
        </w:rPr>
        <w:t xml:space="preserve"> to </w:t>
      </w:r>
      <w:r w:rsidRPr="00AB3E42">
        <w:rPr>
          <w:rFonts w:ascii="Arial Narrow" w:eastAsia="Times New Roman" w:hAnsi="Arial Narrow" w:cs="Arial Narrow"/>
          <w:b/>
          <w:bCs/>
          <w:kern w:val="0"/>
          <w:lang w:val="en-US"/>
          <w14:ligatures w14:val="none"/>
        </w:rPr>
        <w:t>β</w:t>
      </w:r>
      <w:r w:rsidRPr="00AB3E42">
        <w:rPr>
          <w:rFonts w:ascii="Arial Narrow" w:eastAsia="Times New Roman" w:hAnsi="Arial Narrow" w:cs="Times New Roman"/>
          <w:b/>
          <w:bCs/>
          <w:kern w:val="0"/>
          <w:vertAlign w:val="subscript"/>
          <w:lang w:val="en-US"/>
          <w14:ligatures w14:val="none"/>
        </w:rPr>
        <w:t>6</w:t>
      </w:r>
      <w:r w:rsidRPr="00AB3E42">
        <w:rPr>
          <w:rFonts w:ascii="Arial Narrow" w:eastAsia="Times New Roman" w:hAnsi="Arial Narrow" w:cs="Times New Roman"/>
          <w:kern w:val="0"/>
          <w:lang w:val="en-US"/>
          <w14:ligatures w14:val="none"/>
        </w:rPr>
        <w:t xml:space="preserve"> = Coefficients of the independent variables</w:t>
      </w:r>
    </w:p>
    <w:p w14:paraId="6107A827" w14:textId="77777777" w:rsidR="003F6A39" w:rsidRPr="00AB3E42" w:rsidRDefault="003F6A39" w:rsidP="003F6A39">
      <w:pPr>
        <w:numPr>
          <w:ilvl w:val="0"/>
          <w:numId w:val="24"/>
        </w:numPr>
        <w:spacing w:before="0" w:after="100" w:afterAutospacing="1" w:line="259" w:lineRule="auto"/>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b/>
          <w:bCs/>
          <w:kern w:val="0"/>
          <w:lang w:val="en-US"/>
          <w14:ligatures w14:val="none"/>
        </w:rPr>
        <w:t>ε</w:t>
      </w:r>
      <w:r w:rsidRPr="00AB3E42">
        <w:rPr>
          <w:rFonts w:ascii="Arial Narrow" w:eastAsia="Times New Roman" w:hAnsi="Arial Narrow" w:cs="Times New Roman"/>
          <w:kern w:val="0"/>
          <w:lang w:val="en-US"/>
          <w14:ligatures w14:val="none"/>
        </w:rPr>
        <w:t xml:space="preserve"> = Error term</w:t>
      </w:r>
    </w:p>
    <w:p w14:paraId="25F9C2E1" w14:textId="3FC9BFEC" w:rsidR="006706A6" w:rsidRPr="00AB3E42" w:rsidRDefault="00E7395F" w:rsidP="00C50ADE">
      <w:pPr>
        <w:spacing w:before="0" w:after="0"/>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This study a</w:t>
      </w:r>
      <w:r w:rsidR="006F099F" w:rsidRPr="00AB3E42">
        <w:rPr>
          <w:rFonts w:ascii="Arial Narrow" w:eastAsia="Times New Roman" w:hAnsi="Arial Narrow" w:cstheme="majorHAnsi"/>
          <w:kern w:val="0"/>
          <w:lang w:eastAsia="en-GB"/>
          <w14:ligatures w14:val="none"/>
        </w:rPr>
        <w:t>nalys</w:t>
      </w:r>
      <w:r w:rsidRPr="00AB3E42">
        <w:rPr>
          <w:rFonts w:ascii="Arial Narrow" w:eastAsia="Times New Roman" w:hAnsi="Arial Narrow" w:cstheme="majorHAnsi"/>
          <w:kern w:val="0"/>
          <w:lang w:eastAsia="en-GB"/>
          <w14:ligatures w14:val="none"/>
        </w:rPr>
        <w:t>e</w:t>
      </w:r>
      <w:r w:rsidR="00F000E2" w:rsidRPr="00AB3E42">
        <w:rPr>
          <w:rFonts w:ascii="Arial Narrow" w:eastAsia="Times New Roman" w:hAnsi="Arial Narrow" w:cstheme="majorHAnsi"/>
          <w:kern w:val="0"/>
          <w:lang w:eastAsia="en-GB"/>
          <w14:ligatures w14:val="none"/>
        </w:rPr>
        <w:t>s</w:t>
      </w:r>
      <w:r w:rsidR="006F099F" w:rsidRPr="00AB3E42">
        <w:rPr>
          <w:rFonts w:ascii="Arial Narrow" w:eastAsia="Times New Roman" w:hAnsi="Arial Narrow" w:cstheme="majorHAnsi"/>
          <w:kern w:val="0"/>
          <w:lang w:eastAsia="en-GB"/>
          <w14:ligatures w14:val="none"/>
        </w:rPr>
        <w:t xml:space="preserve"> how demographic</w:t>
      </w:r>
      <w:r w:rsidR="006706A6" w:rsidRPr="00AB3E42">
        <w:rPr>
          <w:rFonts w:ascii="Arial Narrow" w:eastAsia="Times New Roman" w:hAnsi="Arial Narrow" w:cstheme="majorHAnsi"/>
          <w:kern w:val="0"/>
          <w:lang w:eastAsia="en-GB"/>
          <w14:ligatures w14:val="none"/>
        </w:rPr>
        <w:t xml:space="preserve"> and social </w:t>
      </w:r>
      <w:r w:rsidR="006F099F" w:rsidRPr="00AB3E42">
        <w:rPr>
          <w:rFonts w:ascii="Arial Narrow" w:eastAsia="Times New Roman" w:hAnsi="Arial Narrow" w:cstheme="majorHAnsi"/>
          <w:kern w:val="0"/>
          <w:lang w:eastAsia="en-GB"/>
          <w14:ligatures w14:val="none"/>
        </w:rPr>
        <w:t xml:space="preserve">factors influence </w:t>
      </w:r>
      <w:r w:rsidR="006706A6" w:rsidRPr="00AB3E42">
        <w:rPr>
          <w:rFonts w:ascii="Arial Narrow" w:eastAsia="Times New Roman" w:hAnsi="Arial Narrow" w:cstheme="majorHAnsi"/>
          <w:kern w:val="0"/>
          <w:lang w:eastAsia="en-GB"/>
          <w14:ligatures w14:val="none"/>
        </w:rPr>
        <w:t xml:space="preserve">adoption of LPG among individual household in Geita Municipal specifically in  </w:t>
      </w:r>
      <w:r w:rsidR="006F099F" w:rsidRPr="00AB3E42">
        <w:rPr>
          <w:rFonts w:ascii="Arial Narrow" w:eastAsia="Times New Roman" w:hAnsi="Arial Narrow" w:cstheme="majorHAnsi"/>
          <w:kern w:val="0"/>
          <w:lang w:eastAsia="en-GB"/>
          <w14:ligatures w14:val="none"/>
        </w:rPr>
        <w:t xml:space="preserve"> </w:t>
      </w:r>
      <w:r w:rsidR="006706A6" w:rsidRPr="00AB3E42">
        <w:rPr>
          <w:rFonts w:ascii="Arial Narrow" w:eastAsia="Times New Roman" w:hAnsi="Arial Narrow" w:cstheme="majorHAnsi"/>
          <w:kern w:val="0"/>
          <w:lang w:val="en-US" w:eastAsia="en-GB"/>
          <w14:ligatures w14:val="none"/>
        </w:rPr>
        <w:t>Kalangalala Ward</w:t>
      </w:r>
      <w:r w:rsidR="006706A6" w:rsidRPr="00AB3E42">
        <w:rPr>
          <w:rFonts w:ascii="Arial Narrow" w:eastAsia="Times New Roman" w:hAnsi="Arial Narrow" w:cstheme="majorHAnsi"/>
          <w:kern w:val="0"/>
          <w:lang w:eastAsia="en-GB"/>
          <w14:ligatures w14:val="none"/>
        </w:rPr>
        <w:t xml:space="preserve"> </w:t>
      </w:r>
    </w:p>
    <w:p w14:paraId="6DF351B2" w14:textId="5759AAC9" w:rsidR="0006399A" w:rsidRPr="00AB3E42" w:rsidRDefault="006F099F" w:rsidP="00C50ADE">
      <w:pPr>
        <w:spacing w:before="0" w:after="0"/>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 xml:space="preserve">The variables in the study are specified </w:t>
      </w:r>
      <w:r w:rsidR="00E7395F" w:rsidRPr="00AB3E42">
        <w:rPr>
          <w:rFonts w:ascii="Arial Narrow" w:eastAsia="Times New Roman" w:hAnsi="Arial Narrow" w:cstheme="majorHAnsi"/>
          <w:kern w:val="0"/>
          <w:lang w:eastAsia="en-GB"/>
          <w14:ligatures w14:val="none"/>
        </w:rPr>
        <w:t>in T</w:t>
      </w:r>
      <w:r w:rsidRPr="00AB3E42">
        <w:rPr>
          <w:rFonts w:ascii="Arial Narrow" w:eastAsia="Times New Roman" w:hAnsi="Arial Narrow" w:cstheme="majorHAnsi"/>
          <w:kern w:val="0"/>
          <w:lang w:eastAsia="en-GB"/>
          <w14:ligatures w14:val="none"/>
        </w:rPr>
        <w:t>a</w:t>
      </w:r>
      <w:r w:rsidR="00E7395F" w:rsidRPr="00AB3E42">
        <w:rPr>
          <w:rFonts w:ascii="Arial Narrow" w:eastAsia="Times New Roman" w:hAnsi="Arial Narrow" w:cstheme="majorHAnsi"/>
          <w:kern w:val="0"/>
          <w:lang w:eastAsia="en-GB"/>
          <w14:ligatures w14:val="none"/>
        </w:rPr>
        <w:t>ble</w:t>
      </w:r>
      <w:r w:rsidRPr="00AB3E42">
        <w:rPr>
          <w:rFonts w:ascii="Arial Narrow" w:eastAsia="Times New Roman" w:hAnsi="Arial Narrow" w:cstheme="majorHAnsi"/>
          <w:kern w:val="0"/>
          <w:lang w:eastAsia="en-GB"/>
          <w14:ligatures w14:val="none"/>
        </w:rPr>
        <w:t xml:space="preserve"> </w:t>
      </w:r>
      <w:r w:rsidR="00E7395F" w:rsidRPr="00AB3E42">
        <w:rPr>
          <w:rFonts w:ascii="Arial Narrow" w:eastAsia="Times New Roman" w:hAnsi="Arial Narrow" w:cstheme="majorHAnsi"/>
          <w:kern w:val="0"/>
          <w:lang w:eastAsia="en-GB"/>
          <w14:ligatures w14:val="none"/>
        </w:rPr>
        <w:t>2</w:t>
      </w:r>
      <w:r w:rsidRPr="00AB3E42">
        <w:rPr>
          <w:rFonts w:ascii="Arial Narrow" w:eastAsia="Times New Roman" w:hAnsi="Arial Narrow" w:cstheme="majorHAnsi"/>
          <w:kern w:val="0"/>
          <w:lang w:eastAsia="en-GB"/>
          <w14:ligatures w14:val="none"/>
        </w:rPr>
        <w:t>:</w:t>
      </w:r>
    </w:p>
    <w:p w14:paraId="43F7AEE7" w14:textId="46D6F6E0" w:rsidR="00A45C92" w:rsidRPr="00AB3E42" w:rsidRDefault="00A45C92" w:rsidP="00A45C92">
      <w:pPr>
        <w:spacing w:before="0" w:after="0"/>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 xml:space="preserve">Table 2: Summary of Variables and Their Descriptions for </w:t>
      </w:r>
      <w:r w:rsidR="006706A6" w:rsidRPr="00AB3E42">
        <w:rPr>
          <w:rFonts w:ascii="Arial Narrow" w:eastAsia="Times New Roman" w:hAnsi="Arial Narrow" w:cstheme="majorHAnsi"/>
          <w:kern w:val="0"/>
          <w:lang w:eastAsia="en-GB"/>
          <w14:ligatures w14:val="none"/>
        </w:rPr>
        <w:t>Adoption of LPG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644"/>
        <w:gridCol w:w="2626"/>
        <w:gridCol w:w="1389"/>
        <w:gridCol w:w="3190"/>
      </w:tblGrid>
      <w:tr w:rsidR="003B0422" w:rsidRPr="00AB3E42" w14:paraId="01444A3F" w14:textId="77777777" w:rsidTr="00C53C88">
        <w:trPr>
          <w:tblHeader/>
        </w:trPr>
        <w:tc>
          <w:tcPr>
            <w:tcW w:w="273" w:type="pct"/>
            <w:tcBorders>
              <w:top w:val="single" w:sz="4" w:space="0" w:color="auto"/>
              <w:bottom w:val="single" w:sz="4" w:space="0" w:color="auto"/>
            </w:tcBorders>
            <w:vAlign w:val="center"/>
          </w:tcPr>
          <w:p w14:paraId="0F1BE3C4" w14:textId="77777777" w:rsidR="00BC034C" w:rsidRPr="00AB3E42" w:rsidRDefault="00BC034C" w:rsidP="00A220FA">
            <w:pPr>
              <w:jc w:val="both"/>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SN</w:t>
            </w:r>
          </w:p>
        </w:tc>
        <w:tc>
          <w:tcPr>
            <w:tcW w:w="878" w:type="pct"/>
            <w:tcBorders>
              <w:top w:val="single" w:sz="4" w:space="0" w:color="auto"/>
              <w:bottom w:val="single" w:sz="4" w:space="0" w:color="auto"/>
            </w:tcBorders>
            <w:vAlign w:val="center"/>
          </w:tcPr>
          <w:p w14:paraId="3BFD8974" w14:textId="77777777" w:rsidR="00BC034C" w:rsidRPr="00AB3E42" w:rsidRDefault="00BC034C" w:rsidP="00A220FA">
            <w:pPr>
              <w:jc w:val="left"/>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Variable Name</w:t>
            </w:r>
          </w:p>
        </w:tc>
        <w:tc>
          <w:tcPr>
            <w:tcW w:w="1403" w:type="pct"/>
            <w:tcBorders>
              <w:top w:val="single" w:sz="4" w:space="0" w:color="auto"/>
              <w:bottom w:val="single" w:sz="4" w:space="0" w:color="auto"/>
            </w:tcBorders>
            <w:vAlign w:val="center"/>
          </w:tcPr>
          <w:p w14:paraId="088F0A46" w14:textId="77777777" w:rsidR="00BC034C" w:rsidRPr="00AB3E42" w:rsidRDefault="00BC034C" w:rsidP="00A220FA">
            <w:pPr>
              <w:jc w:val="both"/>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Description</w:t>
            </w:r>
          </w:p>
        </w:tc>
        <w:tc>
          <w:tcPr>
            <w:tcW w:w="742" w:type="pct"/>
            <w:tcBorders>
              <w:top w:val="single" w:sz="4" w:space="0" w:color="auto"/>
              <w:bottom w:val="single" w:sz="4" w:space="0" w:color="auto"/>
            </w:tcBorders>
            <w:vAlign w:val="center"/>
          </w:tcPr>
          <w:p w14:paraId="7289DED1" w14:textId="77777777" w:rsidR="00BC034C" w:rsidRPr="00AB3E42" w:rsidRDefault="00BC034C" w:rsidP="00A220FA">
            <w:pPr>
              <w:jc w:val="both"/>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Type</w:t>
            </w:r>
          </w:p>
        </w:tc>
        <w:tc>
          <w:tcPr>
            <w:tcW w:w="1704" w:type="pct"/>
            <w:tcBorders>
              <w:top w:val="single" w:sz="4" w:space="0" w:color="auto"/>
              <w:bottom w:val="single" w:sz="4" w:space="0" w:color="auto"/>
            </w:tcBorders>
            <w:vAlign w:val="center"/>
          </w:tcPr>
          <w:p w14:paraId="2E35EB64" w14:textId="77777777" w:rsidR="00BC034C" w:rsidRPr="00AB3E42" w:rsidRDefault="00BC034C" w:rsidP="00A220FA">
            <w:pPr>
              <w:jc w:val="both"/>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Expected Influence</w:t>
            </w:r>
          </w:p>
        </w:tc>
      </w:tr>
      <w:tr w:rsidR="003B0422" w:rsidRPr="00AB3E42" w14:paraId="68757D02" w14:textId="77777777" w:rsidTr="00C53C88">
        <w:tc>
          <w:tcPr>
            <w:tcW w:w="273" w:type="pct"/>
            <w:tcBorders>
              <w:top w:val="single" w:sz="4" w:space="0" w:color="auto"/>
              <w:bottom w:val="single" w:sz="4" w:space="0" w:color="auto"/>
            </w:tcBorders>
            <w:vAlign w:val="center"/>
          </w:tcPr>
          <w:p w14:paraId="33E103AB"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1</w:t>
            </w:r>
          </w:p>
        </w:tc>
        <w:tc>
          <w:tcPr>
            <w:tcW w:w="878" w:type="pct"/>
            <w:tcBorders>
              <w:top w:val="single" w:sz="4" w:space="0" w:color="auto"/>
              <w:bottom w:val="single" w:sz="4" w:space="0" w:color="auto"/>
            </w:tcBorders>
            <w:vAlign w:val="center"/>
          </w:tcPr>
          <w:p w14:paraId="5A56741D" w14:textId="61B78436"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Adoption status</w:t>
            </w:r>
          </w:p>
        </w:tc>
        <w:tc>
          <w:tcPr>
            <w:tcW w:w="1403" w:type="pct"/>
            <w:tcBorders>
              <w:top w:val="single" w:sz="4" w:space="0" w:color="auto"/>
              <w:bottom w:val="single" w:sz="4" w:space="0" w:color="auto"/>
            </w:tcBorders>
            <w:vAlign w:val="center"/>
          </w:tcPr>
          <w:p w14:paraId="41B15C55" w14:textId="07D1732E" w:rsidR="00BC034C" w:rsidRPr="00AB3E42" w:rsidRDefault="00BC034C"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 xml:space="preserve">Dependent variable indicating </w:t>
            </w:r>
            <w:r w:rsidR="006706A6" w:rsidRPr="00AB3E42">
              <w:rPr>
                <w:rFonts w:ascii="Arial Narrow" w:eastAsia="Times New Roman" w:hAnsi="Arial Narrow" w:cstheme="majorHAnsi"/>
                <w:kern w:val="0"/>
                <w:lang w:val="en-US" w:eastAsia="en-GB"/>
                <w14:ligatures w14:val="none"/>
              </w:rPr>
              <w:t>(1 = Adopted, 0 = Not adopted)</w:t>
            </w:r>
          </w:p>
        </w:tc>
        <w:tc>
          <w:tcPr>
            <w:tcW w:w="742" w:type="pct"/>
            <w:tcBorders>
              <w:top w:val="single" w:sz="4" w:space="0" w:color="auto"/>
              <w:bottom w:val="single" w:sz="4" w:space="0" w:color="auto"/>
            </w:tcBorders>
            <w:vAlign w:val="center"/>
          </w:tcPr>
          <w:p w14:paraId="4C2FF84D"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Categorical</w:t>
            </w:r>
          </w:p>
        </w:tc>
        <w:tc>
          <w:tcPr>
            <w:tcW w:w="1704" w:type="pct"/>
            <w:tcBorders>
              <w:top w:val="single" w:sz="4" w:space="0" w:color="auto"/>
              <w:bottom w:val="single" w:sz="4" w:space="0" w:color="auto"/>
            </w:tcBorders>
            <w:vAlign w:val="center"/>
          </w:tcPr>
          <w:p w14:paraId="6755907D"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N/A</w:t>
            </w:r>
          </w:p>
        </w:tc>
      </w:tr>
      <w:tr w:rsidR="003B0422" w:rsidRPr="00AB3E42" w14:paraId="11EB73B2" w14:textId="77777777" w:rsidTr="00C53C88">
        <w:tc>
          <w:tcPr>
            <w:tcW w:w="273" w:type="pct"/>
            <w:tcBorders>
              <w:top w:val="single" w:sz="4" w:space="0" w:color="auto"/>
              <w:bottom w:val="single" w:sz="4" w:space="0" w:color="auto"/>
            </w:tcBorders>
            <w:vAlign w:val="center"/>
          </w:tcPr>
          <w:p w14:paraId="7E499E9F"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2</w:t>
            </w:r>
          </w:p>
        </w:tc>
        <w:tc>
          <w:tcPr>
            <w:tcW w:w="878" w:type="pct"/>
            <w:tcBorders>
              <w:top w:val="single" w:sz="4" w:space="0" w:color="auto"/>
              <w:bottom w:val="single" w:sz="4" w:space="0" w:color="auto"/>
            </w:tcBorders>
            <w:vAlign w:val="center"/>
          </w:tcPr>
          <w:p w14:paraId="6957455A" w14:textId="63FA0DC6"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Household income</w:t>
            </w:r>
          </w:p>
        </w:tc>
        <w:tc>
          <w:tcPr>
            <w:tcW w:w="1403" w:type="pct"/>
            <w:tcBorders>
              <w:top w:val="single" w:sz="4" w:space="0" w:color="auto"/>
              <w:bottom w:val="single" w:sz="4" w:space="0" w:color="auto"/>
            </w:tcBorders>
            <w:vAlign w:val="center"/>
          </w:tcPr>
          <w:p w14:paraId="540C76D2" w14:textId="48CDE360"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1 = High income, 0 = Low income</w:t>
            </w:r>
          </w:p>
        </w:tc>
        <w:tc>
          <w:tcPr>
            <w:tcW w:w="742" w:type="pct"/>
            <w:tcBorders>
              <w:top w:val="single" w:sz="4" w:space="0" w:color="auto"/>
              <w:bottom w:val="single" w:sz="4" w:space="0" w:color="auto"/>
            </w:tcBorders>
            <w:vAlign w:val="center"/>
          </w:tcPr>
          <w:p w14:paraId="7D372A0E" w14:textId="3742D98B"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48555E23" w14:textId="77777777" w:rsidR="00BC034C" w:rsidRPr="00AB3E42" w:rsidRDefault="00BC034C"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Larger groups may have more bargaining power and better access to markets</w:t>
            </w:r>
          </w:p>
        </w:tc>
      </w:tr>
      <w:tr w:rsidR="003B0422" w:rsidRPr="00AB3E42" w14:paraId="351C141B" w14:textId="77777777" w:rsidTr="00EF059A">
        <w:tc>
          <w:tcPr>
            <w:tcW w:w="273" w:type="pct"/>
            <w:tcBorders>
              <w:top w:val="single" w:sz="4" w:space="0" w:color="auto"/>
              <w:bottom w:val="single" w:sz="4" w:space="0" w:color="auto"/>
            </w:tcBorders>
            <w:vAlign w:val="center"/>
          </w:tcPr>
          <w:p w14:paraId="10C225A5"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lastRenderedPageBreak/>
              <w:t>3</w:t>
            </w:r>
          </w:p>
        </w:tc>
        <w:tc>
          <w:tcPr>
            <w:tcW w:w="878" w:type="pct"/>
            <w:tcBorders>
              <w:top w:val="single" w:sz="4" w:space="0" w:color="auto"/>
              <w:bottom w:val="single" w:sz="4" w:space="0" w:color="auto"/>
            </w:tcBorders>
            <w:vAlign w:val="center"/>
          </w:tcPr>
          <w:p w14:paraId="032AE457" w14:textId="2E3AF0D6"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Education level</w:t>
            </w:r>
          </w:p>
        </w:tc>
        <w:tc>
          <w:tcPr>
            <w:tcW w:w="1403" w:type="pct"/>
            <w:tcBorders>
              <w:top w:val="single" w:sz="4" w:space="0" w:color="auto"/>
              <w:bottom w:val="single" w:sz="4" w:space="0" w:color="auto"/>
            </w:tcBorders>
            <w:vAlign w:val="center"/>
          </w:tcPr>
          <w:p w14:paraId="1F869654" w14:textId="14CC25BC"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1 = Secondary or higher, 0 = Primary or none</w:t>
            </w:r>
          </w:p>
        </w:tc>
        <w:tc>
          <w:tcPr>
            <w:tcW w:w="742" w:type="pct"/>
            <w:tcBorders>
              <w:top w:val="single" w:sz="4" w:space="0" w:color="auto"/>
              <w:bottom w:val="single" w:sz="4" w:space="0" w:color="auto"/>
            </w:tcBorders>
            <w:vAlign w:val="center"/>
          </w:tcPr>
          <w:p w14:paraId="0941DB41" w14:textId="36A90D33"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3E8502B6"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Longer distances may reduce the likelihood of selecting certain outlets</w:t>
            </w:r>
          </w:p>
        </w:tc>
      </w:tr>
      <w:tr w:rsidR="003B0422" w:rsidRPr="00AB3E42" w14:paraId="4566FC8C" w14:textId="77777777" w:rsidTr="00EF059A">
        <w:tc>
          <w:tcPr>
            <w:tcW w:w="273" w:type="pct"/>
            <w:tcBorders>
              <w:top w:val="single" w:sz="4" w:space="0" w:color="auto"/>
              <w:bottom w:val="single" w:sz="4" w:space="0" w:color="auto"/>
            </w:tcBorders>
            <w:vAlign w:val="center"/>
          </w:tcPr>
          <w:p w14:paraId="113C2B26"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4</w:t>
            </w:r>
          </w:p>
        </w:tc>
        <w:tc>
          <w:tcPr>
            <w:tcW w:w="878" w:type="pct"/>
            <w:tcBorders>
              <w:top w:val="single" w:sz="4" w:space="0" w:color="auto"/>
              <w:bottom w:val="single" w:sz="4" w:space="0" w:color="auto"/>
            </w:tcBorders>
            <w:vAlign w:val="center"/>
          </w:tcPr>
          <w:p w14:paraId="4C501464" w14:textId="44009D11"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Availability of LPG suppliers</w:t>
            </w:r>
          </w:p>
        </w:tc>
        <w:tc>
          <w:tcPr>
            <w:tcW w:w="1403" w:type="pct"/>
            <w:tcBorders>
              <w:top w:val="single" w:sz="4" w:space="0" w:color="auto"/>
              <w:bottom w:val="single" w:sz="4" w:space="0" w:color="auto"/>
            </w:tcBorders>
            <w:vAlign w:val="center"/>
          </w:tcPr>
          <w:p w14:paraId="372B1406" w14:textId="5E3D156E"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1 = Available, 0 = Not available</w:t>
            </w:r>
          </w:p>
        </w:tc>
        <w:tc>
          <w:tcPr>
            <w:tcW w:w="742" w:type="pct"/>
            <w:tcBorders>
              <w:top w:val="single" w:sz="4" w:space="0" w:color="auto"/>
              <w:bottom w:val="single" w:sz="4" w:space="0" w:color="auto"/>
            </w:tcBorders>
            <w:vAlign w:val="center"/>
          </w:tcPr>
          <w:p w14:paraId="0AABFFE7"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0384EC9B" w14:textId="28547547" w:rsidR="00BC034C" w:rsidRPr="00AB3E42" w:rsidRDefault="00BC034C"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Groups with access to information are likelier to make informed and optimal market outlet choices.</w:t>
            </w:r>
          </w:p>
        </w:tc>
      </w:tr>
      <w:tr w:rsidR="003B0422" w:rsidRPr="00AB3E42" w14:paraId="0EF1908E" w14:textId="77777777" w:rsidTr="00EF059A">
        <w:tc>
          <w:tcPr>
            <w:tcW w:w="273" w:type="pct"/>
            <w:tcBorders>
              <w:top w:val="single" w:sz="4" w:space="0" w:color="auto"/>
              <w:bottom w:val="single" w:sz="4" w:space="0" w:color="auto"/>
            </w:tcBorders>
            <w:vAlign w:val="center"/>
          </w:tcPr>
          <w:p w14:paraId="1AF3547D"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5</w:t>
            </w:r>
          </w:p>
        </w:tc>
        <w:tc>
          <w:tcPr>
            <w:tcW w:w="878" w:type="pct"/>
            <w:tcBorders>
              <w:top w:val="single" w:sz="4" w:space="0" w:color="auto"/>
              <w:bottom w:val="single" w:sz="4" w:space="0" w:color="auto"/>
            </w:tcBorders>
            <w:vAlign w:val="center"/>
          </w:tcPr>
          <w:p w14:paraId="03FCF9C9" w14:textId="21462CF3"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Proximity to LPG station</w:t>
            </w:r>
          </w:p>
        </w:tc>
        <w:tc>
          <w:tcPr>
            <w:tcW w:w="1403" w:type="pct"/>
            <w:tcBorders>
              <w:top w:val="single" w:sz="4" w:space="0" w:color="auto"/>
              <w:bottom w:val="single" w:sz="4" w:space="0" w:color="auto"/>
            </w:tcBorders>
            <w:vAlign w:val="center"/>
          </w:tcPr>
          <w:p w14:paraId="1B07343E" w14:textId="042645C9"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imes New Roman"/>
                <w:kern w:val="0"/>
                <w:lang w:val="en-US"/>
                <w14:ligatures w14:val="none"/>
              </w:rPr>
              <w:t>1 = Near, 0 = Far</w:t>
            </w:r>
          </w:p>
        </w:tc>
        <w:tc>
          <w:tcPr>
            <w:tcW w:w="742" w:type="pct"/>
            <w:tcBorders>
              <w:top w:val="single" w:sz="4" w:space="0" w:color="auto"/>
              <w:bottom w:val="single" w:sz="4" w:space="0" w:color="auto"/>
            </w:tcBorders>
            <w:vAlign w:val="center"/>
          </w:tcPr>
          <w:p w14:paraId="7E6BE60B" w14:textId="241E1D2E"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0C6524B1" w14:textId="02368005"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Larger production volumes may lead to preferences for larger, formal market outlets like wholesalers.</w:t>
            </w:r>
          </w:p>
        </w:tc>
      </w:tr>
      <w:tr w:rsidR="003B0422" w:rsidRPr="00AB3E42" w14:paraId="584643F0" w14:textId="77777777" w:rsidTr="00EF059A">
        <w:tc>
          <w:tcPr>
            <w:tcW w:w="273" w:type="pct"/>
            <w:tcBorders>
              <w:top w:val="single" w:sz="4" w:space="0" w:color="auto"/>
              <w:bottom w:val="single" w:sz="4" w:space="0" w:color="auto"/>
            </w:tcBorders>
            <w:vAlign w:val="center"/>
          </w:tcPr>
          <w:p w14:paraId="3E356100" w14:textId="0B6A64D5"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6</w:t>
            </w:r>
          </w:p>
        </w:tc>
        <w:tc>
          <w:tcPr>
            <w:tcW w:w="878" w:type="pct"/>
            <w:tcBorders>
              <w:top w:val="single" w:sz="4" w:space="0" w:color="auto"/>
              <w:bottom w:val="single" w:sz="4" w:space="0" w:color="auto"/>
            </w:tcBorders>
            <w:vAlign w:val="center"/>
          </w:tcPr>
          <w:p w14:paraId="20D70455" w14:textId="200444C9"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Attitudes to LPG usage</w:t>
            </w:r>
          </w:p>
        </w:tc>
        <w:tc>
          <w:tcPr>
            <w:tcW w:w="1403" w:type="pct"/>
            <w:tcBorders>
              <w:top w:val="single" w:sz="4" w:space="0" w:color="auto"/>
              <w:bottom w:val="single" w:sz="4" w:space="0" w:color="auto"/>
            </w:tcBorders>
            <w:vAlign w:val="center"/>
          </w:tcPr>
          <w:p w14:paraId="73CE07B8" w14:textId="7CC4128D"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1 = Positive, 0 = Negative</w:t>
            </w:r>
          </w:p>
        </w:tc>
        <w:tc>
          <w:tcPr>
            <w:tcW w:w="742" w:type="pct"/>
            <w:tcBorders>
              <w:top w:val="single" w:sz="4" w:space="0" w:color="auto"/>
              <w:bottom w:val="single" w:sz="4" w:space="0" w:color="auto"/>
            </w:tcBorders>
            <w:vAlign w:val="center"/>
          </w:tcPr>
          <w:p w14:paraId="420B0BB0" w14:textId="6C1A86F7"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3CCC43DE" w14:textId="5DD139E7" w:rsidR="00BC034C" w:rsidRPr="00AB3E42" w:rsidRDefault="000406D3"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Having</w:t>
            </w:r>
            <w:r w:rsidR="00BC034C" w:rsidRPr="00AB3E42">
              <w:rPr>
                <w:rFonts w:ascii="Arial Narrow" w:eastAsia="Times New Roman" w:hAnsi="Arial Narrow" w:cstheme="majorHAnsi"/>
                <w:kern w:val="0"/>
                <w:lang w:eastAsia="en-GB"/>
                <w14:ligatures w14:val="none"/>
              </w:rPr>
              <w:t xml:space="preserve"> market experience may lead to better-informed market outlet choices</w:t>
            </w:r>
            <w:r w:rsidR="00F000E2" w:rsidRPr="00AB3E42">
              <w:rPr>
                <w:rFonts w:ascii="Arial Narrow" w:eastAsia="Times New Roman" w:hAnsi="Arial Narrow" w:cstheme="majorHAnsi"/>
                <w:kern w:val="0"/>
                <w:lang w:eastAsia="en-GB"/>
                <w14:ligatures w14:val="none"/>
              </w:rPr>
              <w:t>.</w:t>
            </w:r>
          </w:p>
        </w:tc>
      </w:tr>
      <w:tr w:rsidR="003B0422" w:rsidRPr="00AB3E42" w14:paraId="752E3D3B" w14:textId="77777777" w:rsidTr="00EF059A">
        <w:tc>
          <w:tcPr>
            <w:tcW w:w="273" w:type="pct"/>
            <w:tcBorders>
              <w:top w:val="single" w:sz="4" w:space="0" w:color="auto"/>
              <w:bottom w:val="single" w:sz="4" w:space="0" w:color="auto"/>
            </w:tcBorders>
            <w:vAlign w:val="center"/>
          </w:tcPr>
          <w:p w14:paraId="610B1D86" w14:textId="387E49DE"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7</w:t>
            </w:r>
          </w:p>
        </w:tc>
        <w:tc>
          <w:tcPr>
            <w:tcW w:w="878" w:type="pct"/>
            <w:tcBorders>
              <w:top w:val="single" w:sz="4" w:space="0" w:color="auto"/>
              <w:bottom w:val="single" w:sz="4" w:space="0" w:color="auto"/>
            </w:tcBorders>
            <w:vAlign w:val="center"/>
          </w:tcPr>
          <w:p w14:paraId="02789340" w14:textId="5485D0F4"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Awareness of LPG benefits</w:t>
            </w:r>
          </w:p>
        </w:tc>
        <w:tc>
          <w:tcPr>
            <w:tcW w:w="1403" w:type="pct"/>
            <w:tcBorders>
              <w:top w:val="single" w:sz="4" w:space="0" w:color="auto"/>
              <w:bottom w:val="single" w:sz="4" w:space="0" w:color="auto"/>
            </w:tcBorders>
            <w:vAlign w:val="center"/>
          </w:tcPr>
          <w:p w14:paraId="66B5A223" w14:textId="04D2105A"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1 = Aware, 0 = Unaware</w:t>
            </w:r>
          </w:p>
        </w:tc>
        <w:tc>
          <w:tcPr>
            <w:tcW w:w="742" w:type="pct"/>
            <w:tcBorders>
              <w:top w:val="single" w:sz="4" w:space="0" w:color="auto"/>
              <w:bottom w:val="single" w:sz="4" w:space="0" w:color="auto"/>
            </w:tcBorders>
            <w:vAlign w:val="center"/>
          </w:tcPr>
          <w:p w14:paraId="611A1925" w14:textId="2414CA9A"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414377A8" w14:textId="3BB71693"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 xml:space="preserve">A more educated leader may have better access to information and decision-making capabilities, </w:t>
            </w:r>
            <w:r w:rsidR="00C56D33" w:rsidRPr="00AB3E42">
              <w:rPr>
                <w:rFonts w:ascii="Arial Narrow" w:eastAsia="Times New Roman" w:hAnsi="Arial Narrow" w:cstheme="majorHAnsi"/>
                <w:kern w:val="0"/>
                <w:lang w:eastAsia="en-GB"/>
                <w14:ligatures w14:val="none"/>
              </w:rPr>
              <w:t xml:space="preserve">which can </w:t>
            </w:r>
            <w:r w:rsidRPr="00AB3E42">
              <w:rPr>
                <w:rFonts w:ascii="Arial Narrow" w:eastAsia="Times New Roman" w:hAnsi="Arial Narrow" w:cstheme="majorHAnsi"/>
                <w:kern w:val="0"/>
                <w:lang w:eastAsia="en-GB"/>
                <w14:ligatures w14:val="none"/>
              </w:rPr>
              <w:t>influenc</w:t>
            </w:r>
            <w:r w:rsidR="00C56D33" w:rsidRPr="00AB3E42">
              <w:rPr>
                <w:rFonts w:ascii="Arial Narrow" w:eastAsia="Times New Roman" w:hAnsi="Arial Narrow" w:cstheme="majorHAnsi"/>
                <w:kern w:val="0"/>
                <w:lang w:eastAsia="en-GB"/>
                <w14:ligatures w14:val="none"/>
              </w:rPr>
              <w:t>e</w:t>
            </w:r>
            <w:r w:rsidRPr="00AB3E42">
              <w:rPr>
                <w:rFonts w:ascii="Arial Narrow" w:eastAsia="Times New Roman" w:hAnsi="Arial Narrow" w:cstheme="majorHAnsi"/>
                <w:kern w:val="0"/>
                <w:lang w:eastAsia="en-GB"/>
                <w14:ligatures w14:val="none"/>
              </w:rPr>
              <w:t xml:space="preserve"> the choice of market outlets.</w:t>
            </w:r>
          </w:p>
        </w:tc>
      </w:tr>
    </w:tbl>
    <w:p w14:paraId="4F366AD0" w14:textId="36F883B1" w:rsidR="006F099F" w:rsidRPr="00AB3E42" w:rsidRDefault="006F099F" w:rsidP="006F099F">
      <w:pPr>
        <w:spacing w:before="100" w:beforeAutospacing="1" w:after="100" w:afterAutospacing="1"/>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Source: Study Construction, 202</w:t>
      </w:r>
      <w:r w:rsidR="006706A6" w:rsidRPr="00AB3E42">
        <w:rPr>
          <w:rFonts w:ascii="Arial Narrow" w:eastAsia="Times New Roman" w:hAnsi="Arial Narrow" w:cstheme="majorHAnsi"/>
          <w:kern w:val="0"/>
          <w:lang w:eastAsia="en-GB"/>
          <w14:ligatures w14:val="none"/>
        </w:rPr>
        <w:t>5</w:t>
      </w:r>
    </w:p>
    <w:p w14:paraId="29CA1385" w14:textId="503F14CB" w:rsidR="00131CEF" w:rsidRPr="00AB3E42" w:rsidRDefault="00C20B8A" w:rsidP="000A0F37">
      <w:pPr>
        <w:spacing w:line="240" w:lineRule="auto"/>
        <w:jc w:val="left"/>
        <w:outlineLvl w:val="3"/>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 xml:space="preserve">Data analysis and findings </w:t>
      </w:r>
    </w:p>
    <w:p w14:paraId="6175C96D" w14:textId="540B909B" w:rsidR="0006399A" w:rsidRPr="00AB3E42" w:rsidRDefault="0054267B" w:rsidP="005B50F1">
      <w:pPr>
        <w:jc w:val="both"/>
        <w:rPr>
          <w:rFonts w:ascii="Arial Narrow" w:hAnsi="Arial Narrow" w:cstheme="majorHAnsi"/>
          <w:lang w:eastAsia="en-GB"/>
        </w:rPr>
      </w:pPr>
      <w:r w:rsidRPr="00AB3E42">
        <w:rPr>
          <w:rFonts w:ascii="Arial Narrow" w:hAnsi="Arial Narrow" w:cstheme="majorHAnsi"/>
          <w:lang w:eastAsia="en-GB"/>
        </w:rPr>
        <w:t xml:space="preserve">Descriptive statistics </w:t>
      </w:r>
      <w:r w:rsidR="005B50F1" w:rsidRPr="00AB3E42">
        <w:rPr>
          <w:rFonts w:ascii="Arial Narrow" w:hAnsi="Arial Narrow" w:cstheme="majorHAnsi"/>
          <w:lang w:eastAsia="en-GB"/>
        </w:rPr>
        <w:t>were</w:t>
      </w:r>
      <w:r w:rsidRPr="00AB3E42">
        <w:rPr>
          <w:rFonts w:ascii="Arial Narrow" w:hAnsi="Arial Narrow" w:cstheme="majorHAnsi"/>
          <w:lang w:eastAsia="en-GB"/>
        </w:rPr>
        <w:t xml:space="preserve"> calculated to pr</w:t>
      </w:r>
      <w:r w:rsidR="00D471F6" w:rsidRPr="00AB3E42">
        <w:rPr>
          <w:rFonts w:ascii="Arial Narrow" w:hAnsi="Arial Narrow" w:cstheme="majorHAnsi"/>
          <w:lang w:eastAsia="en-GB"/>
        </w:rPr>
        <w:t>ovid</w:t>
      </w:r>
      <w:r w:rsidRPr="00AB3E42">
        <w:rPr>
          <w:rFonts w:ascii="Arial Narrow" w:hAnsi="Arial Narrow" w:cstheme="majorHAnsi"/>
          <w:lang w:eastAsia="en-GB"/>
        </w:rPr>
        <w:t>e a clear demographic overview, including percent</w:t>
      </w:r>
      <w:r w:rsidR="00D471F6" w:rsidRPr="00AB3E42">
        <w:rPr>
          <w:rFonts w:ascii="Arial Narrow" w:hAnsi="Arial Narrow" w:cstheme="majorHAnsi"/>
          <w:lang w:eastAsia="en-GB"/>
        </w:rPr>
        <w:t>age</w:t>
      </w:r>
      <w:r w:rsidRPr="00AB3E42">
        <w:rPr>
          <w:rFonts w:ascii="Arial Narrow" w:hAnsi="Arial Narrow" w:cstheme="majorHAnsi"/>
          <w:lang w:eastAsia="en-GB"/>
        </w:rPr>
        <w:t xml:space="preserve"> and frequency distributions. These statistics </w:t>
      </w:r>
      <w:r w:rsidR="00D471F6" w:rsidRPr="00AB3E42">
        <w:rPr>
          <w:rFonts w:ascii="Arial Narrow" w:hAnsi="Arial Narrow" w:cstheme="majorHAnsi"/>
          <w:lang w:eastAsia="en-GB"/>
        </w:rPr>
        <w:t>lay</w:t>
      </w:r>
      <w:r w:rsidRPr="00AB3E42">
        <w:rPr>
          <w:rFonts w:ascii="Arial Narrow" w:hAnsi="Arial Narrow" w:cstheme="majorHAnsi"/>
          <w:lang w:eastAsia="en-GB"/>
        </w:rPr>
        <w:t xml:space="preserve"> </w:t>
      </w:r>
      <w:r w:rsidR="00D471F6" w:rsidRPr="00AB3E42">
        <w:rPr>
          <w:rFonts w:ascii="Arial Narrow" w:hAnsi="Arial Narrow" w:cstheme="majorHAnsi"/>
          <w:lang w:eastAsia="en-GB"/>
        </w:rPr>
        <w:t>the</w:t>
      </w:r>
      <w:r w:rsidRPr="00AB3E42">
        <w:rPr>
          <w:rFonts w:ascii="Arial Narrow" w:hAnsi="Arial Narrow" w:cstheme="majorHAnsi"/>
          <w:lang w:eastAsia="en-GB"/>
        </w:rPr>
        <w:t xml:space="preserve"> </w:t>
      </w:r>
      <w:r w:rsidR="00D471F6" w:rsidRPr="00AB3E42">
        <w:rPr>
          <w:rFonts w:ascii="Arial Narrow" w:hAnsi="Arial Narrow" w:cstheme="majorHAnsi"/>
          <w:lang w:eastAsia="en-GB"/>
        </w:rPr>
        <w:t>gr</w:t>
      </w:r>
      <w:r w:rsidRPr="00AB3E42">
        <w:rPr>
          <w:rFonts w:ascii="Arial Narrow" w:hAnsi="Arial Narrow" w:cstheme="majorHAnsi"/>
          <w:lang w:eastAsia="en-GB"/>
        </w:rPr>
        <w:t>ound</w:t>
      </w:r>
      <w:r w:rsidR="00D471F6" w:rsidRPr="00AB3E42">
        <w:rPr>
          <w:rFonts w:ascii="Arial Narrow" w:hAnsi="Arial Narrow" w:cstheme="majorHAnsi"/>
          <w:lang w:eastAsia="en-GB"/>
        </w:rPr>
        <w:t>w</w:t>
      </w:r>
      <w:r w:rsidRPr="00AB3E42">
        <w:rPr>
          <w:rFonts w:ascii="Arial Narrow" w:hAnsi="Arial Narrow" w:cstheme="majorHAnsi"/>
          <w:lang w:eastAsia="en-GB"/>
        </w:rPr>
        <w:t>o</w:t>
      </w:r>
      <w:r w:rsidR="00D471F6" w:rsidRPr="00AB3E42">
        <w:rPr>
          <w:rFonts w:ascii="Arial Narrow" w:hAnsi="Arial Narrow" w:cstheme="majorHAnsi"/>
          <w:lang w:eastAsia="en-GB"/>
        </w:rPr>
        <w:t>rk</w:t>
      </w:r>
      <w:r w:rsidRPr="00AB3E42">
        <w:rPr>
          <w:rFonts w:ascii="Arial Narrow" w:hAnsi="Arial Narrow" w:cstheme="majorHAnsi"/>
          <w:lang w:eastAsia="en-GB"/>
        </w:rPr>
        <w:t xml:space="preserve"> for understanding the characteristics of the</w:t>
      </w:r>
      <w:r w:rsidR="002866F3" w:rsidRPr="00AB3E42">
        <w:rPr>
          <w:rFonts w:ascii="Arial Narrow" w:hAnsi="Arial Narrow" w:cstheme="majorHAnsi"/>
          <w:lang w:eastAsia="en-GB"/>
        </w:rPr>
        <w:t xml:space="preserve"> Individual Household in</w:t>
      </w:r>
      <w:r w:rsidRPr="00AB3E42">
        <w:rPr>
          <w:rFonts w:ascii="Arial Narrow" w:hAnsi="Arial Narrow" w:cstheme="majorHAnsi"/>
          <w:lang w:eastAsia="en-GB"/>
        </w:rPr>
        <w:t xml:space="preserve"> the study a</w:t>
      </w:r>
      <w:r w:rsidR="00D471F6" w:rsidRPr="00AB3E42">
        <w:rPr>
          <w:rFonts w:ascii="Arial Narrow" w:hAnsi="Arial Narrow" w:cstheme="majorHAnsi"/>
          <w:lang w:eastAsia="en-GB"/>
        </w:rPr>
        <w:t>nd</w:t>
      </w:r>
      <w:r w:rsidRPr="00AB3E42">
        <w:rPr>
          <w:rFonts w:ascii="Arial Narrow" w:hAnsi="Arial Narrow" w:cstheme="majorHAnsi"/>
          <w:lang w:eastAsia="en-GB"/>
        </w:rPr>
        <w:t xml:space="preserve"> explain how these demographic factors may influence their </w:t>
      </w:r>
      <w:r w:rsidR="002866F3" w:rsidRPr="00AB3E42">
        <w:rPr>
          <w:rFonts w:ascii="Arial Narrow" w:hAnsi="Arial Narrow" w:cstheme="majorHAnsi"/>
          <w:lang w:eastAsia="en-GB"/>
        </w:rPr>
        <w:t>Adoption of LPG</w:t>
      </w:r>
      <w:r w:rsidRPr="00AB3E42">
        <w:rPr>
          <w:rFonts w:ascii="Arial Narrow" w:hAnsi="Arial Narrow" w:cstheme="majorHAnsi"/>
          <w:lang w:eastAsia="en-GB"/>
        </w:rPr>
        <w:t xml:space="preserve">. </w:t>
      </w:r>
      <w:r w:rsidR="005A3ABA" w:rsidRPr="00AB3E42">
        <w:rPr>
          <w:rFonts w:ascii="Arial Narrow" w:hAnsi="Arial Narrow" w:cstheme="majorHAnsi"/>
          <w:lang w:eastAsia="en-GB"/>
        </w:rPr>
        <w:t xml:space="preserve">The results are presented in Table </w:t>
      </w:r>
      <w:r w:rsidR="0006399A" w:rsidRPr="00AB3E42">
        <w:rPr>
          <w:rFonts w:ascii="Arial Narrow" w:hAnsi="Arial Narrow" w:cstheme="majorHAnsi"/>
          <w:lang w:eastAsia="en-GB"/>
        </w:rPr>
        <w:t>3</w:t>
      </w:r>
      <w:r w:rsidR="005A3ABA" w:rsidRPr="00AB3E42">
        <w:rPr>
          <w:rFonts w:ascii="Arial Narrow" w:hAnsi="Arial Narrow" w:cstheme="majorHAnsi"/>
          <w:lang w:eastAsia="en-GB"/>
        </w:rPr>
        <w:t>: -</w:t>
      </w:r>
    </w:p>
    <w:p w14:paraId="462106A1" w14:textId="77777777" w:rsidR="000E7B6E" w:rsidRPr="00AB3E42" w:rsidRDefault="000E7B6E" w:rsidP="000E7B6E">
      <w:pPr>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Table </w:t>
      </w:r>
      <w:r w:rsidRPr="00AB3E42">
        <w:rPr>
          <w:rFonts w:ascii="Arial Narrow" w:hAnsi="Arial Narrow" w:cstheme="majorHAnsi"/>
          <w:b/>
          <w:bCs/>
          <w:lang w:val="en-US" w:eastAsia="en-GB"/>
        </w:rPr>
        <w:fldChar w:fldCharType="begin"/>
      </w:r>
      <w:r w:rsidRPr="00AB3E42">
        <w:rPr>
          <w:rFonts w:ascii="Arial Narrow" w:hAnsi="Arial Narrow" w:cstheme="majorHAnsi"/>
          <w:b/>
          <w:bCs/>
          <w:lang w:val="en-US" w:eastAsia="en-GB"/>
        </w:rPr>
        <w:instrText xml:space="preserve"> SEQ Table \* ARABIC </w:instrText>
      </w:r>
      <w:r w:rsidRPr="00AB3E42">
        <w:rPr>
          <w:rFonts w:ascii="Arial Narrow" w:hAnsi="Arial Narrow" w:cstheme="majorHAnsi"/>
          <w:b/>
          <w:bCs/>
          <w:lang w:val="en-US" w:eastAsia="en-GB"/>
        </w:rPr>
        <w:fldChar w:fldCharType="separate"/>
      </w:r>
      <w:r w:rsidRPr="00AB3E42">
        <w:rPr>
          <w:rFonts w:ascii="Arial Narrow" w:hAnsi="Arial Narrow" w:cstheme="majorHAnsi"/>
          <w:b/>
          <w:bCs/>
          <w:lang w:val="en-US" w:eastAsia="en-GB"/>
        </w:rPr>
        <w:t>3</w:t>
      </w:r>
      <w:r w:rsidRPr="00AB3E42">
        <w:rPr>
          <w:rFonts w:ascii="Arial Narrow" w:hAnsi="Arial Narrow" w:cstheme="majorHAnsi"/>
          <w:b/>
          <w:bCs/>
          <w:lang w:eastAsia="en-GB"/>
        </w:rPr>
        <w:fldChar w:fldCharType="end"/>
      </w:r>
      <w:r w:rsidRPr="00AB3E42">
        <w:rPr>
          <w:rFonts w:ascii="Arial Narrow" w:hAnsi="Arial Narrow" w:cstheme="majorHAnsi"/>
          <w:b/>
          <w:bCs/>
          <w:lang w:val="en-US" w:eastAsia="en-GB"/>
        </w:rPr>
        <w:t xml:space="preserve">: Demographic characteristics of respondents in </w:t>
      </w:r>
      <w:bookmarkStart w:id="3" w:name="_Hlk211078295"/>
      <w:r w:rsidRPr="00AB3E42">
        <w:rPr>
          <w:rFonts w:ascii="Arial Narrow" w:hAnsi="Arial Narrow" w:cstheme="majorHAnsi"/>
          <w:b/>
          <w:bCs/>
          <w:lang w:val="en-US" w:eastAsia="en-GB"/>
        </w:rPr>
        <w:t>Kalangalala Ward</w:t>
      </w:r>
      <w:bookmarkEnd w:id="3"/>
    </w:p>
    <w:tbl>
      <w:tblPr>
        <w:tblW w:w="8302" w:type="dxa"/>
        <w:tblBorders>
          <w:bottom w:val="single" w:sz="4" w:space="0" w:color="auto"/>
        </w:tblBorders>
        <w:tblLook w:val="04A0" w:firstRow="1" w:lastRow="0" w:firstColumn="1" w:lastColumn="0" w:noHBand="0" w:noVBand="1"/>
      </w:tblPr>
      <w:tblGrid>
        <w:gridCol w:w="408"/>
        <w:gridCol w:w="3940"/>
        <w:gridCol w:w="2229"/>
        <w:gridCol w:w="1725"/>
      </w:tblGrid>
      <w:tr w:rsidR="000E7B6E" w:rsidRPr="00AB3E42" w14:paraId="2F5EB2C6" w14:textId="77777777" w:rsidTr="0028568F">
        <w:trPr>
          <w:trHeight w:val="239"/>
        </w:trPr>
        <w:tc>
          <w:tcPr>
            <w:tcW w:w="0" w:type="auto"/>
            <w:gridSpan w:val="2"/>
            <w:tcBorders>
              <w:top w:val="single" w:sz="4" w:space="0" w:color="auto"/>
              <w:bottom w:val="single" w:sz="4" w:space="0" w:color="auto"/>
            </w:tcBorders>
            <w:vAlign w:val="bottom"/>
            <w:hideMark/>
          </w:tcPr>
          <w:p w14:paraId="7C082D6B"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    Variable</w:t>
            </w:r>
          </w:p>
        </w:tc>
        <w:tc>
          <w:tcPr>
            <w:tcW w:w="0" w:type="auto"/>
            <w:tcBorders>
              <w:top w:val="single" w:sz="4" w:space="0" w:color="auto"/>
              <w:bottom w:val="single" w:sz="4" w:space="0" w:color="auto"/>
            </w:tcBorders>
            <w:vAlign w:val="bottom"/>
            <w:hideMark/>
          </w:tcPr>
          <w:p w14:paraId="60C36764"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Frequency </w:t>
            </w:r>
          </w:p>
        </w:tc>
        <w:tc>
          <w:tcPr>
            <w:tcW w:w="0" w:type="auto"/>
            <w:tcBorders>
              <w:top w:val="single" w:sz="4" w:space="0" w:color="auto"/>
              <w:bottom w:val="single" w:sz="4" w:space="0" w:color="auto"/>
            </w:tcBorders>
            <w:vAlign w:val="bottom"/>
            <w:hideMark/>
          </w:tcPr>
          <w:p w14:paraId="43625B8B"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Percent</w:t>
            </w:r>
          </w:p>
        </w:tc>
      </w:tr>
      <w:tr w:rsidR="000E7B6E" w:rsidRPr="00AB3E42" w14:paraId="7A1BD603" w14:textId="77777777" w:rsidTr="0028568F">
        <w:trPr>
          <w:trHeight w:val="239"/>
        </w:trPr>
        <w:tc>
          <w:tcPr>
            <w:tcW w:w="0" w:type="auto"/>
            <w:vMerge w:val="restart"/>
            <w:tcBorders>
              <w:top w:val="single" w:sz="4" w:space="0" w:color="auto"/>
            </w:tcBorders>
            <w:hideMark/>
          </w:tcPr>
          <w:p w14:paraId="5EFD1026"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top w:val="single" w:sz="4" w:space="0" w:color="auto"/>
            </w:tcBorders>
            <w:hideMark/>
          </w:tcPr>
          <w:p w14:paraId="2D6160D1"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Gender                                                                                                            </w:t>
            </w:r>
          </w:p>
          <w:p w14:paraId="0BCBF1B1"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Female</w:t>
            </w:r>
          </w:p>
        </w:tc>
        <w:tc>
          <w:tcPr>
            <w:tcW w:w="0" w:type="auto"/>
            <w:tcBorders>
              <w:top w:val="single" w:sz="4" w:space="0" w:color="auto"/>
            </w:tcBorders>
            <w:noWrap/>
            <w:hideMark/>
          </w:tcPr>
          <w:p w14:paraId="2A03DCE2" w14:textId="77777777" w:rsidR="000E7B6E" w:rsidRPr="00AB3E42" w:rsidRDefault="000E7B6E" w:rsidP="000E7B6E">
            <w:pPr>
              <w:spacing w:before="0" w:after="0" w:line="276" w:lineRule="auto"/>
              <w:jc w:val="both"/>
              <w:rPr>
                <w:rFonts w:ascii="Arial Narrow" w:hAnsi="Arial Narrow" w:cstheme="majorHAnsi"/>
                <w:bCs/>
                <w:lang w:val="en-US" w:eastAsia="en-GB"/>
              </w:rPr>
            </w:pPr>
          </w:p>
          <w:p w14:paraId="713D8BD0"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59</w:t>
            </w:r>
          </w:p>
        </w:tc>
        <w:tc>
          <w:tcPr>
            <w:tcW w:w="0" w:type="auto"/>
            <w:tcBorders>
              <w:top w:val="single" w:sz="4" w:space="0" w:color="auto"/>
            </w:tcBorders>
            <w:noWrap/>
            <w:hideMark/>
          </w:tcPr>
          <w:p w14:paraId="61298FDD" w14:textId="77777777" w:rsidR="000E7B6E" w:rsidRPr="00AB3E42" w:rsidRDefault="000E7B6E" w:rsidP="000E7B6E">
            <w:pPr>
              <w:spacing w:before="0" w:after="0" w:line="276" w:lineRule="auto"/>
              <w:jc w:val="both"/>
              <w:rPr>
                <w:rFonts w:ascii="Arial Narrow" w:hAnsi="Arial Narrow" w:cstheme="majorHAnsi"/>
                <w:bCs/>
                <w:lang w:val="en-US" w:eastAsia="en-GB"/>
              </w:rPr>
            </w:pPr>
          </w:p>
          <w:p w14:paraId="1281014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67.8</w:t>
            </w:r>
          </w:p>
        </w:tc>
      </w:tr>
      <w:tr w:rsidR="000E7B6E" w:rsidRPr="00AB3E42" w14:paraId="345E7C4B" w14:textId="77777777" w:rsidTr="0028568F">
        <w:trPr>
          <w:trHeight w:val="239"/>
        </w:trPr>
        <w:tc>
          <w:tcPr>
            <w:tcW w:w="0" w:type="auto"/>
            <w:vMerge/>
            <w:vAlign w:val="center"/>
            <w:hideMark/>
          </w:tcPr>
          <w:p w14:paraId="18EE38A3"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nil"/>
            </w:tcBorders>
            <w:hideMark/>
          </w:tcPr>
          <w:p w14:paraId="05FF8F53"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Male</w:t>
            </w:r>
          </w:p>
        </w:tc>
        <w:tc>
          <w:tcPr>
            <w:tcW w:w="0" w:type="auto"/>
            <w:tcBorders>
              <w:bottom w:val="nil"/>
            </w:tcBorders>
            <w:noWrap/>
            <w:hideMark/>
          </w:tcPr>
          <w:p w14:paraId="382A08E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28</w:t>
            </w:r>
          </w:p>
        </w:tc>
        <w:tc>
          <w:tcPr>
            <w:tcW w:w="0" w:type="auto"/>
            <w:tcBorders>
              <w:bottom w:val="nil"/>
            </w:tcBorders>
            <w:noWrap/>
            <w:hideMark/>
          </w:tcPr>
          <w:p w14:paraId="3FA4E7D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32.2</w:t>
            </w:r>
          </w:p>
        </w:tc>
      </w:tr>
      <w:tr w:rsidR="000E7B6E" w:rsidRPr="00AB3E42" w14:paraId="63AB1AAF" w14:textId="77777777" w:rsidTr="0028568F">
        <w:trPr>
          <w:trHeight w:val="50"/>
        </w:trPr>
        <w:tc>
          <w:tcPr>
            <w:tcW w:w="0" w:type="auto"/>
            <w:vMerge/>
            <w:vAlign w:val="center"/>
            <w:hideMark/>
          </w:tcPr>
          <w:p w14:paraId="27D31FA4"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single" w:sz="4" w:space="0" w:color="auto"/>
            </w:tcBorders>
            <w:hideMark/>
          </w:tcPr>
          <w:p w14:paraId="69719A9C"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Total</w:t>
            </w:r>
          </w:p>
        </w:tc>
        <w:tc>
          <w:tcPr>
            <w:tcW w:w="0" w:type="auto"/>
            <w:tcBorders>
              <w:bottom w:val="single" w:sz="4" w:space="0" w:color="auto"/>
            </w:tcBorders>
            <w:noWrap/>
            <w:hideMark/>
          </w:tcPr>
          <w:p w14:paraId="4645502D"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87</w:t>
            </w:r>
          </w:p>
        </w:tc>
        <w:tc>
          <w:tcPr>
            <w:tcW w:w="0" w:type="auto"/>
            <w:tcBorders>
              <w:bottom w:val="single" w:sz="4" w:space="0" w:color="auto"/>
            </w:tcBorders>
            <w:noWrap/>
            <w:hideMark/>
          </w:tcPr>
          <w:p w14:paraId="6C21B1B3"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100.0</w:t>
            </w:r>
          </w:p>
        </w:tc>
      </w:tr>
      <w:tr w:rsidR="000E7B6E" w:rsidRPr="00AB3E42" w14:paraId="40A9AE29" w14:textId="77777777" w:rsidTr="0028568F">
        <w:trPr>
          <w:trHeight w:val="239"/>
        </w:trPr>
        <w:tc>
          <w:tcPr>
            <w:tcW w:w="0" w:type="auto"/>
            <w:gridSpan w:val="4"/>
            <w:vAlign w:val="center"/>
            <w:hideMark/>
          </w:tcPr>
          <w:p w14:paraId="362B92C0"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    Age</w:t>
            </w:r>
          </w:p>
        </w:tc>
      </w:tr>
      <w:tr w:rsidR="000E7B6E" w:rsidRPr="00AB3E42" w14:paraId="2EF8CB18" w14:textId="77777777" w:rsidTr="0028568F">
        <w:trPr>
          <w:trHeight w:val="383"/>
        </w:trPr>
        <w:tc>
          <w:tcPr>
            <w:tcW w:w="0" w:type="auto"/>
            <w:vMerge w:val="restart"/>
            <w:hideMark/>
          </w:tcPr>
          <w:p w14:paraId="488B2FA3"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1EAF6AC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18-25 years</w:t>
            </w:r>
          </w:p>
        </w:tc>
        <w:tc>
          <w:tcPr>
            <w:tcW w:w="0" w:type="auto"/>
            <w:noWrap/>
            <w:hideMark/>
          </w:tcPr>
          <w:p w14:paraId="4A9F9FE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10</w:t>
            </w:r>
          </w:p>
        </w:tc>
        <w:tc>
          <w:tcPr>
            <w:tcW w:w="0" w:type="auto"/>
            <w:noWrap/>
            <w:hideMark/>
          </w:tcPr>
          <w:p w14:paraId="68C6D57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11.5</w:t>
            </w:r>
          </w:p>
        </w:tc>
      </w:tr>
      <w:tr w:rsidR="000E7B6E" w:rsidRPr="00AB3E42" w14:paraId="68186425" w14:textId="77777777" w:rsidTr="0028568F">
        <w:trPr>
          <w:trHeight w:val="383"/>
        </w:trPr>
        <w:tc>
          <w:tcPr>
            <w:tcW w:w="0" w:type="auto"/>
            <w:vMerge/>
            <w:vAlign w:val="center"/>
            <w:hideMark/>
          </w:tcPr>
          <w:p w14:paraId="1994116B"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606CE41A"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25 - 50 years</w:t>
            </w:r>
          </w:p>
        </w:tc>
        <w:tc>
          <w:tcPr>
            <w:tcW w:w="0" w:type="auto"/>
            <w:noWrap/>
            <w:hideMark/>
          </w:tcPr>
          <w:p w14:paraId="4C77960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76</w:t>
            </w:r>
          </w:p>
        </w:tc>
        <w:tc>
          <w:tcPr>
            <w:tcW w:w="0" w:type="auto"/>
            <w:noWrap/>
            <w:hideMark/>
          </w:tcPr>
          <w:p w14:paraId="22C48469"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87.4</w:t>
            </w:r>
          </w:p>
        </w:tc>
      </w:tr>
      <w:tr w:rsidR="000E7B6E" w:rsidRPr="00AB3E42" w14:paraId="34F6C78D" w14:textId="77777777" w:rsidTr="0028568F">
        <w:trPr>
          <w:trHeight w:val="383"/>
        </w:trPr>
        <w:tc>
          <w:tcPr>
            <w:tcW w:w="0" w:type="auto"/>
            <w:vMerge/>
            <w:vAlign w:val="center"/>
            <w:hideMark/>
          </w:tcPr>
          <w:p w14:paraId="0AC6BB88"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nil"/>
            </w:tcBorders>
            <w:hideMark/>
          </w:tcPr>
          <w:p w14:paraId="05150CF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above 50 years</w:t>
            </w:r>
          </w:p>
        </w:tc>
        <w:tc>
          <w:tcPr>
            <w:tcW w:w="0" w:type="auto"/>
            <w:tcBorders>
              <w:bottom w:val="nil"/>
            </w:tcBorders>
            <w:noWrap/>
            <w:hideMark/>
          </w:tcPr>
          <w:p w14:paraId="139E9721"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w:t>
            </w:r>
          </w:p>
        </w:tc>
        <w:tc>
          <w:tcPr>
            <w:tcW w:w="0" w:type="auto"/>
            <w:tcBorders>
              <w:bottom w:val="nil"/>
            </w:tcBorders>
            <w:noWrap/>
            <w:hideMark/>
          </w:tcPr>
          <w:p w14:paraId="4618801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1.1</w:t>
            </w:r>
          </w:p>
        </w:tc>
      </w:tr>
      <w:tr w:rsidR="000E7B6E" w:rsidRPr="00AB3E42" w14:paraId="0549ECFD" w14:textId="77777777" w:rsidTr="0028568F">
        <w:trPr>
          <w:trHeight w:val="239"/>
        </w:trPr>
        <w:tc>
          <w:tcPr>
            <w:tcW w:w="0" w:type="auto"/>
            <w:vMerge/>
            <w:vAlign w:val="center"/>
            <w:hideMark/>
          </w:tcPr>
          <w:p w14:paraId="7A5233DA"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single" w:sz="4" w:space="0" w:color="auto"/>
            </w:tcBorders>
            <w:hideMark/>
          </w:tcPr>
          <w:p w14:paraId="3E9C24E9"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Total</w:t>
            </w:r>
          </w:p>
        </w:tc>
        <w:tc>
          <w:tcPr>
            <w:tcW w:w="0" w:type="auto"/>
            <w:tcBorders>
              <w:bottom w:val="single" w:sz="4" w:space="0" w:color="auto"/>
            </w:tcBorders>
            <w:noWrap/>
            <w:hideMark/>
          </w:tcPr>
          <w:p w14:paraId="0740DC15"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87</w:t>
            </w:r>
          </w:p>
        </w:tc>
        <w:tc>
          <w:tcPr>
            <w:tcW w:w="0" w:type="auto"/>
            <w:tcBorders>
              <w:bottom w:val="single" w:sz="4" w:space="0" w:color="auto"/>
            </w:tcBorders>
            <w:noWrap/>
            <w:hideMark/>
          </w:tcPr>
          <w:p w14:paraId="5E47D882"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100.0</w:t>
            </w:r>
          </w:p>
        </w:tc>
      </w:tr>
      <w:tr w:rsidR="000E7B6E" w:rsidRPr="00AB3E42" w14:paraId="4F0751A5" w14:textId="77777777" w:rsidTr="0028568F">
        <w:trPr>
          <w:trHeight w:val="239"/>
        </w:trPr>
        <w:tc>
          <w:tcPr>
            <w:tcW w:w="0" w:type="auto"/>
            <w:gridSpan w:val="4"/>
            <w:vAlign w:val="center"/>
            <w:hideMark/>
          </w:tcPr>
          <w:p w14:paraId="00155FC2"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 xml:space="preserve">    Education level</w:t>
            </w:r>
          </w:p>
        </w:tc>
      </w:tr>
      <w:tr w:rsidR="000E7B6E" w:rsidRPr="00AB3E42" w14:paraId="1122C4B1" w14:textId="77777777" w:rsidTr="0028568F">
        <w:trPr>
          <w:trHeight w:val="239"/>
        </w:trPr>
        <w:tc>
          <w:tcPr>
            <w:tcW w:w="0" w:type="auto"/>
            <w:vMerge w:val="restart"/>
            <w:hideMark/>
          </w:tcPr>
          <w:p w14:paraId="66D3FB4F"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6D5D016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Primary</w:t>
            </w:r>
          </w:p>
        </w:tc>
        <w:tc>
          <w:tcPr>
            <w:tcW w:w="0" w:type="auto"/>
            <w:noWrap/>
            <w:hideMark/>
          </w:tcPr>
          <w:p w14:paraId="240BC85A"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17</w:t>
            </w:r>
          </w:p>
        </w:tc>
        <w:tc>
          <w:tcPr>
            <w:tcW w:w="0" w:type="auto"/>
            <w:noWrap/>
            <w:hideMark/>
          </w:tcPr>
          <w:p w14:paraId="7311E8F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19.5</w:t>
            </w:r>
          </w:p>
        </w:tc>
      </w:tr>
      <w:tr w:rsidR="000E7B6E" w:rsidRPr="00AB3E42" w14:paraId="630789A9" w14:textId="77777777" w:rsidTr="0028568F">
        <w:trPr>
          <w:trHeight w:val="239"/>
        </w:trPr>
        <w:tc>
          <w:tcPr>
            <w:tcW w:w="0" w:type="auto"/>
            <w:vMerge/>
            <w:vAlign w:val="center"/>
            <w:hideMark/>
          </w:tcPr>
          <w:p w14:paraId="7DE06B13"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2578C19F"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Secondary</w:t>
            </w:r>
          </w:p>
        </w:tc>
        <w:tc>
          <w:tcPr>
            <w:tcW w:w="0" w:type="auto"/>
            <w:noWrap/>
            <w:hideMark/>
          </w:tcPr>
          <w:p w14:paraId="24A8C535"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43</w:t>
            </w:r>
          </w:p>
        </w:tc>
        <w:tc>
          <w:tcPr>
            <w:tcW w:w="0" w:type="auto"/>
            <w:noWrap/>
            <w:hideMark/>
          </w:tcPr>
          <w:p w14:paraId="79A250ED"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49.4</w:t>
            </w:r>
          </w:p>
        </w:tc>
      </w:tr>
      <w:tr w:rsidR="000E7B6E" w:rsidRPr="00AB3E42" w14:paraId="538686F1" w14:textId="77777777" w:rsidTr="0028568F">
        <w:trPr>
          <w:trHeight w:val="383"/>
        </w:trPr>
        <w:tc>
          <w:tcPr>
            <w:tcW w:w="0" w:type="auto"/>
            <w:vMerge/>
            <w:vAlign w:val="center"/>
            <w:hideMark/>
          </w:tcPr>
          <w:p w14:paraId="3338F216"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nil"/>
            </w:tcBorders>
            <w:hideMark/>
          </w:tcPr>
          <w:p w14:paraId="2AABF9B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college/university</w:t>
            </w:r>
          </w:p>
        </w:tc>
        <w:tc>
          <w:tcPr>
            <w:tcW w:w="0" w:type="auto"/>
            <w:tcBorders>
              <w:bottom w:val="nil"/>
            </w:tcBorders>
            <w:noWrap/>
            <w:hideMark/>
          </w:tcPr>
          <w:p w14:paraId="2298363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27</w:t>
            </w:r>
          </w:p>
        </w:tc>
        <w:tc>
          <w:tcPr>
            <w:tcW w:w="0" w:type="auto"/>
            <w:tcBorders>
              <w:bottom w:val="nil"/>
            </w:tcBorders>
            <w:noWrap/>
            <w:hideMark/>
          </w:tcPr>
          <w:p w14:paraId="4464365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31.0</w:t>
            </w:r>
          </w:p>
        </w:tc>
      </w:tr>
      <w:tr w:rsidR="000E7B6E" w:rsidRPr="00AB3E42" w14:paraId="18E30CEA" w14:textId="77777777" w:rsidTr="0028568F">
        <w:trPr>
          <w:trHeight w:val="239"/>
        </w:trPr>
        <w:tc>
          <w:tcPr>
            <w:tcW w:w="0" w:type="auto"/>
            <w:vMerge/>
            <w:vAlign w:val="center"/>
            <w:hideMark/>
          </w:tcPr>
          <w:p w14:paraId="6AF3C0BD"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single" w:sz="4" w:space="0" w:color="auto"/>
            </w:tcBorders>
            <w:hideMark/>
          </w:tcPr>
          <w:p w14:paraId="2435EFCC"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Total</w:t>
            </w:r>
          </w:p>
        </w:tc>
        <w:tc>
          <w:tcPr>
            <w:tcW w:w="0" w:type="auto"/>
            <w:tcBorders>
              <w:bottom w:val="single" w:sz="4" w:space="0" w:color="auto"/>
            </w:tcBorders>
            <w:noWrap/>
            <w:hideMark/>
          </w:tcPr>
          <w:p w14:paraId="443D368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87</w:t>
            </w:r>
          </w:p>
        </w:tc>
        <w:tc>
          <w:tcPr>
            <w:tcW w:w="0" w:type="auto"/>
            <w:tcBorders>
              <w:bottom w:val="single" w:sz="4" w:space="0" w:color="auto"/>
            </w:tcBorders>
            <w:noWrap/>
            <w:hideMark/>
          </w:tcPr>
          <w:p w14:paraId="7B62D06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100.0</w:t>
            </w:r>
          </w:p>
        </w:tc>
      </w:tr>
      <w:tr w:rsidR="000E7B6E" w:rsidRPr="00AB3E42" w14:paraId="342D1EA1" w14:textId="77777777" w:rsidTr="0028568F">
        <w:trPr>
          <w:trHeight w:val="239"/>
        </w:trPr>
        <w:tc>
          <w:tcPr>
            <w:tcW w:w="0" w:type="auto"/>
            <w:gridSpan w:val="4"/>
            <w:vAlign w:val="center"/>
            <w:hideMark/>
          </w:tcPr>
          <w:p w14:paraId="597337B6"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    Household size/number of customer</w:t>
            </w:r>
          </w:p>
        </w:tc>
      </w:tr>
      <w:tr w:rsidR="000E7B6E" w:rsidRPr="00AB3E42" w14:paraId="2E02A43D" w14:textId="77777777" w:rsidTr="0028568F">
        <w:trPr>
          <w:trHeight w:val="383"/>
        </w:trPr>
        <w:tc>
          <w:tcPr>
            <w:tcW w:w="0" w:type="auto"/>
            <w:vMerge w:val="restart"/>
            <w:hideMark/>
          </w:tcPr>
          <w:p w14:paraId="41FCD457"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1B6ADCE2"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1 - 3 members</w:t>
            </w:r>
          </w:p>
        </w:tc>
        <w:tc>
          <w:tcPr>
            <w:tcW w:w="0" w:type="auto"/>
            <w:noWrap/>
            <w:hideMark/>
          </w:tcPr>
          <w:p w14:paraId="6DA88452"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34</w:t>
            </w:r>
          </w:p>
        </w:tc>
        <w:tc>
          <w:tcPr>
            <w:tcW w:w="0" w:type="auto"/>
            <w:noWrap/>
            <w:hideMark/>
          </w:tcPr>
          <w:p w14:paraId="74E91CCC"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39.1</w:t>
            </w:r>
          </w:p>
        </w:tc>
      </w:tr>
      <w:tr w:rsidR="000E7B6E" w:rsidRPr="00AB3E42" w14:paraId="3FA6C8FF" w14:textId="77777777" w:rsidTr="0028568F">
        <w:trPr>
          <w:trHeight w:val="383"/>
        </w:trPr>
        <w:tc>
          <w:tcPr>
            <w:tcW w:w="0" w:type="auto"/>
            <w:vMerge/>
            <w:vAlign w:val="center"/>
            <w:hideMark/>
          </w:tcPr>
          <w:p w14:paraId="366381D1"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2277F79C"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4 - 6 members</w:t>
            </w:r>
          </w:p>
        </w:tc>
        <w:tc>
          <w:tcPr>
            <w:tcW w:w="0" w:type="auto"/>
            <w:noWrap/>
            <w:hideMark/>
          </w:tcPr>
          <w:p w14:paraId="6F62D67D"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25</w:t>
            </w:r>
          </w:p>
        </w:tc>
        <w:tc>
          <w:tcPr>
            <w:tcW w:w="0" w:type="auto"/>
            <w:noWrap/>
            <w:hideMark/>
          </w:tcPr>
          <w:p w14:paraId="3DCB69C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28.7</w:t>
            </w:r>
          </w:p>
        </w:tc>
      </w:tr>
      <w:tr w:rsidR="000E7B6E" w:rsidRPr="00AB3E42" w14:paraId="4E3E81E1" w14:textId="77777777" w:rsidTr="0028568F">
        <w:trPr>
          <w:trHeight w:val="383"/>
        </w:trPr>
        <w:tc>
          <w:tcPr>
            <w:tcW w:w="0" w:type="auto"/>
            <w:vMerge/>
            <w:vAlign w:val="center"/>
            <w:hideMark/>
          </w:tcPr>
          <w:p w14:paraId="7C79AB36"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62AA28E2"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6- 8 members</w:t>
            </w:r>
          </w:p>
        </w:tc>
        <w:tc>
          <w:tcPr>
            <w:tcW w:w="0" w:type="auto"/>
            <w:noWrap/>
            <w:hideMark/>
          </w:tcPr>
          <w:p w14:paraId="34EF401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w:t>
            </w:r>
          </w:p>
        </w:tc>
        <w:tc>
          <w:tcPr>
            <w:tcW w:w="0" w:type="auto"/>
            <w:noWrap/>
            <w:hideMark/>
          </w:tcPr>
          <w:p w14:paraId="597A91F6"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4.6</w:t>
            </w:r>
          </w:p>
        </w:tc>
      </w:tr>
      <w:tr w:rsidR="000E7B6E" w:rsidRPr="00AB3E42" w14:paraId="2DEB2506" w14:textId="77777777" w:rsidTr="0028568F">
        <w:trPr>
          <w:trHeight w:val="383"/>
        </w:trPr>
        <w:tc>
          <w:tcPr>
            <w:tcW w:w="0" w:type="auto"/>
            <w:vMerge/>
            <w:vAlign w:val="center"/>
            <w:hideMark/>
          </w:tcPr>
          <w:p w14:paraId="4F0963B6"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nil"/>
            </w:tcBorders>
            <w:hideMark/>
          </w:tcPr>
          <w:p w14:paraId="36432831"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above 20 members</w:t>
            </w:r>
          </w:p>
        </w:tc>
        <w:tc>
          <w:tcPr>
            <w:tcW w:w="0" w:type="auto"/>
            <w:tcBorders>
              <w:bottom w:val="nil"/>
            </w:tcBorders>
            <w:noWrap/>
            <w:hideMark/>
          </w:tcPr>
          <w:p w14:paraId="4969A8E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24</w:t>
            </w:r>
          </w:p>
        </w:tc>
        <w:tc>
          <w:tcPr>
            <w:tcW w:w="0" w:type="auto"/>
            <w:tcBorders>
              <w:bottom w:val="nil"/>
            </w:tcBorders>
            <w:noWrap/>
            <w:hideMark/>
          </w:tcPr>
          <w:p w14:paraId="75829716"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27.6</w:t>
            </w:r>
          </w:p>
        </w:tc>
      </w:tr>
      <w:tr w:rsidR="000E7B6E" w:rsidRPr="00AB3E42" w14:paraId="408010BF" w14:textId="77777777" w:rsidTr="0028568F">
        <w:trPr>
          <w:trHeight w:val="239"/>
        </w:trPr>
        <w:tc>
          <w:tcPr>
            <w:tcW w:w="0" w:type="auto"/>
            <w:vMerge/>
            <w:vAlign w:val="center"/>
            <w:hideMark/>
          </w:tcPr>
          <w:p w14:paraId="30F81EBD"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single" w:sz="4" w:space="0" w:color="auto"/>
            </w:tcBorders>
            <w:hideMark/>
          </w:tcPr>
          <w:p w14:paraId="39BFFE0B"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Total</w:t>
            </w:r>
          </w:p>
        </w:tc>
        <w:tc>
          <w:tcPr>
            <w:tcW w:w="0" w:type="auto"/>
            <w:tcBorders>
              <w:bottom w:val="single" w:sz="4" w:space="0" w:color="auto"/>
            </w:tcBorders>
            <w:noWrap/>
            <w:hideMark/>
          </w:tcPr>
          <w:p w14:paraId="1581CD7B"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87</w:t>
            </w:r>
          </w:p>
        </w:tc>
        <w:tc>
          <w:tcPr>
            <w:tcW w:w="0" w:type="auto"/>
            <w:tcBorders>
              <w:bottom w:val="single" w:sz="4" w:space="0" w:color="auto"/>
            </w:tcBorders>
            <w:noWrap/>
            <w:hideMark/>
          </w:tcPr>
          <w:p w14:paraId="2FB4A739"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100.0</w:t>
            </w:r>
          </w:p>
        </w:tc>
      </w:tr>
      <w:tr w:rsidR="000E7B6E" w:rsidRPr="00AB3E42" w14:paraId="3FB5BC0C" w14:textId="77777777" w:rsidTr="0028568F">
        <w:trPr>
          <w:trHeight w:val="239"/>
        </w:trPr>
        <w:tc>
          <w:tcPr>
            <w:tcW w:w="0" w:type="auto"/>
            <w:gridSpan w:val="4"/>
            <w:vAlign w:val="center"/>
            <w:hideMark/>
          </w:tcPr>
          <w:p w14:paraId="0C0F3D77"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Cs/>
                <w:lang w:val="en-US" w:eastAsia="en-GB"/>
              </w:rPr>
              <w:t xml:space="preserve">    </w:t>
            </w:r>
            <w:r w:rsidRPr="00AB3E42">
              <w:rPr>
                <w:rFonts w:ascii="Arial Narrow" w:hAnsi="Arial Narrow" w:cstheme="majorHAnsi"/>
                <w:b/>
                <w:bCs/>
                <w:lang w:val="en-US" w:eastAsia="en-GB"/>
              </w:rPr>
              <w:t>Occupation</w:t>
            </w:r>
          </w:p>
        </w:tc>
      </w:tr>
      <w:tr w:rsidR="000E7B6E" w:rsidRPr="00AB3E42" w14:paraId="0C3876AA" w14:textId="77777777" w:rsidTr="0028568F">
        <w:trPr>
          <w:trHeight w:val="239"/>
        </w:trPr>
        <w:tc>
          <w:tcPr>
            <w:tcW w:w="0" w:type="auto"/>
            <w:vMerge w:val="restart"/>
            <w:hideMark/>
          </w:tcPr>
          <w:p w14:paraId="39FBEC94"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10AFC9E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Business</w:t>
            </w:r>
          </w:p>
        </w:tc>
        <w:tc>
          <w:tcPr>
            <w:tcW w:w="0" w:type="auto"/>
            <w:noWrap/>
            <w:hideMark/>
          </w:tcPr>
          <w:p w14:paraId="42E1581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60</w:t>
            </w:r>
          </w:p>
        </w:tc>
        <w:tc>
          <w:tcPr>
            <w:tcW w:w="0" w:type="auto"/>
            <w:noWrap/>
            <w:hideMark/>
          </w:tcPr>
          <w:p w14:paraId="59FE4F63"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69.0</w:t>
            </w:r>
          </w:p>
        </w:tc>
      </w:tr>
      <w:tr w:rsidR="000E7B6E" w:rsidRPr="00AB3E42" w14:paraId="5A8DAB93" w14:textId="77777777" w:rsidTr="0028568F">
        <w:trPr>
          <w:trHeight w:val="239"/>
        </w:trPr>
        <w:tc>
          <w:tcPr>
            <w:tcW w:w="0" w:type="auto"/>
            <w:vMerge/>
            <w:vAlign w:val="center"/>
            <w:hideMark/>
          </w:tcPr>
          <w:p w14:paraId="6D2D083C"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73A1D3A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Farming</w:t>
            </w:r>
          </w:p>
        </w:tc>
        <w:tc>
          <w:tcPr>
            <w:tcW w:w="0" w:type="auto"/>
            <w:noWrap/>
            <w:hideMark/>
          </w:tcPr>
          <w:p w14:paraId="22411F82"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8</w:t>
            </w:r>
          </w:p>
        </w:tc>
        <w:tc>
          <w:tcPr>
            <w:tcW w:w="0" w:type="auto"/>
            <w:noWrap/>
            <w:hideMark/>
          </w:tcPr>
          <w:p w14:paraId="37628B7A"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9.2</w:t>
            </w:r>
          </w:p>
        </w:tc>
      </w:tr>
      <w:tr w:rsidR="000E7B6E" w:rsidRPr="00AB3E42" w14:paraId="773897F4" w14:textId="77777777" w:rsidTr="0028568F">
        <w:trPr>
          <w:trHeight w:val="383"/>
        </w:trPr>
        <w:tc>
          <w:tcPr>
            <w:tcW w:w="0" w:type="auto"/>
            <w:vMerge/>
            <w:vAlign w:val="center"/>
            <w:hideMark/>
          </w:tcPr>
          <w:p w14:paraId="07FC0198"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nil"/>
            </w:tcBorders>
            <w:hideMark/>
          </w:tcPr>
          <w:p w14:paraId="69D5D9DD"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employment formal</w:t>
            </w:r>
          </w:p>
        </w:tc>
        <w:tc>
          <w:tcPr>
            <w:tcW w:w="0" w:type="auto"/>
            <w:tcBorders>
              <w:bottom w:val="nil"/>
            </w:tcBorders>
            <w:noWrap/>
            <w:hideMark/>
          </w:tcPr>
          <w:p w14:paraId="4C13F596"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19</w:t>
            </w:r>
          </w:p>
        </w:tc>
        <w:tc>
          <w:tcPr>
            <w:tcW w:w="0" w:type="auto"/>
            <w:tcBorders>
              <w:bottom w:val="nil"/>
            </w:tcBorders>
            <w:noWrap/>
            <w:hideMark/>
          </w:tcPr>
          <w:p w14:paraId="34C15076"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21.8</w:t>
            </w:r>
          </w:p>
        </w:tc>
      </w:tr>
      <w:tr w:rsidR="000E7B6E" w:rsidRPr="00AB3E42" w14:paraId="38EDA382" w14:textId="77777777" w:rsidTr="0028568F">
        <w:trPr>
          <w:trHeight w:val="239"/>
        </w:trPr>
        <w:tc>
          <w:tcPr>
            <w:tcW w:w="0" w:type="auto"/>
            <w:vMerge/>
            <w:vAlign w:val="center"/>
            <w:hideMark/>
          </w:tcPr>
          <w:p w14:paraId="512A6AB8"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single" w:sz="4" w:space="0" w:color="auto"/>
            </w:tcBorders>
            <w:hideMark/>
          </w:tcPr>
          <w:p w14:paraId="634CF11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Total</w:t>
            </w:r>
          </w:p>
        </w:tc>
        <w:tc>
          <w:tcPr>
            <w:tcW w:w="0" w:type="auto"/>
            <w:tcBorders>
              <w:bottom w:val="single" w:sz="4" w:space="0" w:color="auto"/>
            </w:tcBorders>
            <w:noWrap/>
            <w:hideMark/>
          </w:tcPr>
          <w:p w14:paraId="19C97D1C"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87</w:t>
            </w:r>
          </w:p>
        </w:tc>
        <w:tc>
          <w:tcPr>
            <w:tcW w:w="0" w:type="auto"/>
            <w:tcBorders>
              <w:bottom w:val="single" w:sz="4" w:space="0" w:color="auto"/>
            </w:tcBorders>
            <w:noWrap/>
            <w:hideMark/>
          </w:tcPr>
          <w:p w14:paraId="61D163C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100.0</w:t>
            </w:r>
          </w:p>
        </w:tc>
      </w:tr>
      <w:tr w:rsidR="000E7B6E" w:rsidRPr="00AB3E42" w14:paraId="0197CE07" w14:textId="77777777" w:rsidTr="0028568F">
        <w:trPr>
          <w:trHeight w:val="239"/>
        </w:trPr>
        <w:tc>
          <w:tcPr>
            <w:tcW w:w="0" w:type="auto"/>
            <w:gridSpan w:val="4"/>
            <w:vAlign w:val="center"/>
            <w:hideMark/>
          </w:tcPr>
          <w:p w14:paraId="0FA68061"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    Monthly income</w:t>
            </w:r>
          </w:p>
        </w:tc>
      </w:tr>
      <w:tr w:rsidR="000E7B6E" w:rsidRPr="00AB3E42" w14:paraId="3D29B716" w14:textId="77777777" w:rsidTr="0028568F">
        <w:trPr>
          <w:trHeight w:val="383"/>
        </w:trPr>
        <w:tc>
          <w:tcPr>
            <w:tcW w:w="0" w:type="auto"/>
            <w:vMerge w:val="restart"/>
            <w:hideMark/>
          </w:tcPr>
          <w:p w14:paraId="37C78C47"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7D5D604C"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below 500,000</w:t>
            </w:r>
          </w:p>
        </w:tc>
        <w:tc>
          <w:tcPr>
            <w:tcW w:w="0" w:type="auto"/>
            <w:noWrap/>
            <w:hideMark/>
          </w:tcPr>
          <w:p w14:paraId="02444D7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47</w:t>
            </w:r>
          </w:p>
        </w:tc>
        <w:tc>
          <w:tcPr>
            <w:tcW w:w="0" w:type="auto"/>
            <w:noWrap/>
            <w:hideMark/>
          </w:tcPr>
          <w:p w14:paraId="115D238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54.0</w:t>
            </w:r>
          </w:p>
        </w:tc>
      </w:tr>
      <w:tr w:rsidR="000E7B6E" w:rsidRPr="00AB3E42" w14:paraId="183F56D5" w14:textId="77777777" w:rsidTr="0028568F">
        <w:trPr>
          <w:trHeight w:val="383"/>
        </w:trPr>
        <w:tc>
          <w:tcPr>
            <w:tcW w:w="0" w:type="auto"/>
            <w:vMerge/>
            <w:vAlign w:val="center"/>
            <w:hideMark/>
          </w:tcPr>
          <w:p w14:paraId="04618FD4"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2DD75A69"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5000,000 - 1,000,000</w:t>
            </w:r>
          </w:p>
        </w:tc>
        <w:tc>
          <w:tcPr>
            <w:tcW w:w="0" w:type="auto"/>
            <w:noWrap/>
            <w:hideMark/>
          </w:tcPr>
          <w:p w14:paraId="39B42FEF"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22</w:t>
            </w:r>
          </w:p>
        </w:tc>
        <w:tc>
          <w:tcPr>
            <w:tcW w:w="0" w:type="auto"/>
            <w:noWrap/>
            <w:hideMark/>
          </w:tcPr>
          <w:p w14:paraId="509FA9B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25.3</w:t>
            </w:r>
          </w:p>
        </w:tc>
      </w:tr>
      <w:tr w:rsidR="000E7B6E" w:rsidRPr="00AB3E42" w14:paraId="734904C2" w14:textId="77777777" w:rsidTr="0028568F">
        <w:trPr>
          <w:trHeight w:val="576"/>
        </w:trPr>
        <w:tc>
          <w:tcPr>
            <w:tcW w:w="0" w:type="auto"/>
            <w:vMerge/>
            <w:vAlign w:val="center"/>
            <w:hideMark/>
          </w:tcPr>
          <w:p w14:paraId="50F2F26F"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134B69FD"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1,000,000 - 2,000,000</w:t>
            </w:r>
          </w:p>
        </w:tc>
        <w:tc>
          <w:tcPr>
            <w:tcW w:w="0" w:type="auto"/>
            <w:noWrap/>
            <w:hideMark/>
          </w:tcPr>
          <w:p w14:paraId="4F2DC455"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17</w:t>
            </w:r>
          </w:p>
        </w:tc>
        <w:tc>
          <w:tcPr>
            <w:tcW w:w="0" w:type="auto"/>
            <w:noWrap/>
            <w:hideMark/>
          </w:tcPr>
          <w:p w14:paraId="29D1DE4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19.5</w:t>
            </w:r>
          </w:p>
        </w:tc>
      </w:tr>
      <w:tr w:rsidR="000E7B6E" w:rsidRPr="00AB3E42" w14:paraId="2A5DDCEF" w14:textId="77777777" w:rsidTr="0028568F">
        <w:trPr>
          <w:trHeight w:val="383"/>
        </w:trPr>
        <w:tc>
          <w:tcPr>
            <w:tcW w:w="0" w:type="auto"/>
            <w:vMerge/>
            <w:vAlign w:val="center"/>
            <w:hideMark/>
          </w:tcPr>
          <w:p w14:paraId="534884CE"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201BB645"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above 2,000,000</w:t>
            </w:r>
          </w:p>
        </w:tc>
        <w:tc>
          <w:tcPr>
            <w:tcW w:w="0" w:type="auto"/>
            <w:noWrap/>
            <w:hideMark/>
          </w:tcPr>
          <w:p w14:paraId="622C29F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w:t>
            </w:r>
          </w:p>
        </w:tc>
        <w:tc>
          <w:tcPr>
            <w:tcW w:w="0" w:type="auto"/>
            <w:noWrap/>
            <w:hideMark/>
          </w:tcPr>
          <w:p w14:paraId="5352CBB6"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1.1</w:t>
            </w:r>
          </w:p>
        </w:tc>
      </w:tr>
      <w:tr w:rsidR="000E7B6E" w:rsidRPr="00AB3E42" w14:paraId="7F490F20" w14:textId="77777777" w:rsidTr="0028568F">
        <w:trPr>
          <w:trHeight w:val="239"/>
        </w:trPr>
        <w:tc>
          <w:tcPr>
            <w:tcW w:w="0" w:type="auto"/>
            <w:vMerge/>
            <w:vAlign w:val="center"/>
            <w:hideMark/>
          </w:tcPr>
          <w:p w14:paraId="6DF1922A"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67815130"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Total</w:t>
            </w:r>
          </w:p>
        </w:tc>
        <w:tc>
          <w:tcPr>
            <w:tcW w:w="0" w:type="auto"/>
            <w:noWrap/>
            <w:hideMark/>
          </w:tcPr>
          <w:p w14:paraId="6714890F"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87</w:t>
            </w:r>
          </w:p>
        </w:tc>
        <w:tc>
          <w:tcPr>
            <w:tcW w:w="0" w:type="auto"/>
            <w:noWrap/>
            <w:hideMark/>
          </w:tcPr>
          <w:p w14:paraId="19DAF080"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100.0</w:t>
            </w:r>
          </w:p>
        </w:tc>
      </w:tr>
    </w:tbl>
    <w:p w14:paraId="1B4C79F5" w14:textId="3EE28015" w:rsidR="00002AEB" w:rsidRPr="00AB3E42" w:rsidRDefault="00A85ABA" w:rsidP="005333E7">
      <w:pPr>
        <w:jc w:val="both"/>
        <w:rPr>
          <w:rFonts w:ascii="Arial Narrow" w:hAnsi="Arial Narrow" w:cstheme="majorHAnsi"/>
          <w:lang w:eastAsia="en-GB"/>
        </w:rPr>
      </w:pPr>
      <w:r w:rsidRPr="00AB3E42">
        <w:rPr>
          <w:rFonts w:ascii="Arial Narrow" w:hAnsi="Arial Narrow" w:cstheme="majorHAnsi"/>
          <w:lang w:eastAsia="en-GB"/>
        </w:rPr>
        <w:t xml:space="preserve">Source: Survey </w:t>
      </w:r>
      <w:r w:rsidR="00F901A9" w:rsidRPr="00AB3E42">
        <w:rPr>
          <w:rFonts w:ascii="Arial Narrow" w:hAnsi="Arial Narrow" w:cstheme="majorHAnsi"/>
          <w:lang w:eastAsia="en-GB"/>
        </w:rPr>
        <w:t>f</w:t>
      </w:r>
      <w:r w:rsidRPr="00AB3E42">
        <w:rPr>
          <w:rFonts w:ascii="Arial Narrow" w:hAnsi="Arial Narrow" w:cstheme="majorHAnsi"/>
          <w:lang w:eastAsia="en-GB"/>
        </w:rPr>
        <w:t>indings, 202</w:t>
      </w:r>
      <w:r w:rsidR="002866F3" w:rsidRPr="00AB3E42">
        <w:rPr>
          <w:rFonts w:ascii="Arial Narrow" w:hAnsi="Arial Narrow" w:cstheme="majorHAnsi"/>
          <w:lang w:eastAsia="en-GB"/>
        </w:rPr>
        <w:t>5</w:t>
      </w:r>
    </w:p>
    <w:p w14:paraId="691A581A" w14:textId="73B5B3E7" w:rsidR="002866F3" w:rsidRPr="00AB3E42" w:rsidRDefault="00C20B8A" w:rsidP="002866F3">
      <w:pPr>
        <w:spacing w:before="100" w:beforeAutospacing="1" w:after="100" w:afterAutospacing="1"/>
        <w:jc w:val="both"/>
        <w:outlineLvl w:val="3"/>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Table 3</w:t>
      </w:r>
      <w:r w:rsidR="002866F3" w:rsidRPr="00AB3E42">
        <w:rPr>
          <w:rFonts w:ascii="Arial Narrow" w:eastAsia="Times New Roman" w:hAnsi="Arial Narrow" w:cstheme="majorHAnsi"/>
          <w:kern w:val="0"/>
          <w:lang w:val="en-US" w:eastAsia="en-GB"/>
          <w14:ligatures w14:val="none"/>
        </w:rPr>
        <w:t xml:space="preserve"> Indicate</w:t>
      </w:r>
      <w:r w:rsidR="0031352D" w:rsidRPr="00AB3E42">
        <w:rPr>
          <w:rFonts w:ascii="Arial Narrow" w:eastAsia="Times New Roman" w:hAnsi="Arial Narrow" w:cstheme="majorHAnsi"/>
          <w:kern w:val="0"/>
          <w:lang w:val="en-US" w:eastAsia="en-GB"/>
          <w14:ligatures w14:val="none"/>
        </w:rPr>
        <w:t xml:space="preserve"> gender, majority</w:t>
      </w:r>
      <w:r w:rsidR="002866F3" w:rsidRPr="00AB3E42">
        <w:rPr>
          <w:rFonts w:ascii="Arial Narrow" w:eastAsia="Times New Roman" w:hAnsi="Arial Narrow" w:cstheme="majorHAnsi"/>
          <w:kern w:val="0"/>
          <w:lang w:val="en-US" w:eastAsia="en-GB"/>
          <w14:ligatures w14:val="none"/>
        </w:rPr>
        <w:t xml:space="preserve"> of respondents 59 (67.1%) were female, and 28 (32%) were male because most of household in Geita Municipal Council the female is responsible for the cooking specifically using LPG. This implies that LPG implementers from household and food venders were having more female. This provides the evidence that the female respondents are the ones who tend to participate more on cooking activities</w:t>
      </w:r>
      <w:r w:rsidR="00CF05D0" w:rsidRPr="00AB3E42">
        <w:rPr>
          <w:rFonts w:ascii="Arial Narrow" w:eastAsia="Times New Roman" w:hAnsi="Arial Narrow" w:cstheme="majorHAnsi"/>
          <w:kern w:val="0"/>
          <w:lang w:val="en-US" w:eastAsia="en-GB"/>
          <w14:ligatures w14:val="none"/>
        </w:rPr>
        <w:t>,</w:t>
      </w:r>
      <w:r w:rsidR="002866F3" w:rsidRPr="00AB3E42">
        <w:rPr>
          <w:rFonts w:ascii="Arial Narrow" w:eastAsia="Times New Roman" w:hAnsi="Arial Narrow" w:cstheme="majorHAnsi"/>
          <w:kern w:val="0"/>
          <w:lang w:val="en-US" w:eastAsia="en-GB"/>
          <w14:ligatures w14:val="none"/>
        </w:rPr>
        <w:t xml:space="preserve"> comparing to the male respondents which are low comparing to the female</w:t>
      </w:r>
      <w:r w:rsidR="00CF05D0" w:rsidRPr="00AB3E42">
        <w:rPr>
          <w:rFonts w:ascii="Arial Narrow" w:eastAsia="Times New Roman" w:hAnsi="Arial Narrow" w:cstheme="majorHAnsi"/>
          <w:kern w:val="0"/>
          <w:lang w:val="en-US" w:eastAsia="en-GB"/>
          <w14:ligatures w14:val="none"/>
        </w:rPr>
        <w:t xml:space="preserve"> respondents in the study area</w:t>
      </w:r>
      <w:r w:rsidR="002866F3" w:rsidRPr="00AB3E42">
        <w:rPr>
          <w:rFonts w:ascii="Arial Narrow" w:eastAsia="Times New Roman" w:hAnsi="Arial Narrow" w:cstheme="majorHAnsi"/>
          <w:kern w:val="0"/>
          <w:lang w:val="en-US" w:eastAsia="en-GB"/>
          <w14:ligatures w14:val="none"/>
        </w:rPr>
        <w:t xml:space="preserve">. </w:t>
      </w:r>
      <w:r w:rsidRPr="00AB3E42">
        <w:rPr>
          <w:rFonts w:ascii="Arial Narrow" w:eastAsia="Times New Roman" w:hAnsi="Arial Narrow" w:cstheme="majorHAnsi"/>
          <w:kern w:val="0"/>
          <w:lang w:val="en-US" w:eastAsia="en-GB"/>
          <w14:ligatures w14:val="none"/>
        </w:rPr>
        <w:t>Also observed on various studies Yasmin</w:t>
      </w:r>
      <w:r w:rsidR="002866F3" w:rsidRPr="00AB3E42">
        <w:rPr>
          <w:rFonts w:ascii="Arial Narrow" w:eastAsia="Times New Roman" w:hAnsi="Arial Narrow" w:cstheme="majorHAnsi"/>
          <w:kern w:val="0"/>
          <w:lang w:val="en-US" w:eastAsia="en-GB"/>
          <w14:ligatures w14:val="none"/>
        </w:rPr>
        <w:t xml:space="preserve"> and Grundmann (2020) emphasize that women’s involvement is critical for successful clean cooking transitions. Subsidies for gender access significantly influence LPG adoption in rural Tanzania (Jamaldin, 2025).</w:t>
      </w:r>
    </w:p>
    <w:p w14:paraId="176F61CC" w14:textId="2F80E0EE" w:rsidR="002866F3" w:rsidRPr="00AB3E42" w:rsidRDefault="00C20B8A" w:rsidP="002866F3">
      <w:pPr>
        <w:spacing w:before="100" w:beforeAutospacing="1" w:after="100" w:afterAutospacing="1"/>
        <w:jc w:val="both"/>
        <w:outlineLvl w:val="3"/>
        <w:rPr>
          <w:rFonts w:ascii="Arial Narrow" w:eastAsia="Times New Roman" w:hAnsi="Arial Narrow" w:cstheme="majorHAnsi"/>
          <w:iCs/>
          <w:kern w:val="0"/>
          <w:lang w:val="en-US" w:eastAsia="en-GB"/>
          <w14:ligatures w14:val="none"/>
        </w:rPr>
      </w:pPr>
      <w:r w:rsidRPr="00AB3E42">
        <w:rPr>
          <w:rFonts w:ascii="Arial Narrow" w:eastAsia="Times New Roman" w:hAnsi="Arial Narrow" w:cstheme="majorHAnsi"/>
          <w:kern w:val="0"/>
          <w:lang w:val="en-US" w:eastAsia="en-GB"/>
          <w14:ligatures w14:val="none"/>
        </w:rPr>
        <w:t>Regarding Age Reveal</w:t>
      </w:r>
      <w:r w:rsidR="002866F3" w:rsidRPr="00AB3E42">
        <w:rPr>
          <w:rFonts w:ascii="Arial Narrow" w:eastAsia="Times New Roman" w:hAnsi="Arial Narrow" w:cstheme="majorHAnsi"/>
          <w:kern w:val="0"/>
          <w:lang w:val="en-US" w:eastAsia="en-GB"/>
          <w14:ligatures w14:val="none"/>
        </w:rPr>
        <w:t xml:space="preserve"> 76 (87.4%) aged between 25- 50 years, followed by 10 (11.5%) aged between 18-25 with very few 1 (1%) aged above 50 years. This implies household and food venders were in an age group of economically productive. This age group is typically characterized by greater adaptability and resilience as they seek convenien</w:t>
      </w:r>
      <w:r w:rsidR="00CF05D0" w:rsidRPr="00AB3E42">
        <w:rPr>
          <w:rFonts w:ascii="Arial Narrow" w:eastAsia="Times New Roman" w:hAnsi="Arial Narrow" w:cstheme="majorHAnsi"/>
          <w:kern w:val="0"/>
          <w:lang w:val="en-US" w:eastAsia="en-GB"/>
          <w14:ligatures w14:val="none"/>
        </w:rPr>
        <w:t xml:space="preserve">t and efficient cooking methods supported by </w:t>
      </w:r>
      <w:r w:rsidR="002866F3" w:rsidRPr="00AB3E42">
        <w:rPr>
          <w:rFonts w:ascii="Arial Narrow" w:eastAsia="Times New Roman" w:hAnsi="Arial Narrow" w:cstheme="majorHAnsi"/>
          <w:kern w:val="0"/>
          <w:lang w:val="en-US" w:eastAsia="en-GB"/>
          <w14:ligatures w14:val="none"/>
        </w:rPr>
        <w:t xml:space="preserve">Johnson </w:t>
      </w:r>
      <w:r w:rsidR="002866F3" w:rsidRPr="00AB3E42">
        <w:rPr>
          <w:rFonts w:ascii="Arial Narrow" w:eastAsia="Times New Roman" w:hAnsi="Arial Narrow" w:cstheme="majorHAnsi"/>
          <w:i/>
          <w:iCs/>
          <w:kern w:val="0"/>
          <w:lang w:val="en-US" w:eastAsia="en-GB"/>
          <w14:ligatures w14:val="none"/>
        </w:rPr>
        <w:t>et al.</w:t>
      </w:r>
      <w:r w:rsidR="002866F3" w:rsidRPr="00AB3E42">
        <w:rPr>
          <w:rFonts w:ascii="Arial Narrow" w:eastAsia="Times New Roman" w:hAnsi="Arial Narrow" w:cstheme="majorHAnsi"/>
          <w:kern w:val="0"/>
          <w:lang w:val="en-US" w:eastAsia="en-GB"/>
          <w14:ligatures w14:val="none"/>
        </w:rPr>
        <w:t xml:space="preserve"> (2019) reported similar age distributions in rural African households where younger adults drive energy transitions. Also Sharma and </w:t>
      </w:r>
      <w:r w:rsidR="002866F3" w:rsidRPr="00AB3E42">
        <w:rPr>
          <w:rFonts w:ascii="Arial Narrow" w:eastAsia="Times New Roman" w:hAnsi="Arial Narrow" w:cstheme="majorHAnsi"/>
          <w:kern w:val="0"/>
          <w:lang w:val="en-US" w:eastAsia="en-GB"/>
          <w14:ligatures w14:val="none"/>
        </w:rPr>
        <w:lastRenderedPageBreak/>
        <w:t xml:space="preserve">Rahman (2025) noted that multigenerational households often face internal conflicts over cooking fuel choices, affecting adoption rates. </w:t>
      </w:r>
    </w:p>
    <w:p w14:paraId="6BDE83F5" w14:textId="1DC42A9E" w:rsidR="002866F3" w:rsidRPr="00AB3E42" w:rsidRDefault="002866F3" w:rsidP="002866F3">
      <w:pPr>
        <w:spacing w:before="100" w:beforeAutospacing="1" w:after="100" w:afterAutospacing="1"/>
        <w:jc w:val="both"/>
        <w:outlineLvl w:val="3"/>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Level of education reveal that majority of respondents 43 (49.4%) were secondary, followed by 27 (31.0%) were college/university and 17 (19.5%) were primary (Table 3). This implies that majority of respondents at the study area are educated and tend to understand more about the need of LPG and its importance.</w:t>
      </w:r>
      <w:r w:rsidR="00CF05D0" w:rsidRPr="00AB3E42">
        <w:rPr>
          <w:rFonts w:ascii="Arial Narrow" w:eastAsia="Times New Roman" w:hAnsi="Arial Narrow" w:cstheme="majorHAnsi"/>
          <w:kern w:val="0"/>
          <w:lang w:val="en-US" w:eastAsia="en-GB"/>
          <w14:ligatures w14:val="none"/>
        </w:rPr>
        <w:t xml:space="preserve"> </w:t>
      </w:r>
      <w:r w:rsidRPr="00AB3E42">
        <w:rPr>
          <w:rFonts w:ascii="Arial Narrow" w:eastAsia="Times New Roman" w:hAnsi="Arial Narrow" w:cstheme="majorHAnsi"/>
          <w:kern w:val="0"/>
          <w:lang w:val="en-US" w:eastAsia="en-GB"/>
          <w14:ligatures w14:val="none"/>
        </w:rPr>
        <w:t>supported by Rahut (2019) found education to be a key driver for clean cooking adoption in East Africa, where higher education increased awareness and acceptance of LPG. Ndunguru and Lema (2021) highlighted education and household expenditure (income) are significant factors affecting LPG adoption.</w:t>
      </w:r>
    </w:p>
    <w:p w14:paraId="30E7DEFF" w14:textId="39503FF7" w:rsidR="002866F3" w:rsidRPr="00AB3E42" w:rsidRDefault="00CF05D0" w:rsidP="002866F3">
      <w:pPr>
        <w:spacing w:before="100" w:beforeAutospacing="1" w:after="100" w:afterAutospacing="1"/>
        <w:jc w:val="both"/>
        <w:outlineLvl w:val="3"/>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Household size</w:t>
      </w:r>
      <w:r w:rsidR="002866F3" w:rsidRPr="00AB3E42">
        <w:rPr>
          <w:rFonts w:ascii="Arial Narrow" w:eastAsia="Times New Roman" w:hAnsi="Arial Narrow" w:cstheme="majorHAnsi"/>
          <w:kern w:val="0"/>
          <w:lang w:val="en-US" w:eastAsia="en-GB"/>
          <w14:ligatures w14:val="none"/>
        </w:rPr>
        <w:t xml:space="preserve"> indicate that most majority (39.1%) were ranging from 1-3 members, (28.7%) were with members ranging from 4-6 member of household, (27.6%) were with members ranging from above 20-food venders and (4.6%) were with members ranging from 6-8 members. This</w:t>
      </w:r>
      <w:r w:rsidRPr="00AB3E42">
        <w:rPr>
          <w:rFonts w:ascii="Arial Narrow" w:eastAsia="Times New Roman" w:hAnsi="Arial Narrow" w:cstheme="majorHAnsi"/>
          <w:kern w:val="0"/>
          <w:lang w:val="en-US" w:eastAsia="en-GB"/>
          <w14:ligatures w14:val="none"/>
        </w:rPr>
        <w:t xml:space="preserve"> indicate</w:t>
      </w:r>
      <w:r w:rsidR="002866F3" w:rsidRPr="00AB3E42">
        <w:rPr>
          <w:rFonts w:ascii="Arial Narrow" w:eastAsia="Times New Roman" w:hAnsi="Arial Narrow" w:cstheme="majorHAnsi"/>
          <w:kern w:val="0"/>
          <w:lang w:val="en-US" w:eastAsia="en-GB"/>
          <w14:ligatures w14:val="none"/>
        </w:rPr>
        <w:t xml:space="preserve"> that there is difference use of LPG according to the size of the household and they differ on food vender in terms of the client. Households with a small size tend to adopt LPG easily while food venders those who have a high size and a high number of clients, tend to use LPG as its different from those who have a low size and low client don’t adopt easily. supporte</w:t>
      </w:r>
      <w:r w:rsidR="006A5FA3" w:rsidRPr="00AB3E42">
        <w:rPr>
          <w:rFonts w:ascii="Arial Narrow" w:eastAsia="Times New Roman" w:hAnsi="Arial Narrow" w:cstheme="majorHAnsi"/>
          <w:kern w:val="0"/>
          <w:lang w:val="en-US" w:eastAsia="en-GB"/>
          <w14:ligatures w14:val="none"/>
        </w:rPr>
        <w:t>d by Dongzagla and Adams (2022).</w:t>
      </w:r>
    </w:p>
    <w:p w14:paraId="37705F36" w14:textId="5CB50AEF" w:rsidR="002866F3" w:rsidRPr="00AB3E42" w:rsidRDefault="00CF05D0" w:rsidP="002866F3">
      <w:pPr>
        <w:spacing w:before="100" w:beforeAutospacing="1" w:after="100" w:afterAutospacing="1"/>
        <w:jc w:val="both"/>
        <w:outlineLvl w:val="3"/>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Regarding occupation</w:t>
      </w:r>
      <w:r w:rsidR="002866F3" w:rsidRPr="00AB3E42">
        <w:rPr>
          <w:rFonts w:ascii="Arial Narrow" w:eastAsia="Times New Roman" w:hAnsi="Arial Narrow" w:cstheme="majorHAnsi"/>
          <w:kern w:val="0"/>
          <w:lang w:val="en-US" w:eastAsia="en-GB"/>
          <w14:ligatures w14:val="none"/>
        </w:rPr>
        <w:t xml:space="preserve"> reveal that 60 (69.0%) respondents deal with business, followed with 19 (21.8%) based on formal employment, and with very few 8 (9.2%) deal with farming activities. </w:t>
      </w:r>
      <w:r w:rsidR="002866F3" w:rsidRPr="00AB3E42">
        <w:rPr>
          <w:rFonts w:ascii="Arial Narrow" w:eastAsia="Times New Roman" w:hAnsi="Arial Narrow" w:cstheme="majorHAnsi"/>
          <w:kern w:val="0"/>
          <w:lang w:eastAsia="en-GB"/>
          <w14:ligatures w14:val="none"/>
        </w:rPr>
        <w:t xml:space="preserve">This indicate that business owners tend to implement LPG in order to save the time on their activities so as to meet the intended goals according to the </w:t>
      </w:r>
      <w:r w:rsidRPr="00AB3E42">
        <w:rPr>
          <w:rFonts w:ascii="Arial Narrow" w:eastAsia="Times New Roman" w:hAnsi="Arial Narrow" w:cstheme="majorHAnsi"/>
          <w:kern w:val="0"/>
          <w:lang w:eastAsia="en-GB"/>
          <w14:ligatures w14:val="none"/>
        </w:rPr>
        <w:t>plan.</w:t>
      </w:r>
      <w:r w:rsidRPr="00AB3E42">
        <w:rPr>
          <w:rFonts w:ascii="Arial Narrow" w:eastAsia="Times New Roman" w:hAnsi="Arial Narrow" w:cstheme="majorHAnsi"/>
          <w:kern w:val="0"/>
          <w:lang w:val="en-US" w:eastAsia="en-GB"/>
          <w14:ligatures w14:val="none"/>
        </w:rPr>
        <w:t xml:space="preserve"> Shupler</w:t>
      </w:r>
      <w:r w:rsidR="002866F3" w:rsidRPr="00AB3E42">
        <w:rPr>
          <w:rFonts w:ascii="Arial Narrow" w:eastAsia="Times New Roman" w:hAnsi="Arial Narrow" w:cstheme="majorHAnsi"/>
          <w:kern w:val="0"/>
          <w:lang w:val="en-US" w:eastAsia="en-GB"/>
          <w14:ligatures w14:val="none"/>
        </w:rPr>
        <w:t xml:space="preserve"> </w:t>
      </w:r>
      <w:r w:rsidR="002866F3" w:rsidRPr="00AB3E42">
        <w:rPr>
          <w:rFonts w:ascii="Arial Narrow" w:eastAsia="Times New Roman" w:hAnsi="Arial Narrow" w:cstheme="majorHAnsi"/>
          <w:i/>
          <w:kern w:val="0"/>
          <w:lang w:val="en-US" w:eastAsia="en-GB"/>
          <w14:ligatures w14:val="none"/>
        </w:rPr>
        <w:t>et al.</w:t>
      </w:r>
      <w:r w:rsidR="002866F3" w:rsidRPr="00AB3E42">
        <w:rPr>
          <w:rFonts w:ascii="Arial Narrow" w:eastAsia="Times New Roman" w:hAnsi="Arial Narrow" w:cstheme="majorHAnsi"/>
          <w:kern w:val="0"/>
          <w:lang w:val="en-US" w:eastAsia="en-GB"/>
          <w14:ligatures w14:val="none"/>
        </w:rPr>
        <w:t xml:space="preserve"> (2024) documented that informal food businesses actively seek LPG adoption to meet operational needs and comply with health regulations, supporting the positive association between occupation and LPG use. Ismail </w:t>
      </w:r>
      <w:r w:rsidR="002866F3" w:rsidRPr="00AB3E42">
        <w:rPr>
          <w:rFonts w:ascii="Arial Narrow" w:eastAsia="Times New Roman" w:hAnsi="Arial Narrow" w:cstheme="majorHAnsi"/>
          <w:i/>
          <w:iCs/>
          <w:kern w:val="0"/>
          <w:lang w:val="en-US" w:eastAsia="en-GB"/>
          <w14:ligatures w14:val="none"/>
        </w:rPr>
        <w:t xml:space="preserve">et al. </w:t>
      </w:r>
      <w:r w:rsidR="002866F3" w:rsidRPr="00AB3E42">
        <w:rPr>
          <w:rFonts w:ascii="Arial Narrow" w:eastAsia="Times New Roman" w:hAnsi="Arial Narrow" w:cstheme="majorHAnsi"/>
          <w:kern w:val="0"/>
          <w:lang w:val="en-US" w:eastAsia="en-GB"/>
          <w14:ligatures w14:val="none"/>
        </w:rPr>
        <w:t>(2022) also narrated that workers tend to save time for cooking, and people who have a good job tend to adopt the LPG compared to those with no occupation.</w:t>
      </w:r>
    </w:p>
    <w:p w14:paraId="76F3F96E" w14:textId="2C53BE1B" w:rsidR="002866F3" w:rsidRPr="00AB3E42" w:rsidRDefault="00CF05D0" w:rsidP="002866F3">
      <w:pPr>
        <w:spacing w:before="100" w:beforeAutospacing="1" w:after="100" w:afterAutospacing="1"/>
        <w:jc w:val="both"/>
        <w:outlineLvl w:val="3"/>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Household income</w:t>
      </w:r>
      <w:r w:rsidR="002866F3" w:rsidRPr="00AB3E42">
        <w:rPr>
          <w:rFonts w:ascii="Arial Narrow" w:eastAsia="Times New Roman" w:hAnsi="Arial Narrow" w:cstheme="majorHAnsi"/>
          <w:kern w:val="0"/>
          <w:lang w:val="en-US" w:eastAsia="en-GB"/>
          <w14:ligatures w14:val="none"/>
        </w:rPr>
        <w:t xml:space="preserve"> indicates that out of 87 respondents about 47 (54.0%) earn below 500,000 followed by 22 (25.3%), followed by 1</w:t>
      </w:r>
      <w:r w:rsidR="008338BC" w:rsidRPr="00AB3E42">
        <w:rPr>
          <w:rFonts w:ascii="Arial Narrow" w:eastAsia="Times New Roman" w:hAnsi="Arial Narrow" w:cstheme="majorHAnsi"/>
          <w:kern w:val="0"/>
          <w:lang w:val="en-US" w:eastAsia="en-GB"/>
          <w14:ligatures w14:val="none"/>
        </w:rPr>
        <w:t xml:space="preserve">7 (19.5%) and very few 1 (1.1%). </w:t>
      </w:r>
      <w:r w:rsidR="002866F3" w:rsidRPr="00AB3E42">
        <w:rPr>
          <w:rFonts w:ascii="Arial Narrow" w:eastAsia="Times New Roman" w:hAnsi="Arial Narrow" w:cstheme="majorHAnsi"/>
          <w:kern w:val="0"/>
          <w:lang w:val="en-US" w:eastAsia="en-GB"/>
          <w14:ligatures w14:val="none"/>
        </w:rPr>
        <w:t>This implies that those household and food venders possess the high income they tend to implement LPG than those people who have low income. On study area indicated that most of respondent they earn below 500,000 that give challenge of affordability to get initial cost and refill cost, often opting for cheaper but harmful traditional fuels. These findings, supported by Karimu</w:t>
      </w:r>
      <w:r w:rsidR="002866F3" w:rsidRPr="00AB3E42">
        <w:rPr>
          <w:rFonts w:ascii="Arial Narrow" w:eastAsia="Times New Roman" w:hAnsi="Arial Narrow" w:cstheme="majorHAnsi"/>
          <w:i/>
          <w:iCs/>
          <w:kern w:val="0"/>
          <w:lang w:val="en-US" w:eastAsia="en-GB"/>
          <w14:ligatures w14:val="none"/>
        </w:rPr>
        <w:t xml:space="preserve"> et al.</w:t>
      </w:r>
      <w:r w:rsidR="002866F3" w:rsidRPr="00AB3E42">
        <w:rPr>
          <w:rFonts w:ascii="Arial Narrow" w:eastAsia="Times New Roman" w:hAnsi="Arial Narrow" w:cstheme="majorHAnsi"/>
          <w:kern w:val="0"/>
          <w:lang w:val="en-US" w:eastAsia="en-GB"/>
          <w14:ligatures w14:val="none"/>
        </w:rPr>
        <w:t xml:space="preserve"> (2022), urban households with better socio-economic and demographic factors tend to be more likely to adopt the LPG as the main cooking fuel, with variation on response rates based on income. This means that the higher income household they tend to use LPG for their cooking compared to those with </w:t>
      </w:r>
      <w:r w:rsidR="002866F3" w:rsidRPr="00AB3E42">
        <w:rPr>
          <w:rFonts w:ascii="Arial Narrow" w:eastAsia="Times New Roman" w:hAnsi="Arial Narrow" w:cstheme="majorHAnsi"/>
          <w:kern w:val="0"/>
          <w:lang w:val="en-US" w:eastAsia="en-GB"/>
          <w14:ligatures w14:val="none"/>
        </w:rPr>
        <w:lastRenderedPageBreak/>
        <w:t>low income. Also, Jamaldin (2025) stated higher household income is positively associated with the adoption and use of liquefied petroleum gas (LPG) for cooking in many low- and middle-income countries</w:t>
      </w:r>
    </w:p>
    <w:p w14:paraId="11E04360" w14:textId="77777777" w:rsidR="00D27652" w:rsidRPr="00AB3E42" w:rsidRDefault="00D27652" w:rsidP="00D27652">
      <w:pPr>
        <w:spacing w:before="100" w:beforeAutospacing="1" w:after="100" w:afterAutospacing="1"/>
        <w:jc w:val="both"/>
        <w:outlineLvl w:val="3"/>
        <w:rPr>
          <w:rFonts w:ascii="Arial Narrow" w:hAnsi="Arial Narrow" w:cstheme="majorHAnsi"/>
          <w:b/>
          <w:bCs/>
          <w:lang w:eastAsia="en-GB"/>
        </w:rPr>
      </w:pPr>
      <w:r w:rsidRPr="00AB3E42">
        <w:rPr>
          <w:rFonts w:ascii="Arial Narrow" w:hAnsi="Arial Narrow" w:cstheme="majorHAnsi"/>
          <w:b/>
          <w:bCs/>
          <w:lang w:eastAsia="en-GB"/>
        </w:rPr>
        <w:t xml:space="preserve">Table 4: Logistic Regression Results for </w:t>
      </w:r>
      <w:r w:rsidRPr="00AB3E42">
        <w:rPr>
          <w:rFonts w:ascii="Arial Narrow" w:hAnsi="Arial Narrow" w:cstheme="majorHAnsi"/>
          <w:b/>
          <w:bCs/>
          <w:lang w:val="en-US" w:eastAsia="en-GB"/>
        </w:rPr>
        <w:t>Factors Influence the Adoption of LPG Uses</w:t>
      </w:r>
    </w:p>
    <w:tbl>
      <w:tblPr>
        <w:tblW w:w="9267" w:type="dxa"/>
        <w:tblInd w:w="108" w:type="dxa"/>
        <w:tblLook w:val="04A0" w:firstRow="1" w:lastRow="0" w:firstColumn="1" w:lastColumn="0" w:noHBand="0" w:noVBand="1"/>
      </w:tblPr>
      <w:tblGrid>
        <w:gridCol w:w="1544"/>
        <w:gridCol w:w="950"/>
        <w:gridCol w:w="950"/>
        <w:gridCol w:w="950"/>
        <w:gridCol w:w="950"/>
        <w:gridCol w:w="950"/>
        <w:gridCol w:w="950"/>
        <w:gridCol w:w="874"/>
        <w:gridCol w:w="1149"/>
      </w:tblGrid>
      <w:tr w:rsidR="00D27652" w:rsidRPr="00AB3E42" w14:paraId="253C34CF" w14:textId="77777777" w:rsidTr="00BE18AB">
        <w:trPr>
          <w:trHeight w:val="600"/>
        </w:trPr>
        <w:tc>
          <w:tcPr>
            <w:tcW w:w="1544" w:type="dxa"/>
            <w:vMerge w:val="restart"/>
            <w:tcBorders>
              <w:top w:val="single" w:sz="8" w:space="0" w:color="auto"/>
              <w:left w:val="nil"/>
              <w:bottom w:val="single" w:sz="8" w:space="0" w:color="000000"/>
              <w:right w:val="nil"/>
            </w:tcBorders>
            <w:noWrap/>
            <w:vAlign w:val="center"/>
            <w:hideMark/>
          </w:tcPr>
          <w:p w14:paraId="6385767D"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Factors</w:t>
            </w:r>
          </w:p>
        </w:tc>
        <w:tc>
          <w:tcPr>
            <w:tcW w:w="950" w:type="dxa"/>
            <w:vMerge w:val="restart"/>
            <w:tcBorders>
              <w:top w:val="single" w:sz="8" w:space="0" w:color="auto"/>
              <w:left w:val="nil"/>
              <w:bottom w:val="single" w:sz="8" w:space="0" w:color="000000"/>
              <w:right w:val="nil"/>
            </w:tcBorders>
            <w:noWrap/>
            <w:vAlign w:val="center"/>
            <w:hideMark/>
          </w:tcPr>
          <w:p w14:paraId="121F9798"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Β</w:t>
            </w:r>
          </w:p>
        </w:tc>
        <w:tc>
          <w:tcPr>
            <w:tcW w:w="950" w:type="dxa"/>
            <w:vMerge w:val="restart"/>
            <w:tcBorders>
              <w:top w:val="single" w:sz="8" w:space="0" w:color="auto"/>
              <w:left w:val="nil"/>
              <w:bottom w:val="single" w:sz="8" w:space="0" w:color="000000"/>
              <w:right w:val="nil"/>
            </w:tcBorders>
            <w:noWrap/>
            <w:vAlign w:val="center"/>
            <w:hideMark/>
          </w:tcPr>
          <w:p w14:paraId="61075132"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S.E.</w:t>
            </w:r>
          </w:p>
        </w:tc>
        <w:tc>
          <w:tcPr>
            <w:tcW w:w="950" w:type="dxa"/>
            <w:vMerge w:val="restart"/>
            <w:tcBorders>
              <w:top w:val="single" w:sz="8" w:space="0" w:color="auto"/>
              <w:left w:val="nil"/>
              <w:bottom w:val="single" w:sz="8" w:space="0" w:color="000000"/>
              <w:right w:val="nil"/>
            </w:tcBorders>
            <w:noWrap/>
            <w:vAlign w:val="center"/>
            <w:hideMark/>
          </w:tcPr>
          <w:p w14:paraId="70C2E718"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Wald</w:t>
            </w:r>
          </w:p>
        </w:tc>
        <w:tc>
          <w:tcPr>
            <w:tcW w:w="950" w:type="dxa"/>
            <w:vMerge w:val="restart"/>
            <w:tcBorders>
              <w:top w:val="single" w:sz="8" w:space="0" w:color="auto"/>
              <w:left w:val="nil"/>
              <w:bottom w:val="single" w:sz="8" w:space="0" w:color="000000"/>
              <w:right w:val="nil"/>
            </w:tcBorders>
            <w:noWrap/>
            <w:vAlign w:val="center"/>
            <w:hideMark/>
          </w:tcPr>
          <w:p w14:paraId="00286E32"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Df</w:t>
            </w:r>
          </w:p>
        </w:tc>
        <w:tc>
          <w:tcPr>
            <w:tcW w:w="950" w:type="dxa"/>
            <w:vMerge w:val="restart"/>
            <w:tcBorders>
              <w:top w:val="single" w:sz="8" w:space="0" w:color="auto"/>
              <w:left w:val="nil"/>
              <w:bottom w:val="single" w:sz="8" w:space="0" w:color="000000"/>
              <w:right w:val="nil"/>
            </w:tcBorders>
            <w:noWrap/>
            <w:vAlign w:val="center"/>
            <w:hideMark/>
          </w:tcPr>
          <w:p w14:paraId="2A182BFD"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p-value</w:t>
            </w:r>
          </w:p>
        </w:tc>
        <w:tc>
          <w:tcPr>
            <w:tcW w:w="950" w:type="dxa"/>
            <w:vMerge w:val="restart"/>
            <w:tcBorders>
              <w:top w:val="single" w:sz="8" w:space="0" w:color="auto"/>
              <w:left w:val="nil"/>
              <w:bottom w:val="single" w:sz="8" w:space="0" w:color="000000"/>
              <w:right w:val="nil"/>
            </w:tcBorders>
            <w:noWrap/>
            <w:vAlign w:val="center"/>
            <w:hideMark/>
          </w:tcPr>
          <w:p w14:paraId="7C5C48BF"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Exp(β)</w:t>
            </w:r>
          </w:p>
        </w:tc>
        <w:tc>
          <w:tcPr>
            <w:tcW w:w="2018" w:type="dxa"/>
            <w:gridSpan w:val="2"/>
            <w:tcBorders>
              <w:top w:val="single" w:sz="8" w:space="0" w:color="auto"/>
              <w:left w:val="nil"/>
              <w:bottom w:val="single" w:sz="8" w:space="0" w:color="auto"/>
              <w:right w:val="nil"/>
            </w:tcBorders>
            <w:vAlign w:val="center"/>
            <w:hideMark/>
          </w:tcPr>
          <w:p w14:paraId="7B5FCCAE"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C.I. for 95% EXP(β)</w:t>
            </w:r>
          </w:p>
        </w:tc>
      </w:tr>
      <w:tr w:rsidR="00D27652" w:rsidRPr="00AB3E42" w14:paraId="1E0C334B" w14:textId="77777777" w:rsidTr="00BE18AB">
        <w:trPr>
          <w:trHeight w:val="197"/>
        </w:trPr>
        <w:tc>
          <w:tcPr>
            <w:tcW w:w="1544" w:type="dxa"/>
            <w:vMerge/>
            <w:tcBorders>
              <w:top w:val="single" w:sz="8" w:space="0" w:color="auto"/>
              <w:left w:val="nil"/>
              <w:bottom w:val="single" w:sz="8" w:space="0" w:color="000000"/>
              <w:right w:val="nil"/>
            </w:tcBorders>
            <w:vAlign w:val="center"/>
            <w:hideMark/>
          </w:tcPr>
          <w:p w14:paraId="11C2BDF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76FDB119"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7D7FF128"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30538D15"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10583AB8"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23D16163"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3291E3D0"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874" w:type="dxa"/>
            <w:tcBorders>
              <w:top w:val="nil"/>
              <w:left w:val="nil"/>
              <w:bottom w:val="single" w:sz="8" w:space="0" w:color="auto"/>
              <w:right w:val="nil"/>
            </w:tcBorders>
            <w:noWrap/>
            <w:vAlign w:val="center"/>
            <w:hideMark/>
          </w:tcPr>
          <w:p w14:paraId="21DD7C07"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Lower</w:t>
            </w:r>
          </w:p>
        </w:tc>
        <w:tc>
          <w:tcPr>
            <w:tcW w:w="1143" w:type="dxa"/>
            <w:tcBorders>
              <w:top w:val="nil"/>
              <w:left w:val="nil"/>
              <w:bottom w:val="single" w:sz="8" w:space="0" w:color="auto"/>
              <w:right w:val="nil"/>
            </w:tcBorders>
            <w:noWrap/>
            <w:vAlign w:val="center"/>
            <w:hideMark/>
          </w:tcPr>
          <w:p w14:paraId="48EBEDBC"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Upper</w:t>
            </w:r>
          </w:p>
        </w:tc>
      </w:tr>
      <w:tr w:rsidR="00D27652" w:rsidRPr="00AB3E42" w14:paraId="63E6CFD8" w14:textId="77777777" w:rsidTr="00BE18AB">
        <w:trPr>
          <w:trHeight w:val="310"/>
        </w:trPr>
        <w:tc>
          <w:tcPr>
            <w:tcW w:w="1544" w:type="dxa"/>
            <w:tcBorders>
              <w:top w:val="nil"/>
              <w:left w:val="nil"/>
              <w:bottom w:val="nil"/>
              <w:right w:val="nil"/>
            </w:tcBorders>
            <w:noWrap/>
            <w:vAlign w:val="center"/>
            <w:hideMark/>
          </w:tcPr>
          <w:p w14:paraId="55189099"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Awareness</w:t>
            </w:r>
          </w:p>
        </w:tc>
        <w:tc>
          <w:tcPr>
            <w:tcW w:w="950" w:type="dxa"/>
            <w:tcBorders>
              <w:top w:val="nil"/>
              <w:left w:val="nil"/>
              <w:bottom w:val="nil"/>
              <w:right w:val="nil"/>
            </w:tcBorders>
            <w:noWrap/>
            <w:vAlign w:val="center"/>
            <w:hideMark/>
          </w:tcPr>
          <w:p w14:paraId="2A701AF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4.131</w:t>
            </w:r>
          </w:p>
        </w:tc>
        <w:tc>
          <w:tcPr>
            <w:tcW w:w="950" w:type="dxa"/>
            <w:tcBorders>
              <w:top w:val="nil"/>
              <w:left w:val="nil"/>
              <w:bottom w:val="nil"/>
              <w:right w:val="nil"/>
            </w:tcBorders>
            <w:noWrap/>
            <w:vAlign w:val="center"/>
            <w:hideMark/>
          </w:tcPr>
          <w:p w14:paraId="29C675D4"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1.518</w:t>
            </w:r>
          </w:p>
        </w:tc>
        <w:tc>
          <w:tcPr>
            <w:tcW w:w="950" w:type="dxa"/>
            <w:tcBorders>
              <w:top w:val="nil"/>
              <w:left w:val="nil"/>
              <w:bottom w:val="nil"/>
              <w:right w:val="nil"/>
            </w:tcBorders>
            <w:noWrap/>
            <w:vAlign w:val="center"/>
            <w:hideMark/>
          </w:tcPr>
          <w:p w14:paraId="3DA31D88"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7.409</w:t>
            </w:r>
          </w:p>
        </w:tc>
        <w:tc>
          <w:tcPr>
            <w:tcW w:w="950" w:type="dxa"/>
            <w:tcBorders>
              <w:top w:val="nil"/>
              <w:left w:val="nil"/>
              <w:bottom w:val="nil"/>
              <w:right w:val="nil"/>
            </w:tcBorders>
            <w:noWrap/>
            <w:vAlign w:val="center"/>
            <w:hideMark/>
          </w:tcPr>
          <w:p w14:paraId="35B0CA3E"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5A4B6C36"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0.006</w:t>
            </w:r>
          </w:p>
        </w:tc>
        <w:tc>
          <w:tcPr>
            <w:tcW w:w="950" w:type="dxa"/>
            <w:tcBorders>
              <w:top w:val="nil"/>
              <w:left w:val="nil"/>
              <w:bottom w:val="nil"/>
              <w:right w:val="nil"/>
            </w:tcBorders>
            <w:noWrap/>
            <w:vAlign w:val="center"/>
            <w:hideMark/>
          </w:tcPr>
          <w:p w14:paraId="1A833C98"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62.256</w:t>
            </w:r>
          </w:p>
        </w:tc>
        <w:tc>
          <w:tcPr>
            <w:tcW w:w="874" w:type="dxa"/>
            <w:tcBorders>
              <w:top w:val="nil"/>
              <w:left w:val="nil"/>
              <w:bottom w:val="nil"/>
              <w:right w:val="nil"/>
            </w:tcBorders>
            <w:noWrap/>
            <w:vAlign w:val="center"/>
            <w:hideMark/>
          </w:tcPr>
          <w:p w14:paraId="37B8590E"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3.179</w:t>
            </w:r>
          </w:p>
        </w:tc>
        <w:tc>
          <w:tcPr>
            <w:tcW w:w="1143" w:type="dxa"/>
            <w:tcBorders>
              <w:top w:val="nil"/>
              <w:left w:val="nil"/>
              <w:bottom w:val="nil"/>
              <w:right w:val="nil"/>
            </w:tcBorders>
            <w:noWrap/>
            <w:vAlign w:val="center"/>
            <w:hideMark/>
          </w:tcPr>
          <w:p w14:paraId="363D2CA7"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1219.311</w:t>
            </w:r>
          </w:p>
        </w:tc>
      </w:tr>
      <w:tr w:rsidR="00D27652" w:rsidRPr="00AB3E42" w14:paraId="724E7079" w14:textId="77777777" w:rsidTr="00BE18AB">
        <w:trPr>
          <w:trHeight w:val="310"/>
        </w:trPr>
        <w:tc>
          <w:tcPr>
            <w:tcW w:w="1544" w:type="dxa"/>
            <w:tcBorders>
              <w:top w:val="nil"/>
              <w:left w:val="nil"/>
              <w:bottom w:val="nil"/>
              <w:right w:val="nil"/>
            </w:tcBorders>
            <w:noWrap/>
            <w:vAlign w:val="center"/>
            <w:hideMark/>
          </w:tcPr>
          <w:p w14:paraId="28C06EC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Proximity</w:t>
            </w:r>
          </w:p>
        </w:tc>
        <w:tc>
          <w:tcPr>
            <w:tcW w:w="950" w:type="dxa"/>
            <w:tcBorders>
              <w:top w:val="nil"/>
              <w:left w:val="nil"/>
              <w:bottom w:val="nil"/>
              <w:right w:val="nil"/>
            </w:tcBorders>
            <w:noWrap/>
            <w:vAlign w:val="center"/>
            <w:hideMark/>
          </w:tcPr>
          <w:p w14:paraId="7965C16B"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-0.976</w:t>
            </w:r>
          </w:p>
        </w:tc>
        <w:tc>
          <w:tcPr>
            <w:tcW w:w="950" w:type="dxa"/>
            <w:tcBorders>
              <w:top w:val="nil"/>
              <w:left w:val="nil"/>
              <w:bottom w:val="nil"/>
              <w:right w:val="nil"/>
            </w:tcBorders>
            <w:noWrap/>
            <w:vAlign w:val="center"/>
            <w:hideMark/>
          </w:tcPr>
          <w:p w14:paraId="4FBA27DF"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1.134</w:t>
            </w:r>
          </w:p>
        </w:tc>
        <w:tc>
          <w:tcPr>
            <w:tcW w:w="950" w:type="dxa"/>
            <w:tcBorders>
              <w:top w:val="nil"/>
              <w:left w:val="nil"/>
              <w:bottom w:val="nil"/>
              <w:right w:val="nil"/>
            </w:tcBorders>
            <w:noWrap/>
            <w:vAlign w:val="center"/>
            <w:hideMark/>
          </w:tcPr>
          <w:p w14:paraId="3398758C"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0.741</w:t>
            </w:r>
          </w:p>
        </w:tc>
        <w:tc>
          <w:tcPr>
            <w:tcW w:w="950" w:type="dxa"/>
            <w:tcBorders>
              <w:top w:val="nil"/>
              <w:left w:val="nil"/>
              <w:bottom w:val="nil"/>
              <w:right w:val="nil"/>
            </w:tcBorders>
            <w:noWrap/>
            <w:vAlign w:val="center"/>
            <w:hideMark/>
          </w:tcPr>
          <w:p w14:paraId="7AE24609"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55A5C0B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0.389</w:t>
            </w:r>
          </w:p>
        </w:tc>
        <w:tc>
          <w:tcPr>
            <w:tcW w:w="950" w:type="dxa"/>
            <w:tcBorders>
              <w:top w:val="nil"/>
              <w:left w:val="nil"/>
              <w:bottom w:val="nil"/>
              <w:right w:val="nil"/>
            </w:tcBorders>
            <w:noWrap/>
            <w:vAlign w:val="center"/>
            <w:hideMark/>
          </w:tcPr>
          <w:p w14:paraId="52DF8A58"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0.377</w:t>
            </w:r>
          </w:p>
        </w:tc>
        <w:tc>
          <w:tcPr>
            <w:tcW w:w="874" w:type="dxa"/>
            <w:tcBorders>
              <w:top w:val="nil"/>
              <w:left w:val="nil"/>
              <w:bottom w:val="nil"/>
              <w:right w:val="nil"/>
            </w:tcBorders>
            <w:noWrap/>
            <w:vAlign w:val="center"/>
            <w:hideMark/>
          </w:tcPr>
          <w:p w14:paraId="64CB2596"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0.041</w:t>
            </w:r>
          </w:p>
        </w:tc>
        <w:tc>
          <w:tcPr>
            <w:tcW w:w="1143" w:type="dxa"/>
            <w:tcBorders>
              <w:top w:val="nil"/>
              <w:left w:val="nil"/>
              <w:bottom w:val="nil"/>
              <w:right w:val="nil"/>
            </w:tcBorders>
            <w:noWrap/>
            <w:vAlign w:val="center"/>
            <w:hideMark/>
          </w:tcPr>
          <w:p w14:paraId="606DE09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3.48</w:t>
            </w:r>
          </w:p>
        </w:tc>
      </w:tr>
      <w:tr w:rsidR="00D27652" w:rsidRPr="00AB3E42" w14:paraId="6F29DCEB" w14:textId="77777777" w:rsidTr="00BE18AB">
        <w:trPr>
          <w:trHeight w:val="310"/>
        </w:trPr>
        <w:tc>
          <w:tcPr>
            <w:tcW w:w="1544" w:type="dxa"/>
            <w:tcBorders>
              <w:top w:val="nil"/>
              <w:left w:val="nil"/>
              <w:bottom w:val="nil"/>
              <w:right w:val="nil"/>
            </w:tcBorders>
            <w:noWrap/>
            <w:vAlign w:val="center"/>
            <w:hideMark/>
          </w:tcPr>
          <w:p w14:paraId="463DCDD0"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Attitude</w:t>
            </w:r>
          </w:p>
        </w:tc>
        <w:tc>
          <w:tcPr>
            <w:tcW w:w="950" w:type="dxa"/>
            <w:tcBorders>
              <w:top w:val="nil"/>
              <w:left w:val="nil"/>
              <w:bottom w:val="nil"/>
              <w:right w:val="nil"/>
            </w:tcBorders>
            <w:noWrap/>
            <w:vAlign w:val="center"/>
            <w:hideMark/>
          </w:tcPr>
          <w:p w14:paraId="4C0D8824"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-2.011</w:t>
            </w:r>
          </w:p>
        </w:tc>
        <w:tc>
          <w:tcPr>
            <w:tcW w:w="950" w:type="dxa"/>
            <w:tcBorders>
              <w:top w:val="nil"/>
              <w:left w:val="nil"/>
              <w:bottom w:val="nil"/>
              <w:right w:val="nil"/>
            </w:tcBorders>
            <w:noWrap/>
            <w:vAlign w:val="center"/>
            <w:hideMark/>
          </w:tcPr>
          <w:p w14:paraId="3E2CB647"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0.936</w:t>
            </w:r>
          </w:p>
        </w:tc>
        <w:tc>
          <w:tcPr>
            <w:tcW w:w="950" w:type="dxa"/>
            <w:tcBorders>
              <w:top w:val="nil"/>
              <w:left w:val="nil"/>
              <w:bottom w:val="nil"/>
              <w:right w:val="nil"/>
            </w:tcBorders>
            <w:noWrap/>
            <w:vAlign w:val="center"/>
            <w:hideMark/>
          </w:tcPr>
          <w:p w14:paraId="54599C88"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4.622</w:t>
            </w:r>
          </w:p>
        </w:tc>
        <w:tc>
          <w:tcPr>
            <w:tcW w:w="950" w:type="dxa"/>
            <w:tcBorders>
              <w:top w:val="nil"/>
              <w:left w:val="nil"/>
              <w:bottom w:val="nil"/>
              <w:right w:val="nil"/>
            </w:tcBorders>
            <w:noWrap/>
            <w:vAlign w:val="center"/>
            <w:hideMark/>
          </w:tcPr>
          <w:p w14:paraId="0CD6E5F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2B414FC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0.032</w:t>
            </w:r>
          </w:p>
        </w:tc>
        <w:tc>
          <w:tcPr>
            <w:tcW w:w="950" w:type="dxa"/>
            <w:tcBorders>
              <w:top w:val="nil"/>
              <w:left w:val="nil"/>
              <w:bottom w:val="nil"/>
              <w:right w:val="nil"/>
            </w:tcBorders>
            <w:noWrap/>
            <w:vAlign w:val="center"/>
            <w:hideMark/>
          </w:tcPr>
          <w:p w14:paraId="039D9834"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0.134</w:t>
            </w:r>
          </w:p>
        </w:tc>
        <w:tc>
          <w:tcPr>
            <w:tcW w:w="874" w:type="dxa"/>
            <w:tcBorders>
              <w:top w:val="nil"/>
              <w:left w:val="nil"/>
              <w:bottom w:val="nil"/>
              <w:right w:val="nil"/>
            </w:tcBorders>
            <w:noWrap/>
            <w:vAlign w:val="center"/>
            <w:hideMark/>
          </w:tcPr>
          <w:p w14:paraId="4FE4A46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0.021</w:t>
            </w:r>
          </w:p>
        </w:tc>
        <w:tc>
          <w:tcPr>
            <w:tcW w:w="1143" w:type="dxa"/>
            <w:tcBorders>
              <w:top w:val="nil"/>
              <w:left w:val="nil"/>
              <w:bottom w:val="nil"/>
              <w:right w:val="nil"/>
            </w:tcBorders>
            <w:noWrap/>
            <w:vAlign w:val="center"/>
            <w:hideMark/>
          </w:tcPr>
          <w:p w14:paraId="118324DD"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0.837</w:t>
            </w:r>
          </w:p>
        </w:tc>
      </w:tr>
      <w:tr w:rsidR="00D27652" w:rsidRPr="00AB3E42" w14:paraId="6F33FA45" w14:textId="77777777" w:rsidTr="00BE18AB">
        <w:trPr>
          <w:trHeight w:val="310"/>
        </w:trPr>
        <w:tc>
          <w:tcPr>
            <w:tcW w:w="1544" w:type="dxa"/>
            <w:tcBorders>
              <w:top w:val="nil"/>
              <w:left w:val="nil"/>
              <w:bottom w:val="nil"/>
              <w:right w:val="nil"/>
            </w:tcBorders>
            <w:noWrap/>
            <w:vAlign w:val="center"/>
            <w:hideMark/>
          </w:tcPr>
          <w:p w14:paraId="340D0AC6"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Availability</w:t>
            </w:r>
          </w:p>
        </w:tc>
        <w:tc>
          <w:tcPr>
            <w:tcW w:w="950" w:type="dxa"/>
            <w:tcBorders>
              <w:top w:val="nil"/>
              <w:left w:val="nil"/>
              <w:bottom w:val="nil"/>
              <w:right w:val="nil"/>
            </w:tcBorders>
            <w:noWrap/>
            <w:vAlign w:val="center"/>
            <w:hideMark/>
          </w:tcPr>
          <w:p w14:paraId="73631AE1"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-3.337</w:t>
            </w:r>
          </w:p>
        </w:tc>
        <w:tc>
          <w:tcPr>
            <w:tcW w:w="950" w:type="dxa"/>
            <w:tcBorders>
              <w:top w:val="nil"/>
              <w:left w:val="nil"/>
              <w:bottom w:val="nil"/>
              <w:right w:val="nil"/>
            </w:tcBorders>
            <w:noWrap/>
            <w:vAlign w:val="center"/>
            <w:hideMark/>
          </w:tcPr>
          <w:p w14:paraId="3C0B187C"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1.567</w:t>
            </w:r>
          </w:p>
        </w:tc>
        <w:tc>
          <w:tcPr>
            <w:tcW w:w="950" w:type="dxa"/>
            <w:tcBorders>
              <w:top w:val="nil"/>
              <w:left w:val="nil"/>
              <w:bottom w:val="nil"/>
              <w:right w:val="nil"/>
            </w:tcBorders>
            <w:noWrap/>
            <w:vAlign w:val="center"/>
            <w:hideMark/>
          </w:tcPr>
          <w:p w14:paraId="10B7128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4.533</w:t>
            </w:r>
          </w:p>
        </w:tc>
        <w:tc>
          <w:tcPr>
            <w:tcW w:w="950" w:type="dxa"/>
            <w:tcBorders>
              <w:top w:val="nil"/>
              <w:left w:val="nil"/>
              <w:bottom w:val="nil"/>
              <w:right w:val="nil"/>
            </w:tcBorders>
            <w:noWrap/>
            <w:vAlign w:val="center"/>
            <w:hideMark/>
          </w:tcPr>
          <w:p w14:paraId="5A4DC750"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74E429D7"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0.033</w:t>
            </w:r>
          </w:p>
        </w:tc>
        <w:tc>
          <w:tcPr>
            <w:tcW w:w="950" w:type="dxa"/>
            <w:tcBorders>
              <w:top w:val="nil"/>
              <w:left w:val="nil"/>
              <w:bottom w:val="nil"/>
              <w:right w:val="nil"/>
            </w:tcBorders>
            <w:noWrap/>
            <w:vAlign w:val="center"/>
            <w:hideMark/>
          </w:tcPr>
          <w:p w14:paraId="70261EE1"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0.036</w:t>
            </w:r>
          </w:p>
        </w:tc>
        <w:tc>
          <w:tcPr>
            <w:tcW w:w="874" w:type="dxa"/>
            <w:tcBorders>
              <w:top w:val="nil"/>
              <w:left w:val="nil"/>
              <w:bottom w:val="nil"/>
              <w:right w:val="nil"/>
            </w:tcBorders>
            <w:noWrap/>
            <w:vAlign w:val="center"/>
            <w:hideMark/>
          </w:tcPr>
          <w:p w14:paraId="017B8EA9"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0.002</w:t>
            </w:r>
          </w:p>
        </w:tc>
        <w:tc>
          <w:tcPr>
            <w:tcW w:w="1143" w:type="dxa"/>
            <w:tcBorders>
              <w:top w:val="nil"/>
              <w:left w:val="nil"/>
              <w:bottom w:val="nil"/>
              <w:right w:val="nil"/>
            </w:tcBorders>
            <w:noWrap/>
            <w:vAlign w:val="center"/>
            <w:hideMark/>
          </w:tcPr>
          <w:p w14:paraId="7C1C92AD"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0.767</w:t>
            </w:r>
          </w:p>
        </w:tc>
      </w:tr>
      <w:tr w:rsidR="00D27652" w:rsidRPr="00AB3E42" w14:paraId="0762D073" w14:textId="77777777" w:rsidTr="00BE18AB">
        <w:trPr>
          <w:trHeight w:val="310"/>
        </w:trPr>
        <w:tc>
          <w:tcPr>
            <w:tcW w:w="1544" w:type="dxa"/>
            <w:tcBorders>
              <w:top w:val="nil"/>
              <w:left w:val="nil"/>
              <w:bottom w:val="nil"/>
              <w:right w:val="nil"/>
            </w:tcBorders>
            <w:noWrap/>
            <w:vAlign w:val="center"/>
            <w:hideMark/>
          </w:tcPr>
          <w:p w14:paraId="38152560"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Income</w:t>
            </w:r>
          </w:p>
        </w:tc>
        <w:tc>
          <w:tcPr>
            <w:tcW w:w="950" w:type="dxa"/>
            <w:tcBorders>
              <w:top w:val="nil"/>
              <w:left w:val="nil"/>
              <w:bottom w:val="nil"/>
              <w:right w:val="nil"/>
            </w:tcBorders>
            <w:noWrap/>
            <w:vAlign w:val="center"/>
            <w:hideMark/>
          </w:tcPr>
          <w:p w14:paraId="1E47948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4.173</w:t>
            </w:r>
          </w:p>
        </w:tc>
        <w:tc>
          <w:tcPr>
            <w:tcW w:w="950" w:type="dxa"/>
            <w:tcBorders>
              <w:top w:val="nil"/>
              <w:left w:val="nil"/>
              <w:bottom w:val="nil"/>
              <w:right w:val="nil"/>
            </w:tcBorders>
            <w:noWrap/>
            <w:vAlign w:val="center"/>
            <w:hideMark/>
          </w:tcPr>
          <w:p w14:paraId="3B1A429B"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1.595</w:t>
            </w:r>
          </w:p>
        </w:tc>
        <w:tc>
          <w:tcPr>
            <w:tcW w:w="950" w:type="dxa"/>
            <w:tcBorders>
              <w:top w:val="nil"/>
              <w:left w:val="nil"/>
              <w:bottom w:val="nil"/>
              <w:right w:val="nil"/>
            </w:tcBorders>
            <w:noWrap/>
            <w:vAlign w:val="center"/>
            <w:hideMark/>
          </w:tcPr>
          <w:p w14:paraId="797A114B"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6.843</w:t>
            </w:r>
          </w:p>
        </w:tc>
        <w:tc>
          <w:tcPr>
            <w:tcW w:w="950" w:type="dxa"/>
            <w:tcBorders>
              <w:top w:val="nil"/>
              <w:left w:val="nil"/>
              <w:bottom w:val="nil"/>
              <w:right w:val="nil"/>
            </w:tcBorders>
            <w:noWrap/>
            <w:vAlign w:val="center"/>
            <w:hideMark/>
          </w:tcPr>
          <w:p w14:paraId="5AF6540B"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3703161E"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0.009</w:t>
            </w:r>
          </w:p>
        </w:tc>
        <w:tc>
          <w:tcPr>
            <w:tcW w:w="950" w:type="dxa"/>
            <w:tcBorders>
              <w:top w:val="nil"/>
              <w:left w:val="nil"/>
              <w:bottom w:val="nil"/>
              <w:right w:val="nil"/>
            </w:tcBorders>
            <w:noWrap/>
            <w:vAlign w:val="center"/>
            <w:hideMark/>
          </w:tcPr>
          <w:p w14:paraId="0C745ADD"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64.941</w:t>
            </w:r>
          </w:p>
        </w:tc>
        <w:tc>
          <w:tcPr>
            <w:tcW w:w="874" w:type="dxa"/>
            <w:tcBorders>
              <w:top w:val="nil"/>
              <w:left w:val="nil"/>
              <w:bottom w:val="nil"/>
              <w:right w:val="nil"/>
            </w:tcBorders>
            <w:noWrap/>
            <w:vAlign w:val="center"/>
            <w:hideMark/>
          </w:tcPr>
          <w:p w14:paraId="66CE7B38"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2.847</w:t>
            </w:r>
          </w:p>
        </w:tc>
        <w:tc>
          <w:tcPr>
            <w:tcW w:w="1143" w:type="dxa"/>
            <w:tcBorders>
              <w:top w:val="nil"/>
              <w:left w:val="nil"/>
              <w:bottom w:val="nil"/>
              <w:right w:val="nil"/>
            </w:tcBorders>
            <w:noWrap/>
            <w:vAlign w:val="center"/>
            <w:hideMark/>
          </w:tcPr>
          <w:p w14:paraId="1A59F04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1481.092</w:t>
            </w:r>
          </w:p>
        </w:tc>
      </w:tr>
      <w:tr w:rsidR="00D27652" w:rsidRPr="00AB3E42" w14:paraId="19C4E4D7" w14:textId="77777777" w:rsidTr="00BE18AB">
        <w:trPr>
          <w:trHeight w:val="310"/>
        </w:trPr>
        <w:tc>
          <w:tcPr>
            <w:tcW w:w="1544" w:type="dxa"/>
            <w:tcBorders>
              <w:top w:val="nil"/>
              <w:left w:val="nil"/>
              <w:bottom w:val="nil"/>
              <w:right w:val="nil"/>
            </w:tcBorders>
            <w:noWrap/>
            <w:vAlign w:val="center"/>
            <w:hideMark/>
          </w:tcPr>
          <w:p w14:paraId="74E36F4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education level</w:t>
            </w:r>
          </w:p>
        </w:tc>
        <w:tc>
          <w:tcPr>
            <w:tcW w:w="950" w:type="dxa"/>
            <w:tcBorders>
              <w:top w:val="nil"/>
              <w:left w:val="nil"/>
              <w:bottom w:val="nil"/>
              <w:right w:val="nil"/>
            </w:tcBorders>
            <w:noWrap/>
            <w:vAlign w:val="center"/>
            <w:hideMark/>
          </w:tcPr>
          <w:p w14:paraId="54316DD5"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2.735</w:t>
            </w:r>
          </w:p>
        </w:tc>
        <w:tc>
          <w:tcPr>
            <w:tcW w:w="950" w:type="dxa"/>
            <w:tcBorders>
              <w:top w:val="nil"/>
              <w:left w:val="nil"/>
              <w:bottom w:val="nil"/>
              <w:right w:val="nil"/>
            </w:tcBorders>
            <w:noWrap/>
            <w:vAlign w:val="center"/>
            <w:hideMark/>
          </w:tcPr>
          <w:p w14:paraId="074F5947"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1.402</w:t>
            </w:r>
          </w:p>
        </w:tc>
        <w:tc>
          <w:tcPr>
            <w:tcW w:w="950" w:type="dxa"/>
            <w:tcBorders>
              <w:top w:val="nil"/>
              <w:left w:val="nil"/>
              <w:bottom w:val="nil"/>
              <w:right w:val="nil"/>
            </w:tcBorders>
            <w:noWrap/>
            <w:vAlign w:val="center"/>
            <w:hideMark/>
          </w:tcPr>
          <w:p w14:paraId="0A20A48E"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3.805</w:t>
            </w:r>
          </w:p>
        </w:tc>
        <w:tc>
          <w:tcPr>
            <w:tcW w:w="950" w:type="dxa"/>
            <w:tcBorders>
              <w:top w:val="nil"/>
              <w:left w:val="nil"/>
              <w:bottom w:val="nil"/>
              <w:right w:val="nil"/>
            </w:tcBorders>
            <w:noWrap/>
            <w:vAlign w:val="center"/>
            <w:hideMark/>
          </w:tcPr>
          <w:p w14:paraId="21559210"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6AD1254F"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0.005</w:t>
            </w:r>
          </w:p>
        </w:tc>
        <w:tc>
          <w:tcPr>
            <w:tcW w:w="950" w:type="dxa"/>
            <w:tcBorders>
              <w:top w:val="nil"/>
              <w:left w:val="nil"/>
              <w:bottom w:val="nil"/>
              <w:right w:val="nil"/>
            </w:tcBorders>
            <w:noWrap/>
            <w:vAlign w:val="center"/>
            <w:hideMark/>
          </w:tcPr>
          <w:p w14:paraId="74913C0F"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15.413</w:t>
            </w:r>
          </w:p>
        </w:tc>
        <w:tc>
          <w:tcPr>
            <w:tcW w:w="874" w:type="dxa"/>
            <w:tcBorders>
              <w:top w:val="nil"/>
              <w:left w:val="nil"/>
              <w:bottom w:val="nil"/>
              <w:right w:val="nil"/>
            </w:tcBorders>
            <w:noWrap/>
            <w:vAlign w:val="center"/>
            <w:hideMark/>
          </w:tcPr>
          <w:p w14:paraId="02BA0F1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0.987</w:t>
            </w:r>
          </w:p>
        </w:tc>
        <w:tc>
          <w:tcPr>
            <w:tcW w:w="1143" w:type="dxa"/>
            <w:tcBorders>
              <w:top w:val="nil"/>
              <w:left w:val="nil"/>
              <w:bottom w:val="nil"/>
              <w:right w:val="nil"/>
            </w:tcBorders>
            <w:noWrap/>
            <w:vAlign w:val="center"/>
            <w:hideMark/>
          </w:tcPr>
          <w:p w14:paraId="36E21177"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240.671</w:t>
            </w:r>
          </w:p>
        </w:tc>
      </w:tr>
      <w:tr w:rsidR="00D27652" w:rsidRPr="00AB3E42" w14:paraId="4250D818" w14:textId="77777777" w:rsidTr="00BE18AB">
        <w:trPr>
          <w:trHeight w:val="320"/>
        </w:trPr>
        <w:tc>
          <w:tcPr>
            <w:tcW w:w="1544" w:type="dxa"/>
            <w:tcBorders>
              <w:top w:val="nil"/>
              <w:left w:val="nil"/>
              <w:bottom w:val="single" w:sz="8" w:space="0" w:color="auto"/>
              <w:right w:val="nil"/>
            </w:tcBorders>
            <w:noWrap/>
            <w:vAlign w:val="center"/>
            <w:hideMark/>
          </w:tcPr>
          <w:p w14:paraId="318BD815"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Constant</w:t>
            </w:r>
          </w:p>
        </w:tc>
        <w:tc>
          <w:tcPr>
            <w:tcW w:w="950" w:type="dxa"/>
            <w:tcBorders>
              <w:top w:val="nil"/>
              <w:left w:val="nil"/>
              <w:bottom w:val="single" w:sz="8" w:space="0" w:color="auto"/>
              <w:right w:val="nil"/>
            </w:tcBorders>
            <w:noWrap/>
            <w:vAlign w:val="center"/>
            <w:hideMark/>
          </w:tcPr>
          <w:p w14:paraId="5CED7E8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1.028</w:t>
            </w:r>
          </w:p>
        </w:tc>
        <w:tc>
          <w:tcPr>
            <w:tcW w:w="950" w:type="dxa"/>
            <w:tcBorders>
              <w:top w:val="nil"/>
              <w:left w:val="nil"/>
              <w:bottom w:val="single" w:sz="8" w:space="0" w:color="auto"/>
              <w:right w:val="nil"/>
            </w:tcBorders>
            <w:noWrap/>
            <w:vAlign w:val="center"/>
            <w:hideMark/>
          </w:tcPr>
          <w:p w14:paraId="1E1B3C1D"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0.41</w:t>
            </w:r>
          </w:p>
        </w:tc>
        <w:tc>
          <w:tcPr>
            <w:tcW w:w="950" w:type="dxa"/>
            <w:tcBorders>
              <w:top w:val="nil"/>
              <w:left w:val="nil"/>
              <w:bottom w:val="single" w:sz="8" w:space="0" w:color="auto"/>
              <w:right w:val="nil"/>
            </w:tcBorders>
            <w:noWrap/>
            <w:vAlign w:val="center"/>
            <w:hideMark/>
          </w:tcPr>
          <w:p w14:paraId="15DDD3D1"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6.277</w:t>
            </w:r>
          </w:p>
        </w:tc>
        <w:tc>
          <w:tcPr>
            <w:tcW w:w="950" w:type="dxa"/>
            <w:tcBorders>
              <w:top w:val="nil"/>
              <w:left w:val="nil"/>
              <w:bottom w:val="single" w:sz="8" w:space="0" w:color="auto"/>
              <w:right w:val="nil"/>
            </w:tcBorders>
            <w:noWrap/>
            <w:vAlign w:val="center"/>
            <w:hideMark/>
          </w:tcPr>
          <w:p w14:paraId="7A13C400"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single" w:sz="8" w:space="0" w:color="auto"/>
              <w:right w:val="nil"/>
            </w:tcBorders>
            <w:noWrap/>
            <w:vAlign w:val="center"/>
            <w:hideMark/>
          </w:tcPr>
          <w:p w14:paraId="6353345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0.012</w:t>
            </w:r>
          </w:p>
        </w:tc>
        <w:tc>
          <w:tcPr>
            <w:tcW w:w="950" w:type="dxa"/>
            <w:tcBorders>
              <w:top w:val="nil"/>
              <w:left w:val="nil"/>
              <w:bottom w:val="single" w:sz="8" w:space="0" w:color="auto"/>
              <w:right w:val="nil"/>
            </w:tcBorders>
            <w:noWrap/>
            <w:vAlign w:val="center"/>
            <w:hideMark/>
          </w:tcPr>
          <w:p w14:paraId="0A0C406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2.794</w:t>
            </w:r>
          </w:p>
        </w:tc>
        <w:tc>
          <w:tcPr>
            <w:tcW w:w="874" w:type="dxa"/>
            <w:tcBorders>
              <w:top w:val="nil"/>
              <w:left w:val="nil"/>
              <w:bottom w:val="single" w:sz="8" w:space="0" w:color="auto"/>
              <w:right w:val="nil"/>
            </w:tcBorders>
            <w:noWrap/>
            <w:vAlign w:val="center"/>
            <w:hideMark/>
          </w:tcPr>
          <w:p w14:paraId="130EA15B"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 </w:t>
            </w:r>
          </w:p>
        </w:tc>
        <w:tc>
          <w:tcPr>
            <w:tcW w:w="1143" w:type="dxa"/>
            <w:tcBorders>
              <w:top w:val="nil"/>
              <w:left w:val="nil"/>
              <w:bottom w:val="single" w:sz="8" w:space="0" w:color="auto"/>
              <w:right w:val="nil"/>
            </w:tcBorders>
            <w:noWrap/>
            <w:vAlign w:val="center"/>
            <w:hideMark/>
          </w:tcPr>
          <w:p w14:paraId="3350EAE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 </w:t>
            </w:r>
          </w:p>
        </w:tc>
      </w:tr>
      <w:tr w:rsidR="00D27652" w:rsidRPr="00AB3E42" w14:paraId="46F1248A" w14:textId="77777777" w:rsidTr="00BE18AB">
        <w:trPr>
          <w:trHeight w:val="310"/>
        </w:trPr>
        <w:tc>
          <w:tcPr>
            <w:tcW w:w="9267" w:type="dxa"/>
            <w:gridSpan w:val="9"/>
            <w:tcBorders>
              <w:top w:val="single" w:sz="8" w:space="0" w:color="auto"/>
              <w:left w:val="nil"/>
              <w:bottom w:val="single" w:sz="8" w:space="0" w:color="auto"/>
              <w:right w:val="nil"/>
            </w:tcBorders>
            <w:vAlign w:val="center"/>
            <w:hideMark/>
          </w:tcPr>
          <w:p w14:paraId="327ED654"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Nagelkerke R-Square = 0.459</w:t>
            </w:r>
          </w:p>
        </w:tc>
      </w:tr>
    </w:tbl>
    <w:p w14:paraId="2C139BAC" w14:textId="77777777" w:rsidR="00D27652" w:rsidRPr="00AB3E42" w:rsidRDefault="00D27652" w:rsidP="00D27652">
      <w:pPr>
        <w:spacing w:after="0"/>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Source: Study findings, 2025</w:t>
      </w:r>
    </w:p>
    <w:p w14:paraId="284000A3" w14:textId="39347682" w:rsidR="00503A0C" w:rsidRPr="00AB3E42" w:rsidRDefault="00056F9B" w:rsidP="00503A0C">
      <w:pPr>
        <w:spacing w:before="100" w:beforeAutospacing="1" w:after="100" w:afterAutospacing="1"/>
        <w:jc w:val="both"/>
        <w:outlineLvl w:val="3"/>
        <w:rPr>
          <w:rFonts w:ascii="Arial Narrow" w:hAnsi="Arial Narrow" w:cstheme="majorHAnsi"/>
          <w:lang w:val="en-US" w:eastAsia="en-GB"/>
        </w:rPr>
      </w:pPr>
      <w:r w:rsidRPr="00AB3E42">
        <w:rPr>
          <w:rFonts w:ascii="Arial Narrow" w:hAnsi="Arial Narrow" w:cstheme="majorHAnsi"/>
          <w:lang w:eastAsia="en-GB"/>
        </w:rPr>
        <w:t>In t</w:t>
      </w:r>
      <w:r w:rsidR="000C0E26" w:rsidRPr="00AB3E42">
        <w:rPr>
          <w:rFonts w:ascii="Arial Narrow" w:hAnsi="Arial Narrow" w:cstheme="majorHAnsi"/>
          <w:lang w:eastAsia="en-GB"/>
        </w:rPr>
        <w:t>his study</w:t>
      </w:r>
      <w:r w:rsidRPr="00AB3E42">
        <w:rPr>
          <w:rFonts w:ascii="Arial Narrow" w:hAnsi="Arial Narrow" w:cstheme="majorHAnsi"/>
          <w:lang w:eastAsia="en-GB"/>
        </w:rPr>
        <w:t>,</w:t>
      </w:r>
      <w:r w:rsidR="000C0E26" w:rsidRPr="00AB3E42">
        <w:rPr>
          <w:rFonts w:ascii="Arial Narrow" w:hAnsi="Arial Narrow" w:cstheme="majorHAnsi"/>
          <w:lang w:eastAsia="en-GB"/>
        </w:rPr>
        <w:t xml:space="preserve"> </w:t>
      </w:r>
      <w:r w:rsidRPr="00AB3E42">
        <w:rPr>
          <w:rFonts w:ascii="Arial Narrow" w:hAnsi="Arial Narrow" w:cstheme="majorHAnsi"/>
          <w:lang w:eastAsia="en-GB"/>
        </w:rPr>
        <w:t>w</w:t>
      </w:r>
      <w:r w:rsidR="000C0E26" w:rsidRPr="00AB3E42">
        <w:rPr>
          <w:rFonts w:ascii="Arial Narrow" w:hAnsi="Arial Narrow" w:cstheme="majorHAnsi"/>
          <w:lang w:eastAsia="en-GB"/>
        </w:rPr>
        <w:t>e</w:t>
      </w:r>
      <w:r w:rsidRPr="00AB3E42">
        <w:rPr>
          <w:rFonts w:ascii="Arial Narrow" w:hAnsi="Arial Narrow" w:cstheme="majorHAnsi"/>
          <w:lang w:eastAsia="en-GB"/>
        </w:rPr>
        <w:t xml:space="preserve"> us</w:t>
      </w:r>
      <w:r w:rsidR="000C0E26" w:rsidRPr="00AB3E42">
        <w:rPr>
          <w:rFonts w:ascii="Arial Narrow" w:hAnsi="Arial Narrow" w:cstheme="majorHAnsi"/>
          <w:lang w:eastAsia="en-GB"/>
        </w:rPr>
        <w:t xml:space="preserve">e the LR model to </w:t>
      </w:r>
      <w:r w:rsidR="002866F3" w:rsidRPr="00AB3E42">
        <w:rPr>
          <w:rFonts w:ascii="Arial Narrow" w:hAnsi="Arial Narrow" w:cstheme="majorHAnsi"/>
          <w:lang w:eastAsia="en-GB"/>
        </w:rPr>
        <w:t>analyse</w:t>
      </w:r>
      <w:r w:rsidRPr="00AB3E42">
        <w:rPr>
          <w:rFonts w:ascii="Arial Narrow" w:hAnsi="Arial Narrow" w:cstheme="majorHAnsi"/>
          <w:lang w:eastAsia="en-GB"/>
        </w:rPr>
        <w:t xml:space="preserve"> the f</w:t>
      </w:r>
      <w:r w:rsidR="000C0E26" w:rsidRPr="00AB3E42">
        <w:rPr>
          <w:rFonts w:ascii="Arial Narrow" w:hAnsi="Arial Narrow" w:cstheme="majorHAnsi"/>
          <w:lang w:eastAsia="en-GB"/>
        </w:rPr>
        <w:t>a</w:t>
      </w:r>
      <w:r w:rsidRPr="00AB3E42">
        <w:rPr>
          <w:rFonts w:ascii="Arial Narrow" w:hAnsi="Arial Narrow" w:cstheme="majorHAnsi"/>
          <w:lang w:eastAsia="en-GB"/>
        </w:rPr>
        <w:t xml:space="preserve">ctors </w:t>
      </w:r>
      <w:r w:rsidR="000C0E26" w:rsidRPr="00AB3E42">
        <w:rPr>
          <w:rFonts w:ascii="Arial Narrow" w:hAnsi="Arial Narrow" w:cstheme="majorHAnsi"/>
          <w:lang w:eastAsia="en-GB"/>
        </w:rPr>
        <w:t>in</w:t>
      </w:r>
      <w:r w:rsidRPr="00AB3E42">
        <w:rPr>
          <w:rFonts w:ascii="Arial Narrow" w:hAnsi="Arial Narrow" w:cstheme="majorHAnsi"/>
          <w:lang w:eastAsia="en-GB"/>
        </w:rPr>
        <w:t>flu</w:t>
      </w:r>
      <w:r w:rsidR="000C0E26" w:rsidRPr="00AB3E42">
        <w:rPr>
          <w:rFonts w:ascii="Arial Narrow" w:hAnsi="Arial Narrow" w:cstheme="majorHAnsi"/>
          <w:lang w:eastAsia="en-GB"/>
        </w:rPr>
        <w:t>e</w:t>
      </w:r>
      <w:r w:rsidRPr="00AB3E42">
        <w:rPr>
          <w:rFonts w:ascii="Arial Narrow" w:hAnsi="Arial Narrow" w:cstheme="majorHAnsi"/>
          <w:lang w:eastAsia="en-GB"/>
        </w:rPr>
        <w:t>ncing</w:t>
      </w:r>
      <w:r w:rsidR="000C0E26" w:rsidRPr="00AB3E42">
        <w:rPr>
          <w:rFonts w:ascii="Arial Narrow" w:hAnsi="Arial Narrow" w:cstheme="majorHAnsi"/>
          <w:lang w:eastAsia="en-GB"/>
        </w:rPr>
        <w:t xml:space="preserve"> the </w:t>
      </w:r>
      <w:r w:rsidR="002866F3" w:rsidRPr="00AB3E42">
        <w:rPr>
          <w:rFonts w:ascii="Arial Narrow" w:hAnsi="Arial Narrow" w:cstheme="majorHAnsi"/>
          <w:lang w:eastAsia="en-GB"/>
        </w:rPr>
        <w:t>Adoption of LPG in</w:t>
      </w:r>
      <w:r w:rsidRPr="00AB3E42">
        <w:rPr>
          <w:rFonts w:ascii="Arial Narrow" w:hAnsi="Arial Narrow" w:cstheme="majorHAnsi"/>
          <w:lang w:eastAsia="en-GB"/>
        </w:rPr>
        <w:t xml:space="preserve"> the </w:t>
      </w:r>
      <w:r w:rsidR="000C0E26" w:rsidRPr="00AB3E42">
        <w:rPr>
          <w:rFonts w:ascii="Arial Narrow" w:hAnsi="Arial Narrow" w:cstheme="majorHAnsi"/>
          <w:lang w:eastAsia="en-GB"/>
        </w:rPr>
        <w:t>s</w:t>
      </w:r>
      <w:r w:rsidRPr="00AB3E42">
        <w:rPr>
          <w:rFonts w:ascii="Arial Narrow" w:hAnsi="Arial Narrow" w:cstheme="majorHAnsi"/>
          <w:lang w:eastAsia="en-GB"/>
        </w:rPr>
        <w:t>tudy</w:t>
      </w:r>
      <w:r w:rsidR="000C0E26" w:rsidRPr="00AB3E42">
        <w:rPr>
          <w:rFonts w:ascii="Arial Narrow" w:hAnsi="Arial Narrow" w:cstheme="majorHAnsi"/>
          <w:lang w:eastAsia="en-GB"/>
        </w:rPr>
        <w:t xml:space="preserve"> </w:t>
      </w:r>
      <w:r w:rsidRPr="00AB3E42">
        <w:rPr>
          <w:rFonts w:ascii="Arial Narrow" w:hAnsi="Arial Narrow" w:cstheme="majorHAnsi"/>
          <w:lang w:eastAsia="en-GB"/>
        </w:rPr>
        <w:t>a</w:t>
      </w:r>
      <w:r w:rsidR="000C0E26" w:rsidRPr="00AB3E42">
        <w:rPr>
          <w:rFonts w:ascii="Arial Narrow" w:hAnsi="Arial Narrow" w:cstheme="majorHAnsi"/>
          <w:lang w:eastAsia="en-GB"/>
        </w:rPr>
        <w:t xml:space="preserve">rea. The </w:t>
      </w:r>
      <w:r w:rsidR="00503A0C" w:rsidRPr="00AB3E42">
        <w:rPr>
          <w:rFonts w:ascii="Arial Narrow" w:hAnsi="Arial Narrow" w:cstheme="majorHAnsi"/>
          <w:lang w:eastAsia="en-GB"/>
        </w:rPr>
        <w:t>factors considered</w:t>
      </w:r>
      <w:r w:rsidRPr="00AB3E42">
        <w:rPr>
          <w:rFonts w:ascii="Arial Narrow" w:hAnsi="Arial Narrow" w:cstheme="majorHAnsi"/>
          <w:lang w:eastAsia="en-GB"/>
        </w:rPr>
        <w:t xml:space="preserve"> in</w:t>
      </w:r>
      <w:r w:rsidR="00D41D20" w:rsidRPr="00AB3E42">
        <w:rPr>
          <w:rFonts w:ascii="Arial Narrow" w:hAnsi="Arial Narrow" w:cstheme="majorHAnsi"/>
          <w:lang w:eastAsia="en-GB"/>
        </w:rPr>
        <w:t xml:space="preserve"> the study </w:t>
      </w:r>
      <w:r w:rsidRPr="00AB3E42">
        <w:rPr>
          <w:rFonts w:ascii="Arial Narrow" w:hAnsi="Arial Narrow" w:cstheme="majorHAnsi"/>
          <w:lang w:eastAsia="en-GB"/>
        </w:rPr>
        <w:t xml:space="preserve">are </w:t>
      </w:r>
      <w:r w:rsidR="00503A0C" w:rsidRPr="00AB3E42">
        <w:rPr>
          <w:rFonts w:ascii="Arial Narrow" w:hAnsi="Arial Narrow" w:cstheme="majorHAnsi"/>
          <w:lang w:val="en-US" w:eastAsia="en-GB"/>
        </w:rPr>
        <w:t xml:space="preserve">The variables used were, awareness of LPG benefits, proximity to refill station, attitude towards LPG uses, availability of LPG suppliers, income, and education </w:t>
      </w:r>
      <w:r w:rsidR="00D27652" w:rsidRPr="00AB3E42">
        <w:rPr>
          <w:rFonts w:ascii="Arial Narrow" w:hAnsi="Arial Narrow" w:cstheme="majorHAnsi"/>
          <w:lang w:val="en-US" w:eastAsia="en-GB"/>
        </w:rPr>
        <w:t>level. The</w:t>
      </w:r>
      <w:r w:rsidR="00503A0C" w:rsidRPr="00AB3E42">
        <w:rPr>
          <w:rFonts w:ascii="Arial Narrow" w:hAnsi="Arial Narrow" w:cstheme="majorHAnsi"/>
          <w:lang w:val="en-US" w:eastAsia="en-GB"/>
        </w:rPr>
        <w:t xml:space="preserve"> result in Table 4 shows that the data from 87 respondents were analyzed. The likelihood ratio (LR) chi-square [LR Chi</w:t>
      </w:r>
      <w:r w:rsidR="00503A0C" w:rsidRPr="00AB3E42">
        <w:rPr>
          <w:rFonts w:ascii="Arial Narrow" w:hAnsi="Arial Narrow" w:cstheme="majorHAnsi"/>
          <w:vertAlign w:val="superscript"/>
          <w:lang w:val="en-US" w:eastAsia="en-GB"/>
        </w:rPr>
        <w:t>2</w:t>
      </w:r>
      <w:r w:rsidR="00503A0C" w:rsidRPr="00AB3E42">
        <w:rPr>
          <w:rFonts w:ascii="Arial Narrow" w:hAnsi="Arial Narrow" w:cstheme="majorHAnsi"/>
          <w:lang w:val="en-US" w:eastAsia="en-GB"/>
        </w:rPr>
        <w:t>(5)] value is 32.600. A significant LR chi-square test indicates that the proposed model is better than the null model (i.e., a model without any independent variable) in predicting the outcome variable. Furthermore, the LR chi-square test p-value = 0.0000 is less than 0.05, it means that the independent variables predict the outcome variable.</w:t>
      </w:r>
    </w:p>
    <w:p w14:paraId="2D09D230" w14:textId="6851235B" w:rsidR="00503A0C" w:rsidRPr="00AB3E42" w:rsidRDefault="00503A0C" w:rsidP="00503A0C">
      <w:pPr>
        <w:spacing w:before="100" w:beforeAutospacing="1" w:after="100" w:afterAutospacing="1"/>
        <w:jc w:val="both"/>
        <w:outlineLvl w:val="3"/>
        <w:rPr>
          <w:rFonts w:ascii="Arial Narrow" w:hAnsi="Arial Narrow" w:cstheme="majorHAnsi"/>
          <w:lang w:val="en-US" w:eastAsia="en-GB"/>
        </w:rPr>
      </w:pPr>
      <w:bookmarkStart w:id="4" w:name="_Hlk207130934"/>
      <w:r w:rsidRPr="00AB3E42">
        <w:rPr>
          <w:rFonts w:ascii="Arial Narrow" w:hAnsi="Arial Narrow" w:cstheme="majorHAnsi"/>
          <w:lang w:val="en-US" w:eastAsia="en-GB"/>
        </w:rPr>
        <w:t xml:space="preserve">The model explained 45.9% of the variance in adoption (Nagelkerke R² = 0.459), indicating a moderate explanatory power. Results showed that awareness (β = 4.131, p = 0.006, OR = 62.256) and income (β = 4.173, p = 0.009, OR = 64.941) were strong positive predictors of LPG adoption, suggesting that households with higher awareness and income were over 60 times more likely to adopt LPG compared to their counterparts. Education level (β = 2.735, p = 0.005, OR = 15.413) was significant, indicating a tendency for more educated households to adopt LPG. On the other hand, attitude (β = -2.011, p = 0.032, OR = 0.134) and availability (β = -3.337, p = 0.033, OR = 0.036) had less significant effects, implying that unfavorable perceptions significantly reduced the likelihood of adoption while availability is also influenced by other factors. Proximity (β = -0.976, p = 0.389, OR = 0.377) was not statistically significant, suggesting that distance </w:t>
      </w:r>
      <w:r w:rsidRPr="00AB3E42">
        <w:rPr>
          <w:rFonts w:ascii="Arial Narrow" w:hAnsi="Arial Narrow" w:cstheme="majorHAnsi"/>
          <w:lang w:val="en-US" w:eastAsia="en-GB"/>
        </w:rPr>
        <w:lastRenderedPageBreak/>
        <w:t>to suppliers did not play a major role. The findings highlight that adoption of LPG is primarily facilitated by awareness, income, and education, while negative attitudes and limited availability serve as key barriers.</w:t>
      </w:r>
      <w:bookmarkEnd w:id="4"/>
    </w:p>
    <w:p w14:paraId="03E47D8E" w14:textId="0BC63AF2" w:rsidR="00503A0C" w:rsidRPr="00AB3E42" w:rsidRDefault="00503A0C" w:rsidP="00503A0C">
      <w:pPr>
        <w:spacing w:before="100" w:beforeAutospacing="1" w:after="100" w:afterAutospacing="1"/>
        <w:jc w:val="both"/>
        <w:outlineLvl w:val="2"/>
        <w:rPr>
          <w:rFonts w:ascii="Arial Narrow" w:eastAsia="Times New Roman" w:hAnsi="Arial Narrow" w:cs="Times New Roman"/>
          <w:b/>
          <w:bCs/>
          <w:kern w:val="0"/>
          <w:lang w:val="en-US"/>
          <w14:ligatures w14:val="none"/>
        </w:rPr>
      </w:pPr>
      <w:bookmarkStart w:id="5" w:name="_Toc208433495"/>
      <w:r w:rsidRPr="00AB3E42">
        <w:rPr>
          <w:rFonts w:ascii="Arial Narrow" w:eastAsia="Times New Roman" w:hAnsi="Arial Narrow" w:cs="Times New Roman"/>
          <w:b/>
          <w:bCs/>
          <w:kern w:val="0"/>
          <w:lang w:val="en-US"/>
          <w14:ligatures w14:val="none"/>
        </w:rPr>
        <w:t>Awareness of LPG benefits</w:t>
      </w:r>
      <w:bookmarkEnd w:id="5"/>
    </w:p>
    <w:p w14:paraId="0C941469" w14:textId="3C19AFED" w:rsidR="00503A0C" w:rsidRPr="00AB3E42" w:rsidRDefault="00D27652" w:rsidP="00503A0C">
      <w:pPr>
        <w:spacing w:before="0" w:after="160"/>
        <w:jc w:val="both"/>
        <w:rPr>
          <w:rFonts w:ascii="Arial Narrow" w:eastAsia="Calibri" w:hAnsi="Arial Narrow" w:cs="Times New Roman"/>
          <w:kern w:val="0"/>
          <w:lang w:val="en-US"/>
          <w14:ligatures w14:val="none"/>
        </w:rPr>
      </w:pPr>
      <w:bookmarkStart w:id="6" w:name="_Hlk206308251"/>
      <w:r w:rsidRPr="00AB3E42">
        <w:rPr>
          <w:rFonts w:ascii="Arial Narrow" w:eastAsia="Calibri" w:hAnsi="Arial Narrow" w:cs="Times New Roman"/>
          <w:kern w:val="0"/>
          <w:lang w:val="en-US"/>
          <w14:ligatures w14:val="none"/>
        </w:rPr>
        <w:t>Awareness of LPG benefits</w:t>
      </w:r>
      <w:r w:rsidR="00503A0C" w:rsidRPr="00AB3E42">
        <w:rPr>
          <w:rFonts w:ascii="Arial Narrow" w:eastAsia="Calibri" w:hAnsi="Arial Narrow" w:cs="Times New Roman"/>
          <w:kern w:val="0"/>
          <w:lang w:val="en-US"/>
          <w14:ligatures w14:val="none"/>
        </w:rPr>
        <w:t xml:space="preserve"> show that the odd ratio (OR) awareness of LPG benefits 62.256 (95% CI: 3.176-1219.311), which is statistically significant (P=0.006) times 4.131 more likelihood to influence adoption of LPG in Kalangalala Ward. This implies that the awareness of LPG benefit to the households and food vender’s influences adoption of LPG in the study area, with an odds ratio (OR) of 62.256 and a statistically significant p-value of 0.006. This suggests that awareness of households and food venders is more likely to influence HH and Food vendor adopt the LPG because they understand the impo</w:t>
      </w:r>
      <w:r w:rsidRPr="00AB3E42">
        <w:rPr>
          <w:rFonts w:ascii="Arial Narrow" w:eastAsia="Calibri" w:hAnsi="Arial Narrow" w:cs="Times New Roman"/>
          <w:kern w:val="0"/>
          <w:lang w:val="en-US"/>
          <w14:ligatures w14:val="none"/>
        </w:rPr>
        <w:t>rtance and benefits of the LPG. These</w:t>
      </w:r>
      <w:r w:rsidR="00503A0C" w:rsidRPr="00AB3E42">
        <w:rPr>
          <w:rFonts w:ascii="Arial Narrow" w:eastAsia="Calibri" w:hAnsi="Arial Narrow" w:cs="Times New Roman"/>
          <w:kern w:val="0"/>
          <w:lang w:val="en-US"/>
          <w14:ligatures w14:val="none"/>
        </w:rPr>
        <w:t xml:space="preserve"> findings supported by Kumar </w:t>
      </w:r>
      <w:r w:rsidR="00503A0C" w:rsidRPr="00AB3E42">
        <w:rPr>
          <w:rFonts w:ascii="Arial Narrow" w:eastAsia="Calibri" w:hAnsi="Arial Narrow" w:cs="Times New Roman"/>
          <w:i/>
          <w:iCs/>
          <w:kern w:val="0"/>
          <w:lang w:val="en-US"/>
          <w14:ligatures w14:val="none"/>
        </w:rPr>
        <w:t>et al.</w:t>
      </w:r>
      <w:r w:rsidR="00503A0C" w:rsidRPr="00AB3E42">
        <w:rPr>
          <w:rFonts w:ascii="Arial Narrow" w:eastAsia="Calibri" w:hAnsi="Arial Narrow" w:cs="Times New Roman"/>
          <w:kern w:val="0"/>
          <w:lang w:val="en-US"/>
          <w14:ligatures w14:val="none"/>
        </w:rPr>
        <w:t xml:space="preserve"> (2020) LPG adoption is strongly associated with attending awareness campaigns on clean cooking benefits, awareness campaigns on clean cooking benefits are strongly associated with LPG adoption in rural poor households in India, while easy availability of biomass and concerns about safety reduce adoption.</w:t>
      </w:r>
    </w:p>
    <w:p w14:paraId="4EBAF840" w14:textId="6EC4AC58" w:rsidR="00503A0C" w:rsidRPr="00AB3E42" w:rsidRDefault="00503A0C" w:rsidP="00EE670F">
      <w:pPr>
        <w:spacing w:before="0" w:after="160" w:line="259" w:lineRule="auto"/>
        <w:jc w:val="left"/>
        <w:rPr>
          <w:rFonts w:ascii="Arial Narrow" w:eastAsia="Times New Roman" w:hAnsi="Arial Narrow" w:cs="Times New Roman"/>
          <w:b/>
          <w:bCs/>
          <w:kern w:val="0"/>
          <w:lang w:val="en-US"/>
          <w14:ligatures w14:val="none"/>
        </w:rPr>
      </w:pPr>
      <w:bookmarkStart w:id="7" w:name="_Toc208433496"/>
      <w:bookmarkEnd w:id="6"/>
      <w:r w:rsidRPr="00AB3E42">
        <w:rPr>
          <w:rFonts w:ascii="Arial Narrow" w:eastAsia="Times New Roman" w:hAnsi="Arial Narrow" w:cs="Times New Roman"/>
          <w:b/>
          <w:bCs/>
          <w:kern w:val="0"/>
          <w:lang w:val="en-US"/>
          <w14:ligatures w14:val="none"/>
        </w:rPr>
        <w:t>Proximity to refilling station</w:t>
      </w:r>
      <w:bookmarkEnd w:id="7"/>
      <w:r w:rsidRPr="00AB3E42">
        <w:rPr>
          <w:rFonts w:ascii="Arial Narrow" w:eastAsia="Times New Roman" w:hAnsi="Arial Narrow" w:cs="Times New Roman"/>
          <w:b/>
          <w:bCs/>
          <w:kern w:val="0"/>
          <w:lang w:val="en-US"/>
          <w14:ligatures w14:val="none"/>
        </w:rPr>
        <w:t xml:space="preserve"> </w:t>
      </w:r>
    </w:p>
    <w:p w14:paraId="6CC9B13F" w14:textId="68D36236" w:rsidR="00503A0C" w:rsidRPr="00AB3E42" w:rsidRDefault="00EE670F" w:rsidP="00503A0C">
      <w:pPr>
        <w:spacing w:before="0" w:after="16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Proximity to refill cost indicate</w:t>
      </w:r>
      <w:r w:rsidR="00503A0C" w:rsidRPr="00AB3E42">
        <w:rPr>
          <w:rFonts w:ascii="Arial Narrow" w:eastAsia="Calibri" w:hAnsi="Arial Narrow" w:cs="Times New Roman"/>
          <w:kern w:val="0"/>
          <w:lang w:val="en-US"/>
          <w14:ligatures w14:val="none"/>
        </w:rPr>
        <w:t xml:space="preserve"> that odd ratio (OR) proximity to refilling station 0.377 (95% CI: 0.041-3.480), which is not statistically significant (P=0.389) times -976 less likelihood to influence adoption of LPG in Kalangalala Ward. This implies that the proximity to refilling station to the households and food vendors does not influences adoption of LPG in the ward, with an odds ratio (OR) of 0.377 and not statistically significant with p-value of 0.389. This suggests that proximity to refilling station to the households and food venders is not influencing the adoption of LPG because the issue of proximity is not determined on the context of refilling because the LPG suppliers are available in Kalangalala Ward. This dedicate that the proximity to refilling station to the household and food venders is not likelihood to influe</w:t>
      </w:r>
      <w:r w:rsidRPr="00AB3E42">
        <w:rPr>
          <w:rFonts w:ascii="Arial Narrow" w:eastAsia="Calibri" w:hAnsi="Arial Narrow" w:cs="Times New Roman"/>
          <w:kern w:val="0"/>
          <w:lang w:val="en-US"/>
          <w14:ligatures w14:val="none"/>
        </w:rPr>
        <w:t xml:space="preserve">nce household to adopt the </w:t>
      </w:r>
      <w:r w:rsidR="00D0027A" w:rsidRPr="00AB3E42">
        <w:rPr>
          <w:rFonts w:ascii="Arial Narrow" w:eastAsia="Calibri" w:hAnsi="Arial Narrow" w:cs="Times New Roman"/>
          <w:kern w:val="0"/>
          <w:lang w:val="en-US"/>
          <w14:ligatures w14:val="none"/>
        </w:rPr>
        <w:t>LPG. Supported</w:t>
      </w:r>
      <w:r w:rsidR="00503A0C" w:rsidRPr="00AB3E42">
        <w:rPr>
          <w:rFonts w:ascii="Arial Narrow" w:eastAsia="Calibri" w:hAnsi="Arial Narrow" w:cs="Times New Roman"/>
          <w:kern w:val="0"/>
          <w:lang w:val="en-US"/>
          <w14:ligatures w14:val="none"/>
        </w:rPr>
        <w:t xml:space="preserve"> by Adjei-Mantey </w:t>
      </w:r>
      <w:r w:rsidR="00503A0C" w:rsidRPr="00AB3E42">
        <w:rPr>
          <w:rFonts w:ascii="Arial Narrow" w:eastAsia="Calibri" w:hAnsi="Arial Narrow" w:cs="Times New Roman"/>
          <w:i/>
          <w:kern w:val="0"/>
          <w:lang w:val="en-US"/>
          <w14:ligatures w14:val="none"/>
        </w:rPr>
        <w:t>et al.</w:t>
      </w:r>
      <w:r w:rsidR="00503A0C" w:rsidRPr="00AB3E42">
        <w:rPr>
          <w:rFonts w:ascii="Arial Narrow" w:eastAsia="Calibri" w:hAnsi="Arial Narrow" w:cs="Times New Roman"/>
          <w:kern w:val="0"/>
          <w:lang w:val="en-US"/>
          <w14:ligatures w14:val="none"/>
        </w:rPr>
        <w:t xml:space="preserve"> (2021) Research in Ghana demonstrates that greater distance to LPG refilling stations significantly reduces both the likelihood of households adopting LPG and the frequency of its use. Households closer to refilling stations are more likely to choose LPG as their primary cooking fuel, and use it more frequently. Policy interventions that reduce travel distance and associated costs for refilling LPG cylinders are shown to increase adoption rates and usage frequency. Both subjective (self-reported) and objective (geolocational) measures of distance confirm this negative relationship between distance and LPG use. </w:t>
      </w:r>
    </w:p>
    <w:p w14:paraId="1477A4C9" w14:textId="2D2FE8A2" w:rsidR="00503A0C" w:rsidRPr="00AB3E42" w:rsidRDefault="00503A0C" w:rsidP="00503A0C">
      <w:pPr>
        <w:spacing w:before="100" w:beforeAutospacing="1" w:after="100" w:afterAutospacing="1"/>
        <w:jc w:val="both"/>
        <w:outlineLvl w:val="2"/>
        <w:rPr>
          <w:rFonts w:ascii="Arial Narrow" w:eastAsia="Times New Roman" w:hAnsi="Arial Narrow" w:cs="Times New Roman"/>
          <w:b/>
          <w:bCs/>
          <w:kern w:val="0"/>
          <w:lang w:val="en-US"/>
          <w14:ligatures w14:val="none"/>
        </w:rPr>
      </w:pPr>
      <w:bookmarkStart w:id="8" w:name="_Toc208433497"/>
      <w:r w:rsidRPr="00AB3E42">
        <w:rPr>
          <w:rFonts w:ascii="Arial Narrow" w:eastAsia="Times New Roman" w:hAnsi="Arial Narrow" w:cs="Times New Roman"/>
          <w:b/>
          <w:bCs/>
          <w:kern w:val="0"/>
          <w:lang w:val="en-US"/>
          <w14:ligatures w14:val="none"/>
        </w:rPr>
        <w:t>Attitude to LPG uses</w:t>
      </w:r>
      <w:bookmarkEnd w:id="8"/>
    </w:p>
    <w:p w14:paraId="1C8C0444" w14:textId="4A815FC7" w:rsidR="00503A0C" w:rsidRPr="00AB3E42" w:rsidRDefault="00503A0C" w:rsidP="00503A0C">
      <w:pPr>
        <w:spacing w:before="0" w:after="160"/>
        <w:jc w:val="both"/>
        <w:rPr>
          <w:rFonts w:ascii="Arial Narrow" w:eastAsia="Calibri" w:hAnsi="Arial Narrow" w:cs="Times New Roman"/>
          <w:kern w:val="0"/>
          <w:lang w:val="en-US"/>
          <w14:ligatures w14:val="none"/>
        </w:rPr>
      </w:pPr>
      <w:bookmarkStart w:id="9" w:name="_Hlk206309253"/>
      <w:r w:rsidRPr="00AB3E42">
        <w:rPr>
          <w:rFonts w:ascii="Arial Narrow" w:eastAsia="Calibri" w:hAnsi="Arial Narrow" w:cs="Times New Roman"/>
          <w:kern w:val="0"/>
          <w:lang w:val="en-US"/>
          <w14:ligatures w14:val="none"/>
        </w:rPr>
        <w:lastRenderedPageBreak/>
        <w:t>The result show that the odd ratio (OR) attitude towards LPG uses 0.134 (95% CI: 0.021-0.837), which is statistically significant (P=0.036) times -2.011 less likelihood to influence adoption of LPG in Kalangalala Ward. This implies that the attitude of LPG uses to the households and food vendor’s influences adoption of LPG in the study area, with an odds ratio (OR) of 0.134 and a statistically significant p-value of 0.036. This suggests that attitude to LPG uses of households and food venders is more likely to achieve the adoption of LPG. This dedicate that the attitude to LPG uses is less likelihood to influence household to adopt the LPG because the emotional of household members and food vendors if is positive they tend to</w:t>
      </w:r>
      <w:r w:rsidR="00EE670F" w:rsidRPr="00AB3E42">
        <w:rPr>
          <w:rFonts w:ascii="Arial Narrow" w:eastAsia="Calibri" w:hAnsi="Arial Narrow" w:cs="Times New Roman"/>
          <w:kern w:val="0"/>
          <w:lang w:val="en-US"/>
          <w14:ligatures w14:val="none"/>
        </w:rPr>
        <w:t xml:space="preserve"> influence the adoption of LPG. </w:t>
      </w:r>
      <w:r w:rsidRPr="00AB3E42">
        <w:rPr>
          <w:rFonts w:ascii="Arial Narrow" w:eastAsia="Calibri" w:hAnsi="Arial Narrow" w:cs="Times New Roman"/>
          <w:kern w:val="0"/>
          <w:lang w:val="en-US"/>
          <w14:ligatures w14:val="none"/>
        </w:rPr>
        <w:t>adoption of LPG for cooking in urban areas of Malawi is influenced by attitude, perceived behavior control, and personal norms, wit</w:t>
      </w:r>
      <w:r w:rsidR="00D0027A" w:rsidRPr="00AB3E42">
        <w:rPr>
          <w:rFonts w:ascii="Arial Narrow" w:eastAsia="Calibri" w:hAnsi="Arial Narrow" w:cs="Times New Roman"/>
          <w:kern w:val="0"/>
          <w:lang w:val="en-US"/>
          <w14:ligatures w14:val="none"/>
        </w:rPr>
        <w:t>h cost playing a moderate role (Sandula and Awopone (2023)</w:t>
      </w:r>
      <w:r w:rsidR="00D0027A" w:rsidRPr="00AB3E42">
        <w:rPr>
          <w:rFonts w:ascii="Arial Narrow" w:eastAsia="Calibri" w:hAnsi="Arial Narrow" w:cs="Times New Roman"/>
          <w:kern w:val="0"/>
          <w:shd w:val="clear" w:color="auto" w:fill="FFFFFF"/>
          <w:lang w:val="en-US"/>
          <w14:ligatures w14:val="none"/>
        </w:rPr>
        <w:t xml:space="preserve">  </w:t>
      </w:r>
    </w:p>
    <w:p w14:paraId="428C769A" w14:textId="402D59D6" w:rsidR="00503A0C" w:rsidRPr="00AB3E42" w:rsidRDefault="00503A0C" w:rsidP="00503A0C">
      <w:pPr>
        <w:spacing w:before="100" w:beforeAutospacing="1" w:after="100" w:afterAutospacing="1"/>
        <w:jc w:val="both"/>
        <w:outlineLvl w:val="2"/>
        <w:rPr>
          <w:rFonts w:ascii="Arial Narrow" w:eastAsia="Times New Roman" w:hAnsi="Arial Narrow" w:cs="Times New Roman"/>
          <w:b/>
          <w:bCs/>
          <w:kern w:val="0"/>
          <w:lang w:val="en-US"/>
          <w14:ligatures w14:val="none"/>
        </w:rPr>
      </w:pPr>
      <w:bookmarkStart w:id="10" w:name="_Toc208433498"/>
      <w:bookmarkEnd w:id="9"/>
      <w:r w:rsidRPr="00AB3E42">
        <w:rPr>
          <w:rFonts w:ascii="Arial Narrow" w:eastAsia="Times New Roman" w:hAnsi="Arial Narrow" w:cs="Times New Roman"/>
          <w:b/>
          <w:bCs/>
          <w:kern w:val="0"/>
          <w:lang w:val="en-US"/>
          <w14:ligatures w14:val="none"/>
        </w:rPr>
        <w:t>Availability of LPG supplier’s</w:t>
      </w:r>
      <w:bookmarkEnd w:id="10"/>
      <w:r w:rsidRPr="00AB3E42">
        <w:rPr>
          <w:rFonts w:ascii="Arial Narrow" w:eastAsia="Times New Roman" w:hAnsi="Arial Narrow" w:cs="Times New Roman"/>
          <w:b/>
          <w:bCs/>
          <w:kern w:val="0"/>
          <w:lang w:val="en-US"/>
          <w14:ligatures w14:val="none"/>
        </w:rPr>
        <w:t xml:space="preserve"> </w:t>
      </w:r>
    </w:p>
    <w:p w14:paraId="47E49EAF" w14:textId="2EA1B3D4" w:rsidR="00503A0C" w:rsidRPr="00AB3E42" w:rsidRDefault="00503A0C" w:rsidP="007278C5">
      <w:pPr>
        <w:spacing w:before="0" w:after="16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 xml:space="preserve">The result from Table 4, show that the odd ratio (OR) availability of LPG supplier’s 0.036 (95% CI: 0.002-0.767), which is statistically significant (P=0.033) times -3.337 less likelihood to influence adoption of LPG in Kalangalala Ward. This implies that the availability of LPG suppliers to the households and food vendor’s influences adoption of LPG in the study area, with an odds ratio (OR) of 0.036 and a statistically significant p-value of 0.033. This suggests that availability of LPG suppliers to households and food vendors is less likely to achieve the adoption of LPG. These findings suggest that the availability of LPG supplier’s is less likelihood to influence household to adopt the LPG because the availability of LPG suppliers help the household and food vendors to get access of refill station easily although may or may not influence depending on other factors like </w:t>
      </w:r>
      <w:r w:rsidR="00EE670F" w:rsidRPr="00AB3E42">
        <w:rPr>
          <w:rFonts w:ascii="Arial Narrow" w:eastAsia="Calibri" w:hAnsi="Arial Narrow" w:cs="Times New Roman"/>
          <w:kern w:val="0"/>
          <w:lang w:val="en-US"/>
          <w14:ligatures w14:val="none"/>
        </w:rPr>
        <w:t>income.</w:t>
      </w:r>
      <w:r w:rsidR="00EE670F" w:rsidRPr="00AB3E42">
        <w:rPr>
          <w:rFonts w:ascii="Arial Narrow" w:eastAsia="Calibri" w:hAnsi="Arial Narrow" w:cs="Times New Roman"/>
          <w:noProof/>
          <w:kern w:val="0"/>
          <w:lang w:val="en-US"/>
          <w14:ligatures w14:val="none"/>
        </w:rPr>
        <w:t xml:space="preserve"> </w:t>
      </w:r>
      <w:r w:rsidR="00EE670F" w:rsidRPr="00AB3E42">
        <w:rPr>
          <w:rFonts w:ascii="Arial Narrow" w:eastAsia="Calibri" w:hAnsi="Arial Narrow" w:cs="Times New Roman"/>
          <w:kern w:val="0"/>
          <w:lang w:val="en-US"/>
          <w14:ligatures w14:val="none"/>
        </w:rPr>
        <w:t>Improving</w:t>
      </w:r>
      <w:r w:rsidRPr="00AB3E42">
        <w:rPr>
          <w:rFonts w:ascii="Arial Narrow" w:eastAsia="Calibri" w:hAnsi="Arial Narrow" w:cs="Times New Roman"/>
          <w:kern w:val="0"/>
          <w:lang w:val="en-US"/>
          <w14:ligatures w14:val="none"/>
        </w:rPr>
        <w:t xml:space="preserve"> supply chain management, better regulatory frameworks, and enhanced monitoring mechanisms are necessary to prevent recurrent shortages of 3</w:t>
      </w:r>
      <w:r w:rsidR="00EE670F" w:rsidRPr="00AB3E42">
        <w:rPr>
          <w:rFonts w:ascii="Arial Narrow" w:eastAsia="Calibri" w:hAnsi="Arial Narrow" w:cs="Times New Roman"/>
          <w:kern w:val="0"/>
          <w:lang w:val="en-US"/>
          <w14:ligatures w14:val="none"/>
        </w:rPr>
        <w:t xml:space="preserve">-kg LPG cylinders in Indonesia (Prithvirajan and Mathirajan, 2022) </w:t>
      </w:r>
      <w:bookmarkStart w:id="11" w:name="_Toc208433688"/>
    </w:p>
    <w:p w14:paraId="64465228" w14:textId="77777777" w:rsidR="00503A0C" w:rsidRPr="00AB3E42" w:rsidRDefault="00503A0C" w:rsidP="00503A0C">
      <w:pPr>
        <w:spacing w:before="0" w:after="200" w:line="240" w:lineRule="auto"/>
        <w:jc w:val="left"/>
        <w:rPr>
          <w:rFonts w:ascii="Arial Narrow" w:eastAsia="SimSun" w:hAnsi="Arial Narrow" w:cs="Times New Roman"/>
          <w:b/>
          <w:iCs/>
          <w:kern w:val="0"/>
          <w:lang w:val="en-US" w:eastAsia="zh-CN"/>
          <w14:ligatures w14:val="none"/>
        </w:rPr>
      </w:pPr>
    </w:p>
    <w:p w14:paraId="1E85DA09" w14:textId="5061A21E" w:rsidR="00503A0C" w:rsidRPr="00AB3E42" w:rsidRDefault="00503A0C" w:rsidP="00070A10">
      <w:pPr>
        <w:spacing w:before="0" w:after="100" w:afterAutospacing="1"/>
        <w:jc w:val="both"/>
        <w:outlineLvl w:val="2"/>
        <w:rPr>
          <w:rFonts w:ascii="Arial Narrow" w:eastAsia="Times New Roman" w:hAnsi="Arial Narrow" w:cs="Times New Roman"/>
          <w:b/>
          <w:bCs/>
          <w:kern w:val="0"/>
          <w:lang w:val="en-US"/>
          <w14:ligatures w14:val="none"/>
        </w:rPr>
      </w:pPr>
      <w:bookmarkStart w:id="12" w:name="_Toc208433500"/>
      <w:bookmarkEnd w:id="11"/>
      <w:r w:rsidRPr="00AB3E42">
        <w:rPr>
          <w:rFonts w:ascii="Arial Narrow" w:eastAsia="Times New Roman" w:hAnsi="Arial Narrow" w:cs="Times New Roman"/>
          <w:b/>
          <w:bCs/>
          <w:kern w:val="0"/>
          <w:lang w:val="en-US"/>
          <w14:ligatures w14:val="none"/>
        </w:rPr>
        <w:t>Household income</w:t>
      </w:r>
      <w:bookmarkEnd w:id="12"/>
    </w:p>
    <w:p w14:paraId="34CD6A2E" w14:textId="3750044E" w:rsidR="00503A0C" w:rsidRPr="00AB3E42" w:rsidRDefault="00503A0C" w:rsidP="00503A0C">
      <w:pPr>
        <w:spacing w:before="0" w:after="160"/>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 xml:space="preserve">The result from Table 4, shows that the odds ratio (OR) </w:t>
      </w:r>
      <w:r w:rsidRPr="00AB3E42">
        <w:rPr>
          <w:rFonts w:ascii="Arial Narrow" w:eastAsia="Calibri" w:hAnsi="Arial Narrow" w:cs="Times New Roman"/>
          <w:kern w:val="0"/>
          <w:lang w:val="en-US"/>
          <w14:ligatures w14:val="none"/>
        </w:rPr>
        <w:t>Household</w:t>
      </w:r>
      <w:r w:rsidRPr="00AB3E42">
        <w:rPr>
          <w:rFonts w:ascii="Arial Narrow" w:eastAsia="Times New Roman" w:hAnsi="Arial Narrow" w:cs="Times New Roman"/>
          <w:kern w:val="0"/>
          <w:lang w:val="en-US"/>
          <w14:ligatures w14:val="none"/>
        </w:rPr>
        <w:t xml:space="preserve"> income</w:t>
      </w:r>
      <w:r w:rsidRPr="00AB3E42">
        <w:rPr>
          <w:rFonts w:ascii="Arial Narrow" w:eastAsia="Times New Roman" w:hAnsi="Arial Narrow" w:cs="Times New Roman"/>
          <w:b/>
          <w:bCs/>
          <w:kern w:val="0"/>
          <w:lang w:val="en-US"/>
          <w14:ligatures w14:val="none"/>
        </w:rPr>
        <w:t xml:space="preserve"> </w:t>
      </w:r>
      <w:r w:rsidRPr="00AB3E42">
        <w:rPr>
          <w:rFonts w:ascii="Arial Narrow" w:eastAsia="Times New Roman" w:hAnsi="Arial Narrow" w:cs="Times New Roman"/>
          <w:kern w:val="0"/>
          <w:lang w:val="en-US"/>
          <w14:ligatures w14:val="none"/>
        </w:rPr>
        <w:t>64.941 (95% CI: 2.847-1481.092), which is statistically significant (P=0.009), is 4.173 times more likely to influence the adoption of LPG in Kalangalala Ward. This implies that the income</w:t>
      </w:r>
      <w:r w:rsidRPr="00AB3E42">
        <w:rPr>
          <w:rFonts w:ascii="Arial Narrow" w:eastAsia="Times New Roman" w:hAnsi="Arial Narrow" w:cs="Times New Roman"/>
          <w:b/>
          <w:bCs/>
          <w:kern w:val="0"/>
          <w:lang w:val="en-US"/>
          <w14:ligatures w14:val="none"/>
        </w:rPr>
        <w:t xml:space="preserve"> </w:t>
      </w:r>
      <w:r w:rsidRPr="00AB3E42">
        <w:rPr>
          <w:rFonts w:ascii="Arial Narrow" w:eastAsia="Times New Roman" w:hAnsi="Arial Narrow" w:cs="Times New Roman"/>
          <w:bCs/>
          <w:kern w:val="0"/>
          <w:lang w:val="en-US"/>
          <w14:ligatures w14:val="none"/>
        </w:rPr>
        <w:t>of</w:t>
      </w:r>
      <w:r w:rsidRPr="00AB3E42">
        <w:rPr>
          <w:rFonts w:ascii="Arial Narrow" w:eastAsia="Times New Roman" w:hAnsi="Arial Narrow" w:cs="Times New Roman"/>
          <w:kern w:val="0"/>
          <w:lang w:val="en-US"/>
          <w14:ligatures w14:val="none"/>
        </w:rPr>
        <w:t xml:space="preserve"> the households and food vendors influences the adoption of LPG in the area, with an odds ratio (OR) of 64.941 and a statistically significant p-value of 0.009. This suggests that income</w:t>
      </w:r>
      <w:r w:rsidRPr="00AB3E42">
        <w:rPr>
          <w:rFonts w:ascii="Arial Narrow" w:eastAsia="Times New Roman" w:hAnsi="Arial Narrow" w:cs="Times New Roman"/>
          <w:b/>
          <w:bCs/>
          <w:kern w:val="0"/>
          <w:lang w:val="en-US"/>
          <w14:ligatures w14:val="none"/>
        </w:rPr>
        <w:t xml:space="preserve"> </w:t>
      </w:r>
      <w:r w:rsidRPr="00AB3E42">
        <w:rPr>
          <w:rFonts w:ascii="Arial Narrow" w:eastAsia="Times New Roman" w:hAnsi="Arial Narrow" w:cs="Times New Roman"/>
          <w:kern w:val="0"/>
          <w:lang w:val="en-US"/>
          <w14:ligatures w14:val="none"/>
        </w:rPr>
        <w:t>of households and food vendors is more likely to achieve the adoption of LPG, because the income of household members and food venders of Kalangalala those who earn above 50000 are expected to adopt LPG than those who earn b</w:t>
      </w:r>
      <w:r w:rsidR="00651729" w:rsidRPr="00AB3E42">
        <w:rPr>
          <w:rFonts w:ascii="Arial Narrow" w:eastAsia="Times New Roman" w:hAnsi="Arial Narrow" w:cs="Times New Roman"/>
          <w:kern w:val="0"/>
          <w:lang w:val="en-US"/>
          <w14:ligatures w14:val="none"/>
        </w:rPr>
        <w:t xml:space="preserve">elow </w:t>
      </w:r>
      <w:r w:rsidR="007278C5" w:rsidRPr="00AB3E42">
        <w:rPr>
          <w:rFonts w:ascii="Arial Narrow" w:eastAsia="Times New Roman" w:hAnsi="Arial Narrow" w:cs="Times New Roman"/>
          <w:kern w:val="0"/>
          <w:lang w:val="en-US"/>
          <w14:ligatures w14:val="none"/>
        </w:rPr>
        <w:t>500,000. Similar</w:t>
      </w:r>
      <w:r w:rsidRPr="00AB3E42">
        <w:rPr>
          <w:rFonts w:ascii="Arial Narrow" w:eastAsia="Times New Roman" w:hAnsi="Arial Narrow" w:cs="Times New Roman"/>
          <w:kern w:val="0"/>
          <w:lang w:val="en-US"/>
          <w14:ligatures w14:val="none"/>
        </w:rPr>
        <w:t xml:space="preserve"> findings were reported by Mbaka </w:t>
      </w:r>
      <w:r w:rsidRPr="00AB3E42">
        <w:rPr>
          <w:rFonts w:ascii="Arial Narrow" w:eastAsia="Times New Roman" w:hAnsi="Arial Narrow" w:cs="Times New Roman"/>
          <w:i/>
          <w:iCs/>
          <w:kern w:val="0"/>
          <w:lang w:val="en-US"/>
          <w14:ligatures w14:val="none"/>
        </w:rPr>
        <w:t xml:space="preserve">et al. </w:t>
      </w:r>
      <w:r w:rsidRPr="00AB3E42">
        <w:rPr>
          <w:rFonts w:ascii="Arial Narrow" w:eastAsia="Times New Roman" w:hAnsi="Arial Narrow" w:cs="Times New Roman"/>
          <w:bCs/>
          <w:kern w:val="0"/>
          <w:lang w:val="en-US"/>
          <w14:ligatures w14:val="none"/>
        </w:rPr>
        <w:lastRenderedPageBreak/>
        <w:t>(2019)</w:t>
      </w:r>
      <w:r w:rsidRPr="00AB3E42">
        <w:rPr>
          <w:rFonts w:ascii="Arial Narrow" w:eastAsia="Times New Roman" w:hAnsi="Arial Narrow" w:cs="Times New Roman"/>
          <w:kern w:val="0"/>
          <w:lang w:val="en-US"/>
          <w14:ligatures w14:val="none"/>
        </w:rPr>
        <w:t xml:space="preserve"> in Kenya, where income level was found to be a strong determinant of clean energy adoption. Likewise, Zheng and Gong </w:t>
      </w:r>
      <w:r w:rsidRPr="00AB3E42">
        <w:rPr>
          <w:rFonts w:ascii="Arial Narrow" w:eastAsia="Times New Roman" w:hAnsi="Arial Narrow" w:cs="Times New Roman"/>
          <w:b/>
          <w:bCs/>
          <w:kern w:val="0"/>
          <w:lang w:val="en-US"/>
          <w14:ligatures w14:val="none"/>
        </w:rPr>
        <w:t>(</w:t>
      </w:r>
      <w:r w:rsidRPr="00AB3E42">
        <w:rPr>
          <w:rFonts w:ascii="Arial Narrow" w:eastAsia="Times New Roman" w:hAnsi="Arial Narrow" w:cs="Times New Roman"/>
          <w:bCs/>
          <w:kern w:val="0"/>
          <w:lang w:val="en-US"/>
          <w14:ligatures w14:val="none"/>
        </w:rPr>
        <w:t>20</w:t>
      </w:r>
      <w:r w:rsidR="006A5FA3" w:rsidRPr="00AB3E42">
        <w:rPr>
          <w:rFonts w:ascii="Arial Narrow" w:eastAsia="Times New Roman" w:hAnsi="Arial Narrow" w:cs="Times New Roman"/>
          <w:bCs/>
          <w:kern w:val="0"/>
          <w:lang w:val="en-US"/>
          <w14:ligatures w14:val="none"/>
        </w:rPr>
        <w:t>2</w:t>
      </w:r>
      <w:r w:rsidRPr="00AB3E42">
        <w:rPr>
          <w:rFonts w:ascii="Arial Narrow" w:eastAsia="Times New Roman" w:hAnsi="Arial Narrow" w:cs="Times New Roman"/>
          <w:b/>
          <w:bCs/>
          <w:kern w:val="0"/>
          <w:lang w:val="en-US"/>
          <w14:ligatures w14:val="none"/>
        </w:rPr>
        <w:t>)</w:t>
      </w:r>
      <w:r w:rsidRPr="00AB3E42">
        <w:rPr>
          <w:rFonts w:ascii="Arial Narrow" w:eastAsia="Times New Roman" w:hAnsi="Arial Narrow" w:cs="Times New Roman"/>
          <w:kern w:val="0"/>
          <w:lang w:val="en-US"/>
          <w14:ligatures w14:val="none"/>
        </w:rPr>
        <w:t xml:space="preserve"> in China highlighted that income had a direct influence on clean cooking fuel usage, especially in peri-urban communities. Also, study conducted by Ndunguru and Lema (2021) adoption of LPG in Kinondoni Municipality, was influenced by factors such as household income, awareness, and fuel availability, with education and household expenditure being significant factors.</w:t>
      </w:r>
    </w:p>
    <w:p w14:paraId="476F3A7B" w14:textId="10CC763C" w:rsidR="00503A0C" w:rsidRPr="00AB3E42" w:rsidRDefault="00503A0C" w:rsidP="00503A0C">
      <w:pPr>
        <w:spacing w:before="100" w:beforeAutospacing="1" w:after="100" w:afterAutospacing="1" w:line="240" w:lineRule="auto"/>
        <w:jc w:val="left"/>
        <w:outlineLvl w:val="2"/>
        <w:rPr>
          <w:rFonts w:ascii="Arial Narrow" w:eastAsia="Times New Roman" w:hAnsi="Arial Narrow" w:cs="Times New Roman"/>
          <w:b/>
          <w:bCs/>
          <w:kern w:val="0"/>
          <w:lang w:val="en-US"/>
          <w14:ligatures w14:val="none"/>
        </w:rPr>
      </w:pPr>
      <w:bookmarkStart w:id="13" w:name="_Toc208433501"/>
      <w:r w:rsidRPr="00AB3E42">
        <w:rPr>
          <w:rFonts w:ascii="Arial Narrow" w:eastAsia="Times New Roman" w:hAnsi="Arial Narrow" w:cs="Times New Roman"/>
          <w:b/>
          <w:bCs/>
          <w:kern w:val="0"/>
          <w:lang w:val="en-US"/>
          <w14:ligatures w14:val="none"/>
        </w:rPr>
        <w:t>Education level</w:t>
      </w:r>
      <w:bookmarkEnd w:id="13"/>
    </w:p>
    <w:p w14:paraId="3D58C00D" w14:textId="5463E868" w:rsidR="00E077B5" w:rsidRPr="00AB3E42" w:rsidRDefault="00503A0C" w:rsidP="00E077B5">
      <w:pPr>
        <w:spacing w:before="100" w:beforeAutospacing="1" w:after="100" w:afterAutospacing="1"/>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The result</w:t>
      </w:r>
      <w:r w:rsidR="00E077B5" w:rsidRPr="00AB3E42">
        <w:rPr>
          <w:rFonts w:ascii="Arial Narrow" w:eastAsia="Times New Roman" w:hAnsi="Arial Narrow" w:cs="Times New Roman"/>
          <w:kern w:val="0"/>
          <w:lang w:val="en-US"/>
          <w14:ligatures w14:val="none"/>
        </w:rPr>
        <w:t xml:space="preserve"> </w:t>
      </w:r>
      <w:r w:rsidRPr="00AB3E42">
        <w:rPr>
          <w:rFonts w:ascii="Arial Narrow" w:eastAsia="Times New Roman" w:hAnsi="Arial Narrow" w:cs="Times New Roman"/>
          <w:kern w:val="0"/>
          <w:lang w:val="en-US"/>
          <w14:ligatures w14:val="none"/>
        </w:rPr>
        <w:t xml:space="preserve">show that the odd ratio (OR) education level </w:t>
      </w:r>
      <w:bookmarkStart w:id="14" w:name="_Hlk206310378"/>
      <w:r w:rsidRPr="00AB3E42">
        <w:rPr>
          <w:rFonts w:ascii="Arial Narrow" w:eastAsia="Times New Roman" w:hAnsi="Arial Narrow" w:cs="Times New Roman"/>
          <w:kern w:val="0"/>
          <w:lang w:val="en-US"/>
          <w14:ligatures w14:val="none"/>
        </w:rPr>
        <w:t xml:space="preserve">15.413 </w:t>
      </w:r>
      <w:bookmarkEnd w:id="14"/>
      <w:r w:rsidRPr="00AB3E42">
        <w:rPr>
          <w:rFonts w:ascii="Arial Narrow" w:eastAsia="Times New Roman" w:hAnsi="Arial Narrow" w:cs="Times New Roman"/>
          <w:kern w:val="0"/>
          <w:lang w:val="en-US"/>
          <w14:ligatures w14:val="none"/>
        </w:rPr>
        <w:t>(95% CI: 0.987-240.671), which is statistically significant (P=0.051) times 4.173 more likelihood to influence adoption of LPG on Kalangalala Ward. This implies that the education level to the households and food vendor’s influences adoption of LPG in the study area, with an odds ratio (OR) of 15.413 and a statistically significant p-value of 0.005. This suggests that education level of households and food venders is more likely to achieve the adoption of LPG. This dedicate that the education level is more likelihood to influence household to adopt the LPG because the education level of household members and food venders they have secondary education, so they understand the importance of LPG and its importance that why education tend to be more lik</w:t>
      </w:r>
      <w:bookmarkStart w:id="15" w:name="_Toc207229340"/>
      <w:bookmarkStart w:id="16" w:name="_Toc208433502"/>
      <w:bookmarkStart w:id="17" w:name="_Toc206485681"/>
      <w:bookmarkStart w:id="18" w:name="_Toc206127108"/>
      <w:bookmarkStart w:id="19" w:name="_Toc206128986"/>
      <w:bookmarkStart w:id="20" w:name="_Toc207001371"/>
      <w:bookmarkStart w:id="21" w:name="_Toc207430993"/>
      <w:r w:rsidR="00E077B5" w:rsidRPr="00AB3E42">
        <w:rPr>
          <w:rFonts w:ascii="Arial Narrow" w:eastAsia="Times New Roman" w:hAnsi="Arial Narrow" w:cs="Times New Roman"/>
          <w:kern w:val="0"/>
          <w:lang w:val="en-US"/>
          <w14:ligatures w14:val="none"/>
        </w:rPr>
        <w:t xml:space="preserve">elihood to the adoption of </w:t>
      </w:r>
      <w:r w:rsidR="00D0027A" w:rsidRPr="00AB3E42">
        <w:rPr>
          <w:rFonts w:ascii="Arial Narrow" w:eastAsia="Times New Roman" w:hAnsi="Arial Narrow" w:cs="Times New Roman"/>
          <w:kern w:val="0"/>
          <w:lang w:val="en-US"/>
          <w14:ligatures w14:val="none"/>
        </w:rPr>
        <w:t>LPG. Increasing</w:t>
      </w:r>
      <w:r w:rsidRPr="00AB3E42">
        <w:rPr>
          <w:rFonts w:ascii="Arial Narrow" w:eastAsia="Times New Roman" w:hAnsi="Arial Narrow" w:cs="Times New Roman"/>
          <w:kern w:val="0"/>
          <w:lang w:val="en-US"/>
          <w14:ligatures w14:val="none"/>
        </w:rPr>
        <w:t xml:space="preserve"> a woman's education levels increases her likelihood of adopting LPG, the cleanest fuel option available, and potentially impacts the adoption of green technology</w:t>
      </w:r>
      <w:r w:rsidR="007278C5" w:rsidRPr="00AB3E42">
        <w:rPr>
          <w:rFonts w:ascii="Arial Narrow" w:eastAsia="Times New Roman" w:hAnsi="Arial Narrow" w:cs="Times New Roman"/>
          <w:kern w:val="0"/>
          <w:lang w:val="en-US"/>
          <w14:ligatures w14:val="none"/>
        </w:rPr>
        <w:t xml:space="preserve"> (Jamaldin </w:t>
      </w:r>
      <w:r w:rsidR="00E077B5" w:rsidRPr="00AB3E42">
        <w:rPr>
          <w:rFonts w:ascii="Arial Narrow" w:eastAsia="Times New Roman" w:hAnsi="Arial Narrow" w:cs="Times New Roman"/>
          <w:kern w:val="0"/>
          <w:lang w:val="en-US"/>
          <w14:ligatures w14:val="none"/>
        </w:rPr>
        <w:t>2025)</w:t>
      </w:r>
      <w:r w:rsidRPr="00AB3E42">
        <w:rPr>
          <w:rFonts w:ascii="Arial Narrow" w:eastAsia="Times New Roman" w:hAnsi="Arial Narrow" w:cs="Times New Roman"/>
          <w:kern w:val="0"/>
          <w:lang w:val="en-US"/>
          <w14:ligatures w14:val="none"/>
        </w:rPr>
        <w:t>. The study of Gould and Urpelainen (2019) found that education strongly predicts LPG adoption in India, but does not lead to positive attitudes towards clean cooking fuels. Also, a study by Guta (2020) in Ethiopia found that households headed by educated individuals were significantly more likely to adopt LPG, primarily due to better awareness of its benefits.</w:t>
      </w:r>
      <w:bookmarkEnd w:id="15"/>
      <w:bookmarkEnd w:id="16"/>
      <w:r w:rsidRPr="00AB3E42">
        <w:rPr>
          <w:rFonts w:ascii="Arial Narrow" w:eastAsia="Times New Roman" w:hAnsi="Arial Narrow" w:cs="Times New Roman"/>
          <w:kern w:val="0"/>
          <w:lang w:val="en-US"/>
          <w14:ligatures w14:val="none"/>
        </w:rPr>
        <w:t xml:space="preserve"> </w:t>
      </w:r>
      <w:bookmarkEnd w:id="17"/>
      <w:bookmarkEnd w:id="18"/>
      <w:bookmarkEnd w:id="19"/>
      <w:bookmarkEnd w:id="20"/>
      <w:bookmarkEnd w:id="21"/>
    </w:p>
    <w:p w14:paraId="543E4A05" w14:textId="77777777" w:rsidR="00E72DFD" w:rsidRDefault="00E72DFD" w:rsidP="00E077B5">
      <w:pPr>
        <w:spacing w:before="100" w:beforeAutospacing="1" w:after="100" w:afterAutospacing="1"/>
        <w:rPr>
          <w:rFonts w:ascii="Arial Narrow" w:eastAsia="Times New Roman" w:hAnsi="Arial Narrow" w:cstheme="majorHAnsi"/>
          <w:b/>
          <w:bCs/>
          <w:kern w:val="0"/>
          <w:lang w:eastAsia="en-GB"/>
          <w14:ligatures w14:val="none"/>
        </w:rPr>
      </w:pPr>
      <w:bookmarkStart w:id="22" w:name="_GoBack"/>
      <w:bookmarkEnd w:id="22"/>
    </w:p>
    <w:p w14:paraId="52038207" w14:textId="452F4907" w:rsidR="00C45BCB" w:rsidRPr="00AB3E42" w:rsidRDefault="00C45BCB" w:rsidP="00E077B5">
      <w:pPr>
        <w:spacing w:before="100" w:beforeAutospacing="1" w:after="100" w:afterAutospacing="1"/>
        <w:rPr>
          <w:rFonts w:ascii="Arial Narrow" w:eastAsia="Times New Roman" w:hAnsi="Arial Narrow" w:cs="Times New Roman"/>
          <w:kern w:val="0"/>
          <w:lang w:val="en-US"/>
          <w14:ligatures w14:val="none"/>
        </w:rPr>
      </w:pPr>
      <w:r w:rsidRPr="00AB3E42">
        <w:rPr>
          <w:rFonts w:ascii="Arial Narrow" w:eastAsia="Times New Roman" w:hAnsi="Arial Narrow" w:cstheme="majorHAnsi"/>
          <w:b/>
          <w:bCs/>
          <w:kern w:val="0"/>
          <w:lang w:eastAsia="en-GB"/>
          <w14:ligatures w14:val="none"/>
        </w:rPr>
        <w:t>Conclusion</w:t>
      </w:r>
      <w:r w:rsidR="00CB0A2F" w:rsidRPr="00AB3E42">
        <w:rPr>
          <w:rFonts w:ascii="Arial Narrow" w:eastAsia="Times New Roman" w:hAnsi="Arial Narrow" w:cstheme="majorHAnsi"/>
          <w:b/>
          <w:bCs/>
          <w:kern w:val="0"/>
          <w:lang w:eastAsia="en-GB"/>
          <w14:ligatures w14:val="none"/>
        </w:rPr>
        <w:t xml:space="preserve"> and Recommendations</w:t>
      </w:r>
    </w:p>
    <w:p w14:paraId="3AA507F5" w14:textId="77777777" w:rsidR="00070A10" w:rsidRPr="00AB3E42" w:rsidRDefault="00070A10" w:rsidP="00E077B5">
      <w:pPr>
        <w:jc w:val="both"/>
        <w:rPr>
          <w:rFonts w:ascii="Arial Narrow" w:hAnsi="Arial Narrow" w:cstheme="majorHAnsi"/>
          <w:lang w:val="en-US" w:eastAsia="en-GB"/>
        </w:rPr>
      </w:pPr>
      <w:r w:rsidRPr="00AB3E42">
        <w:rPr>
          <w:rFonts w:ascii="Arial Narrow" w:hAnsi="Arial Narrow" w:cstheme="majorHAnsi"/>
          <w:lang w:val="en-US" w:eastAsia="en-GB"/>
        </w:rPr>
        <w:t>The study revealed that several factors influenced households adopt LPG. Awareness of the benefits of LPG plays a key role, as households who understand the advantages of LPG are more likely to consider it as a cooking fuel. Household income also affects adoption, since LPG requires an initial investment and continue refill cost that families with low income find difficult to afford. The availability of LPG suppliers is another important factor, as easy access to refill points encourages continued use of LPG. However, negative attitudes, including fear of accidents and limited knowledge about safe handling, prevent some households from switching from traditional fuels, highlighting the importance of education and awareness programs.</w:t>
      </w:r>
    </w:p>
    <w:p w14:paraId="3D95C279" w14:textId="058BDEDA" w:rsidR="008A1266" w:rsidRPr="00AB3E42" w:rsidRDefault="007278C5" w:rsidP="008A1266">
      <w:pPr>
        <w:jc w:val="both"/>
        <w:rPr>
          <w:rFonts w:ascii="Arial Narrow" w:hAnsi="Arial Narrow" w:cstheme="majorHAnsi"/>
          <w:lang w:eastAsia="en-GB"/>
        </w:rPr>
      </w:pPr>
      <w:r w:rsidRPr="00AB3E42">
        <w:rPr>
          <w:rFonts w:ascii="Arial Narrow" w:hAnsi="Arial Narrow" w:cstheme="majorHAnsi"/>
          <w:lang w:eastAsia="en-GB"/>
        </w:rPr>
        <w:lastRenderedPageBreak/>
        <w:t>.</w:t>
      </w:r>
      <w:r w:rsidRPr="00AB3E42">
        <w:rPr>
          <w:rFonts w:ascii="Arial Narrow" w:hAnsi="Arial Narrow" w:cstheme="majorHAnsi"/>
          <w:b/>
          <w:bCs/>
          <w:lang w:eastAsia="en-GB"/>
        </w:rPr>
        <w:t xml:space="preserve"> Recommendations</w:t>
      </w:r>
    </w:p>
    <w:p w14:paraId="16A08D15" w14:textId="77777777" w:rsidR="00070A10" w:rsidRDefault="00070A10" w:rsidP="00E077B5">
      <w:pPr>
        <w:jc w:val="both"/>
        <w:rPr>
          <w:rFonts w:ascii="Arial Narrow" w:hAnsi="Arial Narrow" w:cstheme="majorHAnsi"/>
          <w:lang w:val="en-US" w:eastAsia="en-GB"/>
        </w:rPr>
      </w:pPr>
      <w:r w:rsidRPr="00AB3E42">
        <w:rPr>
          <w:rFonts w:ascii="Arial Narrow" w:hAnsi="Arial Narrow" w:cstheme="majorHAnsi"/>
          <w:lang w:val="en-US" w:eastAsia="en-GB"/>
        </w:rPr>
        <w:t>To improve adoption, the government through Ministry of Energy under REA to continue the programs of subsides and selling LPG cylinder at low initial cost of 17,000/= that make LPG more affordable and accessible, especially for low-income households. Policies to be enacted in partnership with LPG suppliers to stabilize and reduce the cost of refill so as to enable continue use of LPG, which will prevent households from reverting to charcoal or firewood due to high costs. Also to continue promoting awareness campaigns about the benefits of LPG in schools, college and general public (during community meeting, market area, bus terminal and minadani) in the area can further encourage adoption.</w:t>
      </w:r>
    </w:p>
    <w:p w14:paraId="44A59700" w14:textId="77777777" w:rsidR="00AE652C" w:rsidRDefault="00AE652C" w:rsidP="00E077B5">
      <w:pPr>
        <w:jc w:val="both"/>
        <w:rPr>
          <w:rFonts w:ascii="Arial Narrow" w:hAnsi="Arial Narrow" w:cstheme="majorHAnsi"/>
          <w:lang w:val="en-US" w:eastAsia="en-GB"/>
        </w:rPr>
      </w:pPr>
    </w:p>
    <w:p w14:paraId="745E7B3C" w14:textId="77777777" w:rsidR="00AE652C" w:rsidRPr="00AE652C" w:rsidRDefault="00AE652C" w:rsidP="00AE652C">
      <w:pPr>
        <w:spacing w:before="0" w:after="200" w:line="276" w:lineRule="auto"/>
        <w:jc w:val="both"/>
        <w:outlineLvl w:val="0"/>
        <w:rPr>
          <w:rFonts w:ascii="Arial" w:eastAsia="Times New Roman" w:hAnsi="Arial" w:cs="Arial"/>
          <w:kern w:val="0"/>
          <w:sz w:val="22"/>
          <w:szCs w:val="22"/>
          <w:lang w:eastAsia="en-GB"/>
          <w14:ligatures w14:val="none"/>
        </w:rPr>
      </w:pPr>
      <w:r w:rsidRPr="00AE652C">
        <w:rPr>
          <w:rFonts w:ascii="Arial" w:eastAsia="Times New Roman" w:hAnsi="Arial" w:cs="Arial"/>
          <w:b/>
          <w:bCs/>
          <w:kern w:val="0"/>
          <w:sz w:val="22"/>
          <w:szCs w:val="22"/>
          <w:lang w:eastAsia="en-GB"/>
          <w14:ligatures w14:val="none"/>
        </w:rPr>
        <w:t>COMPETING INTERESTS DISCLAIMER:</w:t>
      </w:r>
    </w:p>
    <w:p w14:paraId="67AA99E4" w14:textId="77777777" w:rsidR="00AE652C" w:rsidRPr="00AE652C" w:rsidRDefault="00AE652C" w:rsidP="00AE652C">
      <w:pPr>
        <w:spacing w:before="0" w:after="200" w:line="276" w:lineRule="auto"/>
        <w:jc w:val="left"/>
        <w:rPr>
          <w:rFonts w:ascii="Calibri" w:eastAsia="Times New Roman" w:hAnsi="Calibri" w:cs="Times New Roman"/>
          <w:kern w:val="0"/>
          <w:sz w:val="22"/>
          <w:szCs w:val="22"/>
          <w:lang w:eastAsia="en-GB"/>
          <w14:ligatures w14:val="none"/>
        </w:rPr>
      </w:pPr>
      <w:r w:rsidRPr="00AE652C">
        <w:rPr>
          <w:rFonts w:ascii="Calibri" w:eastAsia="Times New Roman" w:hAnsi="Calibri" w:cs="Times New Roman"/>
          <w:kern w:val="0"/>
          <w:sz w:val="22"/>
          <w:szCs w:val="22"/>
          <w:lang w:eastAsia="en-GB"/>
          <w14:ligatures w14:val="none"/>
        </w:rPr>
        <w:t>Authors have declared that they have no known competing financial interests OR non-financial interests OR personal relationships that could have appeared to influence the work reported in this paper.</w:t>
      </w:r>
    </w:p>
    <w:p w14:paraId="16DEABA7" w14:textId="77777777" w:rsidR="00AE652C" w:rsidRPr="00AE652C" w:rsidRDefault="00AE652C" w:rsidP="00AE652C">
      <w:pPr>
        <w:spacing w:before="0" w:after="200" w:line="276" w:lineRule="auto"/>
        <w:jc w:val="left"/>
        <w:rPr>
          <w:rFonts w:ascii="Calibri" w:eastAsia="Times New Roman" w:hAnsi="Calibri" w:cs="Times New Roman"/>
          <w:kern w:val="0"/>
          <w:sz w:val="22"/>
          <w:szCs w:val="22"/>
          <w:lang w:eastAsia="en-GB"/>
          <w14:ligatures w14:val="none"/>
        </w:rPr>
      </w:pPr>
    </w:p>
    <w:p w14:paraId="776BE7C0" w14:textId="77777777" w:rsidR="00AE652C" w:rsidRPr="00AE652C" w:rsidRDefault="00AE652C" w:rsidP="00AE652C">
      <w:pPr>
        <w:spacing w:before="0" w:after="200" w:line="276" w:lineRule="auto"/>
        <w:jc w:val="left"/>
        <w:rPr>
          <w:rFonts w:ascii="Calibri" w:eastAsia="Times New Roman" w:hAnsi="Calibri" w:cs="Times New Roman"/>
          <w:kern w:val="0"/>
          <w:sz w:val="22"/>
          <w:szCs w:val="22"/>
          <w:lang w:eastAsia="en-GB"/>
          <w14:ligatures w14:val="none"/>
        </w:rPr>
      </w:pPr>
    </w:p>
    <w:p w14:paraId="28301AE6" w14:textId="77777777" w:rsidR="00AE652C" w:rsidRPr="00AB3E42" w:rsidRDefault="00AE652C" w:rsidP="00E077B5">
      <w:pPr>
        <w:jc w:val="both"/>
        <w:rPr>
          <w:rFonts w:ascii="Arial Narrow" w:hAnsi="Arial Narrow" w:cstheme="majorHAnsi"/>
          <w:lang w:val="en-US" w:eastAsia="en-GB"/>
        </w:rPr>
      </w:pPr>
    </w:p>
    <w:p w14:paraId="602F1F1C" w14:textId="6ACD6C1A" w:rsidR="00645223" w:rsidRPr="00AB3E42" w:rsidRDefault="00645223" w:rsidP="000E2CF0">
      <w:pPr>
        <w:pStyle w:val="ListParagraph"/>
        <w:ind w:left="0"/>
        <w:jc w:val="both"/>
        <w:rPr>
          <w:rFonts w:ascii="Arial Narrow" w:hAnsi="Arial Narrow" w:cstheme="majorHAnsi"/>
          <w:b/>
          <w:bCs/>
          <w:lang w:eastAsia="en-GB"/>
        </w:rPr>
      </w:pPr>
    </w:p>
    <w:p w14:paraId="65B91A3A" w14:textId="09301BC9" w:rsidR="00E077B5" w:rsidRPr="00AB3E42" w:rsidRDefault="00E077B5" w:rsidP="000E2CF0">
      <w:pPr>
        <w:pStyle w:val="ListParagraph"/>
        <w:ind w:left="0"/>
        <w:jc w:val="both"/>
        <w:rPr>
          <w:rFonts w:ascii="Arial Narrow" w:hAnsi="Arial Narrow" w:cstheme="majorHAnsi"/>
          <w:b/>
          <w:bCs/>
          <w:lang w:eastAsia="en-GB"/>
        </w:rPr>
      </w:pPr>
    </w:p>
    <w:p w14:paraId="15A69309" w14:textId="32638FC5" w:rsidR="00E077B5" w:rsidRPr="00AB3E42" w:rsidRDefault="00E077B5" w:rsidP="000E2CF0">
      <w:pPr>
        <w:pStyle w:val="ListParagraph"/>
        <w:ind w:left="0"/>
        <w:jc w:val="both"/>
        <w:rPr>
          <w:rFonts w:ascii="Arial Narrow" w:hAnsi="Arial Narrow" w:cstheme="majorHAnsi"/>
          <w:b/>
          <w:bCs/>
          <w:lang w:eastAsia="en-GB"/>
        </w:rPr>
      </w:pPr>
    </w:p>
    <w:p w14:paraId="308F47B1" w14:textId="03BE23F3" w:rsidR="00E077B5" w:rsidRPr="00AB3E42" w:rsidRDefault="00E077B5" w:rsidP="000E2CF0">
      <w:pPr>
        <w:pStyle w:val="ListParagraph"/>
        <w:ind w:left="0"/>
        <w:jc w:val="both"/>
        <w:rPr>
          <w:rFonts w:ascii="Arial Narrow" w:hAnsi="Arial Narrow" w:cstheme="majorHAnsi"/>
          <w:b/>
          <w:bCs/>
          <w:lang w:eastAsia="en-GB"/>
        </w:rPr>
      </w:pPr>
    </w:p>
    <w:p w14:paraId="3075E22B" w14:textId="35724AA3" w:rsidR="00E077B5" w:rsidRPr="00AB3E42" w:rsidRDefault="00E077B5" w:rsidP="000E2CF0">
      <w:pPr>
        <w:pStyle w:val="ListParagraph"/>
        <w:ind w:left="0"/>
        <w:jc w:val="both"/>
        <w:rPr>
          <w:rFonts w:ascii="Arial Narrow" w:hAnsi="Arial Narrow" w:cstheme="majorHAnsi"/>
          <w:b/>
          <w:bCs/>
          <w:lang w:eastAsia="en-GB"/>
        </w:rPr>
      </w:pPr>
    </w:p>
    <w:p w14:paraId="7CA61FD6" w14:textId="0C203FAB" w:rsidR="00E077B5" w:rsidRPr="00AB3E42" w:rsidRDefault="00E077B5" w:rsidP="000E2CF0">
      <w:pPr>
        <w:pStyle w:val="ListParagraph"/>
        <w:ind w:left="0"/>
        <w:jc w:val="both"/>
        <w:rPr>
          <w:rFonts w:ascii="Arial Narrow" w:hAnsi="Arial Narrow" w:cstheme="majorHAnsi"/>
          <w:b/>
          <w:bCs/>
          <w:lang w:eastAsia="en-GB"/>
        </w:rPr>
      </w:pPr>
    </w:p>
    <w:p w14:paraId="4C373E64" w14:textId="7E614FCD" w:rsidR="00E077B5" w:rsidRPr="00AB3E42" w:rsidRDefault="00E077B5" w:rsidP="000E2CF0">
      <w:pPr>
        <w:pStyle w:val="ListParagraph"/>
        <w:ind w:left="0"/>
        <w:jc w:val="both"/>
        <w:rPr>
          <w:rFonts w:ascii="Arial Narrow" w:hAnsi="Arial Narrow" w:cstheme="majorHAnsi"/>
          <w:b/>
          <w:bCs/>
          <w:lang w:eastAsia="en-GB"/>
        </w:rPr>
      </w:pPr>
    </w:p>
    <w:p w14:paraId="763F64A1" w14:textId="790469BF" w:rsidR="00E077B5" w:rsidRPr="00AB3E42" w:rsidRDefault="00E077B5" w:rsidP="000E2CF0">
      <w:pPr>
        <w:pStyle w:val="ListParagraph"/>
        <w:ind w:left="0"/>
        <w:jc w:val="both"/>
        <w:rPr>
          <w:rFonts w:ascii="Arial Narrow" w:hAnsi="Arial Narrow" w:cstheme="majorHAnsi"/>
          <w:b/>
          <w:bCs/>
          <w:lang w:eastAsia="en-GB"/>
        </w:rPr>
      </w:pPr>
    </w:p>
    <w:p w14:paraId="3959CEEE" w14:textId="456454C1" w:rsidR="00E077B5" w:rsidRPr="00AB3E42" w:rsidRDefault="00E077B5" w:rsidP="000E2CF0">
      <w:pPr>
        <w:pStyle w:val="ListParagraph"/>
        <w:ind w:left="0"/>
        <w:jc w:val="both"/>
        <w:rPr>
          <w:rFonts w:ascii="Arial Narrow" w:hAnsi="Arial Narrow" w:cstheme="majorHAnsi"/>
          <w:b/>
          <w:bCs/>
          <w:lang w:eastAsia="en-GB"/>
        </w:rPr>
      </w:pPr>
    </w:p>
    <w:p w14:paraId="35145737" w14:textId="6862B06B" w:rsidR="00E077B5" w:rsidRPr="00AB3E42" w:rsidRDefault="00E077B5" w:rsidP="000E2CF0">
      <w:pPr>
        <w:pStyle w:val="ListParagraph"/>
        <w:ind w:left="0"/>
        <w:jc w:val="both"/>
        <w:rPr>
          <w:rFonts w:ascii="Arial Narrow" w:hAnsi="Arial Narrow" w:cstheme="majorHAnsi"/>
          <w:b/>
          <w:bCs/>
          <w:lang w:eastAsia="en-GB"/>
        </w:rPr>
      </w:pPr>
    </w:p>
    <w:p w14:paraId="41E36784" w14:textId="2B726F93" w:rsidR="00225C93" w:rsidRPr="00AB3E42" w:rsidRDefault="00225C93" w:rsidP="000E2CF0">
      <w:pPr>
        <w:pStyle w:val="ListParagraph"/>
        <w:ind w:left="0"/>
        <w:jc w:val="both"/>
        <w:rPr>
          <w:rFonts w:ascii="Arial Narrow" w:hAnsi="Arial Narrow" w:cstheme="majorHAnsi"/>
          <w:b/>
          <w:bCs/>
          <w:lang w:eastAsia="en-GB"/>
        </w:rPr>
      </w:pPr>
      <w:r w:rsidRPr="00AB3E42">
        <w:rPr>
          <w:rFonts w:ascii="Arial Narrow" w:hAnsi="Arial Narrow" w:cstheme="majorHAnsi"/>
          <w:b/>
          <w:bCs/>
          <w:lang w:eastAsia="en-GB"/>
        </w:rPr>
        <w:t>References</w:t>
      </w:r>
    </w:p>
    <w:p w14:paraId="103A5442" w14:textId="77777777" w:rsidR="00AB3E42" w:rsidRPr="00AB3E42" w:rsidRDefault="00AB3E42" w:rsidP="00AB3E42">
      <w:pPr>
        <w:keepNext/>
        <w:keepLines/>
        <w:spacing w:before="360" w:after="80"/>
        <w:ind w:left="720" w:hanging="720"/>
        <w:jc w:val="both"/>
        <w:outlineLvl w:val="0"/>
        <w:rPr>
          <w:rFonts w:ascii="Arial Narrow" w:eastAsia="SimSun" w:hAnsi="Arial Narrow" w:cs="Times New Roman"/>
          <w:b/>
          <w:lang w:val="en-US"/>
        </w:rPr>
      </w:pPr>
      <w:r w:rsidRPr="00AB3E42">
        <w:rPr>
          <w:rFonts w:ascii="Arial Narrow" w:eastAsia="SimSun" w:hAnsi="Arial Narrow" w:cs="Times New Roman"/>
          <w:b/>
          <w:lang w:val="en-US"/>
        </w:rPr>
        <w:fldChar w:fldCharType="begin"/>
      </w:r>
      <w:r w:rsidRPr="00AB3E42">
        <w:rPr>
          <w:rFonts w:ascii="Arial Narrow" w:eastAsia="SimSun" w:hAnsi="Arial Narrow" w:cs="Times New Roman"/>
          <w:b/>
          <w:lang w:val="en-US"/>
        </w:rPr>
        <w:instrText xml:space="preserve">ADDIN Mendeley Bibliography CSL_BIBLIOGRAPHY </w:instrText>
      </w:r>
      <w:r w:rsidRPr="00AB3E42">
        <w:rPr>
          <w:rFonts w:ascii="Arial Narrow" w:eastAsia="SimSun" w:hAnsi="Arial Narrow" w:cs="Times New Roman"/>
          <w:b/>
          <w:lang w:val="en-US"/>
        </w:rPr>
        <w:fldChar w:fldCharType="separate"/>
      </w:r>
      <w:r w:rsidRPr="00AB3E42">
        <w:rPr>
          <w:rFonts w:ascii="Arial Narrow" w:eastAsia="Times New Roman" w:hAnsi="Arial Narrow" w:cs="Times New Roman"/>
          <w:kern w:val="0"/>
          <w:lang w:val="en-US"/>
          <w14:ligatures w14:val="none"/>
        </w:rPr>
        <w:t>Adjei</w:t>
      </w:r>
      <w:r w:rsidRPr="00AB3E42">
        <w:rPr>
          <w:rFonts w:ascii="Cambria Math" w:eastAsia="Times New Roman" w:hAnsi="Cambria Math" w:cs="Cambria Math"/>
          <w:kern w:val="0"/>
          <w:lang w:val="en-US"/>
          <w14:ligatures w14:val="none"/>
        </w:rPr>
        <w:t>‐</w:t>
      </w:r>
      <w:r w:rsidRPr="00AB3E42">
        <w:rPr>
          <w:rFonts w:ascii="Arial Narrow" w:eastAsia="Times New Roman" w:hAnsi="Arial Narrow" w:cs="Times New Roman"/>
          <w:kern w:val="0"/>
          <w:lang w:val="en-US"/>
          <w14:ligatures w14:val="none"/>
        </w:rPr>
        <w:t>Mantey, K., Takeuchi, K., and  Quartey, P. (2021). Impact of LPG promotion program in Ghana: The role of distance to refill. Energy Policy. https://doi.org/10.1016/j.enpol.2021.112578.</w:t>
      </w:r>
    </w:p>
    <w:p w14:paraId="28BF1490" w14:textId="77777777" w:rsidR="00AB3E42" w:rsidRPr="00AB3E42"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AB3E42">
        <w:rPr>
          <w:rFonts w:ascii="Arial Narrow" w:eastAsia="Calibri" w:hAnsi="Arial Narrow" w:cs="Times New Roman"/>
          <w:noProof/>
          <w:kern w:val="0"/>
          <w:lang w:val="en-US"/>
          <w14:ligatures w14:val="none"/>
        </w:rPr>
        <w:t xml:space="preserve">Chen, K. (2023). </w:t>
      </w:r>
      <w:r w:rsidRPr="00AB3E42">
        <w:rPr>
          <w:rFonts w:ascii="Arial Narrow" w:eastAsia="Calibri" w:hAnsi="Arial Narrow" w:cs="Times New Roman"/>
          <w:i/>
          <w:iCs/>
          <w:noProof/>
          <w:kern w:val="0"/>
          <w:lang w:val="en-US"/>
          <w14:ligatures w14:val="none"/>
        </w:rPr>
        <w:t xml:space="preserve">the importance of lpg to africa and the prospects for lpg decarbonization through </w:t>
      </w:r>
      <w:r w:rsidRPr="00AB3E42">
        <w:rPr>
          <w:rFonts w:ascii="Arial Narrow" w:eastAsia="Calibri" w:hAnsi="Arial Narrow" w:cs="Times New Roman"/>
          <w:i/>
          <w:iCs/>
          <w:noProof/>
          <w:kern w:val="0"/>
          <w:lang w:val="en-US"/>
          <w14:ligatures w14:val="none"/>
        </w:rPr>
        <w:lastRenderedPageBreak/>
        <w:t>implementation of biolpg</w:t>
      </w:r>
      <w:r w:rsidRPr="00AB3E42">
        <w:rPr>
          <w:rFonts w:ascii="Arial Narrow" w:eastAsia="Calibri" w:hAnsi="Arial Narrow" w:cs="Times New Roman"/>
          <w:noProof/>
          <w:kern w:val="0"/>
          <w:lang w:val="en-US"/>
          <w14:ligatures w14:val="none"/>
        </w:rPr>
        <w:t xml:space="preserve">. </w:t>
      </w:r>
      <w:r w:rsidRPr="00AB3E42">
        <w:rPr>
          <w:rFonts w:ascii="Arial Narrow" w:eastAsia="Calibri" w:hAnsi="Arial Narrow" w:cs="Times New Roman"/>
          <w:i/>
          <w:iCs/>
          <w:noProof/>
          <w:kern w:val="0"/>
          <w:lang w:val="en-US"/>
          <w14:ligatures w14:val="none"/>
        </w:rPr>
        <w:t>march</w:t>
      </w:r>
      <w:r w:rsidRPr="00AB3E42">
        <w:rPr>
          <w:rFonts w:ascii="Arial Narrow" w:eastAsia="Calibri" w:hAnsi="Arial Narrow" w:cs="Times New Roman"/>
          <w:noProof/>
          <w:kern w:val="0"/>
          <w:lang w:val="en-US"/>
          <w14:ligatures w14:val="none"/>
        </w:rPr>
        <w:t>.</w:t>
      </w:r>
      <w:r w:rsidRPr="00AB3E42">
        <w:rPr>
          <w:rFonts w:ascii="Arial Narrow" w:eastAsia="Times New Roman" w:hAnsi="Arial Narrow" w:cs="Times New Roman"/>
          <w:kern w:val="0"/>
          <w:lang w:val="en-US"/>
          <w14:ligatures w14:val="none"/>
        </w:rPr>
        <w:t xml:space="preserve"> 21.112578.</w:t>
      </w:r>
    </w:p>
    <w:p w14:paraId="45848EB6" w14:textId="77777777" w:rsidR="00AB3E42" w:rsidRPr="00AB3E42"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iCs/>
          <w:noProof/>
          <w:kern w:val="0"/>
          <w:lang w:val="en-US"/>
          <w14:ligatures w14:val="none"/>
        </w:rPr>
      </w:pPr>
      <w:r w:rsidRPr="00AB3E42">
        <w:rPr>
          <w:rFonts w:ascii="Arial Narrow" w:eastAsia="Times New Roman" w:hAnsi="Arial Narrow" w:cs="Times New Roman"/>
          <w:kern w:val="0"/>
          <w:lang w:val="en-US"/>
          <w14:ligatures w14:val="none"/>
        </w:rPr>
        <w:t>Clean Cooking Alliance. (2022).</w:t>
      </w:r>
      <w:r w:rsidRPr="00AB3E42">
        <w:rPr>
          <w:rFonts w:ascii="Arial Narrow" w:eastAsia="Calibri" w:hAnsi="Arial Narrow" w:cs="Times New Roman"/>
          <w:i/>
          <w:iCs/>
          <w:noProof/>
          <w:kern w:val="0"/>
          <w:lang w:val="en-US"/>
          <w14:ligatures w14:val="none"/>
        </w:rPr>
        <w:t xml:space="preserve"> </w:t>
      </w:r>
      <w:r w:rsidRPr="00AB3E42">
        <w:rPr>
          <w:rFonts w:ascii="Arial Narrow" w:eastAsia="Calibri" w:hAnsi="Arial Narrow" w:cs="Times New Roman"/>
          <w:iCs/>
          <w:noProof/>
          <w:kern w:val="0"/>
          <w:lang w:val="en-US"/>
          <w14:ligatures w14:val="none"/>
        </w:rPr>
        <w:t>Scaling LPG for cooking in developing markets.</w:t>
      </w:r>
    </w:p>
    <w:p w14:paraId="0963B104" w14:textId="77777777" w:rsidR="00AB3E42" w:rsidRPr="00AB3E42"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iCs/>
          <w:noProof/>
          <w:kern w:val="0"/>
          <w:lang w:val="en-US"/>
          <w14:ligatures w14:val="none"/>
        </w:rPr>
      </w:pPr>
      <w:r w:rsidRPr="00AB3E42">
        <w:rPr>
          <w:rFonts w:ascii="Arial Narrow" w:eastAsia="Calibri" w:hAnsi="Arial Narrow" w:cs="Times New Roman"/>
          <w:iCs/>
          <w:noProof/>
          <w:kern w:val="0"/>
          <w:lang w:val="en-US"/>
          <w14:ligatures w14:val="none"/>
        </w:rPr>
        <w:t>Dongzagla, A., and  Adams, A. (2022). Determinants of urban household choice of cooking fuel in Ghana: Do socioeconomic and demographic factors matter. Energy. https://doi.org/10.1016/j.energy.2022.124613.</w:t>
      </w:r>
    </w:p>
    <w:p w14:paraId="508A9236" w14:textId="77777777" w:rsidR="00AB3E42" w:rsidRPr="00AB3E42" w:rsidRDefault="00AB3E42" w:rsidP="00AB3E42">
      <w:pPr>
        <w:spacing w:before="100" w:beforeAutospacing="1" w:after="100" w:afterAutospacing="1"/>
        <w:jc w:val="both"/>
        <w:outlineLvl w:val="2"/>
        <w:rPr>
          <w:rFonts w:ascii="Arial Narrow" w:eastAsia="Times New Roman" w:hAnsi="Arial Narrow" w:cs="Times New Roman"/>
          <w:kern w:val="0"/>
          <w:lang w:val="en-US"/>
          <w14:ligatures w14:val="none"/>
        </w:rPr>
      </w:pPr>
      <w:bookmarkStart w:id="23" w:name="_Toc206415423"/>
      <w:bookmarkStart w:id="24" w:name="_Toc206425741"/>
      <w:bookmarkStart w:id="25" w:name="_Toc206485698"/>
      <w:bookmarkStart w:id="26" w:name="_Toc206127125"/>
      <w:bookmarkStart w:id="27" w:name="_Toc206129003"/>
      <w:bookmarkStart w:id="28" w:name="_Toc207001389"/>
      <w:bookmarkStart w:id="29" w:name="_Toc207431017"/>
      <w:bookmarkStart w:id="30" w:name="_Toc207229369"/>
      <w:bookmarkStart w:id="31" w:name="_Toc208433527"/>
      <w:r w:rsidRPr="00AB3E42">
        <w:rPr>
          <w:rFonts w:ascii="Arial Narrow" w:eastAsia="Times New Roman" w:hAnsi="Arial Narrow" w:cs="Times New Roman"/>
          <w:kern w:val="0"/>
          <w:lang w:val="en-US"/>
          <w14:ligatures w14:val="none"/>
        </w:rPr>
        <w:t xml:space="preserve">Energy and Water Utilities Regulatory Authority (EWURA). (2023). </w:t>
      </w:r>
      <w:r w:rsidRPr="00AB3E42">
        <w:rPr>
          <w:rFonts w:ascii="Arial Narrow" w:eastAsia="Times New Roman" w:hAnsi="Arial Narrow" w:cs="Times New Roman"/>
          <w:i/>
          <w:iCs/>
          <w:kern w:val="0"/>
          <w:lang w:val="en-US"/>
          <w14:ligatures w14:val="none"/>
        </w:rPr>
        <w:t>Annual Energy Report</w:t>
      </w:r>
      <w:r w:rsidRPr="00AB3E42">
        <w:rPr>
          <w:rFonts w:ascii="Arial Narrow" w:eastAsia="Calibri" w:hAnsi="Arial Narrow" w:cs="Times New Roman"/>
          <w:iCs/>
          <w:noProof/>
          <w:kern w:val="0"/>
          <w:lang w:val="en-US"/>
          <w14:ligatures w14:val="none"/>
        </w:rPr>
        <w:t>2023.124613.</w:t>
      </w:r>
      <w:r w:rsidRPr="00AB3E42">
        <w:rPr>
          <w:rFonts w:ascii="Arial Narrow" w:eastAsia="Times New Roman" w:hAnsi="Arial Narrow" w:cs="Times New Roman"/>
          <w:kern w:val="0"/>
          <w:lang w:val="en-US"/>
          <w14:ligatures w14:val="none"/>
        </w:rPr>
        <w:t>.</w:t>
      </w:r>
      <w:bookmarkEnd w:id="23"/>
      <w:bookmarkEnd w:id="24"/>
      <w:bookmarkEnd w:id="25"/>
      <w:bookmarkEnd w:id="26"/>
      <w:bookmarkEnd w:id="27"/>
      <w:bookmarkEnd w:id="28"/>
      <w:bookmarkEnd w:id="29"/>
      <w:bookmarkEnd w:id="30"/>
      <w:bookmarkEnd w:id="31"/>
    </w:p>
    <w:p w14:paraId="6F17FE73" w14:textId="77777777" w:rsidR="00AB3E42" w:rsidRPr="00AB3E42" w:rsidRDefault="00AB3E42" w:rsidP="00AB3E42">
      <w:pPr>
        <w:spacing w:before="100" w:beforeAutospacing="1" w:after="100" w:afterAutospacing="1"/>
        <w:ind w:left="720" w:hanging="720"/>
        <w:jc w:val="both"/>
        <w:rPr>
          <w:rFonts w:ascii="Arial Narrow" w:eastAsia="Times New Roman" w:hAnsi="Arial Narrow" w:cs="Times New Roman"/>
          <w:i/>
          <w:iCs/>
          <w:kern w:val="0"/>
          <w:lang w:val="en-US"/>
          <w14:ligatures w14:val="none"/>
        </w:rPr>
      </w:pPr>
      <w:r w:rsidRPr="00AB3E42">
        <w:rPr>
          <w:rFonts w:ascii="Arial Narrow" w:eastAsia="Times New Roman" w:hAnsi="Arial Narrow" w:cs="Times New Roman"/>
          <w:kern w:val="0"/>
          <w:lang w:val="en-US"/>
          <w14:ligatures w14:val="none"/>
        </w:rPr>
        <w:t xml:space="preserve">Geita Regional Commissioner’s Office. (2022). </w:t>
      </w:r>
      <w:r w:rsidRPr="00AB3E42">
        <w:rPr>
          <w:rFonts w:ascii="Arial Narrow" w:eastAsia="Times New Roman" w:hAnsi="Arial Narrow" w:cs="Times New Roman"/>
          <w:i/>
          <w:iCs/>
          <w:kern w:val="0"/>
          <w:lang w:val="en-US"/>
          <w14:ligatures w14:val="none"/>
        </w:rPr>
        <w:t>Annual Development Report</w:t>
      </w:r>
      <w:r w:rsidRPr="00AB3E42">
        <w:rPr>
          <w:rFonts w:ascii="Arial Narrow" w:eastAsia="Calibri" w:hAnsi="Arial Narrow" w:cs="Times New Roman"/>
          <w:iCs/>
          <w:noProof/>
          <w:kern w:val="0"/>
          <w:lang w:val="en-US"/>
          <w14:ligatures w14:val="none"/>
        </w:rPr>
        <w:t>2022.124613.</w:t>
      </w:r>
      <w:r w:rsidRPr="00AB3E42">
        <w:rPr>
          <w:rFonts w:ascii="Arial Narrow" w:eastAsia="Times New Roman" w:hAnsi="Arial Narrow" w:cs="Times New Roman"/>
          <w:i/>
          <w:iCs/>
          <w:kern w:val="0"/>
          <w:lang w:val="en-US"/>
          <w14:ligatures w14:val="none"/>
        </w:rPr>
        <w:t>.</w:t>
      </w:r>
    </w:p>
    <w:p w14:paraId="06898402" w14:textId="19821399" w:rsidR="00AB3E42" w:rsidRPr="00AB3E42" w:rsidRDefault="00AB3E42" w:rsidP="00AB3E42">
      <w:pPr>
        <w:spacing w:before="100" w:beforeAutospacing="1" w:after="100" w:afterAutospacing="1"/>
        <w:ind w:left="720" w:hanging="720"/>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Gould, C., and Urpelainen, J. (2019). The Role of Education and Attitudes in Cooking Fuel Choice: Evidence from Two States in India.</w:t>
      </w:r>
      <w:r w:rsidRPr="00AB3E42">
        <w:rPr>
          <w:rFonts w:ascii="Arial Narrow" w:eastAsia="Times New Roman" w:hAnsi="Arial Narrow" w:cs="Times New Roman"/>
          <w:i/>
          <w:kern w:val="0"/>
          <w:lang w:val="en-US"/>
          <w14:ligatures w14:val="none"/>
        </w:rPr>
        <w:t xml:space="preserve"> Politics and Energy e Journal. </w:t>
      </w:r>
      <w:r w:rsidRPr="00AB3E42">
        <w:rPr>
          <w:rFonts w:ascii="Arial Narrow" w:eastAsia="Times New Roman" w:hAnsi="Arial Narrow" w:cs="Times New Roman"/>
          <w:kern w:val="0"/>
          <w:lang w:val="en-US"/>
          <w14:ligatures w14:val="none"/>
        </w:rPr>
        <w:t>https://doi.org/10.1016/j.esd.2019.09.003.</w:t>
      </w:r>
    </w:p>
    <w:p w14:paraId="6499E883"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Guta, D. (2020). Determinants of household use of energy-efficient and renewable energy technologies in rural Ethiopia.</w:t>
      </w:r>
      <w:r w:rsidRPr="00AB3E42">
        <w:rPr>
          <w:rFonts w:ascii="Arial Narrow" w:eastAsia="Calibri" w:hAnsi="Arial Narrow" w:cs="Times New Roman"/>
          <w:i/>
          <w:kern w:val="0"/>
          <w:lang w:val="en-US"/>
          <w14:ligatures w14:val="none"/>
        </w:rPr>
        <w:t xml:space="preserve"> Technology in Society</w:t>
      </w:r>
      <w:r w:rsidRPr="00AB3E42">
        <w:rPr>
          <w:rFonts w:ascii="Arial Narrow" w:eastAsia="Calibri" w:hAnsi="Arial Narrow" w:cs="Times New Roman"/>
          <w:kern w:val="0"/>
          <w:lang w:val="en-US"/>
          <w14:ligatures w14:val="none"/>
        </w:rPr>
        <w:t>, 61, 101249. https://doi.org/10.1016/j.techsoc.2020.101249.</w:t>
      </w:r>
    </w:p>
    <w:p w14:paraId="7F79D4BC"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Ismail, A., Ibrahim, S., Gambo, M., Muhammad, R., Badamasi, M., and  Sulaiman, I. (2022). Impact of differential occupational LPG exposure on cardiopulmonary indices, liver function, and oxidative stress in Northwestern city of Nigeria.</w:t>
      </w:r>
      <w:r w:rsidRPr="00AB3E42">
        <w:rPr>
          <w:rFonts w:ascii="Arial Narrow" w:eastAsia="Calibri" w:hAnsi="Arial Narrow" w:cs="Times New Roman"/>
          <w:i/>
          <w:kern w:val="0"/>
          <w:lang w:val="en-US"/>
          <w14:ligatures w14:val="none"/>
        </w:rPr>
        <w:t xml:space="preserve"> The Science of the total environment,</w:t>
      </w:r>
      <w:r w:rsidRPr="00AB3E42">
        <w:rPr>
          <w:rFonts w:ascii="Arial Narrow" w:eastAsia="Calibri" w:hAnsi="Arial Narrow" w:cs="Times New Roman"/>
          <w:kern w:val="0"/>
          <w:lang w:val="en-US"/>
          <w14:ligatures w14:val="none"/>
        </w:rPr>
        <w:t xml:space="preserve"> 160881. https://doi.org/10.1016/j.scitotenv.2022.160881.</w:t>
      </w:r>
    </w:p>
    <w:p w14:paraId="7FE326C1"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International Energy Agency. (2022). Africa Energy Outlook 2022</w:t>
      </w:r>
      <w:r w:rsidRPr="00AB3E42">
        <w:rPr>
          <w:rFonts w:ascii="Arial Narrow" w:eastAsia="Calibri" w:hAnsi="Arial Narrow" w:cs="Times New Roman"/>
          <w:iCs/>
          <w:noProof/>
          <w:kern w:val="0"/>
          <w:lang w:val="en-US"/>
          <w14:ligatures w14:val="none"/>
        </w:rPr>
        <w:t>.224613.</w:t>
      </w:r>
      <w:r w:rsidRPr="00AB3E42">
        <w:rPr>
          <w:rFonts w:ascii="Arial Narrow" w:eastAsia="Calibri" w:hAnsi="Arial Narrow" w:cs="Times New Roman"/>
          <w:kern w:val="0"/>
          <w:lang w:val="en-US"/>
          <w14:ligatures w14:val="none"/>
        </w:rPr>
        <w:t xml:space="preserve">  </w:t>
      </w:r>
    </w:p>
    <w:p w14:paraId="4852C10F" w14:textId="77777777" w:rsidR="00AB3E42" w:rsidRPr="00AB3E42"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AB3E42">
        <w:rPr>
          <w:rFonts w:ascii="Arial Narrow" w:eastAsia="Calibri" w:hAnsi="Arial Narrow" w:cs="Times New Roman"/>
          <w:noProof/>
          <w:kern w:val="0"/>
          <w:lang w:val="en-US"/>
          <w14:ligatures w14:val="none"/>
        </w:rPr>
        <w:t xml:space="preserve">Jamaldin, S. (2025). Determinants of the Liquefied Petroleum Gas among household in Muheza District, Tanga. </w:t>
      </w:r>
      <w:r w:rsidRPr="00AB3E42">
        <w:rPr>
          <w:rFonts w:ascii="Arial Narrow" w:eastAsia="Calibri" w:hAnsi="Arial Narrow" w:cs="Times New Roman"/>
          <w:i/>
          <w:noProof/>
          <w:kern w:val="0"/>
          <w:lang w:val="en-US"/>
          <w14:ligatures w14:val="none"/>
        </w:rPr>
        <w:t>Journal of Policy and Development Studies</w:t>
      </w:r>
      <w:r w:rsidRPr="00AB3E42">
        <w:rPr>
          <w:rFonts w:ascii="Arial Narrow" w:eastAsia="Calibri" w:hAnsi="Arial Narrow" w:cs="Times New Roman"/>
          <w:noProof/>
          <w:kern w:val="0"/>
          <w:lang w:val="en-US"/>
          <w14:ligatures w14:val="none"/>
        </w:rPr>
        <w:t>. https://doi.org/10.4314/jpds.v18i2.7.</w:t>
      </w:r>
    </w:p>
    <w:p w14:paraId="29C53B89" w14:textId="77777777" w:rsidR="00AB3E42" w:rsidRPr="00AB3E42"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AB3E42">
        <w:rPr>
          <w:rFonts w:ascii="Arial Narrow" w:eastAsia="Calibri" w:hAnsi="Arial Narrow" w:cs="Times New Roman"/>
          <w:noProof/>
          <w:kern w:val="0"/>
          <w:lang w:val="en-US"/>
          <w14:ligatures w14:val="none"/>
        </w:rPr>
        <w:t xml:space="preserve">Johnson, O., Gerber, V., and  Muhoza, C. (2019). Gender, culture and energy transitions in rural Africa. </w:t>
      </w:r>
      <w:r w:rsidRPr="00AB3E42">
        <w:rPr>
          <w:rFonts w:ascii="Arial Narrow" w:eastAsia="Calibri" w:hAnsi="Arial Narrow" w:cs="Times New Roman"/>
          <w:i/>
          <w:noProof/>
          <w:kern w:val="0"/>
          <w:lang w:val="en-US"/>
          <w14:ligatures w14:val="none"/>
        </w:rPr>
        <w:t>Energy Research and  Social Science</w:t>
      </w:r>
      <w:r w:rsidRPr="00AB3E42">
        <w:rPr>
          <w:rFonts w:ascii="Arial Narrow" w:eastAsia="Calibri" w:hAnsi="Arial Narrow" w:cs="Times New Roman"/>
          <w:noProof/>
          <w:kern w:val="0"/>
          <w:lang w:val="en-US"/>
          <w14:ligatures w14:val="none"/>
        </w:rPr>
        <w:t>. https://doi.org/10.1016/J.ERSS.2018.11.004.</w:t>
      </w:r>
    </w:p>
    <w:p w14:paraId="0E89BD81"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Kamwela, P. (2021). Barriers and Opportunity for LPG Adoption in Tanzania.</w:t>
      </w:r>
      <w:r w:rsidRPr="00AB3E42">
        <w:rPr>
          <w:rFonts w:ascii="Arial Narrow" w:eastAsia="Calibri" w:hAnsi="Arial Narrow" w:cs="Times New Roman"/>
          <w:iCs/>
          <w:noProof/>
          <w:kern w:val="0"/>
          <w:lang w:val="en-US"/>
          <w14:ligatures w14:val="none"/>
        </w:rPr>
        <w:t xml:space="preserve"> 2021.124613.</w:t>
      </w:r>
    </w:p>
    <w:p w14:paraId="5537C352"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 xml:space="preserve"> Karimu, A., Mensah, J., and  Adu, G. (2022). Who Adopts LPG as the Main Cooking Fuel and Why? Empirical Evidence on Ghana Based on National Survey. SRPN: Gas (Topic). https://doi.org/10.2139/ssrn.2770348. </w:t>
      </w:r>
    </w:p>
    <w:p w14:paraId="574D093D"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 xml:space="preserve">Kumar, P., Dover, R., Iriarte, D., Rao, S., Garakani, R., Hadingham, S., Dhand, A., Tabak, R., Brownson, R., and  Yadama, G. (2020). Affordability, Accessibility, and Awareness in the Adoption of Liquefied </w:t>
      </w:r>
      <w:r w:rsidRPr="00AB3E42">
        <w:rPr>
          <w:rFonts w:ascii="Arial Narrow" w:eastAsia="Calibri" w:hAnsi="Arial Narrow" w:cs="Times New Roman"/>
          <w:kern w:val="0"/>
          <w:lang w:val="en-US"/>
          <w14:ligatures w14:val="none"/>
        </w:rPr>
        <w:lastRenderedPageBreak/>
        <w:t>Petroleum Gas: A Case-Control Study in Rural India. Sustainability. https://doi.org/10.3390/su12114790.</w:t>
      </w:r>
    </w:p>
    <w:p w14:paraId="41684AF1"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 xml:space="preserve">  </w:t>
      </w:r>
    </w:p>
    <w:p w14:paraId="590FDAF6" w14:textId="77777777" w:rsidR="00AB3E42" w:rsidRPr="00AB3E42"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AB3E42">
        <w:rPr>
          <w:rFonts w:ascii="Arial Narrow" w:eastAsia="Calibri" w:hAnsi="Arial Narrow" w:cs="Times New Roman"/>
          <w:noProof/>
          <w:kern w:val="0"/>
          <w:lang w:val="en-US"/>
          <w14:ligatures w14:val="none"/>
        </w:rPr>
        <w:t>Lee, K. K., Bing, R., Kiang, J., Bashir, S., Spath, N., Stelzle, D., Mortimer, K., Bularga, A., Doudesis, D., Joshi, S. S., Strachan, F., Gumy, S., Adair-rohani, H., Attia, E. F., Chung, M. H., Miller, M. R., and  Newby, D. E. (2020). Articles Adverse health effects associated with household air pollution</w:t>
      </w:r>
      <w:r w:rsidRPr="00AB3E42">
        <w:rPr>
          <w:rFonts w:ascii="Arial" w:eastAsia="Calibri" w:hAnsi="Arial" w:cs="Arial"/>
          <w:noProof/>
          <w:kern w:val="0"/>
          <w:lang w:val="en-US"/>
          <w14:ligatures w14:val="none"/>
        </w:rPr>
        <w:t> </w:t>
      </w:r>
      <w:r w:rsidRPr="00AB3E42">
        <w:rPr>
          <w:rFonts w:ascii="Arial Narrow" w:eastAsia="Calibri" w:hAnsi="Arial Narrow" w:cs="Times New Roman"/>
          <w:noProof/>
          <w:kern w:val="0"/>
          <w:lang w:val="en-US"/>
          <w14:ligatures w14:val="none"/>
        </w:rPr>
        <w:t xml:space="preserve">: a systematic review , meta-analysis , and burden estimation study. </w:t>
      </w:r>
      <w:r w:rsidRPr="00AB3E42">
        <w:rPr>
          <w:rFonts w:ascii="Arial Narrow" w:eastAsia="Calibri" w:hAnsi="Arial Narrow" w:cs="Times New Roman"/>
          <w:i/>
          <w:iCs/>
          <w:noProof/>
          <w:kern w:val="0"/>
          <w:lang w:val="en-US"/>
          <w14:ligatures w14:val="none"/>
        </w:rPr>
        <w:t>The Lancet Global Health</w:t>
      </w:r>
      <w:r w:rsidRPr="00AB3E42">
        <w:rPr>
          <w:rFonts w:ascii="Arial Narrow" w:eastAsia="Calibri" w:hAnsi="Arial Narrow" w:cs="Times New Roman"/>
          <w:noProof/>
          <w:kern w:val="0"/>
          <w:lang w:val="en-US"/>
          <w14:ligatures w14:val="none"/>
        </w:rPr>
        <w:t xml:space="preserve">, </w:t>
      </w:r>
      <w:r w:rsidRPr="00AB3E42">
        <w:rPr>
          <w:rFonts w:ascii="Arial Narrow" w:eastAsia="Calibri" w:hAnsi="Arial Narrow" w:cs="Times New Roman"/>
          <w:i/>
          <w:iCs/>
          <w:noProof/>
          <w:kern w:val="0"/>
          <w:lang w:val="en-US"/>
          <w14:ligatures w14:val="none"/>
        </w:rPr>
        <w:t>8</w:t>
      </w:r>
      <w:r w:rsidRPr="00AB3E42">
        <w:rPr>
          <w:rFonts w:ascii="Arial Narrow" w:eastAsia="Calibri" w:hAnsi="Arial Narrow" w:cs="Times New Roman"/>
          <w:noProof/>
          <w:kern w:val="0"/>
          <w:lang w:val="en-US"/>
          <w14:ligatures w14:val="none"/>
        </w:rPr>
        <w:t>(11), e1427–e1434. https://doi.org/10.1016/S2214-109X(20)30343-0</w:t>
      </w:r>
    </w:p>
    <w:p w14:paraId="50500049" w14:textId="77777777" w:rsidR="00AB3E42" w:rsidRPr="00AB3E42" w:rsidRDefault="00AB3E42" w:rsidP="00AB3E42">
      <w:pPr>
        <w:spacing w:before="100" w:beforeAutospacing="1" w:after="100" w:afterAutospacing="1"/>
        <w:ind w:left="540" w:hanging="540"/>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 xml:space="preserve">Mbaka, C., Gikonyo, J., and  Kisaka, O. (2019). Households’ energy preference and consumption intensity in Kenya. </w:t>
      </w:r>
      <w:r w:rsidRPr="00AB3E42">
        <w:rPr>
          <w:rFonts w:ascii="Arial Narrow" w:eastAsia="Times New Roman" w:hAnsi="Arial Narrow" w:cs="Times New Roman"/>
          <w:i/>
          <w:kern w:val="0"/>
          <w:lang w:val="en-US"/>
          <w14:ligatures w14:val="none"/>
        </w:rPr>
        <w:t>Energy, Sustainability and Society</w:t>
      </w:r>
      <w:r w:rsidRPr="00AB3E42">
        <w:rPr>
          <w:rFonts w:ascii="Arial Narrow" w:eastAsia="Times New Roman" w:hAnsi="Arial Narrow" w:cs="Times New Roman"/>
          <w:kern w:val="0"/>
          <w:lang w:val="en-US"/>
          <w14:ligatures w14:val="none"/>
        </w:rPr>
        <w:t>, 9, 1-11. https://doi.org/10.1186/S13705-019-0201-8.</w:t>
      </w:r>
    </w:p>
    <w:p w14:paraId="2827C018" w14:textId="77777777" w:rsidR="00AB3E42" w:rsidRPr="00AB3E42"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AB3E42">
        <w:rPr>
          <w:rFonts w:ascii="Arial Narrow" w:eastAsia="Calibri" w:hAnsi="Arial Narrow" w:cs="Times New Roman"/>
          <w:kern w:val="0"/>
          <w:lang w:val="en-US"/>
          <w14:ligatures w14:val="none"/>
        </w:rPr>
        <w:t xml:space="preserve">Msuya, D. G., and  Mwakaje, A. E. G. (2023). Explaining the rise of economic and rural-urban inequality in clean cooking fuel use in Tanzania. </w:t>
      </w:r>
      <w:r w:rsidRPr="00AB3E42">
        <w:rPr>
          <w:rFonts w:ascii="Arial Narrow" w:eastAsia="Calibri" w:hAnsi="Arial Narrow" w:cs="Times New Roman"/>
          <w:i/>
          <w:iCs/>
          <w:kern w:val="0"/>
          <w:lang w:val="en-US"/>
          <w14:ligatures w14:val="none"/>
        </w:rPr>
        <w:t>Energy Reports</w:t>
      </w:r>
      <w:r w:rsidRPr="00AB3E42">
        <w:rPr>
          <w:rFonts w:ascii="Arial Narrow" w:eastAsia="Calibri" w:hAnsi="Arial Narrow" w:cs="Times New Roman"/>
          <w:kern w:val="0"/>
          <w:lang w:val="en-US"/>
          <w14:ligatures w14:val="none"/>
        </w:rPr>
        <w:t>, 9, 10788521. https://doi.org/10.1016/j.egyr.2023.07.132</w:t>
      </w:r>
    </w:p>
    <w:p w14:paraId="18012ED0" w14:textId="77777777" w:rsidR="00AB3E42" w:rsidRPr="00AB3E42" w:rsidRDefault="00AB3E42" w:rsidP="00AB3E42">
      <w:pPr>
        <w:spacing w:before="100" w:beforeAutospacing="1" w:after="100" w:afterAutospacing="1"/>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 xml:space="preserve">National Bureau of Statistics (NBS). (2019). </w:t>
      </w:r>
      <w:r w:rsidRPr="00AB3E42">
        <w:rPr>
          <w:rFonts w:ascii="Arial Narrow" w:eastAsia="Times New Roman" w:hAnsi="Arial Narrow" w:cs="Times New Roman"/>
          <w:i/>
          <w:iCs/>
          <w:kern w:val="0"/>
          <w:lang w:val="en-US"/>
          <w14:ligatures w14:val="none"/>
        </w:rPr>
        <w:t>Household Budget Survey</w:t>
      </w:r>
    </w:p>
    <w:p w14:paraId="006DB017" w14:textId="77777777" w:rsidR="00AB3E42" w:rsidRPr="00AB3E42" w:rsidRDefault="00AB3E42" w:rsidP="00AB3E42">
      <w:pPr>
        <w:spacing w:before="100" w:beforeAutospacing="1" w:after="100" w:afterAutospacing="1"/>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Ndunguru, E., and  Lema, G. (2021). Factors that Affect the Adoption of Liquefied Petroleum Gas in Kinondoni Municipality, Tanzania. JOURNAL OF THE GEOGRAPHICAL ASSOCIATION OF TANZANIA. https://doi.org/10.56279/jgat.v40i1.22.</w:t>
      </w:r>
    </w:p>
    <w:p w14:paraId="0B09239F" w14:textId="77777777" w:rsidR="00AB3E42" w:rsidRPr="00AB3E42"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AB3E42">
        <w:rPr>
          <w:rFonts w:ascii="Arial Narrow" w:eastAsia="Calibri" w:hAnsi="Arial Narrow" w:cs="Times New Roman"/>
          <w:noProof/>
          <w:kern w:val="0"/>
          <w:lang w:val="en-US"/>
          <w14:ligatures w14:val="none"/>
        </w:rPr>
        <w:t>Ndunguru E. and Lema G. (2020).</w:t>
      </w:r>
      <w:r w:rsidRPr="00AB3E42">
        <w:rPr>
          <w:rFonts w:ascii="Arial Narrow" w:eastAsia="Calibri" w:hAnsi="Arial Narrow" w:cs="Times New Roman"/>
          <w:kern w:val="0"/>
          <w:lang w:val="en-US"/>
          <w14:ligatures w14:val="none"/>
        </w:rPr>
        <w:t xml:space="preserve"> </w:t>
      </w:r>
      <w:r w:rsidRPr="00AB3E42">
        <w:rPr>
          <w:rFonts w:ascii="Arial Narrow" w:eastAsia="Calibri" w:hAnsi="Arial Narrow" w:cs="Times New Roman"/>
          <w:bCs/>
          <w:kern w:val="0"/>
          <w:lang w:val="en-US"/>
          <w14:ligatures w14:val="none"/>
        </w:rPr>
        <w:t xml:space="preserve">Factors that Affect the Adoption of Liquefied Petroleum Gas in Kinondoni Municipality, Tanzania. </w:t>
      </w:r>
      <w:r w:rsidRPr="00AB3E42">
        <w:rPr>
          <w:rFonts w:ascii="Arial Narrow" w:eastAsia="Calibri" w:hAnsi="Arial Narrow" w:cs="Times New Roman"/>
          <w:kern w:val="0"/>
          <w:lang w:val="en-US"/>
          <w14:ligatures w14:val="none"/>
        </w:rPr>
        <w:t xml:space="preserve"> </w:t>
      </w:r>
      <w:r w:rsidRPr="00AB3E42">
        <w:rPr>
          <w:rFonts w:ascii="Arial Narrow" w:eastAsia="Calibri" w:hAnsi="Arial Narrow" w:cs="Times New Roman"/>
          <w:bCs/>
          <w:i/>
          <w:iCs/>
          <w:kern w:val="0"/>
          <w:lang w:val="en-US"/>
          <w14:ligatures w14:val="none"/>
        </w:rPr>
        <w:t>Journal of the Geographical Association of Tanzania, Vol. 40, No. 1: 120–136</w:t>
      </w:r>
    </w:p>
    <w:p w14:paraId="78A84641"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w:t>
      </w:r>
    </w:p>
    <w:p w14:paraId="6A9C197E"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 xml:space="preserve">Prithvirajan, D., and  Mathirajan, M. (2022). A Recommended System with a Solution Architect in Minimizing the Lead Time of Last Mile LPG Distribution in India. </w:t>
      </w:r>
      <w:r w:rsidRPr="00AB3E42">
        <w:rPr>
          <w:rFonts w:ascii="Arial Narrow" w:eastAsia="Calibri" w:hAnsi="Arial Narrow" w:cs="Times New Roman"/>
          <w:i/>
          <w:kern w:val="0"/>
          <w:lang w:val="en-US"/>
          <w14:ligatures w14:val="none"/>
        </w:rPr>
        <w:t>2022 International Conference on Engineering and Emerging Technologies</w:t>
      </w:r>
      <w:r w:rsidRPr="00AB3E42">
        <w:rPr>
          <w:rFonts w:ascii="Arial Narrow" w:eastAsia="Calibri" w:hAnsi="Arial Narrow" w:cs="Times New Roman"/>
          <w:kern w:val="0"/>
          <w:lang w:val="en-US"/>
          <w14:ligatures w14:val="none"/>
        </w:rPr>
        <w:t xml:space="preserve"> (ICEET), 1-6. https://doi.org/10.1109/ICEET56468.2022.10007396.</w:t>
      </w:r>
    </w:p>
    <w:p w14:paraId="018AF256"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 xml:space="preserve">Rahut, D., Ali, A., Mottaleb, K., and  Aryal, J. (2019). Wealth, education, and cooking-fuel choices among rural households in Pakistan. </w:t>
      </w:r>
      <w:r w:rsidRPr="00AB3E42">
        <w:rPr>
          <w:rFonts w:ascii="Arial Narrow" w:eastAsia="Calibri" w:hAnsi="Arial Narrow" w:cs="Times New Roman"/>
          <w:i/>
          <w:kern w:val="0"/>
          <w:lang w:val="en-US"/>
          <w14:ligatures w14:val="none"/>
        </w:rPr>
        <w:t>Energy Strategy Reviews</w:t>
      </w:r>
      <w:r w:rsidRPr="00AB3E42">
        <w:rPr>
          <w:rFonts w:ascii="Arial Narrow" w:eastAsia="Calibri" w:hAnsi="Arial Narrow" w:cs="Times New Roman"/>
          <w:kern w:val="0"/>
          <w:lang w:val="en-US"/>
          <w14:ligatures w14:val="none"/>
        </w:rPr>
        <w:t>. https://doi.org/10.1016/J.ESR.2019.03.005.</w:t>
      </w:r>
    </w:p>
    <w:p w14:paraId="4A7F6E83"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lastRenderedPageBreak/>
        <w:t xml:space="preserve">Sandula, Y., and  Awopone, A. (2023). Evaluating Factors Influencing the Adoption of LPG for Cooking Among Households in Malawi's Urban Areas. </w:t>
      </w:r>
      <w:r w:rsidRPr="00AB3E42">
        <w:rPr>
          <w:rFonts w:ascii="Arial Narrow" w:eastAsia="Calibri" w:hAnsi="Arial Narrow" w:cs="Times New Roman"/>
          <w:i/>
          <w:kern w:val="0"/>
          <w:lang w:val="en-US"/>
          <w14:ligatures w14:val="none"/>
        </w:rPr>
        <w:t>SSRN Electronic Journal</w:t>
      </w:r>
      <w:r w:rsidRPr="00AB3E42">
        <w:rPr>
          <w:rFonts w:ascii="Arial Narrow" w:eastAsia="Calibri" w:hAnsi="Arial Narrow" w:cs="Times New Roman"/>
          <w:kern w:val="0"/>
          <w:lang w:val="en-US"/>
          <w14:ligatures w14:val="none"/>
        </w:rPr>
        <w:t>. https://doi.org/10.2139/ssrn.4406798.</w:t>
      </w:r>
    </w:p>
    <w:p w14:paraId="15BF63F2"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Sharma, K., and  Rahman, N. (2025). Do cooking characteristics and household amenities matter for cooking fuel choice, clean fuel transition, and clean fuel consumption in India?</w:t>
      </w:r>
      <w:r w:rsidRPr="00AB3E42">
        <w:rPr>
          <w:rFonts w:ascii="Arial Narrow" w:eastAsia="Calibri" w:hAnsi="Arial Narrow" w:cs="Times New Roman"/>
          <w:i/>
          <w:kern w:val="0"/>
          <w:lang w:val="en-US"/>
          <w14:ligatures w14:val="none"/>
        </w:rPr>
        <w:t xml:space="preserve"> Energy Policy</w:t>
      </w:r>
      <w:r w:rsidRPr="00AB3E42">
        <w:rPr>
          <w:rFonts w:ascii="Arial Narrow" w:eastAsia="Calibri" w:hAnsi="Arial Narrow" w:cs="Times New Roman"/>
          <w:kern w:val="0"/>
          <w:lang w:val="en-US"/>
          <w14:ligatures w14:val="none"/>
        </w:rPr>
        <w:t>. https://doi.org/10.1016/j.enpol.2025.114510</w:t>
      </w:r>
    </w:p>
    <w:p w14:paraId="6A69FD60"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Times New Roman" w:hAnsi="Arial Narrow" w:cs="Times New Roman"/>
          <w:kern w:val="0"/>
          <w:lang w:val="en-US"/>
          <w14:ligatures w14:val="none"/>
        </w:rPr>
        <w:t>Sulley, B., Gwebe, A,. and Lesso, T. (2023). Socio-Economic factors infuluencing household access to Liquidfied petroleum gas in Dodoma city, Tanzania</w:t>
      </w:r>
      <w:r w:rsidRPr="00AB3E42">
        <w:rPr>
          <w:rFonts w:ascii="Arial Narrow" w:eastAsia="Calibri" w:hAnsi="Arial Narrow" w:cs="Times New Roman"/>
          <w:iCs/>
          <w:noProof/>
          <w:kern w:val="0"/>
          <w:lang w:val="en-US"/>
          <w14:ligatures w14:val="none"/>
        </w:rPr>
        <w:t>2023.124613.</w:t>
      </w:r>
    </w:p>
    <w:p w14:paraId="7F2A2A22" w14:textId="77777777" w:rsidR="00AB3E42" w:rsidRPr="00AB3E42"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AB3E42">
        <w:rPr>
          <w:rFonts w:ascii="Arial Narrow" w:eastAsia="Calibri" w:hAnsi="Arial Narrow" w:cs="Times New Roman"/>
          <w:kern w:val="0"/>
          <w:lang w:val="en-US"/>
          <w14:ligatures w14:val="none"/>
        </w:rPr>
        <w:t>Tripathi S. N. and Sutaria R.</w:t>
      </w:r>
      <w:r w:rsidRPr="00AB3E42">
        <w:rPr>
          <w:rFonts w:ascii="Arial Narrow" w:eastAsia="Calibri" w:hAnsi="Arial Narrow" w:cs="Times New Roman"/>
          <w:noProof/>
          <w:kern w:val="0"/>
          <w:lang w:val="en-US"/>
          <w14:ligatures w14:val="none"/>
        </w:rPr>
        <w:t xml:space="preserve"> (2023.). </w:t>
      </w:r>
      <w:r w:rsidRPr="00AB3E42">
        <w:rPr>
          <w:rFonts w:ascii="Arial Narrow" w:eastAsia="Calibri" w:hAnsi="Arial Narrow" w:cs="Times New Roman"/>
          <w:i/>
          <w:iCs/>
          <w:noProof/>
          <w:kern w:val="0"/>
          <w:lang w:val="en-US"/>
          <w14:ligatures w14:val="none"/>
        </w:rPr>
        <w:t>evalation of pradhan mantri ijjala yojana(PMUY) in six state of india</w:t>
      </w:r>
      <w:r w:rsidRPr="00AB3E42">
        <w:rPr>
          <w:rFonts w:ascii="Arial Narrow" w:eastAsia="Calibri" w:hAnsi="Arial Narrow" w:cs="Times New Roman"/>
          <w:noProof/>
          <w:kern w:val="0"/>
          <w:lang w:val="en-US"/>
          <w14:ligatures w14:val="none"/>
        </w:rPr>
        <w:t>.</w:t>
      </w:r>
    </w:p>
    <w:p w14:paraId="0F9F4786" w14:textId="77777777" w:rsidR="00AB3E42" w:rsidRPr="00AB3E42" w:rsidRDefault="00AB3E42" w:rsidP="00AB3E42">
      <w:pPr>
        <w:spacing w:before="0" w:after="160"/>
        <w:ind w:left="720" w:hanging="72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 xml:space="preserve">Troncoso, K., and Soares da Silva, A. (2017). LPG fuel subsidies in Latin America and the use of solid fuels to cook. </w:t>
      </w:r>
      <w:r w:rsidRPr="00AB3E42">
        <w:rPr>
          <w:rFonts w:ascii="Arial Narrow" w:eastAsia="Calibri" w:hAnsi="Arial Narrow" w:cs="Times New Roman"/>
          <w:i/>
          <w:kern w:val="0"/>
          <w:lang w:val="en-US"/>
          <w14:ligatures w14:val="none"/>
        </w:rPr>
        <w:t>Energy Policy,</w:t>
      </w:r>
      <w:r w:rsidRPr="00AB3E42">
        <w:rPr>
          <w:rFonts w:ascii="Arial Narrow" w:eastAsia="Calibri" w:hAnsi="Arial Narrow" w:cs="Times New Roman"/>
          <w:kern w:val="0"/>
          <w:lang w:val="en-US"/>
          <w14:ligatures w14:val="none"/>
        </w:rPr>
        <w:t xml:space="preserve"> 107, 188–196. https://doi.org/10.1016/j.enpol.2017.04.046  </w:t>
      </w:r>
    </w:p>
    <w:p w14:paraId="6C87AC2E" w14:textId="77777777" w:rsidR="00AB3E42" w:rsidRPr="00AB3E42"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AB3E42">
        <w:rPr>
          <w:rFonts w:ascii="Arial Narrow" w:eastAsia="Calibri" w:hAnsi="Arial Narrow" w:cs="Times New Roman"/>
          <w:noProof/>
          <w:kern w:val="0"/>
          <w:lang w:val="en-US"/>
          <w14:ligatures w14:val="none"/>
        </w:rPr>
        <w:t xml:space="preserve">Ubaid, M., Yu, Y., Yousaf, B., Ahmed, M., Munir, M., Ullah, S., Zheng, C., Kuang, X., and  Hung, M. (2021). Health impacts of indoor air pollution from household solid fuel on children and women. </w:t>
      </w:r>
      <w:r w:rsidRPr="00AB3E42">
        <w:rPr>
          <w:rFonts w:ascii="Arial Narrow" w:eastAsia="Calibri" w:hAnsi="Arial Narrow" w:cs="Times New Roman"/>
          <w:i/>
          <w:iCs/>
          <w:noProof/>
          <w:kern w:val="0"/>
          <w:lang w:val="en-US"/>
          <w14:ligatures w14:val="none"/>
        </w:rPr>
        <w:t>Journal of Hazardous Materials</w:t>
      </w:r>
      <w:r w:rsidRPr="00AB3E42">
        <w:rPr>
          <w:rFonts w:ascii="Arial Narrow" w:eastAsia="Calibri" w:hAnsi="Arial Narrow" w:cs="Times New Roman"/>
          <w:noProof/>
          <w:kern w:val="0"/>
          <w:lang w:val="en-US"/>
          <w14:ligatures w14:val="none"/>
        </w:rPr>
        <w:t xml:space="preserve">, </w:t>
      </w:r>
      <w:r w:rsidRPr="00AB3E42">
        <w:rPr>
          <w:rFonts w:ascii="Arial Narrow" w:eastAsia="Calibri" w:hAnsi="Arial Narrow" w:cs="Times New Roman"/>
          <w:i/>
          <w:iCs/>
          <w:noProof/>
          <w:kern w:val="0"/>
          <w:lang w:val="en-US"/>
          <w14:ligatures w14:val="none"/>
        </w:rPr>
        <w:t>416</w:t>
      </w:r>
      <w:r w:rsidRPr="00AB3E42">
        <w:rPr>
          <w:rFonts w:ascii="Arial Narrow" w:eastAsia="Calibri" w:hAnsi="Arial Narrow" w:cs="Times New Roman"/>
          <w:noProof/>
          <w:kern w:val="0"/>
          <w:lang w:val="en-US"/>
          <w14:ligatures w14:val="none"/>
        </w:rPr>
        <w:t>(March), 126127. https://doi.org/10.1016/j.jhazmat.2021.126127</w:t>
      </w:r>
    </w:p>
    <w:p w14:paraId="2BE54C03" w14:textId="77777777" w:rsidR="00AB3E42" w:rsidRPr="00AB3E42" w:rsidRDefault="00AB3E42" w:rsidP="00AB3E42">
      <w:pPr>
        <w:spacing w:before="100" w:beforeAutospacing="1" w:after="100" w:afterAutospacing="1"/>
        <w:jc w:val="both"/>
        <w:rPr>
          <w:rFonts w:ascii="Arial Narrow" w:eastAsia="Calibri" w:hAnsi="Arial Narrow" w:cs="Times New Roman"/>
          <w:iCs/>
          <w:noProof/>
          <w:kern w:val="0"/>
          <w:lang w:val="en-US"/>
          <w14:ligatures w14:val="none"/>
        </w:rPr>
      </w:pPr>
      <w:r w:rsidRPr="00AB3E42">
        <w:rPr>
          <w:rFonts w:ascii="Arial Narrow" w:eastAsia="Times New Roman" w:hAnsi="Arial Narrow" w:cs="Times New Roman"/>
          <w:kern w:val="0"/>
          <w:lang w:val="en-US"/>
          <w14:ligatures w14:val="none"/>
        </w:rPr>
        <w:t xml:space="preserve">United Nations. (2015). </w:t>
      </w:r>
      <w:r w:rsidRPr="00AB3E42">
        <w:rPr>
          <w:rFonts w:ascii="Arial Narrow" w:eastAsia="Times New Roman" w:hAnsi="Arial Narrow" w:cs="Times New Roman"/>
          <w:i/>
          <w:iCs/>
          <w:kern w:val="0"/>
          <w:lang w:val="en-US"/>
          <w14:ligatures w14:val="none"/>
        </w:rPr>
        <w:t>Transforming our world: The 2030 Agenda for Sustainable Development</w:t>
      </w:r>
      <w:r w:rsidRPr="00AB3E42">
        <w:rPr>
          <w:rFonts w:ascii="Arial Narrow" w:eastAsia="Times New Roman" w:hAnsi="Arial Narrow" w:cs="Times New Roman"/>
          <w:kern w:val="0"/>
          <w:lang w:val="en-US"/>
          <w14:ligatures w14:val="none"/>
        </w:rPr>
        <w:t>.</w:t>
      </w:r>
      <w:r w:rsidRPr="00AB3E42">
        <w:rPr>
          <w:rFonts w:ascii="Arial Narrow" w:eastAsia="Calibri" w:hAnsi="Arial Narrow" w:cs="Times New Roman"/>
          <w:iCs/>
          <w:noProof/>
          <w:kern w:val="0"/>
          <w:lang w:val="en-US"/>
          <w14:ligatures w14:val="none"/>
        </w:rPr>
        <w:t xml:space="preserve"> 2015.774613.</w:t>
      </w:r>
    </w:p>
    <w:p w14:paraId="16A1C6C4" w14:textId="77777777" w:rsidR="00AB3E42" w:rsidRPr="00AB3E42" w:rsidRDefault="00AB3E42" w:rsidP="00AB3E42">
      <w:pPr>
        <w:spacing w:before="100" w:beforeAutospacing="1" w:after="100" w:afterAutospacing="1"/>
        <w:ind w:left="720" w:hanging="720"/>
        <w:jc w:val="both"/>
        <w:outlineLvl w:val="2"/>
        <w:rPr>
          <w:rFonts w:ascii="Arial Narrow" w:eastAsia="Times New Roman" w:hAnsi="Arial Narrow" w:cs="Times New Roman"/>
          <w:kern w:val="0"/>
          <w:lang w:val="en-US"/>
          <w14:ligatures w14:val="none"/>
        </w:rPr>
      </w:pPr>
      <w:bookmarkStart w:id="32" w:name="_Toc206415424"/>
      <w:bookmarkStart w:id="33" w:name="_Toc206425742"/>
      <w:bookmarkStart w:id="34" w:name="_Toc206485699"/>
      <w:bookmarkStart w:id="35" w:name="_Toc206127126"/>
      <w:bookmarkStart w:id="36" w:name="_Toc206129004"/>
      <w:bookmarkStart w:id="37" w:name="_Toc207001390"/>
      <w:bookmarkStart w:id="38" w:name="_Toc207431019"/>
      <w:bookmarkStart w:id="39" w:name="_Toc207229371"/>
      <w:bookmarkStart w:id="40" w:name="_Toc208433529"/>
      <w:r w:rsidRPr="00AB3E42">
        <w:rPr>
          <w:rFonts w:ascii="Arial Narrow" w:eastAsia="Times New Roman" w:hAnsi="Arial Narrow" w:cs="Times New Roman"/>
          <w:kern w:val="0"/>
          <w:lang w:val="en-US"/>
          <w14:ligatures w14:val="none"/>
        </w:rPr>
        <w:t xml:space="preserve">World Health Organization. (2022). </w:t>
      </w:r>
      <w:r w:rsidRPr="00AB3E42">
        <w:rPr>
          <w:rFonts w:ascii="Arial Narrow" w:eastAsia="Times New Roman" w:hAnsi="Arial Narrow" w:cs="Times New Roman"/>
          <w:i/>
          <w:iCs/>
          <w:kern w:val="0"/>
          <w:lang w:val="en-US"/>
          <w14:ligatures w14:val="none"/>
        </w:rPr>
        <w:t>Household air pollution and health</w:t>
      </w:r>
      <w:r w:rsidRPr="00AB3E42">
        <w:rPr>
          <w:rFonts w:ascii="Arial Narrow" w:eastAsia="Calibri" w:hAnsi="Arial Narrow" w:cs="Times New Roman"/>
          <w:kern w:val="0"/>
          <w:lang w:val="en-US"/>
          <w14:ligatures w14:val="none"/>
        </w:rPr>
        <w:t>-</w:t>
      </w:r>
      <w:hyperlink r:id="rId8" w:history="1">
        <w:r w:rsidRPr="00AB3E42">
          <w:rPr>
            <w:rFonts w:ascii="Arial Narrow" w:eastAsia="Times New Roman" w:hAnsi="Arial Narrow" w:cs="Times New Roman"/>
            <w:kern w:val="0"/>
            <w:u w:val="single"/>
            <w:lang w:val="en-US"/>
            <w14:ligatures w14:val="none"/>
          </w:rPr>
          <w:t>https://www.who.int/teams/environment-climate-change-and-health/air-quality-energy-and-health/sectoral-interventions/household-air-pollution/health-risks</w:t>
        </w:r>
      </w:hyperlink>
      <w:r w:rsidRPr="00AB3E42">
        <w:rPr>
          <w:rFonts w:ascii="Arial Narrow" w:eastAsia="Times New Roman" w:hAnsi="Arial Narrow" w:cs="Times New Roman"/>
          <w:kern w:val="0"/>
          <w:lang w:val="en-US"/>
          <w14:ligatures w14:val="none"/>
        </w:rPr>
        <w:t xml:space="preserve"> Accessed 24 Jan 25.</w:t>
      </w:r>
      <w:bookmarkEnd w:id="32"/>
      <w:bookmarkEnd w:id="33"/>
      <w:bookmarkEnd w:id="34"/>
      <w:bookmarkEnd w:id="35"/>
      <w:bookmarkEnd w:id="36"/>
      <w:bookmarkEnd w:id="37"/>
      <w:bookmarkEnd w:id="38"/>
      <w:bookmarkEnd w:id="39"/>
      <w:bookmarkEnd w:id="40"/>
    </w:p>
    <w:p w14:paraId="5752FF1B" w14:textId="77777777" w:rsidR="00AB3E42" w:rsidRPr="00AB3E42" w:rsidRDefault="00AB3E42" w:rsidP="00AB3E42">
      <w:pPr>
        <w:spacing w:before="100" w:beforeAutospacing="1" w:after="100" w:afterAutospacing="1"/>
        <w:ind w:left="720" w:hanging="720"/>
        <w:jc w:val="both"/>
        <w:outlineLvl w:val="2"/>
        <w:rPr>
          <w:rFonts w:ascii="Arial Narrow" w:eastAsia="Times New Roman" w:hAnsi="Arial Narrow" w:cs="Times New Roman"/>
          <w:kern w:val="0"/>
          <w:lang w:val="en-US"/>
          <w14:ligatures w14:val="none"/>
        </w:rPr>
      </w:pPr>
      <w:bookmarkStart w:id="41" w:name="_Toc207431020"/>
      <w:bookmarkStart w:id="42" w:name="_Toc207229372"/>
      <w:bookmarkStart w:id="43" w:name="_Toc208433530"/>
      <w:r w:rsidRPr="00AB3E42">
        <w:rPr>
          <w:rFonts w:ascii="Arial Narrow" w:eastAsia="Times New Roman" w:hAnsi="Arial Narrow" w:cs="Times New Roman"/>
          <w:kern w:val="0"/>
          <w:lang w:val="en-US"/>
          <w14:ligatures w14:val="none"/>
        </w:rPr>
        <w:t xml:space="preserve">Yasmin, N., and  Grundmann, P. (2020). Home-cooked energy transitions: Women empowerment and biogas-based cooking technology in Pakistan. </w:t>
      </w:r>
      <w:r w:rsidRPr="00AB3E42">
        <w:rPr>
          <w:rFonts w:ascii="Arial Narrow" w:eastAsia="Times New Roman" w:hAnsi="Arial Narrow" w:cs="Times New Roman"/>
          <w:i/>
          <w:kern w:val="0"/>
          <w:lang w:val="en-US"/>
          <w14:ligatures w14:val="none"/>
        </w:rPr>
        <w:t>Energy Policy</w:t>
      </w:r>
      <w:r w:rsidRPr="00AB3E42">
        <w:rPr>
          <w:rFonts w:ascii="Arial Narrow" w:eastAsia="Times New Roman" w:hAnsi="Arial Narrow" w:cs="Times New Roman"/>
          <w:kern w:val="0"/>
          <w:lang w:val="en-US"/>
          <w14:ligatures w14:val="none"/>
        </w:rPr>
        <w:t>, 137, 111074. https://doi.org/10.1016/j.enpol.2019.111074</w:t>
      </w:r>
      <w:bookmarkEnd w:id="41"/>
      <w:bookmarkEnd w:id="42"/>
      <w:bookmarkEnd w:id="43"/>
    </w:p>
    <w:p w14:paraId="2611879A" w14:textId="77777777" w:rsidR="00AB3E42" w:rsidRPr="00AB3E42" w:rsidRDefault="00AB3E42" w:rsidP="00AB3E42">
      <w:pPr>
        <w:spacing w:before="100" w:beforeAutospacing="1" w:after="100" w:afterAutospacing="1"/>
        <w:ind w:left="720" w:hanging="720"/>
        <w:jc w:val="both"/>
        <w:outlineLvl w:val="2"/>
        <w:rPr>
          <w:rFonts w:ascii="Arial Narrow" w:eastAsia="Times New Roman" w:hAnsi="Arial Narrow" w:cs="Times New Roman"/>
          <w:kern w:val="0"/>
          <w:lang w:val="en-US"/>
          <w14:ligatures w14:val="none"/>
        </w:rPr>
      </w:pPr>
      <w:bookmarkStart w:id="44" w:name="_Toc207431022"/>
      <w:bookmarkStart w:id="45" w:name="_Toc207229374"/>
      <w:bookmarkStart w:id="46" w:name="_Toc208433532"/>
      <w:r w:rsidRPr="00AB3E42">
        <w:rPr>
          <w:rFonts w:ascii="Arial Narrow" w:eastAsia="Times New Roman" w:hAnsi="Arial Narrow" w:cs="Times New Roman"/>
          <w:kern w:val="0"/>
          <w:lang w:val="en-US"/>
          <w14:ligatures w14:val="none"/>
        </w:rPr>
        <w:t xml:space="preserve">Zheng, H., and  Gong, B. (2022). Rural income growth, ethnic differences, and household cooking fuel choice: </w:t>
      </w:r>
      <w:r w:rsidRPr="00AB3E42">
        <w:rPr>
          <w:rFonts w:ascii="Arial Narrow" w:eastAsia="Times New Roman" w:hAnsi="Arial Narrow" w:cs="Times New Roman"/>
          <w:i/>
          <w:kern w:val="0"/>
          <w:lang w:val="en-US"/>
          <w14:ligatures w14:val="none"/>
        </w:rPr>
        <w:t>Evidence from China. Energy Economics</w:t>
      </w:r>
      <w:r w:rsidRPr="00AB3E42">
        <w:rPr>
          <w:rFonts w:ascii="Arial Narrow" w:eastAsia="Times New Roman" w:hAnsi="Arial Narrow" w:cs="Times New Roman"/>
          <w:kern w:val="0"/>
          <w:lang w:val="en-US"/>
          <w14:ligatures w14:val="none"/>
        </w:rPr>
        <w:t>. https://doi.org/10.1016/j.eneco.2022.105851.</w:t>
      </w:r>
      <w:bookmarkEnd w:id="44"/>
      <w:bookmarkEnd w:id="45"/>
      <w:bookmarkEnd w:id="46"/>
    </w:p>
    <w:p w14:paraId="098BDBCA" w14:textId="77777777" w:rsidR="00AB3E42" w:rsidRPr="00AB3E42" w:rsidRDefault="00AB3E42" w:rsidP="00AB3E42">
      <w:pPr>
        <w:rPr>
          <w:rFonts w:ascii="Arial Narrow" w:hAnsi="Arial Narrow"/>
        </w:rPr>
      </w:pPr>
      <w:r w:rsidRPr="00AB3E42">
        <w:rPr>
          <w:rFonts w:ascii="Arial Narrow" w:eastAsia="Times New Roman" w:hAnsi="Arial Narrow" w:cs="SimSun"/>
          <w:b/>
          <w:bCs/>
          <w:kern w:val="0"/>
          <w:lang w:val="en-US"/>
          <w14:ligatures w14:val="none"/>
        </w:rPr>
        <w:fldChar w:fldCharType="end"/>
      </w:r>
    </w:p>
    <w:p w14:paraId="07EE26BE" w14:textId="328FB0C2" w:rsidR="00093F65" w:rsidRPr="00AB3E42" w:rsidRDefault="00093F65" w:rsidP="00070A10">
      <w:pPr>
        <w:pStyle w:val="ListParagraph"/>
        <w:ind w:left="1004" w:hanging="720"/>
        <w:jc w:val="left"/>
        <w:rPr>
          <w:rFonts w:ascii="Arial Narrow" w:hAnsi="Arial Narrow" w:cstheme="majorHAnsi"/>
          <w:color w:val="333333"/>
          <w:shd w:val="clear" w:color="auto" w:fill="FFFFFF"/>
        </w:rPr>
      </w:pPr>
    </w:p>
    <w:sectPr w:rsidR="00093F65" w:rsidRPr="00AB3E42" w:rsidSect="00D4042B">
      <w:headerReference w:type="even" r:id="rId9"/>
      <w:headerReference w:type="default" r:id="rId10"/>
      <w:footerReference w:type="even" r:id="rId11"/>
      <w:footerReference w:type="default" r:id="rId12"/>
      <w:headerReference w:type="first" r:id="rId13"/>
      <w:footerReference w:type="first" r:id="rId14"/>
      <w:pgSz w:w="12240" w:h="15840"/>
      <w:pgMar w:top="1135"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150A2" w14:textId="77777777" w:rsidR="00860B56" w:rsidRDefault="00860B56" w:rsidP="000F7116">
      <w:pPr>
        <w:spacing w:before="0" w:after="0" w:line="240" w:lineRule="auto"/>
      </w:pPr>
      <w:r>
        <w:separator/>
      </w:r>
    </w:p>
  </w:endnote>
  <w:endnote w:type="continuationSeparator" w:id="0">
    <w:p w14:paraId="12AAEA2D" w14:textId="77777777" w:rsidR="00860B56" w:rsidRDefault="00860B56" w:rsidP="000F71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altName w:val="Calibri"/>
    <w:charset w:val="00"/>
    <w:family w:val="swiss"/>
    <w:pitch w:val="variable"/>
    <w:sig w:usb0="A00002EF" w:usb1="5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F3D1D" w14:textId="77777777" w:rsidR="00FC591B" w:rsidRDefault="00FC5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DBEB" w14:textId="27326FF0" w:rsidR="0028568F" w:rsidRDefault="0028568F">
    <w:pPr>
      <w:pStyle w:val="Footer"/>
    </w:pPr>
  </w:p>
  <w:p w14:paraId="246A04A7" w14:textId="77777777" w:rsidR="0028568F" w:rsidRDefault="00285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A0E1" w14:textId="77777777" w:rsidR="00FC591B" w:rsidRDefault="00FC5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D29F" w14:textId="77777777" w:rsidR="00860B56" w:rsidRDefault="00860B56" w:rsidP="000F7116">
      <w:pPr>
        <w:spacing w:before="0" w:after="0" w:line="240" w:lineRule="auto"/>
      </w:pPr>
      <w:r>
        <w:separator/>
      </w:r>
    </w:p>
  </w:footnote>
  <w:footnote w:type="continuationSeparator" w:id="0">
    <w:p w14:paraId="7409BE90" w14:textId="77777777" w:rsidR="00860B56" w:rsidRDefault="00860B56" w:rsidP="000F71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58897" w14:textId="6783DA91" w:rsidR="00FC591B" w:rsidRDefault="00FC591B">
    <w:pPr>
      <w:pStyle w:val="Header"/>
    </w:pPr>
    <w:r>
      <w:rPr>
        <w:noProof/>
      </w:rPr>
      <w:pict w14:anchorId="7DCAC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6053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IBM Plex San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51B3" w14:textId="59241E8C" w:rsidR="00FC591B" w:rsidRDefault="00FC591B">
    <w:pPr>
      <w:pStyle w:val="Header"/>
    </w:pPr>
    <w:r>
      <w:rPr>
        <w:noProof/>
      </w:rPr>
      <w:pict w14:anchorId="0649D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6053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IBM Plex San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C73A" w14:textId="3C2D78B5" w:rsidR="00FC591B" w:rsidRDefault="00FC591B">
    <w:pPr>
      <w:pStyle w:val="Header"/>
    </w:pPr>
    <w:r>
      <w:rPr>
        <w:noProof/>
      </w:rPr>
      <w:pict w14:anchorId="7F5A0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6053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IBM Plex San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C0C4D7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20"/>
    <w:multiLevelType w:val="hybridMultilevel"/>
    <w:tmpl w:val="ADC6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2B"/>
    <w:multiLevelType w:val="hybridMultilevel"/>
    <w:tmpl w:val="CB94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74F8A"/>
    <w:multiLevelType w:val="multilevel"/>
    <w:tmpl w:val="48D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15537"/>
    <w:multiLevelType w:val="multilevel"/>
    <w:tmpl w:val="E154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B27D0"/>
    <w:multiLevelType w:val="hybridMultilevel"/>
    <w:tmpl w:val="43323F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658C5"/>
    <w:multiLevelType w:val="multilevel"/>
    <w:tmpl w:val="6B702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F4C1C"/>
    <w:multiLevelType w:val="multilevel"/>
    <w:tmpl w:val="3DAAF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D54EA"/>
    <w:multiLevelType w:val="multilevel"/>
    <w:tmpl w:val="D7C0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C04AE"/>
    <w:multiLevelType w:val="multilevel"/>
    <w:tmpl w:val="80A0024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6564511"/>
    <w:multiLevelType w:val="multilevel"/>
    <w:tmpl w:val="E4AAD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D79CD"/>
    <w:multiLevelType w:val="multilevel"/>
    <w:tmpl w:val="0D98B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628FC"/>
    <w:multiLevelType w:val="multilevel"/>
    <w:tmpl w:val="ED32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039E7"/>
    <w:multiLevelType w:val="hybridMultilevel"/>
    <w:tmpl w:val="25A453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11"/>
  </w:num>
  <w:num w:numId="17">
    <w:abstractNumId w:val="4"/>
  </w:num>
  <w:num w:numId="18">
    <w:abstractNumId w:val="10"/>
  </w:num>
  <w:num w:numId="19">
    <w:abstractNumId w:val="12"/>
  </w:num>
  <w:num w:numId="20">
    <w:abstractNumId w:val="3"/>
  </w:num>
  <w:num w:numId="21">
    <w:abstractNumId w:val="13"/>
  </w:num>
  <w:num w:numId="22">
    <w:abstractNumId w:val="5"/>
  </w:num>
  <w:num w:numId="23">
    <w:abstractNumId w:val="8"/>
  </w:num>
  <w:num w:numId="24">
    <w:abstractNumId w:val="0"/>
  </w:num>
  <w:num w:numId="25">
    <w:abstractNumId w:val="2"/>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76F"/>
    <w:rsid w:val="0000090B"/>
    <w:rsid w:val="00001B11"/>
    <w:rsid w:val="00002AEB"/>
    <w:rsid w:val="00002D27"/>
    <w:rsid w:val="000035FE"/>
    <w:rsid w:val="000047D7"/>
    <w:rsid w:val="00005811"/>
    <w:rsid w:val="0000669A"/>
    <w:rsid w:val="00010960"/>
    <w:rsid w:val="00016510"/>
    <w:rsid w:val="000168B1"/>
    <w:rsid w:val="000177AC"/>
    <w:rsid w:val="00017D24"/>
    <w:rsid w:val="000246ED"/>
    <w:rsid w:val="00025B8B"/>
    <w:rsid w:val="000305DB"/>
    <w:rsid w:val="000354AD"/>
    <w:rsid w:val="000406D3"/>
    <w:rsid w:val="00041DC9"/>
    <w:rsid w:val="00042E46"/>
    <w:rsid w:val="00043BC9"/>
    <w:rsid w:val="00044779"/>
    <w:rsid w:val="00050A77"/>
    <w:rsid w:val="000547FA"/>
    <w:rsid w:val="00054FC7"/>
    <w:rsid w:val="00055361"/>
    <w:rsid w:val="000565C7"/>
    <w:rsid w:val="00056F9B"/>
    <w:rsid w:val="0006399A"/>
    <w:rsid w:val="00066FAE"/>
    <w:rsid w:val="00070A10"/>
    <w:rsid w:val="00071349"/>
    <w:rsid w:val="00071B95"/>
    <w:rsid w:val="00072DD5"/>
    <w:rsid w:val="00073B06"/>
    <w:rsid w:val="0007586F"/>
    <w:rsid w:val="000758F1"/>
    <w:rsid w:val="00076245"/>
    <w:rsid w:val="00076A5F"/>
    <w:rsid w:val="0008404B"/>
    <w:rsid w:val="000841C7"/>
    <w:rsid w:val="000843AC"/>
    <w:rsid w:val="00084539"/>
    <w:rsid w:val="00087BC9"/>
    <w:rsid w:val="00093F65"/>
    <w:rsid w:val="00095E48"/>
    <w:rsid w:val="000A0F37"/>
    <w:rsid w:val="000A103F"/>
    <w:rsid w:val="000A1C31"/>
    <w:rsid w:val="000A7067"/>
    <w:rsid w:val="000B14F0"/>
    <w:rsid w:val="000C0E26"/>
    <w:rsid w:val="000C2F1F"/>
    <w:rsid w:val="000C5478"/>
    <w:rsid w:val="000C5524"/>
    <w:rsid w:val="000C569D"/>
    <w:rsid w:val="000C6A9F"/>
    <w:rsid w:val="000D1365"/>
    <w:rsid w:val="000D16E9"/>
    <w:rsid w:val="000D214D"/>
    <w:rsid w:val="000D5DF9"/>
    <w:rsid w:val="000D6B73"/>
    <w:rsid w:val="000E0829"/>
    <w:rsid w:val="000E12A9"/>
    <w:rsid w:val="000E2CF0"/>
    <w:rsid w:val="000E633C"/>
    <w:rsid w:val="000E6B56"/>
    <w:rsid w:val="000E7B6E"/>
    <w:rsid w:val="000F2205"/>
    <w:rsid w:val="000F2C92"/>
    <w:rsid w:val="000F3736"/>
    <w:rsid w:val="000F54FC"/>
    <w:rsid w:val="000F64D6"/>
    <w:rsid w:val="000F7116"/>
    <w:rsid w:val="000F785B"/>
    <w:rsid w:val="00101A99"/>
    <w:rsid w:val="00103DAD"/>
    <w:rsid w:val="00106288"/>
    <w:rsid w:val="00111776"/>
    <w:rsid w:val="00112CF3"/>
    <w:rsid w:val="00113795"/>
    <w:rsid w:val="001172C2"/>
    <w:rsid w:val="0012040B"/>
    <w:rsid w:val="00120739"/>
    <w:rsid w:val="0013189E"/>
    <w:rsid w:val="00131CEF"/>
    <w:rsid w:val="0014271F"/>
    <w:rsid w:val="0014753D"/>
    <w:rsid w:val="00147B09"/>
    <w:rsid w:val="00154637"/>
    <w:rsid w:val="00156B7B"/>
    <w:rsid w:val="00161512"/>
    <w:rsid w:val="00167DD6"/>
    <w:rsid w:val="00172ED3"/>
    <w:rsid w:val="0017553C"/>
    <w:rsid w:val="001816B4"/>
    <w:rsid w:val="00181B6B"/>
    <w:rsid w:val="0018249E"/>
    <w:rsid w:val="001851EB"/>
    <w:rsid w:val="001857B6"/>
    <w:rsid w:val="00185E42"/>
    <w:rsid w:val="001919D2"/>
    <w:rsid w:val="0019448D"/>
    <w:rsid w:val="001950F9"/>
    <w:rsid w:val="00196679"/>
    <w:rsid w:val="00196FB3"/>
    <w:rsid w:val="001A2893"/>
    <w:rsid w:val="001A3186"/>
    <w:rsid w:val="001A39DB"/>
    <w:rsid w:val="001A39F5"/>
    <w:rsid w:val="001A468A"/>
    <w:rsid w:val="001A46E4"/>
    <w:rsid w:val="001A4D83"/>
    <w:rsid w:val="001A53F7"/>
    <w:rsid w:val="001A57D3"/>
    <w:rsid w:val="001A7ABC"/>
    <w:rsid w:val="001B0334"/>
    <w:rsid w:val="001B6251"/>
    <w:rsid w:val="001B6D5D"/>
    <w:rsid w:val="001C0974"/>
    <w:rsid w:val="001C1451"/>
    <w:rsid w:val="001C385F"/>
    <w:rsid w:val="001C4EB1"/>
    <w:rsid w:val="001D135F"/>
    <w:rsid w:val="001D573F"/>
    <w:rsid w:val="001D6E12"/>
    <w:rsid w:val="001D7244"/>
    <w:rsid w:val="001E11E0"/>
    <w:rsid w:val="001E2AD7"/>
    <w:rsid w:val="001E50E4"/>
    <w:rsid w:val="001E56CA"/>
    <w:rsid w:val="001F0C02"/>
    <w:rsid w:val="002003EE"/>
    <w:rsid w:val="00205C07"/>
    <w:rsid w:val="00206CDD"/>
    <w:rsid w:val="00214351"/>
    <w:rsid w:val="0021495E"/>
    <w:rsid w:val="00220253"/>
    <w:rsid w:val="00221E5C"/>
    <w:rsid w:val="00225C93"/>
    <w:rsid w:val="00226607"/>
    <w:rsid w:val="00226DDF"/>
    <w:rsid w:val="0023145A"/>
    <w:rsid w:val="002349EF"/>
    <w:rsid w:val="00235F6D"/>
    <w:rsid w:val="0023689E"/>
    <w:rsid w:val="002415C6"/>
    <w:rsid w:val="00241918"/>
    <w:rsid w:val="00244943"/>
    <w:rsid w:val="002453DD"/>
    <w:rsid w:val="00247F47"/>
    <w:rsid w:val="00253E62"/>
    <w:rsid w:val="002573F1"/>
    <w:rsid w:val="002613B5"/>
    <w:rsid w:val="002616AF"/>
    <w:rsid w:val="00262B7A"/>
    <w:rsid w:val="0027000A"/>
    <w:rsid w:val="00270E59"/>
    <w:rsid w:val="00275BAF"/>
    <w:rsid w:val="00276CDC"/>
    <w:rsid w:val="00280DA4"/>
    <w:rsid w:val="00280E01"/>
    <w:rsid w:val="0028323E"/>
    <w:rsid w:val="00284499"/>
    <w:rsid w:val="0028568F"/>
    <w:rsid w:val="00285C13"/>
    <w:rsid w:val="002866F3"/>
    <w:rsid w:val="00287D0D"/>
    <w:rsid w:val="00290E75"/>
    <w:rsid w:val="00291D9C"/>
    <w:rsid w:val="0029251C"/>
    <w:rsid w:val="0029366E"/>
    <w:rsid w:val="00296530"/>
    <w:rsid w:val="0029665B"/>
    <w:rsid w:val="0029676B"/>
    <w:rsid w:val="00297D8D"/>
    <w:rsid w:val="002A2912"/>
    <w:rsid w:val="002A4D3B"/>
    <w:rsid w:val="002A783C"/>
    <w:rsid w:val="002B257A"/>
    <w:rsid w:val="002B4AC1"/>
    <w:rsid w:val="002B501A"/>
    <w:rsid w:val="002C0983"/>
    <w:rsid w:val="002C6FDE"/>
    <w:rsid w:val="002C7D18"/>
    <w:rsid w:val="002D1420"/>
    <w:rsid w:val="002D241F"/>
    <w:rsid w:val="002D4422"/>
    <w:rsid w:val="002D4B01"/>
    <w:rsid w:val="002D512F"/>
    <w:rsid w:val="002E0874"/>
    <w:rsid w:val="002E11B2"/>
    <w:rsid w:val="002E5969"/>
    <w:rsid w:val="002F002B"/>
    <w:rsid w:val="002F01D4"/>
    <w:rsid w:val="002F1537"/>
    <w:rsid w:val="002F1692"/>
    <w:rsid w:val="002F52DA"/>
    <w:rsid w:val="0030070F"/>
    <w:rsid w:val="00303C75"/>
    <w:rsid w:val="003115EC"/>
    <w:rsid w:val="00311DD8"/>
    <w:rsid w:val="0031258F"/>
    <w:rsid w:val="003134CD"/>
    <w:rsid w:val="0031352D"/>
    <w:rsid w:val="0031472D"/>
    <w:rsid w:val="00314CA2"/>
    <w:rsid w:val="003166B3"/>
    <w:rsid w:val="00316E44"/>
    <w:rsid w:val="003208BC"/>
    <w:rsid w:val="0032098F"/>
    <w:rsid w:val="00322253"/>
    <w:rsid w:val="00323E61"/>
    <w:rsid w:val="00330451"/>
    <w:rsid w:val="0033174D"/>
    <w:rsid w:val="00334C71"/>
    <w:rsid w:val="003366AA"/>
    <w:rsid w:val="00341C5A"/>
    <w:rsid w:val="003436E4"/>
    <w:rsid w:val="0034523A"/>
    <w:rsid w:val="00347164"/>
    <w:rsid w:val="003500A7"/>
    <w:rsid w:val="00356A74"/>
    <w:rsid w:val="00356A8B"/>
    <w:rsid w:val="00362830"/>
    <w:rsid w:val="00365C10"/>
    <w:rsid w:val="003704C7"/>
    <w:rsid w:val="00370806"/>
    <w:rsid w:val="003735BE"/>
    <w:rsid w:val="00375785"/>
    <w:rsid w:val="003852C4"/>
    <w:rsid w:val="00385311"/>
    <w:rsid w:val="00386428"/>
    <w:rsid w:val="00387234"/>
    <w:rsid w:val="003876F3"/>
    <w:rsid w:val="003940C2"/>
    <w:rsid w:val="0039608D"/>
    <w:rsid w:val="0039640A"/>
    <w:rsid w:val="003A0875"/>
    <w:rsid w:val="003A30FA"/>
    <w:rsid w:val="003A6501"/>
    <w:rsid w:val="003A6A57"/>
    <w:rsid w:val="003B0422"/>
    <w:rsid w:val="003B068A"/>
    <w:rsid w:val="003B22C2"/>
    <w:rsid w:val="003B3C2C"/>
    <w:rsid w:val="003B474C"/>
    <w:rsid w:val="003B7749"/>
    <w:rsid w:val="003C0373"/>
    <w:rsid w:val="003C2F78"/>
    <w:rsid w:val="003C44F7"/>
    <w:rsid w:val="003C4F80"/>
    <w:rsid w:val="003C5067"/>
    <w:rsid w:val="003C531C"/>
    <w:rsid w:val="003C5FD9"/>
    <w:rsid w:val="003C6D23"/>
    <w:rsid w:val="003D164B"/>
    <w:rsid w:val="003E02CE"/>
    <w:rsid w:val="003E1F8A"/>
    <w:rsid w:val="003E2C37"/>
    <w:rsid w:val="003F0BCB"/>
    <w:rsid w:val="003F168E"/>
    <w:rsid w:val="003F1DAF"/>
    <w:rsid w:val="003F2609"/>
    <w:rsid w:val="003F6A39"/>
    <w:rsid w:val="00400260"/>
    <w:rsid w:val="00402626"/>
    <w:rsid w:val="00411204"/>
    <w:rsid w:val="00421051"/>
    <w:rsid w:val="00421910"/>
    <w:rsid w:val="00424168"/>
    <w:rsid w:val="00436E8F"/>
    <w:rsid w:val="00436FAD"/>
    <w:rsid w:val="0044118C"/>
    <w:rsid w:val="00441A80"/>
    <w:rsid w:val="004422B7"/>
    <w:rsid w:val="004429AC"/>
    <w:rsid w:val="0044572C"/>
    <w:rsid w:val="004459DA"/>
    <w:rsid w:val="00446415"/>
    <w:rsid w:val="00446667"/>
    <w:rsid w:val="004511DA"/>
    <w:rsid w:val="00452A91"/>
    <w:rsid w:val="00452EFD"/>
    <w:rsid w:val="004541DA"/>
    <w:rsid w:val="00454A22"/>
    <w:rsid w:val="004602F5"/>
    <w:rsid w:val="00463719"/>
    <w:rsid w:val="00467AA6"/>
    <w:rsid w:val="00470BCB"/>
    <w:rsid w:val="00470F2D"/>
    <w:rsid w:val="00474D02"/>
    <w:rsid w:val="004754F1"/>
    <w:rsid w:val="00477F32"/>
    <w:rsid w:val="00484EF4"/>
    <w:rsid w:val="00485604"/>
    <w:rsid w:val="004868D0"/>
    <w:rsid w:val="00491B05"/>
    <w:rsid w:val="004923F8"/>
    <w:rsid w:val="004954D6"/>
    <w:rsid w:val="004976E2"/>
    <w:rsid w:val="004A0224"/>
    <w:rsid w:val="004A5411"/>
    <w:rsid w:val="004A5430"/>
    <w:rsid w:val="004A6682"/>
    <w:rsid w:val="004B1E29"/>
    <w:rsid w:val="004B4407"/>
    <w:rsid w:val="004B6911"/>
    <w:rsid w:val="004B73FF"/>
    <w:rsid w:val="004B7E9C"/>
    <w:rsid w:val="004C248C"/>
    <w:rsid w:val="004C32F9"/>
    <w:rsid w:val="004C51E3"/>
    <w:rsid w:val="004C60C5"/>
    <w:rsid w:val="004D13F6"/>
    <w:rsid w:val="004D4702"/>
    <w:rsid w:val="004D5BDA"/>
    <w:rsid w:val="004E0BBD"/>
    <w:rsid w:val="004E30B7"/>
    <w:rsid w:val="004E37D7"/>
    <w:rsid w:val="004E4A94"/>
    <w:rsid w:val="004E6DEB"/>
    <w:rsid w:val="004F0795"/>
    <w:rsid w:val="004F75A6"/>
    <w:rsid w:val="00500257"/>
    <w:rsid w:val="00500500"/>
    <w:rsid w:val="00500B5C"/>
    <w:rsid w:val="0050135A"/>
    <w:rsid w:val="00503549"/>
    <w:rsid w:val="00503A0C"/>
    <w:rsid w:val="005061EB"/>
    <w:rsid w:val="00506240"/>
    <w:rsid w:val="00506CF1"/>
    <w:rsid w:val="00510446"/>
    <w:rsid w:val="00511C25"/>
    <w:rsid w:val="00511E47"/>
    <w:rsid w:val="005207BB"/>
    <w:rsid w:val="00523525"/>
    <w:rsid w:val="00526C9B"/>
    <w:rsid w:val="005333E7"/>
    <w:rsid w:val="00533672"/>
    <w:rsid w:val="0053608B"/>
    <w:rsid w:val="005379E4"/>
    <w:rsid w:val="005416C6"/>
    <w:rsid w:val="0054267B"/>
    <w:rsid w:val="00545B25"/>
    <w:rsid w:val="00546E69"/>
    <w:rsid w:val="00547657"/>
    <w:rsid w:val="005518F3"/>
    <w:rsid w:val="0055272E"/>
    <w:rsid w:val="005545A3"/>
    <w:rsid w:val="00554856"/>
    <w:rsid w:val="0056008C"/>
    <w:rsid w:val="005613F2"/>
    <w:rsid w:val="00564B0C"/>
    <w:rsid w:val="00570389"/>
    <w:rsid w:val="00571733"/>
    <w:rsid w:val="00573599"/>
    <w:rsid w:val="00574178"/>
    <w:rsid w:val="00574195"/>
    <w:rsid w:val="00574197"/>
    <w:rsid w:val="00581BBD"/>
    <w:rsid w:val="00584EA7"/>
    <w:rsid w:val="00585074"/>
    <w:rsid w:val="00586250"/>
    <w:rsid w:val="005863AF"/>
    <w:rsid w:val="005922D8"/>
    <w:rsid w:val="00597066"/>
    <w:rsid w:val="0059734C"/>
    <w:rsid w:val="005A02D9"/>
    <w:rsid w:val="005A3723"/>
    <w:rsid w:val="005A3ABA"/>
    <w:rsid w:val="005A7390"/>
    <w:rsid w:val="005A76A1"/>
    <w:rsid w:val="005B04AA"/>
    <w:rsid w:val="005B0CED"/>
    <w:rsid w:val="005B0E84"/>
    <w:rsid w:val="005B14CA"/>
    <w:rsid w:val="005B50F1"/>
    <w:rsid w:val="005C453E"/>
    <w:rsid w:val="005C71F9"/>
    <w:rsid w:val="005D0FE6"/>
    <w:rsid w:val="005D385A"/>
    <w:rsid w:val="005D3952"/>
    <w:rsid w:val="005D439D"/>
    <w:rsid w:val="005E07E8"/>
    <w:rsid w:val="005E1F40"/>
    <w:rsid w:val="005E33DE"/>
    <w:rsid w:val="005E5977"/>
    <w:rsid w:val="005E6DB7"/>
    <w:rsid w:val="005F17DE"/>
    <w:rsid w:val="005F2105"/>
    <w:rsid w:val="005F72BB"/>
    <w:rsid w:val="00603AB1"/>
    <w:rsid w:val="00605043"/>
    <w:rsid w:val="00612B2F"/>
    <w:rsid w:val="006130A9"/>
    <w:rsid w:val="0061326C"/>
    <w:rsid w:val="006161DD"/>
    <w:rsid w:val="00616763"/>
    <w:rsid w:val="00622368"/>
    <w:rsid w:val="00624B01"/>
    <w:rsid w:val="006267D2"/>
    <w:rsid w:val="00626829"/>
    <w:rsid w:val="006301A9"/>
    <w:rsid w:val="006308FB"/>
    <w:rsid w:val="00630AAB"/>
    <w:rsid w:val="00635CDD"/>
    <w:rsid w:val="00636AF3"/>
    <w:rsid w:val="006424AC"/>
    <w:rsid w:val="00645223"/>
    <w:rsid w:val="00647766"/>
    <w:rsid w:val="00647775"/>
    <w:rsid w:val="0065149C"/>
    <w:rsid w:val="00651729"/>
    <w:rsid w:val="00652370"/>
    <w:rsid w:val="00652AFD"/>
    <w:rsid w:val="00652FED"/>
    <w:rsid w:val="0065375F"/>
    <w:rsid w:val="006538A4"/>
    <w:rsid w:val="0065552F"/>
    <w:rsid w:val="006576F4"/>
    <w:rsid w:val="00665FDE"/>
    <w:rsid w:val="00666D1C"/>
    <w:rsid w:val="006706A6"/>
    <w:rsid w:val="00677482"/>
    <w:rsid w:val="0068301A"/>
    <w:rsid w:val="006837A8"/>
    <w:rsid w:val="006849D0"/>
    <w:rsid w:val="00685DFB"/>
    <w:rsid w:val="0068629A"/>
    <w:rsid w:val="00687ED2"/>
    <w:rsid w:val="00691084"/>
    <w:rsid w:val="006930E2"/>
    <w:rsid w:val="00695B14"/>
    <w:rsid w:val="00697631"/>
    <w:rsid w:val="006A0720"/>
    <w:rsid w:val="006A0E6E"/>
    <w:rsid w:val="006A11F4"/>
    <w:rsid w:val="006A12FB"/>
    <w:rsid w:val="006A29AB"/>
    <w:rsid w:val="006A3BCC"/>
    <w:rsid w:val="006A4FAE"/>
    <w:rsid w:val="006A5127"/>
    <w:rsid w:val="006A5FA3"/>
    <w:rsid w:val="006A7A19"/>
    <w:rsid w:val="006B39FC"/>
    <w:rsid w:val="006B4768"/>
    <w:rsid w:val="006B5A69"/>
    <w:rsid w:val="006B7050"/>
    <w:rsid w:val="006B72C3"/>
    <w:rsid w:val="006B737B"/>
    <w:rsid w:val="006C236A"/>
    <w:rsid w:val="006C33A5"/>
    <w:rsid w:val="006C605A"/>
    <w:rsid w:val="006C6ED3"/>
    <w:rsid w:val="006D0D2B"/>
    <w:rsid w:val="006D420D"/>
    <w:rsid w:val="006D7304"/>
    <w:rsid w:val="006E0B6E"/>
    <w:rsid w:val="006E3AF4"/>
    <w:rsid w:val="006E6AE2"/>
    <w:rsid w:val="006E6AFF"/>
    <w:rsid w:val="006E7FF6"/>
    <w:rsid w:val="006F099F"/>
    <w:rsid w:val="006F28DB"/>
    <w:rsid w:val="00700903"/>
    <w:rsid w:val="0070421A"/>
    <w:rsid w:val="00706CDB"/>
    <w:rsid w:val="00715D02"/>
    <w:rsid w:val="0071610A"/>
    <w:rsid w:val="0072387F"/>
    <w:rsid w:val="007244E2"/>
    <w:rsid w:val="007278C5"/>
    <w:rsid w:val="00730810"/>
    <w:rsid w:val="00731145"/>
    <w:rsid w:val="00732292"/>
    <w:rsid w:val="0073276C"/>
    <w:rsid w:val="00732B73"/>
    <w:rsid w:val="00734FC3"/>
    <w:rsid w:val="007351E6"/>
    <w:rsid w:val="007366CA"/>
    <w:rsid w:val="00736847"/>
    <w:rsid w:val="00746A75"/>
    <w:rsid w:val="00750423"/>
    <w:rsid w:val="00752477"/>
    <w:rsid w:val="0075632F"/>
    <w:rsid w:val="00756866"/>
    <w:rsid w:val="00760266"/>
    <w:rsid w:val="00760577"/>
    <w:rsid w:val="007630B9"/>
    <w:rsid w:val="007632BC"/>
    <w:rsid w:val="00763564"/>
    <w:rsid w:val="00774266"/>
    <w:rsid w:val="00775A2A"/>
    <w:rsid w:val="0078004E"/>
    <w:rsid w:val="00780B7E"/>
    <w:rsid w:val="0078164D"/>
    <w:rsid w:val="0078212F"/>
    <w:rsid w:val="007829C5"/>
    <w:rsid w:val="00784222"/>
    <w:rsid w:val="007862A5"/>
    <w:rsid w:val="00787FEF"/>
    <w:rsid w:val="00792A92"/>
    <w:rsid w:val="007931D4"/>
    <w:rsid w:val="00795FC0"/>
    <w:rsid w:val="007A2305"/>
    <w:rsid w:val="007A33D5"/>
    <w:rsid w:val="007B68C9"/>
    <w:rsid w:val="007C652E"/>
    <w:rsid w:val="007C6EA4"/>
    <w:rsid w:val="007D0532"/>
    <w:rsid w:val="007D2649"/>
    <w:rsid w:val="007D466C"/>
    <w:rsid w:val="007E0172"/>
    <w:rsid w:val="007E353F"/>
    <w:rsid w:val="007F550E"/>
    <w:rsid w:val="007F6F97"/>
    <w:rsid w:val="007F7687"/>
    <w:rsid w:val="008013C8"/>
    <w:rsid w:val="008023B0"/>
    <w:rsid w:val="008043DF"/>
    <w:rsid w:val="00805C88"/>
    <w:rsid w:val="00816ADF"/>
    <w:rsid w:val="008176BC"/>
    <w:rsid w:val="00820CA0"/>
    <w:rsid w:val="00820F12"/>
    <w:rsid w:val="00821242"/>
    <w:rsid w:val="00822BF4"/>
    <w:rsid w:val="00823CE1"/>
    <w:rsid w:val="00827189"/>
    <w:rsid w:val="008306BB"/>
    <w:rsid w:val="008330E0"/>
    <w:rsid w:val="008338BC"/>
    <w:rsid w:val="00836E07"/>
    <w:rsid w:val="008412C0"/>
    <w:rsid w:val="008434C0"/>
    <w:rsid w:val="0084666D"/>
    <w:rsid w:val="008604C9"/>
    <w:rsid w:val="00860B56"/>
    <w:rsid w:val="0086474F"/>
    <w:rsid w:val="008649EE"/>
    <w:rsid w:val="00867EEB"/>
    <w:rsid w:val="008704C8"/>
    <w:rsid w:val="00871A46"/>
    <w:rsid w:val="00872781"/>
    <w:rsid w:val="00874977"/>
    <w:rsid w:val="00874FA4"/>
    <w:rsid w:val="00885EEE"/>
    <w:rsid w:val="00887625"/>
    <w:rsid w:val="00887968"/>
    <w:rsid w:val="00887FD7"/>
    <w:rsid w:val="00890FE0"/>
    <w:rsid w:val="008924FC"/>
    <w:rsid w:val="0089416D"/>
    <w:rsid w:val="00896760"/>
    <w:rsid w:val="008967C0"/>
    <w:rsid w:val="008969CA"/>
    <w:rsid w:val="008A1266"/>
    <w:rsid w:val="008A3471"/>
    <w:rsid w:val="008A3CEC"/>
    <w:rsid w:val="008A400E"/>
    <w:rsid w:val="008A4FB6"/>
    <w:rsid w:val="008A79A9"/>
    <w:rsid w:val="008B222C"/>
    <w:rsid w:val="008B4D06"/>
    <w:rsid w:val="008B6997"/>
    <w:rsid w:val="008C4843"/>
    <w:rsid w:val="008C506D"/>
    <w:rsid w:val="008D3179"/>
    <w:rsid w:val="008E2378"/>
    <w:rsid w:val="008E2385"/>
    <w:rsid w:val="008E24CB"/>
    <w:rsid w:val="008E25D2"/>
    <w:rsid w:val="008E266E"/>
    <w:rsid w:val="008E3588"/>
    <w:rsid w:val="008E42CB"/>
    <w:rsid w:val="008E44FE"/>
    <w:rsid w:val="008F245C"/>
    <w:rsid w:val="008F38BA"/>
    <w:rsid w:val="008F39C2"/>
    <w:rsid w:val="008F78AE"/>
    <w:rsid w:val="009066E4"/>
    <w:rsid w:val="009110B9"/>
    <w:rsid w:val="009120F4"/>
    <w:rsid w:val="009127E8"/>
    <w:rsid w:val="0091659D"/>
    <w:rsid w:val="00916946"/>
    <w:rsid w:val="00916CDB"/>
    <w:rsid w:val="009179FC"/>
    <w:rsid w:val="00917C82"/>
    <w:rsid w:val="00922458"/>
    <w:rsid w:val="00924777"/>
    <w:rsid w:val="009261F7"/>
    <w:rsid w:val="00926441"/>
    <w:rsid w:val="00931EAC"/>
    <w:rsid w:val="009321E7"/>
    <w:rsid w:val="00937A23"/>
    <w:rsid w:val="009435EA"/>
    <w:rsid w:val="0094670B"/>
    <w:rsid w:val="00951A1F"/>
    <w:rsid w:val="00952D5B"/>
    <w:rsid w:val="00952E0A"/>
    <w:rsid w:val="009535E9"/>
    <w:rsid w:val="00955D37"/>
    <w:rsid w:val="00957059"/>
    <w:rsid w:val="00957BD5"/>
    <w:rsid w:val="009639AE"/>
    <w:rsid w:val="00964D02"/>
    <w:rsid w:val="00970D56"/>
    <w:rsid w:val="0097413C"/>
    <w:rsid w:val="00974B59"/>
    <w:rsid w:val="00980022"/>
    <w:rsid w:val="0098433D"/>
    <w:rsid w:val="009876AC"/>
    <w:rsid w:val="00990D39"/>
    <w:rsid w:val="00992214"/>
    <w:rsid w:val="00992786"/>
    <w:rsid w:val="00992B14"/>
    <w:rsid w:val="009936C9"/>
    <w:rsid w:val="00996FE6"/>
    <w:rsid w:val="00997F16"/>
    <w:rsid w:val="00997F8C"/>
    <w:rsid w:val="009A2FD4"/>
    <w:rsid w:val="009A36B4"/>
    <w:rsid w:val="009A540D"/>
    <w:rsid w:val="009A61DD"/>
    <w:rsid w:val="009B0B46"/>
    <w:rsid w:val="009B1656"/>
    <w:rsid w:val="009B1D7A"/>
    <w:rsid w:val="009B33AD"/>
    <w:rsid w:val="009B7209"/>
    <w:rsid w:val="009C2209"/>
    <w:rsid w:val="009C2633"/>
    <w:rsid w:val="009C5894"/>
    <w:rsid w:val="009C593C"/>
    <w:rsid w:val="009C5AA4"/>
    <w:rsid w:val="009C732D"/>
    <w:rsid w:val="009C7BCD"/>
    <w:rsid w:val="009D0287"/>
    <w:rsid w:val="009D78BB"/>
    <w:rsid w:val="009E2A94"/>
    <w:rsid w:val="009E7A86"/>
    <w:rsid w:val="009F0201"/>
    <w:rsid w:val="009F0FFF"/>
    <w:rsid w:val="009F5F95"/>
    <w:rsid w:val="00A00431"/>
    <w:rsid w:val="00A00F72"/>
    <w:rsid w:val="00A05764"/>
    <w:rsid w:val="00A068DD"/>
    <w:rsid w:val="00A06924"/>
    <w:rsid w:val="00A06FE0"/>
    <w:rsid w:val="00A1097E"/>
    <w:rsid w:val="00A10AE1"/>
    <w:rsid w:val="00A21C2C"/>
    <w:rsid w:val="00A220FA"/>
    <w:rsid w:val="00A23643"/>
    <w:rsid w:val="00A26D74"/>
    <w:rsid w:val="00A35F7F"/>
    <w:rsid w:val="00A37080"/>
    <w:rsid w:val="00A40A5F"/>
    <w:rsid w:val="00A45A90"/>
    <w:rsid w:val="00A45C92"/>
    <w:rsid w:val="00A47BA5"/>
    <w:rsid w:val="00A547FF"/>
    <w:rsid w:val="00A7073F"/>
    <w:rsid w:val="00A723EC"/>
    <w:rsid w:val="00A74E2C"/>
    <w:rsid w:val="00A75FF9"/>
    <w:rsid w:val="00A8108C"/>
    <w:rsid w:val="00A81FD4"/>
    <w:rsid w:val="00A82F1B"/>
    <w:rsid w:val="00A8330A"/>
    <w:rsid w:val="00A85ABA"/>
    <w:rsid w:val="00A86315"/>
    <w:rsid w:val="00A93124"/>
    <w:rsid w:val="00A93BC4"/>
    <w:rsid w:val="00A94871"/>
    <w:rsid w:val="00A96C2A"/>
    <w:rsid w:val="00AA1BD6"/>
    <w:rsid w:val="00AA1CC6"/>
    <w:rsid w:val="00AA621B"/>
    <w:rsid w:val="00AA7A58"/>
    <w:rsid w:val="00AB0302"/>
    <w:rsid w:val="00AB077A"/>
    <w:rsid w:val="00AB1644"/>
    <w:rsid w:val="00AB2661"/>
    <w:rsid w:val="00AB3E42"/>
    <w:rsid w:val="00AB731E"/>
    <w:rsid w:val="00AC1272"/>
    <w:rsid w:val="00AC364D"/>
    <w:rsid w:val="00AC6816"/>
    <w:rsid w:val="00AC6ACC"/>
    <w:rsid w:val="00AC776C"/>
    <w:rsid w:val="00AD060E"/>
    <w:rsid w:val="00AD067C"/>
    <w:rsid w:val="00AD369E"/>
    <w:rsid w:val="00AD43E7"/>
    <w:rsid w:val="00AD588E"/>
    <w:rsid w:val="00AE148E"/>
    <w:rsid w:val="00AE331B"/>
    <w:rsid w:val="00AE60D9"/>
    <w:rsid w:val="00AE652C"/>
    <w:rsid w:val="00AF53DB"/>
    <w:rsid w:val="00AF6E89"/>
    <w:rsid w:val="00AF75D0"/>
    <w:rsid w:val="00B0344D"/>
    <w:rsid w:val="00B0725C"/>
    <w:rsid w:val="00B2018A"/>
    <w:rsid w:val="00B20519"/>
    <w:rsid w:val="00B23585"/>
    <w:rsid w:val="00B23C4F"/>
    <w:rsid w:val="00B26547"/>
    <w:rsid w:val="00B311D9"/>
    <w:rsid w:val="00B32542"/>
    <w:rsid w:val="00B33F7B"/>
    <w:rsid w:val="00B3641E"/>
    <w:rsid w:val="00B36910"/>
    <w:rsid w:val="00B42556"/>
    <w:rsid w:val="00B433FF"/>
    <w:rsid w:val="00B43F6B"/>
    <w:rsid w:val="00B45B20"/>
    <w:rsid w:val="00B466AC"/>
    <w:rsid w:val="00B51B5C"/>
    <w:rsid w:val="00B5322E"/>
    <w:rsid w:val="00B5370F"/>
    <w:rsid w:val="00B552F8"/>
    <w:rsid w:val="00B56D86"/>
    <w:rsid w:val="00B631BD"/>
    <w:rsid w:val="00B64BF3"/>
    <w:rsid w:val="00B667D4"/>
    <w:rsid w:val="00B739C5"/>
    <w:rsid w:val="00B80643"/>
    <w:rsid w:val="00B81BD8"/>
    <w:rsid w:val="00B8280D"/>
    <w:rsid w:val="00B843EB"/>
    <w:rsid w:val="00B8460C"/>
    <w:rsid w:val="00B901F9"/>
    <w:rsid w:val="00B92B63"/>
    <w:rsid w:val="00B95081"/>
    <w:rsid w:val="00B95284"/>
    <w:rsid w:val="00BA0F21"/>
    <w:rsid w:val="00BA12D2"/>
    <w:rsid w:val="00BA2500"/>
    <w:rsid w:val="00BB0E3F"/>
    <w:rsid w:val="00BB2266"/>
    <w:rsid w:val="00BB2632"/>
    <w:rsid w:val="00BB304C"/>
    <w:rsid w:val="00BB33B7"/>
    <w:rsid w:val="00BB359B"/>
    <w:rsid w:val="00BB55D9"/>
    <w:rsid w:val="00BC034C"/>
    <w:rsid w:val="00BC2054"/>
    <w:rsid w:val="00BC448F"/>
    <w:rsid w:val="00BC595D"/>
    <w:rsid w:val="00BD4E52"/>
    <w:rsid w:val="00BD7FB6"/>
    <w:rsid w:val="00BE3154"/>
    <w:rsid w:val="00BE3FFA"/>
    <w:rsid w:val="00BF0763"/>
    <w:rsid w:val="00BF0C43"/>
    <w:rsid w:val="00BF40BE"/>
    <w:rsid w:val="00BF6A29"/>
    <w:rsid w:val="00BF7C9B"/>
    <w:rsid w:val="00C001EC"/>
    <w:rsid w:val="00C00DCF"/>
    <w:rsid w:val="00C06C27"/>
    <w:rsid w:val="00C1495B"/>
    <w:rsid w:val="00C152CF"/>
    <w:rsid w:val="00C15A4A"/>
    <w:rsid w:val="00C20B8A"/>
    <w:rsid w:val="00C2269B"/>
    <w:rsid w:val="00C254FA"/>
    <w:rsid w:val="00C30B04"/>
    <w:rsid w:val="00C31197"/>
    <w:rsid w:val="00C32068"/>
    <w:rsid w:val="00C33316"/>
    <w:rsid w:val="00C342CB"/>
    <w:rsid w:val="00C356CA"/>
    <w:rsid w:val="00C368EA"/>
    <w:rsid w:val="00C40C3B"/>
    <w:rsid w:val="00C416B7"/>
    <w:rsid w:val="00C41BC3"/>
    <w:rsid w:val="00C425B2"/>
    <w:rsid w:val="00C45214"/>
    <w:rsid w:val="00C45A80"/>
    <w:rsid w:val="00C45BCB"/>
    <w:rsid w:val="00C50ADE"/>
    <w:rsid w:val="00C50DB0"/>
    <w:rsid w:val="00C531C6"/>
    <w:rsid w:val="00C53882"/>
    <w:rsid w:val="00C53C88"/>
    <w:rsid w:val="00C53DE5"/>
    <w:rsid w:val="00C5569F"/>
    <w:rsid w:val="00C56D33"/>
    <w:rsid w:val="00C57CAE"/>
    <w:rsid w:val="00C57F7A"/>
    <w:rsid w:val="00C60698"/>
    <w:rsid w:val="00C65C4E"/>
    <w:rsid w:val="00C66608"/>
    <w:rsid w:val="00C66DD2"/>
    <w:rsid w:val="00C66FD1"/>
    <w:rsid w:val="00C701F7"/>
    <w:rsid w:val="00C73318"/>
    <w:rsid w:val="00C7335B"/>
    <w:rsid w:val="00C74928"/>
    <w:rsid w:val="00C74CFD"/>
    <w:rsid w:val="00C7699D"/>
    <w:rsid w:val="00C9155A"/>
    <w:rsid w:val="00C9183C"/>
    <w:rsid w:val="00CA0BC6"/>
    <w:rsid w:val="00CA0E30"/>
    <w:rsid w:val="00CA219B"/>
    <w:rsid w:val="00CA2634"/>
    <w:rsid w:val="00CA5388"/>
    <w:rsid w:val="00CA5DD4"/>
    <w:rsid w:val="00CB0A2F"/>
    <w:rsid w:val="00CB21D1"/>
    <w:rsid w:val="00CB340B"/>
    <w:rsid w:val="00CB3900"/>
    <w:rsid w:val="00CB55F2"/>
    <w:rsid w:val="00CC18AB"/>
    <w:rsid w:val="00CC5437"/>
    <w:rsid w:val="00CD65C5"/>
    <w:rsid w:val="00CE136B"/>
    <w:rsid w:val="00CE5F1C"/>
    <w:rsid w:val="00CE7155"/>
    <w:rsid w:val="00CF05D0"/>
    <w:rsid w:val="00CF12A9"/>
    <w:rsid w:val="00CF36C2"/>
    <w:rsid w:val="00CF4F89"/>
    <w:rsid w:val="00D0027A"/>
    <w:rsid w:val="00D022AA"/>
    <w:rsid w:val="00D02628"/>
    <w:rsid w:val="00D03B95"/>
    <w:rsid w:val="00D043A4"/>
    <w:rsid w:val="00D05708"/>
    <w:rsid w:val="00D10311"/>
    <w:rsid w:val="00D11BC4"/>
    <w:rsid w:val="00D12CE4"/>
    <w:rsid w:val="00D13722"/>
    <w:rsid w:val="00D20105"/>
    <w:rsid w:val="00D20BF2"/>
    <w:rsid w:val="00D21678"/>
    <w:rsid w:val="00D226D1"/>
    <w:rsid w:val="00D27652"/>
    <w:rsid w:val="00D31AAE"/>
    <w:rsid w:val="00D34665"/>
    <w:rsid w:val="00D360DD"/>
    <w:rsid w:val="00D4042B"/>
    <w:rsid w:val="00D41D20"/>
    <w:rsid w:val="00D44A5E"/>
    <w:rsid w:val="00D45893"/>
    <w:rsid w:val="00D45903"/>
    <w:rsid w:val="00D471F6"/>
    <w:rsid w:val="00D47715"/>
    <w:rsid w:val="00D513FD"/>
    <w:rsid w:val="00D5546D"/>
    <w:rsid w:val="00D57089"/>
    <w:rsid w:val="00D60EAD"/>
    <w:rsid w:val="00D61D5D"/>
    <w:rsid w:val="00D6502E"/>
    <w:rsid w:val="00D65B1A"/>
    <w:rsid w:val="00D66543"/>
    <w:rsid w:val="00D66F6B"/>
    <w:rsid w:val="00D67316"/>
    <w:rsid w:val="00D67FC8"/>
    <w:rsid w:val="00D71CC3"/>
    <w:rsid w:val="00D72D3F"/>
    <w:rsid w:val="00D73ACE"/>
    <w:rsid w:val="00D73AF8"/>
    <w:rsid w:val="00D7478D"/>
    <w:rsid w:val="00D77CDE"/>
    <w:rsid w:val="00D8103C"/>
    <w:rsid w:val="00D8462D"/>
    <w:rsid w:val="00D8776C"/>
    <w:rsid w:val="00DA0443"/>
    <w:rsid w:val="00DA33D3"/>
    <w:rsid w:val="00DA3F52"/>
    <w:rsid w:val="00DB295C"/>
    <w:rsid w:val="00DB4DCB"/>
    <w:rsid w:val="00DB742D"/>
    <w:rsid w:val="00DC148B"/>
    <w:rsid w:val="00DC2643"/>
    <w:rsid w:val="00DC44D9"/>
    <w:rsid w:val="00DC7AEA"/>
    <w:rsid w:val="00DD25C0"/>
    <w:rsid w:val="00DD26CD"/>
    <w:rsid w:val="00DD27D5"/>
    <w:rsid w:val="00DD3FCD"/>
    <w:rsid w:val="00DE0DDA"/>
    <w:rsid w:val="00DE29BC"/>
    <w:rsid w:val="00DE2B5C"/>
    <w:rsid w:val="00DE4D48"/>
    <w:rsid w:val="00DE502B"/>
    <w:rsid w:val="00E00179"/>
    <w:rsid w:val="00E05129"/>
    <w:rsid w:val="00E0652D"/>
    <w:rsid w:val="00E0776F"/>
    <w:rsid w:val="00E077B5"/>
    <w:rsid w:val="00E10EAE"/>
    <w:rsid w:val="00E114D9"/>
    <w:rsid w:val="00E11894"/>
    <w:rsid w:val="00E158E7"/>
    <w:rsid w:val="00E15B06"/>
    <w:rsid w:val="00E20AA4"/>
    <w:rsid w:val="00E25674"/>
    <w:rsid w:val="00E30BA4"/>
    <w:rsid w:val="00E3514C"/>
    <w:rsid w:val="00E35C31"/>
    <w:rsid w:val="00E37D4F"/>
    <w:rsid w:val="00E407A9"/>
    <w:rsid w:val="00E4323C"/>
    <w:rsid w:val="00E46184"/>
    <w:rsid w:val="00E4698E"/>
    <w:rsid w:val="00E60D20"/>
    <w:rsid w:val="00E610A8"/>
    <w:rsid w:val="00E6226D"/>
    <w:rsid w:val="00E6368F"/>
    <w:rsid w:val="00E72DFD"/>
    <w:rsid w:val="00E7395F"/>
    <w:rsid w:val="00E75AC5"/>
    <w:rsid w:val="00E77DE6"/>
    <w:rsid w:val="00E81E97"/>
    <w:rsid w:val="00E81F0F"/>
    <w:rsid w:val="00E81F28"/>
    <w:rsid w:val="00E8307A"/>
    <w:rsid w:val="00E849FB"/>
    <w:rsid w:val="00E84B87"/>
    <w:rsid w:val="00E86DC0"/>
    <w:rsid w:val="00E906DA"/>
    <w:rsid w:val="00E908DF"/>
    <w:rsid w:val="00E926B5"/>
    <w:rsid w:val="00E928C7"/>
    <w:rsid w:val="00E930AD"/>
    <w:rsid w:val="00E94258"/>
    <w:rsid w:val="00E9556B"/>
    <w:rsid w:val="00EA2129"/>
    <w:rsid w:val="00EA316D"/>
    <w:rsid w:val="00EB5D97"/>
    <w:rsid w:val="00EB6D4F"/>
    <w:rsid w:val="00EC0F1C"/>
    <w:rsid w:val="00EC1694"/>
    <w:rsid w:val="00EC25F0"/>
    <w:rsid w:val="00EC4FB6"/>
    <w:rsid w:val="00EC7180"/>
    <w:rsid w:val="00EC7321"/>
    <w:rsid w:val="00EC77B9"/>
    <w:rsid w:val="00ED2861"/>
    <w:rsid w:val="00ED34D6"/>
    <w:rsid w:val="00ED3B36"/>
    <w:rsid w:val="00ED5806"/>
    <w:rsid w:val="00ED6AE4"/>
    <w:rsid w:val="00EE14C1"/>
    <w:rsid w:val="00EE2938"/>
    <w:rsid w:val="00EE29FB"/>
    <w:rsid w:val="00EE371E"/>
    <w:rsid w:val="00EE4852"/>
    <w:rsid w:val="00EE4F50"/>
    <w:rsid w:val="00EE5193"/>
    <w:rsid w:val="00EE5443"/>
    <w:rsid w:val="00EE670F"/>
    <w:rsid w:val="00EF059A"/>
    <w:rsid w:val="00EF1F79"/>
    <w:rsid w:val="00EF5EB9"/>
    <w:rsid w:val="00F000E2"/>
    <w:rsid w:val="00F0079F"/>
    <w:rsid w:val="00F016BC"/>
    <w:rsid w:val="00F0275D"/>
    <w:rsid w:val="00F02765"/>
    <w:rsid w:val="00F03789"/>
    <w:rsid w:val="00F0424E"/>
    <w:rsid w:val="00F0489E"/>
    <w:rsid w:val="00F0584E"/>
    <w:rsid w:val="00F06FA7"/>
    <w:rsid w:val="00F13FDD"/>
    <w:rsid w:val="00F1413D"/>
    <w:rsid w:val="00F168AF"/>
    <w:rsid w:val="00F178C6"/>
    <w:rsid w:val="00F2163D"/>
    <w:rsid w:val="00F22F33"/>
    <w:rsid w:val="00F2475F"/>
    <w:rsid w:val="00F2521F"/>
    <w:rsid w:val="00F254D8"/>
    <w:rsid w:val="00F258C5"/>
    <w:rsid w:val="00F262D3"/>
    <w:rsid w:val="00F3189F"/>
    <w:rsid w:val="00F32608"/>
    <w:rsid w:val="00F33FEF"/>
    <w:rsid w:val="00F40012"/>
    <w:rsid w:val="00F41411"/>
    <w:rsid w:val="00F43899"/>
    <w:rsid w:val="00F46BCE"/>
    <w:rsid w:val="00F46C52"/>
    <w:rsid w:val="00F46E11"/>
    <w:rsid w:val="00F537C7"/>
    <w:rsid w:val="00F55114"/>
    <w:rsid w:val="00F61141"/>
    <w:rsid w:val="00F70510"/>
    <w:rsid w:val="00F70823"/>
    <w:rsid w:val="00F72EEC"/>
    <w:rsid w:val="00F732B3"/>
    <w:rsid w:val="00F73C23"/>
    <w:rsid w:val="00F801A5"/>
    <w:rsid w:val="00F80B99"/>
    <w:rsid w:val="00F82289"/>
    <w:rsid w:val="00F87338"/>
    <w:rsid w:val="00F901A9"/>
    <w:rsid w:val="00F939D7"/>
    <w:rsid w:val="00F94C5D"/>
    <w:rsid w:val="00F95832"/>
    <w:rsid w:val="00F96E6E"/>
    <w:rsid w:val="00FA0E52"/>
    <w:rsid w:val="00FA2A2B"/>
    <w:rsid w:val="00FA4BF1"/>
    <w:rsid w:val="00FB4B42"/>
    <w:rsid w:val="00FC09BC"/>
    <w:rsid w:val="00FC0B81"/>
    <w:rsid w:val="00FC3CA0"/>
    <w:rsid w:val="00FC4422"/>
    <w:rsid w:val="00FC591B"/>
    <w:rsid w:val="00FD1023"/>
    <w:rsid w:val="00FD1189"/>
    <w:rsid w:val="00FD2B08"/>
    <w:rsid w:val="00FD4F54"/>
    <w:rsid w:val="00FD4F7E"/>
    <w:rsid w:val="00FD5540"/>
    <w:rsid w:val="00FD57A5"/>
    <w:rsid w:val="00FD5FEE"/>
    <w:rsid w:val="00FD606E"/>
    <w:rsid w:val="00FD6FA3"/>
    <w:rsid w:val="00FD7A60"/>
    <w:rsid w:val="00FD7F08"/>
    <w:rsid w:val="00FE6892"/>
    <w:rsid w:val="00FE7541"/>
    <w:rsid w:val="00FE7A4F"/>
    <w:rsid w:val="00FF2237"/>
    <w:rsid w:val="00FF231F"/>
    <w:rsid w:val="00FF23E6"/>
    <w:rsid w:val="00FF49B1"/>
    <w:rsid w:val="00FF6A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2B77A8"/>
  <w15:chartTrackingRefBased/>
  <w15:docId w15:val="{3061B2FB-9AE5-4C2D-BC76-EF392720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BM Plex Sans" w:eastAsiaTheme="minorHAnsi" w:hAnsi="IBM Plex Sans" w:cstheme="minorBidi"/>
        <w:kern w:val="2"/>
        <w:sz w:val="24"/>
        <w:szCs w:val="24"/>
        <w:lang w:val="en-GB" w:eastAsia="en-US" w:bidi="ar-SA"/>
        <w14:ligatures w14:val="standardContextual"/>
      </w:rPr>
    </w:rPrDefault>
    <w:pPrDefault>
      <w:pPr>
        <w:spacing w:before="120" w:after="120"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04B"/>
    <w:rPr>
      <w:color w:val="0563C1" w:themeColor="hyperlink"/>
      <w:u w:val="single"/>
    </w:rPr>
  </w:style>
  <w:style w:type="paragraph" w:styleId="Header">
    <w:name w:val="header"/>
    <w:basedOn w:val="Normal"/>
    <w:link w:val="HeaderChar"/>
    <w:uiPriority w:val="99"/>
    <w:unhideWhenUsed/>
    <w:rsid w:val="000F711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7116"/>
  </w:style>
  <w:style w:type="paragraph" w:styleId="Footer">
    <w:name w:val="footer"/>
    <w:basedOn w:val="Normal"/>
    <w:link w:val="FooterChar"/>
    <w:uiPriority w:val="99"/>
    <w:unhideWhenUsed/>
    <w:rsid w:val="000F711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F7116"/>
  </w:style>
  <w:style w:type="character" w:customStyle="1" w:styleId="UnresolvedMention1">
    <w:name w:val="Unresolved Mention1"/>
    <w:basedOn w:val="DefaultParagraphFont"/>
    <w:uiPriority w:val="99"/>
    <w:semiHidden/>
    <w:unhideWhenUsed/>
    <w:rsid w:val="005C71F9"/>
    <w:rPr>
      <w:color w:val="605E5C"/>
      <w:shd w:val="clear" w:color="auto" w:fill="E1DFDD"/>
    </w:rPr>
  </w:style>
  <w:style w:type="paragraph" w:styleId="FootnoteText">
    <w:name w:val="footnote text"/>
    <w:basedOn w:val="Normal"/>
    <w:link w:val="FootnoteTextChar"/>
    <w:uiPriority w:val="99"/>
    <w:semiHidden/>
    <w:unhideWhenUsed/>
    <w:rsid w:val="008B699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B6997"/>
    <w:rPr>
      <w:sz w:val="20"/>
      <w:szCs w:val="20"/>
    </w:rPr>
  </w:style>
  <w:style w:type="character" w:styleId="FootnoteReference">
    <w:name w:val="footnote reference"/>
    <w:basedOn w:val="DefaultParagraphFont"/>
    <w:uiPriority w:val="99"/>
    <w:semiHidden/>
    <w:unhideWhenUsed/>
    <w:rsid w:val="008B6997"/>
    <w:rPr>
      <w:vertAlign w:val="superscript"/>
    </w:rPr>
  </w:style>
  <w:style w:type="paragraph" w:styleId="NormalWeb">
    <w:name w:val="Normal (Web)"/>
    <w:basedOn w:val="Normal"/>
    <w:uiPriority w:val="99"/>
    <w:unhideWhenUsed/>
    <w:rsid w:val="0031472D"/>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225C93"/>
    <w:pPr>
      <w:ind w:left="720"/>
      <w:contextualSpacing/>
    </w:pPr>
  </w:style>
  <w:style w:type="character" w:styleId="PlaceholderText">
    <w:name w:val="Placeholder Text"/>
    <w:basedOn w:val="DefaultParagraphFont"/>
    <w:uiPriority w:val="99"/>
    <w:semiHidden/>
    <w:rsid w:val="00C45A80"/>
    <w:rPr>
      <w:color w:val="808080"/>
    </w:rPr>
  </w:style>
  <w:style w:type="table" w:styleId="TableGrid">
    <w:name w:val="Table Grid"/>
    <w:basedOn w:val="TableNormal"/>
    <w:uiPriority w:val="39"/>
    <w:rsid w:val="00715D0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6F099F"/>
  </w:style>
  <w:style w:type="character" w:customStyle="1" w:styleId="vlist-s">
    <w:name w:val="vlist-s"/>
    <w:basedOn w:val="DefaultParagraphFont"/>
    <w:rsid w:val="006F099F"/>
  </w:style>
  <w:style w:type="character" w:customStyle="1" w:styleId="mrel">
    <w:name w:val="mrel"/>
    <w:basedOn w:val="DefaultParagraphFont"/>
    <w:rsid w:val="006F099F"/>
  </w:style>
  <w:style w:type="character" w:styleId="Strong">
    <w:name w:val="Strong"/>
    <w:basedOn w:val="DefaultParagraphFont"/>
    <w:uiPriority w:val="22"/>
    <w:qFormat/>
    <w:rsid w:val="00890FE0"/>
    <w:rPr>
      <w:b/>
      <w:bCs/>
    </w:rPr>
  </w:style>
  <w:style w:type="paragraph" w:styleId="BalloonText">
    <w:name w:val="Balloon Text"/>
    <w:basedOn w:val="Normal"/>
    <w:link w:val="BalloonTextChar"/>
    <w:uiPriority w:val="99"/>
    <w:rsid w:val="00070A10"/>
    <w:pPr>
      <w:spacing w:before="0" w:after="0" w:line="240" w:lineRule="auto"/>
      <w:jc w:val="left"/>
    </w:pPr>
    <w:rPr>
      <w:rFonts w:ascii="Segoe UI" w:eastAsia="Calibr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rsid w:val="00070A10"/>
    <w:rPr>
      <w:rFonts w:ascii="Segoe UI" w:eastAsia="Calibr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1009">
      <w:bodyDiv w:val="1"/>
      <w:marLeft w:val="0"/>
      <w:marRight w:val="0"/>
      <w:marTop w:val="0"/>
      <w:marBottom w:val="0"/>
      <w:divBdr>
        <w:top w:val="none" w:sz="0" w:space="0" w:color="auto"/>
        <w:left w:val="none" w:sz="0" w:space="0" w:color="auto"/>
        <w:bottom w:val="none" w:sz="0" w:space="0" w:color="auto"/>
        <w:right w:val="none" w:sz="0" w:space="0" w:color="auto"/>
      </w:divBdr>
      <w:divsChild>
        <w:div w:id="2134204539">
          <w:marLeft w:val="-720"/>
          <w:marRight w:val="0"/>
          <w:marTop w:val="0"/>
          <w:marBottom w:val="0"/>
          <w:divBdr>
            <w:top w:val="none" w:sz="0" w:space="0" w:color="auto"/>
            <w:left w:val="none" w:sz="0" w:space="0" w:color="auto"/>
            <w:bottom w:val="none" w:sz="0" w:space="0" w:color="auto"/>
            <w:right w:val="none" w:sz="0" w:space="0" w:color="auto"/>
          </w:divBdr>
        </w:div>
      </w:divsChild>
    </w:div>
    <w:div w:id="74321248">
      <w:bodyDiv w:val="1"/>
      <w:marLeft w:val="0"/>
      <w:marRight w:val="0"/>
      <w:marTop w:val="0"/>
      <w:marBottom w:val="0"/>
      <w:divBdr>
        <w:top w:val="none" w:sz="0" w:space="0" w:color="auto"/>
        <w:left w:val="none" w:sz="0" w:space="0" w:color="auto"/>
        <w:bottom w:val="none" w:sz="0" w:space="0" w:color="auto"/>
        <w:right w:val="none" w:sz="0" w:space="0" w:color="auto"/>
      </w:divBdr>
      <w:divsChild>
        <w:div w:id="2066833425">
          <w:marLeft w:val="-720"/>
          <w:marRight w:val="0"/>
          <w:marTop w:val="0"/>
          <w:marBottom w:val="0"/>
          <w:divBdr>
            <w:top w:val="none" w:sz="0" w:space="0" w:color="auto"/>
            <w:left w:val="none" w:sz="0" w:space="0" w:color="auto"/>
            <w:bottom w:val="none" w:sz="0" w:space="0" w:color="auto"/>
            <w:right w:val="none" w:sz="0" w:space="0" w:color="auto"/>
          </w:divBdr>
        </w:div>
      </w:divsChild>
    </w:div>
    <w:div w:id="106197735">
      <w:bodyDiv w:val="1"/>
      <w:marLeft w:val="0"/>
      <w:marRight w:val="0"/>
      <w:marTop w:val="0"/>
      <w:marBottom w:val="0"/>
      <w:divBdr>
        <w:top w:val="none" w:sz="0" w:space="0" w:color="auto"/>
        <w:left w:val="none" w:sz="0" w:space="0" w:color="auto"/>
        <w:bottom w:val="none" w:sz="0" w:space="0" w:color="auto"/>
        <w:right w:val="none" w:sz="0" w:space="0" w:color="auto"/>
      </w:divBdr>
      <w:divsChild>
        <w:div w:id="1156413989">
          <w:marLeft w:val="-720"/>
          <w:marRight w:val="0"/>
          <w:marTop w:val="0"/>
          <w:marBottom w:val="0"/>
          <w:divBdr>
            <w:top w:val="none" w:sz="0" w:space="0" w:color="auto"/>
            <w:left w:val="none" w:sz="0" w:space="0" w:color="auto"/>
            <w:bottom w:val="none" w:sz="0" w:space="0" w:color="auto"/>
            <w:right w:val="none" w:sz="0" w:space="0" w:color="auto"/>
          </w:divBdr>
        </w:div>
      </w:divsChild>
    </w:div>
    <w:div w:id="252393740">
      <w:bodyDiv w:val="1"/>
      <w:marLeft w:val="0"/>
      <w:marRight w:val="0"/>
      <w:marTop w:val="0"/>
      <w:marBottom w:val="0"/>
      <w:divBdr>
        <w:top w:val="none" w:sz="0" w:space="0" w:color="auto"/>
        <w:left w:val="none" w:sz="0" w:space="0" w:color="auto"/>
        <w:bottom w:val="none" w:sz="0" w:space="0" w:color="auto"/>
        <w:right w:val="none" w:sz="0" w:space="0" w:color="auto"/>
      </w:divBdr>
    </w:div>
    <w:div w:id="276982637">
      <w:bodyDiv w:val="1"/>
      <w:marLeft w:val="0"/>
      <w:marRight w:val="0"/>
      <w:marTop w:val="0"/>
      <w:marBottom w:val="0"/>
      <w:divBdr>
        <w:top w:val="none" w:sz="0" w:space="0" w:color="auto"/>
        <w:left w:val="none" w:sz="0" w:space="0" w:color="auto"/>
        <w:bottom w:val="none" w:sz="0" w:space="0" w:color="auto"/>
        <w:right w:val="none" w:sz="0" w:space="0" w:color="auto"/>
      </w:divBdr>
    </w:div>
    <w:div w:id="462819052">
      <w:bodyDiv w:val="1"/>
      <w:marLeft w:val="0"/>
      <w:marRight w:val="0"/>
      <w:marTop w:val="0"/>
      <w:marBottom w:val="0"/>
      <w:divBdr>
        <w:top w:val="none" w:sz="0" w:space="0" w:color="auto"/>
        <w:left w:val="none" w:sz="0" w:space="0" w:color="auto"/>
        <w:bottom w:val="none" w:sz="0" w:space="0" w:color="auto"/>
        <w:right w:val="none" w:sz="0" w:space="0" w:color="auto"/>
      </w:divBdr>
      <w:divsChild>
        <w:div w:id="156503402">
          <w:marLeft w:val="-720"/>
          <w:marRight w:val="0"/>
          <w:marTop w:val="0"/>
          <w:marBottom w:val="0"/>
          <w:divBdr>
            <w:top w:val="none" w:sz="0" w:space="0" w:color="auto"/>
            <w:left w:val="none" w:sz="0" w:space="0" w:color="auto"/>
            <w:bottom w:val="none" w:sz="0" w:space="0" w:color="auto"/>
            <w:right w:val="none" w:sz="0" w:space="0" w:color="auto"/>
          </w:divBdr>
        </w:div>
      </w:divsChild>
    </w:div>
    <w:div w:id="479807099">
      <w:bodyDiv w:val="1"/>
      <w:marLeft w:val="0"/>
      <w:marRight w:val="0"/>
      <w:marTop w:val="0"/>
      <w:marBottom w:val="0"/>
      <w:divBdr>
        <w:top w:val="none" w:sz="0" w:space="0" w:color="auto"/>
        <w:left w:val="none" w:sz="0" w:space="0" w:color="auto"/>
        <w:bottom w:val="none" w:sz="0" w:space="0" w:color="auto"/>
        <w:right w:val="none" w:sz="0" w:space="0" w:color="auto"/>
      </w:divBdr>
      <w:divsChild>
        <w:div w:id="1794447316">
          <w:marLeft w:val="-720"/>
          <w:marRight w:val="0"/>
          <w:marTop w:val="0"/>
          <w:marBottom w:val="0"/>
          <w:divBdr>
            <w:top w:val="none" w:sz="0" w:space="0" w:color="auto"/>
            <w:left w:val="none" w:sz="0" w:space="0" w:color="auto"/>
            <w:bottom w:val="none" w:sz="0" w:space="0" w:color="auto"/>
            <w:right w:val="none" w:sz="0" w:space="0" w:color="auto"/>
          </w:divBdr>
        </w:div>
      </w:divsChild>
    </w:div>
    <w:div w:id="552272592">
      <w:bodyDiv w:val="1"/>
      <w:marLeft w:val="0"/>
      <w:marRight w:val="0"/>
      <w:marTop w:val="0"/>
      <w:marBottom w:val="0"/>
      <w:divBdr>
        <w:top w:val="none" w:sz="0" w:space="0" w:color="auto"/>
        <w:left w:val="none" w:sz="0" w:space="0" w:color="auto"/>
        <w:bottom w:val="none" w:sz="0" w:space="0" w:color="auto"/>
        <w:right w:val="none" w:sz="0" w:space="0" w:color="auto"/>
      </w:divBdr>
      <w:divsChild>
        <w:div w:id="1719551208">
          <w:marLeft w:val="-720"/>
          <w:marRight w:val="0"/>
          <w:marTop w:val="0"/>
          <w:marBottom w:val="0"/>
          <w:divBdr>
            <w:top w:val="none" w:sz="0" w:space="0" w:color="auto"/>
            <w:left w:val="none" w:sz="0" w:space="0" w:color="auto"/>
            <w:bottom w:val="none" w:sz="0" w:space="0" w:color="auto"/>
            <w:right w:val="none" w:sz="0" w:space="0" w:color="auto"/>
          </w:divBdr>
        </w:div>
      </w:divsChild>
    </w:div>
    <w:div w:id="566651621">
      <w:bodyDiv w:val="1"/>
      <w:marLeft w:val="0"/>
      <w:marRight w:val="0"/>
      <w:marTop w:val="0"/>
      <w:marBottom w:val="0"/>
      <w:divBdr>
        <w:top w:val="none" w:sz="0" w:space="0" w:color="auto"/>
        <w:left w:val="none" w:sz="0" w:space="0" w:color="auto"/>
        <w:bottom w:val="none" w:sz="0" w:space="0" w:color="auto"/>
        <w:right w:val="none" w:sz="0" w:space="0" w:color="auto"/>
      </w:divBdr>
    </w:div>
    <w:div w:id="733312729">
      <w:bodyDiv w:val="1"/>
      <w:marLeft w:val="0"/>
      <w:marRight w:val="0"/>
      <w:marTop w:val="0"/>
      <w:marBottom w:val="0"/>
      <w:divBdr>
        <w:top w:val="none" w:sz="0" w:space="0" w:color="auto"/>
        <w:left w:val="none" w:sz="0" w:space="0" w:color="auto"/>
        <w:bottom w:val="none" w:sz="0" w:space="0" w:color="auto"/>
        <w:right w:val="none" w:sz="0" w:space="0" w:color="auto"/>
      </w:divBdr>
    </w:div>
    <w:div w:id="741951086">
      <w:bodyDiv w:val="1"/>
      <w:marLeft w:val="0"/>
      <w:marRight w:val="0"/>
      <w:marTop w:val="0"/>
      <w:marBottom w:val="0"/>
      <w:divBdr>
        <w:top w:val="none" w:sz="0" w:space="0" w:color="auto"/>
        <w:left w:val="none" w:sz="0" w:space="0" w:color="auto"/>
        <w:bottom w:val="none" w:sz="0" w:space="0" w:color="auto"/>
        <w:right w:val="none" w:sz="0" w:space="0" w:color="auto"/>
      </w:divBdr>
    </w:div>
    <w:div w:id="904992005">
      <w:bodyDiv w:val="1"/>
      <w:marLeft w:val="0"/>
      <w:marRight w:val="0"/>
      <w:marTop w:val="0"/>
      <w:marBottom w:val="0"/>
      <w:divBdr>
        <w:top w:val="none" w:sz="0" w:space="0" w:color="auto"/>
        <w:left w:val="none" w:sz="0" w:space="0" w:color="auto"/>
        <w:bottom w:val="none" w:sz="0" w:space="0" w:color="auto"/>
        <w:right w:val="none" w:sz="0" w:space="0" w:color="auto"/>
      </w:divBdr>
    </w:div>
    <w:div w:id="1010764331">
      <w:bodyDiv w:val="1"/>
      <w:marLeft w:val="0"/>
      <w:marRight w:val="0"/>
      <w:marTop w:val="0"/>
      <w:marBottom w:val="0"/>
      <w:divBdr>
        <w:top w:val="none" w:sz="0" w:space="0" w:color="auto"/>
        <w:left w:val="none" w:sz="0" w:space="0" w:color="auto"/>
        <w:bottom w:val="none" w:sz="0" w:space="0" w:color="auto"/>
        <w:right w:val="none" w:sz="0" w:space="0" w:color="auto"/>
      </w:divBdr>
      <w:divsChild>
        <w:div w:id="2046589765">
          <w:marLeft w:val="-720"/>
          <w:marRight w:val="0"/>
          <w:marTop w:val="0"/>
          <w:marBottom w:val="0"/>
          <w:divBdr>
            <w:top w:val="none" w:sz="0" w:space="0" w:color="auto"/>
            <w:left w:val="none" w:sz="0" w:space="0" w:color="auto"/>
            <w:bottom w:val="none" w:sz="0" w:space="0" w:color="auto"/>
            <w:right w:val="none" w:sz="0" w:space="0" w:color="auto"/>
          </w:divBdr>
        </w:div>
      </w:divsChild>
    </w:div>
    <w:div w:id="1103456337">
      <w:bodyDiv w:val="1"/>
      <w:marLeft w:val="0"/>
      <w:marRight w:val="0"/>
      <w:marTop w:val="0"/>
      <w:marBottom w:val="0"/>
      <w:divBdr>
        <w:top w:val="none" w:sz="0" w:space="0" w:color="auto"/>
        <w:left w:val="none" w:sz="0" w:space="0" w:color="auto"/>
        <w:bottom w:val="none" w:sz="0" w:space="0" w:color="auto"/>
        <w:right w:val="none" w:sz="0" w:space="0" w:color="auto"/>
      </w:divBdr>
    </w:div>
    <w:div w:id="1112895900">
      <w:bodyDiv w:val="1"/>
      <w:marLeft w:val="0"/>
      <w:marRight w:val="0"/>
      <w:marTop w:val="0"/>
      <w:marBottom w:val="0"/>
      <w:divBdr>
        <w:top w:val="none" w:sz="0" w:space="0" w:color="auto"/>
        <w:left w:val="none" w:sz="0" w:space="0" w:color="auto"/>
        <w:bottom w:val="none" w:sz="0" w:space="0" w:color="auto"/>
        <w:right w:val="none" w:sz="0" w:space="0" w:color="auto"/>
      </w:divBdr>
      <w:divsChild>
        <w:div w:id="1159342051">
          <w:marLeft w:val="-720"/>
          <w:marRight w:val="0"/>
          <w:marTop w:val="0"/>
          <w:marBottom w:val="0"/>
          <w:divBdr>
            <w:top w:val="none" w:sz="0" w:space="0" w:color="auto"/>
            <w:left w:val="none" w:sz="0" w:space="0" w:color="auto"/>
            <w:bottom w:val="none" w:sz="0" w:space="0" w:color="auto"/>
            <w:right w:val="none" w:sz="0" w:space="0" w:color="auto"/>
          </w:divBdr>
        </w:div>
      </w:divsChild>
    </w:div>
    <w:div w:id="1164660360">
      <w:bodyDiv w:val="1"/>
      <w:marLeft w:val="0"/>
      <w:marRight w:val="0"/>
      <w:marTop w:val="0"/>
      <w:marBottom w:val="0"/>
      <w:divBdr>
        <w:top w:val="none" w:sz="0" w:space="0" w:color="auto"/>
        <w:left w:val="none" w:sz="0" w:space="0" w:color="auto"/>
        <w:bottom w:val="none" w:sz="0" w:space="0" w:color="auto"/>
        <w:right w:val="none" w:sz="0" w:space="0" w:color="auto"/>
      </w:divBdr>
      <w:divsChild>
        <w:div w:id="1923290926">
          <w:marLeft w:val="-720"/>
          <w:marRight w:val="0"/>
          <w:marTop w:val="0"/>
          <w:marBottom w:val="0"/>
          <w:divBdr>
            <w:top w:val="none" w:sz="0" w:space="0" w:color="auto"/>
            <w:left w:val="none" w:sz="0" w:space="0" w:color="auto"/>
            <w:bottom w:val="none" w:sz="0" w:space="0" w:color="auto"/>
            <w:right w:val="none" w:sz="0" w:space="0" w:color="auto"/>
          </w:divBdr>
        </w:div>
      </w:divsChild>
    </w:div>
    <w:div w:id="1224178750">
      <w:bodyDiv w:val="1"/>
      <w:marLeft w:val="0"/>
      <w:marRight w:val="0"/>
      <w:marTop w:val="0"/>
      <w:marBottom w:val="0"/>
      <w:divBdr>
        <w:top w:val="none" w:sz="0" w:space="0" w:color="auto"/>
        <w:left w:val="none" w:sz="0" w:space="0" w:color="auto"/>
        <w:bottom w:val="none" w:sz="0" w:space="0" w:color="auto"/>
        <w:right w:val="none" w:sz="0" w:space="0" w:color="auto"/>
      </w:divBdr>
    </w:div>
    <w:div w:id="1294752297">
      <w:bodyDiv w:val="1"/>
      <w:marLeft w:val="0"/>
      <w:marRight w:val="0"/>
      <w:marTop w:val="0"/>
      <w:marBottom w:val="0"/>
      <w:divBdr>
        <w:top w:val="none" w:sz="0" w:space="0" w:color="auto"/>
        <w:left w:val="none" w:sz="0" w:space="0" w:color="auto"/>
        <w:bottom w:val="none" w:sz="0" w:space="0" w:color="auto"/>
        <w:right w:val="none" w:sz="0" w:space="0" w:color="auto"/>
      </w:divBdr>
    </w:div>
    <w:div w:id="1295597756">
      <w:bodyDiv w:val="1"/>
      <w:marLeft w:val="0"/>
      <w:marRight w:val="0"/>
      <w:marTop w:val="0"/>
      <w:marBottom w:val="0"/>
      <w:divBdr>
        <w:top w:val="none" w:sz="0" w:space="0" w:color="auto"/>
        <w:left w:val="none" w:sz="0" w:space="0" w:color="auto"/>
        <w:bottom w:val="none" w:sz="0" w:space="0" w:color="auto"/>
        <w:right w:val="none" w:sz="0" w:space="0" w:color="auto"/>
      </w:divBdr>
      <w:divsChild>
        <w:div w:id="1164322897">
          <w:marLeft w:val="-720"/>
          <w:marRight w:val="0"/>
          <w:marTop w:val="0"/>
          <w:marBottom w:val="0"/>
          <w:divBdr>
            <w:top w:val="none" w:sz="0" w:space="0" w:color="auto"/>
            <w:left w:val="none" w:sz="0" w:space="0" w:color="auto"/>
            <w:bottom w:val="none" w:sz="0" w:space="0" w:color="auto"/>
            <w:right w:val="none" w:sz="0" w:space="0" w:color="auto"/>
          </w:divBdr>
        </w:div>
      </w:divsChild>
    </w:div>
    <w:div w:id="1370570261">
      <w:bodyDiv w:val="1"/>
      <w:marLeft w:val="0"/>
      <w:marRight w:val="0"/>
      <w:marTop w:val="0"/>
      <w:marBottom w:val="0"/>
      <w:divBdr>
        <w:top w:val="none" w:sz="0" w:space="0" w:color="auto"/>
        <w:left w:val="none" w:sz="0" w:space="0" w:color="auto"/>
        <w:bottom w:val="none" w:sz="0" w:space="0" w:color="auto"/>
        <w:right w:val="none" w:sz="0" w:space="0" w:color="auto"/>
      </w:divBdr>
    </w:div>
    <w:div w:id="1377698118">
      <w:bodyDiv w:val="1"/>
      <w:marLeft w:val="0"/>
      <w:marRight w:val="0"/>
      <w:marTop w:val="0"/>
      <w:marBottom w:val="0"/>
      <w:divBdr>
        <w:top w:val="none" w:sz="0" w:space="0" w:color="auto"/>
        <w:left w:val="none" w:sz="0" w:space="0" w:color="auto"/>
        <w:bottom w:val="none" w:sz="0" w:space="0" w:color="auto"/>
        <w:right w:val="none" w:sz="0" w:space="0" w:color="auto"/>
      </w:divBdr>
      <w:divsChild>
        <w:div w:id="676930811">
          <w:marLeft w:val="-720"/>
          <w:marRight w:val="0"/>
          <w:marTop w:val="0"/>
          <w:marBottom w:val="0"/>
          <w:divBdr>
            <w:top w:val="none" w:sz="0" w:space="0" w:color="auto"/>
            <w:left w:val="none" w:sz="0" w:space="0" w:color="auto"/>
            <w:bottom w:val="none" w:sz="0" w:space="0" w:color="auto"/>
            <w:right w:val="none" w:sz="0" w:space="0" w:color="auto"/>
          </w:divBdr>
        </w:div>
      </w:divsChild>
    </w:div>
    <w:div w:id="1548566791">
      <w:bodyDiv w:val="1"/>
      <w:marLeft w:val="0"/>
      <w:marRight w:val="0"/>
      <w:marTop w:val="0"/>
      <w:marBottom w:val="0"/>
      <w:divBdr>
        <w:top w:val="none" w:sz="0" w:space="0" w:color="auto"/>
        <w:left w:val="none" w:sz="0" w:space="0" w:color="auto"/>
        <w:bottom w:val="none" w:sz="0" w:space="0" w:color="auto"/>
        <w:right w:val="none" w:sz="0" w:space="0" w:color="auto"/>
      </w:divBdr>
    </w:div>
    <w:div w:id="1552764519">
      <w:bodyDiv w:val="1"/>
      <w:marLeft w:val="0"/>
      <w:marRight w:val="0"/>
      <w:marTop w:val="0"/>
      <w:marBottom w:val="0"/>
      <w:divBdr>
        <w:top w:val="none" w:sz="0" w:space="0" w:color="auto"/>
        <w:left w:val="none" w:sz="0" w:space="0" w:color="auto"/>
        <w:bottom w:val="none" w:sz="0" w:space="0" w:color="auto"/>
        <w:right w:val="none" w:sz="0" w:space="0" w:color="auto"/>
      </w:divBdr>
      <w:divsChild>
        <w:div w:id="1715081733">
          <w:marLeft w:val="-720"/>
          <w:marRight w:val="0"/>
          <w:marTop w:val="0"/>
          <w:marBottom w:val="0"/>
          <w:divBdr>
            <w:top w:val="none" w:sz="0" w:space="0" w:color="auto"/>
            <w:left w:val="none" w:sz="0" w:space="0" w:color="auto"/>
            <w:bottom w:val="none" w:sz="0" w:space="0" w:color="auto"/>
            <w:right w:val="none" w:sz="0" w:space="0" w:color="auto"/>
          </w:divBdr>
        </w:div>
      </w:divsChild>
    </w:div>
    <w:div w:id="1657763163">
      <w:bodyDiv w:val="1"/>
      <w:marLeft w:val="0"/>
      <w:marRight w:val="0"/>
      <w:marTop w:val="0"/>
      <w:marBottom w:val="0"/>
      <w:divBdr>
        <w:top w:val="none" w:sz="0" w:space="0" w:color="auto"/>
        <w:left w:val="none" w:sz="0" w:space="0" w:color="auto"/>
        <w:bottom w:val="none" w:sz="0" w:space="0" w:color="auto"/>
        <w:right w:val="none" w:sz="0" w:space="0" w:color="auto"/>
      </w:divBdr>
      <w:divsChild>
        <w:div w:id="1893689801">
          <w:marLeft w:val="-720"/>
          <w:marRight w:val="0"/>
          <w:marTop w:val="0"/>
          <w:marBottom w:val="0"/>
          <w:divBdr>
            <w:top w:val="none" w:sz="0" w:space="0" w:color="auto"/>
            <w:left w:val="none" w:sz="0" w:space="0" w:color="auto"/>
            <w:bottom w:val="none" w:sz="0" w:space="0" w:color="auto"/>
            <w:right w:val="none" w:sz="0" w:space="0" w:color="auto"/>
          </w:divBdr>
        </w:div>
      </w:divsChild>
    </w:div>
    <w:div w:id="1660187681">
      <w:bodyDiv w:val="1"/>
      <w:marLeft w:val="0"/>
      <w:marRight w:val="0"/>
      <w:marTop w:val="0"/>
      <w:marBottom w:val="0"/>
      <w:divBdr>
        <w:top w:val="none" w:sz="0" w:space="0" w:color="auto"/>
        <w:left w:val="none" w:sz="0" w:space="0" w:color="auto"/>
        <w:bottom w:val="none" w:sz="0" w:space="0" w:color="auto"/>
        <w:right w:val="none" w:sz="0" w:space="0" w:color="auto"/>
      </w:divBdr>
    </w:div>
    <w:div w:id="1662810627">
      <w:bodyDiv w:val="1"/>
      <w:marLeft w:val="0"/>
      <w:marRight w:val="0"/>
      <w:marTop w:val="0"/>
      <w:marBottom w:val="0"/>
      <w:divBdr>
        <w:top w:val="none" w:sz="0" w:space="0" w:color="auto"/>
        <w:left w:val="none" w:sz="0" w:space="0" w:color="auto"/>
        <w:bottom w:val="none" w:sz="0" w:space="0" w:color="auto"/>
        <w:right w:val="none" w:sz="0" w:space="0" w:color="auto"/>
      </w:divBdr>
    </w:div>
    <w:div w:id="1753041439">
      <w:bodyDiv w:val="1"/>
      <w:marLeft w:val="0"/>
      <w:marRight w:val="0"/>
      <w:marTop w:val="0"/>
      <w:marBottom w:val="0"/>
      <w:divBdr>
        <w:top w:val="none" w:sz="0" w:space="0" w:color="auto"/>
        <w:left w:val="none" w:sz="0" w:space="0" w:color="auto"/>
        <w:bottom w:val="none" w:sz="0" w:space="0" w:color="auto"/>
        <w:right w:val="none" w:sz="0" w:space="0" w:color="auto"/>
      </w:divBdr>
    </w:div>
    <w:div w:id="1800956053">
      <w:bodyDiv w:val="1"/>
      <w:marLeft w:val="0"/>
      <w:marRight w:val="0"/>
      <w:marTop w:val="0"/>
      <w:marBottom w:val="0"/>
      <w:divBdr>
        <w:top w:val="none" w:sz="0" w:space="0" w:color="auto"/>
        <w:left w:val="none" w:sz="0" w:space="0" w:color="auto"/>
        <w:bottom w:val="none" w:sz="0" w:space="0" w:color="auto"/>
        <w:right w:val="none" w:sz="0" w:space="0" w:color="auto"/>
      </w:divBdr>
      <w:divsChild>
        <w:div w:id="389811457">
          <w:marLeft w:val="-720"/>
          <w:marRight w:val="0"/>
          <w:marTop w:val="0"/>
          <w:marBottom w:val="0"/>
          <w:divBdr>
            <w:top w:val="none" w:sz="0" w:space="0" w:color="auto"/>
            <w:left w:val="none" w:sz="0" w:space="0" w:color="auto"/>
            <w:bottom w:val="none" w:sz="0" w:space="0" w:color="auto"/>
            <w:right w:val="none" w:sz="0" w:space="0" w:color="auto"/>
          </w:divBdr>
        </w:div>
      </w:divsChild>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sChild>
        <w:div w:id="1569069174">
          <w:marLeft w:val="-720"/>
          <w:marRight w:val="0"/>
          <w:marTop w:val="0"/>
          <w:marBottom w:val="0"/>
          <w:divBdr>
            <w:top w:val="none" w:sz="0" w:space="0" w:color="auto"/>
            <w:left w:val="none" w:sz="0" w:space="0" w:color="auto"/>
            <w:bottom w:val="none" w:sz="0" w:space="0" w:color="auto"/>
            <w:right w:val="none" w:sz="0" w:space="0" w:color="auto"/>
          </w:divBdr>
        </w:div>
      </w:divsChild>
    </w:div>
    <w:div w:id="2061246483">
      <w:bodyDiv w:val="1"/>
      <w:marLeft w:val="0"/>
      <w:marRight w:val="0"/>
      <w:marTop w:val="0"/>
      <w:marBottom w:val="0"/>
      <w:divBdr>
        <w:top w:val="none" w:sz="0" w:space="0" w:color="auto"/>
        <w:left w:val="none" w:sz="0" w:space="0" w:color="auto"/>
        <w:bottom w:val="none" w:sz="0" w:space="0" w:color="auto"/>
        <w:right w:val="none" w:sz="0" w:space="0" w:color="auto"/>
      </w:divBdr>
      <w:divsChild>
        <w:div w:id="497382731">
          <w:marLeft w:val="-720"/>
          <w:marRight w:val="0"/>
          <w:marTop w:val="0"/>
          <w:marBottom w:val="0"/>
          <w:divBdr>
            <w:top w:val="none" w:sz="0" w:space="0" w:color="auto"/>
            <w:left w:val="none" w:sz="0" w:space="0" w:color="auto"/>
            <w:bottom w:val="none" w:sz="0" w:space="0" w:color="auto"/>
            <w:right w:val="none" w:sz="0" w:space="0" w:color="auto"/>
          </w:divBdr>
        </w:div>
      </w:divsChild>
    </w:div>
    <w:div w:id="2091583445">
      <w:bodyDiv w:val="1"/>
      <w:marLeft w:val="0"/>
      <w:marRight w:val="0"/>
      <w:marTop w:val="0"/>
      <w:marBottom w:val="0"/>
      <w:divBdr>
        <w:top w:val="none" w:sz="0" w:space="0" w:color="auto"/>
        <w:left w:val="none" w:sz="0" w:space="0" w:color="auto"/>
        <w:bottom w:val="none" w:sz="0" w:space="0" w:color="auto"/>
        <w:right w:val="none" w:sz="0" w:space="0" w:color="auto"/>
      </w:divBdr>
      <w:divsChild>
        <w:div w:id="1757481521">
          <w:marLeft w:val="-720"/>
          <w:marRight w:val="0"/>
          <w:marTop w:val="0"/>
          <w:marBottom w:val="0"/>
          <w:divBdr>
            <w:top w:val="none" w:sz="0" w:space="0" w:color="auto"/>
            <w:left w:val="none" w:sz="0" w:space="0" w:color="auto"/>
            <w:bottom w:val="none" w:sz="0" w:space="0" w:color="auto"/>
            <w:right w:val="none" w:sz="0" w:space="0" w:color="auto"/>
          </w:divBdr>
        </w:div>
      </w:divsChild>
    </w:div>
    <w:div w:id="211629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teams/environment-climate-change-and-health/air-quality-energy-and-health/sectoral-interventions/household-air-pollution/health-risk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ECBCD-1509-4432-B8E4-99D53A6E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16</Pages>
  <Words>6821</Words>
  <Characters>38880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23</cp:revision>
  <dcterms:created xsi:type="dcterms:W3CDTF">2025-10-12T16:57:00Z</dcterms:created>
  <dcterms:modified xsi:type="dcterms:W3CDTF">2025-10-14T09:50:00Z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1fca4a37-7a9b-4272-8f71-fe675c49524b</vt:lpwstr>
  </property>
</Properties>
</file>