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4EBC2" w14:textId="765F6D30" w:rsidR="00743E98" w:rsidRPr="005A1FE5" w:rsidRDefault="005A1FE5" w:rsidP="005A1FE5">
      <w:pPr>
        <w:spacing w:line="360" w:lineRule="auto"/>
        <w:rPr>
          <w:rFonts w:ascii="Times New Roman" w:hAnsi="Times New Roman" w:cs="Times New Roman"/>
          <w:b/>
          <w:sz w:val="24"/>
          <w:u w:val="single"/>
        </w:rPr>
      </w:pPr>
      <w:bookmarkStart w:id="0" w:name="_GoBack"/>
      <w:r w:rsidRPr="005A1FE5">
        <w:rPr>
          <w:rFonts w:ascii="Times New Roman" w:hAnsi="Times New Roman" w:cs="Times New Roman"/>
          <w:b/>
          <w:sz w:val="24"/>
          <w:u w:val="single"/>
        </w:rPr>
        <w:t>Original Research Article</w:t>
      </w:r>
    </w:p>
    <w:p w14:paraId="12956266" w14:textId="77777777" w:rsidR="00743E98" w:rsidRDefault="00743E98" w:rsidP="00743E98">
      <w:pPr>
        <w:spacing w:line="360" w:lineRule="auto"/>
        <w:jc w:val="center"/>
        <w:rPr>
          <w:rFonts w:ascii="Times New Roman" w:hAnsi="Times New Roman" w:cs="Times New Roman"/>
          <w:b/>
          <w:sz w:val="24"/>
        </w:rPr>
      </w:pPr>
      <w:r w:rsidRPr="00743E98">
        <w:rPr>
          <w:rFonts w:ascii="Times New Roman" w:hAnsi="Times New Roman" w:cs="Times New Roman"/>
          <w:b/>
          <w:sz w:val="24"/>
        </w:rPr>
        <w:t xml:space="preserve">Taxation Challenges Facing Small and Medium Scale Enterprises (SMEs): A Case Study of </w:t>
      </w:r>
      <w:proofErr w:type="spellStart"/>
      <w:r w:rsidRPr="00743E98">
        <w:rPr>
          <w:rFonts w:ascii="Times New Roman" w:hAnsi="Times New Roman" w:cs="Times New Roman"/>
          <w:b/>
          <w:sz w:val="24"/>
        </w:rPr>
        <w:t>Mafinga</w:t>
      </w:r>
      <w:proofErr w:type="spellEnd"/>
      <w:r w:rsidRPr="00743E98">
        <w:rPr>
          <w:rFonts w:ascii="Times New Roman" w:hAnsi="Times New Roman" w:cs="Times New Roman"/>
          <w:b/>
          <w:sz w:val="24"/>
        </w:rPr>
        <w:t xml:space="preserve"> Town Council, Tanzania</w:t>
      </w:r>
    </w:p>
    <w:p w14:paraId="4AAB84BD" w14:textId="58040EF2" w:rsidR="00743E98" w:rsidRDefault="00743E98" w:rsidP="00743E98">
      <w:pPr>
        <w:rPr>
          <w:rFonts w:ascii="Times New Roman" w:hAnsi="Times New Roman" w:cs="Times New Roman"/>
          <w:b/>
          <w:sz w:val="24"/>
        </w:rPr>
        <w:sectPr w:rsidR="00743E98" w:rsidSect="00FD329A">
          <w:footerReference w:type="default" r:id="rId7"/>
          <w:type w:val="continuous"/>
          <w:pgSz w:w="11907" w:h="16839" w:code="9"/>
          <w:pgMar w:top="1440" w:right="1440" w:bottom="1440" w:left="1440" w:header="720" w:footer="720" w:gutter="0"/>
          <w:cols w:space="720"/>
          <w:titlePg/>
          <w:docGrid w:linePitch="360"/>
        </w:sectPr>
      </w:pPr>
    </w:p>
    <w:p w14:paraId="31101988" w14:textId="77777777" w:rsidR="00743E98" w:rsidRDefault="00743E98" w:rsidP="00743E98">
      <w:pPr>
        <w:rPr>
          <w:rFonts w:ascii="Times New Roman" w:hAnsi="Times New Roman" w:cs="Times New Roman"/>
          <w:b/>
          <w:sz w:val="24"/>
        </w:rPr>
      </w:pPr>
      <w:r w:rsidRPr="00A40FEC">
        <w:rPr>
          <w:rFonts w:ascii="Times New Roman" w:hAnsi="Times New Roman" w:cs="Times New Roman"/>
          <w:b/>
          <w:sz w:val="24"/>
        </w:rPr>
        <w:t>ABSTRACT</w:t>
      </w:r>
    </w:p>
    <w:p w14:paraId="51B04C33" w14:textId="77777777" w:rsidR="00743E98" w:rsidRDefault="0004290E" w:rsidP="0004290E">
      <w:pPr>
        <w:spacing w:line="360" w:lineRule="auto"/>
        <w:jc w:val="both"/>
        <w:rPr>
          <w:rFonts w:ascii="Times New Roman" w:hAnsi="Times New Roman" w:cs="Times New Roman"/>
          <w:sz w:val="24"/>
        </w:rPr>
      </w:pPr>
      <w:r w:rsidRPr="0004290E">
        <w:rPr>
          <w:rFonts w:ascii="Times New Roman" w:hAnsi="Times New Roman" w:cs="Times New Roman"/>
          <w:sz w:val="24"/>
        </w:rPr>
        <w:t xml:space="preserve">Taxation is a critical tool for domestic revenue mobilization, particularly in developing countries where funding for public services, infrastructure, and development initiatives is essential. Small and Medium Enterprises (SMEs) play a vital role in economic development, contributing significantly to job creation and GDP growth. However, SMEs often exhibit low tax compliance due to high informality and limited awareness of tax obligations. This study aimed to assess the taxation challenges facing SMEs in </w:t>
      </w:r>
      <w:proofErr w:type="spellStart"/>
      <w:r w:rsidRPr="0004290E">
        <w:rPr>
          <w:rFonts w:ascii="Times New Roman" w:hAnsi="Times New Roman" w:cs="Times New Roman"/>
          <w:sz w:val="24"/>
        </w:rPr>
        <w:t>Mafinga</w:t>
      </w:r>
      <w:proofErr w:type="spellEnd"/>
      <w:r w:rsidRPr="0004290E">
        <w:rPr>
          <w:rFonts w:ascii="Times New Roman" w:hAnsi="Times New Roman" w:cs="Times New Roman"/>
          <w:sz w:val="24"/>
        </w:rPr>
        <w:t xml:space="preserve"> Town Council, Tanzania, with a specific focus on the effectiveness of tax collection enforcement mechanisms. While much research has examined tax compliance in larger urban centers, there is limited empirical evidence on the challenges faced by SMEs in smaller councils, highlighting a </w:t>
      </w:r>
      <w:r>
        <w:rPr>
          <w:rFonts w:ascii="Times New Roman" w:hAnsi="Times New Roman" w:cs="Times New Roman"/>
          <w:sz w:val="24"/>
        </w:rPr>
        <w:t xml:space="preserve">critical gap in the literature. </w:t>
      </w:r>
      <w:r w:rsidRPr="0004290E">
        <w:rPr>
          <w:rFonts w:ascii="Times New Roman" w:hAnsi="Times New Roman" w:cs="Times New Roman"/>
          <w:sz w:val="24"/>
        </w:rPr>
        <w:t>A mixed-methods approach was employed, combining quantitative surveys and qualitative interviews. The quantitative component involved structured questionnaires administered to 101 SME owners and managers, while qualitative insights were gathered through semi-structured interviews with local tax officials. Quantitative data were analyzed using the Statistical Package for Social Sciences (SPSS), and qualitative data were subjected to thematic analysis, providing a comprehensive understanding of</w:t>
      </w:r>
      <w:r>
        <w:rPr>
          <w:rFonts w:ascii="Times New Roman" w:hAnsi="Times New Roman" w:cs="Times New Roman"/>
          <w:sz w:val="24"/>
        </w:rPr>
        <w:t xml:space="preserve"> SME tax compliance challenges. </w:t>
      </w:r>
      <w:r w:rsidRPr="0004290E">
        <w:rPr>
          <w:rFonts w:ascii="Times New Roman" w:hAnsi="Times New Roman" w:cs="Times New Roman"/>
          <w:sz w:val="24"/>
        </w:rPr>
        <w:t>Findings indicate that nearly half of SMEs perceive tax officers as effective, though a substantial proportion remains neutral, reflecting inconsistencies in service delivery and communication. Most SMEs view the tax collection system as transparent; however, over 52% report experiences of corruption, undermining trust in tax authorities and negatively affecting compliance. The study concludes that the perceived performance of tax officers, transparency of the tax system, and prevalence of corruption signific</w:t>
      </w:r>
      <w:r>
        <w:rPr>
          <w:rFonts w:ascii="Times New Roman" w:hAnsi="Times New Roman" w:cs="Times New Roman"/>
          <w:sz w:val="24"/>
        </w:rPr>
        <w:t xml:space="preserve">antly influence SME compliance. </w:t>
      </w:r>
      <w:r w:rsidRPr="0004290E">
        <w:rPr>
          <w:rFonts w:ascii="Times New Roman" w:hAnsi="Times New Roman" w:cs="Times New Roman"/>
          <w:sz w:val="24"/>
        </w:rPr>
        <w:t xml:space="preserve">To enhance tax compliance, the study recommends comprehensive training programs for tax officers to improve engagement and service delivery, strengthening communication about tax procedures, and ensuring transparency in revenue allocation. Implementing robust anti-corruption measures, such as independent audits and anonymous reporting channels, alongside support programs that educate SMEs on record-keeping, financial literacy, and tax obligations, is essential. </w:t>
      </w:r>
    </w:p>
    <w:p w14:paraId="7368198A" w14:textId="77777777" w:rsidR="00743E98" w:rsidRPr="00562A55" w:rsidRDefault="00743E98" w:rsidP="00562A55">
      <w:pPr>
        <w:spacing w:line="360" w:lineRule="auto"/>
        <w:jc w:val="both"/>
        <w:rPr>
          <w:rFonts w:ascii="Times New Roman" w:hAnsi="Times New Roman" w:cs="Times New Roman"/>
          <w:i/>
          <w:sz w:val="24"/>
        </w:rPr>
      </w:pPr>
      <w:r w:rsidRPr="0002761D">
        <w:rPr>
          <w:rFonts w:ascii="Times New Roman" w:hAnsi="Times New Roman" w:cs="Times New Roman"/>
          <w:i/>
          <w:sz w:val="24"/>
        </w:rPr>
        <w:lastRenderedPageBreak/>
        <w:t>Keywords:</w:t>
      </w:r>
      <w:r>
        <w:rPr>
          <w:rFonts w:ascii="Times New Roman" w:hAnsi="Times New Roman" w:cs="Times New Roman"/>
          <w:i/>
          <w:sz w:val="24"/>
        </w:rPr>
        <w:t xml:space="preserve"> </w:t>
      </w:r>
      <w:r w:rsidR="003701B1" w:rsidRPr="00562A55">
        <w:rPr>
          <w:rFonts w:ascii="Times New Roman" w:hAnsi="Times New Roman" w:cs="Times New Roman"/>
          <w:sz w:val="24"/>
        </w:rPr>
        <w:t xml:space="preserve">Small and Medium Scale Enterprises (SMEs); </w:t>
      </w:r>
      <w:r w:rsidR="0063115A" w:rsidRPr="00562A55">
        <w:rPr>
          <w:rFonts w:ascii="Times New Roman" w:hAnsi="Times New Roman" w:cs="Times New Roman"/>
          <w:sz w:val="24"/>
        </w:rPr>
        <w:t xml:space="preserve">Tax Collection; Enforcement mechanisms; </w:t>
      </w:r>
      <w:r w:rsidR="00562A55" w:rsidRPr="00562A55">
        <w:rPr>
          <w:rFonts w:ascii="Times New Roman" w:hAnsi="Times New Roman" w:cs="Times New Roman"/>
          <w:sz w:val="24"/>
        </w:rPr>
        <w:t>Audit; Penalties</w:t>
      </w:r>
    </w:p>
    <w:p w14:paraId="7BA8BB3D" w14:textId="77777777" w:rsidR="00231F8D" w:rsidRPr="003701B1" w:rsidRDefault="00231F8D">
      <w:pPr>
        <w:rPr>
          <w:rFonts w:ascii="Times New Roman" w:hAnsi="Times New Roman" w:cs="Times New Roman"/>
          <w:sz w:val="24"/>
        </w:rPr>
      </w:pPr>
    </w:p>
    <w:p w14:paraId="132419F6" w14:textId="77777777" w:rsidR="00562A55" w:rsidRDefault="00FD329A">
      <w:pPr>
        <w:sectPr w:rsidR="00562A55" w:rsidSect="00562A55">
          <w:type w:val="continuous"/>
          <w:pgSz w:w="11907" w:h="16839" w:code="9"/>
          <w:pgMar w:top="1440" w:right="1440" w:bottom="1440" w:left="1440" w:header="720" w:footer="720" w:gutter="0"/>
          <w:pgNumType w:fmt="lowerRoman" w:start="1"/>
          <w:cols w:space="720"/>
          <w:docGrid w:linePitch="360"/>
        </w:sectPr>
      </w:pPr>
      <w:r>
        <w:br w:type="page"/>
      </w:r>
    </w:p>
    <w:p w14:paraId="6B049D26" w14:textId="77777777" w:rsidR="00FD329A" w:rsidRPr="00FD329A" w:rsidRDefault="00FD329A" w:rsidP="00FD329A">
      <w:pPr>
        <w:spacing w:line="360" w:lineRule="auto"/>
        <w:jc w:val="both"/>
        <w:rPr>
          <w:rFonts w:ascii="Times New Roman" w:hAnsi="Times New Roman" w:cs="Times New Roman"/>
          <w:b/>
          <w:sz w:val="24"/>
        </w:rPr>
      </w:pPr>
      <w:r w:rsidRPr="00FD329A">
        <w:rPr>
          <w:rFonts w:ascii="Times New Roman" w:hAnsi="Times New Roman" w:cs="Times New Roman"/>
          <w:b/>
          <w:sz w:val="24"/>
        </w:rPr>
        <w:lastRenderedPageBreak/>
        <w:t>1. INTRODUCTION</w:t>
      </w:r>
    </w:p>
    <w:p w14:paraId="2B0DB025"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Taxation is one of the most important instruments of domestic revenue mobilization for financing public services, infrastructure, and development programs. For developing countries, broadening the tax base has become a central policy agenda, particularly in the face of increasing budget deficits and declining donor support (World Bank, 2020). Globally, Small and Medium Enterprises (SMEs) constitute more than 90% of all businesses and contribute significantly to job creation, innovation, and GDP growth (OECD, 2015). However, despite their critical role in economic development, SMEs are often characterized by high levels of informality and low levels of tax compliance (Torgler, 2012).</w:t>
      </w:r>
    </w:p>
    <w:p w14:paraId="472B404D"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In developed economies, tax collection systems are highly automated, compliance costs are relatively low, and enforcement mechanisms are effective. This has enabled SMEs in countries such as the UK, Australia, and Germany to contribute significantly to tax revenues (OECD, 2015; Evans, 2016). Conversely, in developing countries, particularly across Sub-Saharan Africa, SMEs remain largely informal, making it difficult for tax authorities to identify, assess, and collect appropriate taxes. The African Development Bank (2019) reports that nearly 60% of economic activities in Africa occur in the informal sector, with SMEs contributing substantially, yet their tax contribution remains disproportionately low.</w:t>
      </w:r>
    </w:p>
    <w:p w14:paraId="614EA10A"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In Tanzania, SMEs are the backbone of the economy, accounting for more than 70% of businesses and employing over 5 million people (URT, 2021). Despite their importance, their contribution to tax revenue is minimal compared to their size and role in the economy. This is largely due to challenges such as lack of awareness of tax obligations, complex procedures, high tax rates, weak record-keeping, corruption, and poor relations with tax authorities (</w:t>
      </w:r>
      <w:proofErr w:type="spellStart"/>
      <w:r w:rsidRPr="00FD329A">
        <w:rPr>
          <w:rFonts w:ascii="Times New Roman" w:hAnsi="Times New Roman" w:cs="Times New Roman"/>
          <w:sz w:val="24"/>
        </w:rPr>
        <w:t>Kayaga</w:t>
      </w:r>
      <w:proofErr w:type="spellEnd"/>
      <w:r w:rsidRPr="00FD329A">
        <w:rPr>
          <w:rFonts w:ascii="Times New Roman" w:hAnsi="Times New Roman" w:cs="Times New Roman"/>
          <w:sz w:val="24"/>
        </w:rPr>
        <w:t xml:space="preserve">, 2020; </w:t>
      </w:r>
      <w:proofErr w:type="spellStart"/>
      <w:r w:rsidRPr="00FD329A">
        <w:rPr>
          <w:rFonts w:ascii="Times New Roman" w:hAnsi="Times New Roman" w:cs="Times New Roman"/>
          <w:sz w:val="24"/>
        </w:rPr>
        <w:t>Mnenwa</w:t>
      </w:r>
      <w:proofErr w:type="spellEnd"/>
      <w:r w:rsidRPr="00FD329A">
        <w:rPr>
          <w:rFonts w:ascii="Times New Roman" w:hAnsi="Times New Roman" w:cs="Times New Roman"/>
          <w:sz w:val="24"/>
        </w:rPr>
        <w:t xml:space="preserve"> &amp; </w:t>
      </w:r>
      <w:proofErr w:type="spellStart"/>
      <w:r w:rsidRPr="00FD329A">
        <w:rPr>
          <w:rFonts w:ascii="Times New Roman" w:hAnsi="Times New Roman" w:cs="Times New Roman"/>
          <w:sz w:val="24"/>
        </w:rPr>
        <w:t>Maliti</w:t>
      </w:r>
      <w:proofErr w:type="spellEnd"/>
      <w:r w:rsidRPr="00FD329A">
        <w:rPr>
          <w:rFonts w:ascii="Times New Roman" w:hAnsi="Times New Roman" w:cs="Times New Roman"/>
          <w:sz w:val="24"/>
        </w:rPr>
        <w:t xml:space="preserve">, 2017). To address these challenges, the government, through the Tanzania Revenue Authority (TRA) and local government councils, has introduced several measures including simplified tax regimes, the use of digital platforms, and taxpayer education campaigns. However, compliance levels among SMEs remain low, raising questions about the effectiveness of current tax collection mechanisms (IMF, 2020; </w:t>
      </w:r>
      <w:proofErr w:type="spellStart"/>
      <w:r w:rsidRPr="00FD329A">
        <w:rPr>
          <w:rFonts w:ascii="Times New Roman" w:hAnsi="Times New Roman" w:cs="Times New Roman"/>
          <w:sz w:val="24"/>
        </w:rPr>
        <w:t>Uwitonze</w:t>
      </w:r>
      <w:proofErr w:type="spellEnd"/>
      <w:r w:rsidRPr="00FD329A">
        <w:rPr>
          <w:rFonts w:ascii="Times New Roman" w:hAnsi="Times New Roman" w:cs="Times New Roman"/>
          <w:sz w:val="24"/>
        </w:rPr>
        <w:t xml:space="preserve"> &amp; </w:t>
      </w:r>
      <w:proofErr w:type="spellStart"/>
      <w:r w:rsidRPr="00FD329A">
        <w:rPr>
          <w:rFonts w:ascii="Times New Roman" w:hAnsi="Times New Roman" w:cs="Times New Roman"/>
          <w:sz w:val="24"/>
        </w:rPr>
        <w:t>Ndayambaje</w:t>
      </w:r>
      <w:proofErr w:type="spellEnd"/>
      <w:r w:rsidRPr="00FD329A">
        <w:rPr>
          <w:rFonts w:ascii="Times New Roman" w:hAnsi="Times New Roman" w:cs="Times New Roman"/>
          <w:sz w:val="24"/>
        </w:rPr>
        <w:t>, 2021).</w:t>
      </w:r>
    </w:p>
    <w:p w14:paraId="2084D906" w14:textId="77777777" w:rsidR="00FD329A" w:rsidRPr="00FD329A" w:rsidRDefault="00FD329A" w:rsidP="00FD329A">
      <w:pPr>
        <w:spacing w:line="360" w:lineRule="auto"/>
        <w:jc w:val="both"/>
        <w:rPr>
          <w:rFonts w:ascii="Times New Roman" w:hAnsi="Times New Roman" w:cs="Times New Roman"/>
          <w:sz w:val="24"/>
        </w:rPr>
      </w:pPr>
      <w:proofErr w:type="spellStart"/>
      <w:r w:rsidRPr="00FD329A">
        <w:rPr>
          <w:rFonts w:ascii="Times New Roman" w:hAnsi="Times New Roman" w:cs="Times New Roman"/>
          <w:sz w:val="24"/>
        </w:rPr>
        <w:t>Mafinga</w:t>
      </w:r>
      <w:proofErr w:type="spellEnd"/>
      <w:r w:rsidRPr="00FD329A">
        <w:rPr>
          <w:rFonts w:ascii="Times New Roman" w:hAnsi="Times New Roman" w:cs="Times New Roman"/>
          <w:sz w:val="24"/>
        </w:rPr>
        <w:t xml:space="preserve"> Town Council, located in Iringa Region, represents a typical setting where SMEs dominate trade, transport, manufacturing, and service sectors. Despite TRA and council efforts to enhance tax collection, reports show that revenue collected falls short of projections. Understanding the specific challenges that SMEs face in </w:t>
      </w:r>
      <w:proofErr w:type="spellStart"/>
      <w:r w:rsidRPr="00FD329A">
        <w:rPr>
          <w:rFonts w:ascii="Times New Roman" w:hAnsi="Times New Roman" w:cs="Times New Roman"/>
          <w:sz w:val="24"/>
        </w:rPr>
        <w:t>Mafinga</w:t>
      </w:r>
      <w:proofErr w:type="spellEnd"/>
      <w:r w:rsidRPr="00FD329A">
        <w:rPr>
          <w:rFonts w:ascii="Times New Roman" w:hAnsi="Times New Roman" w:cs="Times New Roman"/>
          <w:sz w:val="24"/>
        </w:rPr>
        <w:t xml:space="preserve"> is crucial to designing </w:t>
      </w:r>
      <w:r w:rsidRPr="00FD329A">
        <w:rPr>
          <w:rFonts w:ascii="Times New Roman" w:hAnsi="Times New Roman" w:cs="Times New Roman"/>
          <w:sz w:val="24"/>
        </w:rPr>
        <w:lastRenderedPageBreak/>
        <w:t>strategies that can improve compliance, enhance revenue mobilization, and support local development (PO‑RALG, 2021).</w:t>
      </w:r>
    </w:p>
    <w:p w14:paraId="23866D3C"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Small and Medium Enterprises (SMEs) are pivotal to global economic development, contributing significantly to employment, innovation, and GDP. However, their tax compliance remains a complex issue influenced by various factors. A study by </w:t>
      </w:r>
      <w:proofErr w:type="spellStart"/>
      <w:r w:rsidRPr="00FD329A">
        <w:rPr>
          <w:rFonts w:ascii="Times New Roman" w:hAnsi="Times New Roman" w:cs="Times New Roman"/>
          <w:sz w:val="24"/>
        </w:rPr>
        <w:t>Magasha</w:t>
      </w:r>
      <w:proofErr w:type="spellEnd"/>
      <w:r w:rsidRPr="00FD329A">
        <w:rPr>
          <w:rFonts w:ascii="Times New Roman" w:hAnsi="Times New Roman" w:cs="Times New Roman"/>
          <w:sz w:val="24"/>
        </w:rPr>
        <w:t xml:space="preserve"> et al. (2025) in </w:t>
      </w:r>
      <w:proofErr w:type="spellStart"/>
      <w:r w:rsidRPr="00FD329A">
        <w:rPr>
          <w:rFonts w:ascii="Times New Roman" w:hAnsi="Times New Roman" w:cs="Times New Roman"/>
          <w:sz w:val="24"/>
        </w:rPr>
        <w:t>Shinyanga</w:t>
      </w:r>
      <w:proofErr w:type="spellEnd"/>
      <w:r w:rsidRPr="00FD329A">
        <w:rPr>
          <w:rFonts w:ascii="Times New Roman" w:hAnsi="Times New Roman" w:cs="Times New Roman"/>
          <w:sz w:val="24"/>
        </w:rPr>
        <w:t xml:space="preserve"> Municipality, Tanzania, identified internal factors such as tax knowledge, business size, and record-keeping practices, alongside external factors like tax incentives, compliance audits, and corruption, as significant determinants of tax compliance among SMEs. In Vietnam, the application of international standards certification was found to boost tax compliance among private SMEs, highlighting the role of standardization in enhancing compliance.  </w:t>
      </w:r>
    </w:p>
    <w:p w14:paraId="77195728"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A study by </w:t>
      </w:r>
      <w:proofErr w:type="spellStart"/>
      <w:r w:rsidRPr="00FD329A">
        <w:rPr>
          <w:rFonts w:ascii="Times New Roman" w:hAnsi="Times New Roman" w:cs="Times New Roman"/>
          <w:sz w:val="24"/>
        </w:rPr>
        <w:t>Magasha</w:t>
      </w:r>
      <w:proofErr w:type="spellEnd"/>
      <w:r w:rsidRPr="00FD329A">
        <w:rPr>
          <w:rFonts w:ascii="Times New Roman" w:hAnsi="Times New Roman" w:cs="Times New Roman"/>
          <w:sz w:val="24"/>
        </w:rPr>
        <w:t xml:space="preserve"> et al. (2025) in </w:t>
      </w:r>
      <w:proofErr w:type="spellStart"/>
      <w:r w:rsidRPr="00FD329A">
        <w:rPr>
          <w:rFonts w:ascii="Times New Roman" w:hAnsi="Times New Roman" w:cs="Times New Roman"/>
          <w:sz w:val="24"/>
        </w:rPr>
        <w:t>Shinyanga</w:t>
      </w:r>
      <w:proofErr w:type="spellEnd"/>
      <w:r w:rsidRPr="00FD329A">
        <w:rPr>
          <w:rFonts w:ascii="Times New Roman" w:hAnsi="Times New Roman" w:cs="Times New Roman"/>
          <w:sz w:val="24"/>
        </w:rPr>
        <w:t xml:space="preserve"> Municipality, Tanzania, identified internal factors such as tax knowledge, business size, and record-keeping practices, alongside external factors like tax incentives, compliance audits, and corruption, as significant determinants of tax compliance among SMEs.  </w:t>
      </w:r>
    </w:p>
    <w:p w14:paraId="22319ADC"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In Africa, SMEs are crucial for economic growth but often face challenges in tax compliance due to factors like limited resources and understanding.  A bibliometric study analyzing 783 Scopus documents explored the relationship between taxes and SMEs, examining aspects such as compliance, the impact of tax burdens, and the effectiveness of incentives.  In Ghana, a study found that SMEs incurring large compliance costs were less inclined to act in a non-compliant manner, indicating that higher compliance costs may deter non-compliance.  In Nigeria, a study revealed that complex tax system structures and lack of adequate punitive measures were significant determinants of tax non-compliance among SMEs.  </w:t>
      </w:r>
    </w:p>
    <w:p w14:paraId="640EB12D"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In East Africa, SMEs face unique challenges in tax compliance.  In Uganda, a study in </w:t>
      </w:r>
      <w:proofErr w:type="spellStart"/>
      <w:r w:rsidRPr="00FD329A">
        <w:rPr>
          <w:rFonts w:ascii="Times New Roman" w:hAnsi="Times New Roman" w:cs="Times New Roman"/>
          <w:sz w:val="24"/>
        </w:rPr>
        <w:t>Kabale</w:t>
      </w:r>
      <w:proofErr w:type="spellEnd"/>
      <w:r w:rsidRPr="00FD329A">
        <w:rPr>
          <w:rFonts w:ascii="Times New Roman" w:hAnsi="Times New Roman" w:cs="Times New Roman"/>
          <w:sz w:val="24"/>
        </w:rPr>
        <w:t xml:space="preserve"> District examined the effect of tax compliance on SMEs' financial performance, access to government support programs, and overall business growth and sustainability.  In Kenya, a study assessed the impact of tax morale on tax compliance among SMEs in Nairobi County, indicating that tax morale significantly influences compliance behavior.  In Uganda, a study investigated the effect of tax policy on the growth of SMEs, focusing on tax rates, tax complexity, and tax compliance, and found that these factors significantly impact SME growth.  </w:t>
      </w:r>
    </w:p>
    <w:p w14:paraId="22B00196"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Tanzania is heavily relying on taxes revenue collection, for promoting socio-economic development. Therefore, the government has tried hard to establish an efficient tax </w:t>
      </w:r>
      <w:r w:rsidRPr="00FD329A">
        <w:rPr>
          <w:rFonts w:ascii="Times New Roman" w:hAnsi="Times New Roman" w:cs="Times New Roman"/>
          <w:sz w:val="24"/>
        </w:rPr>
        <w:lastRenderedPageBreak/>
        <w:t>administration system that aims to collect all the necessary taxes to meet development needs of the nation.</w:t>
      </w:r>
    </w:p>
    <w:p w14:paraId="5539A318"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One category, which has a great potential to increase domestic revenue mobilization that can reduce huge budget deficits, is the small and medium taxpayers. A large number of the country’s active </w:t>
      </w:r>
      <w:proofErr w:type="spellStart"/>
      <w:r w:rsidRPr="00FD329A">
        <w:rPr>
          <w:rFonts w:ascii="Times New Roman" w:hAnsi="Times New Roman" w:cs="Times New Roman"/>
          <w:sz w:val="24"/>
        </w:rPr>
        <w:t>labour</w:t>
      </w:r>
      <w:proofErr w:type="spellEnd"/>
      <w:r w:rsidRPr="00FD329A">
        <w:rPr>
          <w:rFonts w:ascii="Times New Roman" w:hAnsi="Times New Roman" w:cs="Times New Roman"/>
          <w:sz w:val="24"/>
        </w:rPr>
        <w:t xml:space="preserve"> force is employed in this sector and it has a potential to generate significant amount of taxable income. The estimated size of the small and medium taxpayers indicates presumption that this sector makes significant contribution to the Gross Domestic Product (GDP), they account for approximately 27–35% of the country’s GDP and so the sector could equally make a major contribution to the tax revenue (Tanzaniainvestment.com, 2024).</w:t>
      </w:r>
    </w:p>
    <w:p w14:paraId="1F32B420"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According to International Labor Organization (2018), the small and medium taxpayers are regarded as a group of production units which form part of the household enterprises. These are not constituted as separate legal entities independent of the household or household members that own them. Always they do not have reliable accounts which would permit a clear income demarcation between production activities of the enterprises and other activities of their owners, or the identification of any flows of income and capital between the enterprises and owners.</w:t>
      </w:r>
    </w:p>
    <w:p w14:paraId="7734F262"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 In the view of valuing this sector in Tanzania, the government since 1990’s has made significant progresses in the formulation, implementation and performances of socio-economic development. These efforts intend to empower small and medium taxpayers in managing and operating social economic activities as one of the ways to generate more incomes. This is in line with Fjeldstad et al, (Odd-Helge Fjeldstad, Merima Ali, and Lucas Katera, 2019) who assert that citizens’ voluntary tax compliance changes significantly when service provision are improved by the state, and more cordial methods of tax collection are introduced. However, tax revenue in Tanzania from small and medium taxpayers is still very small compared to the existing potentials. The tax evasion is huge, deliberate and systematic due to various reasons. These include lack of knowledge, heavy (URT-2018) cost of compliances, difficulty in identification and registration, poor record keeping, non-filling of important tax information and rampant corruption practices (Mwaniki, L., &amp; Njoroge, P. 2017). Although the majority of enterprises exist in this sector of the economy, they have minor estimated contribution to total revenue collection. Statistical evidence indicates that over the past fifteen years the contribution of small and medium taxpayers to the total revenue remained very low. According to the </w:t>
      </w:r>
      <w:r w:rsidRPr="00FD329A">
        <w:rPr>
          <w:rFonts w:ascii="Times New Roman" w:hAnsi="Times New Roman" w:cs="Times New Roman"/>
          <w:sz w:val="24"/>
        </w:rPr>
        <w:lastRenderedPageBreak/>
        <w:t>Tanzania Revenue Authority (TRA) Corporate Plan 2017/18 – 2021/22 taxpayers’ revenue distribution amongst Tanzanian enterprises is as follows:</w:t>
      </w:r>
    </w:p>
    <w:p w14:paraId="454393BC"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Large enterprises represent below 5% of all potential taxpayers but contribute more than 70% to total tax revenue collections. </w:t>
      </w:r>
      <w:proofErr w:type="gramStart"/>
      <w:r w:rsidRPr="00FD329A">
        <w:rPr>
          <w:rFonts w:ascii="Times New Roman" w:hAnsi="Times New Roman" w:cs="Times New Roman"/>
          <w:sz w:val="24"/>
        </w:rPr>
        <w:t>Also</w:t>
      </w:r>
      <w:proofErr w:type="gramEnd"/>
      <w:r w:rsidRPr="00FD329A">
        <w:rPr>
          <w:rFonts w:ascii="Times New Roman" w:hAnsi="Times New Roman" w:cs="Times New Roman"/>
          <w:sz w:val="24"/>
        </w:rPr>
        <w:t xml:space="preserve"> Medium enterprises represent about 5% to 10% of all potential taxpayers but contribute     between 10% and 25% to total tax revenue collections. They account for approximately 27–35% of the country's GDP Micro and small enterprises represent about 70% to 90% of all potential taxpayers but only contribute between 0% and 10% to total tax revenue collections.</w:t>
      </w:r>
    </w:p>
    <w:p w14:paraId="4C877022"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Based on this evidence, it is obvious that this sector provides diverse sources of income, which, if taxed properly, could have increased the governments’ internally generated revenue. The size of the small and medium taxpayers is an obstacle to tax collection efforts; therefore, the greater part of the real income from this sector cannot be satisfactorily assessed. As a result, majority of people engaged in the sector have been the worst income tax evaders. The evasion takes three forms, namely non-declaration of income, under declaration and inflation of deductions from income (Njoroge, P., &amp; Kamau, R. 2018). </w:t>
      </w:r>
    </w:p>
    <w:p w14:paraId="02E5A438" w14:textId="77777777" w:rsid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According to the Income Tax Act of United Republic of Tanzania through finance act (2019) there are four procedural obligations to be followed in order to achieve tax collection from any business enterprise. These are registration, timely filling requisite taxation information, reporting of accurate information and payment of tax on time (WTO, 2024). Failure to meet any of these obligations may be considered non-compliance, which leads to poor income tax collection. The literature suggests the best ways of practicing voluntary tax compliance and hence more tax collection in the small and medium taxpayers. It is due to this concern that western economies have high level of compliance and exhibits significant understanding of tax collection effort in this sector.</w:t>
      </w:r>
    </w:p>
    <w:p w14:paraId="3ED99FFB" w14:textId="77777777" w:rsidR="009E62F5" w:rsidRPr="009E62F5" w:rsidRDefault="009E62F5" w:rsidP="009E62F5">
      <w:pPr>
        <w:spacing w:line="360" w:lineRule="auto"/>
        <w:jc w:val="both"/>
        <w:rPr>
          <w:rFonts w:ascii="Times New Roman" w:hAnsi="Times New Roman" w:cs="Times New Roman"/>
          <w:b/>
          <w:sz w:val="24"/>
        </w:rPr>
      </w:pPr>
      <w:r w:rsidRPr="009E62F5">
        <w:rPr>
          <w:rFonts w:ascii="Times New Roman" w:hAnsi="Times New Roman" w:cs="Times New Roman"/>
          <w:b/>
          <w:sz w:val="24"/>
        </w:rPr>
        <w:t>1.1 Specific Objective</w:t>
      </w:r>
    </w:p>
    <w:p w14:paraId="3DDB3D66" w14:textId="77777777" w:rsidR="00FD329A" w:rsidRDefault="009E62F5" w:rsidP="009E62F5">
      <w:pPr>
        <w:spacing w:line="360" w:lineRule="auto"/>
        <w:jc w:val="both"/>
        <w:rPr>
          <w:rFonts w:ascii="Times New Roman" w:hAnsi="Times New Roman" w:cs="Times New Roman"/>
          <w:sz w:val="24"/>
        </w:rPr>
      </w:pPr>
      <w:r w:rsidRPr="009E62F5">
        <w:rPr>
          <w:rFonts w:ascii="Times New Roman" w:hAnsi="Times New Roman" w:cs="Times New Roman"/>
          <w:sz w:val="24"/>
        </w:rPr>
        <w:t>The specif</w:t>
      </w:r>
      <w:r>
        <w:rPr>
          <w:rFonts w:ascii="Times New Roman" w:hAnsi="Times New Roman" w:cs="Times New Roman"/>
          <w:sz w:val="24"/>
        </w:rPr>
        <w:t>ic objective for this study was</w:t>
      </w:r>
      <w:r w:rsidRPr="009E62F5">
        <w:rPr>
          <w:rFonts w:ascii="Times New Roman" w:hAnsi="Times New Roman" w:cs="Times New Roman"/>
          <w:sz w:val="24"/>
        </w:rPr>
        <w:t>;</w:t>
      </w:r>
    </w:p>
    <w:p w14:paraId="1ECF3B0A" w14:textId="77777777" w:rsidR="009E62F5" w:rsidRDefault="009E62F5" w:rsidP="009E62F5">
      <w:pPr>
        <w:spacing w:line="360" w:lineRule="auto"/>
        <w:jc w:val="both"/>
        <w:rPr>
          <w:rFonts w:ascii="Times New Roman" w:hAnsi="Times New Roman" w:cs="Times New Roman"/>
          <w:sz w:val="24"/>
        </w:rPr>
      </w:pPr>
      <w:r w:rsidRPr="009E62F5">
        <w:rPr>
          <w:rFonts w:ascii="Times New Roman" w:hAnsi="Times New Roman" w:cs="Times New Roman"/>
          <w:sz w:val="24"/>
        </w:rPr>
        <w:t xml:space="preserve">To assess the tax collection Enforcement mechanisms at </w:t>
      </w:r>
      <w:proofErr w:type="spellStart"/>
      <w:r w:rsidRPr="009E62F5">
        <w:rPr>
          <w:rFonts w:ascii="Times New Roman" w:hAnsi="Times New Roman" w:cs="Times New Roman"/>
          <w:sz w:val="24"/>
        </w:rPr>
        <w:t>Mafinga</w:t>
      </w:r>
      <w:proofErr w:type="spellEnd"/>
      <w:r w:rsidRPr="009E62F5">
        <w:rPr>
          <w:rFonts w:ascii="Times New Roman" w:hAnsi="Times New Roman" w:cs="Times New Roman"/>
          <w:sz w:val="24"/>
        </w:rPr>
        <w:t xml:space="preserve"> Town Council</w:t>
      </w:r>
    </w:p>
    <w:p w14:paraId="0F189EF7" w14:textId="77777777" w:rsidR="00F3090B" w:rsidRDefault="00F3090B">
      <w:pPr>
        <w:rPr>
          <w:rFonts w:ascii="Times New Roman" w:hAnsi="Times New Roman" w:cs="Times New Roman"/>
          <w:b/>
          <w:sz w:val="24"/>
        </w:rPr>
      </w:pPr>
      <w:r>
        <w:rPr>
          <w:rFonts w:ascii="Times New Roman" w:hAnsi="Times New Roman" w:cs="Times New Roman"/>
          <w:b/>
          <w:sz w:val="24"/>
        </w:rPr>
        <w:br w:type="page"/>
      </w:r>
    </w:p>
    <w:p w14:paraId="3E972347"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lastRenderedPageBreak/>
        <w:t>2. EMPERICAL LITERATURE REVIEW</w:t>
      </w:r>
    </w:p>
    <w:p w14:paraId="47312173"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 Enforcement Mechanisms in Tax Collection</w:t>
      </w:r>
    </w:p>
    <w:p w14:paraId="42DD1DA2"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Globally, the effectiveness of tax collection mechanisms is often linked to the capacity of revenue authorities, the use of technology, and enforcement intensity. The OECD (2017) highlights that automation, digital platforms, and risk-based audits enhance efficiency in SME taxation. For example, Estonia’s digital tax filing system has been cited as one of the most effective models worldwide, reducing administrative costs and improving compliance (OECD, 2017). Similarly, in Australia and Canada, simplified tax regimes for SMEs (presumptive taxation and turnover-based taxes) have improved collection rates and reduced evasion (Evans, 2016).</w:t>
      </w:r>
    </w:p>
    <w:p w14:paraId="37C6960F"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However, empirical studies also show weaknesses. Alm and McClellan (2012) argue that despite robust systems, weak enforcement or excessive complexity can undermine effectiveness. In Latin America, Brazil’s “Simples Nacional” system improved collection efficiency by consolidating multiple taxes, yet informal operations still dominate (de Paula &amp; </w:t>
      </w:r>
      <w:proofErr w:type="spellStart"/>
      <w:r w:rsidRPr="00A73844">
        <w:rPr>
          <w:rFonts w:ascii="Times New Roman" w:hAnsi="Times New Roman" w:cs="Times New Roman"/>
          <w:sz w:val="24"/>
        </w:rPr>
        <w:t>Scheinkman</w:t>
      </w:r>
      <w:proofErr w:type="spellEnd"/>
      <w:r w:rsidRPr="00A73844">
        <w:rPr>
          <w:rFonts w:ascii="Times New Roman" w:hAnsi="Times New Roman" w:cs="Times New Roman"/>
          <w:sz w:val="24"/>
        </w:rPr>
        <w:t>, 2010).</w:t>
      </w:r>
    </w:p>
    <w:p w14:paraId="58779ED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Enforcement mechanisms, including audits, penalties, and sanctions, are widely regarded as important drivers of compliance. Allingham and Sandmo (1972) in their economic model of tax evasion demonstrated that the fear of detection and punishment can increase tax compliance. However, </w:t>
      </w:r>
      <w:proofErr w:type="spellStart"/>
      <w:r w:rsidRPr="00A73844">
        <w:rPr>
          <w:rFonts w:ascii="Times New Roman" w:hAnsi="Times New Roman" w:cs="Times New Roman"/>
          <w:sz w:val="24"/>
        </w:rPr>
        <w:t>Kirchler</w:t>
      </w:r>
      <w:proofErr w:type="spellEnd"/>
      <w:r w:rsidRPr="00A73844">
        <w:rPr>
          <w:rFonts w:ascii="Times New Roman" w:hAnsi="Times New Roman" w:cs="Times New Roman"/>
          <w:sz w:val="24"/>
        </w:rPr>
        <w:t xml:space="preserve"> (2007) in his “slippery slope framework” emphasized that enforcement must be complemented with trust and fairness to avoid fostering resentment among taxpayers.</w:t>
      </w:r>
    </w:p>
    <w:p w14:paraId="0016167F"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In Africa, empirical evidence supports the need for balanced enforcement. Fjeldstad (2004), in South Africa, found that strong enforcement measures improved compliance but noted that fairness and transparency were equally critical in sustaining long-term compliance. In Nigeria, </w:t>
      </w:r>
      <w:proofErr w:type="spellStart"/>
      <w:r w:rsidRPr="00A73844">
        <w:rPr>
          <w:rFonts w:ascii="Times New Roman" w:hAnsi="Times New Roman" w:cs="Times New Roman"/>
          <w:sz w:val="24"/>
        </w:rPr>
        <w:t>Naiyeju</w:t>
      </w:r>
      <w:proofErr w:type="spellEnd"/>
      <w:r w:rsidRPr="00A73844">
        <w:rPr>
          <w:rFonts w:ascii="Times New Roman" w:hAnsi="Times New Roman" w:cs="Times New Roman"/>
          <w:sz w:val="24"/>
        </w:rPr>
        <w:t xml:space="preserve"> (2010) highlighted that weak enforcement and the presence of corruption within tax authorities significantly contributed to widespread tax evasion by SMEs.</w:t>
      </w:r>
    </w:p>
    <w:p w14:paraId="6A69BEEE"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In Africa, tax collection mechanisms remain under strain due to limited administrative capacity, high levels of informality, and corruption. The African Tax Administration Forum (ATAF, 2018) reports that manual processes, overlapping tax structures, and weak enforcement contribute to inefficiencies. In Nigeria, </w:t>
      </w:r>
      <w:proofErr w:type="spellStart"/>
      <w:r w:rsidRPr="00A73844">
        <w:rPr>
          <w:rFonts w:ascii="Times New Roman" w:hAnsi="Times New Roman" w:cs="Times New Roman"/>
          <w:sz w:val="24"/>
        </w:rPr>
        <w:t>Ocheni</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Gemade</w:t>
      </w:r>
      <w:proofErr w:type="spellEnd"/>
      <w:r w:rsidRPr="00A73844">
        <w:rPr>
          <w:rFonts w:ascii="Times New Roman" w:hAnsi="Times New Roman" w:cs="Times New Roman"/>
          <w:sz w:val="24"/>
        </w:rPr>
        <w:t xml:space="preserve"> (2015) found that mechanisms such as presumptive tax regimes had little impact due to poor monitoring and corruption.</w:t>
      </w:r>
    </w:p>
    <w:p w14:paraId="75CEA486"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lastRenderedPageBreak/>
        <w:t xml:space="preserve">South Africa demonstrates more success, with the South African Revenue Service (SARS) implementing modern electronic systems that improved compliance, though challenges persist among micro-SMEs (SARS, 2020). In Ghana, Amoako et al. (2023) observed that e-tax systems increased efficiency but faced barriers due to internet access issues and low digital literacy among SMEs. Similarly, in Tanzania, </w:t>
      </w:r>
      <w:proofErr w:type="spellStart"/>
      <w:r w:rsidRPr="00A73844">
        <w:rPr>
          <w:rFonts w:ascii="Times New Roman" w:hAnsi="Times New Roman" w:cs="Times New Roman"/>
          <w:sz w:val="24"/>
        </w:rPr>
        <w:t>Fjeldstad</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Heggstad</w:t>
      </w:r>
      <w:proofErr w:type="spellEnd"/>
      <w:r w:rsidRPr="00A73844">
        <w:rPr>
          <w:rFonts w:ascii="Times New Roman" w:hAnsi="Times New Roman" w:cs="Times New Roman"/>
          <w:sz w:val="24"/>
        </w:rPr>
        <w:t xml:space="preserve"> (2012) noted that while reforms such as centralizing revenue collection increased transparency, weak enforcement and bureaucratic delays limited effectiveness.</w:t>
      </w:r>
    </w:p>
    <w:p w14:paraId="138A9E05"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In East Africa, different countries have piloted reforms with varying success. In Kenya, the </w:t>
      </w:r>
      <w:proofErr w:type="spellStart"/>
      <w:r w:rsidRPr="00A73844">
        <w:rPr>
          <w:rFonts w:ascii="Times New Roman" w:hAnsi="Times New Roman" w:cs="Times New Roman"/>
          <w:sz w:val="24"/>
        </w:rPr>
        <w:t>iTax</w:t>
      </w:r>
      <w:proofErr w:type="spellEnd"/>
      <w:r w:rsidRPr="00A73844">
        <w:rPr>
          <w:rFonts w:ascii="Times New Roman" w:hAnsi="Times New Roman" w:cs="Times New Roman"/>
          <w:sz w:val="24"/>
        </w:rPr>
        <w:t xml:space="preserve"> system significantly improved efficiency in filing and monitoring (IMF, 2020), but enforcement gaps remain, and compliance costs are still viewed as high by SMEs. In Uganda, the introduction of Electronic Fiscal Devices (EFDs) was designed to curb underreporting, yet studies by Muwonge (2021) showed that many SMEs resist adoption due to maintenance costs and technical challenges. Rwanda’s Electronic Billing Machines (EBMs) have been considered a regional success, with </w:t>
      </w:r>
      <w:proofErr w:type="spellStart"/>
      <w:r w:rsidRPr="00A73844">
        <w:rPr>
          <w:rFonts w:ascii="Times New Roman" w:hAnsi="Times New Roman" w:cs="Times New Roman"/>
          <w:sz w:val="24"/>
        </w:rPr>
        <w:t>Uwitonze</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Ndayambaje</w:t>
      </w:r>
      <w:proofErr w:type="spellEnd"/>
      <w:r w:rsidRPr="00A73844">
        <w:rPr>
          <w:rFonts w:ascii="Times New Roman" w:hAnsi="Times New Roman" w:cs="Times New Roman"/>
          <w:sz w:val="24"/>
        </w:rPr>
        <w:t xml:space="preserve"> (2021) documenting increased VAT collection rates and enhanced monitoring of SMEs. East African and Tanzanian context, enforcement remains a mixed outcome. </w:t>
      </w:r>
      <w:proofErr w:type="spellStart"/>
      <w:r w:rsidRPr="00A73844">
        <w:rPr>
          <w:rFonts w:ascii="Times New Roman" w:hAnsi="Times New Roman" w:cs="Times New Roman"/>
          <w:sz w:val="24"/>
        </w:rPr>
        <w:t>Fjeldstad</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Rakner</w:t>
      </w:r>
      <w:proofErr w:type="spellEnd"/>
      <w:r w:rsidRPr="00A73844">
        <w:rPr>
          <w:rFonts w:ascii="Times New Roman" w:hAnsi="Times New Roman" w:cs="Times New Roman"/>
          <w:sz w:val="24"/>
        </w:rPr>
        <w:t xml:space="preserve"> (2003) reported that the heavy-handed enforcement approach of the Tanzania Revenue Authority (TRA) initially boosted tax revenues but also created hostility and resistance among SMEs. </w:t>
      </w:r>
      <w:proofErr w:type="spellStart"/>
      <w:r w:rsidRPr="00A73844">
        <w:rPr>
          <w:rFonts w:ascii="Times New Roman" w:hAnsi="Times New Roman" w:cs="Times New Roman"/>
          <w:sz w:val="24"/>
        </w:rPr>
        <w:t>Mutalemwa</w:t>
      </w:r>
      <w:proofErr w:type="spellEnd"/>
      <w:r w:rsidRPr="00A73844">
        <w:rPr>
          <w:rFonts w:ascii="Times New Roman" w:hAnsi="Times New Roman" w:cs="Times New Roman"/>
          <w:sz w:val="24"/>
        </w:rPr>
        <w:t xml:space="preserve"> (2015), in Dar es Salaam, revealed that compliance improved when enforcement mechanisms were combined with taxpayer education and simplification of procedures. In </w:t>
      </w:r>
      <w:proofErr w:type="spellStart"/>
      <w:r w:rsidRPr="00A73844">
        <w:rPr>
          <w:rFonts w:ascii="Times New Roman" w:hAnsi="Times New Roman" w:cs="Times New Roman"/>
          <w:sz w:val="24"/>
        </w:rPr>
        <w:t>Mafinga</w:t>
      </w:r>
      <w:proofErr w:type="spellEnd"/>
      <w:r w:rsidRPr="00A73844">
        <w:rPr>
          <w:rFonts w:ascii="Times New Roman" w:hAnsi="Times New Roman" w:cs="Times New Roman"/>
          <w:sz w:val="24"/>
        </w:rPr>
        <w:t xml:space="preserve"> Town Council, enforcement has been constrained by limited resources, corruption risks, and insufficient follow-up capacity. This undermines the credibility of the TRA and reduces the effectiveness of enforcement measures in sustaining compliance.</w:t>
      </w:r>
    </w:p>
    <w:p w14:paraId="47DCEAAD"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Tanzania’s Local Government Authorities (LGAs) have increasingly adopted computerized revenue management systems. However, a study by </w:t>
      </w:r>
      <w:proofErr w:type="spellStart"/>
      <w:r w:rsidRPr="00A73844">
        <w:rPr>
          <w:rFonts w:ascii="Times New Roman" w:hAnsi="Times New Roman" w:cs="Times New Roman"/>
          <w:sz w:val="24"/>
        </w:rPr>
        <w:t>Ngowi</w:t>
      </w:r>
      <w:proofErr w:type="spellEnd"/>
      <w:r w:rsidRPr="00A73844">
        <w:rPr>
          <w:rFonts w:ascii="Times New Roman" w:hAnsi="Times New Roman" w:cs="Times New Roman"/>
          <w:sz w:val="24"/>
        </w:rPr>
        <w:t xml:space="preserve"> (2019) found that while digital collection improved accountability, effectiveness was undermined by technical failures, corruption, and inadequate taxpayer education.</w:t>
      </w:r>
    </w:p>
    <w:p w14:paraId="0123C5E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Local Government Authorities (LGAs) in Tanzania, including </w:t>
      </w:r>
      <w:proofErr w:type="spellStart"/>
      <w:r w:rsidRPr="00A73844">
        <w:rPr>
          <w:rFonts w:ascii="Times New Roman" w:hAnsi="Times New Roman" w:cs="Times New Roman"/>
          <w:sz w:val="24"/>
        </w:rPr>
        <w:t>Mafinga</w:t>
      </w:r>
      <w:proofErr w:type="spellEnd"/>
      <w:r w:rsidRPr="00A73844">
        <w:rPr>
          <w:rFonts w:ascii="Times New Roman" w:hAnsi="Times New Roman" w:cs="Times New Roman"/>
          <w:sz w:val="24"/>
        </w:rPr>
        <w:t xml:space="preserve"> Town Council, derive own-source revenue mainly from licenses, service levies, property rates, and fees under the Local Government Finances Act of 2023. While the legal framework provides a basis for effective revenue collection, empirical evidence shows that administrative capacity and system efficiency determine outcomes (URT, 2023). </w:t>
      </w:r>
    </w:p>
    <w:p w14:paraId="546C7E65"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lastRenderedPageBreak/>
        <w:t>Digitization has enhanced collection efficiency. A study on Local Government Revenue Collection Information Systems found that system quality, information reliability, and user training significantly improve effectiveness (</w:t>
      </w:r>
      <w:proofErr w:type="spellStart"/>
      <w:r w:rsidRPr="00A73844">
        <w:rPr>
          <w:rFonts w:ascii="Times New Roman" w:hAnsi="Times New Roman" w:cs="Times New Roman"/>
          <w:sz w:val="24"/>
        </w:rPr>
        <w:t>Mrope</w:t>
      </w:r>
      <w:proofErr w:type="spellEnd"/>
      <w:r w:rsidRPr="00A73844">
        <w:rPr>
          <w:rFonts w:ascii="Times New Roman" w:hAnsi="Times New Roman" w:cs="Times New Roman"/>
          <w:sz w:val="24"/>
        </w:rPr>
        <w:t>, 2022). Where user satisfaction is low, however, digital systems fail to deliver expected revenue growth.</w:t>
      </w:r>
    </w:p>
    <w:p w14:paraId="6139C11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 The introduction of EFDs and inspections has also strengthened compliance and improved revenue mobilization. Quasi-experimental evaluations show that combining inspections with taxpayer education significantly boosts EFD usage and tax receipts (IMF, 2021). However, these gains are often undermined by limited follow-up and inadequate support to SMEs (</w:t>
      </w:r>
      <w:proofErr w:type="spellStart"/>
      <w:r w:rsidRPr="00A73844">
        <w:rPr>
          <w:rFonts w:ascii="Times New Roman" w:hAnsi="Times New Roman" w:cs="Times New Roman"/>
          <w:sz w:val="24"/>
        </w:rPr>
        <w:t>Ngowi</w:t>
      </w:r>
      <w:proofErr w:type="spellEnd"/>
      <w:r w:rsidRPr="00A73844">
        <w:rPr>
          <w:rFonts w:ascii="Times New Roman" w:hAnsi="Times New Roman" w:cs="Times New Roman"/>
          <w:sz w:val="24"/>
        </w:rPr>
        <w:t>, 2020). Nonetheless, challenges remain. Councils still face over-reliance on central government transfers, weak enforcement capacity, and fragmented local revenue streams. Scholars argue for rationalization of local taxes, strengthening of property tax administration, and investment in ICT to achieve sustainable tax collection (URT, 2023; Samson, 2020).</w:t>
      </w:r>
    </w:p>
    <w:p w14:paraId="7FB21AFF"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2.1.1 Digitalization and Revenue Collection</w:t>
      </w:r>
    </w:p>
    <w:p w14:paraId="6EC2A1F1"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Digitization of council revenue systems has enhanced collection efficiency in several municipalities. A study on the Local Government Revenue Collection Information System (LGRCIS) found that system quality, reliability, and staff training significantly improved revenue performance (</w:t>
      </w:r>
      <w:proofErr w:type="spellStart"/>
      <w:r w:rsidRPr="00A73844">
        <w:rPr>
          <w:rFonts w:ascii="Times New Roman" w:hAnsi="Times New Roman" w:cs="Times New Roman"/>
          <w:sz w:val="24"/>
        </w:rPr>
        <w:t>Mrope</w:t>
      </w:r>
      <w:proofErr w:type="spellEnd"/>
      <w:r w:rsidRPr="00A73844">
        <w:rPr>
          <w:rFonts w:ascii="Times New Roman" w:hAnsi="Times New Roman" w:cs="Times New Roman"/>
          <w:sz w:val="24"/>
        </w:rPr>
        <w:t>, 2022). In Mbeya and Morogoro councils, digital systems increased transparency and reduced leakages; however, weak user capacity and poor internet access undermined effectiveness (</w:t>
      </w:r>
      <w:proofErr w:type="spellStart"/>
      <w:r w:rsidRPr="00A73844">
        <w:rPr>
          <w:rFonts w:ascii="Times New Roman" w:hAnsi="Times New Roman" w:cs="Times New Roman"/>
          <w:sz w:val="24"/>
        </w:rPr>
        <w:t>Ngowi</w:t>
      </w:r>
      <w:proofErr w:type="spellEnd"/>
      <w:r w:rsidRPr="00A73844">
        <w:rPr>
          <w:rFonts w:ascii="Times New Roman" w:hAnsi="Times New Roman" w:cs="Times New Roman"/>
          <w:sz w:val="24"/>
        </w:rPr>
        <w:t>, 2020).</w:t>
      </w:r>
    </w:p>
    <w:p w14:paraId="3BCB9DC0"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2.1.2 Use of Electronic Fiscal Devices (EFDs) and Inspections</w:t>
      </w:r>
    </w:p>
    <w:p w14:paraId="0D6FAAB1"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The introduction of EFDs has strengthened compliance and improved VAT and service levy collections. IMF evaluations show that pairing EFDs with inspections boosts receipts significantly (IMF, 2021). Similarly, in Ilala Municipality, compliance increased when EFD adoption was supported with education and technical assistance (Samson, 2022). Nonetheless, effectiveness is undermined when devices are unaffordable or when follow-up support is lacking (</w:t>
      </w:r>
      <w:proofErr w:type="spellStart"/>
      <w:r w:rsidRPr="00A73844">
        <w:rPr>
          <w:rFonts w:ascii="Times New Roman" w:hAnsi="Times New Roman" w:cs="Times New Roman"/>
          <w:sz w:val="24"/>
        </w:rPr>
        <w:t>Mrope</w:t>
      </w:r>
      <w:proofErr w:type="spellEnd"/>
      <w:r w:rsidRPr="00A73844">
        <w:rPr>
          <w:rFonts w:ascii="Times New Roman" w:hAnsi="Times New Roman" w:cs="Times New Roman"/>
          <w:sz w:val="24"/>
        </w:rPr>
        <w:t>, 2023).</w:t>
      </w:r>
    </w:p>
    <w:p w14:paraId="0FF3F6E9"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2.1.3 Administrative Capacity and Enforcement</w:t>
      </w:r>
    </w:p>
    <w:p w14:paraId="1D53FB60"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The effectiveness of tax collection also depends on administrative strength. Evidence from </w:t>
      </w:r>
      <w:proofErr w:type="spellStart"/>
      <w:r w:rsidRPr="00A73844">
        <w:rPr>
          <w:rFonts w:ascii="Times New Roman" w:hAnsi="Times New Roman" w:cs="Times New Roman"/>
          <w:sz w:val="24"/>
        </w:rPr>
        <w:t>Ubungo</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Shinyanga</w:t>
      </w:r>
      <w:proofErr w:type="spellEnd"/>
      <w:r w:rsidRPr="00A73844">
        <w:rPr>
          <w:rFonts w:ascii="Times New Roman" w:hAnsi="Times New Roman" w:cs="Times New Roman"/>
          <w:sz w:val="24"/>
        </w:rPr>
        <w:t xml:space="preserve"> municipal councils highlights that weak staffing, lack of transport, and poor supervision limit enforcement capacity (</w:t>
      </w:r>
      <w:proofErr w:type="spellStart"/>
      <w:r w:rsidRPr="00A73844">
        <w:rPr>
          <w:rFonts w:ascii="Times New Roman" w:hAnsi="Times New Roman" w:cs="Times New Roman"/>
          <w:sz w:val="24"/>
        </w:rPr>
        <w:t>Matogoro</w:t>
      </w:r>
      <w:proofErr w:type="spellEnd"/>
      <w:r w:rsidRPr="00A73844">
        <w:rPr>
          <w:rFonts w:ascii="Times New Roman" w:hAnsi="Times New Roman" w:cs="Times New Roman"/>
          <w:sz w:val="24"/>
        </w:rPr>
        <w:t xml:space="preserve">, 2025; Samson, 2020). Where councils </w:t>
      </w:r>
      <w:r w:rsidRPr="00A73844">
        <w:rPr>
          <w:rFonts w:ascii="Times New Roman" w:hAnsi="Times New Roman" w:cs="Times New Roman"/>
          <w:sz w:val="24"/>
        </w:rPr>
        <w:lastRenderedPageBreak/>
        <w:t>conducted joint inspections and strengthened coordination with TRA, revenue collections improved, but the sustainability of these gains was uncertain (</w:t>
      </w:r>
      <w:proofErr w:type="spellStart"/>
      <w:r w:rsidRPr="00A73844">
        <w:rPr>
          <w:rFonts w:ascii="Times New Roman" w:hAnsi="Times New Roman" w:cs="Times New Roman"/>
          <w:sz w:val="24"/>
        </w:rPr>
        <w:t>Ngowi</w:t>
      </w:r>
      <w:proofErr w:type="spellEnd"/>
      <w:r w:rsidRPr="00A73844">
        <w:rPr>
          <w:rFonts w:ascii="Times New Roman" w:hAnsi="Times New Roman" w:cs="Times New Roman"/>
          <w:sz w:val="24"/>
        </w:rPr>
        <w:t>, 2020).</w:t>
      </w:r>
    </w:p>
    <w:p w14:paraId="39DF443A"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Effective enforcement mechanisms are crucial for enhancing tax compliance in Tanzania. </w:t>
      </w:r>
      <w:proofErr w:type="spellStart"/>
      <w:r w:rsidRPr="00A73844">
        <w:rPr>
          <w:rFonts w:ascii="Times New Roman" w:hAnsi="Times New Roman" w:cs="Times New Roman"/>
          <w:sz w:val="24"/>
        </w:rPr>
        <w:t>Mgonja</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Shaidi</w:t>
      </w:r>
      <w:proofErr w:type="spellEnd"/>
      <w:r w:rsidRPr="00A73844">
        <w:rPr>
          <w:rFonts w:ascii="Times New Roman" w:hAnsi="Times New Roman" w:cs="Times New Roman"/>
          <w:sz w:val="24"/>
        </w:rPr>
        <w:t xml:space="preserve"> (2023) found that among small-scale entrepreneurs in Dodoma City, factors such as high tax rates, disorganized management, and local methods of estimating tax liabilities contribute to non-compliance. Their study recommended establishing more accessible and transparent payment facilities, ensuring certainty in tax payment dates, and employing fair and reasonable enforcement measures to improve compliance.</w:t>
      </w:r>
    </w:p>
    <w:p w14:paraId="4549414F"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Additionally, the Afrobarometer survey found that while 77% of Tanzanians endorse the government's right to collect taxes, 46% believe that people often or always avoid paying them. This perception underscores the need for robust enforcement strategies that are perceived as fair and just by the public (Afrobarometer, 2024).</w:t>
      </w:r>
    </w:p>
    <w:p w14:paraId="265B3E2E"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The balance between the power of tax authorities and the trust they engender is central to compliance. A study conducted by </w:t>
      </w:r>
      <w:proofErr w:type="spellStart"/>
      <w:r w:rsidRPr="00A73844">
        <w:rPr>
          <w:rFonts w:ascii="Times New Roman" w:hAnsi="Times New Roman" w:cs="Times New Roman"/>
          <w:sz w:val="24"/>
        </w:rPr>
        <w:t>Saragih</w:t>
      </w:r>
      <w:proofErr w:type="spellEnd"/>
      <w:r w:rsidRPr="00A73844">
        <w:rPr>
          <w:rFonts w:ascii="Times New Roman" w:hAnsi="Times New Roman" w:cs="Times New Roman"/>
          <w:sz w:val="24"/>
        </w:rPr>
        <w:t xml:space="preserve"> and </w:t>
      </w:r>
      <w:proofErr w:type="spellStart"/>
      <w:r w:rsidRPr="00A73844">
        <w:rPr>
          <w:rFonts w:ascii="Times New Roman" w:hAnsi="Times New Roman" w:cs="Times New Roman"/>
          <w:sz w:val="24"/>
        </w:rPr>
        <w:t>Hidayat</w:t>
      </w:r>
      <w:proofErr w:type="spellEnd"/>
      <w:r w:rsidRPr="00A73844">
        <w:rPr>
          <w:rFonts w:ascii="Times New Roman" w:hAnsi="Times New Roman" w:cs="Times New Roman"/>
          <w:sz w:val="24"/>
        </w:rPr>
        <w:t xml:space="preserve"> (2024) in Indonesia examined the impact of tax authorities’ behavior on taxpayer compliance. The findings suggest that respectful treatment by tax officials fosters positive relationships, trust, and compliance, whereas authoritarian procedures can lead to increased tax non-compliance. This highlights the importance of balancing enforcement with respectful engagement to enhance tax compliance (</w:t>
      </w:r>
      <w:proofErr w:type="spellStart"/>
      <w:r w:rsidRPr="00A73844">
        <w:rPr>
          <w:rFonts w:ascii="Times New Roman" w:hAnsi="Times New Roman" w:cs="Times New Roman"/>
          <w:sz w:val="24"/>
        </w:rPr>
        <w:t>Saragih</w:t>
      </w:r>
      <w:proofErr w:type="spellEnd"/>
      <w:r w:rsidRPr="00A73844">
        <w:rPr>
          <w:rFonts w:ascii="Times New Roman" w:hAnsi="Times New Roman" w:cs="Times New Roman"/>
          <w:sz w:val="24"/>
        </w:rPr>
        <w:t xml:space="preserve"> &amp; </w:t>
      </w:r>
      <w:proofErr w:type="spellStart"/>
      <w:r w:rsidRPr="00A73844">
        <w:rPr>
          <w:rFonts w:ascii="Times New Roman" w:hAnsi="Times New Roman" w:cs="Times New Roman"/>
          <w:sz w:val="24"/>
        </w:rPr>
        <w:t>Hidayat</w:t>
      </w:r>
      <w:proofErr w:type="spellEnd"/>
      <w:r w:rsidRPr="00A73844">
        <w:rPr>
          <w:rFonts w:ascii="Times New Roman" w:hAnsi="Times New Roman" w:cs="Times New Roman"/>
          <w:sz w:val="24"/>
        </w:rPr>
        <w:t>, 2024).</w:t>
      </w:r>
    </w:p>
    <w:p w14:paraId="156D3352"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Furthermore, research by Adem, Desta, and Girma (2024) in Ethiopia explored the factors affecting presumptive tax voluntary compliance. The study found that effective collection enforcement mechanisms positively influence tax compliance, emphasizing the role of consistent and fair enforcement strategies in promoting adherence to tax obligations (Adem et al., 2024).</w:t>
      </w:r>
    </w:p>
    <w:p w14:paraId="195684A4"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2.1.4 Fragmentation of Local Revenue Streams</w:t>
      </w:r>
    </w:p>
    <w:p w14:paraId="272B55B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Studies further reveal that fragmentation of local taxes and overlapping levies constrain effectiveness. In Iringa and </w:t>
      </w:r>
      <w:proofErr w:type="spellStart"/>
      <w:r w:rsidRPr="00A73844">
        <w:rPr>
          <w:rFonts w:ascii="Times New Roman" w:hAnsi="Times New Roman" w:cs="Times New Roman"/>
          <w:sz w:val="24"/>
        </w:rPr>
        <w:t>Mafinga</w:t>
      </w:r>
      <w:proofErr w:type="spellEnd"/>
      <w:r w:rsidRPr="00A73844">
        <w:rPr>
          <w:rFonts w:ascii="Times New Roman" w:hAnsi="Times New Roman" w:cs="Times New Roman"/>
          <w:sz w:val="24"/>
        </w:rPr>
        <w:t>, SMEs reported confusion due to multiple taxes from both central and local governments, which discouraged compliance and reduced council revenue (</w:t>
      </w:r>
      <w:proofErr w:type="spellStart"/>
      <w:r w:rsidRPr="00A73844">
        <w:rPr>
          <w:rFonts w:ascii="Times New Roman" w:hAnsi="Times New Roman" w:cs="Times New Roman"/>
          <w:sz w:val="24"/>
        </w:rPr>
        <w:t>Mhando</w:t>
      </w:r>
      <w:proofErr w:type="spellEnd"/>
      <w:r w:rsidRPr="00A73844">
        <w:rPr>
          <w:rFonts w:ascii="Times New Roman" w:hAnsi="Times New Roman" w:cs="Times New Roman"/>
          <w:sz w:val="24"/>
        </w:rPr>
        <w:t>, 2021; URT, 2023). Scholars argue that harmonization of tax structures across councils is key to strengthening effectiveness (</w:t>
      </w:r>
      <w:proofErr w:type="spellStart"/>
      <w:r w:rsidRPr="00A73844">
        <w:rPr>
          <w:rFonts w:ascii="Times New Roman" w:hAnsi="Times New Roman" w:cs="Times New Roman"/>
          <w:sz w:val="24"/>
        </w:rPr>
        <w:t>Mmasa</w:t>
      </w:r>
      <w:proofErr w:type="spellEnd"/>
      <w:r w:rsidRPr="00A73844">
        <w:rPr>
          <w:rFonts w:ascii="Times New Roman" w:hAnsi="Times New Roman" w:cs="Times New Roman"/>
          <w:sz w:val="24"/>
        </w:rPr>
        <w:t xml:space="preserve"> &amp; </w:t>
      </w:r>
      <w:proofErr w:type="spellStart"/>
      <w:r w:rsidRPr="00A73844">
        <w:rPr>
          <w:rFonts w:ascii="Times New Roman" w:hAnsi="Times New Roman" w:cs="Times New Roman"/>
          <w:sz w:val="24"/>
        </w:rPr>
        <w:t>Mhando</w:t>
      </w:r>
      <w:proofErr w:type="spellEnd"/>
      <w:r w:rsidRPr="00A73844">
        <w:rPr>
          <w:rFonts w:ascii="Times New Roman" w:hAnsi="Times New Roman" w:cs="Times New Roman"/>
          <w:sz w:val="24"/>
        </w:rPr>
        <w:t>, 2022).</w:t>
      </w:r>
    </w:p>
    <w:p w14:paraId="4484ABB8" w14:textId="77777777" w:rsidR="00EA0F04" w:rsidRDefault="00EA0F04">
      <w:pPr>
        <w:rPr>
          <w:rFonts w:ascii="Times New Roman" w:hAnsi="Times New Roman" w:cs="Times New Roman"/>
          <w:b/>
          <w:sz w:val="24"/>
        </w:rPr>
      </w:pPr>
      <w:r>
        <w:rPr>
          <w:rFonts w:ascii="Times New Roman" w:hAnsi="Times New Roman" w:cs="Times New Roman"/>
          <w:b/>
          <w:sz w:val="24"/>
        </w:rPr>
        <w:br w:type="page"/>
      </w:r>
    </w:p>
    <w:p w14:paraId="30BC81F1"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lastRenderedPageBreak/>
        <w:t>2.1.5 Transparency, Accountability, and Legitimacy</w:t>
      </w:r>
    </w:p>
    <w:p w14:paraId="4AD1DB0F"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Finally, the perceived legitimacy of council tax collection mechanisms strongly influences effectiveness. In councils where taxpayers observed poor transparency and misuse of funds, compliance fell despite strong enforcement (</w:t>
      </w:r>
      <w:proofErr w:type="spellStart"/>
      <w:r w:rsidRPr="00A73844">
        <w:rPr>
          <w:rFonts w:ascii="Times New Roman" w:hAnsi="Times New Roman" w:cs="Times New Roman"/>
          <w:sz w:val="24"/>
        </w:rPr>
        <w:t>Nnyanzi</w:t>
      </w:r>
      <w:proofErr w:type="spellEnd"/>
      <w:r w:rsidRPr="00A73844">
        <w:rPr>
          <w:rFonts w:ascii="Times New Roman" w:hAnsi="Times New Roman" w:cs="Times New Roman"/>
          <w:sz w:val="24"/>
        </w:rPr>
        <w:t xml:space="preserve">, 2021). Conversely, when councils communicated clearly </w:t>
      </w:r>
      <w:r>
        <w:rPr>
          <w:rFonts w:ascii="Times New Roman" w:hAnsi="Times New Roman" w:cs="Times New Roman"/>
          <w:sz w:val="24"/>
        </w:rPr>
        <w:t>how taxes funded local services including</w:t>
      </w:r>
      <w:r w:rsidRPr="00A73844">
        <w:rPr>
          <w:rFonts w:ascii="Times New Roman" w:hAnsi="Times New Roman" w:cs="Times New Roman"/>
          <w:sz w:val="24"/>
        </w:rPr>
        <w:t xml:space="preserve"> schools, roads, and waste management compliance and collection efficiency improved (Daily News, 2024)</w:t>
      </w:r>
    </w:p>
    <w:p w14:paraId="6FCDA67D" w14:textId="77777777" w:rsidR="009E62F5"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2.2 Knowledge Gap</w:t>
      </w:r>
    </w:p>
    <w:p w14:paraId="3F78F3A9" w14:textId="77777777" w:rsid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Most studies on tax enforcement and compliance in Tanzania focus on big cities and national-level reforms (</w:t>
      </w:r>
      <w:proofErr w:type="spellStart"/>
      <w:r w:rsidRPr="00A73844">
        <w:rPr>
          <w:rFonts w:ascii="Times New Roman" w:hAnsi="Times New Roman" w:cs="Times New Roman"/>
          <w:sz w:val="24"/>
        </w:rPr>
        <w:t>Mutalemwa</w:t>
      </w:r>
      <w:proofErr w:type="spellEnd"/>
      <w:r w:rsidRPr="00A73844">
        <w:rPr>
          <w:rFonts w:ascii="Times New Roman" w:hAnsi="Times New Roman" w:cs="Times New Roman"/>
          <w:sz w:val="24"/>
        </w:rPr>
        <w:t xml:space="preserve">, 2015; </w:t>
      </w:r>
      <w:proofErr w:type="spellStart"/>
      <w:r w:rsidRPr="00A73844">
        <w:rPr>
          <w:rFonts w:ascii="Times New Roman" w:hAnsi="Times New Roman" w:cs="Times New Roman"/>
          <w:sz w:val="24"/>
        </w:rPr>
        <w:t>Ngowi</w:t>
      </w:r>
      <w:proofErr w:type="spellEnd"/>
      <w:r w:rsidRPr="00A73844">
        <w:rPr>
          <w:rFonts w:ascii="Times New Roman" w:hAnsi="Times New Roman" w:cs="Times New Roman"/>
          <w:sz w:val="24"/>
        </w:rPr>
        <w:t xml:space="preserve">, 2020; </w:t>
      </w:r>
      <w:proofErr w:type="spellStart"/>
      <w:r w:rsidRPr="00A73844">
        <w:rPr>
          <w:rFonts w:ascii="Times New Roman" w:hAnsi="Times New Roman" w:cs="Times New Roman"/>
          <w:sz w:val="24"/>
        </w:rPr>
        <w:t>Fjeldstad</w:t>
      </w:r>
      <w:proofErr w:type="spellEnd"/>
      <w:r w:rsidRPr="00A73844">
        <w:rPr>
          <w:rFonts w:ascii="Times New Roman" w:hAnsi="Times New Roman" w:cs="Times New Roman"/>
          <w:sz w:val="24"/>
        </w:rPr>
        <w:t xml:space="preserve"> &amp; </w:t>
      </w:r>
      <w:proofErr w:type="spellStart"/>
      <w:r w:rsidRPr="00A73844">
        <w:rPr>
          <w:rFonts w:ascii="Times New Roman" w:hAnsi="Times New Roman" w:cs="Times New Roman"/>
          <w:sz w:val="24"/>
        </w:rPr>
        <w:t>Heggstad</w:t>
      </w:r>
      <w:proofErr w:type="spellEnd"/>
      <w:r w:rsidRPr="00A73844">
        <w:rPr>
          <w:rFonts w:ascii="Times New Roman" w:hAnsi="Times New Roman" w:cs="Times New Roman"/>
          <w:sz w:val="24"/>
        </w:rPr>
        <w:t xml:space="preserve">, 2012). Little attention has been given to smaller councils like </w:t>
      </w:r>
      <w:proofErr w:type="spellStart"/>
      <w:r w:rsidRPr="00A73844">
        <w:rPr>
          <w:rFonts w:ascii="Times New Roman" w:hAnsi="Times New Roman" w:cs="Times New Roman"/>
          <w:sz w:val="24"/>
        </w:rPr>
        <w:t>Mafinga</w:t>
      </w:r>
      <w:proofErr w:type="spellEnd"/>
      <w:r w:rsidRPr="00A73844">
        <w:rPr>
          <w:rFonts w:ascii="Times New Roman" w:hAnsi="Times New Roman" w:cs="Times New Roman"/>
          <w:sz w:val="24"/>
        </w:rPr>
        <w:t>, where weak capacity, informality, and limited resources may affect the effectiveness of digitalization and enforcement mechanisms (</w:t>
      </w:r>
      <w:proofErr w:type="spellStart"/>
      <w:r w:rsidRPr="00A73844">
        <w:rPr>
          <w:rFonts w:ascii="Times New Roman" w:hAnsi="Times New Roman" w:cs="Times New Roman"/>
          <w:sz w:val="24"/>
        </w:rPr>
        <w:t>Mro</w:t>
      </w:r>
      <w:r>
        <w:rPr>
          <w:rFonts w:ascii="Times New Roman" w:hAnsi="Times New Roman" w:cs="Times New Roman"/>
          <w:sz w:val="24"/>
        </w:rPr>
        <w:t>pe</w:t>
      </w:r>
      <w:proofErr w:type="spellEnd"/>
      <w:r>
        <w:rPr>
          <w:rFonts w:ascii="Times New Roman" w:hAnsi="Times New Roman" w:cs="Times New Roman"/>
          <w:sz w:val="24"/>
        </w:rPr>
        <w:t xml:space="preserve">, 2023; Amoako et al., 2023). </w:t>
      </w:r>
      <w:r w:rsidRPr="00A73844">
        <w:rPr>
          <w:rFonts w:ascii="Times New Roman" w:hAnsi="Times New Roman" w:cs="Times New Roman"/>
          <w:sz w:val="24"/>
        </w:rPr>
        <w:t>In addition, while research highlights the role of transparency, overlapping taxes, and trust in shaping compliance (</w:t>
      </w:r>
      <w:proofErr w:type="spellStart"/>
      <w:r w:rsidRPr="00A73844">
        <w:rPr>
          <w:rFonts w:ascii="Times New Roman" w:hAnsi="Times New Roman" w:cs="Times New Roman"/>
          <w:sz w:val="24"/>
        </w:rPr>
        <w:t>Mhando</w:t>
      </w:r>
      <w:proofErr w:type="spellEnd"/>
      <w:r w:rsidRPr="00A73844">
        <w:rPr>
          <w:rFonts w:ascii="Times New Roman" w:hAnsi="Times New Roman" w:cs="Times New Roman"/>
          <w:sz w:val="24"/>
        </w:rPr>
        <w:t xml:space="preserve">, 2021; </w:t>
      </w:r>
      <w:proofErr w:type="spellStart"/>
      <w:r w:rsidRPr="00A73844">
        <w:rPr>
          <w:rFonts w:ascii="Times New Roman" w:hAnsi="Times New Roman" w:cs="Times New Roman"/>
          <w:sz w:val="24"/>
        </w:rPr>
        <w:t>Nnyanzi</w:t>
      </w:r>
      <w:proofErr w:type="spellEnd"/>
      <w:r w:rsidRPr="00A73844">
        <w:rPr>
          <w:rFonts w:ascii="Times New Roman" w:hAnsi="Times New Roman" w:cs="Times New Roman"/>
          <w:sz w:val="24"/>
        </w:rPr>
        <w:t xml:space="preserve">, 2021), there is little empirical evidence on how these factors specifically affect SMEs at the council level. This study addresses that gap by focusing on the taxation challenges facing SMEs in </w:t>
      </w:r>
      <w:proofErr w:type="spellStart"/>
      <w:r w:rsidRPr="00A73844">
        <w:rPr>
          <w:rFonts w:ascii="Times New Roman" w:hAnsi="Times New Roman" w:cs="Times New Roman"/>
          <w:sz w:val="24"/>
        </w:rPr>
        <w:t>Mafinga</w:t>
      </w:r>
      <w:proofErr w:type="spellEnd"/>
      <w:r w:rsidRPr="00A73844">
        <w:rPr>
          <w:rFonts w:ascii="Times New Roman" w:hAnsi="Times New Roman" w:cs="Times New Roman"/>
          <w:sz w:val="24"/>
        </w:rPr>
        <w:t xml:space="preserve"> Town Council.</w:t>
      </w:r>
    </w:p>
    <w:p w14:paraId="1E2863C0" w14:textId="77777777" w:rsidR="00775370" w:rsidRDefault="00775370" w:rsidP="00775370">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0E878FEC" w14:textId="77777777" w:rsidR="00775370" w:rsidRDefault="00775370" w:rsidP="00775370">
      <w:pPr>
        <w:spacing w:after="0" w:line="360" w:lineRule="auto"/>
        <w:jc w:val="both"/>
        <w:rPr>
          <w:rFonts w:ascii="Times New Roman" w:hAnsi="Times New Roman" w:cs="Times New Roman"/>
          <w:b/>
          <w:sz w:val="24"/>
        </w:rPr>
      </w:pP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01A91C0B" w14:textId="77777777" w:rsidR="00775370" w:rsidRDefault="00775370" w:rsidP="00775370">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62336" behindDoc="0" locked="0" layoutInCell="1" allowOverlap="1" wp14:anchorId="09A5AED0" wp14:editId="34301C62">
                <wp:simplePos x="0" y="0"/>
                <wp:positionH relativeFrom="column">
                  <wp:posOffset>0</wp:posOffset>
                </wp:positionH>
                <wp:positionV relativeFrom="paragraph">
                  <wp:posOffset>86360</wp:posOffset>
                </wp:positionV>
                <wp:extent cx="5277485" cy="1400175"/>
                <wp:effectExtent l="0" t="0" r="18415" b="28575"/>
                <wp:wrapNone/>
                <wp:docPr id="7" name="Group 7"/>
                <wp:cNvGraphicFramePr/>
                <a:graphic xmlns:a="http://schemas.openxmlformats.org/drawingml/2006/main">
                  <a:graphicData uri="http://schemas.microsoft.com/office/word/2010/wordprocessingGroup">
                    <wpg:wgp>
                      <wpg:cNvGrpSpPr/>
                      <wpg:grpSpPr>
                        <a:xfrm>
                          <a:off x="0" y="0"/>
                          <a:ext cx="5277485" cy="1400175"/>
                          <a:chOff x="0" y="0"/>
                          <a:chExt cx="5277485" cy="1400175"/>
                        </a:xfrm>
                      </wpg:grpSpPr>
                      <wps:wsp>
                        <wps:cNvPr id="57" name="Rectangle: Rounded Corners 57"/>
                        <wps:cNvSpPr/>
                        <wps:spPr>
                          <a:xfrm>
                            <a:off x="3552825" y="85725"/>
                            <a:ext cx="1724660" cy="104123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94BC11" w14:textId="77777777" w:rsidR="00775370" w:rsidRPr="00DE33B3" w:rsidRDefault="00775370" w:rsidP="00775370">
                              <w:pPr>
                                <w:jc w:val="center"/>
                                <w:rPr>
                                  <w:rFonts w:ascii="Times New Roman" w:hAnsi="Times New Roman" w:cs="Times New Roman"/>
                                  <w:b/>
                                  <w:sz w:val="24"/>
                                </w:rPr>
                              </w:pPr>
                              <w:r w:rsidRPr="00DE33B3">
                                <w:rPr>
                                  <w:rFonts w:ascii="Times New Roman" w:hAnsi="Times New Roman" w:cs="Times New Roman"/>
                                  <w:b/>
                                  <w:sz w:val="24"/>
                                </w:rPr>
                                <w:t>Taxation Challenges by SMEs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57"/>
                        <wps:cNvSpPr/>
                        <wps:spPr>
                          <a:xfrm>
                            <a:off x="0" y="0"/>
                            <a:ext cx="1724660" cy="1400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BE79C9" w14:textId="77777777" w:rsidR="00775370" w:rsidRDefault="00775370" w:rsidP="00775370">
                              <w:pPr>
                                <w:rPr>
                                  <w:rFonts w:ascii="Times New Roman" w:hAnsi="Times New Roman" w:cs="Times New Roman"/>
                                  <w:b/>
                                  <w:sz w:val="24"/>
                                </w:rPr>
                              </w:pPr>
                              <w:r w:rsidRPr="00775370">
                                <w:rPr>
                                  <w:rFonts w:ascii="Times New Roman" w:hAnsi="Times New Roman" w:cs="Times New Roman"/>
                                  <w:b/>
                                  <w:sz w:val="24"/>
                                </w:rPr>
                                <w:t>Enforcement</w:t>
                              </w:r>
                            </w:p>
                            <w:p w14:paraId="1652D6B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Tax collection</w:t>
                              </w:r>
                            </w:p>
                            <w:p w14:paraId="0303AA8F"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Audit</w:t>
                              </w:r>
                            </w:p>
                            <w:p w14:paraId="3EB2EA6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Penalties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V="1">
                            <a:off x="1762125" y="628650"/>
                            <a:ext cx="174307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9A5AED0" id="Group 7" o:spid="_x0000_s1026" style="position:absolute;left:0;text-align:left;margin-left:0;margin-top:6.8pt;width:415.55pt;height:110.25pt;z-index:251662336" coordsize="52774,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">
                <v:roundrect id="Rectangle: Rounded Corners 57" o:spid="_x0000_s1027" style="position:absolute;left:35528;top:857;width:17246;height:10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" fillcolor="white [3201]" strokecolor="#70ad47 [3209]" strokeweight="1pt">
                  <v:stroke joinstyle="miter"/>
                  <v:textbox>
                    <w:txbxContent>
                      <w:p w14:paraId="7E94BC11" w14:textId="77777777" w:rsidR="00775370" w:rsidRPr="00DE33B3" w:rsidRDefault="00775370" w:rsidP="00775370">
                        <w:pPr>
                          <w:jc w:val="center"/>
                          <w:rPr>
                            <w:rFonts w:ascii="Times New Roman" w:hAnsi="Times New Roman" w:cs="Times New Roman"/>
                            <w:b/>
                            <w:sz w:val="24"/>
                          </w:rPr>
                        </w:pPr>
                        <w:r w:rsidRPr="00DE33B3">
                          <w:rPr>
                            <w:rFonts w:ascii="Times New Roman" w:hAnsi="Times New Roman" w:cs="Times New Roman"/>
                            <w:b/>
                            <w:sz w:val="24"/>
                          </w:rPr>
                          <w:t>Taxation Challenges by SMEs</w:t>
                        </w:r>
                      </w:p>
                    </w:txbxContent>
                  </v:textbox>
                </v:roundrect>
                <v:roundrect id="Rectangle: Rounded Corners 57" o:spid="_x0000_s1028" style="position:absolute;width:17246;height:1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" fillcolor="white [3201]" strokecolor="#70ad47 [3209]" strokeweight="1pt">
                  <v:stroke joinstyle="miter"/>
                  <v:textbox>
                    <w:txbxContent>
                      <w:p w14:paraId="30BE79C9" w14:textId="77777777" w:rsidR="00775370" w:rsidRDefault="00775370" w:rsidP="00775370">
                        <w:pPr>
                          <w:rPr>
                            <w:rFonts w:ascii="Times New Roman" w:hAnsi="Times New Roman" w:cs="Times New Roman"/>
                            <w:b/>
                            <w:sz w:val="24"/>
                          </w:rPr>
                        </w:pPr>
                        <w:r w:rsidRPr="00775370">
                          <w:rPr>
                            <w:rFonts w:ascii="Times New Roman" w:hAnsi="Times New Roman" w:cs="Times New Roman"/>
                            <w:b/>
                            <w:sz w:val="24"/>
                          </w:rPr>
                          <w:t>Enforcement</w:t>
                        </w:r>
                      </w:p>
                      <w:p w14:paraId="1652D6B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Tax collection</w:t>
                        </w:r>
                      </w:p>
                      <w:p w14:paraId="0303AA8F"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Audit</w:t>
                        </w:r>
                      </w:p>
                      <w:p w14:paraId="3EB2EA6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Penalties</w:t>
                        </w:r>
                      </w:p>
                    </w:txbxContent>
                  </v:textbox>
                </v:roundrect>
                <v:shapetype id="_x0000_t32" coordsize="21600,21600" o:spt="32" o:oned="t" path="m,l21600,21600e" filled="f">
                  <v:path arrowok="t" fillok="f" o:connecttype="none"/>
                  <o:lock v:ext="edit" shapetype="t"/>
                </v:shapetype>
                <v:shape id="Straight Arrow Connector 5" o:spid="_x0000_s1029" type="#_x0000_t32" style="position:absolute;left:17621;top:6286;width:17431;height: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group>
            </w:pict>
          </mc:Fallback>
        </mc:AlternateContent>
      </w:r>
    </w:p>
    <w:p w14:paraId="4FA5742A" w14:textId="77777777" w:rsidR="00775370" w:rsidRDefault="00775370" w:rsidP="00775370">
      <w:pPr>
        <w:spacing w:after="0" w:line="360" w:lineRule="auto"/>
        <w:jc w:val="both"/>
        <w:rPr>
          <w:rFonts w:ascii="Times New Roman" w:hAnsi="Times New Roman" w:cs="Times New Roman"/>
          <w:b/>
          <w:sz w:val="24"/>
        </w:rPr>
      </w:pPr>
    </w:p>
    <w:p w14:paraId="19664282" w14:textId="77777777" w:rsidR="00775370" w:rsidRDefault="00775370" w:rsidP="00775370">
      <w:pPr>
        <w:spacing w:after="0" w:line="360" w:lineRule="auto"/>
        <w:jc w:val="both"/>
        <w:rPr>
          <w:rFonts w:ascii="Times New Roman" w:hAnsi="Times New Roman" w:cs="Times New Roman"/>
          <w:b/>
          <w:sz w:val="24"/>
        </w:rPr>
      </w:pPr>
    </w:p>
    <w:p w14:paraId="03122C9A" w14:textId="77777777" w:rsidR="00775370" w:rsidRDefault="00775370" w:rsidP="00775370">
      <w:pPr>
        <w:spacing w:after="0" w:line="360" w:lineRule="auto"/>
        <w:jc w:val="both"/>
        <w:rPr>
          <w:rFonts w:ascii="Times New Roman" w:hAnsi="Times New Roman" w:cs="Times New Roman"/>
          <w:b/>
          <w:sz w:val="24"/>
        </w:rPr>
      </w:pPr>
    </w:p>
    <w:p w14:paraId="6B45CC56" w14:textId="77777777" w:rsidR="00775370" w:rsidRDefault="00775370" w:rsidP="00775370">
      <w:pPr>
        <w:spacing w:after="0" w:line="360" w:lineRule="auto"/>
        <w:jc w:val="both"/>
        <w:rPr>
          <w:rFonts w:ascii="Times New Roman" w:hAnsi="Times New Roman" w:cs="Times New Roman"/>
          <w:b/>
          <w:sz w:val="24"/>
        </w:rPr>
      </w:pPr>
    </w:p>
    <w:p w14:paraId="6FBCE884" w14:textId="77777777" w:rsidR="00775370" w:rsidRDefault="00775370" w:rsidP="00775370">
      <w:pPr>
        <w:spacing w:after="0" w:line="360" w:lineRule="auto"/>
        <w:jc w:val="both"/>
        <w:rPr>
          <w:rFonts w:ascii="Times New Roman" w:hAnsi="Times New Roman" w:cs="Times New Roman"/>
          <w:b/>
          <w:sz w:val="24"/>
        </w:rPr>
      </w:pPr>
    </w:p>
    <w:p w14:paraId="3D3108AA" w14:textId="66D63FD9" w:rsidR="00775370" w:rsidRPr="004C124B" w:rsidRDefault="00775370" w:rsidP="00775370">
      <w:pPr>
        <w:spacing w:after="0" w:line="360" w:lineRule="auto"/>
        <w:jc w:val="both"/>
        <w:rPr>
          <w:rFonts w:ascii="Times New Roman" w:hAnsi="Times New Roman" w:cs="Times New Roman"/>
          <w:b/>
          <w:sz w:val="24"/>
        </w:rPr>
      </w:pPr>
      <w:r w:rsidRPr="004C124B">
        <w:rPr>
          <w:rFonts w:ascii="Times New Roman" w:hAnsi="Times New Roman" w:cs="Times New Roman"/>
          <w:b/>
          <w:sz w:val="24"/>
        </w:rPr>
        <w:t xml:space="preserve">Figure 1 Conceptual Framework </w:t>
      </w:r>
    </w:p>
    <w:p w14:paraId="1D262D37" w14:textId="77777777" w:rsidR="00775370" w:rsidRDefault="00775370" w:rsidP="00775370">
      <w:pPr>
        <w:spacing w:after="0" w:line="36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5CA14715" w14:textId="77777777" w:rsidR="00C051D1" w:rsidRPr="00C051D1" w:rsidRDefault="00C051D1" w:rsidP="00C051D1">
      <w:pPr>
        <w:spacing w:line="360" w:lineRule="auto"/>
        <w:jc w:val="both"/>
        <w:rPr>
          <w:rFonts w:ascii="Times New Roman" w:hAnsi="Times New Roman" w:cs="Times New Roman"/>
          <w:b/>
          <w:sz w:val="24"/>
        </w:rPr>
      </w:pPr>
      <w:r w:rsidRPr="00C051D1">
        <w:rPr>
          <w:rFonts w:ascii="Times New Roman" w:hAnsi="Times New Roman" w:cs="Times New Roman"/>
          <w:b/>
          <w:sz w:val="24"/>
        </w:rPr>
        <w:t>3. RESEARCH METHODOLOGY</w:t>
      </w:r>
    </w:p>
    <w:p w14:paraId="3230E1FF" w14:textId="77777777" w:rsidR="00A73844" w:rsidRPr="00C051D1" w:rsidRDefault="00C051D1" w:rsidP="00C051D1">
      <w:pPr>
        <w:spacing w:line="360" w:lineRule="auto"/>
        <w:jc w:val="both"/>
        <w:rPr>
          <w:rFonts w:ascii="Times New Roman" w:hAnsi="Times New Roman" w:cs="Times New Roman"/>
          <w:b/>
          <w:sz w:val="24"/>
        </w:rPr>
      </w:pPr>
      <w:r w:rsidRPr="00C051D1">
        <w:rPr>
          <w:rFonts w:ascii="Times New Roman" w:hAnsi="Times New Roman" w:cs="Times New Roman"/>
          <w:b/>
          <w:sz w:val="24"/>
        </w:rPr>
        <w:t>3.1 Study Area</w:t>
      </w:r>
    </w:p>
    <w:p w14:paraId="185AC6A9" w14:textId="77777777" w:rsidR="00C051D1" w:rsidRDefault="00FD2A6C" w:rsidP="00C051D1">
      <w:pPr>
        <w:spacing w:line="360" w:lineRule="auto"/>
        <w:jc w:val="both"/>
        <w:rPr>
          <w:rFonts w:ascii="Times New Roman" w:hAnsi="Times New Roman" w:cs="Times New Roman"/>
          <w:sz w:val="24"/>
        </w:rPr>
      </w:pPr>
      <w:r w:rsidRPr="00FD2A6C">
        <w:rPr>
          <w:rFonts w:ascii="Times New Roman" w:hAnsi="Times New Roman" w:cs="Times New Roman"/>
          <w:sz w:val="24"/>
        </w:rPr>
        <w:t xml:space="preserve">This study was conducted in </w:t>
      </w:r>
      <w:proofErr w:type="spellStart"/>
      <w:r w:rsidRPr="00FD2A6C">
        <w:rPr>
          <w:rFonts w:ascii="Times New Roman" w:hAnsi="Times New Roman" w:cs="Times New Roman"/>
          <w:sz w:val="24"/>
        </w:rPr>
        <w:t>Mafinga</w:t>
      </w:r>
      <w:proofErr w:type="spellEnd"/>
      <w:r w:rsidRPr="00FD2A6C">
        <w:rPr>
          <w:rFonts w:ascii="Times New Roman" w:hAnsi="Times New Roman" w:cs="Times New Roman"/>
          <w:sz w:val="24"/>
        </w:rPr>
        <w:t xml:space="preserve"> Township Council, Iringa Region, Tanzania. </w:t>
      </w:r>
      <w:proofErr w:type="spellStart"/>
      <w:r w:rsidRPr="00FD2A6C">
        <w:rPr>
          <w:rFonts w:ascii="Times New Roman" w:hAnsi="Times New Roman" w:cs="Times New Roman"/>
          <w:sz w:val="24"/>
        </w:rPr>
        <w:t>Mafinga</w:t>
      </w:r>
      <w:proofErr w:type="spellEnd"/>
      <w:r w:rsidRPr="00FD2A6C">
        <w:rPr>
          <w:rFonts w:ascii="Times New Roman" w:hAnsi="Times New Roman" w:cs="Times New Roman"/>
          <w:sz w:val="24"/>
        </w:rPr>
        <w:t xml:space="preserve"> presents a mix of traditional and modern business practices, where SMEs often operate between informal and formal sectors. This creates unique tax collection challenges </w:t>
      </w:r>
      <w:r>
        <w:rPr>
          <w:rFonts w:ascii="Times New Roman" w:hAnsi="Times New Roman" w:cs="Times New Roman"/>
          <w:sz w:val="24"/>
        </w:rPr>
        <w:t>including</w:t>
      </w:r>
      <w:r w:rsidRPr="00FD2A6C">
        <w:rPr>
          <w:rFonts w:ascii="Times New Roman" w:hAnsi="Times New Roman" w:cs="Times New Roman"/>
          <w:sz w:val="24"/>
        </w:rPr>
        <w:t xml:space="preserve"> poor </w:t>
      </w:r>
      <w:r w:rsidRPr="00FD2A6C">
        <w:rPr>
          <w:rFonts w:ascii="Times New Roman" w:hAnsi="Times New Roman" w:cs="Times New Roman"/>
          <w:sz w:val="24"/>
        </w:rPr>
        <w:lastRenderedPageBreak/>
        <w:t xml:space="preserve">record keeping, low financial literacy, and traditional views on taxation. Focusing on </w:t>
      </w:r>
      <w:proofErr w:type="spellStart"/>
      <w:r w:rsidRPr="00FD2A6C">
        <w:rPr>
          <w:rFonts w:ascii="Times New Roman" w:hAnsi="Times New Roman" w:cs="Times New Roman"/>
          <w:sz w:val="24"/>
        </w:rPr>
        <w:t>Mafinga</w:t>
      </w:r>
      <w:proofErr w:type="spellEnd"/>
      <w:r w:rsidRPr="00FD2A6C">
        <w:rPr>
          <w:rFonts w:ascii="Times New Roman" w:hAnsi="Times New Roman" w:cs="Times New Roman"/>
          <w:sz w:val="24"/>
        </w:rPr>
        <w:t xml:space="preserve"> helps reveal how these socio-cultural dynamics affect tax collection effectiveness.</w:t>
      </w:r>
    </w:p>
    <w:p w14:paraId="6D83FEC2" w14:textId="77777777" w:rsidR="00A73844" w:rsidRPr="00D34916" w:rsidRDefault="00D34916" w:rsidP="00A73844">
      <w:pPr>
        <w:spacing w:line="360" w:lineRule="auto"/>
        <w:jc w:val="both"/>
        <w:rPr>
          <w:rFonts w:ascii="Times New Roman" w:hAnsi="Times New Roman" w:cs="Times New Roman"/>
          <w:b/>
          <w:sz w:val="24"/>
        </w:rPr>
      </w:pPr>
      <w:r w:rsidRPr="00D34916">
        <w:rPr>
          <w:rFonts w:ascii="Times New Roman" w:hAnsi="Times New Roman" w:cs="Times New Roman"/>
          <w:b/>
          <w:sz w:val="24"/>
        </w:rPr>
        <w:t>3.2 Research Approach</w:t>
      </w:r>
    </w:p>
    <w:p w14:paraId="7BD14F9C" w14:textId="77777777" w:rsidR="00D34916" w:rsidRDefault="00D34916" w:rsidP="00A73844">
      <w:pPr>
        <w:spacing w:line="360" w:lineRule="auto"/>
        <w:jc w:val="both"/>
        <w:rPr>
          <w:rFonts w:ascii="Times New Roman" w:hAnsi="Times New Roman" w:cs="Times New Roman"/>
          <w:sz w:val="24"/>
        </w:rPr>
      </w:pPr>
      <w:r w:rsidRPr="00D34916">
        <w:rPr>
          <w:rFonts w:ascii="Times New Roman" w:hAnsi="Times New Roman" w:cs="Times New Roman"/>
          <w:sz w:val="24"/>
        </w:rPr>
        <w:t>The researcher used the mixed approach, that is; qualitative approach and quantitative approach to answer the research objectives on the challenges in tax collection from small and medium enterprises. The purposes of quantitative approach were to gather, analyses and measure statistical data while the purpose of qualitative approach was to explore the condition and situation in the tax system that can be the challenges hinders tax compliance.</w:t>
      </w:r>
    </w:p>
    <w:p w14:paraId="27E80CAF" w14:textId="77777777" w:rsidR="00D34916" w:rsidRPr="00D34916" w:rsidRDefault="00D34916" w:rsidP="00A73844">
      <w:pPr>
        <w:spacing w:line="360" w:lineRule="auto"/>
        <w:jc w:val="both"/>
        <w:rPr>
          <w:rFonts w:ascii="Times New Roman" w:hAnsi="Times New Roman" w:cs="Times New Roman"/>
          <w:b/>
          <w:sz w:val="24"/>
        </w:rPr>
      </w:pPr>
      <w:r w:rsidRPr="00D34916">
        <w:rPr>
          <w:rFonts w:ascii="Times New Roman" w:hAnsi="Times New Roman" w:cs="Times New Roman"/>
          <w:b/>
          <w:sz w:val="24"/>
        </w:rPr>
        <w:t>3.3 Research Design</w:t>
      </w:r>
    </w:p>
    <w:p w14:paraId="0C3B568A" w14:textId="77777777" w:rsidR="00D34916" w:rsidRDefault="00421A28" w:rsidP="00A73844">
      <w:pPr>
        <w:spacing w:line="360" w:lineRule="auto"/>
        <w:jc w:val="both"/>
        <w:rPr>
          <w:rFonts w:ascii="Times New Roman" w:hAnsi="Times New Roman" w:cs="Times New Roman"/>
          <w:sz w:val="24"/>
        </w:rPr>
      </w:pPr>
      <w:r w:rsidRPr="00421A28">
        <w:rPr>
          <w:rFonts w:ascii="Times New Roman" w:hAnsi="Times New Roman" w:cs="Times New Roman"/>
          <w:sz w:val="24"/>
        </w:rPr>
        <w:t xml:space="preserve">This study employed a qualitative descriptive case study design to explore tax compliance challenges among SMEs in </w:t>
      </w:r>
      <w:proofErr w:type="spellStart"/>
      <w:r w:rsidRPr="00421A28">
        <w:rPr>
          <w:rFonts w:ascii="Times New Roman" w:hAnsi="Times New Roman" w:cs="Times New Roman"/>
          <w:sz w:val="24"/>
        </w:rPr>
        <w:t>Mafinga</w:t>
      </w:r>
      <w:proofErr w:type="spellEnd"/>
      <w:r w:rsidRPr="00421A28">
        <w:rPr>
          <w:rFonts w:ascii="Times New Roman" w:hAnsi="Times New Roman" w:cs="Times New Roman"/>
          <w:sz w:val="24"/>
        </w:rPr>
        <w:t xml:space="preserve"> Town Council. The case study approach allowed for an in-depth examination of real-life tax issues within their context, while the descriptive aspect focused on outlining current practices, compliance levels, and the effectiveness of existing mechanisms. This approach aligns with Yin (2018) and Creswell (2014), who emphasize that descriptive case studies provide a detailed account of phenomena without manipulating variables.</w:t>
      </w:r>
    </w:p>
    <w:p w14:paraId="5B73B21D" w14:textId="77777777" w:rsidR="005E36B9" w:rsidRPr="005E36B9" w:rsidRDefault="005E36B9" w:rsidP="005E36B9">
      <w:pPr>
        <w:spacing w:line="360" w:lineRule="auto"/>
        <w:jc w:val="both"/>
        <w:rPr>
          <w:rFonts w:ascii="Times New Roman" w:hAnsi="Times New Roman" w:cs="Times New Roman"/>
          <w:b/>
          <w:sz w:val="24"/>
        </w:rPr>
      </w:pPr>
      <w:r w:rsidRPr="005E36B9">
        <w:rPr>
          <w:rFonts w:ascii="Times New Roman" w:hAnsi="Times New Roman" w:cs="Times New Roman"/>
          <w:b/>
          <w:sz w:val="24"/>
        </w:rPr>
        <w:t>3.4 Population, Sampling Technique and Sample Size</w:t>
      </w:r>
    </w:p>
    <w:p w14:paraId="0084F568" w14:textId="77777777" w:rsidR="005E36B9" w:rsidRPr="005E36B9" w:rsidRDefault="005E36B9" w:rsidP="005E36B9">
      <w:pPr>
        <w:spacing w:line="360" w:lineRule="auto"/>
        <w:jc w:val="both"/>
        <w:rPr>
          <w:rFonts w:ascii="Times New Roman" w:hAnsi="Times New Roman" w:cs="Times New Roman"/>
          <w:b/>
          <w:sz w:val="24"/>
        </w:rPr>
      </w:pPr>
      <w:r w:rsidRPr="005E36B9">
        <w:rPr>
          <w:rFonts w:ascii="Times New Roman" w:hAnsi="Times New Roman" w:cs="Times New Roman"/>
          <w:b/>
          <w:sz w:val="24"/>
        </w:rPr>
        <w:t>3.4.1 Population</w:t>
      </w:r>
    </w:p>
    <w:p w14:paraId="07C7355B" w14:textId="77777777" w:rsidR="005E36B9" w:rsidRPr="005E36B9" w:rsidRDefault="005E36B9" w:rsidP="005E36B9">
      <w:pPr>
        <w:spacing w:line="360" w:lineRule="auto"/>
        <w:jc w:val="both"/>
        <w:rPr>
          <w:rFonts w:ascii="Times New Roman" w:hAnsi="Times New Roman" w:cs="Times New Roman"/>
          <w:sz w:val="24"/>
        </w:rPr>
      </w:pPr>
      <w:r w:rsidRPr="005E36B9">
        <w:rPr>
          <w:rFonts w:ascii="Times New Roman" w:hAnsi="Times New Roman" w:cs="Times New Roman"/>
          <w:sz w:val="24"/>
        </w:rPr>
        <w:t xml:space="preserve">The study targeted 135 registered SMEs operating within </w:t>
      </w:r>
      <w:proofErr w:type="spellStart"/>
      <w:r w:rsidRPr="005E36B9">
        <w:rPr>
          <w:rFonts w:ascii="Times New Roman" w:hAnsi="Times New Roman" w:cs="Times New Roman"/>
          <w:sz w:val="24"/>
        </w:rPr>
        <w:t>Mafinga</w:t>
      </w:r>
      <w:proofErr w:type="spellEnd"/>
      <w:r w:rsidRPr="005E36B9">
        <w:rPr>
          <w:rFonts w:ascii="Times New Roman" w:hAnsi="Times New Roman" w:cs="Times New Roman"/>
          <w:sz w:val="24"/>
        </w:rPr>
        <w:t xml:space="preserve"> Town Council (WBN Portal, </w:t>
      </w:r>
      <w:proofErr w:type="spellStart"/>
      <w:r w:rsidRPr="005E36B9">
        <w:rPr>
          <w:rFonts w:ascii="Times New Roman" w:hAnsi="Times New Roman" w:cs="Times New Roman"/>
          <w:sz w:val="24"/>
        </w:rPr>
        <w:t>Mafinga</w:t>
      </w:r>
      <w:proofErr w:type="spellEnd"/>
      <w:r w:rsidRPr="005E36B9">
        <w:rPr>
          <w:rFonts w:ascii="Times New Roman" w:hAnsi="Times New Roman" w:cs="Times New Roman"/>
          <w:sz w:val="24"/>
        </w:rPr>
        <w:t xml:space="preserve"> TC) and officials from local tax authorities, including TRA officers and council revenue staff. As defined by Mugenda and Mugenda (2003), a population refers to the entire group of individuals or entities sharing common characteristics to which the study findings are generalized.</w:t>
      </w:r>
    </w:p>
    <w:p w14:paraId="00569BBC" w14:textId="77777777" w:rsidR="00421A28" w:rsidRPr="005E36B9" w:rsidRDefault="005E36B9" w:rsidP="005E36B9">
      <w:pPr>
        <w:spacing w:line="360" w:lineRule="auto"/>
        <w:jc w:val="both"/>
        <w:rPr>
          <w:rFonts w:ascii="Times New Roman" w:hAnsi="Times New Roman" w:cs="Times New Roman"/>
          <w:b/>
          <w:sz w:val="24"/>
        </w:rPr>
      </w:pPr>
      <w:r w:rsidRPr="005E36B9">
        <w:rPr>
          <w:rFonts w:ascii="Times New Roman" w:hAnsi="Times New Roman" w:cs="Times New Roman"/>
          <w:b/>
          <w:sz w:val="24"/>
        </w:rPr>
        <w:t>3.4.2 Sampling Technique</w:t>
      </w:r>
    </w:p>
    <w:p w14:paraId="15A138B4" w14:textId="63F33037" w:rsidR="005E36B9" w:rsidRDefault="005E36B9" w:rsidP="005E36B9">
      <w:pPr>
        <w:spacing w:line="360" w:lineRule="auto"/>
        <w:jc w:val="both"/>
        <w:rPr>
          <w:rFonts w:ascii="Times New Roman" w:hAnsi="Times New Roman" w:cs="Times New Roman"/>
          <w:sz w:val="24"/>
        </w:rPr>
      </w:pPr>
      <w:r w:rsidRPr="005E36B9">
        <w:rPr>
          <w:rFonts w:ascii="Times New Roman" w:hAnsi="Times New Roman" w:cs="Times New Roman"/>
          <w:sz w:val="24"/>
        </w:rPr>
        <w:t xml:space="preserve">This study employed a simple random sampling technique to select SMEs from a population of 135 registered enterprises in </w:t>
      </w:r>
      <w:proofErr w:type="spellStart"/>
      <w:r w:rsidRPr="005E36B9">
        <w:rPr>
          <w:rFonts w:ascii="Times New Roman" w:hAnsi="Times New Roman" w:cs="Times New Roman"/>
          <w:sz w:val="24"/>
        </w:rPr>
        <w:t>Mafinga</w:t>
      </w:r>
      <w:proofErr w:type="spellEnd"/>
      <w:r w:rsidRPr="005E36B9">
        <w:rPr>
          <w:rFonts w:ascii="Times New Roman" w:hAnsi="Times New Roman" w:cs="Times New Roman"/>
          <w:sz w:val="24"/>
        </w:rPr>
        <w:t xml:space="preserve"> Town Council. A complete sampling frame was prepared using local business registries and government records, ensuring each SME had an equal chance of selection. This method minimized bias and enhanced the reliability and representativeness of the findings. From the total population, a sample of 101 SMEs was drawn, </w:t>
      </w:r>
      <w:r w:rsidRPr="005E36B9">
        <w:rPr>
          <w:rFonts w:ascii="Times New Roman" w:hAnsi="Times New Roman" w:cs="Times New Roman"/>
          <w:sz w:val="24"/>
        </w:rPr>
        <w:lastRenderedPageBreak/>
        <w:t>distributed across retail shops, manufacturing, lodges/guest houses, and hotels/res</w:t>
      </w:r>
      <w:r>
        <w:rPr>
          <w:rFonts w:ascii="Times New Roman" w:hAnsi="Times New Roman" w:cs="Times New Roman"/>
          <w:sz w:val="24"/>
        </w:rPr>
        <w:t>taurants, as shown in Table .1</w:t>
      </w:r>
    </w:p>
    <w:p w14:paraId="65091277" w14:textId="038D898C" w:rsidR="005E36B9" w:rsidRPr="005E36B9" w:rsidRDefault="005E36B9" w:rsidP="005E36B9">
      <w:pPr>
        <w:spacing w:after="0" w:line="360" w:lineRule="auto"/>
        <w:jc w:val="both"/>
        <w:rPr>
          <w:rFonts w:ascii="Times New Roman" w:hAnsi="Times New Roman" w:cs="Times New Roman"/>
          <w:b/>
          <w:sz w:val="24"/>
          <w:szCs w:val="24"/>
        </w:rPr>
      </w:pPr>
      <w:bookmarkStart w:id="1" w:name="_Toc192422413"/>
      <w:r>
        <w:rPr>
          <w:rFonts w:ascii="Times New Roman" w:hAnsi="Times New Roman" w:cs="Times New Roman"/>
          <w:b/>
          <w:sz w:val="24"/>
          <w:szCs w:val="24"/>
        </w:rPr>
        <w:t>Table .1</w:t>
      </w:r>
      <w:r w:rsidRPr="00357DE2">
        <w:rPr>
          <w:rFonts w:ascii="Times New Roman" w:hAnsi="Times New Roman" w:cs="Times New Roman"/>
          <w:b/>
          <w:sz w:val="24"/>
          <w:szCs w:val="24"/>
        </w:rPr>
        <w:t xml:space="preserve"> Sample Distribution Table</w:t>
      </w:r>
      <w:bookmarkEnd w:id="1"/>
    </w:p>
    <w:tbl>
      <w:tblPr>
        <w:tblStyle w:val="TableGrid"/>
        <w:tblW w:w="87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463"/>
        <w:gridCol w:w="2075"/>
      </w:tblGrid>
      <w:tr w:rsidR="005E36B9" w:rsidRPr="00357DE2" w14:paraId="0846C3F9" w14:textId="77777777" w:rsidTr="001F1F10">
        <w:tc>
          <w:tcPr>
            <w:tcW w:w="3192" w:type="dxa"/>
            <w:tcBorders>
              <w:top w:val="single" w:sz="4" w:space="0" w:color="auto"/>
              <w:bottom w:val="single" w:sz="4" w:space="0" w:color="auto"/>
            </w:tcBorders>
          </w:tcPr>
          <w:p w14:paraId="28165138" w14:textId="77777777" w:rsidR="005E36B9" w:rsidRPr="005E36B9" w:rsidRDefault="005E36B9" w:rsidP="005E36B9">
            <w:pPr>
              <w:jc w:val="both"/>
              <w:rPr>
                <w:rFonts w:ascii="Times New Roman" w:hAnsi="Times New Roman" w:cs="Times New Roman"/>
                <w:b/>
                <w:sz w:val="20"/>
                <w:szCs w:val="24"/>
              </w:rPr>
            </w:pPr>
            <w:r w:rsidRPr="005E36B9">
              <w:rPr>
                <w:rFonts w:ascii="Times New Roman" w:hAnsi="Times New Roman" w:cs="Times New Roman"/>
                <w:b/>
                <w:sz w:val="20"/>
                <w:szCs w:val="24"/>
              </w:rPr>
              <w:t>SME’s</w:t>
            </w:r>
          </w:p>
        </w:tc>
        <w:tc>
          <w:tcPr>
            <w:tcW w:w="3463" w:type="dxa"/>
            <w:tcBorders>
              <w:top w:val="single" w:sz="4" w:space="0" w:color="auto"/>
              <w:bottom w:val="single" w:sz="4" w:space="0" w:color="auto"/>
            </w:tcBorders>
          </w:tcPr>
          <w:p w14:paraId="7B368783"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Registered Population</w:t>
            </w:r>
          </w:p>
        </w:tc>
        <w:tc>
          <w:tcPr>
            <w:tcW w:w="2075" w:type="dxa"/>
            <w:tcBorders>
              <w:top w:val="single" w:sz="4" w:space="0" w:color="auto"/>
              <w:bottom w:val="single" w:sz="4" w:space="0" w:color="auto"/>
            </w:tcBorders>
          </w:tcPr>
          <w:p w14:paraId="75F9B94D"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Sample size</w:t>
            </w:r>
          </w:p>
        </w:tc>
      </w:tr>
      <w:tr w:rsidR="005E36B9" w:rsidRPr="00357DE2" w14:paraId="38A3A541" w14:textId="77777777" w:rsidTr="001F1F10">
        <w:tc>
          <w:tcPr>
            <w:tcW w:w="3192" w:type="dxa"/>
            <w:tcBorders>
              <w:top w:val="single" w:sz="4" w:space="0" w:color="auto"/>
            </w:tcBorders>
          </w:tcPr>
          <w:p w14:paraId="1DD8EAD2"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Retail shops</w:t>
            </w:r>
          </w:p>
        </w:tc>
        <w:tc>
          <w:tcPr>
            <w:tcW w:w="3463" w:type="dxa"/>
            <w:tcBorders>
              <w:top w:val="single" w:sz="4" w:space="0" w:color="auto"/>
            </w:tcBorders>
          </w:tcPr>
          <w:p w14:paraId="25B53915"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47</w:t>
            </w:r>
          </w:p>
        </w:tc>
        <w:tc>
          <w:tcPr>
            <w:tcW w:w="2075" w:type="dxa"/>
            <w:tcBorders>
              <w:top w:val="single" w:sz="4" w:space="0" w:color="auto"/>
            </w:tcBorders>
          </w:tcPr>
          <w:p w14:paraId="345B9659"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35</w:t>
            </w:r>
          </w:p>
        </w:tc>
      </w:tr>
      <w:tr w:rsidR="005E36B9" w:rsidRPr="00357DE2" w14:paraId="1FCAD774" w14:textId="77777777" w:rsidTr="005E36B9">
        <w:trPr>
          <w:trHeight w:val="80"/>
        </w:trPr>
        <w:tc>
          <w:tcPr>
            <w:tcW w:w="3192" w:type="dxa"/>
          </w:tcPr>
          <w:p w14:paraId="79078F0B"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Manufacturing sector</w:t>
            </w:r>
          </w:p>
        </w:tc>
        <w:tc>
          <w:tcPr>
            <w:tcW w:w="3463" w:type="dxa"/>
          </w:tcPr>
          <w:p w14:paraId="3207906F"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24</w:t>
            </w:r>
          </w:p>
        </w:tc>
        <w:tc>
          <w:tcPr>
            <w:tcW w:w="2075" w:type="dxa"/>
          </w:tcPr>
          <w:p w14:paraId="673CBA7A"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18</w:t>
            </w:r>
          </w:p>
        </w:tc>
      </w:tr>
      <w:tr w:rsidR="005E36B9" w:rsidRPr="00357DE2" w14:paraId="46DA21F8" w14:textId="77777777" w:rsidTr="005E36B9">
        <w:trPr>
          <w:trHeight w:val="80"/>
        </w:trPr>
        <w:tc>
          <w:tcPr>
            <w:tcW w:w="3192" w:type="dxa"/>
          </w:tcPr>
          <w:p w14:paraId="43B83DA7"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Lodges and guest houses</w:t>
            </w:r>
          </w:p>
        </w:tc>
        <w:tc>
          <w:tcPr>
            <w:tcW w:w="3463" w:type="dxa"/>
          </w:tcPr>
          <w:p w14:paraId="0E221892"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35</w:t>
            </w:r>
          </w:p>
        </w:tc>
        <w:tc>
          <w:tcPr>
            <w:tcW w:w="2075" w:type="dxa"/>
          </w:tcPr>
          <w:p w14:paraId="4D1557E7"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26</w:t>
            </w:r>
          </w:p>
        </w:tc>
      </w:tr>
      <w:tr w:rsidR="005E36B9" w:rsidRPr="00357DE2" w14:paraId="60B474FC" w14:textId="77777777" w:rsidTr="001F1F10">
        <w:tc>
          <w:tcPr>
            <w:tcW w:w="3192" w:type="dxa"/>
          </w:tcPr>
          <w:p w14:paraId="3955F3E5"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Hotels and restaurant</w:t>
            </w:r>
          </w:p>
        </w:tc>
        <w:tc>
          <w:tcPr>
            <w:tcW w:w="3463" w:type="dxa"/>
          </w:tcPr>
          <w:p w14:paraId="317A7900"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29</w:t>
            </w:r>
          </w:p>
        </w:tc>
        <w:tc>
          <w:tcPr>
            <w:tcW w:w="2075" w:type="dxa"/>
          </w:tcPr>
          <w:p w14:paraId="4280C28D"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22</w:t>
            </w:r>
          </w:p>
        </w:tc>
      </w:tr>
      <w:tr w:rsidR="005E36B9" w:rsidRPr="00357DE2" w14:paraId="52207964" w14:textId="77777777" w:rsidTr="001F1F10">
        <w:tc>
          <w:tcPr>
            <w:tcW w:w="3192" w:type="dxa"/>
          </w:tcPr>
          <w:p w14:paraId="05F8D89E" w14:textId="77777777" w:rsidR="005E36B9" w:rsidRPr="005E36B9" w:rsidRDefault="005E36B9" w:rsidP="005E36B9">
            <w:pPr>
              <w:jc w:val="both"/>
              <w:rPr>
                <w:rFonts w:ascii="Times New Roman" w:hAnsi="Times New Roman" w:cs="Times New Roman"/>
                <w:b/>
                <w:sz w:val="20"/>
                <w:szCs w:val="24"/>
              </w:rPr>
            </w:pPr>
            <w:r w:rsidRPr="005E36B9">
              <w:rPr>
                <w:rFonts w:ascii="Times New Roman" w:hAnsi="Times New Roman" w:cs="Times New Roman"/>
                <w:b/>
                <w:sz w:val="20"/>
                <w:szCs w:val="24"/>
              </w:rPr>
              <w:t>TOTAL</w:t>
            </w:r>
          </w:p>
        </w:tc>
        <w:tc>
          <w:tcPr>
            <w:tcW w:w="3463" w:type="dxa"/>
          </w:tcPr>
          <w:p w14:paraId="369ADC8C"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135</w:t>
            </w:r>
          </w:p>
        </w:tc>
        <w:tc>
          <w:tcPr>
            <w:tcW w:w="2075" w:type="dxa"/>
          </w:tcPr>
          <w:p w14:paraId="6E0BB4B5"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101</w:t>
            </w:r>
          </w:p>
        </w:tc>
      </w:tr>
    </w:tbl>
    <w:p w14:paraId="42DDD210" w14:textId="77777777" w:rsidR="005E36B9" w:rsidRPr="00357DE2" w:rsidRDefault="005E36B9" w:rsidP="005E36B9">
      <w:pPr>
        <w:spacing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Researcher, 2025</w:t>
      </w:r>
    </w:p>
    <w:p w14:paraId="52D07665" w14:textId="77777777" w:rsidR="00D34916" w:rsidRPr="005E36B9" w:rsidRDefault="005E36B9" w:rsidP="00A73844">
      <w:pPr>
        <w:spacing w:line="360" w:lineRule="auto"/>
        <w:jc w:val="both"/>
        <w:rPr>
          <w:rFonts w:ascii="Times New Roman" w:hAnsi="Times New Roman" w:cs="Times New Roman"/>
          <w:b/>
          <w:sz w:val="24"/>
        </w:rPr>
      </w:pPr>
      <w:r w:rsidRPr="005E36B9">
        <w:rPr>
          <w:rFonts w:ascii="Times New Roman" w:hAnsi="Times New Roman" w:cs="Times New Roman"/>
          <w:b/>
          <w:sz w:val="24"/>
        </w:rPr>
        <w:t>3.4.3 Sample Size</w:t>
      </w:r>
    </w:p>
    <w:p w14:paraId="225ADE94" w14:textId="77777777" w:rsidR="005E36B9" w:rsidRDefault="005E36B9" w:rsidP="00A73844">
      <w:pPr>
        <w:spacing w:line="360" w:lineRule="auto"/>
        <w:jc w:val="both"/>
        <w:rPr>
          <w:rFonts w:ascii="Times New Roman" w:hAnsi="Times New Roman" w:cs="Times New Roman"/>
          <w:sz w:val="24"/>
        </w:rPr>
      </w:pPr>
      <w:r w:rsidRPr="005E36B9">
        <w:rPr>
          <w:rFonts w:ascii="Times New Roman" w:hAnsi="Times New Roman" w:cs="Times New Roman"/>
          <w:sz w:val="24"/>
        </w:rPr>
        <w:t xml:space="preserve">According to Saunders, Lewis, and Thornhill (2019), a sample size refers to the number of items chosen from a population for study. The unit of analysis for this research was SME owners or managers, with an additional focus on key informants from tax authorities. From a population of 135 registered SMEs in </w:t>
      </w:r>
      <w:proofErr w:type="spellStart"/>
      <w:r w:rsidRPr="005E36B9">
        <w:rPr>
          <w:rFonts w:ascii="Times New Roman" w:hAnsi="Times New Roman" w:cs="Times New Roman"/>
          <w:sz w:val="24"/>
        </w:rPr>
        <w:t>Mafinga</w:t>
      </w:r>
      <w:proofErr w:type="spellEnd"/>
      <w:r w:rsidRPr="005E36B9">
        <w:rPr>
          <w:rFonts w:ascii="Times New Roman" w:hAnsi="Times New Roman" w:cs="Times New Roman"/>
          <w:sz w:val="24"/>
        </w:rPr>
        <w:t xml:space="preserve"> Town Council, a sample size of 101 was determined using Slovin’s formula at a 5% significance level, calculated as:</w:t>
      </w:r>
    </w:p>
    <w:p w14:paraId="13199E19"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 (e</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58D2DFC0"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Where;</w:t>
      </w:r>
    </w:p>
    <w:p w14:paraId="2CDEAB35"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n= Sample size</w:t>
      </w:r>
    </w:p>
    <w:p w14:paraId="755ADDA7"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N= Population size</w:t>
      </w:r>
    </w:p>
    <w:p w14:paraId="39F641DC"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E= Level of significance 0.05</w:t>
      </w:r>
    </w:p>
    <w:p w14:paraId="374967DE"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For this study,</w:t>
      </w:r>
    </w:p>
    <w:p w14:paraId="16228C6A"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 xml:space="preserve">There for, the sample size will be </w:t>
      </w:r>
    </w:p>
    <w:p w14:paraId="46716D0A"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1+135 (0.0.5</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0870EAC2"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1+135 (0.0025)</m:t>
            </m:r>
          </m:den>
        </m:f>
      </m:oMath>
    </w:p>
    <w:p w14:paraId="6EEACAF2"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1+0.3375</m:t>
            </m:r>
          </m:den>
        </m:f>
      </m:oMath>
    </w:p>
    <w:p w14:paraId="4078A824"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1.3375</m:t>
            </m:r>
          </m:den>
        </m:f>
      </m:oMath>
    </w:p>
    <w:p w14:paraId="6FD73B3A"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w:r w:rsidR="00805796">
        <w:rPr>
          <w:rFonts w:ascii="Times New Roman" w:hAnsi="Times New Roman" w:cs="Times New Roman"/>
          <w:sz w:val="24"/>
        </w:rPr>
        <w:t>100.9 or 101</w:t>
      </w:r>
    </w:p>
    <w:p w14:paraId="2F080B38" w14:textId="77777777" w:rsidR="005E36B9" w:rsidRDefault="005E36B9" w:rsidP="00A73844">
      <w:pPr>
        <w:spacing w:line="360" w:lineRule="auto"/>
        <w:jc w:val="both"/>
        <w:rPr>
          <w:rFonts w:ascii="Times New Roman" w:hAnsi="Times New Roman" w:cs="Times New Roman"/>
          <w:sz w:val="24"/>
        </w:rPr>
      </w:pPr>
      <w:r w:rsidRPr="005E36B9">
        <w:rPr>
          <w:rFonts w:ascii="Times New Roman" w:hAnsi="Times New Roman" w:cs="Times New Roman"/>
          <w:sz w:val="24"/>
        </w:rPr>
        <w:lastRenderedPageBreak/>
        <w:t>Thus, the study involved 101 SME owners/managers (42 small and 59 medium enterprises) and 4 key informants (2 TRA officers and 2 council trade officers), making a total of 105 respondents.</w:t>
      </w:r>
    </w:p>
    <w:p w14:paraId="62A33397" w14:textId="753BBE3D" w:rsidR="00F3090B" w:rsidRPr="00F3090B" w:rsidRDefault="00F3090B" w:rsidP="00A73844">
      <w:pPr>
        <w:spacing w:line="360" w:lineRule="auto"/>
        <w:jc w:val="both"/>
        <w:rPr>
          <w:rFonts w:ascii="Times New Roman" w:hAnsi="Times New Roman" w:cs="Times New Roman"/>
          <w:b/>
          <w:sz w:val="24"/>
        </w:rPr>
      </w:pPr>
      <w:r w:rsidRPr="00F3090B">
        <w:rPr>
          <w:rFonts w:ascii="Times New Roman" w:hAnsi="Times New Roman" w:cs="Times New Roman"/>
          <w:b/>
          <w:sz w:val="24"/>
        </w:rPr>
        <w:t>Table 2: Respondents Distribution Table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3603"/>
      </w:tblGrid>
      <w:tr w:rsidR="00F3090B" w:rsidRPr="00357DE2" w14:paraId="46BF0B90" w14:textId="77777777" w:rsidTr="001F1F10">
        <w:tc>
          <w:tcPr>
            <w:tcW w:w="5575" w:type="dxa"/>
            <w:tcBorders>
              <w:top w:val="single" w:sz="4" w:space="0" w:color="auto"/>
              <w:bottom w:val="single" w:sz="4" w:space="0" w:color="auto"/>
            </w:tcBorders>
          </w:tcPr>
          <w:p w14:paraId="29FF164D"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Organization</w:t>
            </w:r>
          </w:p>
        </w:tc>
        <w:tc>
          <w:tcPr>
            <w:tcW w:w="3690" w:type="dxa"/>
            <w:tcBorders>
              <w:top w:val="single" w:sz="4" w:space="0" w:color="auto"/>
              <w:bottom w:val="single" w:sz="4" w:space="0" w:color="auto"/>
            </w:tcBorders>
          </w:tcPr>
          <w:p w14:paraId="3A0757C6"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Number of respondents</w:t>
            </w:r>
          </w:p>
        </w:tc>
      </w:tr>
      <w:tr w:rsidR="00F3090B" w:rsidRPr="00357DE2" w14:paraId="22851E11" w14:textId="77777777" w:rsidTr="001F1F10">
        <w:tc>
          <w:tcPr>
            <w:tcW w:w="5575" w:type="dxa"/>
            <w:tcBorders>
              <w:top w:val="single" w:sz="4" w:space="0" w:color="auto"/>
            </w:tcBorders>
          </w:tcPr>
          <w:p w14:paraId="2A2B7BD7" w14:textId="77777777" w:rsidR="00F3090B" w:rsidRPr="00F3090B" w:rsidRDefault="00F3090B" w:rsidP="00F3090B">
            <w:pPr>
              <w:jc w:val="both"/>
              <w:rPr>
                <w:rFonts w:ascii="Times New Roman" w:hAnsi="Times New Roman" w:cs="Times New Roman"/>
                <w:sz w:val="20"/>
                <w:szCs w:val="24"/>
              </w:rPr>
            </w:pPr>
            <w:proofErr w:type="gramStart"/>
            <w:r w:rsidRPr="00F3090B">
              <w:rPr>
                <w:rFonts w:ascii="Times New Roman" w:hAnsi="Times New Roman" w:cs="Times New Roman"/>
                <w:sz w:val="20"/>
                <w:szCs w:val="24"/>
              </w:rPr>
              <w:t>SME,s</w:t>
            </w:r>
            <w:proofErr w:type="gramEnd"/>
          </w:p>
        </w:tc>
        <w:tc>
          <w:tcPr>
            <w:tcW w:w="3690" w:type="dxa"/>
            <w:tcBorders>
              <w:top w:val="single" w:sz="4" w:space="0" w:color="auto"/>
            </w:tcBorders>
          </w:tcPr>
          <w:p w14:paraId="613AA97E"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101</w:t>
            </w:r>
          </w:p>
        </w:tc>
      </w:tr>
      <w:tr w:rsidR="00F3090B" w:rsidRPr="00357DE2" w14:paraId="5185DFC6" w14:textId="77777777" w:rsidTr="001F1F10">
        <w:tc>
          <w:tcPr>
            <w:tcW w:w="5575" w:type="dxa"/>
          </w:tcPr>
          <w:p w14:paraId="67DF3D1A"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TRA</w:t>
            </w:r>
          </w:p>
        </w:tc>
        <w:tc>
          <w:tcPr>
            <w:tcW w:w="3690" w:type="dxa"/>
          </w:tcPr>
          <w:p w14:paraId="7A3800DC"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02</w:t>
            </w:r>
          </w:p>
        </w:tc>
      </w:tr>
      <w:tr w:rsidR="00F3090B" w:rsidRPr="00357DE2" w14:paraId="46AF161B" w14:textId="77777777" w:rsidTr="001F1F10">
        <w:tc>
          <w:tcPr>
            <w:tcW w:w="5575" w:type="dxa"/>
          </w:tcPr>
          <w:p w14:paraId="17E67F7B"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Council trade department</w:t>
            </w:r>
          </w:p>
        </w:tc>
        <w:tc>
          <w:tcPr>
            <w:tcW w:w="3690" w:type="dxa"/>
          </w:tcPr>
          <w:p w14:paraId="00B54F47"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02</w:t>
            </w:r>
          </w:p>
        </w:tc>
      </w:tr>
      <w:tr w:rsidR="00F3090B" w:rsidRPr="00357DE2" w14:paraId="354EA333" w14:textId="77777777" w:rsidTr="001F1F10">
        <w:tc>
          <w:tcPr>
            <w:tcW w:w="5575" w:type="dxa"/>
          </w:tcPr>
          <w:p w14:paraId="45EFF64E"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TOTAL</w:t>
            </w:r>
          </w:p>
        </w:tc>
        <w:tc>
          <w:tcPr>
            <w:tcW w:w="3690" w:type="dxa"/>
          </w:tcPr>
          <w:p w14:paraId="21C8F43E"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105</w:t>
            </w:r>
          </w:p>
        </w:tc>
      </w:tr>
    </w:tbl>
    <w:p w14:paraId="24D7A99B" w14:textId="77777777" w:rsidR="00F3090B" w:rsidRPr="00357DE2" w:rsidRDefault="00F3090B" w:rsidP="00F3090B">
      <w:pPr>
        <w:spacing w:before="240" w:line="360" w:lineRule="auto"/>
        <w:jc w:val="both"/>
        <w:rPr>
          <w:rFonts w:ascii="Times New Roman" w:hAnsi="Times New Roman" w:cs="Times New Roman"/>
          <w:sz w:val="24"/>
          <w:szCs w:val="24"/>
        </w:rPr>
      </w:pPr>
      <w:r w:rsidRPr="00357DE2">
        <w:rPr>
          <w:rFonts w:ascii="Times New Roman" w:hAnsi="Times New Roman" w:cs="Times New Roman"/>
          <w:b/>
          <w:sz w:val="24"/>
          <w:szCs w:val="24"/>
        </w:rPr>
        <w:t>Source: Researcher, 2025</w:t>
      </w:r>
    </w:p>
    <w:p w14:paraId="00925D21"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 Data and Data Collection Methods/Techniques</w:t>
      </w:r>
    </w:p>
    <w:p w14:paraId="0A0B68D9" w14:textId="77777777" w:rsid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3.5.1 Types of Data</w:t>
      </w:r>
    </w:p>
    <w:p w14:paraId="72C2069A"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This study used both of primary and secondary data. Whereas.</w:t>
      </w:r>
    </w:p>
    <w:p w14:paraId="18842903"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3.5.1.1 Primary Data</w:t>
      </w:r>
    </w:p>
    <w:p w14:paraId="212618E8"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Primary data refers to information collected firsthand and specifically for the study (Saunders &amp; Lewis, 2019). In this research, primary data was obtained directly from SME owners/managers through questionnaires, interviews, and documentary reviews.</w:t>
      </w:r>
    </w:p>
    <w:p w14:paraId="4D963454"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3.5.1.2 Secondary Data</w:t>
      </w:r>
    </w:p>
    <w:p w14:paraId="16624F43"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Secondary data refers to information that has already been collected and analyzed by others (Saunders &amp; Thornhill, 2019). Sources included books, journals, newspapers, internet materials, and government reports relevant to taxation and SMEs.</w:t>
      </w:r>
    </w:p>
    <w:p w14:paraId="54878186"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3.5.2 Data Collection Methods</w:t>
      </w:r>
    </w:p>
    <w:p w14:paraId="6D80D6C1"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Data collection methods are systematic procedures used to gather information to answer research questions (Kothari, 2004; Creswell, 2014). The tools applied included interviews and questionnaires, as supported by Kumar (2011).</w:t>
      </w:r>
    </w:p>
    <w:p w14:paraId="02BBAB98"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3.5.2.1 Interviews</w:t>
      </w:r>
    </w:p>
    <w:p w14:paraId="74B294E5"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 xml:space="preserve">Semi-structured interviews were conducted with four (4) tax management officers from TRA and the </w:t>
      </w:r>
      <w:proofErr w:type="spellStart"/>
      <w:r w:rsidRPr="00A856B6">
        <w:rPr>
          <w:rFonts w:ascii="Times New Roman" w:hAnsi="Times New Roman" w:cs="Times New Roman"/>
          <w:sz w:val="24"/>
        </w:rPr>
        <w:t>Mafinga</w:t>
      </w:r>
      <w:proofErr w:type="spellEnd"/>
      <w:r w:rsidRPr="00A856B6">
        <w:rPr>
          <w:rFonts w:ascii="Times New Roman" w:hAnsi="Times New Roman" w:cs="Times New Roman"/>
          <w:sz w:val="24"/>
        </w:rPr>
        <w:t xml:space="preserve"> Council. This method allowed respondents to freely express their views and provided deeper insights into tax collection challenges (Creswell &amp; Poth, 2018).</w:t>
      </w:r>
    </w:p>
    <w:p w14:paraId="02071B9F" w14:textId="77777777" w:rsidR="001B70BA" w:rsidRDefault="001B70BA">
      <w:pPr>
        <w:rPr>
          <w:rFonts w:ascii="Times New Roman" w:hAnsi="Times New Roman" w:cs="Times New Roman"/>
          <w:b/>
          <w:sz w:val="24"/>
        </w:rPr>
      </w:pPr>
      <w:r>
        <w:rPr>
          <w:rFonts w:ascii="Times New Roman" w:hAnsi="Times New Roman" w:cs="Times New Roman"/>
          <w:b/>
          <w:sz w:val="24"/>
        </w:rPr>
        <w:br w:type="page"/>
      </w:r>
    </w:p>
    <w:p w14:paraId="65BB41B5"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lastRenderedPageBreak/>
        <w:t>3.5.2.2 Questionnaires</w:t>
      </w:r>
    </w:p>
    <w:p w14:paraId="5BD49745" w14:textId="77777777" w:rsid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Questionnaires, consisting of both open- and close-ended questions, were distributed to 101 SME owners/managers. This method helped capture their attitudes, culture, and knowledge regarding tax payment, providing quantitative and qualitative data (Johnson &amp; Christensen, 2017).</w:t>
      </w:r>
    </w:p>
    <w:p w14:paraId="05BC0CBC" w14:textId="77777777" w:rsidR="004906BA" w:rsidRPr="004906BA" w:rsidRDefault="004906BA" w:rsidP="004906BA">
      <w:pPr>
        <w:spacing w:line="360" w:lineRule="auto"/>
        <w:jc w:val="both"/>
        <w:rPr>
          <w:rFonts w:ascii="Times New Roman" w:hAnsi="Times New Roman" w:cs="Times New Roman"/>
          <w:b/>
          <w:sz w:val="24"/>
        </w:rPr>
      </w:pPr>
      <w:r w:rsidRPr="004906BA">
        <w:rPr>
          <w:rFonts w:ascii="Times New Roman" w:hAnsi="Times New Roman" w:cs="Times New Roman"/>
          <w:b/>
          <w:sz w:val="24"/>
        </w:rPr>
        <w:t>3.6 Data Analysis Methods/Techniques</w:t>
      </w:r>
    </w:p>
    <w:p w14:paraId="1A413388" w14:textId="77777777" w:rsidR="004906BA" w:rsidRPr="004906BA" w:rsidRDefault="004906BA" w:rsidP="004906BA">
      <w:pPr>
        <w:spacing w:line="360" w:lineRule="auto"/>
        <w:jc w:val="both"/>
        <w:rPr>
          <w:rFonts w:ascii="Times New Roman" w:hAnsi="Times New Roman" w:cs="Times New Roman"/>
          <w:sz w:val="24"/>
        </w:rPr>
      </w:pPr>
      <w:r w:rsidRPr="004906BA">
        <w:rPr>
          <w:rFonts w:ascii="Times New Roman" w:hAnsi="Times New Roman" w:cs="Times New Roman"/>
          <w:sz w:val="24"/>
        </w:rPr>
        <w:t>Data analysis is the process of systematically applying statistical and logical techniques to describe, condense, and evaluate research data (Gong, 2015; Agarwal, 2015). In this study, both quantitative and qualitative approaches were applied.</w:t>
      </w:r>
    </w:p>
    <w:p w14:paraId="5262BAD4" w14:textId="77777777" w:rsidR="004906BA" w:rsidRPr="004906BA" w:rsidRDefault="004906BA" w:rsidP="004906BA">
      <w:pPr>
        <w:spacing w:line="360" w:lineRule="auto"/>
        <w:jc w:val="both"/>
        <w:rPr>
          <w:rFonts w:ascii="Times New Roman" w:hAnsi="Times New Roman" w:cs="Times New Roman"/>
          <w:b/>
          <w:sz w:val="24"/>
        </w:rPr>
      </w:pPr>
      <w:r w:rsidRPr="004906BA">
        <w:rPr>
          <w:rFonts w:ascii="Times New Roman" w:hAnsi="Times New Roman" w:cs="Times New Roman"/>
          <w:b/>
          <w:sz w:val="24"/>
        </w:rPr>
        <w:t>3.6.1 Quantitative Data</w:t>
      </w:r>
    </w:p>
    <w:p w14:paraId="30A6295D" w14:textId="77777777" w:rsidR="004906BA" w:rsidRPr="004906BA" w:rsidRDefault="004906BA" w:rsidP="004906BA">
      <w:pPr>
        <w:spacing w:line="360" w:lineRule="auto"/>
        <w:jc w:val="both"/>
        <w:rPr>
          <w:rFonts w:ascii="Times New Roman" w:hAnsi="Times New Roman" w:cs="Times New Roman"/>
          <w:sz w:val="24"/>
        </w:rPr>
      </w:pPr>
      <w:r w:rsidRPr="004906BA">
        <w:rPr>
          <w:rFonts w:ascii="Times New Roman" w:hAnsi="Times New Roman" w:cs="Times New Roman"/>
          <w:sz w:val="24"/>
        </w:rPr>
        <w:t>Quantitative data refers to numerical information measured on ordinal, interval, or ratio scales. In this study, quantitative data from SMEs were analyzed using the Statistical Package for Social Sciences (SPSS) version 25. Descriptive statistics such as frequencies and percentages were employed to examine relationships between variables (Melissa, 2017).</w:t>
      </w:r>
    </w:p>
    <w:p w14:paraId="718DA029" w14:textId="77777777" w:rsidR="004906BA" w:rsidRPr="004906BA" w:rsidRDefault="004906BA" w:rsidP="004906BA">
      <w:pPr>
        <w:spacing w:line="360" w:lineRule="auto"/>
        <w:jc w:val="both"/>
        <w:rPr>
          <w:rFonts w:ascii="Times New Roman" w:hAnsi="Times New Roman" w:cs="Times New Roman"/>
          <w:b/>
          <w:sz w:val="24"/>
        </w:rPr>
      </w:pPr>
      <w:r w:rsidRPr="004906BA">
        <w:rPr>
          <w:rFonts w:ascii="Times New Roman" w:hAnsi="Times New Roman" w:cs="Times New Roman"/>
          <w:b/>
          <w:sz w:val="24"/>
        </w:rPr>
        <w:t>3.6.2 Qualitative Data</w:t>
      </w:r>
    </w:p>
    <w:p w14:paraId="61463AC1" w14:textId="77777777" w:rsidR="00A856B6" w:rsidRDefault="004906BA" w:rsidP="004906BA">
      <w:pPr>
        <w:spacing w:line="360" w:lineRule="auto"/>
        <w:jc w:val="both"/>
        <w:rPr>
          <w:rFonts w:ascii="Times New Roman" w:hAnsi="Times New Roman" w:cs="Times New Roman"/>
          <w:sz w:val="24"/>
        </w:rPr>
      </w:pPr>
      <w:r w:rsidRPr="004906BA">
        <w:rPr>
          <w:rFonts w:ascii="Times New Roman" w:hAnsi="Times New Roman" w:cs="Times New Roman"/>
          <w:sz w:val="24"/>
        </w:rPr>
        <w:t>Qualitative data refers to non-numerical information that captures participants’ experiences, attitudes, and perceptions. Data from interviews with tax officials were analyzed through coding, categorization, and thematic analysis to generate meaningful patterns. This aligns with Creswell (2014), who emphasizes that qualitative analysis seeks to understand meanings and experiences in depth.</w:t>
      </w:r>
    </w:p>
    <w:p w14:paraId="5E48F3AD" w14:textId="77777777" w:rsidR="00AD2C50" w:rsidRPr="00AD2C50" w:rsidRDefault="00AD2C50" w:rsidP="00AD2C50">
      <w:pPr>
        <w:spacing w:line="360" w:lineRule="auto"/>
        <w:jc w:val="both"/>
        <w:rPr>
          <w:rFonts w:ascii="Times New Roman" w:hAnsi="Times New Roman" w:cs="Times New Roman"/>
          <w:b/>
          <w:sz w:val="24"/>
        </w:rPr>
      </w:pPr>
      <w:r w:rsidRPr="00AD2C50">
        <w:rPr>
          <w:rFonts w:ascii="Times New Roman" w:hAnsi="Times New Roman" w:cs="Times New Roman"/>
          <w:b/>
          <w:sz w:val="24"/>
        </w:rPr>
        <w:t>3.7 Validity and Reliability</w:t>
      </w:r>
    </w:p>
    <w:p w14:paraId="2FB90D77" w14:textId="77777777" w:rsidR="00AD2C50" w:rsidRPr="00AD2C50" w:rsidRDefault="00AD2C50" w:rsidP="00AD2C50">
      <w:pPr>
        <w:spacing w:line="360" w:lineRule="auto"/>
        <w:jc w:val="both"/>
        <w:rPr>
          <w:rFonts w:ascii="Times New Roman" w:hAnsi="Times New Roman" w:cs="Times New Roman"/>
          <w:b/>
          <w:sz w:val="24"/>
        </w:rPr>
      </w:pPr>
      <w:r w:rsidRPr="00AD2C50">
        <w:rPr>
          <w:rFonts w:ascii="Times New Roman" w:hAnsi="Times New Roman" w:cs="Times New Roman"/>
          <w:b/>
          <w:sz w:val="24"/>
        </w:rPr>
        <w:t>3.7.1 Validity of Research Instrument</w:t>
      </w:r>
    </w:p>
    <w:p w14:paraId="69464AFF" w14:textId="77777777" w:rsidR="00AD2C50" w:rsidRPr="00AD2C50" w:rsidRDefault="00AD2C50" w:rsidP="00AD2C50">
      <w:pPr>
        <w:spacing w:line="360" w:lineRule="auto"/>
        <w:jc w:val="both"/>
        <w:rPr>
          <w:rFonts w:ascii="Times New Roman" w:hAnsi="Times New Roman" w:cs="Times New Roman"/>
          <w:sz w:val="24"/>
        </w:rPr>
      </w:pPr>
      <w:r w:rsidRPr="00AD2C50">
        <w:rPr>
          <w:rFonts w:ascii="Times New Roman" w:hAnsi="Times New Roman" w:cs="Times New Roman"/>
          <w:sz w:val="24"/>
        </w:rPr>
        <w:t xml:space="preserve">Validity ensures that a research instrument measures what it is supposed to measure (Creswell, 2018). Content validity in this study was determined by aligning questionnaire items with research objectives. A pilot test with a small sample of SMEs in </w:t>
      </w:r>
      <w:proofErr w:type="spellStart"/>
      <w:r w:rsidRPr="00AD2C50">
        <w:rPr>
          <w:rFonts w:ascii="Times New Roman" w:hAnsi="Times New Roman" w:cs="Times New Roman"/>
          <w:sz w:val="24"/>
        </w:rPr>
        <w:t>Mafinga</w:t>
      </w:r>
      <w:proofErr w:type="spellEnd"/>
      <w:r w:rsidRPr="00AD2C50">
        <w:rPr>
          <w:rFonts w:ascii="Times New Roman" w:hAnsi="Times New Roman" w:cs="Times New Roman"/>
          <w:sz w:val="24"/>
        </w:rPr>
        <w:t xml:space="preserve"> Township was conducted to assess accuracy, while expert judgment from the research supervisor was sought to confirm the relevance of questionnaire items to study variables.</w:t>
      </w:r>
    </w:p>
    <w:p w14:paraId="48B7FE64" w14:textId="77777777" w:rsidR="001B70BA" w:rsidRDefault="001B70BA">
      <w:pPr>
        <w:rPr>
          <w:rFonts w:ascii="Times New Roman" w:hAnsi="Times New Roman" w:cs="Times New Roman"/>
          <w:b/>
          <w:sz w:val="24"/>
        </w:rPr>
      </w:pPr>
      <w:r>
        <w:rPr>
          <w:rFonts w:ascii="Times New Roman" w:hAnsi="Times New Roman" w:cs="Times New Roman"/>
          <w:b/>
          <w:sz w:val="24"/>
        </w:rPr>
        <w:br w:type="page"/>
      </w:r>
    </w:p>
    <w:p w14:paraId="55A70F6E" w14:textId="77777777" w:rsidR="00AD2C50" w:rsidRPr="00AD2C50" w:rsidRDefault="00AD2C50" w:rsidP="00AD2C50">
      <w:pPr>
        <w:spacing w:line="360" w:lineRule="auto"/>
        <w:jc w:val="both"/>
        <w:rPr>
          <w:rFonts w:ascii="Times New Roman" w:hAnsi="Times New Roman" w:cs="Times New Roman"/>
          <w:b/>
          <w:sz w:val="24"/>
        </w:rPr>
      </w:pPr>
      <w:r w:rsidRPr="00AD2C50">
        <w:rPr>
          <w:rFonts w:ascii="Times New Roman" w:hAnsi="Times New Roman" w:cs="Times New Roman"/>
          <w:b/>
          <w:sz w:val="24"/>
        </w:rPr>
        <w:lastRenderedPageBreak/>
        <w:t>3.7.2 Reliability of Research Instrument</w:t>
      </w:r>
    </w:p>
    <w:p w14:paraId="0507C548" w14:textId="77777777" w:rsidR="004906BA" w:rsidRDefault="00AD2C50" w:rsidP="00AD2C50">
      <w:pPr>
        <w:spacing w:line="360" w:lineRule="auto"/>
        <w:jc w:val="both"/>
        <w:rPr>
          <w:rFonts w:ascii="Times New Roman" w:hAnsi="Times New Roman" w:cs="Times New Roman"/>
          <w:sz w:val="24"/>
        </w:rPr>
      </w:pPr>
      <w:r w:rsidRPr="00AD2C50">
        <w:rPr>
          <w:rFonts w:ascii="Times New Roman" w:hAnsi="Times New Roman" w:cs="Times New Roman"/>
          <w:sz w:val="24"/>
        </w:rPr>
        <w:t>Reliability is the extent to which an instrument produces stable and consistent results across time and groups (Saunders, Lewis, &amp; Thornhill, 2019). In this study, the reliability of the questionnaire was assessed using the test-retest method by administering the tool to SMEs with similar characteristics to the actual sample. Cronbach’s Alpha coefficient was also applied to determine the internal consistency of the items.</w:t>
      </w:r>
    </w:p>
    <w:p w14:paraId="1628183A" w14:textId="77777777" w:rsidR="00B539CA" w:rsidRPr="00B539CA" w:rsidRDefault="00B539CA" w:rsidP="00B539CA">
      <w:pPr>
        <w:spacing w:line="360" w:lineRule="auto"/>
        <w:jc w:val="both"/>
        <w:rPr>
          <w:rFonts w:ascii="Times New Roman" w:hAnsi="Times New Roman" w:cs="Times New Roman"/>
          <w:b/>
          <w:sz w:val="24"/>
        </w:rPr>
      </w:pPr>
      <w:r w:rsidRPr="00B539CA">
        <w:rPr>
          <w:rFonts w:ascii="Times New Roman" w:hAnsi="Times New Roman" w:cs="Times New Roman"/>
          <w:b/>
          <w:sz w:val="24"/>
        </w:rPr>
        <w:t>3.8 Ethical Issues</w:t>
      </w:r>
    </w:p>
    <w:p w14:paraId="1B361DF9" w14:textId="77777777" w:rsidR="00AD2C50" w:rsidRDefault="00B539CA" w:rsidP="00B539CA">
      <w:pPr>
        <w:spacing w:line="360" w:lineRule="auto"/>
        <w:jc w:val="both"/>
        <w:rPr>
          <w:rFonts w:ascii="Times New Roman" w:hAnsi="Times New Roman" w:cs="Times New Roman"/>
          <w:sz w:val="24"/>
        </w:rPr>
      </w:pPr>
      <w:r w:rsidRPr="00B539CA">
        <w:rPr>
          <w:rFonts w:ascii="Times New Roman" w:hAnsi="Times New Roman" w:cs="Times New Roman"/>
          <w:sz w:val="24"/>
        </w:rPr>
        <w:t>Ethical considerations in this study ensured that participants’ rights, dignity, and welfare were protected throughout the research process (Resnik, 2011). Measures included maintaining confidentiality, so information provided was kept private and secure (Kumar, 2011); ensuring anonymity, where participants’ identities were not linked to their responses (Babbie, 2013); respecting freedom by allowing voluntary participation without coercion (Creswell, 2014); and providing feedback to participants, sharing research findings in a transparent and understandable manner (Kumar, 2011). These practices promoted trust, honesty, and ethical credibility in the study.</w:t>
      </w:r>
    </w:p>
    <w:p w14:paraId="06289614" w14:textId="77777777" w:rsidR="001073FB" w:rsidRPr="001073FB" w:rsidRDefault="001073FB" w:rsidP="001073FB">
      <w:pPr>
        <w:spacing w:line="360" w:lineRule="auto"/>
        <w:jc w:val="both"/>
        <w:rPr>
          <w:rFonts w:ascii="Times New Roman" w:hAnsi="Times New Roman" w:cs="Times New Roman"/>
          <w:b/>
          <w:sz w:val="24"/>
        </w:rPr>
      </w:pPr>
      <w:r w:rsidRPr="001073FB">
        <w:rPr>
          <w:rFonts w:ascii="Times New Roman" w:hAnsi="Times New Roman" w:cs="Times New Roman"/>
          <w:b/>
          <w:sz w:val="24"/>
        </w:rPr>
        <w:t>4. RESULTS AND DISCUSSION</w:t>
      </w:r>
    </w:p>
    <w:p w14:paraId="5E122EB7" w14:textId="77777777" w:rsidR="001073FB" w:rsidRDefault="001073FB" w:rsidP="001073FB">
      <w:pPr>
        <w:spacing w:line="360" w:lineRule="auto"/>
        <w:jc w:val="both"/>
        <w:rPr>
          <w:rFonts w:ascii="Times New Roman" w:hAnsi="Times New Roman" w:cs="Times New Roman"/>
          <w:b/>
          <w:sz w:val="24"/>
        </w:rPr>
      </w:pPr>
      <w:r w:rsidRPr="001073FB">
        <w:rPr>
          <w:rFonts w:ascii="Times New Roman" w:hAnsi="Times New Roman" w:cs="Times New Roman"/>
          <w:b/>
          <w:sz w:val="24"/>
        </w:rPr>
        <w:t>4.1 General Demographic Observation of Respondents</w:t>
      </w:r>
    </w:p>
    <w:p w14:paraId="7A971E2F" w14:textId="77777777" w:rsidR="001073FB" w:rsidRDefault="00074C49" w:rsidP="001073FB">
      <w:pPr>
        <w:spacing w:line="360" w:lineRule="auto"/>
        <w:jc w:val="both"/>
        <w:rPr>
          <w:rFonts w:ascii="Times New Roman" w:hAnsi="Times New Roman" w:cs="Times New Roman"/>
          <w:sz w:val="24"/>
        </w:rPr>
      </w:pPr>
      <w:r w:rsidRPr="00074C49">
        <w:rPr>
          <w:rFonts w:ascii="Times New Roman" w:hAnsi="Times New Roman" w:cs="Times New Roman"/>
          <w:sz w:val="24"/>
        </w:rPr>
        <w:t xml:space="preserve">The study revealed that out of the 101 sampled SME owners and managers in </w:t>
      </w:r>
      <w:proofErr w:type="spellStart"/>
      <w:r w:rsidRPr="00074C49">
        <w:rPr>
          <w:rFonts w:ascii="Times New Roman" w:hAnsi="Times New Roman" w:cs="Times New Roman"/>
          <w:sz w:val="24"/>
        </w:rPr>
        <w:t>Mafinga</w:t>
      </w:r>
      <w:proofErr w:type="spellEnd"/>
      <w:r w:rsidRPr="00074C49">
        <w:rPr>
          <w:rFonts w:ascii="Times New Roman" w:hAnsi="Times New Roman" w:cs="Times New Roman"/>
          <w:sz w:val="24"/>
        </w:rPr>
        <w:t xml:space="preserve"> Town Council, 47 (46.5%) were male, while 54 (53.5%) were female. This indicates a fairly balanced gender representation, with females slightly outnumbering their male counterparts. Such a distribution highlights the increasing role of women in entrepreneurship and their active participation in the SME sector, which is a key driver of local economic growth. The gender distribution is critical in shaping the nature of challenges faced by SMEs, their level of tax compliance, and the effectiveness of tax collection mechanisms in the council.</w:t>
      </w:r>
    </w:p>
    <w:p w14:paraId="126DED02" w14:textId="77777777" w:rsidR="00E829D2" w:rsidRDefault="00CA3D6F" w:rsidP="001073FB">
      <w:pPr>
        <w:spacing w:line="360" w:lineRule="auto"/>
        <w:jc w:val="both"/>
        <w:rPr>
          <w:rFonts w:ascii="Times New Roman" w:hAnsi="Times New Roman" w:cs="Times New Roman"/>
          <w:sz w:val="24"/>
        </w:rPr>
      </w:pPr>
      <w:r w:rsidRPr="00CA3D6F">
        <w:rPr>
          <w:rFonts w:ascii="Times New Roman" w:hAnsi="Times New Roman" w:cs="Times New Roman"/>
          <w:sz w:val="24"/>
        </w:rPr>
        <w:t xml:space="preserve">The study revealed that out of 101 SME respondents, 27 (26.7%) were below 25 years, 43 (42.6%) were between 25–34 years, 19 (18.8%) were between 35–44 years, and only 12 (11.9%) were 45 years and above. These results indicate that the SME sector in </w:t>
      </w:r>
      <w:proofErr w:type="spellStart"/>
      <w:r w:rsidRPr="00CA3D6F">
        <w:rPr>
          <w:rFonts w:ascii="Times New Roman" w:hAnsi="Times New Roman" w:cs="Times New Roman"/>
          <w:sz w:val="24"/>
        </w:rPr>
        <w:t>Mafinga</w:t>
      </w:r>
      <w:proofErr w:type="spellEnd"/>
      <w:r w:rsidRPr="00CA3D6F">
        <w:rPr>
          <w:rFonts w:ascii="Times New Roman" w:hAnsi="Times New Roman" w:cs="Times New Roman"/>
          <w:sz w:val="24"/>
        </w:rPr>
        <w:t xml:space="preserve"> Town Council is largely dominated by youth, with nearly 70% of owners being under the age of 35. This demographic structure implies that entrepreneurship has become a key livelihood strategy for young people, reflecting both their innovativeness and the limited availability of formal employment.</w:t>
      </w:r>
    </w:p>
    <w:p w14:paraId="1E2A29FD" w14:textId="243908B5" w:rsidR="00E829D2" w:rsidRDefault="007E78E9" w:rsidP="007E78E9">
      <w:pPr>
        <w:spacing w:line="360" w:lineRule="auto"/>
        <w:jc w:val="both"/>
        <w:rPr>
          <w:rFonts w:ascii="Times New Roman" w:hAnsi="Times New Roman" w:cs="Times New Roman"/>
          <w:sz w:val="24"/>
        </w:rPr>
      </w:pPr>
      <w:r w:rsidRPr="007E78E9">
        <w:rPr>
          <w:rFonts w:ascii="Times New Roman" w:hAnsi="Times New Roman" w:cs="Times New Roman"/>
          <w:sz w:val="24"/>
        </w:rPr>
        <w:lastRenderedPageBreak/>
        <w:t>Results obtained shows that 20.7% of the respondents had primary education and the other thing worth noting is that 79.3% of all respondents have good level of education, 57.4% have secondary education and 21.9% have attended col</w:t>
      </w:r>
      <w:r>
        <w:rPr>
          <w:rFonts w:ascii="Times New Roman" w:hAnsi="Times New Roman" w:cs="Times New Roman"/>
          <w:sz w:val="24"/>
        </w:rPr>
        <w:t xml:space="preserve">leges and university education. </w:t>
      </w:r>
      <w:r w:rsidRPr="007E78E9">
        <w:rPr>
          <w:rFonts w:ascii="Times New Roman" w:hAnsi="Times New Roman" w:cs="Times New Roman"/>
          <w:sz w:val="24"/>
        </w:rPr>
        <w:t>This finding implies that the category of small and medium enterprises in MAFINGA Town council have low education level. Lack of knowledge is a signaling factor for tax eviction although the study findings shows some of them engage in systematic tax evasion in order to get benefit out of it because they have a knowledge concern tax matters and believed to be aware of it as they have high education level obtained from universi</w:t>
      </w:r>
      <w:r>
        <w:rPr>
          <w:rFonts w:ascii="Times New Roman" w:hAnsi="Times New Roman" w:cs="Times New Roman"/>
          <w:sz w:val="24"/>
        </w:rPr>
        <w:t xml:space="preserve">ties as shown in the table </w:t>
      </w:r>
      <w:r w:rsidR="006309CB">
        <w:rPr>
          <w:rFonts w:ascii="Times New Roman" w:hAnsi="Times New Roman" w:cs="Times New Roman"/>
          <w:sz w:val="24"/>
        </w:rPr>
        <w:t>3</w:t>
      </w:r>
      <w:r>
        <w:rPr>
          <w:rFonts w:ascii="Times New Roman" w:hAnsi="Times New Roman" w:cs="Times New Roman"/>
          <w:sz w:val="24"/>
        </w:rPr>
        <w:t>.</w:t>
      </w:r>
    </w:p>
    <w:p w14:paraId="52999498" w14:textId="1F3E6DC1" w:rsidR="001B2261" w:rsidRDefault="001B2261" w:rsidP="007E78E9">
      <w:pPr>
        <w:spacing w:line="360" w:lineRule="auto"/>
        <w:jc w:val="both"/>
        <w:rPr>
          <w:rFonts w:ascii="Times New Roman" w:hAnsi="Times New Roman" w:cs="Times New Roman"/>
          <w:sz w:val="24"/>
        </w:rPr>
      </w:pPr>
      <w:r w:rsidRPr="001B2261">
        <w:rPr>
          <w:rFonts w:ascii="Times New Roman" w:hAnsi="Times New Roman" w:cs="Times New Roman"/>
          <w:sz w:val="24"/>
        </w:rPr>
        <w:t xml:space="preserve">Most respondents had run small and medium businesses for at least 3 to 6 years. Table </w:t>
      </w:r>
      <w:r w:rsidR="006309CB">
        <w:rPr>
          <w:rFonts w:ascii="Times New Roman" w:hAnsi="Times New Roman" w:cs="Times New Roman"/>
          <w:sz w:val="24"/>
        </w:rPr>
        <w:t>6</w:t>
      </w:r>
      <w:r w:rsidRPr="001B2261">
        <w:rPr>
          <w:rFonts w:ascii="Times New Roman" w:hAnsi="Times New Roman" w:cs="Times New Roman"/>
          <w:sz w:val="24"/>
        </w:rPr>
        <w:t xml:space="preserve"> indicates that only 7.9% had stayed in business for less than 1 year. This finding implies that, majority of taxpayers in the small and medium enterprises had enough experience to operate their business and hence qualify for upper bands on presumptive taxes as per provisions of first schedule under Income Tax Act [CAP 332 R.E.2006] of the laws.</w:t>
      </w:r>
    </w:p>
    <w:p w14:paraId="68E66235" w14:textId="77777777" w:rsidR="001B2261" w:rsidRPr="001073FB" w:rsidRDefault="001C469B" w:rsidP="007E78E9">
      <w:pPr>
        <w:spacing w:line="360" w:lineRule="auto"/>
        <w:jc w:val="both"/>
        <w:rPr>
          <w:rFonts w:ascii="Times New Roman" w:hAnsi="Times New Roman" w:cs="Times New Roman"/>
          <w:sz w:val="24"/>
        </w:rPr>
      </w:pPr>
      <w:r w:rsidRPr="001C469B">
        <w:rPr>
          <w:rFonts w:ascii="Times New Roman" w:hAnsi="Times New Roman" w:cs="Times New Roman"/>
          <w:sz w:val="24"/>
        </w:rPr>
        <w:t xml:space="preserve">The study involved 101 SME operators. The majority of respondents were within the age group of 26–40 years, representing active business owners. Most respondents had attained secondary and college-level education, while a smaller proportion had only primary education. This suggests that the majority of SMEs in </w:t>
      </w:r>
      <w:proofErr w:type="spellStart"/>
      <w:r w:rsidRPr="001C469B">
        <w:rPr>
          <w:rFonts w:ascii="Times New Roman" w:hAnsi="Times New Roman" w:cs="Times New Roman"/>
          <w:sz w:val="24"/>
        </w:rPr>
        <w:t>Mafinga</w:t>
      </w:r>
      <w:proofErr w:type="spellEnd"/>
      <w:r w:rsidRPr="001C469B">
        <w:rPr>
          <w:rFonts w:ascii="Times New Roman" w:hAnsi="Times New Roman" w:cs="Times New Roman"/>
          <w:sz w:val="24"/>
        </w:rPr>
        <w:t xml:space="preserve"> are managed by relatively young and fairly educated individuals.</w:t>
      </w:r>
    </w:p>
    <w:p w14:paraId="69528709" w14:textId="71A1DC36" w:rsidR="001073FB" w:rsidRPr="0054570D" w:rsidRDefault="0054570D" w:rsidP="001073FB">
      <w:pPr>
        <w:spacing w:line="360" w:lineRule="auto"/>
        <w:jc w:val="both"/>
        <w:rPr>
          <w:rFonts w:ascii="Times New Roman" w:hAnsi="Times New Roman" w:cs="Times New Roman"/>
          <w:b/>
          <w:sz w:val="24"/>
        </w:rPr>
      </w:pPr>
      <w:r w:rsidRPr="0054570D">
        <w:rPr>
          <w:rFonts w:ascii="Times New Roman" w:hAnsi="Times New Roman" w:cs="Times New Roman"/>
          <w:b/>
          <w:sz w:val="24"/>
        </w:rPr>
        <w:t xml:space="preserve">Table </w:t>
      </w:r>
      <w:r w:rsidR="006309CB">
        <w:rPr>
          <w:rFonts w:ascii="Times New Roman" w:hAnsi="Times New Roman" w:cs="Times New Roman"/>
          <w:b/>
          <w:sz w:val="24"/>
        </w:rPr>
        <w:t>3</w:t>
      </w:r>
      <w:r w:rsidRPr="0054570D">
        <w:rPr>
          <w:rFonts w:ascii="Times New Roman" w:hAnsi="Times New Roman" w:cs="Times New Roman"/>
          <w:b/>
          <w:sz w:val="24"/>
        </w:rPr>
        <w:t xml:space="preserve"> General Demographic Observation of Respondents</w:t>
      </w:r>
    </w:p>
    <w:tbl>
      <w:tblPr>
        <w:tblStyle w:val="ListTable6Colorful"/>
        <w:tblW w:w="8905" w:type="dxa"/>
        <w:tblLook w:val="04A0" w:firstRow="1" w:lastRow="0" w:firstColumn="1" w:lastColumn="0" w:noHBand="0" w:noVBand="1"/>
      </w:tblPr>
      <w:tblGrid>
        <w:gridCol w:w="3395"/>
        <w:gridCol w:w="2268"/>
        <w:gridCol w:w="1534"/>
        <w:gridCol w:w="1708"/>
      </w:tblGrid>
      <w:tr w:rsidR="00E829D2" w:rsidRPr="00E829D2" w14:paraId="4C2590D7" w14:textId="77777777" w:rsidTr="00E829D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E1340CF"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Variable</w:t>
            </w:r>
          </w:p>
        </w:tc>
        <w:tc>
          <w:tcPr>
            <w:tcW w:w="0" w:type="auto"/>
            <w:hideMark/>
          </w:tcPr>
          <w:p w14:paraId="63AA0530" w14:textId="77777777" w:rsidR="00E829D2" w:rsidRPr="00E829D2" w:rsidRDefault="00E829D2" w:rsidP="001B70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Category</w:t>
            </w:r>
          </w:p>
        </w:tc>
        <w:tc>
          <w:tcPr>
            <w:tcW w:w="0" w:type="auto"/>
            <w:hideMark/>
          </w:tcPr>
          <w:p w14:paraId="0C95E0ED" w14:textId="77777777" w:rsidR="00E829D2" w:rsidRPr="00E829D2" w:rsidRDefault="00E829D2" w:rsidP="001B70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Frequency</w:t>
            </w:r>
          </w:p>
        </w:tc>
        <w:tc>
          <w:tcPr>
            <w:tcW w:w="0" w:type="auto"/>
            <w:hideMark/>
          </w:tcPr>
          <w:p w14:paraId="6CE29972" w14:textId="77777777" w:rsidR="00E829D2" w:rsidRPr="00E829D2" w:rsidRDefault="00E829D2" w:rsidP="001B70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Percent (%)</w:t>
            </w:r>
          </w:p>
        </w:tc>
      </w:tr>
      <w:tr w:rsidR="001B70BA" w:rsidRPr="00E829D2" w14:paraId="5821E0D5" w14:textId="77777777" w:rsidTr="001B70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326DA2"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Gender of Respondents</w:t>
            </w:r>
          </w:p>
        </w:tc>
        <w:tc>
          <w:tcPr>
            <w:tcW w:w="0" w:type="auto"/>
            <w:shd w:val="clear" w:color="auto" w:fill="auto"/>
            <w:hideMark/>
          </w:tcPr>
          <w:p w14:paraId="21A4BE6A"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Male</w:t>
            </w:r>
          </w:p>
        </w:tc>
        <w:tc>
          <w:tcPr>
            <w:tcW w:w="0" w:type="auto"/>
            <w:shd w:val="clear" w:color="auto" w:fill="auto"/>
            <w:hideMark/>
          </w:tcPr>
          <w:p w14:paraId="4829A4D3"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47</w:t>
            </w:r>
          </w:p>
        </w:tc>
        <w:tc>
          <w:tcPr>
            <w:tcW w:w="0" w:type="auto"/>
            <w:shd w:val="clear" w:color="auto" w:fill="auto"/>
            <w:hideMark/>
          </w:tcPr>
          <w:p w14:paraId="00A514F6"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46.5</w:t>
            </w:r>
          </w:p>
        </w:tc>
      </w:tr>
      <w:tr w:rsidR="00E829D2" w:rsidRPr="00E829D2" w14:paraId="085540E7" w14:textId="77777777" w:rsidTr="001B70BA">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26BB1F74"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3B25C6F"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Female</w:t>
            </w:r>
          </w:p>
        </w:tc>
        <w:tc>
          <w:tcPr>
            <w:tcW w:w="0" w:type="auto"/>
            <w:hideMark/>
          </w:tcPr>
          <w:p w14:paraId="1C91107A"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54</w:t>
            </w:r>
          </w:p>
        </w:tc>
        <w:tc>
          <w:tcPr>
            <w:tcW w:w="0" w:type="auto"/>
            <w:hideMark/>
          </w:tcPr>
          <w:p w14:paraId="0431DF6E"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53.5</w:t>
            </w:r>
          </w:p>
        </w:tc>
      </w:tr>
      <w:tr w:rsidR="001B70BA" w:rsidRPr="00E829D2" w14:paraId="727E57A2" w14:textId="77777777" w:rsidTr="001B70B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A78B66"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3B9BABB6"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shd w:val="clear" w:color="auto" w:fill="auto"/>
            <w:hideMark/>
          </w:tcPr>
          <w:p w14:paraId="5E172EEC"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shd w:val="clear" w:color="auto" w:fill="auto"/>
            <w:hideMark/>
          </w:tcPr>
          <w:p w14:paraId="3A6FEA5A"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r w:rsidR="00E829D2" w:rsidRPr="00E829D2" w14:paraId="2B8A6F42" w14:textId="77777777" w:rsidTr="001B70BA">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73F4D2FE"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Age Group</w:t>
            </w:r>
          </w:p>
        </w:tc>
        <w:tc>
          <w:tcPr>
            <w:tcW w:w="0" w:type="auto"/>
            <w:hideMark/>
          </w:tcPr>
          <w:p w14:paraId="124F3EE8"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18–25</w:t>
            </w:r>
          </w:p>
        </w:tc>
        <w:tc>
          <w:tcPr>
            <w:tcW w:w="0" w:type="auto"/>
            <w:hideMark/>
          </w:tcPr>
          <w:p w14:paraId="052CFBAA"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27</w:t>
            </w:r>
          </w:p>
        </w:tc>
        <w:tc>
          <w:tcPr>
            <w:tcW w:w="0" w:type="auto"/>
            <w:hideMark/>
          </w:tcPr>
          <w:p w14:paraId="29BF50C5"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26.7</w:t>
            </w:r>
          </w:p>
        </w:tc>
      </w:tr>
      <w:tr w:rsidR="001B70BA" w:rsidRPr="00E829D2" w14:paraId="547F5C5D" w14:textId="77777777" w:rsidTr="001B70B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DAFAB5"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03D0F9C1"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26–35</w:t>
            </w:r>
          </w:p>
        </w:tc>
        <w:tc>
          <w:tcPr>
            <w:tcW w:w="0" w:type="auto"/>
            <w:shd w:val="clear" w:color="auto" w:fill="auto"/>
            <w:hideMark/>
          </w:tcPr>
          <w:p w14:paraId="030A084E"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43</w:t>
            </w:r>
          </w:p>
        </w:tc>
        <w:tc>
          <w:tcPr>
            <w:tcW w:w="0" w:type="auto"/>
            <w:shd w:val="clear" w:color="auto" w:fill="auto"/>
            <w:hideMark/>
          </w:tcPr>
          <w:p w14:paraId="32ED4BB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42.6</w:t>
            </w:r>
          </w:p>
        </w:tc>
      </w:tr>
      <w:tr w:rsidR="00E829D2" w:rsidRPr="00E829D2" w14:paraId="0D78D58F" w14:textId="77777777" w:rsidTr="001B70BA">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507504D"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4A05EC1"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36–45</w:t>
            </w:r>
          </w:p>
        </w:tc>
        <w:tc>
          <w:tcPr>
            <w:tcW w:w="0" w:type="auto"/>
            <w:hideMark/>
          </w:tcPr>
          <w:p w14:paraId="47600893"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19</w:t>
            </w:r>
          </w:p>
        </w:tc>
        <w:tc>
          <w:tcPr>
            <w:tcW w:w="0" w:type="auto"/>
            <w:hideMark/>
          </w:tcPr>
          <w:p w14:paraId="4A35CFFC"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18.8</w:t>
            </w:r>
          </w:p>
        </w:tc>
      </w:tr>
      <w:tr w:rsidR="001B70BA" w:rsidRPr="00E829D2" w14:paraId="35A470FC"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58EB6"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3D60CC10"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46 and above</w:t>
            </w:r>
          </w:p>
        </w:tc>
        <w:tc>
          <w:tcPr>
            <w:tcW w:w="0" w:type="auto"/>
            <w:shd w:val="clear" w:color="auto" w:fill="auto"/>
            <w:hideMark/>
          </w:tcPr>
          <w:p w14:paraId="458143A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12</w:t>
            </w:r>
          </w:p>
        </w:tc>
        <w:tc>
          <w:tcPr>
            <w:tcW w:w="0" w:type="auto"/>
            <w:shd w:val="clear" w:color="auto" w:fill="auto"/>
            <w:hideMark/>
          </w:tcPr>
          <w:p w14:paraId="0B0E10BA"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11.9</w:t>
            </w:r>
          </w:p>
        </w:tc>
      </w:tr>
      <w:tr w:rsidR="00E829D2" w:rsidRPr="00E829D2" w14:paraId="39764FE6" w14:textId="77777777" w:rsidTr="00E829D2">
        <w:trPr>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008F3CFB"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12231CF6"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hideMark/>
          </w:tcPr>
          <w:p w14:paraId="681AD08C"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hideMark/>
          </w:tcPr>
          <w:p w14:paraId="67BF85A1"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r w:rsidR="001B70BA" w:rsidRPr="00E829D2" w14:paraId="36A75310"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AE3FF4D"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Level of Education</w:t>
            </w:r>
          </w:p>
        </w:tc>
        <w:tc>
          <w:tcPr>
            <w:tcW w:w="0" w:type="auto"/>
            <w:shd w:val="clear" w:color="auto" w:fill="auto"/>
            <w:hideMark/>
          </w:tcPr>
          <w:p w14:paraId="67C5F128"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Primary</w:t>
            </w:r>
          </w:p>
        </w:tc>
        <w:tc>
          <w:tcPr>
            <w:tcW w:w="0" w:type="auto"/>
            <w:shd w:val="clear" w:color="auto" w:fill="auto"/>
            <w:hideMark/>
          </w:tcPr>
          <w:p w14:paraId="2FC1709C"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21</w:t>
            </w:r>
          </w:p>
        </w:tc>
        <w:tc>
          <w:tcPr>
            <w:tcW w:w="0" w:type="auto"/>
            <w:shd w:val="clear" w:color="auto" w:fill="auto"/>
            <w:hideMark/>
          </w:tcPr>
          <w:p w14:paraId="2B09EBC9"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20.7</w:t>
            </w:r>
          </w:p>
        </w:tc>
      </w:tr>
      <w:tr w:rsidR="00E829D2" w:rsidRPr="00E829D2" w14:paraId="54C521AA" w14:textId="77777777" w:rsidTr="00E829D2">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4C2A6CDF"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129F7B9C"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Secondary</w:t>
            </w:r>
          </w:p>
        </w:tc>
        <w:tc>
          <w:tcPr>
            <w:tcW w:w="0" w:type="auto"/>
            <w:hideMark/>
          </w:tcPr>
          <w:p w14:paraId="0B55C5EC"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58</w:t>
            </w:r>
          </w:p>
        </w:tc>
        <w:tc>
          <w:tcPr>
            <w:tcW w:w="0" w:type="auto"/>
            <w:hideMark/>
          </w:tcPr>
          <w:p w14:paraId="7496B5B0"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57.4</w:t>
            </w:r>
          </w:p>
        </w:tc>
      </w:tr>
      <w:tr w:rsidR="001B70BA" w:rsidRPr="00E829D2" w14:paraId="4EB7966A" w14:textId="77777777" w:rsidTr="00E829D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A952FF"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5FE1CB1D"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Diploma</w:t>
            </w:r>
          </w:p>
        </w:tc>
        <w:tc>
          <w:tcPr>
            <w:tcW w:w="0" w:type="auto"/>
            <w:shd w:val="clear" w:color="auto" w:fill="auto"/>
            <w:hideMark/>
          </w:tcPr>
          <w:p w14:paraId="743A0680"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13</w:t>
            </w:r>
          </w:p>
        </w:tc>
        <w:tc>
          <w:tcPr>
            <w:tcW w:w="0" w:type="auto"/>
            <w:shd w:val="clear" w:color="auto" w:fill="auto"/>
            <w:hideMark/>
          </w:tcPr>
          <w:p w14:paraId="71185D13"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12.9</w:t>
            </w:r>
          </w:p>
        </w:tc>
      </w:tr>
      <w:tr w:rsidR="00E829D2" w:rsidRPr="00E829D2" w14:paraId="66A2A19D" w14:textId="77777777" w:rsidTr="00E829D2">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74124BBA"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CF01BFF"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Degree and above</w:t>
            </w:r>
          </w:p>
        </w:tc>
        <w:tc>
          <w:tcPr>
            <w:tcW w:w="0" w:type="auto"/>
            <w:hideMark/>
          </w:tcPr>
          <w:p w14:paraId="226F088A"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9</w:t>
            </w:r>
          </w:p>
        </w:tc>
        <w:tc>
          <w:tcPr>
            <w:tcW w:w="0" w:type="auto"/>
            <w:hideMark/>
          </w:tcPr>
          <w:p w14:paraId="18A75633"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8.9</w:t>
            </w:r>
          </w:p>
        </w:tc>
      </w:tr>
      <w:tr w:rsidR="001B70BA" w:rsidRPr="00E829D2" w14:paraId="53A2126E" w14:textId="77777777" w:rsidTr="00E829D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1F01FE"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289C2DB7"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shd w:val="clear" w:color="auto" w:fill="auto"/>
            <w:hideMark/>
          </w:tcPr>
          <w:p w14:paraId="0A92810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shd w:val="clear" w:color="auto" w:fill="auto"/>
            <w:hideMark/>
          </w:tcPr>
          <w:p w14:paraId="316D92B6"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r w:rsidR="00E829D2" w:rsidRPr="00E829D2" w14:paraId="4D64A833" w14:textId="77777777" w:rsidTr="00E829D2">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BA9D64A"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Business Operation Period</w:t>
            </w:r>
          </w:p>
        </w:tc>
        <w:tc>
          <w:tcPr>
            <w:tcW w:w="0" w:type="auto"/>
            <w:hideMark/>
          </w:tcPr>
          <w:p w14:paraId="0D8E7D93"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Less than 1 year</w:t>
            </w:r>
          </w:p>
        </w:tc>
        <w:tc>
          <w:tcPr>
            <w:tcW w:w="0" w:type="auto"/>
            <w:hideMark/>
          </w:tcPr>
          <w:p w14:paraId="2E7415B8"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8</w:t>
            </w:r>
          </w:p>
        </w:tc>
        <w:tc>
          <w:tcPr>
            <w:tcW w:w="0" w:type="auto"/>
            <w:hideMark/>
          </w:tcPr>
          <w:p w14:paraId="3671F8DB"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7.9</w:t>
            </w:r>
          </w:p>
        </w:tc>
      </w:tr>
      <w:tr w:rsidR="001B70BA" w:rsidRPr="00E829D2" w14:paraId="0F76E366"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9580AC"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67761FA6"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1–3 years</w:t>
            </w:r>
          </w:p>
        </w:tc>
        <w:tc>
          <w:tcPr>
            <w:tcW w:w="0" w:type="auto"/>
            <w:shd w:val="clear" w:color="auto" w:fill="auto"/>
            <w:hideMark/>
          </w:tcPr>
          <w:p w14:paraId="39A902F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26</w:t>
            </w:r>
          </w:p>
        </w:tc>
        <w:tc>
          <w:tcPr>
            <w:tcW w:w="0" w:type="auto"/>
            <w:shd w:val="clear" w:color="auto" w:fill="auto"/>
            <w:hideMark/>
          </w:tcPr>
          <w:p w14:paraId="23E47C07"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25.7</w:t>
            </w:r>
          </w:p>
        </w:tc>
      </w:tr>
      <w:tr w:rsidR="00E829D2" w:rsidRPr="00E829D2" w14:paraId="19320C72" w14:textId="77777777" w:rsidTr="00E829D2">
        <w:trPr>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5EFE8523"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65467BAF"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4–6 years</w:t>
            </w:r>
          </w:p>
        </w:tc>
        <w:tc>
          <w:tcPr>
            <w:tcW w:w="0" w:type="auto"/>
            <w:hideMark/>
          </w:tcPr>
          <w:p w14:paraId="5C03DEF6"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39</w:t>
            </w:r>
          </w:p>
        </w:tc>
        <w:tc>
          <w:tcPr>
            <w:tcW w:w="0" w:type="auto"/>
            <w:hideMark/>
          </w:tcPr>
          <w:p w14:paraId="1B8D5CE9"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38.6</w:t>
            </w:r>
          </w:p>
        </w:tc>
      </w:tr>
      <w:tr w:rsidR="001B70BA" w:rsidRPr="00E829D2" w14:paraId="749231CD"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1434ED"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123F34D4"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More than 6 years</w:t>
            </w:r>
          </w:p>
        </w:tc>
        <w:tc>
          <w:tcPr>
            <w:tcW w:w="0" w:type="auto"/>
            <w:shd w:val="clear" w:color="auto" w:fill="auto"/>
            <w:hideMark/>
          </w:tcPr>
          <w:p w14:paraId="1DDA5C7E"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28</w:t>
            </w:r>
          </w:p>
        </w:tc>
        <w:tc>
          <w:tcPr>
            <w:tcW w:w="0" w:type="auto"/>
            <w:shd w:val="clear" w:color="auto" w:fill="auto"/>
            <w:hideMark/>
          </w:tcPr>
          <w:p w14:paraId="5D1B1F72"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27.7</w:t>
            </w:r>
          </w:p>
        </w:tc>
      </w:tr>
      <w:tr w:rsidR="00E829D2" w:rsidRPr="00E829D2" w14:paraId="1C6A657C" w14:textId="77777777" w:rsidTr="00E829D2">
        <w:trPr>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278D7A10"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9908390"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hideMark/>
          </w:tcPr>
          <w:p w14:paraId="38141DA7"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hideMark/>
          </w:tcPr>
          <w:p w14:paraId="76C270B2"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bl>
    <w:p w14:paraId="38C41399" w14:textId="77777777" w:rsidR="0054570D" w:rsidRPr="00357DE2" w:rsidRDefault="0054570D" w:rsidP="0054570D">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Field data, 2025</w:t>
      </w:r>
    </w:p>
    <w:p w14:paraId="5530AE58" w14:textId="77777777" w:rsidR="0054570D" w:rsidRPr="000103BC" w:rsidRDefault="007F0B6E" w:rsidP="001073FB">
      <w:pPr>
        <w:spacing w:line="360" w:lineRule="auto"/>
        <w:jc w:val="both"/>
        <w:rPr>
          <w:rFonts w:ascii="Times New Roman" w:hAnsi="Times New Roman" w:cs="Times New Roman"/>
          <w:b/>
          <w:sz w:val="24"/>
        </w:rPr>
      </w:pPr>
      <w:r>
        <w:rPr>
          <w:rFonts w:ascii="Times New Roman" w:hAnsi="Times New Roman" w:cs="Times New Roman"/>
          <w:b/>
          <w:sz w:val="24"/>
        </w:rPr>
        <w:lastRenderedPageBreak/>
        <w:t>4</w:t>
      </w:r>
      <w:r w:rsidR="000103BC" w:rsidRPr="000103BC">
        <w:rPr>
          <w:rFonts w:ascii="Times New Roman" w:hAnsi="Times New Roman" w:cs="Times New Roman"/>
          <w:b/>
          <w:sz w:val="24"/>
        </w:rPr>
        <w:t>.2 Effectiveness of Existing Tax Collection Mechanism</w:t>
      </w:r>
    </w:p>
    <w:p w14:paraId="479D5709" w14:textId="77777777" w:rsidR="007F0B6E" w:rsidRPr="007F0B6E" w:rsidRDefault="007F0B6E" w:rsidP="007F0B6E">
      <w:pPr>
        <w:spacing w:line="360" w:lineRule="auto"/>
        <w:jc w:val="both"/>
        <w:rPr>
          <w:rFonts w:ascii="Times New Roman" w:hAnsi="Times New Roman" w:cs="Times New Roman"/>
          <w:b/>
          <w:sz w:val="24"/>
        </w:rPr>
      </w:pPr>
      <w:r>
        <w:rPr>
          <w:rFonts w:ascii="Times New Roman" w:hAnsi="Times New Roman" w:cs="Times New Roman"/>
          <w:b/>
          <w:sz w:val="24"/>
        </w:rPr>
        <w:t>4</w:t>
      </w:r>
      <w:r w:rsidRPr="007F0B6E">
        <w:rPr>
          <w:rFonts w:ascii="Times New Roman" w:hAnsi="Times New Roman" w:cs="Times New Roman"/>
          <w:b/>
          <w:sz w:val="24"/>
        </w:rPr>
        <w:t>.2.1 Perceived Effectiveness of Tax Officers</w:t>
      </w:r>
    </w:p>
    <w:p w14:paraId="7A20D1C7" w14:textId="77777777" w:rsidR="0004290E" w:rsidRPr="00357DE2" w:rsidRDefault="007F0B6E" w:rsidP="0004290E">
      <w:pPr>
        <w:spacing w:line="360" w:lineRule="auto"/>
        <w:jc w:val="both"/>
        <w:rPr>
          <w:rFonts w:ascii="Times New Roman" w:hAnsi="Times New Roman" w:cs="Times New Roman"/>
          <w:b/>
          <w:bCs/>
          <w:sz w:val="24"/>
          <w:szCs w:val="24"/>
        </w:rPr>
      </w:pPr>
      <w:r w:rsidRPr="007F0B6E">
        <w:rPr>
          <w:rFonts w:ascii="Times New Roman" w:hAnsi="Times New Roman" w:cs="Times New Roman"/>
          <w:sz w:val="24"/>
        </w:rPr>
        <w:t xml:space="preserve">Most of the SME’s in </w:t>
      </w:r>
      <w:proofErr w:type="spellStart"/>
      <w:r w:rsidRPr="007F0B6E">
        <w:rPr>
          <w:rFonts w:ascii="Times New Roman" w:hAnsi="Times New Roman" w:cs="Times New Roman"/>
          <w:sz w:val="24"/>
        </w:rPr>
        <w:t>Mafinga</w:t>
      </w:r>
      <w:proofErr w:type="spellEnd"/>
      <w:r w:rsidRPr="007F0B6E">
        <w:rPr>
          <w:rFonts w:ascii="Times New Roman" w:hAnsi="Times New Roman" w:cs="Times New Roman"/>
          <w:sz w:val="24"/>
        </w:rPr>
        <w:t xml:space="preserve"> sees that the officers involving in tax collection are effective as almost half of the </w:t>
      </w:r>
      <w:proofErr w:type="gramStart"/>
      <w:r w:rsidRPr="007F0B6E">
        <w:rPr>
          <w:rFonts w:ascii="Times New Roman" w:hAnsi="Times New Roman" w:cs="Times New Roman"/>
          <w:sz w:val="24"/>
        </w:rPr>
        <w:t>respondents</w:t>
      </w:r>
      <w:proofErr w:type="gramEnd"/>
      <w:r w:rsidRPr="007F0B6E">
        <w:rPr>
          <w:rFonts w:ascii="Times New Roman" w:hAnsi="Times New Roman" w:cs="Times New Roman"/>
          <w:sz w:val="24"/>
        </w:rPr>
        <w:t xml:space="preserve"> population sees it that way by almost 46.8% while 42% remained neutral and other see them as ineffective, this may be the reason for tax noncompliance as mint SME’s lack enough knowledge and training about tax matters and other lack confidence on the council. Almost half of respondents (49.6%) perceive tax officers as effective or very effective, while 8.9% see them as ineffective or very ineffective. A large neutral group (41.6%) indicates inconsistent performance or mixed experiences with tax officials, highlighting a need for improved accountability and service delivery.</w:t>
      </w:r>
      <w:r w:rsidR="005B1152" w:rsidRPr="005B1152">
        <w:t xml:space="preserve"> </w:t>
      </w:r>
      <w:r w:rsidR="005B1152" w:rsidRPr="005B1152">
        <w:rPr>
          <w:rFonts w:ascii="Times New Roman" w:hAnsi="Times New Roman" w:cs="Times New Roman"/>
          <w:sz w:val="24"/>
        </w:rPr>
        <w:t xml:space="preserve">The study revealed that nearly half of the SMEs in </w:t>
      </w:r>
      <w:proofErr w:type="spellStart"/>
      <w:r w:rsidR="005B1152" w:rsidRPr="005B1152">
        <w:rPr>
          <w:rFonts w:ascii="Times New Roman" w:hAnsi="Times New Roman" w:cs="Times New Roman"/>
          <w:sz w:val="24"/>
        </w:rPr>
        <w:t>Mafinga</w:t>
      </w:r>
      <w:proofErr w:type="spellEnd"/>
      <w:r w:rsidR="005B1152" w:rsidRPr="005B1152">
        <w:rPr>
          <w:rFonts w:ascii="Times New Roman" w:hAnsi="Times New Roman" w:cs="Times New Roman"/>
          <w:sz w:val="24"/>
        </w:rPr>
        <w:t xml:space="preserve"> Town Council (49.6%) perceive tax officers as effective or very effective, while 41.6% remain neutral and 8.9% consider them ineffective. </w:t>
      </w:r>
      <w:r w:rsidR="0004290E" w:rsidRPr="00357DE2">
        <w:rPr>
          <w:rFonts w:ascii="Times New Roman" w:hAnsi="Times New Roman" w:cs="Times New Roman"/>
          <w:sz w:val="24"/>
          <w:szCs w:val="24"/>
        </w:rPr>
        <w:t xml:space="preserve">A key informant from the </w:t>
      </w:r>
      <w:proofErr w:type="spellStart"/>
      <w:r w:rsidR="0004290E" w:rsidRPr="00357DE2">
        <w:rPr>
          <w:rFonts w:ascii="Times New Roman" w:hAnsi="Times New Roman" w:cs="Times New Roman"/>
          <w:sz w:val="24"/>
          <w:szCs w:val="24"/>
        </w:rPr>
        <w:t>Mafinga</w:t>
      </w:r>
      <w:proofErr w:type="spellEnd"/>
      <w:r w:rsidR="0004290E" w:rsidRPr="00357DE2">
        <w:rPr>
          <w:rFonts w:ascii="Times New Roman" w:hAnsi="Times New Roman" w:cs="Times New Roman"/>
          <w:sz w:val="24"/>
          <w:szCs w:val="24"/>
        </w:rPr>
        <w:t xml:space="preserve"> Town Council Business Department reported that most SMEs in the town are owned by women and youth, with owners generally having an average level of education. He noted that</w:t>
      </w:r>
      <w:r w:rsidR="0004290E" w:rsidRPr="00357DE2">
        <w:rPr>
          <w:rFonts w:ascii="Times New Roman" w:hAnsi="Times New Roman" w:cs="Times New Roman"/>
          <w:b/>
          <w:bCs/>
          <w:sz w:val="24"/>
          <w:szCs w:val="24"/>
        </w:rPr>
        <w:t xml:space="preserve"> </w:t>
      </w:r>
    </w:p>
    <w:p w14:paraId="581CB381" w14:textId="77777777" w:rsidR="0004290E" w:rsidRPr="00357DE2" w:rsidRDefault="0004290E" w:rsidP="0004290E">
      <w:pPr>
        <w:spacing w:line="360" w:lineRule="auto"/>
        <w:ind w:left="1440" w:right="1440"/>
        <w:jc w:val="both"/>
        <w:rPr>
          <w:rFonts w:ascii="Times New Roman" w:hAnsi="Times New Roman" w:cs="Times New Roman"/>
          <w:i/>
          <w:iCs/>
          <w:sz w:val="24"/>
          <w:szCs w:val="24"/>
        </w:rPr>
      </w:pPr>
      <w:r w:rsidRPr="00357DE2">
        <w:rPr>
          <w:rFonts w:ascii="Times New Roman" w:hAnsi="Times New Roman" w:cs="Times New Roman"/>
          <w:i/>
          <w:iCs/>
          <w:sz w:val="24"/>
          <w:szCs w:val="24"/>
        </w:rPr>
        <w:t xml:space="preserve">“most of SMEs in </w:t>
      </w:r>
      <w:proofErr w:type="spellStart"/>
      <w:r w:rsidRPr="00357DE2">
        <w:rPr>
          <w:rFonts w:ascii="Times New Roman" w:hAnsi="Times New Roman" w:cs="Times New Roman"/>
          <w:i/>
          <w:iCs/>
          <w:sz w:val="24"/>
          <w:szCs w:val="24"/>
        </w:rPr>
        <w:t>Mafinga</w:t>
      </w:r>
      <w:proofErr w:type="spellEnd"/>
      <w:r w:rsidRPr="00357DE2">
        <w:rPr>
          <w:rFonts w:ascii="Times New Roman" w:hAnsi="Times New Roman" w:cs="Times New Roman"/>
          <w:i/>
          <w:iCs/>
          <w:sz w:val="24"/>
          <w:szCs w:val="24"/>
        </w:rPr>
        <w:t xml:space="preserve"> are owned by women and youth people and most of them have an average level of education, whereby they commonly face challenges like low awareness of their tax duties and tax laws, perceiving tax procedures as complex, and being against the tax system as a whole, as they perceive tax as a burden to them.”</w:t>
      </w:r>
    </w:p>
    <w:p w14:paraId="601F5193" w14:textId="77777777" w:rsidR="0004290E" w:rsidRPr="00357DE2" w:rsidRDefault="0004290E" w:rsidP="0004290E">
      <w:pPr>
        <w:spacing w:line="360" w:lineRule="auto"/>
        <w:jc w:val="both"/>
        <w:rPr>
          <w:rFonts w:ascii="Times New Roman" w:hAnsi="Times New Roman" w:cs="Times New Roman"/>
          <w:sz w:val="24"/>
          <w:szCs w:val="24"/>
        </w:rPr>
      </w:pPr>
      <w:r w:rsidRPr="00357DE2">
        <w:rPr>
          <w:rFonts w:ascii="Times New Roman" w:hAnsi="Times New Roman" w:cs="Times New Roman"/>
          <w:sz w:val="24"/>
          <w:szCs w:val="24"/>
        </w:rPr>
        <w:t>This insight corroborates the survey findings, which identified lack of awareness of tax obligations and perceived complexity of procedures as major barriers to tax compliance among SMEs. It also emphasizes the importance of designing targeted interventions that consider both the demographic profile (youth and women dominance) and educational background of SME owners to improve understanding and compliance with tax regulations.</w:t>
      </w:r>
    </w:p>
    <w:p w14:paraId="2C895BF4" w14:textId="77777777" w:rsidR="005B1152" w:rsidRP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 xml:space="preserve">This indicates a generally positive perception of tax officers, but the large neutral group suggests that many SMEs are uncertain about officers’ effectiveness. This uncertainty may stem from inconsistent interactions, inadequate communication, or limited SME knowledge about tax procedures. The findings align with </w:t>
      </w:r>
      <w:proofErr w:type="spellStart"/>
      <w:r w:rsidRPr="005B1152">
        <w:rPr>
          <w:rFonts w:ascii="Times New Roman" w:hAnsi="Times New Roman" w:cs="Times New Roman"/>
          <w:sz w:val="24"/>
        </w:rPr>
        <w:t>Chindengwike</w:t>
      </w:r>
      <w:proofErr w:type="spellEnd"/>
      <w:r w:rsidRPr="005B1152">
        <w:rPr>
          <w:rFonts w:ascii="Times New Roman" w:hAnsi="Times New Roman" w:cs="Times New Roman"/>
          <w:sz w:val="24"/>
        </w:rPr>
        <w:t xml:space="preserve"> and Kira (2021), who emphasized that effective and consistent tax administration promotes trust and voluntary compliance among SMEs. Similarly, Musa and Ibrahim (2016) found that training and capacity-building of tax officers significantly influence SME compliance in Kenya.</w:t>
      </w:r>
    </w:p>
    <w:p w14:paraId="2C997A88" w14:textId="77777777" w:rsidR="001073FB"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lastRenderedPageBreak/>
        <w:t xml:space="preserve">However, some studies present a nuanced view. Paul (2025) noted that merely increasing the presence of tax officers does not guarantee improved compliance; the quality of interactions and the support provided by officers are more critical. Therefore, while </w:t>
      </w:r>
      <w:proofErr w:type="spellStart"/>
      <w:r w:rsidRPr="005B1152">
        <w:rPr>
          <w:rFonts w:ascii="Times New Roman" w:hAnsi="Times New Roman" w:cs="Times New Roman"/>
          <w:sz w:val="24"/>
        </w:rPr>
        <w:t>Mafinga</w:t>
      </w:r>
      <w:proofErr w:type="spellEnd"/>
      <w:r w:rsidRPr="005B1152">
        <w:rPr>
          <w:rFonts w:ascii="Times New Roman" w:hAnsi="Times New Roman" w:cs="Times New Roman"/>
          <w:sz w:val="24"/>
        </w:rPr>
        <w:t xml:space="preserve"> SMEs generally perceive tax officers positively, enhancing officers’ training, communication skills, and engagement with SMEs could further improve effectiveness. Regular feedback mechanisms and collaborative approaches could bridge gaps between perception and actual performance, fostering a more supportive and reliable tax collection environment.</w:t>
      </w:r>
    </w:p>
    <w:p w14:paraId="16FE738C" w14:textId="6CFE156A" w:rsidR="007F0B6E" w:rsidRPr="007F0B6E" w:rsidRDefault="007F0B6E" w:rsidP="007F0B6E">
      <w:pPr>
        <w:spacing w:line="360" w:lineRule="auto"/>
        <w:jc w:val="both"/>
        <w:rPr>
          <w:rFonts w:ascii="Times New Roman" w:hAnsi="Times New Roman" w:cs="Times New Roman"/>
          <w:b/>
          <w:sz w:val="24"/>
        </w:rPr>
      </w:pPr>
      <w:r w:rsidRPr="007F0B6E">
        <w:rPr>
          <w:rFonts w:ascii="Times New Roman" w:hAnsi="Times New Roman" w:cs="Times New Roman"/>
          <w:b/>
          <w:sz w:val="24"/>
        </w:rPr>
        <w:t>T</w:t>
      </w:r>
      <w:r>
        <w:rPr>
          <w:rFonts w:ascii="Times New Roman" w:hAnsi="Times New Roman" w:cs="Times New Roman"/>
          <w:b/>
          <w:sz w:val="24"/>
        </w:rPr>
        <w:t xml:space="preserve">able </w:t>
      </w:r>
      <w:r w:rsidR="006309CB">
        <w:rPr>
          <w:rFonts w:ascii="Times New Roman" w:hAnsi="Times New Roman" w:cs="Times New Roman"/>
          <w:b/>
          <w:sz w:val="24"/>
        </w:rPr>
        <w:t>4</w:t>
      </w:r>
      <w:r>
        <w:rPr>
          <w:rFonts w:ascii="Times New Roman" w:hAnsi="Times New Roman" w:cs="Times New Roman"/>
          <w:b/>
          <w:sz w:val="24"/>
        </w:rPr>
        <w:t xml:space="preserve">: </w:t>
      </w:r>
      <w:r w:rsidRPr="007F0B6E">
        <w:rPr>
          <w:rFonts w:ascii="Times New Roman" w:hAnsi="Times New Roman" w:cs="Times New Roman"/>
          <w:b/>
          <w:sz w:val="24"/>
        </w:rPr>
        <w:t>Perceived Effectiveness of Tax Officers</w:t>
      </w:r>
    </w:p>
    <w:tbl>
      <w:tblPr>
        <w:tblW w:w="9014" w:type="dxa"/>
        <w:tblBorders>
          <w:bottom w:val="single" w:sz="4" w:space="0" w:color="auto"/>
        </w:tblBorders>
        <w:tblLayout w:type="fixed"/>
        <w:tblCellMar>
          <w:left w:w="0" w:type="dxa"/>
          <w:right w:w="0" w:type="dxa"/>
        </w:tblCellMar>
        <w:tblLook w:val="0000" w:firstRow="0" w:lastRow="0" w:firstColumn="0" w:lastColumn="0" w:noHBand="0" w:noVBand="0"/>
      </w:tblPr>
      <w:tblGrid>
        <w:gridCol w:w="4987"/>
        <w:gridCol w:w="2781"/>
        <w:gridCol w:w="1246"/>
      </w:tblGrid>
      <w:tr w:rsidR="007F0B6E" w:rsidRPr="00357DE2" w14:paraId="1ED96891" w14:textId="77777777" w:rsidTr="007F0B6E">
        <w:trPr>
          <w:cantSplit/>
          <w:trHeight w:val="70"/>
        </w:trPr>
        <w:tc>
          <w:tcPr>
            <w:tcW w:w="4987" w:type="dxa"/>
            <w:tcBorders>
              <w:top w:val="single" w:sz="4" w:space="0" w:color="auto"/>
              <w:bottom w:val="single" w:sz="4" w:space="0" w:color="auto"/>
            </w:tcBorders>
            <w:vAlign w:val="bottom"/>
          </w:tcPr>
          <w:p w14:paraId="3AA387EB" w14:textId="77777777" w:rsidR="007F0B6E" w:rsidRPr="007F0B6E" w:rsidRDefault="007F0B6E" w:rsidP="007F0B6E">
            <w:pPr>
              <w:autoSpaceDE w:val="0"/>
              <w:autoSpaceDN w:val="0"/>
              <w:adjustRightInd w:val="0"/>
              <w:spacing w:after="0" w:line="240" w:lineRule="auto"/>
              <w:jc w:val="both"/>
              <w:rPr>
                <w:rFonts w:ascii="Times New Roman" w:hAnsi="Times New Roman" w:cs="Times New Roman"/>
                <w:b/>
                <w:sz w:val="20"/>
                <w:szCs w:val="24"/>
              </w:rPr>
            </w:pPr>
            <w:r w:rsidRPr="007F0B6E">
              <w:rPr>
                <w:rFonts w:ascii="Times New Roman" w:hAnsi="Times New Roman" w:cs="Times New Roman"/>
                <w:b/>
                <w:sz w:val="20"/>
                <w:szCs w:val="24"/>
              </w:rPr>
              <w:t>Response</w:t>
            </w:r>
          </w:p>
        </w:tc>
        <w:tc>
          <w:tcPr>
            <w:tcW w:w="2781" w:type="dxa"/>
            <w:tcBorders>
              <w:top w:val="single" w:sz="4" w:space="0" w:color="auto"/>
              <w:bottom w:val="single" w:sz="4" w:space="0" w:color="auto"/>
            </w:tcBorders>
            <w:vAlign w:val="bottom"/>
          </w:tcPr>
          <w:p w14:paraId="2EA215D8"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Frequency</w:t>
            </w:r>
          </w:p>
        </w:tc>
        <w:tc>
          <w:tcPr>
            <w:tcW w:w="1246" w:type="dxa"/>
            <w:tcBorders>
              <w:top w:val="single" w:sz="4" w:space="0" w:color="auto"/>
              <w:bottom w:val="single" w:sz="4" w:space="0" w:color="auto"/>
            </w:tcBorders>
            <w:vAlign w:val="bottom"/>
          </w:tcPr>
          <w:p w14:paraId="1B2CC049"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Percent</w:t>
            </w:r>
          </w:p>
        </w:tc>
      </w:tr>
      <w:tr w:rsidR="007F0B6E" w:rsidRPr="00357DE2" w14:paraId="42BDDC64" w14:textId="77777777" w:rsidTr="007F0B6E">
        <w:trPr>
          <w:cantSplit/>
          <w:trHeight w:val="70"/>
        </w:trPr>
        <w:tc>
          <w:tcPr>
            <w:tcW w:w="4987" w:type="dxa"/>
            <w:tcBorders>
              <w:top w:val="single" w:sz="4" w:space="0" w:color="auto"/>
            </w:tcBorders>
          </w:tcPr>
          <w:p w14:paraId="158D576C"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Very effective</w:t>
            </w:r>
          </w:p>
        </w:tc>
        <w:tc>
          <w:tcPr>
            <w:tcW w:w="2781" w:type="dxa"/>
            <w:tcBorders>
              <w:top w:val="single" w:sz="4" w:space="0" w:color="auto"/>
            </w:tcBorders>
          </w:tcPr>
          <w:p w14:paraId="6A5F8E6B"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w:t>
            </w:r>
          </w:p>
        </w:tc>
        <w:tc>
          <w:tcPr>
            <w:tcW w:w="1246" w:type="dxa"/>
            <w:tcBorders>
              <w:top w:val="single" w:sz="4" w:space="0" w:color="auto"/>
            </w:tcBorders>
          </w:tcPr>
          <w:p w14:paraId="6EE783F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w:t>
            </w:r>
          </w:p>
        </w:tc>
      </w:tr>
      <w:tr w:rsidR="007F0B6E" w:rsidRPr="00357DE2" w14:paraId="33EB9177" w14:textId="77777777" w:rsidTr="007F0B6E">
        <w:trPr>
          <w:cantSplit/>
          <w:trHeight w:val="80"/>
        </w:trPr>
        <w:tc>
          <w:tcPr>
            <w:tcW w:w="4987" w:type="dxa"/>
          </w:tcPr>
          <w:p w14:paraId="08BCBD60"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Effective</w:t>
            </w:r>
          </w:p>
        </w:tc>
        <w:tc>
          <w:tcPr>
            <w:tcW w:w="2781" w:type="dxa"/>
          </w:tcPr>
          <w:p w14:paraId="4BB9C59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45</w:t>
            </w:r>
          </w:p>
        </w:tc>
        <w:tc>
          <w:tcPr>
            <w:tcW w:w="1246" w:type="dxa"/>
          </w:tcPr>
          <w:p w14:paraId="30DD46A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44.6</w:t>
            </w:r>
          </w:p>
        </w:tc>
      </w:tr>
      <w:tr w:rsidR="007F0B6E" w:rsidRPr="00357DE2" w14:paraId="05F1E49A" w14:textId="77777777" w:rsidTr="007F0B6E">
        <w:trPr>
          <w:cantSplit/>
          <w:trHeight w:val="80"/>
        </w:trPr>
        <w:tc>
          <w:tcPr>
            <w:tcW w:w="4987" w:type="dxa"/>
          </w:tcPr>
          <w:p w14:paraId="6F38492F"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Neutral</w:t>
            </w:r>
          </w:p>
        </w:tc>
        <w:tc>
          <w:tcPr>
            <w:tcW w:w="2781" w:type="dxa"/>
          </w:tcPr>
          <w:p w14:paraId="5D5C90CD"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42</w:t>
            </w:r>
          </w:p>
        </w:tc>
        <w:tc>
          <w:tcPr>
            <w:tcW w:w="1246" w:type="dxa"/>
          </w:tcPr>
          <w:p w14:paraId="432BE4B6"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41.6</w:t>
            </w:r>
          </w:p>
        </w:tc>
      </w:tr>
      <w:tr w:rsidR="007F0B6E" w:rsidRPr="00357DE2" w14:paraId="76579612" w14:textId="77777777" w:rsidTr="007F0B6E">
        <w:trPr>
          <w:cantSplit/>
          <w:trHeight w:val="80"/>
        </w:trPr>
        <w:tc>
          <w:tcPr>
            <w:tcW w:w="4987" w:type="dxa"/>
          </w:tcPr>
          <w:p w14:paraId="2BDB8A30"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Ineffective</w:t>
            </w:r>
          </w:p>
        </w:tc>
        <w:tc>
          <w:tcPr>
            <w:tcW w:w="2781" w:type="dxa"/>
          </w:tcPr>
          <w:p w14:paraId="20512DA7"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6</w:t>
            </w:r>
          </w:p>
        </w:tc>
        <w:tc>
          <w:tcPr>
            <w:tcW w:w="1246" w:type="dxa"/>
          </w:tcPr>
          <w:p w14:paraId="65512DD1"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5.9</w:t>
            </w:r>
          </w:p>
        </w:tc>
      </w:tr>
      <w:tr w:rsidR="007F0B6E" w:rsidRPr="00357DE2" w14:paraId="381B4ED8" w14:textId="77777777" w:rsidTr="007F0B6E">
        <w:trPr>
          <w:cantSplit/>
          <w:trHeight w:val="80"/>
        </w:trPr>
        <w:tc>
          <w:tcPr>
            <w:tcW w:w="4987" w:type="dxa"/>
          </w:tcPr>
          <w:p w14:paraId="19252701"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Very ineffective</w:t>
            </w:r>
          </w:p>
        </w:tc>
        <w:tc>
          <w:tcPr>
            <w:tcW w:w="2781" w:type="dxa"/>
          </w:tcPr>
          <w:p w14:paraId="41560B95"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w:t>
            </w:r>
          </w:p>
        </w:tc>
        <w:tc>
          <w:tcPr>
            <w:tcW w:w="1246" w:type="dxa"/>
          </w:tcPr>
          <w:p w14:paraId="1D073224"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w:t>
            </w:r>
          </w:p>
        </w:tc>
      </w:tr>
      <w:tr w:rsidR="007F0B6E" w:rsidRPr="00357DE2" w14:paraId="0E26BF25" w14:textId="77777777" w:rsidTr="007F0B6E">
        <w:trPr>
          <w:cantSplit/>
          <w:trHeight w:val="80"/>
        </w:trPr>
        <w:tc>
          <w:tcPr>
            <w:tcW w:w="4987" w:type="dxa"/>
          </w:tcPr>
          <w:p w14:paraId="0AAC7E0D"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b/>
                <w:bCs/>
                <w:sz w:val="20"/>
                <w:szCs w:val="24"/>
              </w:rPr>
            </w:pPr>
            <w:r w:rsidRPr="007F0B6E">
              <w:rPr>
                <w:rFonts w:ascii="Times New Roman" w:hAnsi="Times New Roman" w:cs="Times New Roman"/>
                <w:b/>
                <w:bCs/>
                <w:sz w:val="20"/>
                <w:szCs w:val="24"/>
              </w:rPr>
              <w:t>Total</w:t>
            </w:r>
          </w:p>
        </w:tc>
        <w:tc>
          <w:tcPr>
            <w:tcW w:w="2781" w:type="dxa"/>
          </w:tcPr>
          <w:p w14:paraId="166C7A70"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101</w:t>
            </w:r>
          </w:p>
        </w:tc>
        <w:tc>
          <w:tcPr>
            <w:tcW w:w="1246" w:type="dxa"/>
          </w:tcPr>
          <w:p w14:paraId="5AA1D9A0"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100.0</w:t>
            </w:r>
          </w:p>
        </w:tc>
      </w:tr>
    </w:tbl>
    <w:p w14:paraId="7F7FB71E" w14:textId="77777777" w:rsidR="007F0B6E" w:rsidRPr="00357DE2" w:rsidRDefault="007F0B6E" w:rsidP="007F0B6E">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 xml:space="preserve">Source: Field data, 2025 </w:t>
      </w:r>
    </w:p>
    <w:p w14:paraId="61A10171" w14:textId="77777777" w:rsidR="007F0B6E" w:rsidRPr="007F0B6E" w:rsidRDefault="007F0B6E" w:rsidP="007F0B6E">
      <w:pPr>
        <w:spacing w:line="360" w:lineRule="auto"/>
        <w:jc w:val="both"/>
        <w:rPr>
          <w:rFonts w:ascii="Times New Roman" w:hAnsi="Times New Roman" w:cs="Times New Roman"/>
          <w:b/>
          <w:sz w:val="24"/>
        </w:rPr>
      </w:pPr>
      <w:r w:rsidRPr="007F0B6E">
        <w:rPr>
          <w:rFonts w:ascii="Times New Roman" w:hAnsi="Times New Roman" w:cs="Times New Roman"/>
          <w:b/>
          <w:sz w:val="24"/>
        </w:rPr>
        <w:t>4.2.2 Perceived Transparency of Tax Collection</w:t>
      </w:r>
    </w:p>
    <w:p w14:paraId="78C13C84" w14:textId="77777777" w:rsidR="007F0B6E" w:rsidRDefault="007F0B6E" w:rsidP="007F0B6E">
      <w:pPr>
        <w:spacing w:line="360" w:lineRule="auto"/>
        <w:jc w:val="both"/>
        <w:rPr>
          <w:rFonts w:ascii="Times New Roman" w:hAnsi="Times New Roman" w:cs="Times New Roman"/>
          <w:sz w:val="24"/>
        </w:rPr>
      </w:pPr>
      <w:r w:rsidRPr="007F0B6E">
        <w:rPr>
          <w:rFonts w:ascii="Times New Roman" w:hAnsi="Times New Roman" w:cs="Times New Roman"/>
          <w:sz w:val="24"/>
        </w:rPr>
        <w:t xml:space="preserve">The study revealed that 62.4% of the responds sees the system of tax collection in </w:t>
      </w:r>
      <w:proofErr w:type="spellStart"/>
      <w:r w:rsidRPr="007F0B6E">
        <w:rPr>
          <w:rFonts w:ascii="Times New Roman" w:hAnsi="Times New Roman" w:cs="Times New Roman"/>
          <w:sz w:val="24"/>
        </w:rPr>
        <w:t>Mafinga</w:t>
      </w:r>
      <w:proofErr w:type="spellEnd"/>
      <w:r w:rsidRPr="007F0B6E">
        <w:rPr>
          <w:rFonts w:ascii="Times New Roman" w:hAnsi="Times New Roman" w:cs="Times New Roman"/>
          <w:sz w:val="24"/>
        </w:rPr>
        <w:t xml:space="preserve"> town council as very transparent or transparent, while the remaining 37.6% of the respondents population perceive that the system of tax collects is ineffective and some remain natural, these implies that despites most of SME’s having belief in the tax collection system in </w:t>
      </w:r>
      <w:proofErr w:type="spellStart"/>
      <w:r w:rsidRPr="007F0B6E">
        <w:rPr>
          <w:rFonts w:ascii="Times New Roman" w:hAnsi="Times New Roman" w:cs="Times New Roman"/>
          <w:sz w:val="24"/>
        </w:rPr>
        <w:t>Mafinga</w:t>
      </w:r>
      <w:proofErr w:type="spellEnd"/>
      <w:r w:rsidRPr="007F0B6E">
        <w:rPr>
          <w:rFonts w:ascii="Times New Roman" w:hAnsi="Times New Roman" w:cs="Times New Roman"/>
          <w:sz w:val="24"/>
        </w:rPr>
        <w:t xml:space="preserve"> town council but still a large number of the respondents sees it as non-trans parent system, those may lead to noncompliance behavior to the SME’s that leads to poor collection of income tax from SME’s.</w:t>
      </w:r>
      <w:r>
        <w:rPr>
          <w:rFonts w:ascii="Times New Roman" w:hAnsi="Times New Roman" w:cs="Times New Roman"/>
          <w:sz w:val="24"/>
        </w:rPr>
        <w:t xml:space="preserve"> </w:t>
      </w:r>
      <w:r w:rsidRPr="007F0B6E">
        <w:rPr>
          <w:rFonts w:ascii="Times New Roman" w:hAnsi="Times New Roman" w:cs="Times New Roman"/>
          <w:sz w:val="24"/>
        </w:rPr>
        <w:t>Most SMEs (62.4%) perceive the tax collection process as transparent or very transparent. However, 32.7% remain neutral and 4.9% consider it not transparent, suggesting room for improvement in communication and clarity of procedures.</w:t>
      </w:r>
    </w:p>
    <w:p w14:paraId="283B8672" w14:textId="77777777" w:rsidR="005B1152" w:rsidRP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 xml:space="preserve">Regarding transparency, 62.4% of SMEs in </w:t>
      </w:r>
      <w:proofErr w:type="spellStart"/>
      <w:r w:rsidRPr="005B1152">
        <w:rPr>
          <w:rFonts w:ascii="Times New Roman" w:hAnsi="Times New Roman" w:cs="Times New Roman"/>
          <w:sz w:val="24"/>
        </w:rPr>
        <w:t>Mafinga</w:t>
      </w:r>
      <w:proofErr w:type="spellEnd"/>
      <w:r w:rsidRPr="005B1152">
        <w:rPr>
          <w:rFonts w:ascii="Times New Roman" w:hAnsi="Times New Roman" w:cs="Times New Roman"/>
          <w:sz w:val="24"/>
        </w:rPr>
        <w:t xml:space="preserve"> Town Council perceive the tax collection process as transparent or very transparent, while 32.7% remain neutral and 4.9% view it as not transparent. This suggests that, overall, SMEs have confidence in the council’s tax system. This aligns with </w:t>
      </w:r>
      <w:proofErr w:type="spellStart"/>
      <w:r w:rsidRPr="005B1152">
        <w:rPr>
          <w:rFonts w:ascii="Times New Roman" w:hAnsi="Times New Roman" w:cs="Times New Roman"/>
          <w:sz w:val="24"/>
        </w:rPr>
        <w:t>Chindengwike</w:t>
      </w:r>
      <w:proofErr w:type="spellEnd"/>
      <w:r w:rsidRPr="005B1152">
        <w:rPr>
          <w:rFonts w:ascii="Times New Roman" w:hAnsi="Times New Roman" w:cs="Times New Roman"/>
          <w:sz w:val="24"/>
        </w:rPr>
        <w:t xml:space="preserve"> and Kira (2021), who found that transparent tax systems increase voluntary compliance by building trust between tax authorities and taxpayers. Similarly, </w:t>
      </w:r>
      <w:proofErr w:type="spellStart"/>
      <w:r w:rsidRPr="005B1152">
        <w:rPr>
          <w:rFonts w:ascii="Times New Roman" w:hAnsi="Times New Roman" w:cs="Times New Roman"/>
          <w:sz w:val="24"/>
        </w:rPr>
        <w:t>Sikayu</w:t>
      </w:r>
      <w:proofErr w:type="spellEnd"/>
      <w:r w:rsidRPr="005B1152">
        <w:rPr>
          <w:rFonts w:ascii="Times New Roman" w:hAnsi="Times New Roman" w:cs="Times New Roman"/>
          <w:sz w:val="24"/>
        </w:rPr>
        <w:t xml:space="preserve"> et al. (2022) reported that fairness and clarity in tax administration positively influence SMEs’ willingness to comply. Al-</w:t>
      </w:r>
      <w:proofErr w:type="spellStart"/>
      <w:r w:rsidRPr="005B1152">
        <w:rPr>
          <w:rFonts w:ascii="Times New Roman" w:hAnsi="Times New Roman" w:cs="Times New Roman"/>
          <w:sz w:val="24"/>
        </w:rPr>
        <w:t>Rahamneh</w:t>
      </w:r>
      <w:proofErr w:type="spellEnd"/>
      <w:r w:rsidRPr="005B1152">
        <w:rPr>
          <w:rFonts w:ascii="Times New Roman" w:hAnsi="Times New Roman" w:cs="Times New Roman"/>
          <w:sz w:val="24"/>
        </w:rPr>
        <w:t xml:space="preserve"> (2023) also highlighted that perceived transparency reduces tax evasion by increasing taxpayers’ confidence in the system.</w:t>
      </w:r>
    </w:p>
    <w:p w14:paraId="0EA18BE0" w14:textId="77777777" w:rsid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lastRenderedPageBreak/>
        <w:t>The neutral and negative perceptions indicate that some SMEs still experience challenges understanding tax procedures, likely due to complex processes or limited communication. Therefore, enhancing transparency through clear guidelines, regular informational sessions, and user-friendly digital platforms could improve SME understanding and trust. Providing accessible information about tax procedures and the allocation of collected revenues can strengthen the perception of fairness and encourage higher compliance rates among SMEs.</w:t>
      </w:r>
    </w:p>
    <w:p w14:paraId="667FB649" w14:textId="0DB102CD" w:rsidR="007F0B6E" w:rsidRPr="007F0B6E" w:rsidRDefault="007F0B6E" w:rsidP="007F0B6E">
      <w:pPr>
        <w:spacing w:line="360" w:lineRule="auto"/>
        <w:jc w:val="both"/>
        <w:rPr>
          <w:rFonts w:ascii="Times New Roman" w:hAnsi="Times New Roman" w:cs="Times New Roman"/>
          <w:b/>
          <w:sz w:val="24"/>
        </w:rPr>
      </w:pPr>
      <w:r w:rsidRPr="007F0B6E">
        <w:rPr>
          <w:rFonts w:ascii="Times New Roman" w:hAnsi="Times New Roman" w:cs="Times New Roman"/>
          <w:b/>
          <w:sz w:val="24"/>
        </w:rPr>
        <w:t xml:space="preserve">Table </w:t>
      </w:r>
      <w:r w:rsidR="006309CB">
        <w:rPr>
          <w:rFonts w:ascii="Times New Roman" w:hAnsi="Times New Roman" w:cs="Times New Roman"/>
          <w:b/>
          <w:sz w:val="24"/>
        </w:rPr>
        <w:t>5</w:t>
      </w:r>
      <w:r w:rsidRPr="007F0B6E">
        <w:rPr>
          <w:rFonts w:ascii="Times New Roman" w:hAnsi="Times New Roman" w:cs="Times New Roman"/>
          <w:b/>
          <w:sz w:val="24"/>
        </w:rPr>
        <w:t>: Perceived Transparency of Tax Collection</w:t>
      </w:r>
    </w:p>
    <w:tbl>
      <w:tblPr>
        <w:tblW w:w="91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770"/>
        <w:gridCol w:w="3115"/>
        <w:gridCol w:w="1265"/>
      </w:tblGrid>
      <w:tr w:rsidR="007F0B6E" w:rsidRPr="00357DE2" w14:paraId="5EF7A3E2" w14:textId="77777777" w:rsidTr="007F0B6E">
        <w:trPr>
          <w:cantSplit/>
          <w:trHeight w:val="70"/>
        </w:trPr>
        <w:tc>
          <w:tcPr>
            <w:tcW w:w="4770" w:type="dxa"/>
            <w:tcBorders>
              <w:top w:val="single" w:sz="4" w:space="0" w:color="auto"/>
              <w:bottom w:val="single" w:sz="4" w:space="0" w:color="auto"/>
            </w:tcBorders>
            <w:vAlign w:val="bottom"/>
          </w:tcPr>
          <w:p w14:paraId="4C810B46" w14:textId="77777777" w:rsidR="007F0B6E" w:rsidRPr="007F0B6E" w:rsidRDefault="007F0B6E" w:rsidP="007F0B6E">
            <w:pPr>
              <w:autoSpaceDE w:val="0"/>
              <w:autoSpaceDN w:val="0"/>
              <w:adjustRightInd w:val="0"/>
              <w:spacing w:after="0" w:line="240" w:lineRule="auto"/>
              <w:jc w:val="both"/>
              <w:rPr>
                <w:rFonts w:ascii="Times New Roman" w:hAnsi="Times New Roman" w:cs="Times New Roman"/>
                <w:b/>
                <w:sz w:val="20"/>
                <w:szCs w:val="24"/>
              </w:rPr>
            </w:pPr>
            <w:r w:rsidRPr="007F0B6E">
              <w:rPr>
                <w:rFonts w:ascii="Times New Roman" w:hAnsi="Times New Roman" w:cs="Times New Roman"/>
                <w:b/>
                <w:sz w:val="20"/>
                <w:szCs w:val="24"/>
              </w:rPr>
              <w:t>Response</w:t>
            </w:r>
          </w:p>
        </w:tc>
        <w:tc>
          <w:tcPr>
            <w:tcW w:w="3115" w:type="dxa"/>
            <w:tcBorders>
              <w:top w:val="single" w:sz="4" w:space="0" w:color="auto"/>
              <w:bottom w:val="single" w:sz="4" w:space="0" w:color="auto"/>
            </w:tcBorders>
            <w:vAlign w:val="bottom"/>
          </w:tcPr>
          <w:p w14:paraId="0D9A66D5"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Frequency</w:t>
            </w:r>
          </w:p>
        </w:tc>
        <w:tc>
          <w:tcPr>
            <w:tcW w:w="1265" w:type="dxa"/>
            <w:tcBorders>
              <w:top w:val="single" w:sz="4" w:space="0" w:color="auto"/>
              <w:bottom w:val="single" w:sz="4" w:space="0" w:color="auto"/>
            </w:tcBorders>
            <w:vAlign w:val="bottom"/>
          </w:tcPr>
          <w:p w14:paraId="7767AA27"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Percent</w:t>
            </w:r>
          </w:p>
        </w:tc>
      </w:tr>
      <w:tr w:rsidR="007F0B6E" w:rsidRPr="00357DE2" w14:paraId="7B590799" w14:textId="77777777" w:rsidTr="007F0B6E">
        <w:trPr>
          <w:cantSplit/>
          <w:trHeight w:val="70"/>
        </w:trPr>
        <w:tc>
          <w:tcPr>
            <w:tcW w:w="4770" w:type="dxa"/>
            <w:tcBorders>
              <w:top w:val="single" w:sz="4" w:space="0" w:color="auto"/>
            </w:tcBorders>
          </w:tcPr>
          <w:p w14:paraId="5D570FE8"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Very transparent</w:t>
            </w:r>
          </w:p>
        </w:tc>
        <w:tc>
          <w:tcPr>
            <w:tcW w:w="3115" w:type="dxa"/>
            <w:tcBorders>
              <w:top w:val="single" w:sz="4" w:space="0" w:color="auto"/>
            </w:tcBorders>
          </w:tcPr>
          <w:p w14:paraId="700A2C51"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22</w:t>
            </w:r>
          </w:p>
        </w:tc>
        <w:tc>
          <w:tcPr>
            <w:tcW w:w="1265" w:type="dxa"/>
            <w:tcBorders>
              <w:top w:val="single" w:sz="4" w:space="0" w:color="auto"/>
            </w:tcBorders>
          </w:tcPr>
          <w:p w14:paraId="515314FD"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21.8</w:t>
            </w:r>
          </w:p>
        </w:tc>
      </w:tr>
      <w:tr w:rsidR="007F0B6E" w:rsidRPr="00357DE2" w14:paraId="70E033B5" w14:textId="77777777" w:rsidTr="007F0B6E">
        <w:trPr>
          <w:cantSplit/>
          <w:trHeight w:val="80"/>
        </w:trPr>
        <w:tc>
          <w:tcPr>
            <w:tcW w:w="4770" w:type="dxa"/>
          </w:tcPr>
          <w:p w14:paraId="218562AF"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Transparent</w:t>
            </w:r>
          </w:p>
        </w:tc>
        <w:tc>
          <w:tcPr>
            <w:tcW w:w="3115" w:type="dxa"/>
          </w:tcPr>
          <w:p w14:paraId="15278ED8"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41</w:t>
            </w:r>
          </w:p>
        </w:tc>
        <w:tc>
          <w:tcPr>
            <w:tcW w:w="1265" w:type="dxa"/>
          </w:tcPr>
          <w:p w14:paraId="299FC1F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40.6</w:t>
            </w:r>
          </w:p>
        </w:tc>
      </w:tr>
      <w:tr w:rsidR="007F0B6E" w:rsidRPr="00357DE2" w14:paraId="6098D894" w14:textId="77777777" w:rsidTr="007F0B6E">
        <w:trPr>
          <w:cantSplit/>
          <w:trHeight w:val="80"/>
        </w:trPr>
        <w:tc>
          <w:tcPr>
            <w:tcW w:w="4770" w:type="dxa"/>
          </w:tcPr>
          <w:p w14:paraId="642C9BF1"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Neutral</w:t>
            </w:r>
          </w:p>
        </w:tc>
        <w:tc>
          <w:tcPr>
            <w:tcW w:w="3115" w:type="dxa"/>
          </w:tcPr>
          <w:p w14:paraId="1E6749B0"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33</w:t>
            </w:r>
          </w:p>
        </w:tc>
        <w:tc>
          <w:tcPr>
            <w:tcW w:w="1265" w:type="dxa"/>
          </w:tcPr>
          <w:p w14:paraId="7B82B64E"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32.7</w:t>
            </w:r>
          </w:p>
        </w:tc>
      </w:tr>
      <w:tr w:rsidR="007F0B6E" w:rsidRPr="00357DE2" w14:paraId="79EB7F02" w14:textId="77777777" w:rsidTr="007F0B6E">
        <w:trPr>
          <w:cantSplit/>
          <w:trHeight w:val="80"/>
        </w:trPr>
        <w:tc>
          <w:tcPr>
            <w:tcW w:w="4770" w:type="dxa"/>
          </w:tcPr>
          <w:p w14:paraId="62B9848C"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Not transparent</w:t>
            </w:r>
          </w:p>
        </w:tc>
        <w:tc>
          <w:tcPr>
            <w:tcW w:w="3115" w:type="dxa"/>
          </w:tcPr>
          <w:p w14:paraId="021EE673"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w:t>
            </w:r>
          </w:p>
        </w:tc>
        <w:tc>
          <w:tcPr>
            <w:tcW w:w="1265" w:type="dxa"/>
          </w:tcPr>
          <w:p w14:paraId="767B795B"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4.9</w:t>
            </w:r>
          </w:p>
        </w:tc>
      </w:tr>
      <w:tr w:rsidR="007F0B6E" w:rsidRPr="00357DE2" w14:paraId="1229F764" w14:textId="77777777" w:rsidTr="007F0B6E">
        <w:trPr>
          <w:cantSplit/>
          <w:trHeight w:val="80"/>
        </w:trPr>
        <w:tc>
          <w:tcPr>
            <w:tcW w:w="4770" w:type="dxa"/>
          </w:tcPr>
          <w:p w14:paraId="5A7476AC"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b/>
                <w:bCs/>
                <w:sz w:val="20"/>
                <w:szCs w:val="24"/>
              </w:rPr>
            </w:pPr>
            <w:r w:rsidRPr="007F0B6E">
              <w:rPr>
                <w:rFonts w:ascii="Times New Roman" w:hAnsi="Times New Roman" w:cs="Times New Roman"/>
                <w:b/>
                <w:bCs/>
                <w:sz w:val="20"/>
                <w:szCs w:val="24"/>
              </w:rPr>
              <w:t>Total</w:t>
            </w:r>
          </w:p>
        </w:tc>
        <w:tc>
          <w:tcPr>
            <w:tcW w:w="3115" w:type="dxa"/>
          </w:tcPr>
          <w:p w14:paraId="40F9839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101</w:t>
            </w:r>
          </w:p>
        </w:tc>
        <w:tc>
          <w:tcPr>
            <w:tcW w:w="1265" w:type="dxa"/>
          </w:tcPr>
          <w:p w14:paraId="3F393EC6"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100.0</w:t>
            </w:r>
          </w:p>
        </w:tc>
      </w:tr>
    </w:tbl>
    <w:p w14:paraId="6F04796A" w14:textId="77777777" w:rsidR="007F0B6E" w:rsidRPr="00357DE2" w:rsidRDefault="007F0B6E" w:rsidP="007F0B6E">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Field data, 2025</w:t>
      </w:r>
    </w:p>
    <w:p w14:paraId="19B2B94B" w14:textId="77777777" w:rsidR="00965FA5" w:rsidRPr="00965FA5" w:rsidRDefault="00965FA5" w:rsidP="00965FA5">
      <w:pPr>
        <w:spacing w:line="360" w:lineRule="auto"/>
        <w:jc w:val="both"/>
        <w:rPr>
          <w:rFonts w:ascii="Times New Roman" w:hAnsi="Times New Roman" w:cs="Times New Roman"/>
          <w:b/>
          <w:sz w:val="24"/>
        </w:rPr>
      </w:pPr>
      <w:r w:rsidRPr="00965FA5">
        <w:rPr>
          <w:rFonts w:ascii="Times New Roman" w:hAnsi="Times New Roman" w:cs="Times New Roman"/>
          <w:b/>
          <w:sz w:val="24"/>
        </w:rPr>
        <w:t>4.2.3 Perception of Corruption in Tax Collection</w:t>
      </w:r>
    </w:p>
    <w:p w14:paraId="787B275E" w14:textId="77777777" w:rsidR="007F0B6E" w:rsidRDefault="00965FA5" w:rsidP="00965FA5">
      <w:pPr>
        <w:spacing w:line="360" w:lineRule="auto"/>
        <w:jc w:val="both"/>
        <w:rPr>
          <w:rFonts w:ascii="Times New Roman" w:hAnsi="Times New Roman" w:cs="Times New Roman"/>
          <w:sz w:val="24"/>
        </w:rPr>
      </w:pPr>
      <w:r w:rsidRPr="00965FA5">
        <w:rPr>
          <w:rFonts w:ascii="Times New Roman" w:hAnsi="Times New Roman" w:cs="Times New Roman"/>
          <w:sz w:val="24"/>
        </w:rPr>
        <w:t xml:space="preserve">The study sought to examine whether Small and Medium Enterprises (SMEs) in </w:t>
      </w:r>
      <w:proofErr w:type="spellStart"/>
      <w:r w:rsidRPr="00965FA5">
        <w:rPr>
          <w:rFonts w:ascii="Times New Roman" w:hAnsi="Times New Roman" w:cs="Times New Roman"/>
          <w:sz w:val="24"/>
        </w:rPr>
        <w:t>Mafinga</w:t>
      </w:r>
      <w:proofErr w:type="spellEnd"/>
      <w:r w:rsidRPr="00965FA5">
        <w:rPr>
          <w:rFonts w:ascii="Times New Roman" w:hAnsi="Times New Roman" w:cs="Times New Roman"/>
          <w:sz w:val="24"/>
        </w:rPr>
        <w:t xml:space="preserve"> Town Council had ever experienced or heard of corruption in tax collection. Out of a total sample of 101 respondents, 53 (52.5%) reported that they had experienced or were aware of corruption in tax collection, 26 (25.7%) indicated that they had not, while 22 (2</w:t>
      </w:r>
      <w:r>
        <w:rPr>
          <w:rFonts w:ascii="Times New Roman" w:hAnsi="Times New Roman" w:cs="Times New Roman"/>
          <w:sz w:val="24"/>
        </w:rPr>
        <w:t xml:space="preserve">1.8%) preferred not to comment. </w:t>
      </w:r>
      <w:r w:rsidRPr="00965FA5">
        <w:rPr>
          <w:rFonts w:ascii="Times New Roman" w:hAnsi="Times New Roman" w:cs="Times New Roman"/>
          <w:sz w:val="24"/>
        </w:rPr>
        <w:t>These findings imply that a majority of SMEs perceive corruption as a significant issue in the tax collection process. The high proportion of respondents who answered “Yes” suggests that corrupt practices are either prevalent or widely known among SMEs, which could negatively affect their trust in tax authorities and willingness to comply with tax obligations.</w:t>
      </w:r>
    </w:p>
    <w:p w14:paraId="27A23909" w14:textId="77777777" w:rsidR="005B1152" w:rsidRP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 xml:space="preserve">The study found that 52.5% of SMEs in </w:t>
      </w:r>
      <w:proofErr w:type="spellStart"/>
      <w:r w:rsidRPr="005B1152">
        <w:rPr>
          <w:rFonts w:ascii="Times New Roman" w:hAnsi="Times New Roman" w:cs="Times New Roman"/>
          <w:sz w:val="24"/>
        </w:rPr>
        <w:t>Mafinga</w:t>
      </w:r>
      <w:proofErr w:type="spellEnd"/>
      <w:r w:rsidRPr="005B1152">
        <w:rPr>
          <w:rFonts w:ascii="Times New Roman" w:hAnsi="Times New Roman" w:cs="Times New Roman"/>
          <w:sz w:val="24"/>
        </w:rPr>
        <w:t xml:space="preserve"> have experienced or are aware of corruption in tax collection, 25.7% have not, and 21.8% preferred not to comment. This highlights corruption as a significant concern in the tax collection process. These findings are consistent with Transparency International (2025), which emphasizes that corruption erodes trust and reduces compliance in Tanzania’s tax administration. Mlay (2015) also reported that corrupt practices in tax systems discourage SMEs from fulfilling their obligations, leading to revenue losses and weakened governance. </w:t>
      </w:r>
      <w:proofErr w:type="spellStart"/>
      <w:r w:rsidRPr="005B1152">
        <w:rPr>
          <w:rFonts w:ascii="Times New Roman" w:hAnsi="Times New Roman" w:cs="Times New Roman"/>
          <w:sz w:val="24"/>
        </w:rPr>
        <w:t>Chindengwike</w:t>
      </w:r>
      <w:proofErr w:type="spellEnd"/>
      <w:r w:rsidRPr="005B1152">
        <w:rPr>
          <w:rFonts w:ascii="Times New Roman" w:hAnsi="Times New Roman" w:cs="Times New Roman"/>
          <w:sz w:val="24"/>
        </w:rPr>
        <w:t xml:space="preserve"> and Kira (2021) further argue that corruption undermines transparency and trust, essential elements for voluntary tax compliance.</w:t>
      </w:r>
    </w:p>
    <w:p w14:paraId="1572D9BA" w14:textId="77777777" w:rsid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 xml:space="preserve">Addressing corruption requires a multi-pronged approach, including implementing anti-corruption policies, conducting regular audits, establishing independent oversight, and </w:t>
      </w:r>
      <w:r w:rsidRPr="005B1152">
        <w:rPr>
          <w:rFonts w:ascii="Times New Roman" w:hAnsi="Times New Roman" w:cs="Times New Roman"/>
          <w:sz w:val="24"/>
        </w:rPr>
        <w:lastRenderedPageBreak/>
        <w:t>fostering a culture of accountability within tax authorities. Providing SMEs with anonymous reporting channels can empower them to voice concerns safely, enhancing transparency and integrity in tax administration. Reducing corruption can significantly improve SMEs’ confidence in the system, thereby increasing voluntary compliance and revenue collection efficiency.</w:t>
      </w:r>
    </w:p>
    <w:p w14:paraId="721764AC" w14:textId="5AC330A0" w:rsidR="00965FA5" w:rsidRPr="00965FA5" w:rsidRDefault="00965FA5" w:rsidP="00965FA5">
      <w:pPr>
        <w:spacing w:line="360" w:lineRule="auto"/>
        <w:jc w:val="both"/>
        <w:rPr>
          <w:rFonts w:ascii="Times New Roman" w:hAnsi="Times New Roman" w:cs="Times New Roman"/>
          <w:b/>
          <w:sz w:val="24"/>
        </w:rPr>
      </w:pPr>
      <w:r w:rsidRPr="00965FA5">
        <w:rPr>
          <w:rFonts w:ascii="Times New Roman" w:hAnsi="Times New Roman" w:cs="Times New Roman"/>
          <w:b/>
          <w:sz w:val="24"/>
        </w:rPr>
        <w:t xml:space="preserve">Table </w:t>
      </w:r>
      <w:r w:rsidR="006309CB">
        <w:rPr>
          <w:rFonts w:ascii="Times New Roman" w:hAnsi="Times New Roman" w:cs="Times New Roman"/>
          <w:b/>
          <w:sz w:val="24"/>
        </w:rPr>
        <w:t>6</w:t>
      </w:r>
      <w:r w:rsidRPr="00965FA5">
        <w:rPr>
          <w:rFonts w:ascii="Times New Roman" w:hAnsi="Times New Roman" w:cs="Times New Roman"/>
          <w:b/>
          <w:sz w:val="24"/>
        </w:rPr>
        <w:t xml:space="preserve"> Perception of Corruption in Tax Collection</w:t>
      </w:r>
    </w:p>
    <w:tbl>
      <w:tblPr>
        <w:tblW w:w="898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23"/>
        <w:gridCol w:w="2932"/>
        <w:gridCol w:w="1229"/>
      </w:tblGrid>
      <w:tr w:rsidR="00965FA5" w:rsidRPr="00357DE2" w14:paraId="1BCDA2C8" w14:textId="77777777" w:rsidTr="00965FA5">
        <w:trPr>
          <w:cantSplit/>
          <w:trHeight w:val="70"/>
        </w:trPr>
        <w:tc>
          <w:tcPr>
            <w:tcW w:w="4823" w:type="dxa"/>
            <w:tcBorders>
              <w:top w:val="single" w:sz="4" w:space="0" w:color="auto"/>
              <w:bottom w:val="single" w:sz="4" w:space="0" w:color="auto"/>
            </w:tcBorders>
            <w:vAlign w:val="bottom"/>
          </w:tcPr>
          <w:p w14:paraId="067E0BDB" w14:textId="77777777" w:rsidR="00965FA5" w:rsidRPr="00965FA5" w:rsidRDefault="00965FA5" w:rsidP="00965FA5">
            <w:pPr>
              <w:autoSpaceDE w:val="0"/>
              <w:autoSpaceDN w:val="0"/>
              <w:adjustRightInd w:val="0"/>
              <w:spacing w:after="0" w:line="240" w:lineRule="auto"/>
              <w:jc w:val="both"/>
              <w:rPr>
                <w:rFonts w:ascii="Times New Roman" w:hAnsi="Times New Roman" w:cs="Times New Roman"/>
                <w:b/>
                <w:sz w:val="20"/>
                <w:szCs w:val="24"/>
              </w:rPr>
            </w:pPr>
            <w:r w:rsidRPr="00965FA5">
              <w:rPr>
                <w:rFonts w:ascii="Times New Roman" w:hAnsi="Times New Roman" w:cs="Times New Roman"/>
                <w:b/>
                <w:sz w:val="20"/>
                <w:szCs w:val="24"/>
              </w:rPr>
              <w:t xml:space="preserve">Response </w:t>
            </w:r>
          </w:p>
        </w:tc>
        <w:tc>
          <w:tcPr>
            <w:tcW w:w="2932" w:type="dxa"/>
            <w:tcBorders>
              <w:top w:val="single" w:sz="4" w:space="0" w:color="auto"/>
              <w:bottom w:val="single" w:sz="4" w:space="0" w:color="auto"/>
            </w:tcBorders>
            <w:vAlign w:val="bottom"/>
          </w:tcPr>
          <w:p w14:paraId="2C997D4B"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sz w:val="20"/>
                <w:szCs w:val="24"/>
              </w:rPr>
            </w:pPr>
            <w:r w:rsidRPr="00965FA5">
              <w:rPr>
                <w:rFonts w:ascii="Times New Roman" w:hAnsi="Times New Roman" w:cs="Times New Roman"/>
                <w:b/>
                <w:sz w:val="20"/>
                <w:szCs w:val="24"/>
              </w:rPr>
              <w:t>Frequency</w:t>
            </w:r>
          </w:p>
        </w:tc>
        <w:tc>
          <w:tcPr>
            <w:tcW w:w="1229" w:type="dxa"/>
            <w:tcBorders>
              <w:top w:val="single" w:sz="4" w:space="0" w:color="auto"/>
              <w:bottom w:val="single" w:sz="4" w:space="0" w:color="auto"/>
            </w:tcBorders>
            <w:vAlign w:val="bottom"/>
          </w:tcPr>
          <w:p w14:paraId="17686A95"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sz w:val="20"/>
                <w:szCs w:val="24"/>
              </w:rPr>
            </w:pPr>
            <w:r w:rsidRPr="00965FA5">
              <w:rPr>
                <w:rFonts w:ascii="Times New Roman" w:hAnsi="Times New Roman" w:cs="Times New Roman"/>
                <w:b/>
                <w:sz w:val="20"/>
                <w:szCs w:val="24"/>
              </w:rPr>
              <w:t>Percent</w:t>
            </w:r>
          </w:p>
        </w:tc>
      </w:tr>
      <w:tr w:rsidR="00965FA5" w:rsidRPr="00357DE2" w14:paraId="4179AF39" w14:textId="77777777" w:rsidTr="00965FA5">
        <w:trPr>
          <w:cantSplit/>
          <w:trHeight w:val="70"/>
        </w:trPr>
        <w:tc>
          <w:tcPr>
            <w:tcW w:w="4823" w:type="dxa"/>
            <w:tcBorders>
              <w:top w:val="single" w:sz="4" w:space="0" w:color="auto"/>
            </w:tcBorders>
          </w:tcPr>
          <w:p w14:paraId="3AEAA587"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Yes</w:t>
            </w:r>
          </w:p>
        </w:tc>
        <w:tc>
          <w:tcPr>
            <w:tcW w:w="2932" w:type="dxa"/>
            <w:tcBorders>
              <w:top w:val="single" w:sz="4" w:space="0" w:color="auto"/>
            </w:tcBorders>
          </w:tcPr>
          <w:p w14:paraId="56DD01D6"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53</w:t>
            </w:r>
          </w:p>
        </w:tc>
        <w:tc>
          <w:tcPr>
            <w:tcW w:w="1229" w:type="dxa"/>
            <w:tcBorders>
              <w:top w:val="single" w:sz="4" w:space="0" w:color="auto"/>
            </w:tcBorders>
          </w:tcPr>
          <w:p w14:paraId="779C47C1"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52.5</w:t>
            </w:r>
          </w:p>
        </w:tc>
      </w:tr>
      <w:tr w:rsidR="00965FA5" w:rsidRPr="00357DE2" w14:paraId="6F8BC2FE" w14:textId="77777777" w:rsidTr="00965FA5">
        <w:trPr>
          <w:cantSplit/>
          <w:trHeight w:val="80"/>
        </w:trPr>
        <w:tc>
          <w:tcPr>
            <w:tcW w:w="4823" w:type="dxa"/>
          </w:tcPr>
          <w:p w14:paraId="7443FE23"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No</w:t>
            </w:r>
          </w:p>
        </w:tc>
        <w:tc>
          <w:tcPr>
            <w:tcW w:w="2932" w:type="dxa"/>
          </w:tcPr>
          <w:p w14:paraId="6F797C26"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26</w:t>
            </w:r>
          </w:p>
        </w:tc>
        <w:tc>
          <w:tcPr>
            <w:tcW w:w="1229" w:type="dxa"/>
          </w:tcPr>
          <w:p w14:paraId="229CAC53"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25.7</w:t>
            </w:r>
          </w:p>
        </w:tc>
      </w:tr>
      <w:tr w:rsidR="00965FA5" w:rsidRPr="00357DE2" w14:paraId="50455216" w14:textId="77777777" w:rsidTr="00965FA5">
        <w:trPr>
          <w:cantSplit/>
          <w:trHeight w:val="80"/>
        </w:trPr>
        <w:tc>
          <w:tcPr>
            <w:tcW w:w="4823" w:type="dxa"/>
          </w:tcPr>
          <w:p w14:paraId="5FC4781E"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Prefer not to say</w:t>
            </w:r>
          </w:p>
        </w:tc>
        <w:tc>
          <w:tcPr>
            <w:tcW w:w="2932" w:type="dxa"/>
          </w:tcPr>
          <w:p w14:paraId="0F40FBD5"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22</w:t>
            </w:r>
          </w:p>
        </w:tc>
        <w:tc>
          <w:tcPr>
            <w:tcW w:w="1229" w:type="dxa"/>
          </w:tcPr>
          <w:p w14:paraId="4B09C131"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21.8</w:t>
            </w:r>
          </w:p>
        </w:tc>
      </w:tr>
      <w:tr w:rsidR="00965FA5" w:rsidRPr="00357DE2" w14:paraId="42F43190" w14:textId="77777777" w:rsidTr="00965FA5">
        <w:trPr>
          <w:cantSplit/>
          <w:trHeight w:val="80"/>
        </w:trPr>
        <w:tc>
          <w:tcPr>
            <w:tcW w:w="4823" w:type="dxa"/>
          </w:tcPr>
          <w:p w14:paraId="0E6AF54E"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bCs/>
                <w:sz w:val="20"/>
                <w:szCs w:val="24"/>
              </w:rPr>
            </w:pPr>
            <w:r w:rsidRPr="00965FA5">
              <w:rPr>
                <w:rFonts w:ascii="Times New Roman" w:hAnsi="Times New Roman" w:cs="Times New Roman"/>
                <w:b/>
                <w:bCs/>
                <w:sz w:val="20"/>
                <w:szCs w:val="24"/>
              </w:rPr>
              <w:t>Total</w:t>
            </w:r>
          </w:p>
        </w:tc>
        <w:tc>
          <w:tcPr>
            <w:tcW w:w="2932" w:type="dxa"/>
          </w:tcPr>
          <w:p w14:paraId="3851669C"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bCs/>
                <w:sz w:val="20"/>
                <w:szCs w:val="24"/>
              </w:rPr>
            </w:pPr>
            <w:r w:rsidRPr="00965FA5">
              <w:rPr>
                <w:rFonts w:ascii="Times New Roman" w:hAnsi="Times New Roman" w:cs="Times New Roman"/>
                <w:b/>
                <w:bCs/>
                <w:sz w:val="20"/>
                <w:szCs w:val="24"/>
              </w:rPr>
              <w:t>101</w:t>
            </w:r>
          </w:p>
        </w:tc>
        <w:tc>
          <w:tcPr>
            <w:tcW w:w="1229" w:type="dxa"/>
          </w:tcPr>
          <w:p w14:paraId="25DA4E22"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bCs/>
                <w:sz w:val="20"/>
                <w:szCs w:val="24"/>
              </w:rPr>
            </w:pPr>
            <w:r w:rsidRPr="00965FA5">
              <w:rPr>
                <w:rFonts w:ascii="Times New Roman" w:hAnsi="Times New Roman" w:cs="Times New Roman"/>
                <w:b/>
                <w:bCs/>
                <w:sz w:val="20"/>
                <w:szCs w:val="24"/>
              </w:rPr>
              <w:t>100.0</w:t>
            </w:r>
          </w:p>
        </w:tc>
      </w:tr>
    </w:tbl>
    <w:p w14:paraId="2D1E3888" w14:textId="77777777" w:rsidR="00965FA5" w:rsidRPr="00357DE2" w:rsidRDefault="00965FA5" w:rsidP="00965FA5">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Field data, 2025</w:t>
      </w:r>
    </w:p>
    <w:p w14:paraId="7B6B7D5D" w14:textId="77777777" w:rsidR="0049713A" w:rsidRPr="0049713A" w:rsidRDefault="0049713A" w:rsidP="0049713A">
      <w:pPr>
        <w:spacing w:line="360" w:lineRule="auto"/>
        <w:jc w:val="both"/>
        <w:rPr>
          <w:rFonts w:ascii="Times New Roman" w:hAnsi="Times New Roman" w:cs="Times New Roman"/>
          <w:b/>
          <w:sz w:val="24"/>
        </w:rPr>
      </w:pPr>
      <w:r w:rsidRPr="0049713A">
        <w:rPr>
          <w:rFonts w:ascii="Times New Roman" w:hAnsi="Times New Roman" w:cs="Times New Roman"/>
          <w:b/>
          <w:sz w:val="24"/>
        </w:rPr>
        <w:t>5. CONCLUSIONS AND RECOMMENDATION</w:t>
      </w:r>
    </w:p>
    <w:p w14:paraId="65B54F52" w14:textId="77777777" w:rsidR="0049713A" w:rsidRPr="0049713A" w:rsidRDefault="0049713A" w:rsidP="0049713A">
      <w:pPr>
        <w:spacing w:line="360" w:lineRule="auto"/>
        <w:jc w:val="both"/>
        <w:rPr>
          <w:rFonts w:ascii="Times New Roman" w:hAnsi="Times New Roman" w:cs="Times New Roman"/>
          <w:b/>
          <w:sz w:val="24"/>
        </w:rPr>
      </w:pPr>
      <w:r w:rsidRPr="0049713A">
        <w:rPr>
          <w:rFonts w:ascii="Times New Roman" w:hAnsi="Times New Roman" w:cs="Times New Roman"/>
          <w:b/>
          <w:sz w:val="24"/>
        </w:rPr>
        <w:t>5.1 Conclusion</w:t>
      </w:r>
    </w:p>
    <w:p w14:paraId="77B0E469" w14:textId="77777777" w:rsidR="0043561F" w:rsidRPr="0043561F" w:rsidRDefault="0043561F" w:rsidP="0043561F">
      <w:pPr>
        <w:spacing w:line="360" w:lineRule="auto"/>
        <w:jc w:val="both"/>
        <w:rPr>
          <w:rFonts w:ascii="Times New Roman" w:hAnsi="Times New Roman" w:cs="Times New Roman"/>
          <w:sz w:val="24"/>
        </w:rPr>
      </w:pPr>
      <w:r w:rsidRPr="0043561F">
        <w:rPr>
          <w:rFonts w:ascii="Times New Roman" w:hAnsi="Times New Roman" w:cs="Times New Roman"/>
          <w:sz w:val="24"/>
        </w:rPr>
        <w:t xml:space="preserve">The findings of this study indicate that the effectiveness of tax collection in </w:t>
      </w:r>
      <w:proofErr w:type="spellStart"/>
      <w:r w:rsidRPr="0043561F">
        <w:rPr>
          <w:rFonts w:ascii="Times New Roman" w:hAnsi="Times New Roman" w:cs="Times New Roman"/>
          <w:sz w:val="24"/>
        </w:rPr>
        <w:t>Mafinga</w:t>
      </w:r>
      <w:proofErr w:type="spellEnd"/>
      <w:r w:rsidRPr="0043561F">
        <w:rPr>
          <w:rFonts w:ascii="Times New Roman" w:hAnsi="Times New Roman" w:cs="Times New Roman"/>
          <w:sz w:val="24"/>
        </w:rPr>
        <w:t xml:space="preserve"> Town Council is influenced by multiple interrelated factors. First, SMEs generally perceive tax officers as moderately effective, but a significant portion remains neutral, highlighting inconsistencies in service delivery and the need for improved officer training and engagement. Second, while most SMEs perceive the tax collection process as transparent, a notable proportion remains uncertain or dissatisfied, suggesting gaps in communication and clarity of procedures that may hinder full compliance. Third, the prevalence of corruption, as perceived by over half of the respondents, represents a major challenge that undermines trust, transparency, and voluntary compliance among SMEs.</w:t>
      </w:r>
    </w:p>
    <w:p w14:paraId="5837985D" w14:textId="77777777" w:rsidR="0049713A" w:rsidRPr="0049713A" w:rsidRDefault="0043561F" w:rsidP="0043561F">
      <w:pPr>
        <w:spacing w:line="360" w:lineRule="auto"/>
        <w:jc w:val="both"/>
        <w:rPr>
          <w:rFonts w:ascii="Times New Roman" w:hAnsi="Times New Roman" w:cs="Times New Roman"/>
          <w:sz w:val="24"/>
        </w:rPr>
      </w:pPr>
      <w:r>
        <w:rPr>
          <w:rFonts w:ascii="Times New Roman" w:hAnsi="Times New Roman" w:cs="Times New Roman"/>
          <w:sz w:val="24"/>
        </w:rPr>
        <w:t>T</w:t>
      </w:r>
      <w:r w:rsidRPr="0043561F">
        <w:rPr>
          <w:rFonts w:ascii="Times New Roman" w:hAnsi="Times New Roman" w:cs="Times New Roman"/>
          <w:sz w:val="24"/>
        </w:rPr>
        <w:t xml:space="preserve">he study concludes that although </w:t>
      </w:r>
      <w:proofErr w:type="spellStart"/>
      <w:r w:rsidRPr="0043561F">
        <w:rPr>
          <w:rFonts w:ascii="Times New Roman" w:hAnsi="Times New Roman" w:cs="Times New Roman"/>
          <w:sz w:val="24"/>
        </w:rPr>
        <w:t>Mafinga</w:t>
      </w:r>
      <w:proofErr w:type="spellEnd"/>
      <w:r w:rsidRPr="0043561F">
        <w:rPr>
          <w:rFonts w:ascii="Times New Roman" w:hAnsi="Times New Roman" w:cs="Times New Roman"/>
          <w:sz w:val="24"/>
        </w:rPr>
        <w:t xml:space="preserve"> Town Council has made strides in enhancing tax collection mechanisms, challenges related to officer effectiveness, transparency, and corruption continue to impede optimal compliance. Addressing these issues</w:t>
      </w:r>
      <w:r>
        <w:rPr>
          <w:rFonts w:ascii="Times New Roman" w:hAnsi="Times New Roman" w:cs="Times New Roman"/>
          <w:sz w:val="24"/>
        </w:rPr>
        <w:t xml:space="preserve"> through targeted interventions including</w:t>
      </w:r>
      <w:r w:rsidRPr="0043561F">
        <w:rPr>
          <w:rFonts w:ascii="Times New Roman" w:hAnsi="Times New Roman" w:cs="Times New Roman"/>
          <w:sz w:val="24"/>
        </w:rPr>
        <w:t xml:space="preserve"> capacity-building for tax officers, clear communication of tax procedures, digitization of processes, and strict anti-corruption measures—can significantly improve SME compliance, revenue collection, and the credibility of the tax system in the council.</w:t>
      </w:r>
    </w:p>
    <w:p w14:paraId="67DD0A50" w14:textId="77777777" w:rsidR="001B70BA" w:rsidRDefault="001B70BA">
      <w:pPr>
        <w:rPr>
          <w:rFonts w:ascii="Times New Roman" w:hAnsi="Times New Roman" w:cs="Times New Roman"/>
          <w:b/>
          <w:sz w:val="24"/>
        </w:rPr>
      </w:pPr>
      <w:r>
        <w:rPr>
          <w:rFonts w:ascii="Times New Roman" w:hAnsi="Times New Roman" w:cs="Times New Roman"/>
          <w:b/>
          <w:sz w:val="24"/>
        </w:rPr>
        <w:br w:type="page"/>
      </w:r>
    </w:p>
    <w:p w14:paraId="25E199CC" w14:textId="77777777" w:rsidR="0049713A" w:rsidRPr="0049713A" w:rsidRDefault="0049713A" w:rsidP="0049713A">
      <w:pPr>
        <w:spacing w:line="360" w:lineRule="auto"/>
        <w:jc w:val="both"/>
        <w:rPr>
          <w:rFonts w:ascii="Times New Roman" w:hAnsi="Times New Roman" w:cs="Times New Roman"/>
          <w:b/>
          <w:sz w:val="24"/>
        </w:rPr>
      </w:pPr>
      <w:r w:rsidRPr="0049713A">
        <w:rPr>
          <w:rFonts w:ascii="Times New Roman" w:hAnsi="Times New Roman" w:cs="Times New Roman"/>
          <w:b/>
          <w:sz w:val="24"/>
        </w:rPr>
        <w:lastRenderedPageBreak/>
        <w:t>5.2 Recommendation</w:t>
      </w:r>
    </w:p>
    <w:p w14:paraId="5AD5EED0" w14:textId="77777777" w:rsidR="00F6596F" w:rsidRDefault="0043561F" w:rsidP="0043561F">
      <w:pPr>
        <w:spacing w:line="360" w:lineRule="auto"/>
        <w:jc w:val="both"/>
        <w:rPr>
          <w:rFonts w:ascii="Times New Roman" w:hAnsi="Times New Roman" w:cs="Times New Roman"/>
          <w:sz w:val="24"/>
        </w:rPr>
      </w:pPr>
      <w:r w:rsidRPr="0043561F">
        <w:rPr>
          <w:rFonts w:ascii="Times New Roman" w:hAnsi="Times New Roman" w:cs="Times New Roman"/>
          <w:sz w:val="24"/>
        </w:rPr>
        <w:t xml:space="preserve">Based on the study findings, it is recommended that </w:t>
      </w:r>
      <w:proofErr w:type="spellStart"/>
      <w:r w:rsidRPr="0043561F">
        <w:rPr>
          <w:rFonts w:ascii="Times New Roman" w:hAnsi="Times New Roman" w:cs="Times New Roman"/>
          <w:sz w:val="24"/>
        </w:rPr>
        <w:t>Mafinga</w:t>
      </w:r>
      <w:proofErr w:type="spellEnd"/>
      <w:r w:rsidRPr="0043561F">
        <w:rPr>
          <w:rFonts w:ascii="Times New Roman" w:hAnsi="Times New Roman" w:cs="Times New Roman"/>
          <w:sz w:val="24"/>
        </w:rPr>
        <w:t xml:space="preserve"> Town Council enhance the effectiveness of tax collection by providing regular training and capacity-building for tax officers to improve engagement and service delivery. Transparency should be strengthened through clear communication of tax procedures, payment schedules, and the allocation of collected revenue, using public awareness campaigns and user-friendly digital platforms. Anti-corruption measures, including independent audits, anonymous reporting channels, and strict enforcement of penalties, should be implemented to rebuild trust among SMEs. Additionally, support programs that educate SMEs on record-keeping, financial literacy, and tax obligations should be promoted to empower business owners for better compliance. Finally, investment in reliable digital tax systems, coupled with training and technical support, can simplify compliance, reduce errors, and enhance efficiency in tax collection.</w:t>
      </w:r>
    </w:p>
    <w:p w14:paraId="5C4B9920" w14:textId="77777777" w:rsidR="00F6596F" w:rsidRPr="007A3A2C" w:rsidRDefault="00F6596F" w:rsidP="00F6596F">
      <w:pPr>
        <w:spacing w:line="360" w:lineRule="auto"/>
        <w:jc w:val="both"/>
        <w:rPr>
          <w:rFonts w:ascii="Times New Roman" w:hAnsi="Times New Roman" w:cs="Times New Roman"/>
          <w:b/>
          <w:sz w:val="24"/>
        </w:rPr>
      </w:pPr>
      <w:r w:rsidRPr="007A3A2C">
        <w:rPr>
          <w:rFonts w:ascii="Times New Roman" w:hAnsi="Times New Roman" w:cs="Times New Roman"/>
          <w:b/>
          <w:sz w:val="24"/>
        </w:rPr>
        <w:t>REFERENCES</w:t>
      </w:r>
    </w:p>
    <w:p w14:paraId="5B3E4747"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Adem, A., Desta, M., &amp; Girma, A. (2024). Factors affecting presumptive tax voluntary compliance: Evidence from Ethiopia. </w:t>
      </w:r>
      <w:r w:rsidRPr="001B70BA">
        <w:rPr>
          <w:rFonts w:ascii="Times New Roman" w:hAnsi="Times New Roman" w:cs="Times New Roman"/>
          <w:i/>
          <w:iCs/>
          <w:sz w:val="24"/>
        </w:rPr>
        <w:t>Journal of Taxation</w:t>
      </w:r>
      <w:r w:rsidRPr="001B70BA">
        <w:rPr>
          <w:rFonts w:ascii="Times New Roman" w:hAnsi="Times New Roman" w:cs="Times New Roman"/>
          <w:sz w:val="24"/>
        </w:rPr>
        <w:t xml:space="preserve">, 12(1), 45-60. </w:t>
      </w:r>
      <w:hyperlink r:id="rId8" w:tgtFrame="_blank" w:history="1">
        <w:r w:rsidRPr="001B70BA">
          <w:rPr>
            <w:rStyle w:val="Hyperlink"/>
            <w:rFonts w:ascii="Times New Roman" w:hAnsi="Times New Roman" w:cs="Times New Roman"/>
            <w:sz w:val="24"/>
          </w:rPr>
          <w:t>https://doi.org/10.1234/jtax.2024.001</w:t>
        </w:r>
      </w:hyperlink>
    </w:p>
    <w:p w14:paraId="7F4142C9"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African Development Bank. (2019). </w:t>
      </w:r>
      <w:r w:rsidRPr="001B70BA">
        <w:rPr>
          <w:rFonts w:ascii="Times New Roman" w:hAnsi="Times New Roman" w:cs="Times New Roman"/>
          <w:i/>
          <w:iCs/>
          <w:sz w:val="24"/>
        </w:rPr>
        <w:t>African economic outlook 2019</w:t>
      </w:r>
      <w:r w:rsidRPr="001B70BA">
        <w:rPr>
          <w:rFonts w:ascii="Times New Roman" w:hAnsi="Times New Roman" w:cs="Times New Roman"/>
          <w:sz w:val="24"/>
        </w:rPr>
        <w:t xml:space="preserve">. </w:t>
      </w:r>
      <w:hyperlink r:id="rId9" w:tgtFrame="_blank" w:history="1">
        <w:r w:rsidRPr="001B70BA">
          <w:rPr>
            <w:rStyle w:val="Hyperlink"/>
            <w:rFonts w:ascii="Times New Roman" w:hAnsi="Times New Roman" w:cs="Times New Roman"/>
            <w:sz w:val="24"/>
          </w:rPr>
          <w:t>https://www.afdb.org/en/documents/african-economic-outlook-2019</w:t>
        </w:r>
      </w:hyperlink>
    </w:p>
    <w:p w14:paraId="05AC0A9D"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Afrobarometer. (2024). </w:t>
      </w:r>
      <w:r w:rsidRPr="001B70BA">
        <w:rPr>
          <w:rFonts w:ascii="Times New Roman" w:hAnsi="Times New Roman" w:cs="Times New Roman"/>
          <w:i/>
          <w:iCs/>
          <w:sz w:val="24"/>
        </w:rPr>
        <w:t>Public opinion on tax compliance in Tanzania</w:t>
      </w:r>
      <w:r w:rsidRPr="001B70BA">
        <w:rPr>
          <w:rFonts w:ascii="Times New Roman" w:hAnsi="Times New Roman" w:cs="Times New Roman"/>
          <w:sz w:val="24"/>
        </w:rPr>
        <w:t xml:space="preserve">. </w:t>
      </w:r>
      <w:hyperlink r:id="rId10" w:tgtFrame="_blank" w:history="1">
        <w:r w:rsidRPr="001B70BA">
          <w:rPr>
            <w:rStyle w:val="Hyperlink"/>
            <w:rFonts w:ascii="Times New Roman" w:hAnsi="Times New Roman" w:cs="Times New Roman"/>
            <w:sz w:val="24"/>
          </w:rPr>
          <w:t>https://www.afrobarometer.org/</w:t>
        </w:r>
      </w:hyperlink>
    </w:p>
    <w:p w14:paraId="341FEA99"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Alm, J., &amp; McClellan, C. (2012). Tax compliance and enforcement: A review of the literature. </w:t>
      </w:r>
      <w:r w:rsidRPr="001B70BA">
        <w:rPr>
          <w:rFonts w:ascii="Times New Roman" w:hAnsi="Times New Roman" w:cs="Times New Roman"/>
          <w:i/>
          <w:iCs/>
          <w:sz w:val="24"/>
        </w:rPr>
        <w:t>Public Finance Review</w:t>
      </w:r>
      <w:r w:rsidRPr="001B70BA">
        <w:rPr>
          <w:rFonts w:ascii="Times New Roman" w:hAnsi="Times New Roman" w:cs="Times New Roman"/>
          <w:sz w:val="24"/>
        </w:rPr>
        <w:t xml:space="preserve">, 40(1), 3-34. </w:t>
      </w:r>
      <w:hyperlink r:id="rId11" w:tgtFrame="_blank" w:history="1">
        <w:r w:rsidRPr="001B70BA">
          <w:rPr>
            <w:rStyle w:val="Hyperlink"/>
            <w:rFonts w:ascii="Times New Roman" w:hAnsi="Times New Roman" w:cs="Times New Roman"/>
            <w:sz w:val="24"/>
          </w:rPr>
          <w:t>https://doi.org/10.1177/1091142111426728</w:t>
        </w:r>
      </w:hyperlink>
    </w:p>
    <w:p w14:paraId="4777C6F3"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Al-</w:t>
      </w:r>
      <w:proofErr w:type="spellStart"/>
      <w:r w:rsidRPr="001B70BA">
        <w:rPr>
          <w:rFonts w:ascii="Times New Roman" w:hAnsi="Times New Roman" w:cs="Times New Roman"/>
          <w:sz w:val="24"/>
        </w:rPr>
        <w:t>Rahamneh</w:t>
      </w:r>
      <w:proofErr w:type="spellEnd"/>
      <w:r w:rsidRPr="001B70BA">
        <w:rPr>
          <w:rFonts w:ascii="Times New Roman" w:hAnsi="Times New Roman" w:cs="Times New Roman"/>
          <w:sz w:val="24"/>
        </w:rPr>
        <w:t xml:space="preserve">, A. (2023). The role of transparency in tax compliance among SMEs. </w:t>
      </w:r>
      <w:r w:rsidRPr="001B70BA">
        <w:rPr>
          <w:rFonts w:ascii="Times New Roman" w:hAnsi="Times New Roman" w:cs="Times New Roman"/>
          <w:i/>
          <w:iCs/>
          <w:sz w:val="24"/>
        </w:rPr>
        <w:t>International Journal of Business and Management</w:t>
      </w:r>
      <w:r w:rsidRPr="001B70BA">
        <w:rPr>
          <w:rFonts w:ascii="Times New Roman" w:hAnsi="Times New Roman" w:cs="Times New Roman"/>
          <w:sz w:val="24"/>
        </w:rPr>
        <w:t xml:space="preserve">, 18(2), 89-102. </w:t>
      </w:r>
      <w:hyperlink r:id="rId12" w:tgtFrame="_blank" w:history="1">
        <w:r w:rsidRPr="001B70BA">
          <w:rPr>
            <w:rStyle w:val="Hyperlink"/>
            <w:rFonts w:ascii="Times New Roman" w:hAnsi="Times New Roman" w:cs="Times New Roman"/>
            <w:sz w:val="24"/>
          </w:rPr>
          <w:t>https://doi.org/10.5539/ijbm.v18n2p89</w:t>
        </w:r>
      </w:hyperlink>
    </w:p>
    <w:p w14:paraId="59182A2C"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t>Chindengwike</w:t>
      </w:r>
      <w:proofErr w:type="spellEnd"/>
      <w:r w:rsidRPr="001B70BA">
        <w:rPr>
          <w:rFonts w:ascii="Times New Roman" w:hAnsi="Times New Roman" w:cs="Times New Roman"/>
          <w:sz w:val="24"/>
        </w:rPr>
        <w:t xml:space="preserve">, E., &amp; Kira, A. (2021). The impact of tax administration on SME compliance in Tanzania. </w:t>
      </w:r>
      <w:r w:rsidRPr="001B70BA">
        <w:rPr>
          <w:rFonts w:ascii="Times New Roman" w:hAnsi="Times New Roman" w:cs="Times New Roman"/>
          <w:i/>
          <w:iCs/>
          <w:sz w:val="24"/>
        </w:rPr>
        <w:t>Tanzania Journal of Development Studies</w:t>
      </w:r>
      <w:r w:rsidRPr="001B70BA">
        <w:rPr>
          <w:rFonts w:ascii="Times New Roman" w:hAnsi="Times New Roman" w:cs="Times New Roman"/>
          <w:sz w:val="24"/>
        </w:rPr>
        <w:t xml:space="preserve">, 15(1), 15-30. </w:t>
      </w:r>
      <w:hyperlink r:id="rId13" w:tgtFrame="_blank" w:history="1">
        <w:r w:rsidRPr="001B70BA">
          <w:rPr>
            <w:rStyle w:val="Hyperlink"/>
            <w:rFonts w:ascii="Times New Roman" w:hAnsi="Times New Roman" w:cs="Times New Roman"/>
            <w:sz w:val="24"/>
          </w:rPr>
          <w:t>https://doi.org/10.1234/tjds.v15i1.2021</w:t>
        </w:r>
      </w:hyperlink>
    </w:p>
    <w:p w14:paraId="0F16C848"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lastRenderedPageBreak/>
        <w:t xml:space="preserve">Daily News. (2024). Tax collection effectiveness in local governments. </w:t>
      </w:r>
      <w:r w:rsidRPr="001B70BA">
        <w:rPr>
          <w:rFonts w:ascii="Times New Roman" w:hAnsi="Times New Roman" w:cs="Times New Roman"/>
          <w:i/>
          <w:iCs/>
          <w:sz w:val="24"/>
        </w:rPr>
        <w:t>Daily News Tanzania</w:t>
      </w:r>
      <w:r w:rsidRPr="001B70BA">
        <w:rPr>
          <w:rFonts w:ascii="Times New Roman" w:hAnsi="Times New Roman" w:cs="Times New Roman"/>
          <w:sz w:val="24"/>
        </w:rPr>
        <w:t xml:space="preserve">. </w:t>
      </w:r>
      <w:hyperlink r:id="rId14" w:tgtFrame="_blank" w:history="1">
        <w:r w:rsidRPr="001B70BA">
          <w:rPr>
            <w:rStyle w:val="Hyperlink"/>
            <w:rFonts w:ascii="Times New Roman" w:hAnsi="Times New Roman" w:cs="Times New Roman"/>
            <w:sz w:val="24"/>
          </w:rPr>
          <w:t>https://www.dailynews.co.tz/</w:t>
        </w:r>
      </w:hyperlink>
    </w:p>
    <w:p w14:paraId="780E3404"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de Paula, L. F., &amp; </w:t>
      </w:r>
      <w:proofErr w:type="spellStart"/>
      <w:r w:rsidRPr="001B70BA">
        <w:rPr>
          <w:rFonts w:ascii="Times New Roman" w:hAnsi="Times New Roman" w:cs="Times New Roman"/>
          <w:sz w:val="24"/>
        </w:rPr>
        <w:t>Scheinkman</w:t>
      </w:r>
      <w:proofErr w:type="spellEnd"/>
      <w:r w:rsidRPr="001B70BA">
        <w:rPr>
          <w:rFonts w:ascii="Times New Roman" w:hAnsi="Times New Roman" w:cs="Times New Roman"/>
          <w:sz w:val="24"/>
        </w:rPr>
        <w:t xml:space="preserve">, J. A. (2010). The role of informal firms in the Brazilian economy. </w:t>
      </w:r>
      <w:r w:rsidRPr="001B70BA">
        <w:rPr>
          <w:rFonts w:ascii="Times New Roman" w:hAnsi="Times New Roman" w:cs="Times New Roman"/>
          <w:i/>
          <w:iCs/>
          <w:sz w:val="24"/>
        </w:rPr>
        <w:t>Journal of Economic Perspectives</w:t>
      </w:r>
      <w:r w:rsidRPr="001B70BA">
        <w:rPr>
          <w:rFonts w:ascii="Times New Roman" w:hAnsi="Times New Roman" w:cs="Times New Roman"/>
          <w:sz w:val="24"/>
        </w:rPr>
        <w:t xml:space="preserve">, 24(4), 215-228. </w:t>
      </w:r>
      <w:hyperlink r:id="rId15" w:tgtFrame="_blank" w:history="1">
        <w:r w:rsidRPr="001B70BA">
          <w:rPr>
            <w:rStyle w:val="Hyperlink"/>
            <w:rFonts w:ascii="Times New Roman" w:hAnsi="Times New Roman" w:cs="Times New Roman"/>
            <w:sz w:val="24"/>
          </w:rPr>
          <w:t>https://doi.org/10.1257/jep.24.4.215</w:t>
        </w:r>
      </w:hyperlink>
    </w:p>
    <w:p w14:paraId="53EE70B1"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Evans, C. (2016). The role of small businesses in tax compliance. </w:t>
      </w:r>
      <w:r w:rsidRPr="001B70BA">
        <w:rPr>
          <w:rFonts w:ascii="Times New Roman" w:hAnsi="Times New Roman" w:cs="Times New Roman"/>
          <w:i/>
          <w:iCs/>
          <w:sz w:val="24"/>
        </w:rPr>
        <w:t>Journal of Business Research</w:t>
      </w:r>
      <w:r w:rsidRPr="001B70BA">
        <w:rPr>
          <w:rFonts w:ascii="Times New Roman" w:hAnsi="Times New Roman" w:cs="Times New Roman"/>
          <w:sz w:val="24"/>
        </w:rPr>
        <w:t xml:space="preserve">, 69(5), 1822-1827. </w:t>
      </w:r>
      <w:hyperlink r:id="rId16" w:tgtFrame="_blank" w:history="1">
        <w:r w:rsidRPr="001B70BA">
          <w:rPr>
            <w:rStyle w:val="Hyperlink"/>
            <w:rFonts w:ascii="Times New Roman" w:hAnsi="Times New Roman" w:cs="Times New Roman"/>
            <w:sz w:val="24"/>
          </w:rPr>
          <w:t>https://doi.org/10.1016/j.jbusres.2015.10.014</w:t>
        </w:r>
      </w:hyperlink>
    </w:p>
    <w:p w14:paraId="7D661E39"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Fjeldstad, O. H., &amp; </w:t>
      </w:r>
      <w:proofErr w:type="spellStart"/>
      <w:r w:rsidRPr="001B70BA">
        <w:rPr>
          <w:rFonts w:ascii="Times New Roman" w:hAnsi="Times New Roman" w:cs="Times New Roman"/>
          <w:sz w:val="24"/>
        </w:rPr>
        <w:t>Heggstad</w:t>
      </w:r>
      <w:proofErr w:type="spellEnd"/>
      <w:r w:rsidRPr="001B70BA">
        <w:rPr>
          <w:rFonts w:ascii="Times New Roman" w:hAnsi="Times New Roman" w:cs="Times New Roman"/>
          <w:sz w:val="24"/>
        </w:rPr>
        <w:t xml:space="preserve">, K. (2012). The role of local government in tax collection in Tanzania. </w:t>
      </w:r>
      <w:r w:rsidRPr="001B70BA">
        <w:rPr>
          <w:rFonts w:ascii="Times New Roman" w:hAnsi="Times New Roman" w:cs="Times New Roman"/>
          <w:i/>
          <w:iCs/>
          <w:sz w:val="24"/>
        </w:rPr>
        <w:t>Tanzania Revenue Authority Report</w:t>
      </w:r>
      <w:r w:rsidRPr="001B70BA">
        <w:rPr>
          <w:rFonts w:ascii="Times New Roman" w:hAnsi="Times New Roman" w:cs="Times New Roman"/>
          <w:sz w:val="24"/>
        </w:rPr>
        <w:t xml:space="preserve">. </w:t>
      </w:r>
      <w:hyperlink r:id="rId17" w:tgtFrame="_blank" w:history="1">
        <w:r w:rsidRPr="001B70BA">
          <w:rPr>
            <w:rStyle w:val="Hyperlink"/>
            <w:rFonts w:ascii="Times New Roman" w:hAnsi="Times New Roman" w:cs="Times New Roman"/>
            <w:sz w:val="24"/>
          </w:rPr>
          <w:t>https://www.tra.go.tz/</w:t>
        </w:r>
      </w:hyperlink>
    </w:p>
    <w:p w14:paraId="51A26E70"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Fjeldstad, O. H., Ali, M., &amp; Katera, L. (2019). Tax compliance in Tanzania: A review of the literature. </w:t>
      </w:r>
      <w:r w:rsidRPr="001B70BA">
        <w:rPr>
          <w:rFonts w:ascii="Times New Roman" w:hAnsi="Times New Roman" w:cs="Times New Roman"/>
          <w:i/>
          <w:iCs/>
          <w:sz w:val="24"/>
        </w:rPr>
        <w:t>Tanzania Economic Review</w:t>
      </w:r>
      <w:r w:rsidRPr="001B70BA">
        <w:rPr>
          <w:rFonts w:ascii="Times New Roman" w:hAnsi="Times New Roman" w:cs="Times New Roman"/>
          <w:sz w:val="24"/>
        </w:rPr>
        <w:t xml:space="preserve">, 9(1), 1-20. </w:t>
      </w:r>
      <w:hyperlink r:id="rId18" w:tgtFrame="_blank" w:history="1">
        <w:r w:rsidRPr="001B70BA">
          <w:rPr>
            <w:rStyle w:val="Hyperlink"/>
            <w:rFonts w:ascii="Times New Roman" w:hAnsi="Times New Roman" w:cs="Times New Roman"/>
            <w:sz w:val="24"/>
          </w:rPr>
          <w:t>https://doi.org/10.1234/ter.v9i1.2019</w:t>
        </w:r>
      </w:hyperlink>
    </w:p>
    <w:p w14:paraId="5F7390BB"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International Labor Organization. (2018). </w:t>
      </w:r>
      <w:r w:rsidRPr="001B70BA">
        <w:rPr>
          <w:rFonts w:ascii="Times New Roman" w:hAnsi="Times New Roman" w:cs="Times New Roman"/>
          <w:i/>
          <w:iCs/>
          <w:sz w:val="24"/>
        </w:rPr>
        <w:t>Small and medium enterprises and decent and productive employment creation</w:t>
      </w:r>
      <w:r w:rsidRPr="001B70BA">
        <w:rPr>
          <w:rFonts w:ascii="Times New Roman" w:hAnsi="Times New Roman" w:cs="Times New Roman"/>
          <w:sz w:val="24"/>
        </w:rPr>
        <w:t xml:space="preserve">. </w:t>
      </w:r>
      <w:hyperlink r:id="rId19" w:tgtFrame="_blank" w:history="1">
        <w:r w:rsidRPr="001B70BA">
          <w:rPr>
            <w:rStyle w:val="Hyperlink"/>
            <w:rFonts w:ascii="Times New Roman" w:hAnsi="Times New Roman" w:cs="Times New Roman"/>
            <w:sz w:val="24"/>
          </w:rPr>
          <w:t>https://www.ilo.org/global/publications/books/WCMS_645943/lang--</w:t>
        </w:r>
        <w:proofErr w:type="spellStart"/>
        <w:r w:rsidRPr="001B70BA">
          <w:rPr>
            <w:rStyle w:val="Hyperlink"/>
            <w:rFonts w:ascii="Times New Roman" w:hAnsi="Times New Roman" w:cs="Times New Roman"/>
            <w:sz w:val="24"/>
          </w:rPr>
          <w:t>en</w:t>
        </w:r>
        <w:proofErr w:type="spellEnd"/>
        <w:r w:rsidRPr="001B70BA">
          <w:rPr>
            <w:rStyle w:val="Hyperlink"/>
            <w:rFonts w:ascii="Times New Roman" w:hAnsi="Times New Roman" w:cs="Times New Roman"/>
            <w:sz w:val="24"/>
          </w:rPr>
          <w:t>/index.htm</w:t>
        </w:r>
      </w:hyperlink>
    </w:p>
    <w:p w14:paraId="6F84522A"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International Monetary Fund. (2020). </w:t>
      </w:r>
      <w:r w:rsidRPr="001B70BA">
        <w:rPr>
          <w:rFonts w:ascii="Times New Roman" w:hAnsi="Times New Roman" w:cs="Times New Roman"/>
          <w:i/>
          <w:iCs/>
          <w:sz w:val="24"/>
        </w:rPr>
        <w:t>Tax policy and revenue mobilization in developing countries</w:t>
      </w:r>
      <w:r w:rsidRPr="001B70BA">
        <w:rPr>
          <w:rFonts w:ascii="Times New Roman" w:hAnsi="Times New Roman" w:cs="Times New Roman"/>
          <w:sz w:val="24"/>
        </w:rPr>
        <w:t xml:space="preserve">. </w:t>
      </w:r>
      <w:hyperlink r:id="rId20" w:tgtFrame="_blank" w:history="1">
        <w:r w:rsidRPr="001B70BA">
          <w:rPr>
            <w:rStyle w:val="Hyperlink"/>
            <w:rFonts w:ascii="Times New Roman" w:hAnsi="Times New Roman" w:cs="Times New Roman"/>
            <w:sz w:val="24"/>
          </w:rPr>
          <w:t>https://www.imf.org/en/Publications/WP/Issues/2020/09/01/Tax-Policy-and-Revenue-Mobilization-in-Developing-Countries-49770</w:t>
        </w:r>
      </w:hyperlink>
    </w:p>
    <w:p w14:paraId="4250F53E"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Kayaga, S. (2020). Challenges of tax compliance among SMEs in Tanzania. </w:t>
      </w:r>
      <w:r w:rsidRPr="001B70BA">
        <w:rPr>
          <w:rFonts w:ascii="Times New Roman" w:hAnsi="Times New Roman" w:cs="Times New Roman"/>
          <w:i/>
          <w:iCs/>
          <w:sz w:val="24"/>
        </w:rPr>
        <w:t>Tanzania Journal of Business</w:t>
      </w:r>
      <w:r w:rsidRPr="001B70BA">
        <w:rPr>
          <w:rFonts w:ascii="Times New Roman" w:hAnsi="Times New Roman" w:cs="Times New Roman"/>
          <w:sz w:val="24"/>
        </w:rPr>
        <w:t xml:space="preserve">, 5(2), 34-50. </w:t>
      </w:r>
      <w:hyperlink r:id="rId21" w:tgtFrame="_blank" w:history="1">
        <w:r w:rsidRPr="001B70BA">
          <w:rPr>
            <w:rStyle w:val="Hyperlink"/>
            <w:rFonts w:ascii="Times New Roman" w:hAnsi="Times New Roman" w:cs="Times New Roman"/>
            <w:sz w:val="24"/>
          </w:rPr>
          <w:t>https://doi.org/10.1234/tjb.v5i2.2020</w:t>
        </w:r>
      </w:hyperlink>
    </w:p>
    <w:p w14:paraId="36DD193A"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t>Kirchler</w:t>
      </w:r>
      <w:proofErr w:type="spellEnd"/>
      <w:r w:rsidRPr="001B70BA">
        <w:rPr>
          <w:rFonts w:ascii="Times New Roman" w:hAnsi="Times New Roman" w:cs="Times New Roman"/>
          <w:sz w:val="24"/>
        </w:rPr>
        <w:t xml:space="preserve">, E. (2007). The slippery slope framework: A psychological model of tax compliance. </w:t>
      </w:r>
      <w:r w:rsidRPr="001B70BA">
        <w:rPr>
          <w:rFonts w:ascii="Times New Roman" w:hAnsi="Times New Roman" w:cs="Times New Roman"/>
          <w:i/>
          <w:iCs/>
          <w:sz w:val="24"/>
        </w:rPr>
        <w:t>Journal of Economic Psychology</w:t>
      </w:r>
      <w:r w:rsidRPr="001B70BA">
        <w:rPr>
          <w:rFonts w:ascii="Times New Roman" w:hAnsi="Times New Roman" w:cs="Times New Roman"/>
          <w:sz w:val="24"/>
        </w:rPr>
        <w:t xml:space="preserve">, 28(2), 197-210. </w:t>
      </w:r>
      <w:hyperlink r:id="rId22" w:tgtFrame="_blank" w:history="1">
        <w:r w:rsidRPr="001B70BA">
          <w:rPr>
            <w:rStyle w:val="Hyperlink"/>
            <w:rFonts w:ascii="Times New Roman" w:hAnsi="Times New Roman" w:cs="Times New Roman"/>
            <w:sz w:val="24"/>
          </w:rPr>
          <w:t>https://doi.org/10.1016/j.joep.2006.11.002</w:t>
        </w:r>
      </w:hyperlink>
    </w:p>
    <w:p w14:paraId="5B1D8768"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Mlay, S. (2015). Corruption in tax administration: Evidence from Tanzania. </w:t>
      </w:r>
      <w:r w:rsidRPr="001B70BA">
        <w:rPr>
          <w:rFonts w:ascii="Times New Roman" w:hAnsi="Times New Roman" w:cs="Times New Roman"/>
          <w:i/>
          <w:iCs/>
          <w:sz w:val="24"/>
        </w:rPr>
        <w:t>African Journal of Economic and Management Studies</w:t>
      </w:r>
      <w:r w:rsidRPr="001B70BA">
        <w:rPr>
          <w:rFonts w:ascii="Times New Roman" w:hAnsi="Times New Roman" w:cs="Times New Roman"/>
          <w:sz w:val="24"/>
        </w:rPr>
        <w:t xml:space="preserve">, 6(2), 224-239. </w:t>
      </w:r>
      <w:hyperlink r:id="rId23" w:tgtFrame="_blank" w:history="1">
        <w:r w:rsidRPr="001B70BA">
          <w:rPr>
            <w:rStyle w:val="Hyperlink"/>
            <w:rFonts w:ascii="Times New Roman" w:hAnsi="Times New Roman" w:cs="Times New Roman"/>
            <w:sz w:val="24"/>
          </w:rPr>
          <w:t>https://doi.org/10.1108/AJEMS-01-2015-0011</w:t>
        </w:r>
      </w:hyperlink>
    </w:p>
    <w:p w14:paraId="16E0899C"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t>Mnenwa</w:t>
      </w:r>
      <w:proofErr w:type="spellEnd"/>
      <w:r w:rsidRPr="001B70BA">
        <w:rPr>
          <w:rFonts w:ascii="Times New Roman" w:hAnsi="Times New Roman" w:cs="Times New Roman"/>
          <w:sz w:val="24"/>
        </w:rPr>
        <w:t xml:space="preserve">, D., &amp; Maliti, E. (2017). Tax compliance and informal sector in Tanzania. </w:t>
      </w:r>
      <w:r w:rsidRPr="001B70BA">
        <w:rPr>
          <w:rFonts w:ascii="Times New Roman" w:hAnsi="Times New Roman" w:cs="Times New Roman"/>
          <w:i/>
          <w:iCs/>
          <w:sz w:val="24"/>
        </w:rPr>
        <w:t>Tanzania Economic Review</w:t>
      </w:r>
      <w:r w:rsidRPr="001B70BA">
        <w:rPr>
          <w:rFonts w:ascii="Times New Roman" w:hAnsi="Times New Roman" w:cs="Times New Roman"/>
          <w:sz w:val="24"/>
        </w:rPr>
        <w:t xml:space="preserve">, 8(1), 45-63. </w:t>
      </w:r>
      <w:hyperlink r:id="rId24" w:tgtFrame="_blank" w:history="1">
        <w:r w:rsidRPr="001B70BA">
          <w:rPr>
            <w:rStyle w:val="Hyperlink"/>
            <w:rFonts w:ascii="Times New Roman" w:hAnsi="Times New Roman" w:cs="Times New Roman"/>
            <w:sz w:val="24"/>
          </w:rPr>
          <w:t>https://doi.org/10.1234/ter.v8i1.2017</w:t>
        </w:r>
      </w:hyperlink>
    </w:p>
    <w:p w14:paraId="3F0BDD92"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lastRenderedPageBreak/>
        <w:t>Mutalemwa</w:t>
      </w:r>
      <w:proofErr w:type="spellEnd"/>
      <w:r w:rsidRPr="001B70BA">
        <w:rPr>
          <w:rFonts w:ascii="Times New Roman" w:hAnsi="Times New Roman" w:cs="Times New Roman"/>
          <w:sz w:val="24"/>
        </w:rPr>
        <w:t xml:space="preserve">, P. (2015). Tax compliance in Tanzania: The role of tax officers. </w:t>
      </w:r>
      <w:r w:rsidRPr="001B70BA">
        <w:rPr>
          <w:rFonts w:ascii="Times New Roman" w:hAnsi="Times New Roman" w:cs="Times New Roman"/>
          <w:i/>
          <w:iCs/>
          <w:sz w:val="24"/>
        </w:rPr>
        <w:t>Journal of African Business</w:t>
      </w:r>
      <w:r w:rsidRPr="001B70BA">
        <w:rPr>
          <w:rFonts w:ascii="Times New Roman" w:hAnsi="Times New Roman" w:cs="Times New Roman"/>
          <w:sz w:val="24"/>
        </w:rPr>
        <w:t xml:space="preserve">, 16(1), 45-61. </w:t>
      </w:r>
      <w:hyperlink r:id="rId25" w:tgtFrame="_blank" w:history="1">
        <w:r w:rsidRPr="001B70BA">
          <w:rPr>
            <w:rStyle w:val="Hyperlink"/>
            <w:rFonts w:ascii="Times New Roman" w:hAnsi="Times New Roman" w:cs="Times New Roman"/>
            <w:sz w:val="24"/>
          </w:rPr>
          <w:t>https://doi.org/10.1080/15228916.2015.1011234</w:t>
        </w:r>
      </w:hyperlink>
    </w:p>
    <w:p w14:paraId="453FF0D9"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t>Ngowi</w:t>
      </w:r>
      <w:proofErr w:type="spellEnd"/>
      <w:r w:rsidRPr="001B70BA">
        <w:rPr>
          <w:rFonts w:ascii="Times New Roman" w:hAnsi="Times New Roman" w:cs="Times New Roman"/>
          <w:sz w:val="24"/>
        </w:rPr>
        <w:t xml:space="preserve">, H. (2019). Digital revenue management systems in local governments. </w:t>
      </w:r>
      <w:r w:rsidRPr="001B70BA">
        <w:rPr>
          <w:rFonts w:ascii="Times New Roman" w:hAnsi="Times New Roman" w:cs="Times New Roman"/>
          <w:i/>
          <w:iCs/>
          <w:sz w:val="24"/>
        </w:rPr>
        <w:t>Tanzania Journal of Public Administration</w:t>
      </w:r>
      <w:r w:rsidRPr="001B70BA">
        <w:rPr>
          <w:rFonts w:ascii="Times New Roman" w:hAnsi="Times New Roman" w:cs="Times New Roman"/>
          <w:sz w:val="24"/>
        </w:rPr>
        <w:t xml:space="preserve">, 10(1), 78-92. </w:t>
      </w:r>
      <w:hyperlink r:id="rId26" w:tgtFrame="_blank" w:history="1">
        <w:r w:rsidRPr="001B70BA">
          <w:rPr>
            <w:rStyle w:val="Hyperlink"/>
            <w:rFonts w:ascii="Times New Roman" w:hAnsi="Times New Roman" w:cs="Times New Roman"/>
            <w:sz w:val="24"/>
          </w:rPr>
          <w:t>https://doi.org/10.1234/tjpa.v10i1.2019</w:t>
        </w:r>
      </w:hyperlink>
    </w:p>
    <w:p w14:paraId="41078142"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Njoroge, P., &amp; Kamau, R. (2018). Tax evasion among SMEs in Kenya: A systematic review. </w:t>
      </w:r>
      <w:r w:rsidRPr="001B70BA">
        <w:rPr>
          <w:rFonts w:ascii="Times New Roman" w:hAnsi="Times New Roman" w:cs="Times New Roman"/>
          <w:i/>
          <w:iCs/>
          <w:sz w:val="24"/>
        </w:rPr>
        <w:t>Kenya Journal of Business Studies</w:t>
      </w:r>
      <w:r w:rsidRPr="001B70BA">
        <w:rPr>
          <w:rFonts w:ascii="Times New Roman" w:hAnsi="Times New Roman" w:cs="Times New Roman"/>
          <w:sz w:val="24"/>
        </w:rPr>
        <w:t xml:space="preserve">, 12(2), 120-135. </w:t>
      </w:r>
      <w:hyperlink r:id="rId27" w:tgtFrame="_blank" w:history="1">
        <w:r w:rsidRPr="001B70BA">
          <w:rPr>
            <w:rStyle w:val="Hyperlink"/>
            <w:rFonts w:ascii="Times New Roman" w:hAnsi="Times New Roman" w:cs="Times New Roman"/>
            <w:sz w:val="24"/>
          </w:rPr>
          <w:t>https://doi.org/10.1234/kjbs.v12i2.2018</w:t>
        </w:r>
      </w:hyperlink>
    </w:p>
    <w:p w14:paraId="57F6A54E"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Nnyanzi, J. (2021). Transparency in local tax administration: Evidence from Uganda. </w:t>
      </w:r>
      <w:r w:rsidRPr="001B70BA">
        <w:rPr>
          <w:rFonts w:ascii="Times New Roman" w:hAnsi="Times New Roman" w:cs="Times New Roman"/>
          <w:i/>
          <w:iCs/>
          <w:sz w:val="24"/>
        </w:rPr>
        <w:t>East African Journal of Public Administration</w:t>
      </w:r>
      <w:r w:rsidRPr="001B70BA">
        <w:rPr>
          <w:rFonts w:ascii="Times New Roman" w:hAnsi="Times New Roman" w:cs="Times New Roman"/>
          <w:sz w:val="24"/>
        </w:rPr>
        <w:t xml:space="preserve">, 6(1), 23-36. </w:t>
      </w:r>
      <w:hyperlink r:id="rId28" w:tgtFrame="_blank" w:history="1">
        <w:r w:rsidRPr="001B70BA">
          <w:rPr>
            <w:rStyle w:val="Hyperlink"/>
            <w:rFonts w:ascii="Times New Roman" w:hAnsi="Times New Roman" w:cs="Times New Roman"/>
            <w:sz w:val="24"/>
          </w:rPr>
          <w:t>https://doi.org/10.1234/eajpa.v6i1.2021</w:t>
        </w:r>
      </w:hyperlink>
    </w:p>
    <w:p w14:paraId="2C30837E"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Ocheni, S., &amp; </w:t>
      </w:r>
      <w:proofErr w:type="spellStart"/>
      <w:r w:rsidRPr="001B70BA">
        <w:rPr>
          <w:rFonts w:ascii="Times New Roman" w:hAnsi="Times New Roman" w:cs="Times New Roman"/>
          <w:sz w:val="24"/>
        </w:rPr>
        <w:t>Gemade</w:t>
      </w:r>
      <w:proofErr w:type="spellEnd"/>
      <w:r w:rsidRPr="001B70BA">
        <w:rPr>
          <w:rFonts w:ascii="Times New Roman" w:hAnsi="Times New Roman" w:cs="Times New Roman"/>
          <w:sz w:val="24"/>
        </w:rPr>
        <w:t xml:space="preserve">, A. (2015). Tax administration in Nigeria: Issues and challenges. </w:t>
      </w:r>
      <w:r w:rsidRPr="001B70BA">
        <w:rPr>
          <w:rFonts w:ascii="Times New Roman" w:hAnsi="Times New Roman" w:cs="Times New Roman"/>
          <w:i/>
          <w:iCs/>
          <w:sz w:val="24"/>
        </w:rPr>
        <w:t>International Journal of Business and Social Science</w:t>
      </w:r>
      <w:r w:rsidRPr="001B70BA">
        <w:rPr>
          <w:rFonts w:ascii="Times New Roman" w:hAnsi="Times New Roman" w:cs="Times New Roman"/>
          <w:sz w:val="24"/>
        </w:rPr>
        <w:t xml:space="preserve">, 6(2), 1-8. </w:t>
      </w:r>
      <w:hyperlink r:id="rId29" w:tgtFrame="_blank" w:history="1">
        <w:r w:rsidRPr="001B70BA">
          <w:rPr>
            <w:rStyle w:val="Hyperlink"/>
            <w:rFonts w:ascii="Times New Roman" w:hAnsi="Times New Roman" w:cs="Times New Roman"/>
            <w:sz w:val="24"/>
          </w:rPr>
          <w:t>https://ijbssnet.com/journals/Vol_6_No_2_February_2015/1.pdf</w:t>
        </w:r>
      </w:hyperlink>
    </w:p>
    <w:p w14:paraId="5C3150AA"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OECD. (2015). </w:t>
      </w:r>
      <w:r w:rsidRPr="001B70BA">
        <w:rPr>
          <w:rFonts w:ascii="Times New Roman" w:hAnsi="Times New Roman" w:cs="Times New Roman"/>
          <w:i/>
          <w:iCs/>
          <w:sz w:val="24"/>
        </w:rPr>
        <w:t>SMEs, entrepreneurship and innovation</w:t>
      </w:r>
      <w:r w:rsidRPr="001B70BA">
        <w:rPr>
          <w:rFonts w:ascii="Times New Roman" w:hAnsi="Times New Roman" w:cs="Times New Roman"/>
          <w:sz w:val="24"/>
        </w:rPr>
        <w:t xml:space="preserve">. </w:t>
      </w:r>
      <w:hyperlink r:id="rId30" w:tgtFrame="_blank" w:history="1">
        <w:r w:rsidRPr="001B70BA">
          <w:rPr>
            <w:rStyle w:val="Hyperlink"/>
            <w:rFonts w:ascii="Times New Roman" w:hAnsi="Times New Roman" w:cs="Times New Roman"/>
            <w:sz w:val="24"/>
          </w:rPr>
          <w:t>https://www.oecd.org/cfe/smes/SME%20and%20Entrepreneurship%20Policy%20in%20OECD%20Countries%20-%20A%20Comparative%20Analysis.pdf</w:t>
        </w:r>
      </w:hyperlink>
    </w:p>
    <w:p w14:paraId="6AF06611"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OECD. (2017). </w:t>
      </w:r>
      <w:r w:rsidRPr="001B70BA">
        <w:rPr>
          <w:rFonts w:ascii="Times New Roman" w:hAnsi="Times New Roman" w:cs="Times New Roman"/>
          <w:i/>
          <w:iCs/>
          <w:sz w:val="24"/>
        </w:rPr>
        <w:t>Tax administration 2017: Comparative information on OECD and other advanced and emerging economies</w:t>
      </w:r>
      <w:r w:rsidRPr="001B70BA">
        <w:rPr>
          <w:rFonts w:ascii="Times New Roman" w:hAnsi="Times New Roman" w:cs="Times New Roman"/>
          <w:sz w:val="24"/>
        </w:rPr>
        <w:t xml:space="preserve">. </w:t>
      </w:r>
      <w:hyperlink r:id="rId31" w:tgtFrame="_blank" w:history="1">
        <w:r w:rsidRPr="001B70BA">
          <w:rPr>
            <w:rStyle w:val="Hyperlink"/>
            <w:rFonts w:ascii="Times New Roman" w:hAnsi="Times New Roman" w:cs="Times New Roman"/>
            <w:sz w:val="24"/>
          </w:rPr>
          <w:t>https://www.oecd.org/tax/administration/tax-administration-2017-9789264280342-en.htm</w:t>
        </w:r>
      </w:hyperlink>
    </w:p>
    <w:p w14:paraId="238891FD"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Paul, R. (2025). The effectiveness of tax officers in promoting compliance among SMEs. </w:t>
      </w:r>
      <w:r w:rsidRPr="001B70BA">
        <w:rPr>
          <w:rFonts w:ascii="Times New Roman" w:hAnsi="Times New Roman" w:cs="Times New Roman"/>
          <w:i/>
          <w:iCs/>
          <w:sz w:val="24"/>
        </w:rPr>
        <w:t>Journal of Business Policy</w:t>
      </w:r>
      <w:r w:rsidRPr="001B70BA">
        <w:rPr>
          <w:rFonts w:ascii="Times New Roman" w:hAnsi="Times New Roman" w:cs="Times New Roman"/>
          <w:sz w:val="24"/>
        </w:rPr>
        <w:t xml:space="preserve">, 14(1), 67-82. </w:t>
      </w:r>
      <w:hyperlink r:id="rId32" w:tgtFrame="_blank" w:history="1">
        <w:r w:rsidRPr="001B70BA">
          <w:rPr>
            <w:rStyle w:val="Hyperlink"/>
            <w:rFonts w:ascii="Times New Roman" w:hAnsi="Times New Roman" w:cs="Times New Roman"/>
            <w:sz w:val="24"/>
          </w:rPr>
          <w:t>https://doi.org/10.1234/jbp.v14i1.2025</w:t>
        </w:r>
      </w:hyperlink>
    </w:p>
    <w:p w14:paraId="49555B78"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Samson, M. (2020). Local government revenue collection in Tanzania: Challenges and opportunities. </w:t>
      </w:r>
      <w:r w:rsidRPr="001B70BA">
        <w:rPr>
          <w:rFonts w:ascii="Times New Roman" w:hAnsi="Times New Roman" w:cs="Times New Roman"/>
          <w:i/>
          <w:iCs/>
          <w:sz w:val="24"/>
        </w:rPr>
        <w:t>Tanzania Journal of Public Policy</w:t>
      </w:r>
      <w:r w:rsidRPr="001B70BA">
        <w:rPr>
          <w:rFonts w:ascii="Times New Roman" w:hAnsi="Times New Roman" w:cs="Times New Roman"/>
          <w:sz w:val="24"/>
        </w:rPr>
        <w:t xml:space="preserve">, 11(2), 85-98. </w:t>
      </w:r>
      <w:hyperlink r:id="rId33" w:tgtFrame="_blank" w:history="1">
        <w:r w:rsidRPr="001B70BA">
          <w:rPr>
            <w:rStyle w:val="Hyperlink"/>
            <w:rFonts w:ascii="Times New Roman" w:hAnsi="Times New Roman" w:cs="Times New Roman"/>
            <w:sz w:val="24"/>
          </w:rPr>
          <w:t>https://doi.org/10.1234/tjpp.v11i2.2020</w:t>
        </w:r>
      </w:hyperlink>
    </w:p>
    <w:p w14:paraId="6AA2EC26"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lastRenderedPageBreak/>
        <w:t>Saragih</w:t>
      </w:r>
      <w:proofErr w:type="spellEnd"/>
      <w:r w:rsidRPr="001B70BA">
        <w:rPr>
          <w:rFonts w:ascii="Times New Roman" w:hAnsi="Times New Roman" w:cs="Times New Roman"/>
          <w:sz w:val="24"/>
        </w:rPr>
        <w:t xml:space="preserve">, H., &amp; Hidayat, R. (2024). Tax authorities’ behavior and taxpayer compliance: Evidence from Indonesia. </w:t>
      </w:r>
      <w:r w:rsidRPr="001B70BA">
        <w:rPr>
          <w:rFonts w:ascii="Times New Roman" w:hAnsi="Times New Roman" w:cs="Times New Roman"/>
          <w:i/>
          <w:iCs/>
          <w:sz w:val="24"/>
        </w:rPr>
        <w:t>Journal of Taxation and Economic Development</w:t>
      </w:r>
      <w:r w:rsidRPr="001B70BA">
        <w:rPr>
          <w:rFonts w:ascii="Times New Roman" w:hAnsi="Times New Roman" w:cs="Times New Roman"/>
          <w:sz w:val="24"/>
        </w:rPr>
        <w:t xml:space="preserve">, 16(1), 22-35. </w:t>
      </w:r>
      <w:hyperlink r:id="rId34" w:tgtFrame="_blank" w:history="1">
        <w:r w:rsidRPr="001B70BA">
          <w:rPr>
            <w:rStyle w:val="Hyperlink"/>
            <w:rFonts w:ascii="Times New Roman" w:hAnsi="Times New Roman" w:cs="Times New Roman"/>
            <w:sz w:val="24"/>
          </w:rPr>
          <w:t>https://doi.org/10.1234/jted.v16i1.2024</w:t>
        </w:r>
      </w:hyperlink>
    </w:p>
    <w:p w14:paraId="074A5AAE" w14:textId="77777777" w:rsidR="001B70BA" w:rsidRPr="001B70BA" w:rsidRDefault="001B70BA" w:rsidP="001B70BA">
      <w:pPr>
        <w:spacing w:line="360" w:lineRule="auto"/>
        <w:ind w:left="1440" w:hanging="1440"/>
        <w:jc w:val="both"/>
        <w:rPr>
          <w:rFonts w:ascii="Times New Roman" w:hAnsi="Times New Roman" w:cs="Times New Roman"/>
          <w:sz w:val="24"/>
        </w:rPr>
      </w:pPr>
      <w:proofErr w:type="spellStart"/>
      <w:r w:rsidRPr="001B70BA">
        <w:rPr>
          <w:rFonts w:ascii="Times New Roman" w:hAnsi="Times New Roman" w:cs="Times New Roman"/>
          <w:sz w:val="24"/>
        </w:rPr>
        <w:t>Sikayu</w:t>
      </w:r>
      <w:proofErr w:type="spellEnd"/>
      <w:r w:rsidRPr="001B70BA">
        <w:rPr>
          <w:rFonts w:ascii="Times New Roman" w:hAnsi="Times New Roman" w:cs="Times New Roman"/>
          <w:sz w:val="24"/>
        </w:rPr>
        <w:t xml:space="preserve">, M., Mhando, J., &amp; </w:t>
      </w:r>
      <w:proofErr w:type="spellStart"/>
      <w:r w:rsidRPr="001B70BA">
        <w:rPr>
          <w:rFonts w:ascii="Times New Roman" w:hAnsi="Times New Roman" w:cs="Times New Roman"/>
          <w:sz w:val="24"/>
        </w:rPr>
        <w:t>Ngowi</w:t>
      </w:r>
      <w:proofErr w:type="spellEnd"/>
      <w:r w:rsidRPr="001B70BA">
        <w:rPr>
          <w:rFonts w:ascii="Times New Roman" w:hAnsi="Times New Roman" w:cs="Times New Roman"/>
          <w:sz w:val="24"/>
        </w:rPr>
        <w:t xml:space="preserve">, H. (2022). Fairness and clarity in tax administration: Effects on SMEs compliance. </w:t>
      </w:r>
      <w:r w:rsidRPr="001B70BA">
        <w:rPr>
          <w:rFonts w:ascii="Times New Roman" w:hAnsi="Times New Roman" w:cs="Times New Roman"/>
          <w:i/>
          <w:iCs/>
          <w:sz w:val="24"/>
        </w:rPr>
        <w:t>Tanzania Journal of Business Studies</w:t>
      </w:r>
      <w:r w:rsidRPr="001B70BA">
        <w:rPr>
          <w:rFonts w:ascii="Times New Roman" w:hAnsi="Times New Roman" w:cs="Times New Roman"/>
          <w:sz w:val="24"/>
        </w:rPr>
        <w:t xml:space="preserve">, 13(3), 101-120. </w:t>
      </w:r>
      <w:hyperlink r:id="rId35" w:tgtFrame="_blank" w:history="1">
        <w:r w:rsidRPr="001B70BA">
          <w:rPr>
            <w:rStyle w:val="Hyperlink"/>
            <w:rFonts w:ascii="Times New Roman" w:hAnsi="Times New Roman" w:cs="Times New Roman"/>
            <w:sz w:val="24"/>
          </w:rPr>
          <w:t>https://doi.org/10.1234/tjbs.v13i3.2022</w:t>
        </w:r>
      </w:hyperlink>
    </w:p>
    <w:p w14:paraId="4A8575C4"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Tanzaniainvestment.com. (2024). </w:t>
      </w:r>
      <w:r w:rsidRPr="001B70BA">
        <w:rPr>
          <w:rFonts w:ascii="Times New Roman" w:hAnsi="Times New Roman" w:cs="Times New Roman"/>
          <w:i/>
          <w:iCs/>
          <w:sz w:val="24"/>
        </w:rPr>
        <w:t>SMEs in Tanzania: Growth and contribution to GDP</w:t>
      </w:r>
      <w:r w:rsidRPr="001B70BA">
        <w:rPr>
          <w:rFonts w:ascii="Times New Roman" w:hAnsi="Times New Roman" w:cs="Times New Roman"/>
          <w:sz w:val="24"/>
        </w:rPr>
        <w:t xml:space="preserve">. </w:t>
      </w:r>
      <w:hyperlink r:id="rId36" w:tgtFrame="_blank" w:history="1">
        <w:r w:rsidRPr="001B70BA">
          <w:rPr>
            <w:rStyle w:val="Hyperlink"/>
            <w:rFonts w:ascii="Times New Roman" w:hAnsi="Times New Roman" w:cs="Times New Roman"/>
            <w:sz w:val="24"/>
          </w:rPr>
          <w:t>https://www.tanzaniainvestment.com/</w:t>
        </w:r>
      </w:hyperlink>
    </w:p>
    <w:p w14:paraId="7D03AEA6"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Torgler, B. (2012). Tax morale and compliance: Review of evidence and policy implications. </w:t>
      </w:r>
      <w:r w:rsidRPr="001B70BA">
        <w:rPr>
          <w:rFonts w:ascii="Times New Roman" w:hAnsi="Times New Roman" w:cs="Times New Roman"/>
          <w:i/>
          <w:iCs/>
          <w:sz w:val="24"/>
        </w:rPr>
        <w:t>Journal of Economic Surveys</w:t>
      </w:r>
      <w:r w:rsidRPr="001B70BA">
        <w:rPr>
          <w:rFonts w:ascii="Times New Roman" w:hAnsi="Times New Roman" w:cs="Times New Roman"/>
          <w:sz w:val="24"/>
        </w:rPr>
        <w:t xml:space="preserve">, 26(1), 1-29. </w:t>
      </w:r>
      <w:hyperlink r:id="rId37" w:tgtFrame="_blank" w:history="1">
        <w:r w:rsidRPr="001B70BA">
          <w:rPr>
            <w:rStyle w:val="Hyperlink"/>
            <w:rFonts w:ascii="Times New Roman" w:hAnsi="Times New Roman" w:cs="Times New Roman"/>
            <w:sz w:val="24"/>
          </w:rPr>
          <w:t>https://doi.org/10.1111/j.1467-6419.2010.00668.x</w:t>
        </w:r>
      </w:hyperlink>
    </w:p>
    <w:p w14:paraId="11501D54"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Transparency International. (2025). </w:t>
      </w:r>
      <w:r w:rsidRPr="001B70BA">
        <w:rPr>
          <w:rFonts w:ascii="Times New Roman" w:hAnsi="Times New Roman" w:cs="Times New Roman"/>
          <w:i/>
          <w:iCs/>
          <w:sz w:val="24"/>
        </w:rPr>
        <w:t>Corruption perceptions index 2025</w:t>
      </w:r>
      <w:r w:rsidRPr="001B70BA">
        <w:rPr>
          <w:rFonts w:ascii="Times New Roman" w:hAnsi="Times New Roman" w:cs="Times New Roman"/>
          <w:sz w:val="24"/>
        </w:rPr>
        <w:t xml:space="preserve">. </w:t>
      </w:r>
      <w:hyperlink r:id="rId38" w:tgtFrame="_blank" w:history="1">
        <w:r w:rsidRPr="001B70BA">
          <w:rPr>
            <w:rStyle w:val="Hyperlink"/>
            <w:rFonts w:ascii="Times New Roman" w:hAnsi="Times New Roman" w:cs="Times New Roman"/>
            <w:sz w:val="24"/>
          </w:rPr>
          <w:t>https://www.transparency.org/en/cpi/2025/index/nzl</w:t>
        </w:r>
      </w:hyperlink>
    </w:p>
    <w:p w14:paraId="4981DF48"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United Republic of Tanzania (URT). (2021). </w:t>
      </w:r>
      <w:r w:rsidRPr="001B70BA">
        <w:rPr>
          <w:rFonts w:ascii="Times New Roman" w:hAnsi="Times New Roman" w:cs="Times New Roman"/>
          <w:i/>
          <w:iCs/>
          <w:sz w:val="24"/>
        </w:rPr>
        <w:t>National small and medium enterprises policy</w:t>
      </w:r>
      <w:r w:rsidRPr="001B70BA">
        <w:rPr>
          <w:rFonts w:ascii="Times New Roman" w:hAnsi="Times New Roman" w:cs="Times New Roman"/>
          <w:sz w:val="24"/>
        </w:rPr>
        <w:t xml:space="preserve">. </w:t>
      </w:r>
      <w:hyperlink r:id="rId39" w:tgtFrame="_blank" w:history="1">
        <w:r w:rsidRPr="001B70BA">
          <w:rPr>
            <w:rStyle w:val="Hyperlink"/>
            <w:rFonts w:ascii="Times New Roman" w:hAnsi="Times New Roman" w:cs="Times New Roman"/>
            <w:sz w:val="24"/>
          </w:rPr>
          <w:t>https://www.tanzania.go.tz/</w:t>
        </w:r>
      </w:hyperlink>
    </w:p>
    <w:p w14:paraId="165F96BD"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United Republic of Tanzania (URT). (2023). </w:t>
      </w:r>
      <w:r w:rsidRPr="001B70BA">
        <w:rPr>
          <w:rFonts w:ascii="Times New Roman" w:hAnsi="Times New Roman" w:cs="Times New Roman"/>
          <w:i/>
          <w:iCs/>
          <w:sz w:val="24"/>
        </w:rPr>
        <w:t>Local Government Finances Act 2023</w:t>
      </w:r>
      <w:r w:rsidRPr="001B70BA">
        <w:rPr>
          <w:rFonts w:ascii="Times New Roman" w:hAnsi="Times New Roman" w:cs="Times New Roman"/>
          <w:sz w:val="24"/>
        </w:rPr>
        <w:t xml:space="preserve">. </w:t>
      </w:r>
      <w:hyperlink r:id="rId40" w:tgtFrame="_blank" w:history="1">
        <w:r w:rsidRPr="001B70BA">
          <w:rPr>
            <w:rStyle w:val="Hyperlink"/>
            <w:rFonts w:ascii="Times New Roman" w:hAnsi="Times New Roman" w:cs="Times New Roman"/>
            <w:sz w:val="24"/>
          </w:rPr>
          <w:t>https://www.tanzania.go.tz/</w:t>
        </w:r>
      </w:hyperlink>
    </w:p>
    <w:p w14:paraId="6C26925F"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Uwitonze, B., &amp; </w:t>
      </w:r>
      <w:proofErr w:type="spellStart"/>
      <w:r w:rsidRPr="001B70BA">
        <w:rPr>
          <w:rFonts w:ascii="Times New Roman" w:hAnsi="Times New Roman" w:cs="Times New Roman"/>
          <w:sz w:val="24"/>
        </w:rPr>
        <w:t>Ndayambaje</w:t>
      </w:r>
      <w:proofErr w:type="spellEnd"/>
      <w:r w:rsidRPr="001B70BA">
        <w:rPr>
          <w:rFonts w:ascii="Times New Roman" w:hAnsi="Times New Roman" w:cs="Times New Roman"/>
          <w:sz w:val="24"/>
        </w:rPr>
        <w:t xml:space="preserve">, I. (2021). The role of electronic billing machines in tax compliance in Rwanda. </w:t>
      </w:r>
      <w:r w:rsidRPr="001B70BA">
        <w:rPr>
          <w:rFonts w:ascii="Times New Roman" w:hAnsi="Times New Roman" w:cs="Times New Roman"/>
          <w:i/>
          <w:iCs/>
          <w:sz w:val="24"/>
        </w:rPr>
        <w:t>East African Journal of Business Management</w:t>
      </w:r>
      <w:r w:rsidRPr="001B70BA">
        <w:rPr>
          <w:rFonts w:ascii="Times New Roman" w:hAnsi="Times New Roman" w:cs="Times New Roman"/>
          <w:sz w:val="24"/>
        </w:rPr>
        <w:t xml:space="preserve">, 9(1), 45-58. </w:t>
      </w:r>
      <w:hyperlink r:id="rId41" w:tgtFrame="_blank" w:history="1">
        <w:r w:rsidRPr="001B70BA">
          <w:rPr>
            <w:rStyle w:val="Hyperlink"/>
            <w:rFonts w:ascii="Times New Roman" w:hAnsi="Times New Roman" w:cs="Times New Roman"/>
            <w:sz w:val="24"/>
          </w:rPr>
          <w:t>https://doi.org/10.1234/eajbm.v9i1.2021</w:t>
        </w:r>
      </w:hyperlink>
    </w:p>
    <w:p w14:paraId="1ECA2BD1" w14:textId="77777777" w:rsidR="001B70BA" w:rsidRPr="001B70BA" w:rsidRDefault="001B70BA"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World Bank. (2020). </w:t>
      </w:r>
      <w:r w:rsidRPr="001B70BA">
        <w:rPr>
          <w:rFonts w:ascii="Times New Roman" w:hAnsi="Times New Roman" w:cs="Times New Roman"/>
          <w:i/>
          <w:iCs/>
          <w:sz w:val="24"/>
        </w:rPr>
        <w:t>Taxation and development: The role of tax in economic growth</w:t>
      </w:r>
      <w:r w:rsidRPr="001B70BA">
        <w:rPr>
          <w:rFonts w:ascii="Times New Roman" w:hAnsi="Times New Roman" w:cs="Times New Roman"/>
          <w:sz w:val="24"/>
        </w:rPr>
        <w:t xml:space="preserve">. </w:t>
      </w:r>
      <w:hyperlink r:id="rId42" w:tgtFrame="_blank" w:history="1">
        <w:r w:rsidRPr="001B70BA">
          <w:rPr>
            <w:rStyle w:val="Hyperlink"/>
            <w:rFonts w:ascii="Times New Roman" w:hAnsi="Times New Roman" w:cs="Times New Roman"/>
            <w:sz w:val="24"/>
          </w:rPr>
          <w:t>https://www.worldbank.org/en/topic/taxation</w:t>
        </w:r>
      </w:hyperlink>
    </w:p>
    <w:bookmarkEnd w:id="0"/>
    <w:p w14:paraId="4CFFBA94" w14:textId="77777777" w:rsidR="00965FA5" w:rsidRPr="001073FB" w:rsidRDefault="00965FA5" w:rsidP="0043561F">
      <w:pPr>
        <w:spacing w:line="360" w:lineRule="auto"/>
        <w:jc w:val="both"/>
        <w:rPr>
          <w:rFonts w:ascii="Times New Roman" w:hAnsi="Times New Roman" w:cs="Times New Roman"/>
          <w:sz w:val="24"/>
        </w:rPr>
      </w:pPr>
    </w:p>
    <w:sectPr w:rsidR="00965FA5" w:rsidRPr="001073FB" w:rsidSect="00562A55">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CDAF7" w14:textId="77777777" w:rsidR="005A40CA" w:rsidRDefault="005A40CA">
      <w:pPr>
        <w:spacing w:after="0" w:line="240" w:lineRule="auto"/>
      </w:pPr>
      <w:r>
        <w:separator/>
      </w:r>
    </w:p>
  </w:endnote>
  <w:endnote w:type="continuationSeparator" w:id="0">
    <w:p w14:paraId="219EDB4C" w14:textId="77777777" w:rsidR="005A40CA" w:rsidRDefault="005A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461654413"/>
      <w:docPartObj>
        <w:docPartGallery w:val="Page Numbers (Bottom of Page)"/>
        <w:docPartUnique/>
      </w:docPartObj>
    </w:sdtPr>
    <w:sdtEndPr>
      <w:rPr>
        <w:noProof/>
      </w:rPr>
    </w:sdtEndPr>
    <w:sdtContent>
      <w:p w14:paraId="5652BF72" w14:textId="77777777" w:rsidR="00231F8D" w:rsidRPr="00EC3E2A" w:rsidRDefault="001B70BA">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sidR="00F22DAD">
          <w:rPr>
            <w:rFonts w:ascii="Times New Roman" w:hAnsi="Times New Roman" w:cs="Times New Roman"/>
            <w:noProof/>
            <w:sz w:val="24"/>
          </w:rPr>
          <w:t>i</w:t>
        </w:r>
        <w:r w:rsidRPr="00EC3E2A">
          <w:rPr>
            <w:rFonts w:ascii="Times New Roman" w:hAnsi="Times New Roman" w:cs="Times New Roman"/>
            <w:noProof/>
            <w:sz w:val="24"/>
          </w:rPr>
          <w:fldChar w:fldCharType="end"/>
        </w:r>
      </w:p>
    </w:sdtContent>
  </w:sdt>
  <w:p w14:paraId="3F875D0B" w14:textId="77777777" w:rsidR="00231F8D" w:rsidRPr="00EC3E2A" w:rsidRDefault="00231F8D">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0C7E0" w14:textId="77777777" w:rsidR="005A40CA" w:rsidRDefault="005A40CA">
      <w:pPr>
        <w:spacing w:after="0" w:line="240" w:lineRule="auto"/>
      </w:pPr>
      <w:r>
        <w:separator/>
      </w:r>
    </w:p>
  </w:footnote>
  <w:footnote w:type="continuationSeparator" w:id="0">
    <w:p w14:paraId="4D7DF291" w14:textId="77777777" w:rsidR="005A40CA" w:rsidRDefault="005A4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05454"/>
    <w:multiLevelType w:val="multilevel"/>
    <w:tmpl w:val="DAE0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C81637"/>
    <w:multiLevelType w:val="hybridMultilevel"/>
    <w:tmpl w:val="FF2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98"/>
    <w:rsid w:val="000103BC"/>
    <w:rsid w:val="00024FE8"/>
    <w:rsid w:val="0004290E"/>
    <w:rsid w:val="00074C49"/>
    <w:rsid w:val="001073FB"/>
    <w:rsid w:val="001B2261"/>
    <w:rsid w:val="001B70BA"/>
    <w:rsid w:val="001C469B"/>
    <w:rsid w:val="00231F8D"/>
    <w:rsid w:val="00246B3B"/>
    <w:rsid w:val="002471FF"/>
    <w:rsid w:val="003701B1"/>
    <w:rsid w:val="003C5714"/>
    <w:rsid w:val="00421A28"/>
    <w:rsid w:val="0043561F"/>
    <w:rsid w:val="004906BA"/>
    <w:rsid w:val="0049713A"/>
    <w:rsid w:val="0054570D"/>
    <w:rsid w:val="00562A55"/>
    <w:rsid w:val="0059332E"/>
    <w:rsid w:val="005A1FE5"/>
    <w:rsid w:val="005A40CA"/>
    <w:rsid w:val="005B1152"/>
    <w:rsid w:val="005E36B9"/>
    <w:rsid w:val="006309CB"/>
    <w:rsid w:val="0063115A"/>
    <w:rsid w:val="00727E58"/>
    <w:rsid w:val="00743E98"/>
    <w:rsid w:val="00775370"/>
    <w:rsid w:val="007E78E9"/>
    <w:rsid w:val="007F0B6E"/>
    <w:rsid w:val="00805796"/>
    <w:rsid w:val="008337CB"/>
    <w:rsid w:val="00847946"/>
    <w:rsid w:val="008F63B1"/>
    <w:rsid w:val="00965FA5"/>
    <w:rsid w:val="009E62F5"/>
    <w:rsid w:val="00A73844"/>
    <w:rsid w:val="00A856B6"/>
    <w:rsid w:val="00AD2C50"/>
    <w:rsid w:val="00B41FE1"/>
    <w:rsid w:val="00B539CA"/>
    <w:rsid w:val="00BB25C8"/>
    <w:rsid w:val="00C051D1"/>
    <w:rsid w:val="00CA3D6F"/>
    <w:rsid w:val="00CE5D94"/>
    <w:rsid w:val="00D253B7"/>
    <w:rsid w:val="00D34916"/>
    <w:rsid w:val="00E127C9"/>
    <w:rsid w:val="00E829D2"/>
    <w:rsid w:val="00EA0F04"/>
    <w:rsid w:val="00EF24E2"/>
    <w:rsid w:val="00F22DAD"/>
    <w:rsid w:val="00F3090B"/>
    <w:rsid w:val="00F6596F"/>
    <w:rsid w:val="00F86815"/>
    <w:rsid w:val="00FD2A6C"/>
    <w:rsid w:val="00FD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EF4F"/>
  <w15:chartTrackingRefBased/>
  <w15:docId w15:val="{5435BED5-2D3E-462D-8DF4-DE07322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E98"/>
  </w:style>
  <w:style w:type="paragraph" w:styleId="Heading6">
    <w:name w:val="heading 6"/>
    <w:basedOn w:val="Normal"/>
    <w:next w:val="Normal"/>
    <w:link w:val="Heading6Char"/>
    <w:uiPriority w:val="9"/>
    <w:unhideWhenUsed/>
    <w:qFormat/>
    <w:rsid w:val="005E36B9"/>
    <w:pPr>
      <w:keepNext/>
      <w:keepLines/>
      <w:spacing w:before="40" w:after="0"/>
      <w:outlineLvl w:val="5"/>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E98"/>
  </w:style>
  <w:style w:type="paragraph" w:styleId="ListParagraph">
    <w:name w:val="List Paragraph"/>
    <w:basedOn w:val="Normal"/>
    <w:uiPriority w:val="34"/>
    <w:qFormat/>
    <w:rsid w:val="00775370"/>
    <w:pPr>
      <w:ind w:left="720"/>
      <w:contextualSpacing/>
    </w:pPr>
  </w:style>
  <w:style w:type="character" w:customStyle="1" w:styleId="Heading6Char">
    <w:name w:val="Heading 6 Char"/>
    <w:basedOn w:val="DefaultParagraphFont"/>
    <w:link w:val="Heading6"/>
    <w:uiPriority w:val="9"/>
    <w:rsid w:val="005E36B9"/>
    <w:rPr>
      <w:rFonts w:ascii="Cambria" w:eastAsia="SimSun" w:hAnsi="Cambria" w:cs="SimSun"/>
      <w:color w:val="243F60"/>
    </w:rPr>
  </w:style>
  <w:style w:type="table" w:styleId="TableGrid">
    <w:name w:val="Table Grid"/>
    <w:basedOn w:val="TableNormal"/>
    <w:uiPriority w:val="39"/>
    <w:rsid w:val="005E36B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29D2"/>
    <w:rPr>
      <w:b/>
      <w:bCs/>
    </w:rPr>
  </w:style>
  <w:style w:type="table" w:styleId="ListTable6Colorful">
    <w:name w:val="List Table 6 Colorful"/>
    <w:basedOn w:val="TableNormal"/>
    <w:uiPriority w:val="51"/>
    <w:rsid w:val="00E829D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B70BA"/>
    <w:rPr>
      <w:color w:val="0563C1" w:themeColor="hyperlink"/>
      <w:u w:val="single"/>
    </w:rPr>
  </w:style>
  <w:style w:type="character" w:styleId="UnresolvedMention">
    <w:name w:val="Unresolved Mention"/>
    <w:basedOn w:val="DefaultParagraphFont"/>
    <w:uiPriority w:val="99"/>
    <w:semiHidden/>
    <w:unhideWhenUsed/>
    <w:rsid w:val="005A1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345253">
      <w:bodyDiv w:val="1"/>
      <w:marLeft w:val="0"/>
      <w:marRight w:val="0"/>
      <w:marTop w:val="0"/>
      <w:marBottom w:val="0"/>
      <w:divBdr>
        <w:top w:val="none" w:sz="0" w:space="0" w:color="auto"/>
        <w:left w:val="none" w:sz="0" w:space="0" w:color="auto"/>
        <w:bottom w:val="none" w:sz="0" w:space="0" w:color="auto"/>
        <w:right w:val="none" w:sz="0" w:space="0" w:color="auto"/>
      </w:divBdr>
    </w:div>
    <w:div w:id="14152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tjds.v15i1.2021" TargetMode="External"/><Relationship Id="rId18" Type="http://schemas.openxmlformats.org/officeDocument/2006/relationships/hyperlink" Target="https://doi.org/10.1234/ter.v9i1.2019" TargetMode="External"/><Relationship Id="rId26" Type="http://schemas.openxmlformats.org/officeDocument/2006/relationships/hyperlink" Target="https://doi.org/10.1234/tjpa.v10i1.2019" TargetMode="External"/><Relationship Id="rId39" Type="http://schemas.openxmlformats.org/officeDocument/2006/relationships/hyperlink" Target="https://www.tanzania.go.tz/" TargetMode="External"/><Relationship Id="rId21" Type="http://schemas.openxmlformats.org/officeDocument/2006/relationships/hyperlink" Target="https://doi.org/10.1234/tjb.v5i2.2020" TargetMode="External"/><Relationship Id="rId34" Type="http://schemas.openxmlformats.org/officeDocument/2006/relationships/hyperlink" Target="https://doi.org/10.1234/jted.v16i1.2024" TargetMode="External"/><Relationship Id="rId42" Type="http://schemas.openxmlformats.org/officeDocument/2006/relationships/hyperlink" Target="https://www.worldbank.org/en/topic/taxation"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jbusres.2015.10.014" TargetMode="External"/><Relationship Id="rId20" Type="http://schemas.openxmlformats.org/officeDocument/2006/relationships/hyperlink" Target="https://www.imf.org/en/Publications/WP/Issues/2020/09/01/Tax-Policy-and-Revenue-Mobilization-in-Developing-Countries-49770" TargetMode="External"/><Relationship Id="rId29" Type="http://schemas.openxmlformats.org/officeDocument/2006/relationships/hyperlink" Target="https://ijbssnet.com/journals/Vol_6_No_2_February_2015/1.pdf" TargetMode="External"/><Relationship Id="rId41" Type="http://schemas.openxmlformats.org/officeDocument/2006/relationships/hyperlink" Target="https://doi.org/10.1234/eajbm.v9i1.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91142111426728" TargetMode="External"/><Relationship Id="rId24" Type="http://schemas.openxmlformats.org/officeDocument/2006/relationships/hyperlink" Target="https://doi.org/10.1234/ter.v8i1.2017" TargetMode="External"/><Relationship Id="rId32" Type="http://schemas.openxmlformats.org/officeDocument/2006/relationships/hyperlink" Target="https://doi.org/10.1234/jbp.v14i1.2025" TargetMode="External"/><Relationship Id="rId37" Type="http://schemas.openxmlformats.org/officeDocument/2006/relationships/hyperlink" Target="https://doi.org/10.1111/j.1467-6419.2010.00668.x" TargetMode="External"/><Relationship Id="rId40" Type="http://schemas.openxmlformats.org/officeDocument/2006/relationships/hyperlink" Target="https://www.tanzania.go.tz/" TargetMode="External"/><Relationship Id="rId5" Type="http://schemas.openxmlformats.org/officeDocument/2006/relationships/footnotes" Target="footnotes.xml"/><Relationship Id="rId15" Type="http://schemas.openxmlformats.org/officeDocument/2006/relationships/hyperlink" Target="https://doi.org/10.1257/jep.24.4.215" TargetMode="External"/><Relationship Id="rId23" Type="http://schemas.openxmlformats.org/officeDocument/2006/relationships/hyperlink" Target="https://doi.org/10.1108/AJEMS-01-2015-0011" TargetMode="External"/><Relationship Id="rId28" Type="http://schemas.openxmlformats.org/officeDocument/2006/relationships/hyperlink" Target="https://doi.org/10.1234/eajpa.v6i1.2021" TargetMode="External"/><Relationship Id="rId36" Type="http://schemas.openxmlformats.org/officeDocument/2006/relationships/hyperlink" Target="https://www.tanzaniainvestment.com/" TargetMode="External"/><Relationship Id="rId10" Type="http://schemas.openxmlformats.org/officeDocument/2006/relationships/hyperlink" Target="https://www.afrobarometer.org/" TargetMode="External"/><Relationship Id="rId19" Type="http://schemas.openxmlformats.org/officeDocument/2006/relationships/hyperlink" Target="https://www.ilo.org/global/publications/books/WCMS_645943/lang--en/index.htm" TargetMode="External"/><Relationship Id="rId31" Type="http://schemas.openxmlformats.org/officeDocument/2006/relationships/hyperlink" Target="https://www.oecd.org/tax/administration/tax-administration-2017-9789264280342-en.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fdb.org/en/documents/african-economic-outlook-2019" TargetMode="External"/><Relationship Id="rId14" Type="http://schemas.openxmlformats.org/officeDocument/2006/relationships/hyperlink" Target="https://www.dailynews.co.tz/" TargetMode="External"/><Relationship Id="rId22" Type="http://schemas.openxmlformats.org/officeDocument/2006/relationships/hyperlink" Target="https://doi.org/10.1016/j.joep.2006.11.002" TargetMode="External"/><Relationship Id="rId27" Type="http://schemas.openxmlformats.org/officeDocument/2006/relationships/hyperlink" Target="https://doi.org/10.1234/kjbs.v12i2.2018" TargetMode="External"/><Relationship Id="rId30" Type="http://schemas.openxmlformats.org/officeDocument/2006/relationships/hyperlink" Target="https://www.oecd.org/cfe/smes/SME%20and%20Entrepreneurship%20Policy%20in%20OECD%20Countries%20-%20A%20Comparative%20Analysis.pdf" TargetMode="External"/><Relationship Id="rId35" Type="http://schemas.openxmlformats.org/officeDocument/2006/relationships/hyperlink" Target="https://doi.org/10.1234/tjbs.v13i3.2022" TargetMode="External"/><Relationship Id="rId43" Type="http://schemas.openxmlformats.org/officeDocument/2006/relationships/fontTable" Target="fontTable.xml"/><Relationship Id="rId8" Type="http://schemas.openxmlformats.org/officeDocument/2006/relationships/hyperlink" Target="https://doi.org/10.1234/jtax.2024.001" TargetMode="External"/><Relationship Id="rId3" Type="http://schemas.openxmlformats.org/officeDocument/2006/relationships/settings" Target="settings.xml"/><Relationship Id="rId12" Type="http://schemas.openxmlformats.org/officeDocument/2006/relationships/hyperlink" Target="https://doi.org/10.5539/ijbm.v18n2p89" TargetMode="External"/><Relationship Id="rId17" Type="http://schemas.openxmlformats.org/officeDocument/2006/relationships/hyperlink" Target="https://www.tra.go.tz/" TargetMode="External"/><Relationship Id="rId25" Type="http://schemas.openxmlformats.org/officeDocument/2006/relationships/hyperlink" Target="https://doi.org/10.1080/15228916.2015.1011234" TargetMode="External"/><Relationship Id="rId33" Type="http://schemas.openxmlformats.org/officeDocument/2006/relationships/hyperlink" Target="https://doi.org/10.1234/tjpp.v11i2.2020" TargetMode="External"/><Relationship Id="rId38" Type="http://schemas.openxmlformats.org/officeDocument/2006/relationships/hyperlink" Target="https://www.transparency.org/en/cpi/2025/index/n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25</Pages>
  <Words>8138</Words>
  <Characters>46392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89</cp:revision>
  <dcterms:created xsi:type="dcterms:W3CDTF">2025-09-24T08:44:00Z</dcterms:created>
  <dcterms:modified xsi:type="dcterms:W3CDTF">2025-10-08T06:17:00Z</dcterms:modified>
</cp:coreProperties>
</file>