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77798" w14:textId="548EACC1" w:rsidR="000F122E" w:rsidRPr="002C5238" w:rsidRDefault="00167CD9" w:rsidP="00B768B3">
      <w:pPr>
        <w:jc w:val="center"/>
        <w:rPr>
          <w:rFonts w:ascii="Arial" w:hAnsi="Arial" w:cs="Arial"/>
          <w:b/>
          <w:bCs/>
        </w:rPr>
      </w:pPr>
      <w:bookmarkStart w:id="0" w:name="_Hlk210466289"/>
      <w:r w:rsidRPr="002C5238">
        <w:rPr>
          <w:rFonts w:ascii="Arial" w:hAnsi="Arial" w:cs="Arial"/>
          <w:b/>
          <w:bCs/>
        </w:rPr>
        <w:t>OTT Market Dynamics: Understanding Consumer Behaviour and Pricing in Emerging Economies</w:t>
      </w:r>
    </w:p>
    <w:bookmarkEnd w:id="0"/>
    <w:p w14:paraId="6B70F50F" w14:textId="61FFF9EE" w:rsidR="002C5238" w:rsidRDefault="002C5238" w:rsidP="002C5238">
      <w:pPr>
        <w:rPr>
          <w:rFonts w:ascii="Arial" w:hAnsi="Arial" w:cs="Arial"/>
        </w:rPr>
      </w:pPr>
    </w:p>
    <w:p w14:paraId="342404D7" w14:textId="77777777" w:rsidR="002D6DC3" w:rsidRPr="002C5238" w:rsidRDefault="002D6DC3" w:rsidP="002C5238">
      <w:pPr>
        <w:rPr>
          <w:rFonts w:ascii="Arial" w:hAnsi="Arial" w:cs="Arial"/>
        </w:rPr>
      </w:pPr>
      <w:bookmarkStart w:id="1" w:name="_GoBack"/>
      <w:bookmarkEnd w:id="1"/>
    </w:p>
    <w:p w14:paraId="67762BF8" w14:textId="328E846A" w:rsidR="002C5238" w:rsidRPr="002C5238" w:rsidRDefault="002C5238" w:rsidP="002C5238">
      <w:pPr>
        <w:rPr>
          <w:rFonts w:ascii="Arial" w:hAnsi="Arial" w:cs="Arial"/>
        </w:rPr>
      </w:pPr>
      <w:r w:rsidRPr="002C5238">
        <w:rPr>
          <w:rFonts w:ascii="Arial" w:hAnsi="Arial" w:cs="Arial"/>
          <w:b/>
          <w:bCs/>
        </w:rPr>
        <w:t>ABSTRACT</w:t>
      </w:r>
    </w:p>
    <w:p w14:paraId="3B81BC1C" w14:textId="77777777" w:rsidR="002C5238" w:rsidRPr="002C5238" w:rsidRDefault="002C5238" w:rsidP="002C5238">
      <w:pPr>
        <w:jc w:val="both"/>
        <w:rPr>
          <w:rFonts w:ascii="Arial" w:hAnsi="Arial" w:cs="Arial"/>
          <w:sz w:val="20"/>
          <w:szCs w:val="20"/>
        </w:rPr>
      </w:pPr>
      <w:r w:rsidRPr="002C5238">
        <w:rPr>
          <w:rFonts w:ascii="Arial" w:hAnsi="Arial" w:cs="Arial"/>
          <w:b/>
          <w:bCs/>
          <w:sz w:val="20"/>
          <w:szCs w:val="20"/>
        </w:rPr>
        <w:t>Aims:</w:t>
      </w:r>
      <w:r w:rsidRPr="002C5238">
        <w:rPr>
          <w:rFonts w:ascii="Arial" w:hAnsi="Arial" w:cs="Arial"/>
          <w:sz w:val="20"/>
          <w:szCs w:val="20"/>
        </w:rPr>
        <w:t xml:space="preserve"> This study aims to examine how pricing strategies, content preferences, and socio-economic and cultural factors influence consumer adoption, retention, and willingness to pay for over-the-top (OTT) platforms in emerging economies.</w:t>
      </w:r>
    </w:p>
    <w:p w14:paraId="7B1A510A" w14:textId="77777777" w:rsidR="002C5238" w:rsidRPr="002C5238" w:rsidRDefault="002C5238" w:rsidP="002C5238">
      <w:pPr>
        <w:jc w:val="both"/>
        <w:rPr>
          <w:rFonts w:ascii="Arial" w:hAnsi="Arial" w:cs="Arial"/>
          <w:sz w:val="20"/>
          <w:szCs w:val="20"/>
        </w:rPr>
      </w:pPr>
      <w:r w:rsidRPr="002C5238">
        <w:rPr>
          <w:rFonts w:ascii="Arial" w:hAnsi="Arial" w:cs="Arial"/>
          <w:b/>
          <w:bCs/>
          <w:sz w:val="20"/>
          <w:szCs w:val="20"/>
        </w:rPr>
        <w:t>Study Design:</w:t>
      </w:r>
      <w:r w:rsidRPr="002C5238">
        <w:rPr>
          <w:rFonts w:ascii="Arial" w:hAnsi="Arial" w:cs="Arial"/>
          <w:sz w:val="20"/>
          <w:szCs w:val="20"/>
        </w:rPr>
        <w:t xml:space="preserve"> A descriptive, cross-sectional research design using survey methodology with quantitative data analysis was adopted.</w:t>
      </w:r>
    </w:p>
    <w:p w14:paraId="3BA3E8CA" w14:textId="77777777" w:rsidR="002C5238" w:rsidRPr="002C5238" w:rsidRDefault="002C5238" w:rsidP="002C5238">
      <w:pPr>
        <w:jc w:val="both"/>
        <w:rPr>
          <w:rFonts w:ascii="Arial" w:hAnsi="Arial" w:cs="Arial"/>
          <w:sz w:val="20"/>
          <w:szCs w:val="20"/>
        </w:rPr>
      </w:pPr>
      <w:r w:rsidRPr="002C5238">
        <w:rPr>
          <w:rFonts w:ascii="Arial" w:hAnsi="Arial" w:cs="Arial"/>
          <w:b/>
          <w:bCs/>
          <w:sz w:val="20"/>
          <w:szCs w:val="20"/>
        </w:rPr>
        <w:t>Place and Duration of Study:</w:t>
      </w:r>
      <w:r w:rsidRPr="002C5238">
        <w:rPr>
          <w:rFonts w:ascii="Arial" w:hAnsi="Arial" w:cs="Arial"/>
          <w:sz w:val="20"/>
          <w:szCs w:val="20"/>
        </w:rPr>
        <w:t xml:space="preserve"> The study was conducted in three major emerging economies—India, Brazil, and Indonesia—between January and June 2024.</w:t>
      </w:r>
    </w:p>
    <w:p w14:paraId="1A26667A" w14:textId="77777777" w:rsidR="002C5238" w:rsidRPr="002C5238" w:rsidRDefault="002C5238" w:rsidP="002C5238">
      <w:pPr>
        <w:jc w:val="both"/>
        <w:rPr>
          <w:rFonts w:ascii="Arial" w:hAnsi="Arial" w:cs="Arial"/>
          <w:sz w:val="20"/>
          <w:szCs w:val="20"/>
        </w:rPr>
      </w:pPr>
      <w:r w:rsidRPr="002C5238">
        <w:rPr>
          <w:rFonts w:ascii="Arial" w:hAnsi="Arial" w:cs="Arial"/>
          <w:b/>
          <w:bCs/>
          <w:sz w:val="20"/>
          <w:szCs w:val="20"/>
        </w:rPr>
        <w:t>Methodology:</w:t>
      </w:r>
      <w:r w:rsidRPr="002C5238">
        <w:rPr>
          <w:rFonts w:ascii="Arial" w:hAnsi="Arial" w:cs="Arial"/>
          <w:sz w:val="20"/>
          <w:szCs w:val="20"/>
        </w:rPr>
        <w:t xml:space="preserve"> A structured online survey was administered to 1,200 active OTT users (384 each from India and Brazil, 432 from Indonesia), selected through stratified random sampling across age, income, and urban–rural segments. Key constructs measured included pricing strategy perceptions, content preferences, socio-economic and socio-cultural moderators, and consumer behaviour outcomes. Data were analysed using Partial Least Squares Structural Equation Modelling (PLS-SEM) and Latent Class Analysis (LCA) to validate constructs, test hypotheses, and identify consumer segments.</w:t>
      </w:r>
    </w:p>
    <w:p w14:paraId="4E3608AC" w14:textId="77777777" w:rsidR="002C5238" w:rsidRPr="002C5238" w:rsidRDefault="002C5238" w:rsidP="002C5238">
      <w:pPr>
        <w:jc w:val="both"/>
        <w:rPr>
          <w:rFonts w:ascii="Arial" w:hAnsi="Arial" w:cs="Arial"/>
          <w:sz w:val="20"/>
          <w:szCs w:val="20"/>
        </w:rPr>
      </w:pPr>
      <w:r w:rsidRPr="002C5238">
        <w:rPr>
          <w:rFonts w:ascii="Arial" w:hAnsi="Arial" w:cs="Arial"/>
          <w:b/>
          <w:bCs/>
          <w:sz w:val="20"/>
          <w:szCs w:val="20"/>
        </w:rPr>
        <w:t>Results:</w:t>
      </w:r>
      <w:r w:rsidRPr="002C5238">
        <w:rPr>
          <w:rFonts w:ascii="Arial" w:hAnsi="Arial" w:cs="Arial"/>
          <w:sz w:val="20"/>
          <w:szCs w:val="20"/>
        </w:rPr>
        <w:t xml:space="preserve"> Pricing strategy significantly influenced adoption (β = 0.42, p &lt; 0.001), with freemium and tiered models emerging as dominant drivers in price-sensitive segments. Content preferences, particularly cultural and linguistic relevance, strongly predicted engagement and loyalty (β = 0.47, p &lt; 0.001). Socio-economic (β = 0.15, p = 0.002) and socio-cultural (β = 0.18, p &lt; 0.001) factors moderated these relationships. Adoption further predicted retention and willingness to pay (β = 0.55, p &lt; 0.001). LCA revealed three distinct segments: price-sensitive youth (40%), mid-income working adults (35%), and high-income early adopters (25%). The model explained 61% of the variance in consumer behaviour (R² = 0.61).</w:t>
      </w:r>
    </w:p>
    <w:p w14:paraId="09F78ABA" w14:textId="77777777" w:rsidR="002C5238" w:rsidRPr="002C5238" w:rsidRDefault="002C5238" w:rsidP="002C5238">
      <w:pPr>
        <w:jc w:val="both"/>
        <w:rPr>
          <w:rFonts w:ascii="Arial" w:hAnsi="Arial" w:cs="Arial"/>
          <w:sz w:val="20"/>
          <w:szCs w:val="20"/>
        </w:rPr>
      </w:pPr>
      <w:r w:rsidRPr="002C5238">
        <w:rPr>
          <w:rFonts w:ascii="Arial" w:hAnsi="Arial" w:cs="Arial"/>
          <w:b/>
          <w:bCs/>
          <w:sz w:val="20"/>
          <w:szCs w:val="20"/>
        </w:rPr>
        <w:t>Conclusion:</w:t>
      </w:r>
      <w:r w:rsidRPr="002C5238">
        <w:rPr>
          <w:rFonts w:ascii="Arial" w:hAnsi="Arial" w:cs="Arial"/>
          <w:sz w:val="20"/>
          <w:szCs w:val="20"/>
        </w:rPr>
        <w:t xml:space="preserve"> The findings highlight that hybrid pricing models (freemium + tiered) and culturally resonant content are critical for sustaining OTT adoption in emerging economies. Segment-specific strategies are essential to balance affordability with content value, ensuring long-term consumer retention and revenue growth.</w:t>
      </w:r>
    </w:p>
    <w:p w14:paraId="7D34E205" w14:textId="0BF1C873" w:rsidR="00167CD9" w:rsidRPr="002C5238" w:rsidRDefault="00167CD9" w:rsidP="00167CD9">
      <w:pPr>
        <w:rPr>
          <w:rFonts w:ascii="Arial" w:hAnsi="Arial" w:cs="Arial"/>
          <w:sz w:val="20"/>
          <w:szCs w:val="20"/>
        </w:rPr>
      </w:pPr>
      <w:r w:rsidRPr="002C5238">
        <w:rPr>
          <w:rFonts w:ascii="Arial" w:hAnsi="Arial" w:cs="Arial"/>
          <w:b/>
          <w:bCs/>
          <w:sz w:val="20"/>
          <w:szCs w:val="20"/>
        </w:rPr>
        <w:t>Keywords:</w:t>
      </w:r>
      <w:r w:rsidRPr="002C5238">
        <w:rPr>
          <w:rFonts w:ascii="Arial" w:hAnsi="Arial" w:cs="Arial"/>
          <w:sz w:val="20"/>
          <w:szCs w:val="20"/>
        </w:rPr>
        <w:t xml:space="preserve"> OTT platforms, emerging economies, consumer behaviour, pricing strategy, subscription models, freemium models, content preferences, market dynamics</w:t>
      </w:r>
    </w:p>
    <w:p w14:paraId="6037357D" w14:textId="77777777" w:rsidR="002C5238" w:rsidRPr="002C5238" w:rsidRDefault="002C5238" w:rsidP="00167CD9">
      <w:pPr>
        <w:rPr>
          <w:rFonts w:ascii="Arial" w:hAnsi="Arial" w:cs="Arial"/>
        </w:rPr>
      </w:pPr>
    </w:p>
    <w:p w14:paraId="1D843B3D" w14:textId="77777777" w:rsidR="002C5238" w:rsidRPr="002C5238" w:rsidRDefault="002C5238" w:rsidP="00167CD9">
      <w:pPr>
        <w:rPr>
          <w:rFonts w:ascii="Arial" w:hAnsi="Arial" w:cs="Arial"/>
          <w:b/>
          <w:bCs/>
        </w:rPr>
      </w:pPr>
    </w:p>
    <w:p w14:paraId="053F6046" w14:textId="77777777" w:rsidR="002C5238" w:rsidRPr="002C5238" w:rsidRDefault="002C5238" w:rsidP="00167CD9">
      <w:pPr>
        <w:rPr>
          <w:rFonts w:ascii="Arial" w:hAnsi="Arial" w:cs="Arial"/>
          <w:b/>
          <w:bCs/>
        </w:rPr>
      </w:pPr>
    </w:p>
    <w:p w14:paraId="70CFC3C3" w14:textId="3FC04C11" w:rsidR="00167CD9" w:rsidRPr="002C5238" w:rsidRDefault="002C5238" w:rsidP="00167CD9">
      <w:pPr>
        <w:rPr>
          <w:rFonts w:ascii="Arial" w:hAnsi="Arial" w:cs="Arial"/>
        </w:rPr>
      </w:pPr>
      <w:r>
        <w:rPr>
          <w:rFonts w:ascii="Arial" w:hAnsi="Arial" w:cs="Arial"/>
          <w:b/>
          <w:bCs/>
        </w:rPr>
        <w:t>1.</w:t>
      </w:r>
      <w:r w:rsidRPr="002C5238">
        <w:rPr>
          <w:rFonts w:ascii="Arial" w:hAnsi="Arial" w:cs="Arial"/>
          <w:b/>
          <w:bCs/>
        </w:rPr>
        <w:t>INTRODUCTION</w:t>
      </w:r>
    </w:p>
    <w:p w14:paraId="71029EFA" w14:textId="3971AFE5" w:rsidR="002C5238" w:rsidRPr="002C5238" w:rsidRDefault="00167CD9" w:rsidP="002C5238">
      <w:pPr>
        <w:jc w:val="both"/>
        <w:rPr>
          <w:rFonts w:ascii="Arial" w:hAnsi="Arial" w:cs="Arial"/>
          <w:sz w:val="20"/>
          <w:szCs w:val="20"/>
        </w:rPr>
      </w:pPr>
      <w:r w:rsidRPr="002C5238">
        <w:rPr>
          <w:rFonts w:ascii="Arial" w:hAnsi="Arial" w:cs="Arial"/>
        </w:rPr>
        <w:t>.</w:t>
      </w:r>
      <w:r w:rsidR="002C5238" w:rsidRPr="002C5238">
        <w:rPr>
          <w:rFonts w:ascii="Arial" w:hAnsi="Arial" w:cs="Arial"/>
        </w:rPr>
        <w:t xml:space="preserve"> </w:t>
      </w:r>
      <w:r w:rsidR="002C5238" w:rsidRPr="002C5238">
        <w:rPr>
          <w:rFonts w:ascii="Arial" w:hAnsi="Arial" w:cs="Arial"/>
          <w:sz w:val="20"/>
          <w:szCs w:val="20"/>
        </w:rPr>
        <w:t xml:space="preserve">The advent of Over-the-Top (OTT) platforms has heralded a paradigm shift in media consumption across the globe, fundamentally altering the manner in which </w:t>
      </w:r>
      <w:proofErr w:type="gramStart"/>
      <w:r w:rsidR="002C5238" w:rsidRPr="002C5238">
        <w:rPr>
          <w:rFonts w:ascii="Arial" w:hAnsi="Arial" w:cs="Arial"/>
          <w:sz w:val="20"/>
          <w:szCs w:val="20"/>
        </w:rPr>
        <w:t>audiences</w:t>
      </w:r>
      <w:proofErr w:type="gramEnd"/>
      <w:r w:rsidR="002C5238" w:rsidRPr="002C5238">
        <w:rPr>
          <w:rFonts w:ascii="Arial" w:hAnsi="Arial" w:cs="Arial"/>
          <w:sz w:val="20"/>
          <w:szCs w:val="20"/>
        </w:rPr>
        <w:t xml:space="preserve"> access, engage with, and monetise digital content. Unlike traditional broadcast and cable television, OTT services deliver content directly over the internet, bypassing conventional distribution channels and providing users with unprecedented flexibility and convenience (Deloitte, 2022). While the phenomenon originated in mature markets such as the United States and Western Europe, emerging economies have witnessed an accelerated adoption trajectory, driven by expanding internet penetration, the proliferation of affordable smartphones, and evolving consumer preferences (PwC, 2023).</w:t>
      </w:r>
    </w:p>
    <w:p w14:paraId="0C99DFA6" w14:textId="77777777" w:rsidR="002C5238" w:rsidRPr="002C5238" w:rsidRDefault="002C5238" w:rsidP="002C5238">
      <w:pPr>
        <w:jc w:val="both"/>
        <w:rPr>
          <w:rFonts w:ascii="Arial" w:hAnsi="Arial" w:cs="Arial"/>
          <w:sz w:val="20"/>
          <w:szCs w:val="20"/>
        </w:rPr>
      </w:pPr>
      <w:r w:rsidRPr="002C5238">
        <w:rPr>
          <w:rFonts w:ascii="Arial" w:hAnsi="Arial" w:cs="Arial"/>
          <w:sz w:val="20"/>
          <w:szCs w:val="20"/>
        </w:rPr>
        <w:lastRenderedPageBreak/>
        <w:t>Emerging markets, including India, Brazil, and Indonesia, represent a complex and heterogeneous landscape where socio-economic disparities, cultural diversity, and technological infrastructure exert significant influence over media consumption patterns (KPMG, 2022). Unlike developed markets, where subscription-based OTT models dominate, consumers in emerging economies often exhibit heightened price sensitivity, with a pronounced preference for freemium or ad-supported offerings (Statista, 2023). Consequently, understanding consumer behaviour in these contexts necessitates a nuanced exploration of both economic and cultural determinants, encompassing affordability, perceived content value, linguistic and cultural relevance, and digital literacy.</w:t>
      </w:r>
    </w:p>
    <w:p w14:paraId="06259C7B" w14:textId="77777777" w:rsidR="002C5238" w:rsidRPr="002C5238" w:rsidRDefault="002C5238" w:rsidP="002C5238">
      <w:pPr>
        <w:jc w:val="both"/>
        <w:rPr>
          <w:rFonts w:ascii="Arial" w:hAnsi="Arial" w:cs="Arial"/>
          <w:sz w:val="20"/>
          <w:szCs w:val="20"/>
        </w:rPr>
      </w:pPr>
      <w:r w:rsidRPr="002C5238">
        <w:rPr>
          <w:rFonts w:ascii="Arial" w:hAnsi="Arial" w:cs="Arial"/>
          <w:sz w:val="20"/>
          <w:szCs w:val="20"/>
        </w:rPr>
        <w:t>Pricing strategy represents a critical lever for OTT platforms seeking to balance revenue generation with market penetration. Empirical evidence suggests that tiered subscription plans, freemium models, and promotional pricing can mitigate barriers to adoption while enabling platforms to segment diverse consumer cohorts effectively (Hennig-</w:t>
      </w:r>
      <w:proofErr w:type="spellStart"/>
      <w:r w:rsidRPr="002C5238">
        <w:rPr>
          <w:rFonts w:ascii="Arial" w:hAnsi="Arial" w:cs="Arial"/>
          <w:sz w:val="20"/>
          <w:szCs w:val="20"/>
        </w:rPr>
        <w:t>Thurau</w:t>
      </w:r>
      <w:proofErr w:type="spellEnd"/>
      <w:r w:rsidRPr="002C5238">
        <w:rPr>
          <w:rFonts w:ascii="Arial" w:hAnsi="Arial" w:cs="Arial"/>
          <w:sz w:val="20"/>
          <w:szCs w:val="20"/>
        </w:rPr>
        <w:t xml:space="preserve"> et al., 2021). Moreover, consumer engagement is not solely contingent upon price; content curation, exclusivity, and platform usability significantly influence subscription decisions, loyalty, and churn rates (Chakraborty &amp; Chatterjee, 2022).</w:t>
      </w:r>
    </w:p>
    <w:p w14:paraId="6BF0BE7F" w14:textId="77777777" w:rsidR="002C5238" w:rsidRPr="002C5238" w:rsidRDefault="002C5238" w:rsidP="002C5238">
      <w:pPr>
        <w:jc w:val="both"/>
        <w:rPr>
          <w:rFonts w:ascii="Arial" w:hAnsi="Arial" w:cs="Arial"/>
          <w:sz w:val="20"/>
          <w:szCs w:val="20"/>
        </w:rPr>
      </w:pPr>
      <w:r w:rsidRPr="002C5238">
        <w:rPr>
          <w:rFonts w:ascii="Arial" w:hAnsi="Arial" w:cs="Arial"/>
          <w:sz w:val="20"/>
          <w:szCs w:val="20"/>
        </w:rPr>
        <w:t>Despite the growing body of literature on OTT adoption, research focusing on emerging economies remains fragmented. Existing studies often prioritise technology acceptance models or broad adoption metrics, overlooking the interplay between pricing strategies, cultural preferences, and content consumption behaviour (Rai &amp; Singh, 2020). This lacuna limits the ability of platform managers and policymakers to design contextually tailored strategies that address both market potential and consumer heterogeneity.</w:t>
      </w:r>
    </w:p>
    <w:p w14:paraId="0DC90799" w14:textId="77777777" w:rsidR="002C5238" w:rsidRPr="002C5238" w:rsidRDefault="002C5238" w:rsidP="002C5238">
      <w:pPr>
        <w:jc w:val="both"/>
        <w:rPr>
          <w:rFonts w:ascii="Arial" w:hAnsi="Arial" w:cs="Arial"/>
          <w:sz w:val="20"/>
          <w:szCs w:val="20"/>
        </w:rPr>
      </w:pPr>
      <w:r w:rsidRPr="002C5238">
        <w:rPr>
          <w:rFonts w:ascii="Arial" w:hAnsi="Arial" w:cs="Arial"/>
          <w:sz w:val="20"/>
          <w:szCs w:val="20"/>
        </w:rPr>
        <w:t>In light of these dynamics, this study seeks to examine the determinants of consumer behaviour in the OTT landscape of emerging economies, with a particular emphasis on pricing mechanisms and content preferences. The research addresses three critical questions: (</w:t>
      </w:r>
      <w:proofErr w:type="spellStart"/>
      <w:r w:rsidRPr="002C5238">
        <w:rPr>
          <w:rFonts w:ascii="Arial" w:hAnsi="Arial" w:cs="Arial"/>
          <w:sz w:val="20"/>
          <w:szCs w:val="20"/>
        </w:rPr>
        <w:t>i</w:t>
      </w:r>
      <w:proofErr w:type="spellEnd"/>
      <w:r w:rsidRPr="002C5238">
        <w:rPr>
          <w:rFonts w:ascii="Arial" w:hAnsi="Arial" w:cs="Arial"/>
          <w:sz w:val="20"/>
          <w:szCs w:val="20"/>
        </w:rPr>
        <w:t>) What are the primary factors influencing consumer adoption and retention of OTT platforms in emerging markets? (ii) How do pricing strategies—subscription, freemium, and tiered models—impact consumer engagement and willingness to pay? (iii) To what extent do cultural and socio-economic factors moderate these relationships? By integrating survey-based empirical insights with secondary market data, the study provides a comprehensive understanding of OTT market dynamics and offers actionable recommendations for platform strategists, marketers, and policymakers.</w:t>
      </w:r>
    </w:p>
    <w:p w14:paraId="2183223F" w14:textId="74353CFD" w:rsidR="00167CD9" w:rsidRPr="002C5238" w:rsidRDefault="002C5238" w:rsidP="002C5238">
      <w:pPr>
        <w:jc w:val="both"/>
        <w:rPr>
          <w:rFonts w:ascii="Arial" w:hAnsi="Arial" w:cs="Arial"/>
        </w:rPr>
      </w:pPr>
      <w:r w:rsidRPr="002C5238">
        <w:rPr>
          <w:rFonts w:ascii="Arial" w:hAnsi="Arial" w:cs="Arial"/>
          <w:sz w:val="20"/>
          <w:szCs w:val="20"/>
        </w:rPr>
        <w:t>Ultimately, this research contributes to both theory and practice. Theoretically, it extends the discourse on media consumption in emerging economies by situating consumer behaviour within the context of pricing strategy, content relevance, and cultural heterogeneity. Practically, it informs platform managers on effective market segmentation, pricing optimisation, and content curation, facilitating sustainable growth and competitive advantage in resource-constrained yet high-potential markets</w:t>
      </w:r>
    </w:p>
    <w:p w14:paraId="4C37D7ED" w14:textId="7D224290" w:rsidR="00167CD9" w:rsidRPr="002C5238" w:rsidRDefault="00167CD9" w:rsidP="00167CD9">
      <w:pPr>
        <w:jc w:val="both"/>
        <w:rPr>
          <w:rFonts w:ascii="Arial" w:hAnsi="Arial" w:cs="Arial"/>
        </w:rPr>
      </w:pPr>
    </w:p>
    <w:p w14:paraId="156373EB" w14:textId="135E9DB9" w:rsidR="00167CD9" w:rsidRPr="002C5238" w:rsidRDefault="002C5238" w:rsidP="00167CD9">
      <w:pPr>
        <w:jc w:val="both"/>
        <w:rPr>
          <w:rFonts w:ascii="Arial" w:hAnsi="Arial" w:cs="Arial"/>
        </w:rPr>
      </w:pPr>
      <w:r>
        <w:rPr>
          <w:rFonts w:ascii="Arial" w:hAnsi="Arial" w:cs="Arial"/>
          <w:b/>
          <w:bCs/>
        </w:rPr>
        <w:t>2.</w:t>
      </w:r>
      <w:r w:rsidR="00167CD9" w:rsidRPr="002C5238">
        <w:rPr>
          <w:rFonts w:ascii="Arial" w:hAnsi="Arial" w:cs="Arial"/>
          <w:b/>
          <w:bCs/>
        </w:rPr>
        <w:t>Literature Review</w:t>
      </w:r>
    </w:p>
    <w:p w14:paraId="2362C987"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The proliferation of OTT platforms has fundamentally transformed the global media landscape, prompting scholars to investigate the drivers of adoption and engagement. In mature markets, the adoption of streaming services has been linked primarily to convenience, content variety, and technological readiness (</w:t>
      </w:r>
      <w:proofErr w:type="spellStart"/>
      <w:r w:rsidRPr="002C5238">
        <w:rPr>
          <w:rFonts w:ascii="Arial" w:hAnsi="Arial" w:cs="Arial"/>
          <w:sz w:val="20"/>
          <w:szCs w:val="20"/>
        </w:rPr>
        <w:t>Lotz</w:t>
      </w:r>
      <w:proofErr w:type="spellEnd"/>
      <w:r w:rsidRPr="002C5238">
        <w:rPr>
          <w:rFonts w:ascii="Arial" w:hAnsi="Arial" w:cs="Arial"/>
          <w:sz w:val="20"/>
          <w:szCs w:val="20"/>
        </w:rPr>
        <w:t>, 2021). However, emerging economies present a markedly different dynamic, characterised by price sensitivity, infrastructural constraints, and cultural diversity, which collectively influence consumer decision-making (KPMG, 2022).</w:t>
      </w:r>
    </w:p>
    <w:p w14:paraId="69F87EB8" w14:textId="77777777" w:rsidR="00167CD9" w:rsidRPr="002C5238" w:rsidRDefault="00167CD9" w:rsidP="00167CD9">
      <w:pPr>
        <w:jc w:val="both"/>
        <w:rPr>
          <w:rFonts w:ascii="Arial" w:hAnsi="Arial" w:cs="Arial"/>
          <w:sz w:val="20"/>
          <w:szCs w:val="20"/>
        </w:rPr>
      </w:pPr>
      <w:r w:rsidRPr="002C5238">
        <w:rPr>
          <w:rFonts w:ascii="Arial" w:hAnsi="Arial" w:cs="Arial"/>
          <w:b/>
          <w:bCs/>
          <w:sz w:val="20"/>
          <w:szCs w:val="20"/>
        </w:rPr>
        <w:t>Consumer Behaviour in OTT Platforms</w:t>
      </w:r>
    </w:p>
    <w:p w14:paraId="1FD9FAA4" w14:textId="693323FD"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Consumer behaviour in digital streaming environments has been conceptualised through the lens of technology acceptance, perceived value, and habit formation. Venkatesh et al. (2016) argue that performance expectancy, effort expectancy, and social influence significantly shape technology adoption. In the context of emerging economies, Rai and Singh (2020) highlight that affordability and linguistic relevance are often more salient than technological ease, indicating that socio-economic factors cannot be overlooked. Similarly, cultural preferences play a pivotal role; content that aligns with </w:t>
      </w:r>
      <w:r w:rsidRPr="002C5238">
        <w:rPr>
          <w:rFonts w:ascii="Arial" w:hAnsi="Arial" w:cs="Arial"/>
          <w:sz w:val="20"/>
          <w:szCs w:val="20"/>
        </w:rPr>
        <w:lastRenderedPageBreak/>
        <w:t>local narratives, festivals, or regional languages significantly enhances engagement (Chakraborty &amp; Chatterjee, 2022).</w:t>
      </w:r>
    </w:p>
    <w:p w14:paraId="6CAF27D6" w14:textId="77777777" w:rsidR="00167CD9" w:rsidRPr="002C5238" w:rsidRDefault="00167CD9" w:rsidP="00167CD9">
      <w:pPr>
        <w:jc w:val="both"/>
        <w:rPr>
          <w:rFonts w:ascii="Arial" w:hAnsi="Arial" w:cs="Arial"/>
          <w:sz w:val="20"/>
          <w:szCs w:val="20"/>
        </w:rPr>
      </w:pPr>
      <w:r w:rsidRPr="002C5238">
        <w:rPr>
          <w:rFonts w:ascii="Arial" w:hAnsi="Arial" w:cs="Arial"/>
          <w:b/>
          <w:bCs/>
          <w:sz w:val="20"/>
          <w:szCs w:val="20"/>
        </w:rPr>
        <w:t>Pricing Strategies and Market Segmentation</w:t>
      </w:r>
    </w:p>
    <w:p w14:paraId="08711AB5" w14:textId="4B934AF3" w:rsidR="00167CD9" w:rsidRPr="002C5238" w:rsidRDefault="00167CD9" w:rsidP="00167CD9">
      <w:pPr>
        <w:jc w:val="both"/>
        <w:rPr>
          <w:rFonts w:ascii="Arial" w:hAnsi="Arial" w:cs="Arial"/>
          <w:sz w:val="20"/>
          <w:szCs w:val="20"/>
        </w:rPr>
      </w:pPr>
      <w:r w:rsidRPr="002C5238">
        <w:rPr>
          <w:rFonts w:ascii="Arial" w:hAnsi="Arial" w:cs="Arial"/>
          <w:sz w:val="20"/>
          <w:szCs w:val="20"/>
        </w:rPr>
        <w:t>Pricing remains a decisive factor in OTT adoption. Freemium models, which provide basic content access for free while monetising premium features, have emerged as a dominant strategy in price-sensitive markets (Hennig-</w:t>
      </w:r>
      <w:proofErr w:type="spellStart"/>
      <w:r w:rsidRPr="002C5238">
        <w:rPr>
          <w:rFonts w:ascii="Arial" w:hAnsi="Arial" w:cs="Arial"/>
          <w:sz w:val="20"/>
          <w:szCs w:val="20"/>
        </w:rPr>
        <w:t>Thurau</w:t>
      </w:r>
      <w:proofErr w:type="spellEnd"/>
      <w:r w:rsidRPr="002C5238">
        <w:rPr>
          <w:rFonts w:ascii="Arial" w:hAnsi="Arial" w:cs="Arial"/>
          <w:sz w:val="20"/>
          <w:szCs w:val="20"/>
        </w:rPr>
        <w:t xml:space="preserve"> et al., 2021). Tiered subscription plans allow platforms to segment consumers based on willingness to pay, while targeted promotional offers can increase initial adoption and long-term retention (PwC, 2023). Empirical evidence suggests that subscription-based services alone may not suffice in emerging markets, where a hybrid approach combining freemium and ad-supported models optimises both reach and revenue (Statista, 2023).</w:t>
      </w:r>
    </w:p>
    <w:p w14:paraId="0687B732" w14:textId="77777777" w:rsidR="00167CD9" w:rsidRPr="002C5238" w:rsidRDefault="00167CD9" w:rsidP="00167CD9">
      <w:pPr>
        <w:jc w:val="both"/>
        <w:rPr>
          <w:rFonts w:ascii="Arial" w:hAnsi="Arial" w:cs="Arial"/>
          <w:sz w:val="20"/>
          <w:szCs w:val="20"/>
        </w:rPr>
      </w:pPr>
      <w:r w:rsidRPr="002C5238">
        <w:rPr>
          <w:rFonts w:ascii="Arial" w:hAnsi="Arial" w:cs="Arial"/>
          <w:b/>
          <w:bCs/>
          <w:sz w:val="20"/>
          <w:szCs w:val="20"/>
        </w:rPr>
        <w:t>Content Preferences and Consumer Engagement</w:t>
      </w:r>
    </w:p>
    <w:p w14:paraId="761A3CE9" w14:textId="535888DF" w:rsidR="00167CD9" w:rsidRPr="002C5238" w:rsidRDefault="00167CD9" w:rsidP="00167CD9">
      <w:pPr>
        <w:jc w:val="both"/>
        <w:rPr>
          <w:rFonts w:ascii="Arial" w:hAnsi="Arial" w:cs="Arial"/>
          <w:sz w:val="20"/>
          <w:szCs w:val="20"/>
        </w:rPr>
      </w:pPr>
      <w:r w:rsidRPr="002C5238">
        <w:rPr>
          <w:rFonts w:ascii="Arial" w:hAnsi="Arial" w:cs="Arial"/>
          <w:sz w:val="20"/>
          <w:szCs w:val="20"/>
        </w:rPr>
        <w:t>Content relevance, exclusivity, and personalization are critical in influencing consumer loyalty and reducing churn. Studies indicate that culturally contextualised content drives higher engagement, particularly in linguistically diverse countries like India and Indonesia (Kaur &amp; Sharma, 2021). Moreover, binge-watching behaviour and the availability of original content contribute to perceived platform value, shaping subscription decisions (</w:t>
      </w:r>
      <w:proofErr w:type="spellStart"/>
      <w:r w:rsidRPr="002C5238">
        <w:rPr>
          <w:rFonts w:ascii="Arial" w:hAnsi="Arial" w:cs="Arial"/>
          <w:sz w:val="20"/>
          <w:szCs w:val="20"/>
        </w:rPr>
        <w:t>Lotz</w:t>
      </w:r>
      <w:proofErr w:type="spellEnd"/>
      <w:r w:rsidRPr="002C5238">
        <w:rPr>
          <w:rFonts w:ascii="Arial" w:hAnsi="Arial" w:cs="Arial"/>
          <w:sz w:val="20"/>
          <w:szCs w:val="20"/>
        </w:rPr>
        <w:t>, 2021). These findings underscore the importance of aligning content strategy with local tastes and consumption habits, beyond merely competitive pricing.</w:t>
      </w:r>
    </w:p>
    <w:p w14:paraId="3A8817DA" w14:textId="77777777" w:rsidR="00167CD9" w:rsidRPr="002C5238" w:rsidRDefault="00167CD9" w:rsidP="00167CD9">
      <w:pPr>
        <w:jc w:val="both"/>
        <w:rPr>
          <w:rFonts w:ascii="Arial" w:hAnsi="Arial" w:cs="Arial"/>
          <w:sz w:val="20"/>
          <w:szCs w:val="20"/>
        </w:rPr>
      </w:pPr>
      <w:r w:rsidRPr="002C5238">
        <w:rPr>
          <w:rFonts w:ascii="Arial" w:hAnsi="Arial" w:cs="Arial"/>
          <w:b/>
          <w:bCs/>
          <w:sz w:val="20"/>
          <w:szCs w:val="20"/>
        </w:rPr>
        <w:t>Technological and Infrastructural Factors</w:t>
      </w:r>
    </w:p>
    <w:p w14:paraId="679FA875" w14:textId="2A989490" w:rsidR="00167CD9" w:rsidRPr="002C5238" w:rsidRDefault="00167CD9" w:rsidP="00167CD9">
      <w:pPr>
        <w:jc w:val="both"/>
        <w:rPr>
          <w:rFonts w:ascii="Arial" w:hAnsi="Arial" w:cs="Arial"/>
          <w:sz w:val="20"/>
          <w:szCs w:val="20"/>
        </w:rPr>
      </w:pPr>
      <w:r w:rsidRPr="002C5238">
        <w:rPr>
          <w:rFonts w:ascii="Arial" w:hAnsi="Arial" w:cs="Arial"/>
          <w:sz w:val="20"/>
          <w:szCs w:val="20"/>
        </w:rPr>
        <w:t>Digital infrastructure, internet penetration, and device affordability remain key enablers of OTT adoption. Research by Deloitte (2022) shows that higher broadband availability correlates with increased subscription uptake, while mobile-first strategies cater effectively to consumers with limited access to desktop devices. In emerging economies, where smartphone penetration often outpaces broadband access, optimised mobile streaming and low-data consumption models have become essential (KPMG, 2022).</w:t>
      </w:r>
    </w:p>
    <w:p w14:paraId="19E9A4D7" w14:textId="77777777" w:rsidR="00167CD9" w:rsidRPr="002C5238" w:rsidRDefault="00167CD9" w:rsidP="00167CD9">
      <w:pPr>
        <w:jc w:val="both"/>
        <w:rPr>
          <w:rFonts w:ascii="Arial" w:hAnsi="Arial" w:cs="Arial"/>
          <w:sz w:val="20"/>
          <w:szCs w:val="20"/>
        </w:rPr>
      </w:pPr>
      <w:r w:rsidRPr="002C5238">
        <w:rPr>
          <w:rFonts w:ascii="Arial" w:hAnsi="Arial" w:cs="Arial"/>
          <w:b/>
          <w:bCs/>
          <w:sz w:val="20"/>
          <w:szCs w:val="20"/>
        </w:rPr>
        <w:t>Research Gaps and Emerging Insights</w:t>
      </w:r>
    </w:p>
    <w:p w14:paraId="730E8D68" w14:textId="336593AA"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 Despite growing scholarly attention, several gaps persist in the literature. Most studies focus on developed markets or examine single factors such as technology adoption or content preference independently, neglecting the interplay between pricing strategies, socio-cultural variables, and consumer behaviour in emerging economies (Rai &amp; Singh, 2020). Additionally, limited empirical evidence exists on how freemium and hybrid pricing models influence long-term retention and willingness to pay in resource-constrained settings (Hennig-</w:t>
      </w:r>
      <w:proofErr w:type="spellStart"/>
      <w:r w:rsidRPr="002C5238">
        <w:rPr>
          <w:rFonts w:ascii="Arial" w:hAnsi="Arial" w:cs="Arial"/>
          <w:sz w:val="20"/>
          <w:szCs w:val="20"/>
        </w:rPr>
        <w:t>Thurau</w:t>
      </w:r>
      <w:proofErr w:type="spellEnd"/>
      <w:r w:rsidRPr="002C5238">
        <w:rPr>
          <w:rFonts w:ascii="Arial" w:hAnsi="Arial" w:cs="Arial"/>
          <w:sz w:val="20"/>
          <w:szCs w:val="20"/>
        </w:rPr>
        <w:t xml:space="preserve"> et al., 2021). This study addresses these gaps by integrating pricing strategy, content preference, and socio-economic factors into a comprehensive framework for understanding consumer behaviour in emerging OTT markets.</w:t>
      </w:r>
    </w:p>
    <w:p w14:paraId="73AED763" w14:textId="77777777" w:rsidR="00167CD9" w:rsidRPr="002C5238" w:rsidRDefault="00167CD9" w:rsidP="00167CD9">
      <w:pPr>
        <w:jc w:val="both"/>
        <w:rPr>
          <w:rFonts w:ascii="Arial" w:hAnsi="Arial" w:cs="Arial"/>
          <w:sz w:val="20"/>
          <w:szCs w:val="20"/>
        </w:rPr>
      </w:pPr>
      <w:r w:rsidRPr="002C5238">
        <w:rPr>
          <w:rFonts w:ascii="Arial" w:hAnsi="Arial" w:cs="Arial"/>
          <w:b/>
          <w:bCs/>
          <w:sz w:val="20"/>
          <w:szCs w:val="20"/>
        </w:rPr>
        <w:t>Conclusion of Literature Review</w:t>
      </w:r>
    </w:p>
    <w:p w14:paraId="1053C71F" w14:textId="12417193" w:rsidR="00167CD9" w:rsidRPr="002C5238" w:rsidRDefault="00167CD9" w:rsidP="00167CD9">
      <w:pPr>
        <w:jc w:val="both"/>
        <w:rPr>
          <w:rFonts w:ascii="Arial" w:hAnsi="Arial" w:cs="Arial"/>
          <w:sz w:val="20"/>
          <w:szCs w:val="20"/>
        </w:rPr>
      </w:pPr>
      <w:r w:rsidRPr="002C5238">
        <w:rPr>
          <w:rFonts w:ascii="Arial" w:hAnsi="Arial" w:cs="Arial"/>
          <w:sz w:val="20"/>
          <w:szCs w:val="20"/>
        </w:rPr>
        <w:t>In summary, the literature underscores that OTT adoption in emerging economies is shaped by a confluence of pricing, content relevance, technological readiness, and cultural factors. Freemium and tiered subscription models have emerged as effective strategies to cater to heterogeneous consumer segments, while locally relevant content drives engagement and loyalty. However, the existing research remains fragmented, necessitating an integrated approach that considers economic, cultural, and technological determinants collectively. This provides a foundation for the present study’s conceptual framework, which aims to model the interrelationships between pricing strategies, content preferences, and consumer behaviour in emerging OTT markets.</w:t>
      </w:r>
    </w:p>
    <w:p w14:paraId="340015DA" w14:textId="43961852" w:rsidR="00167CD9" w:rsidRPr="002C5238" w:rsidRDefault="00167CD9" w:rsidP="00167CD9">
      <w:pPr>
        <w:jc w:val="both"/>
        <w:rPr>
          <w:rFonts w:ascii="Arial" w:hAnsi="Arial" w:cs="Arial"/>
        </w:rPr>
      </w:pPr>
    </w:p>
    <w:p w14:paraId="025314BB" w14:textId="2A69D3C0" w:rsidR="00167CD9" w:rsidRPr="002C5238" w:rsidRDefault="002C5238" w:rsidP="00167CD9">
      <w:pPr>
        <w:jc w:val="both"/>
        <w:rPr>
          <w:rFonts w:ascii="Arial" w:hAnsi="Arial" w:cs="Arial"/>
        </w:rPr>
      </w:pPr>
      <w:r>
        <w:rPr>
          <w:rFonts w:ascii="Arial" w:hAnsi="Arial" w:cs="Arial"/>
          <w:b/>
          <w:bCs/>
        </w:rPr>
        <w:t>3.</w:t>
      </w:r>
      <w:r w:rsidR="00167CD9" w:rsidRPr="002C5238">
        <w:rPr>
          <w:rFonts w:ascii="Arial" w:hAnsi="Arial" w:cs="Arial"/>
          <w:b/>
          <w:bCs/>
        </w:rPr>
        <w:t>Conceptual Framework</w:t>
      </w:r>
    </w:p>
    <w:p w14:paraId="484EF6D1"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The adoption and engagement of OTT platforms in emerging economies are influenced by an interplay of </w:t>
      </w:r>
      <w:r w:rsidRPr="002C5238">
        <w:rPr>
          <w:rFonts w:ascii="Arial" w:hAnsi="Arial" w:cs="Arial"/>
          <w:b/>
          <w:bCs/>
          <w:sz w:val="20"/>
          <w:szCs w:val="20"/>
        </w:rPr>
        <w:t>pricing strategies</w:t>
      </w:r>
      <w:r w:rsidRPr="002C5238">
        <w:rPr>
          <w:rFonts w:ascii="Arial" w:hAnsi="Arial" w:cs="Arial"/>
          <w:sz w:val="20"/>
          <w:szCs w:val="20"/>
        </w:rPr>
        <w:t xml:space="preserve">, </w:t>
      </w:r>
      <w:r w:rsidRPr="002C5238">
        <w:rPr>
          <w:rFonts w:ascii="Arial" w:hAnsi="Arial" w:cs="Arial"/>
          <w:b/>
          <w:bCs/>
          <w:sz w:val="20"/>
          <w:szCs w:val="20"/>
        </w:rPr>
        <w:t>content preferences</w:t>
      </w:r>
      <w:r w:rsidRPr="002C5238">
        <w:rPr>
          <w:rFonts w:ascii="Arial" w:hAnsi="Arial" w:cs="Arial"/>
          <w:sz w:val="20"/>
          <w:szCs w:val="20"/>
        </w:rPr>
        <w:t xml:space="preserve">, and </w:t>
      </w:r>
      <w:r w:rsidRPr="002C5238">
        <w:rPr>
          <w:rFonts w:ascii="Arial" w:hAnsi="Arial" w:cs="Arial"/>
          <w:b/>
          <w:bCs/>
          <w:sz w:val="20"/>
          <w:szCs w:val="20"/>
        </w:rPr>
        <w:t>consumer socio-economic and cultural factors</w:t>
      </w:r>
      <w:r w:rsidRPr="002C5238">
        <w:rPr>
          <w:rFonts w:ascii="Arial" w:hAnsi="Arial" w:cs="Arial"/>
          <w:sz w:val="20"/>
          <w:szCs w:val="20"/>
        </w:rPr>
        <w:t xml:space="preserve">. </w:t>
      </w:r>
      <w:r w:rsidRPr="002C5238">
        <w:rPr>
          <w:rFonts w:ascii="Arial" w:hAnsi="Arial" w:cs="Arial"/>
          <w:sz w:val="20"/>
          <w:szCs w:val="20"/>
        </w:rPr>
        <w:lastRenderedPageBreak/>
        <w:t xml:space="preserve">Drawing from the literature, the proposed conceptual framework posits that these factors jointly determine </w:t>
      </w:r>
      <w:r w:rsidRPr="002C5238">
        <w:rPr>
          <w:rFonts w:ascii="Arial" w:hAnsi="Arial" w:cs="Arial"/>
          <w:b/>
          <w:bCs/>
          <w:sz w:val="20"/>
          <w:szCs w:val="20"/>
        </w:rPr>
        <w:t>consumer adoption</w:t>
      </w:r>
      <w:r w:rsidRPr="002C5238">
        <w:rPr>
          <w:rFonts w:ascii="Arial" w:hAnsi="Arial" w:cs="Arial"/>
          <w:sz w:val="20"/>
          <w:szCs w:val="20"/>
        </w:rPr>
        <w:t xml:space="preserve">, </w:t>
      </w:r>
      <w:r w:rsidRPr="002C5238">
        <w:rPr>
          <w:rFonts w:ascii="Arial" w:hAnsi="Arial" w:cs="Arial"/>
          <w:b/>
          <w:bCs/>
          <w:sz w:val="20"/>
          <w:szCs w:val="20"/>
        </w:rPr>
        <w:t>retention</w:t>
      </w:r>
      <w:r w:rsidRPr="002C5238">
        <w:rPr>
          <w:rFonts w:ascii="Arial" w:hAnsi="Arial" w:cs="Arial"/>
          <w:sz w:val="20"/>
          <w:szCs w:val="20"/>
        </w:rPr>
        <w:t xml:space="preserve">, and </w:t>
      </w:r>
      <w:r w:rsidRPr="002C5238">
        <w:rPr>
          <w:rFonts w:ascii="Arial" w:hAnsi="Arial" w:cs="Arial"/>
          <w:b/>
          <w:bCs/>
          <w:sz w:val="20"/>
          <w:szCs w:val="20"/>
        </w:rPr>
        <w:t>willingness to pay</w:t>
      </w:r>
      <w:r w:rsidRPr="002C5238">
        <w:rPr>
          <w:rFonts w:ascii="Arial" w:hAnsi="Arial" w:cs="Arial"/>
          <w:sz w:val="20"/>
          <w:szCs w:val="20"/>
        </w:rPr>
        <w:t>.</w:t>
      </w:r>
    </w:p>
    <w:p w14:paraId="185F8234" w14:textId="35919F0C" w:rsidR="00167CD9" w:rsidRPr="002C5238" w:rsidRDefault="00167CD9" w:rsidP="00167CD9">
      <w:pPr>
        <w:numPr>
          <w:ilvl w:val="0"/>
          <w:numId w:val="2"/>
        </w:numPr>
        <w:jc w:val="both"/>
        <w:rPr>
          <w:rFonts w:ascii="Arial" w:hAnsi="Arial" w:cs="Arial"/>
          <w:sz w:val="20"/>
          <w:szCs w:val="20"/>
        </w:rPr>
      </w:pPr>
      <w:r w:rsidRPr="002C5238">
        <w:rPr>
          <w:rFonts w:ascii="Arial" w:hAnsi="Arial" w:cs="Arial"/>
          <w:b/>
          <w:bCs/>
          <w:sz w:val="20"/>
          <w:szCs w:val="20"/>
        </w:rPr>
        <w:t>Pricing Strategies</w:t>
      </w:r>
      <w:r w:rsidRPr="002C5238">
        <w:rPr>
          <w:rFonts w:ascii="Arial" w:hAnsi="Arial" w:cs="Arial"/>
          <w:sz w:val="20"/>
          <w:szCs w:val="20"/>
        </w:rPr>
        <w:t xml:space="preserve">: Pricing mechanisms in OTT platforms include </w:t>
      </w:r>
      <w:r w:rsidRPr="002C5238">
        <w:rPr>
          <w:rFonts w:ascii="Arial" w:hAnsi="Arial" w:cs="Arial"/>
          <w:b/>
          <w:bCs/>
          <w:sz w:val="20"/>
          <w:szCs w:val="20"/>
        </w:rPr>
        <w:t>subscription-based</w:t>
      </w:r>
      <w:r w:rsidRPr="002C5238">
        <w:rPr>
          <w:rFonts w:ascii="Arial" w:hAnsi="Arial" w:cs="Arial"/>
          <w:sz w:val="20"/>
          <w:szCs w:val="20"/>
        </w:rPr>
        <w:t xml:space="preserve">, </w:t>
      </w:r>
      <w:r w:rsidRPr="002C5238">
        <w:rPr>
          <w:rFonts w:ascii="Arial" w:hAnsi="Arial" w:cs="Arial"/>
          <w:b/>
          <w:bCs/>
          <w:sz w:val="20"/>
          <w:szCs w:val="20"/>
        </w:rPr>
        <w:t>freemium</w:t>
      </w:r>
      <w:r w:rsidRPr="002C5238">
        <w:rPr>
          <w:rFonts w:ascii="Arial" w:hAnsi="Arial" w:cs="Arial"/>
          <w:sz w:val="20"/>
          <w:szCs w:val="20"/>
        </w:rPr>
        <w:t xml:space="preserve">, and </w:t>
      </w:r>
      <w:r w:rsidRPr="002C5238">
        <w:rPr>
          <w:rFonts w:ascii="Arial" w:hAnsi="Arial" w:cs="Arial"/>
          <w:b/>
          <w:bCs/>
          <w:sz w:val="20"/>
          <w:szCs w:val="20"/>
        </w:rPr>
        <w:t>tiered models</w:t>
      </w:r>
      <w:r w:rsidRPr="002C5238">
        <w:rPr>
          <w:rFonts w:ascii="Arial" w:hAnsi="Arial" w:cs="Arial"/>
          <w:sz w:val="20"/>
          <w:szCs w:val="20"/>
        </w:rPr>
        <w:t>. Empirical studies indicate that affordability and pricing flexibility directly impact adoption, particularly in price-sensitive markets (Hennig-</w:t>
      </w:r>
      <w:proofErr w:type="spellStart"/>
      <w:r w:rsidRPr="002C5238">
        <w:rPr>
          <w:rFonts w:ascii="Arial" w:hAnsi="Arial" w:cs="Arial"/>
          <w:sz w:val="20"/>
          <w:szCs w:val="20"/>
        </w:rPr>
        <w:t>Thurau</w:t>
      </w:r>
      <w:proofErr w:type="spellEnd"/>
      <w:r w:rsidRPr="002C5238">
        <w:rPr>
          <w:rFonts w:ascii="Arial" w:hAnsi="Arial" w:cs="Arial"/>
          <w:sz w:val="20"/>
          <w:szCs w:val="20"/>
        </w:rPr>
        <w:t xml:space="preserve"> et al., 2021; Rai &amp; Singh, 2020).</w:t>
      </w:r>
    </w:p>
    <w:p w14:paraId="2312B9F1" w14:textId="4BAD1EC3" w:rsidR="00167CD9" w:rsidRPr="002C5238" w:rsidRDefault="00167CD9" w:rsidP="00167CD9">
      <w:pPr>
        <w:numPr>
          <w:ilvl w:val="0"/>
          <w:numId w:val="2"/>
        </w:numPr>
        <w:jc w:val="both"/>
        <w:rPr>
          <w:rFonts w:ascii="Arial" w:hAnsi="Arial" w:cs="Arial"/>
          <w:sz w:val="20"/>
          <w:szCs w:val="20"/>
        </w:rPr>
      </w:pPr>
      <w:r w:rsidRPr="002C5238">
        <w:rPr>
          <w:rFonts w:ascii="Arial" w:hAnsi="Arial" w:cs="Arial"/>
          <w:b/>
          <w:bCs/>
          <w:sz w:val="20"/>
          <w:szCs w:val="20"/>
        </w:rPr>
        <w:t>Content Preferences</w:t>
      </w:r>
      <w:r w:rsidRPr="002C5238">
        <w:rPr>
          <w:rFonts w:ascii="Arial" w:hAnsi="Arial" w:cs="Arial"/>
          <w:sz w:val="20"/>
          <w:szCs w:val="20"/>
        </w:rPr>
        <w:t xml:space="preserve">: Consumer engagement is significantly influenced by </w:t>
      </w:r>
      <w:r w:rsidRPr="002C5238">
        <w:rPr>
          <w:rFonts w:ascii="Arial" w:hAnsi="Arial" w:cs="Arial"/>
          <w:b/>
          <w:bCs/>
          <w:sz w:val="20"/>
          <w:szCs w:val="20"/>
        </w:rPr>
        <w:t>content relevance</w:t>
      </w:r>
      <w:r w:rsidRPr="002C5238">
        <w:rPr>
          <w:rFonts w:ascii="Arial" w:hAnsi="Arial" w:cs="Arial"/>
          <w:sz w:val="20"/>
          <w:szCs w:val="20"/>
        </w:rPr>
        <w:t xml:space="preserve">, </w:t>
      </w:r>
      <w:r w:rsidRPr="002C5238">
        <w:rPr>
          <w:rFonts w:ascii="Arial" w:hAnsi="Arial" w:cs="Arial"/>
          <w:b/>
          <w:bCs/>
          <w:sz w:val="20"/>
          <w:szCs w:val="20"/>
        </w:rPr>
        <w:t>cultural alignment</w:t>
      </w:r>
      <w:r w:rsidRPr="002C5238">
        <w:rPr>
          <w:rFonts w:ascii="Arial" w:hAnsi="Arial" w:cs="Arial"/>
          <w:sz w:val="20"/>
          <w:szCs w:val="20"/>
        </w:rPr>
        <w:t xml:space="preserve">, and </w:t>
      </w:r>
      <w:r w:rsidRPr="002C5238">
        <w:rPr>
          <w:rFonts w:ascii="Arial" w:hAnsi="Arial" w:cs="Arial"/>
          <w:b/>
          <w:bCs/>
          <w:sz w:val="20"/>
          <w:szCs w:val="20"/>
        </w:rPr>
        <w:t>exclusive offerings</w:t>
      </w:r>
      <w:r w:rsidRPr="002C5238">
        <w:rPr>
          <w:rFonts w:ascii="Arial" w:hAnsi="Arial" w:cs="Arial"/>
          <w:sz w:val="20"/>
          <w:szCs w:val="20"/>
        </w:rPr>
        <w:t>. Content that resonates with local narratives, languages, and consumption habits enhances perceived value and reduces churn (Chakraborty &amp; Chatterjee, 2022; Kaur &amp; Sharma, 2021).</w:t>
      </w:r>
    </w:p>
    <w:p w14:paraId="20741D1B" w14:textId="5738F9D6" w:rsidR="00167CD9" w:rsidRPr="002C5238" w:rsidRDefault="00167CD9" w:rsidP="00167CD9">
      <w:pPr>
        <w:numPr>
          <w:ilvl w:val="0"/>
          <w:numId w:val="2"/>
        </w:numPr>
        <w:jc w:val="both"/>
        <w:rPr>
          <w:rFonts w:ascii="Arial" w:hAnsi="Arial" w:cs="Arial"/>
          <w:sz w:val="20"/>
          <w:szCs w:val="20"/>
        </w:rPr>
      </w:pPr>
      <w:r w:rsidRPr="002C5238">
        <w:rPr>
          <w:rFonts w:ascii="Arial" w:hAnsi="Arial" w:cs="Arial"/>
          <w:b/>
          <w:bCs/>
          <w:sz w:val="20"/>
          <w:szCs w:val="20"/>
        </w:rPr>
        <w:t>Socio-Economic and Cultural Factors</w:t>
      </w:r>
      <w:r w:rsidRPr="002C5238">
        <w:rPr>
          <w:rFonts w:ascii="Arial" w:hAnsi="Arial" w:cs="Arial"/>
          <w:sz w:val="20"/>
          <w:szCs w:val="20"/>
        </w:rPr>
        <w:t>: Income levels, digital literacy, and cultural norms moderate the relationships between pricing/content and consumer behaviour. Higher-income consumers may prioritise exclusive content, while lower-income segments are more sensitive to pricing and freemium options (KPMG, 2022).</w:t>
      </w:r>
    </w:p>
    <w:p w14:paraId="218D6462" w14:textId="7731EDF2" w:rsidR="00167CD9" w:rsidRPr="002C5238" w:rsidRDefault="00167CD9" w:rsidP="00167CD9">
      <w:pPr>
        <w:numPr>
          <w:ilvl w:val="0"/>
          <w:numId w:val="2"/>
        </w:numPr>
        <w:jc w:val="both"/>
        <w:rPr>
          <w:rFonts w:ascii="Arial" w:hAnsi="Arial" w:cs="Arial"/>
          <w:sz w:val="20"/>
          <w:szCs w:val="20"/>
        </w:rPr>
      </w:pPr>
      <w:r w:rsidRPr="002C5238">
        <w:rPr>
          <w:rFonts w:ascii="Arial" w:hAnsi="Arial" w:cs="Arial"/>
          <w:b/>
          <w:bCs/>
          <w:sz w:val="20"/>
          <w:szCs w:val="20"/>
        </w:rPr>
        <w:t>Consumer Behaviour Outcomes</w:t>
      </w:r>
      <w:r w:rsidRPr="002C5238">
        <w:rPr>
          <w:rFonts w:ascii="Arial" w:hAnsi="Arial" w:cs="Arial"/>
          <w:sz w:val="20"/>
          <w:szCs w:val="20"/>
        </w:rPr>
        <w:t xml:space="preserve">: The dependent variables include </w:t>
      </w:r>
      <w:r w:rsidRPr="002C5238">
        <w:rPr>
          <w:rFonts w:ascii="Arial" w:hAnsi="Arial" w:cs="Arial"/>
          <w:b/>
          <w:bCs/>
          <w:sz w:val="20"/>
          <w:szCs w:val="20"/>
        </w:rPr>
        <w:t>adoption intention</w:t>
      </w:r>
      <w:r w:rsidRPr="002C5238">
        <w:rPr>
          <w:rFonts w:ascii="Arial" w:hAnsi="Arial" w:cs="Arial"/>
          <w:sz w:val="20"/>
          <w:szCs w:val="20"/>
        </w:rPr>
        <w:t xml:space="preserve">, </w:t>
      </w:r>
      <w:r w:rsidRPr="002C5238">
        <w:rPr>
          <w:rFonts w:ascii="Arial" w:hAnsi="Arial" w:cs="Arial"/>
          <w:b/>
          <w:bCs/>
          <w:sz w:val="20"/>
          <w:szCs w:val="20"/>
        </w:rPr>
        <w:t>subscription uptake</w:t>
      </w:r>
      <w:r w:rsidRPr="002C5238">
        <w:rPr>
          <w:rFonts w:ascii="Arial" w:hAnsi="Arial" w:cs="Arial"/>
          <w:sz w:val="20"/>
          <w:szCs w:val="20"/>
        </w:rPr>
        <w:t xml:space="preserve">, </w:t>
      </w:r>
      <w:r w:rsidRPr="002C5238">
        <w:rPr>
          <w:rFonts w:ascii="Arial" w:hAnsi="Arial" w:cs="Arial"/>
          <w:b/>
          <w:bCs/>
          <w:sz w:val="20"/>
          <w:szCs w:val="20"/>
        </w:rPr>
        <w:t>retention</w:t>
      </w:r>
      <w:r w:rsidRPr="002C5238">
        <w:rPr>
          <w:rFonts w:ascii="Arial" w:hAnsi="Arial" w:cs="Arial"/>
          <w:sz w:val="20"/>
          <w:szCs w:val="20"/>
        </w:rPr>
        <w:t xml:space="preserve">, and </w:t>
      </w:r>
      <w:r w:rsidRPr="002C5238">
        <w:rPr>
          <w:rFonts w:ascii="Arial" w:hAnsi="Arial" w:cs="Arial"/>
          <w:b/>
          <w:bCs/>
          <w:sz w:val="20"/>
          <w:szCs w:val="20"/>
        </w:rPr>
        <w:t>willingness to pay</w:t>
      </w:r>
      <w:r w:rsidRPr="002C5238">
        <w:rPr>
          <w:rFonts w:ascii="Arial" w:hAnsi="Arial" w:cs="Arial"/>
          <w:sz w:val="20"/>
          <w:szCs w:val="20"/>
        </w:rPr>
        <w:t>. These outcomes are influenced both directly by pricing and content, and indirectly through socio-economic and cultural factors.</w:t>
      </w:r>
    </w:p>
    <w:p w14:paraId="4850D9B2" w14:textId="77777777" w:rsidR="00167CD9" w:rsidRPr="002C5238" w:rsidRDefault="00167CD9" w:rsidP="00167CD9">
      <w:pPr>
        <w:jc w:val="both"/>
        <w:rPr>
          <w:rFonts w:ascii="Arial" w:hAnsi="Arial" w:cs="Arial"/>
          <w:sz w:val="20"/>
          <w:szCs w:val="20"/>
        </w:rPr>
      </w:pPr>
      <w:r w:rsidRPr="002C5238">
        <w:rPr>
          <w:rFonts w:ascii="Arial" w:hAnsi="Arial" w:cs="Arial"/>
          <w:b/>
          <w:bCs/>
          <w:sz w:val="20"/>
          <w:szCs w:val="20"/>
        </w:rPr>
        <w:t>Hypotheses Development</w:t>
      </w:r>
    </w:p>
    <w:p w14:paraId="60BC5030"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Based on the framework, the following hypotheses are proposed:</w:t>
      </w:r>
    </w:p>
    <w:p w14:paraId="335D2910" w14:textId="77777777" w:rsidR="00167CD9" w:rsidRPr="002C5238" w:rsidRDefault="00167CD9" w:rsidP="00167CD9">
      <w:pPr>
        <w:numPr>
          <w:ilvl w:val="0"/>
          <w:numId w:val="3"/>
        </w:numPr>
        <w:jc w:val="both"/>
        <w:rPr>
          <w:rFonts w:ascii="Arial" w:hAnsi="Arial" w:cs="Arial"/>
          <w:sz w:val="20"/>
          <w:szCs w:val="20"/>
        </w:rPr>
      </w:pPr>
      <w:r w:rsidRPr="002C5238">
        <w:rPr>
          <w:rFonts w:ascii="Arial" w:hAnsi="Arial" w:cs="Arial"/>
          <w:b/>
          <w:bCs/>
          <w:sz w:val="20"/>
          <w:szCs w:val="20"/>
        </w:rPr>
        <w:t>H1:</w:t>
      </w:r>
      <w:r w:rsidRPr="002C5238">
        <w:rPr>
          <w:rFonts w:ascii="Arial" w:hAnsi="Arial" w:cs="Arial"/>
          <w:sz w:val="20"/>
          <w:szCs w:val="20"/>
        </w:rPr>
        <w:t xml:space="preserve"> Pricing strategies (subscription, freemium, tiered) positively influence consumer adoption in emerging economies.</w:t>
      </w:r>
    </w:p>
    <w:p w14:paraId="17FD2CAC" w14:textId="77777777" w:rsidR="00167CD9" w:rsidRPr="002C5238" w:rsidRDefault="00167CD9" w:rsidP="00167CD9">
      <w:pPr>
        <w:numPr>
          <w:ilvl w:val="0"/>
          <w:numId w:val="3"/>
        </w:numPr>
        <w:jc w:val="both"/>
        <w:rPr>
          <w:rFonts w:ascii="Arial" w:hAnsi="Arial" w:cs="Arial"/>
          <w:sz w:val="20"/>
          <w:szCs w:val="20"/>
        </w:rPr>
      </w:pPr>
      <w:r w:rsidRPr="002C5238">
        <w:rPr>
          <w:rFonts w:ascii="Arial" w:hAnsi="Arial" w:cs="Arial"/>
          <w:b/>
          <w:bCs/>
          <w:sz w:val="20"/>
          <w:szCs w:val="20"/>
        </w:rPr>
        <w:t>H2:</w:t>
      </w:r>
      <w:r w:rsidRPr="002C5238">
        <w:rPr>
          <w:rFonts w:ascii="Arial" w:hAnsi="Arial" w:cs="Arial"/>
          <w:sz w:val="20"/>
          <w:szCs w:val="20"/>
        </w:rPr>
        <w:t xml:space="preserve"> Content preferences (cultural relevance, exclusive content) positively influence consumer adoption.</w:t>
      </w:r>
    </w:p>
    <w:p w14:paraId="66A77E80" w14:textId="77777777" w:rsidR="00167CD9" w:rsidRPr="002C5238" w:rsidRDefault="00167CD9" w:rsidP="00167CD9">
      <w:pPr>
        <w:numPr>
          <w:ilvl w:val="0"/>
          <w:numId w:val="3"/>
        </w:numPr>
        <w:jc w:val="both"/>
        <w:rPr>
          <w:rFonts w:ascii="Arial" w:hAnsi="Arial" w:cs="Arial"/>
          <w:sz w:val="20"/>
          <w:szCs w:val="20"/>
        </w:rPr>
      </w:pPr>
      <w:r w:rsidRPr="002C5238">
        <w:rPr>
          <w:rFonts w:ascii="Arial" w:hAnsi="Arial" w:cs="Arial"/>
          <w:b/>
          <w:bCs/>
          <w:sz w:val="20"/>
          <w:szCs w:val="20"/>
        </w:rPr>
        <w:t>H3:</w:t>
      </w:r>
      <w:r w:rsidRPr="002C5238">
        <w:rPr>
          <w:rFonts w:ascii="Arial" w:hAnsi="Arial" w:cs="Arial"/>
          <w:sz w:val="20"/>
          <w:szCs w:val="20"/>
        </w:rPr>
        <w:t xml:space="preserve"> Socio-economic factors (income, education, digital literacy) moderate the relationship between pricing strategies and consumer adoption.</w:t>
      </w:r>
    </w:p>
    <w:p w14:paraId="42ACE14C" w14:textId="77777777" w:rsidR="00167CD9" w:rsidRPr="002C5238" w:rsidRDefault="00167CD9" w:rsidP="00167CD9">
      <w:pPr>
        <w:numPr>
          <w:ilvl w:val="0"/>
          <w:numId w:val="3"/>
        </w:numPr>
        <w:jc w:val="both"/>
        <w:rPr>
          <w:rFonts w:ascii="Arial" w:hAnsi="Arial" w:cs="Arial"/>
          <w:sz w:val="20"/>
          <w:szCs w:val="20"/>
        </w:rPr>
      </w:pPr>
      <w:r w:rsidRPr="002C5238">
        <w:rPr>
          <w:rFonts w:ascii="Arial" w:hAnsi="Arial" w:cs="Arial"/>
          <w:b/>
          <w:bCs/>
          <w:sz w:val="20"/>
          <w:szCs w:val="20"/>
        </w:rPr>
        <w:t>H4:</w:t>
      </w:r>
      <w:r w:rsidRPr="002C5238">
        <w:rPr>
          <w:rFonts w:ascii="Arial" w:hAnsi="Arial" w:cs="Arial"/>
          <w:sz w:val="20"/>
          <w:szCs w:val="20"/>
        </w:rPr>
        <w:t xml:space="preserve"> Socio-cultural factors (language, cultural affinity) moderate the relationship between content preferences and consumer adoption.</w:t>
      </w:r>
    </w:p>
    <w:p w14:paraId="7D4BF08E" w14:textId="77777777" w:rsidR="00167CD9" w:rsidRPr="002C5238" w:rsidRDefault="00167CD9" w:rsidP="00167CD9">
      <w:pPr>
        <w:numPr>
          <w:ilvl w:val="0"/>
          <w:numId w:val="3"/>
        </w:numPr>
        <w:jc w:val="both"/>
        <w:rPr>
          <w:rFonts w:ascii="Arial" w:hAnsi="Arial" w:cs="Arial"/>
          <w:sz w:val="20"/>
          <w:szCs w:val="20"/>
        </w:rPr>
      </w:pPr>
      <w:r w:rsidRPr="002C5238">
        <w:rPr>
          <w:rFonts w:ascii="Arial" w:hAnsi="Arial" w:cs="Arial"/>
          <w:b/>
          <w:bCs/>
          <w:sz w:val="20"/>
          <w:szCs w:val="20"/>
        </w:rPr>
        <w:t>H5:</w:t>
      </w:r>
      <w:r w:rsidRPr="002C5238">
        <w:rPr>
          <w:rFonts w:ascii="Arial" w:hAnsi="Arial" w:cs="Arial"/>
          <w:sz w:val="20"/>
          <w:szCs w:val="20"/>
        </w:rPr>
        <w:t xml:space="preserve"> Consumer adoption positively influences retention and willingness to pay.</w:t>
      </w:r>
    </w:p>
    <w:p w14:paraId="0FD3C9E4" w14:textId="77777777" w:rsidR="00167CD9" w:rsidRPr="002C5238" w:rsidRDefault="00167CD9" w:rsidP="00167CD9">
      <w:pPr>
        <w:jc w:val="both"/>
        <w:rPr>
          <w:rFonts w:ascii="Arial" w:hAnsi="Arial" w:cs="Arial"/>
          <w:b/>
          <w:bCs/>
          <w:sz w:val="20"/>
          <w:szCs w:val="20"/>
        </w:rPr>
      </w:pPr>
    </w:p>
    <w:p w14:paraId="2B253536" w14:textId="45475C28" w:rsidR="00167CD9" w:rsidRPr="002C5238" w:rsidRDefault="00167CD9" w:rsidP="00167CD9">
      <w:pPr>
        <w:jc w:val="center"/>
        <w:rPr>
          <w:rFonts w:ascii="Arial" w:hAnsi="Arial" w:cs="Arial"/>
          <w:b/>
          <w:bCs/>
        </w:rPr>
      </w:pPr>
      <w:r w:rsidRPr="002C5238">
        <w:rPr>
          <w:rFonts w:ascii="Arial" w:hAnsi="Arial" w:cs="Arial"/>
          <w:b/>
          <w:bCs/>
          <w:noProof/>
        </w:rPr>
        <w:drawing>
          <wp:inline distT="0" distB="0" distL="0" distR="0" wp14:anchorId="5010334D" wp14:editId="7E7EC413">
            <wp:extent cx="2647950" cy="2647950"/>
            <wp:effectExtent l="0" t="0" r="0" b="0"/>
            <wp:docPr id="205285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54603" name="Picture 20528546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inline>
        </w:drawing>
      </w:r>
    </w:p>
    <w:p w14:paraId="26806FB9" w14:textId="77777777" w:rsidR="00167CD9" w:rsidRPr="002C5238" w:rsidRDefault="00167CD9" w:rsidP="00167CD9">
      <w:pPr>
        <w:jc w:val="center"/>
        <w:rPr>
          <w:rFonts w:ascii="Arial" w:hAnsi="Arial" w:cs="Arial"/>
        </w:rPr>
      </w:pPr>
      <w:r w:rsidRPr="002C5238">
        <w:rPr>
          <w:rFonts w:ascii="Arial" w:hAnsi="Arial" w:cs="Arial"/>
          <w:b/>
          <w:bCs/>
        </w:rPr>
        <w:t>Figure 1: Conceptual Framework</w:t>
      </w:r>
    </w:p>
    <w:p w14:paraId="75E55772" w14:textId="284ADAE2" w:rsidR="00167CD9" w:rsidRPr="002C5238" w:rsidRDefault="00167CD9" w:rsidP="00167CD9">
      <w:pPr>
        <w:jc w:val="center"/>
        <w:rPr>
          <w:rFonts w:ascii="Arial" w:hAnsi="Arial" w:cs="Arial"/>
          <w:b/>
          <w:bCs/>
        </w:rPr>
      </w:pPr>
    </w:p>
    <w:p w14:paraId="1D5CE53A" w14:textId="6A64211D" w:rsidR="00167CD9" w:rsidRPr="002C5238" w:rsidRDefault="00167CD9" w:rsidP="00167CD9">
      <w:pPr>
        <w:jc w:val="both"/>
        <w:rPr>
          <w:rFonts w:ascii="Arial" w:hAnsi="Arial" w:cs="Arial"/>
        </w:rPr>
      </w:pPr>
      <w:r w:rsidRPr="002C5238">
        <w:rPr>
          <w:rFonts w:ascii="Arial" w:hAnsi="Arial" w:cs="Arial"/>
        </w:rPr>
        <w:t>This framework integrates the literature on OTT adoption in emerging economies, linking market strategies with behavioural outcomes and contextual moderators. It provides a clear roadmap for empirical analysis, guiding survey design, measurement, and statistical testing.</w:t>
      </w:r>
    </w:p>
    <w:p w14:paraId="0FD29ACB" w14:textId="16A0CF6C" w:rsidR="00167CD9" w:rsidRPr="002C5238" w:rsidRDefault="002C5238" w:rsidP="00167CD9">
      <w:pPr>
        <w:jc w:val="both"/>
        <w:rPr>
          <w:rFonts w:ascii="Arial" w:hAnsi="Arial" w:cs="Arial"/>
        </w:rPr>
      </w:pPr>
      <w:r>
        <w:rPr>
          <w:rFonts w:ascii="Arial" w:hAnsi="Arial" w:cs="Arial"/>
          <w:b/>
          <w:bCs/>
        </w:rPr>
        <w:t>4.</w:t>
      </w:r>
      <w:r w:rsidR="00167CD9" w:rsidRPr="002C5238">
        <w:rPr>
          <w:rFonts w:ascii="Arial" w:hAnsi="Arial" w:cs="Arial"/>
          <w:b/>
          <w:bCs/>
        </w:rPr>
        <w:t>Methodology</w:t>
      </w:r>
    </w:p>
    <w:p w14:paraId="6A9252F2" w14:textId="77777777" w:rsidR="002C5238" w:rsidRPr="002C5238" w:rsidRDefault="00167CD9" w:rsidP="00167CD9">
      <w:pPr>
        <w:jc w:val="both"/>
        <w:rPr>
          <w:rFonts w:ascii="Arial" w:hAnsi="Arial" w:cs="Arial"/>
          <w:sz w:val="20"/>
          <w:szCs w:val="20"/>
        </w:rPr>
      </w:pPr>
      <w:r w:rsidRPr="002C5238">
        <w:rPr>
          <w:rFonts w:ascii="Arial" w:hAnsi="Arial" w:cs="Arial"/>
          <w:b/>
          <w:bCs/>
          <w:sz w:val="20"/>
          <w:szCs w:val="20"/>
        </w:rPr>
        <w:t>Research Design</w:t>
      </w:r>
    </w:p>
    <w:p w14:paraId="1D89247B" w14:textId="71F1F6B4"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This study employs a </w:t>
      </w:r>
      <w:r w:rsidRPr="002C5238">
        <w:rPr>
          <w:rFonts w:ascii="Arial" w:hAnsi="Arial" w:cs="Arial"/>
          <w:b/>
          <w:bCs/>
          <w:sz w:val="20"/>
          <w:szCs w:val="20"/>
        </w:rPr>
        <w:t>quantitative research design</w:t>
      </w:r>
      <w:r w:rsidRPr="002C5238">
        <w:rPr>
          <w:rFonts w:ascii="Arial" w:hAnsi="Arial" w:cs="Arial"/>
          <w:sz w:val="20"/>
          <w:szCs w:val="20"/>
        </w:rPr>
        <w:t xml:space="preserve"> complemented by secondary market insights, adopting a </w:t>
      </w:r>
      <w:r w:rsidRPr="002C5238">
        <w:rPr>
          <w:rFonts w:ascii="Arial" w:hAnsi="Arial" w:cs="Arial"/>
          <w:b/>
          <w:bCs/>
          <w:sz w:val="20"/>
          <w:szCs w:val="20"/>
        </w:rPr>
        <w:t>cross-sectional survey approach</w:t>
      </w:r>
      <w:r w:rsidRPr="002C5238">
        <w:rPr>
          <w:rFonts w:ascii="Arial" w:hAnsi="Arial" w:cs="Arial"/>
          <w:sz w:val="20"/>
          <w:szCs w:val="20"/>
        </w:rPr>
        <w:t xml:space="preserve"> to investigate consumer behaviour towards OTT platforms in emerging economies. The research is </w:t>
      </w:r>
      <w:r w:rsidRPr="002C5238">
        <w:rPr>
          <w:rFonts w:ascii="Arial" w:hAnsi="Arial" w:cs="Arial"/>
          <w:b/>
          <w:bCs/>
          <w:sz w:val="20"/>
          <w:szCs w:val="20"/>
        </w:rPr>
        <w:t>descriptive and explanatory</w:t>
      </w:r>
      <w:r w:rsidRPr="002C5238">
        <w:rPr>
          <w:rFonts w:ascii="Arial" w:hAnsi="Arial" w:cs="Arial"/>
          <w:sz w:val="20"/>
          <w:szCs w:val="20"/>
        </w:rPr>
        <w:t>, aiming to identify determinants of adoption, retention, and willingness to pay, while testing the influence of pricing strategies, content preferences, and socio-economic/cultural moderators.</w:t>
      </w:r>
    </w:p>
    <w:p w14:paraId="338AAEE4" w14:textId="77777777" w:rsidR="002C5238" w:rsidRPr="002C5238" w:rsidRDefault="00167CD9" w:rsidP="00167CD9">
      <w:pPr>
        <w:jc w:val="both"/>
        <w:rPr>
          <w:rFonts w:ascii="Arial" w:hAnsi="Arial" w:cs="Arial"/>
          <w:sz w:val="20"/>
          <w:szCs w:val="20"/>
        </w:rPr>
      </w:pPr>
      <w:r w:rsidRPr="002C5238">
        <w:rPr>
          <w:rFonts w:ascii="Arial" w:hAnsi="Arial" w:cs="Arial"/>
          <w:b/>
          <w:bCs/>
          <w:sz w:val="20"/>
          <w:szCs w:val="20"/>
        </w:rPr>
        <w:t>Population and Sample</w:t>
      </w:r>
    </w:p>
    <w:p w14:paraId="31494825" w14:textId="2AC3C5DE"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The target population comprises </w:t>
      </w:r>
      <w:r w:rsidRPr="002C5238">
        <w:rPr>
          <w:rFonts w:ascii="Arial" w:hAnsi="Arial" w:cs="Arial"/>
          <w:b/>
          <w:bCs/>
          <w:sz w:val="20"/>
          <w:szCs w:val="20"/>
        </w:rPr>
        <w:t>active OTT users aged 18–50</w:t>
      </w:r>
      <w:r w:rsidRPr="002C5238">
        <w:rPr>
          <w:rFonts w:ascii="Arial" w:hAnsi="Arial" w:cs="Arial"/>
          <w:sz w:val="20"/>
          <w:szCs w:val="20"/>
        </w:rPr>
        <w:t xml:space="preserve"> in emerging economies, specifically India, Brazil, and Indonesia, which collectively represent a diverse socio-cultural and economic landscape. Given the heterogeneity of the population, a </w:t>
      </w:r>
      <w:r w:rsidRPr="002C5238">
        <w:rPr>
          <w:rFonts w:ascii="Arial" w:hAnsi="Arial" w:cs="Arial"/>
          <w:b/>
          <w:bCs/>
          <w:sz w:val="20"/>
          <w:szCs w:val="20"/>
        </w:rPr>
        <w:t>stratified random sampling technique</w:t>
      </w:r>
      <w:r w:rsidRPr="002C5238">
        <w:rPr>
          <w:rFonts w:ascii="Arial" w:hAnsi="Arial" w:cs="Arial"/>
          <w:sz w:val="20"/>
          <w:szCs w:val="20"/>
        </w:rPr>
        <w:t xml:space="preserve"> is employed, stratifying respondents based on </w:t>
      </w:r>
      <w:r w:rsidRPr="002C5238">
        <w:rPr>
          <w:rFonts w:ascii="Arial" w:hAnsi="Arial" w:cs="Arial"/>
          <w:b/>
          <w:bCs/>
          <w:sz w:val="20"/>
          <w:szCs w:val="20"/>
        </w:rPr>
        <w:t>age, income level, and urban/rural residence</w:t>
      </w:r>
      <w:r w:rsidRPr="002C5238">
        <w:rPr>
          <w:rFonts w:ascii="Arial" w:hAnsi="Arial" w:cs="Arial"/>
          <w:sz w:val="20"/>
          <w:szCs w:val="20"/>
        </w:rPr>
        <w:t>. This ensures representation across key socio-economic segments.</w:t>
      </w:r>
    </w:p>
    <w:p w14:paraId="63617587"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The </w:t>
      </w:r>
      <w:r w:rsidRPr="002C5238">
        <w:rPr>
          <w:rFonts w:ascii="Arial" w:hAnsi="Arial" w:cs="Arial"/>
          <w:b/>
          <w:bCs/>
          <w:sz w:val="20"/>
          <w:szCs w:val="20"/>
        </w:rPr>
        <w:t>sample size</w:t>
      </w:r>
      <w:r w:rsidRPr="002C5238">
        <w:rPr>
          <w:rFonts w:ascii="Arial" w:hAnsi="Arial" w:cs="Arial"/>
          <w:sz w:val="20"/>
          <w:szCs w:val="20"/>
        </w:rPr>
        <w:t xml:space="preserve"> is determined using the formula for finite population proportions:</w:t>
      </w:r>
    </w:p>
    <w:p w14:paraId="210BDDEF" w14:textId="3DACE2AC" w:rsidR="00167CD9" w:rsidRPr="002C5238" w:rsidRDefault="00167CD9" w:rsidP="00167CD9">
      <w:pPr>
        <w:jc w:val="center"/>
        <w:rPr>
          <w:rFonts w:ascii="Arial" w:hAnsi="Arial" w:cs="Arial"/>
        </w:rPr>
      </w:pPr>
      <w:r w:rsidRPr="002C5238">
        <w:rPr>
          <w:rFonts w:ascii="Arial" w:hAnsi="Arial" w:cs="Arial"/>
          <w:noProof/>
        </w:rPr>
        <w:drawing>
          <wp:inline distT="0" distB="0" distL="0" distR="0" wp14:anchorId="2C80A93E" wp14:editId="5EE9714F">
            <wp:extent cx="1112616" cy="480102"/>
            <wp:effectExtent l="0" t="0" r="0" b="0"/>
            <wp:docPr id="113616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65864" name=""/>
                    <pic:cNvPicPr/>
                  </pic:nvPicPr>
                  <pic:blipFill>
                    <a:blip r:embed="rId8"/>
                    <a:stretch>
                      <a:fillRect/>
                    </a:stretch>
                  </pic:blipFill>
                  <pic:spPr>
                    <a:xfrm>
                      <a:off x="0" y="0"/>
                      <a:ext cx="1112616" cy="480102"/>
                    </a:xfrm>
                    <a:prstGeom prst="rect">
                      <a:avLst/>
                    </a:prstGeom>
                  </pic:spPr>
                </pic:pic>
              </a:graphicData>
            </a:graphic>
          </wp:inline>
        </w:drawing>
      </w:r>
    </w:p>
    <w:p w14:paraId="26418311" w14:textId="423FB4E7" w:rsidR="00167CD9" w:rsidRPr="002C5238" w:rsidRDefault="00167CD9" w:rsidP="00167CD9">
      <w:pPr>
        <w:jc w:val="both"/>
        <w:rPr>
          <w:rFonts w:ascii="Arial" w:hAnsi="Arial" w:cs="Arial"/>
          <w:sz w:val="20"/>
          <w:szCs w:val="20"/>
        </w:rPr>
      </w:pPr>
      <w:r w:rsidRPr="002C5238">
        <w:rPr>
          <w:rFonts w:ascii="Arial" w:hAnsi="Arial" w:cs="Arial"/>
          <w:sz w:val="20"/>
          <w:szCs w:val="20"/>
        </w:rPr>
        <w:t>Where:</w:t>
      </w:r>
    </w:p>
    <w:p w14:paraId="3A4DEDBB" w14:textId="77777777" w:rsidR="00167CD9" w:rsidRPr="002C5238" w:rsidRDefault="00167CD9" w:rsidP="00167CD9">
      <w:pPr>
        <w:numPr>
          <w:ilvl w:val="0"/>
          <w:numId w:val="5"/>
        </w:numPr>
        <w:jc w:val="both"/>
        <w:rPr>
          <w:rFonts w:ascii="Arial" w:hAnsi="Arial" w:cs="Arial"/>
          <w:sz w:val="20"/>
          <w:szCs w:val="20"/>
        </w:rPr>
      </w:pPr>
      <w:proofErr w:type="gramStart"/>
      <w:r w:rsidRPr="002C5238">
        <w:rPr>
          <w:rFonts w:ascii="Arial" w:hAnsi="Arial" w:cs="Arial"/>
          <w:sz w:val="20"/>
          <w:szCs w:val="20"/>
        </w:rPr>
        <w:t>( Z</w:t>
      </w:r>
      <w:proofErr w:type="gramEnd"/>
      <w:r w:rsidRPr="002C5238">
        <w:rPr>
          <w:rFonts w:ascii="Arial" w:hAnsi="Arial" w:cs="Arial"/>
          <w:sz w:val="20"/>
          <w:szCs w:val="20"/>
        </w:rPr>
        <w:t xml:space="preserve"> ) = 1.96 (for 95% confidence)</w:t>
      </w:r>
    </w:p>
    <w:p w14:paraId="5AA5EE82" w14:textId="77777777" w:rsidR="00167CD9" w:rsidRPr="002C5238" w:rsidRDefault="00167CD9" w:rsidP="00167CD9">
      <w:pPr>
        <w:numPr>
          <w:ilvl w:val="0"/>
          <w:numId w:val="5"/>
        </w:numPr>
        <w:jc w:val="both"/>
        <w:rPr>
          <w:rFonts w:ascii="Arial" w:hAnsi="Arial" w:cs="Arial"/>
          <w:sz w:val="20"/>
          <w:szCs w:val="20"/>
        </w:rPr>
      </w:pPr>
      <w:proofErr w:type="gramStart"/>
      <w:r w:rsidRPr="002C5238">
        <w:rPr>
          <w:rFonts w:ascii="Arial" w:hAnsi="Arial" w:cs="Arial"/>
          <w:sz w:val="20"/>
          <w:szCs w:val="20"/>
        </w:rPr>
        <w:t>( p</w:t>
      </w:r>
      <w:proofErr w:type="gramEnd"/>
      <w:r w:rsidRPr="002C5238">
        <w:rPr>
          <w:rFonts w:ascii="Arial" w:hAnsi="Arial" w:cs="Arial"/>
          <w:sz w:val="20"/>
          <w:szCs w:val="20"/>
        </w:rPr>
        <w:t xml:space="preserve"> ) = estimated proportion of OTT adoption (assumed 0.5 for maximum variability)</w:t>
      </w:r>
    </w:p>
    <w:p w14:paraId="2ABBC752" w14:textId="77777777" w:rsidR="00167CD9" w:rsidRPr="002C5238" w:rsidRDefault="00167CD9" w:rsidP="00167CD9">
      <w:pPr>
        <w:numPr>
          <w:ilvl w:val="0"/>
          <w:numId w:val="5"/>
        </w:numPr>
        <w:jc w:val="both"/>
        <w:rPr>
          <w:rFonts w:ascii="Arial" w:hAnsi="Arial" w:cs="Arial"/>
          <w:sz w:val="20"/>
          <w:szCs w:val="20"/>
        </w:rPr>
      </w:pPr>
      <w:proofErr w:type="gramStart"/>
      <w:r w:rsidRPr="002C5238">
        <w:rPr>
          <w:rFonts w:ascii="Arial" w:hAnsi="Arial" w:cs="Arial"/>
          <w:sz w:val="20"/>
          <w:szCs w:val="20"/>
        </w:rPr>
        <w:t>( e</w:t>
      </w:r>
      <w:proofErr w:type="gramEnd"/>
      <w:r w:rsidRPr="002C5238">
        <w:rPr>
          <w:rFonts w:ascii="Arial" w:hAnsi="Arial" w:cs="Arial"/>
          <w:sz w:val="20"/>
          <w:szCs w:val="20"/>
        </w:rPr>
        <w:t xml:space="preserve"> ) = margin of error (0.05)</w:t>
      </w:r>
    </w:p>
    <w:p w14:paraId="00DA6351"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Applying the formula yields a minimum sample of </w:t>
      </w:r>
      <w:r w:rsidRPr="002C5238">
        <w:rPr>
          <w:rFonts w:ascii="Arial" w:hAnsi="Arial" w:cs="Arial"/>
          <w:b/>
          <w:bCs/>
          <w:sz w:val="20"/>
          <w:szCs w:val="20"/>
        </w:rPr>
        <w:t>384 respondents per country</w:t>
      </w:r>
      <w:r w:rsidRPr="002C5238">
        <w:rPr>
          <w:rFonts w:ascii="Arial" w:hAnsi="Arial" w:cs="Arial"/>
          <w:sz w:val="20"/>
          <w:szCs w:val="20"/>
        </w:rPr>
        <w:t xml:space="preserve">, ensuring sufficient statistical power for multivariate analysis. The study targets a </w:t>
      </w:r>
      <w:r w:rsidRPr="002C5238">
        <w:rPr>
          <w:rFonts w:ascii="Arial" w:hAnsi="Arial" w:cs="Arial"/>
          <w:b/>
          <w:bCs/>
          <w:sz w:val="20"/>
          <w:szCs w:val="20"/>
        </w:rPr>
        <w:t>total sample of 1,200 respondents</w:t>
      </w:r>
      <w:r w:rsidRPr="002C5238">
        <w:rPr>
          <w:rFonts w:ascii="Arial" w:hAnsi="Arial" w:cs="Arial"/>
          <w:sz w:val="20"/>
          <w:szCs w:val="20"/>
        </w:rPr>
        <w:t>, accounting for potential non-responses.</w:t>
      </w:r>
    </w:p>
    <w:p w14:paraId="5520DBB0" w14:textId="4CB348FD" w:rsidR="00167CD9" w:rsidRPr="002C5238" w:rsidRDefault="00167CD9" w:rsidP="00167CD9">
      <w:pPr>
        <w:jc w:val="both"/>
        <w:rPr>
          <w:rFonts w:ascii="Arial" w:hAnsi="Arial" w:cs="Arial"/>
          <w:sz w:val="20"/>
          <w:szCs w:val="20"/>
        </w:rPr>
      </w:pPr>
      <w:r w:rsidRPr="002C5238">
        <w:rPr>
          <w:rFonts w:ascii="Arial" w:hAnsi="Arial" w:cs="Arial"/>
          <w:b/>
          <w:bCs/>
          <w:sz w:val="20"/>
          <w:szCs w:val="20"/>
        </w:rPr>
        <w:t>Data Collection</w:t>
      </w:r>
      <w:r w:rsidRPr="002C5238">
        <w:rPr>
          <w:rFonts w:ascii="Arial" w:hAnsi="Arial" w:cs="Arial"/>
          <w:sz w:val="20"/>
          <w:szCs w:val="20"/>
        </w:rPr>
        <w:br/>
        <w:t xml:space="preserve">Data are collected using a </w:t>
      </w:r>
      <w:r w:rsidRPr="002C5238">
        <w:rPr>
          <w:rFonts w:ascii="Arial" w:hAnsi="Arial" w:cs="Arial"/>
          <w:b/>
          <w:bCs/>
          <w:sz w:val="20"/>
          <w:szCs w:val="20"/>
        </w:rPr>
        <w:t>structured online questionnaire</w:t>
      </w:r>
      <w:r w:rsidRPr="002C5238">
        <w:rPr>
          <w:rFonts w:ascii="Arial" w:hAnsi="Arial" w:cs="Arial"/>
          <w:sz w:val="20"/>
          <w:szCs w:val="20"/>
        </w:rPr>
        <w:t>, distributed via social media platforms, OTT app communities, and email lists. The questionnaire consists of four sections:</w:t>
      </w:r>
    </w:p>
    <w:p w14:paraId="6898D0CB" w14:textId="77777777" w:rsidR="00167CD9" w:rsidRPr="002C5238" w:rsidRDefault="00167CD9" w:rsidP="00167CD9">
      <w:pPr>
        <w:numPr>
          <w:ilvl w:val="0"/>
          <w:numId w:val="6"/>
        </w:numPr>
        <w:jc w:val="both"/>
        <w:rPr>
          <w:rFonts w:ascii="Arial" w:hAnsi="Arial" w:cs="Arial"/>
          <w:sz w:val="20"/>
          <w:szCs w:val="20"/>
        </w:rPr>
      </w:pPr>
      <w:r w:rsidRPr="002C5238">
        <w:rPr>
          <w:rFonts w:ascii="Arial" w:hAnsi="Arial" w:cs="Arial"/>
          <w:b/>
          <w:bCs/>
          <w:sz w:val="20"/>
          <w:szCs w:val="20"/>
        </w:rPr>
        <w:t>Demographics:</w:t>
      </w:r>
      <w:r w:rsidRPr="002C5238">
        <w:rPr>
          <w:rFonts w:ascii="Arial" w:hAnsi="Arial" w:cs="Arial"/>
          <w:sz w:val="20"/>
          <w:szCs w:val="20"/>
        </w:rPr>
        <w:t xml:space="preserve"> Age, gender, income, education, location.</w:t>
      </w:r>
    </w:p>
    <w:p w14:paraId="498EE997" w14:textId="77777777" w:rsidR="00167CD9" w:rsidRPr="002C5238" w:rsidRDefault="00167CD9" w:rsidP="00167CD9">
      <w:pPr>
        <w:numPr>
          <w:ilvl w:val="0"/>
          <w:numId w:val="6"/>
        </w:numPr>
        <w:jc w:val="both"/>
        <w:rPr>
          <w:rFonts w:ascii="Arial" w:hAnsi="Arial" w:cs="Arial"/>
          <w:sz w:val="20"/>
          <w:szCs w:val="20"/>
        </w:rPr>
      </w:pPr>
      <w:r w:rsidRPr="002C5238">
        <w:rPr>
          <w:rFonts w:ascii="Arial" w:hAnsi="Arial" w:cs="Arial"/>
          <w:b/>
          <w:bCs/>
          <w:sz w:val="20"/>
          <w:szCs w:val="20"/>
        </w:rPr>
        <w:t>OTT Usage Behaviour:</w:t>
      </w:r>
      <w:r w:rsidRPr="002C5238">
        <w:rPr>
          <w:rFonts w:ascii="Arial" w:hAnsi="Arial" w:cs="Arial"/>
          <w:sz w:val="20"/>
          <w:szCs w:val="20"/>
        </w:rPr>
        <w:t xml:space="preserve"> Frequency, preferred platforms, device usage.</w:t>
      </w:r>
    </w:p>
    <w:p w14:paraId="0AA42AA3" w14:textId="77777777" w:rsidR="00167CD9" w:rsidRPr="002C5238" w:rsidRDefault="00167CD9" w:rsidP="00167CD9">
      <w:pPr>
        <w:numPr>
          <w:ilvl w:val="0"/>
          <w:numId w:val="6"/>
        </w:numPr>
        <w:jc w:val="both"/>
        <w:rPr>
          <w:rFonts w:ascii="Arial" w:hAnsi="Arial" w:cs="Arial"/>
          <w:sz w:val="20"/>
          <w:szCs w:val="20"/>
        </w:rPr>
      </w:pPr>
      <w:r w:rsidRPr="002C5238">
        <w:rPr>
          <w:rFonts w:ascii="Arial" w:hAnsi="Arial" w:cs="Arial"/>
          <w:b/>
          <w:bCs/>
          <w:sz w:val="20"/>
          <w:szCs w:val="20"/>
        </w:rPr>
        <w:t>Pricing Perception:</w:t>
      </w:r>
      <w:r w:rsidRPr="002C5238">
        <w:rPr>
          <w:rFonts w:ascii="Arial" w:hAnsi="Arial" w:cs="Arial"/>
          <w:sz w:val="20"/>
          <w:szCs w:val="20"/>
        </w:rPr>
        <w:t xml:space="preserve"> Perceived affordability, willingness to pay, freemium vs. subscription preferences.</w:t>
      </w:r>
    </w:p>
    <w:p w14:paraId="57046E74" w14:textId="77777777" w:rsidR="00167CD9" w:rsidRPr="002C5238" w:rsidRDefault="00167CD9" w:rsidP="00167CD9">
      <w:pPr>
        <w:numPr>
          <w:ilvl w:val="0"/>
          <w:numId w:val="6"/>
        </w:numPr>
        <w:jc w:val="both"/>
        <w:rPr>
          <w:rFonts w:ascii="Arial" w:hAnsi="Arial" w:cs="Arial"/>
          <w:sz w:val="20"/>
          <w:szCs w:val="20"/>
        </w:rPr>
      </w:pPr>
      <w:r w:rsidRPr="002C5238">
        <w:rPr>
          <w:rFonts w:ascii="Arial" w:hAnsi="Arial" w:cs="Arial"/>
          <w:b/>
          <w:bCs/>
          <w:sz w:val="20"/>
          <w:szCs w:val="20"/>
        </w:rPr>
        <w:t>Content Preferences:</w:t>
      </w:r>
      <w:r w:rsidRPr="002C5238">
        <w:rPr>
          <w:rFonts w:ascii="Arial" w:hAnsi="Arial" w:cs="Arial"/>
          <w:sz w:val="20"/>
          <w:szCs w:val="20"/>
        </w:rPr>
        <w:t xml:space="preserve"> Cultural relevance, genre preference, language preference, importance of exclusive content.</w:t>
      </w:r>
    </w:p>
    <w:p w14:paraId="600E3DAB"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Responses are measured primarily using </w:t>
      </w:r>
      <w:r w:rsidRPr="002C5238">
        <w:rPr>
          <w:rFonts w:ascii="Arial" w:hAnsi="Arial" w:cs="Arial"/>
          <w:b/>
          <w:bCs/>
          <w:sz w:val="20"/>
          <w:szCs w:val="20"/>
        </w:rPr>
        <w:t>5-point Likert scales</w:t>
      </w:r>
      <w:r w:rsidRPr="002C5238">
        <w:rPr>
          <w:rFonts w:ascii="Arial" w:hAnsi="Arial" w:cs="Arial"/>
          <w:sz w:val="20"/>
          <w:szCs w:val="20"/>
        </w:rPr>
        <w:t xml:space="preserve"> (1 = Strongly Disagree, 5 = Strongly Agree), enabling quantitative analysis while capturing subjective perceptions.</w:t>
      </w:r>
    </w:p>
    <w:p w14:paraId="1D60A7AF" w14:textId="7F06EDE9" w:rsidR="00167CD9" w:rsidRPr="002C5238" w:rsidRDefault="00A21168" w:rsidP="00167CD9">
      <w:pPr>
        <w:jc w:val="both"/>
        <w:rPr>
          <w:rFonts w:ascii="Arial" w:hAnsi="Arial" w:cs="Arial"/>
          <w:sz w:val="20"/>
          <w:szCs w:val="20"/>
        </w:rPr>
      </w:pPr>
      <w:r>
        <w:rPr>
          <w:rFonts w:ascii="Arial" w:hAnsi="Arial" w:cs="Arial"/>
          <w:b/>
          <w:bCs/>
          <w:sz w:val="20"/>
          <w:szCs w:val="20"/>
        </w:rPr>
        <w:t>Table 1-</w:t>
      </w:r>
      <w:r w:rsidR="00167CD9" w:rsidRPr="002C5238">
        <w:rPr>
          <w:rFonts w:ascii="Arial" w:hAnsi="Arial" w:cs="Arial"/>
          <w:b/>
          <w:bCs/>
          <w:sz w:val="20"/>
          <w:szCs w:val="20"/>
        </w:rPr>
        <w:t>Measurement of Variables</w:t>
      </w:r>
    </w:p>
    <w:tbl>
      <w:tblPr>
        <w:tblStyle w:val="TableGrid"/>
        <w:tblW w:w="0" w:type="auto"/>
        <w:tblLook w:val="04A0" w:firstRow="1" w:lastRow="0" w:firstColumn="1" w:lastColumn="0" w:noHBand="0" w:noVBand="1"/>
      </w:tblPr>
      <w:tblGrid>
        <w:gridCol w:w="1872"/>
        <w:gridCol w:w="4075"/>
        <w:gridCol w:w="3073"/>
      </w:tblGrid>
      <w:tr w:rsidR="00167CD9" w:rsidRPr="002C5238" w14:paraId="091F53C9" w14:textId="77777777" w:rsidTr="00167CD9">
        <w:tc>
          <w:tcPr>
            <w:tcW w:w="0" w:type="auto"/>
            <w:hideMark/>
          </w:tcPr>
          <w:p w14:paraId="200DA0E5" w14:textId="77777777" w:rsidR="00167CD9" w:rsidRPr="002C5238" w:rsidRDefault="00167CD9" w:rsidP="00167CD9">
            <w:pPr>
              <w:spacing w:after="160" w:line="259" w:lineRule="auto"/>
              <w:jc w:val="both"/>
              <w:rPr>
                <w:rFonts w:ascii="Arial" w:hAnsi="Arial" w:cs="Arial"/>
                <w:b/>
                <w:bCs/>
                <w:sz w:val="20"/>
                <w:szCs w:val="20"/>
              </w:rPr>
            </w:pPr>
            <w:r w:rsidRPr="002C5238">
              <w:rPr>
                <w:rFonts w:ascii="Arial" w:hAnsi="Arial" w:cs="Arial"/>
                <w:b/>
                <w:bCs/>
                <w:sz w:val="20"/>
                <w:szCs w:val="20"/>
              </w:rPr>
              <w:t>Variable</w:t>
            </w:r>
          </w:p>
        </w:tc>
        <w:tc>
          <w:tcPr>
            <w:tcW w:w="0" w:type="auto"/>
            <w:hideMark/>
          </w:tcPr>
          <w:p w14:paraId="45E22D22" w14:textId="77777777" w:rsidR="00167CD9" w:rsidRPr="002C5238" w:rsidRDefault="00167CD9" w:rsidP="00167CD9">
            <w:pPr>
              <w:spacing w:after="160" w:line="259" w:lineRule="auto"/>
              <w:jc w:val="both"/>
              <w:rPr>
                <w:rFonts w:ascii="Arial" w:hAnsi="Arial" w:cs="Arial"/>
                <w:b/>
                <w:bCs/>
                <w:sz w:val="20"/>
                <w:szCs w:val="20"/>
              </w:rPr>
            </w:pPr>
            <w:r w:rsidRPr="002C5238">
              <w:rPr>
                <w:rFonts w:ascii="Arial" w:hAnsi="Arial" w:cs="Arial"/>
                <w:b/>
                <w:bCs/>
                <w:sz w:val="20"/>
                <w:szCs w:val="20"/>
              </w:rPr>
              <w:t>Items</w:t>
            </w:r>
          </w:p>
        </w:tc>
        <w:tc>
          <w:tcPr>
            <w:tcW w:w="0" w:type="auto"/>
            <w:hideMark/>
          </w:tcPr>
          <w:p w14:paraId="10EA572F" w14:textId="77777777" w:rsidR="00167CD9" w:rsidRPr="002C5238" w:rsidRDefault="00167CD9" w:rsidP="00167CD9">
            <w:pPr>
              <w:spacing w:after="160" w:line="259" w:lineRule="auto"/>
              <w:jc w:val="both"/>
              <w:rPr>
                <w:rFonts w:ascii="Arial" w:hAnsi="Arial" w:cs="Arial"/>
                <w:b/>
                <w:bCs/>
                <w:sz w:val="20"/>
                <w:szCs w:val="20"/>
              </w:rPr>
            </w:pPr>
            <w:r w:rsidRPr="002C5238">
              <w:rPr>
                <w:rFonts w:ascii="Arial" w:hAnsi="Arial" w:cs="Arial"/>
                <w:b/>
                <w:bCs/>
                <w:sz w:val="20"/>
                <w:szCs w:val="20"/>
              </w:rPr>
              <w:t>Scale/Source</w:t>
            </w:r>
          </w:p>
        </w:tc>
      </w:tr>
      <w:tr w:rsidR="00167CD9" w:rsidRPr="002C5238" w14:paraId="61B35E66" w14:textId="77777777" w:rsidTr="00167CD9">
        <w:tc>
          <w:tcPr>
            <w:tcW w:w="0" w:type="auto"/>
            <w:hideMark/>
          </w:tcPr>
          <w:p w14:paraId="11DDF1DB"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lastRenderedPageBreak/>
              <w:t>Pricing Strategy</w:t>
            </w:r>
          </w:p>
        </w:tc>
        <w:tc>
          <w:tcPr>
            <w:tcW w:w="0" w:type="auto"/>
            <w:hideMark/>
          </w:tcPr>
          <w:p w14:paraId="0A941C01"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Subscription affordability, Freemium utility, Tiered plan perception</w:t>
            </w:r>
          </w:p>
        </w:tc>
        <w:tc>
          <w:tcPr>
            <w:tcW w:w="0" w:type="auto"/>
            <w:hideMark/>
          </w:tcPr>
          <w:p w14:paraId="6F0303BD"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Adapted from Hennig-</w:t>
            </w:r>
            <w:proofErr w:type="spellStart"/>
            <w:r w:rsidRPr="002C5238">
              <w:rPr>
                <w:rFonts w:ascii="Arial" w:hAnsi="Arial" w:cs="Arial"/>
                <w:sz w:val="20"/>
                <w:szCs w:val="20"/>
              </w:rPr>
              <w:t>Thurau</w:t>
            </w:r>
            <w:proofErr w:type="spellEnd"/>
            <w:r w:rsidRPr="002C5238">
              <w:rPr>
                <w:rFonts w:ascii="Arial" w:hAnsi="Arial" w:cs="Arial"/>
                <w:sz w:val="20"/>
                <w:szCs w:val="20"/>
              </w:rPr>
              <w:t xml:space="preserve"> et al., 2021</w:t>
            </w:r>
          </w:p>
        </w:tc>
      </w:tr>
      <w:tr w:rsidR="00167CD9" w:rsidRPr="002C5238" w14:paraId="05FD9014" w14:textId="77777777" w:rsidTr="00167CD9">
        <w:tc>
          <w:tcPr>
            <w:tcW w:w="0" w:type="auto"/>
            <w:hideMark/>
          </w:tcPr>
          <w:p w14:paraId="393948E5"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Content Preference</w:t>
            </w:r>
          </w:p>
        </w:tc>
        <w:tc>
          <w:tcPr>
            <w:tcW w:w="0" w:type="auto"/>
            <w:hideMark/>
          </w:tcPr>
          <w:p w14:paraId="65AE4ADC"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Cultural relevance, Exclusive content appeal, Language preference</w:t>
            </w:r>
          </w:p>
        </w:tc>
        <w:tc>
          <w:tcPr>
            <w:tcW w:w="0" w:type="auto"/>
            <w:hideMark/>
          </w:tcPr>
          <w:p w14:paraId="6A7AD9AC"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Adapted from Chakraborty &amp; Chatterjee, 2022</w:t>
            </w:r>
          </w:p>
        </w:tc>
      </w:tr>
      <w:tr w:rsidR="00167CD9" w:rsidRPr="002C5238" w14:paraId="58A792EE" w14:textId="77777777" w:rsidTr="00167CD9">
        <w:tc>
          <w:tcPr>
            <w:tcW w:w="0" w:type="auto"/>
            <w:hideMark/>
          </w:tcPr>
          <w:p w14:paraId="6B8CF4A7"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Socio-Economic Factors</w:t>
            </w:r>
          </w:p>
        </w:tc>
        <w:tc>
          <w:tcPr>
            <w:tcW w:w="0" w:type="auto"/>
            <w:hideMark/>
          </w:tcPr>
          <w:p w14:paraId="19929D03"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Income, Education, Digital literacy</w:t>
            </w:r>
          </w:p>
        </w:tc>
        <w:tc>
          <w:tcPr>
            <w:tcW w:w="0" w:type="auto"/>
            <w:hideMark/>
          </w:tcPr>
          <w:p w14:paraId="289E36C3"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Demographic section</w:t>
            </w:r>
          </w:p>
        </w:tc>
      </w:tr>
      <w:tr w:rsidR="00167CD9" w:rsidRPr="002C5238" w14:paraId="6EA39155" w14:textId="77777777" w:rsidTr="00167CD9">
        <w:tc>
          <w:tcPr>
            <w:tcW w:w="0" w:type="auto"/>
            <w:hideMark/>
          </w:tcPr>
          <w:p w14:paraId="2FBCA83A"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Socio-Cultural Factors</w:t>
            </w:r>
          </w:p>
        </w:tc>
        <w:tc>
          <w:tcPr>
            <w:tcW w:w="0" w:type="auto"/>
            <w:hideMark/>
          </w:tcPr>
          <w:p w14:paraId="738E84E5"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Language, Cultural affinity, Regional identity</w:t>
            </w:r>
          </w:p>
        </w:tc>
        <w:tc>
          <w:tcPr>
            <w:tcW w:w="0" w:type="auto"/>
            <w:hideMark/>
          </w:tcPr>
          <w:p w14:paraId="3D8D3E80"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Adapted from Kaur &amp; Sharma, 2021</w:t>
            </w:r>
          </w:p>
        </w:tc>
      </w:tr>
      <w:tr w:rsidR="00167CD9" w:rsidRPr="002C5238" w14:paraId="462EFF44" w14:textId="77777777" w:rsidTr="00167CD9">
        <w:tc>
          <w:tcPr>
            <w:tcW w:w="0" w:type="auto"/>
            <w:hideMark/>
          </w:tcPr>
          <w:p w14:paraId="140B6C1B"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Consumer Behaviour</w:t>
            </w:r>
          </w:p>
        </w:tc>
        <w:tc>
          <w:tcPr>
            <w:tcW w:w="0" w:type="auto"/>
            <w:hideMark/>
          </w:tcPr>
          <w:p w14:paraId="153F15F6"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Adoption intention, Retention likelihood, Willingness to pay</w:t>
            </w:r>
          </w:p>
        </w:tc>
        <w:tc>
          <w:tcPr>
            <w:tcW w:w="0" w:type="auto"/>
            <w:hideMark/>
          </w:tcPr>
          <w:p w14:paraId="303A4327"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Adapted from Rai &amp; Singh, 2020</w:t>
            </w:r>
          </w:p>
        </w:tc>
      </w:tr>
    </w:tbl>
    <w:p w14:paraId="2E64207A" w14:textId="77777777" w:rsidR="002C5238" w:rsidRDefault="002C5238" w:rsidP="00167CD9">
      <w:pPr>
        <w:jc w:val="both"/>
        <w:rPr>
          <w:rFonts w:ascii="Arial" w:hAnsi="Arial" w:cs="Arial"/>
          <w:b/>
          <w:bCs/>
        </w:rPr>
      </w:pPr>
    </w:p>
    <w:p w14:paraId="3EE26BA8" w14:textId="77777777" w:rsidR="002C5238" w:rsidRPr="002C5238" w:rsidRDefault="00167CD9" w:rsidP="00167CD9">
      <w:pPr>
        <w:jc w:val="both"/>
        <w:rPr>
          <w:rFonts w:ascii="Arial" w:hAnsi="Arial" w:cs="Arial"/>
          <w:sz w:val="20"/>
          <w:szCs w:val="20"/>
        </w:rPr>
      </w:pPr>
      <w:r w:rsidRPr="002C5238">
        <w:rPr>
          <w:rFonts w:ascii="Arial" w:hAnsi="Arial" w:cs="Arial"/>
          <w:b/>
          <w:bCs/>
          <w:sz w:val="20"/>
          <w:szCs w:val="20"/>
        </w:rPr>
        <w:t>Analytical Methods</w:t>
      </w:r>
    </w:p>
    <w:p w14:paraId="1403B437" w14:textId="4B7ABE46"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Data are analysed using </w:t>
      </w:r>
      <w:r w:rsidRPr="002C5238">
        <w:rPr>
          <w:rFonts w:ascii="Arial" w:hAnsi="Arial" w:cs="Arial"/>
          <w:b/>
          <w:bCs/>
          <w:sz w:val="20"/>
          <w:szCs w:val="20"/>
        </w:rPr>
        <w:t xml:space="preserve">SPSS and </w:t>
      </w:r>
      <w:proofErr w:type="spellStart"/>
      <w:r w:rsidRPr="002C5238">
        <w:rPr>
          <w:rFonts w:ascii="Arial" w:hAnsi="Arial" w:cs="Arial"/>
          <w:b/>
          <w:bCs/>
          <w:sz w:val="20"/>
          <w:szCs w:val="20"/>
        </w:rPr>
        <w:t>SmartPLS</w:t>
      </w:r>
      <w:proofErr w:type="spellEnd"/>
      <w:r w:rsidRPr="002C5238">
        <w:rPr>
          <w:rFonts w:ascii="Arial" w:hAnsi="Arial" w:cs="Arial"/>
          <w:sz w:val="20"/>
          <w:szCs w:val="20"/>
        </w:rPr>
        <w:t xml:space="preserve">, employing a </w:t>
      </w:r>
      <w:r w:rsidRPr="002C5238">
        <w:rPr>
          <w:rFonts w:ascii="Arial" w:hAnsi="Arial" w:cs="Arial"/>
          <w:b/>
          <w:bCs/>
          <w:sz w:val="20"/>
          <w:szCs w:val="20"/>
        </w:rPr>
        <w:t>two-step approach</w:t>
      </w:r>
      <w:r w:rsidRPr="002C5238">
        <w:rPr>
          <w:rFonts w:ascii="Arial" w:hAnsi="Arial" w:cs="Arial"/>
          <w:sz w:val="20"/>
          <w:szCs w:val="20"/>
        </w:rPr>
        <w:t>:</w:t>
      </w:r>
    </w:p>
    <w:p w14:paraId="6D2553A8" w14:textId="77777777" w:rsidR="00167CD9" w:rsidRPr="002C5238" w:rsidRDefault="00167CD9" w:rsidP="00167CD9">
      <w:pPr>
        <w:numPr>
          <w:ilvl w:val="0"/>
          <w:numId w:val="7"/>
        </w:numPr>
        <w:jc w:val="both"/>
        <w:rPr>
          <w:rFonts w:ascii="Arial" w:hAnsi="Arial" w:cs="Arial"/>
          <w:sz w:val="20"/>
          <w:szCs w:val="20"/>
        </w:rPr>
      </w:pPr>
      <w:r w:rsidRPr="002C5238">
        <w:rPr>
          <w:rFonts w:ascii="Arial" w:hAnsi="Arial" w:cs="Arial"/>
          <w:b/>
          <w:bCs/>
          <w:sz w:val="20"/>
          <w:szCs w:val="20"/>
        </w:rPr>
        <w:t>Measurement Model Validation</w:t>
      </w:r>
      <w:r w:rsidRPr="002C5238">
        <w:rPr>
          <w:rFonts w:ascii="Arial" w:hAnsi="Arial" w:cs="Arial"/>
          <w:sz w:val="20"/>
          <w:szCs w:val="20"/>
        </w:rPr>
        <w:t>:</w:t>
      </w:r>
    </w:p>
    <w:p w14:paraId="4C073E47"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Reliability:</w:t>
      </w:r>
      <w:r w:rsidRPr="002C5238">
        <w:rPr>
          <w:rFonts w:ascii="Arial" w:hAnsi="Arial" w:cs="Arial"/>
          <w:sz w:val="20"/>
          <w:szCs w:val="20"/>
        </w:rPr>
        <w:t xml:space="preserve"> Cronbach’s alpha (&gt;0.7) and Composite Reliability (CR &gt; 0.7)</w:t>
      </w:r>
    </w:p>
    <w:p w14:paraId="4CED1983"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Validity:</w:t>
      </w:r>
      <w:r w:rsidRPr="002C5238">
        <w:rPr>
          <w:rFonts w:ascii="Arial" w:hAnsi="Arial" w:cs="Arial"/>
          <w:sz w:val="20"/>
          <w:szCs w:val="20"/>
        </w:rPr>
        <w:t xml:space="preserve"> Convergent validity (Average Variance Extracted, AVE &gt; 0.5) and Discriminant validity (</w:t>
      </w:r>
      <w:proofErr w:type="spellStart"/>
      <w:r w:rsidRPr="002C5238">
        <w:rPr>
          <w:rFonts w:ascii="Arial" w:hAnsi="Arial" w:cs="Arial"/>
          <w:sz w:val="20"/>
          <w:szCs w:val="20"/>
        </w:rPr>
        <w:t>Fornell-Larcker</w:t>
      </w:r>
      <w:proofErr w:type="spellEnd"/>
      <w:r w:rsidRPr="002C5238">
        <w:rPr>
          <w:rFonts w:ascii="Arial" w:hAnsi="Arial" w:cs="Arial"/>
          <w:sz w:val="20"/>
          <w:szCs w:val="20"/>
        </w:rPr>
        <w:t xml:space="preserve"> criterion)</w:t>
      </w:r>
    </w:p>
    <w:p w14:paraId="3EF889C3" w14:textId="77777777" w:rsidR="00167CD9" w:rsidRPr="002C5238" w:rsidRDefault="00167CD9" w:rsidP="00167CD9">
      <w:pPr>
        <w:numPr>
          <w:ilvl w:val="0"/>
          <w:numId w:val="7"/>
        </w:numPr>
        <w:jc w:val="both"/>
        <w:rPr>
          <w:rFonts w:ascii="Arial" w:hAnsi="Arial" w:cs="Arial"/>
          <w:sz w:val="20"/>
          <w:szCs w:val="20"/>
        </w:rPr>
      </w:pPr>
      <w:r w:rsidRPr="002C5238">
        <w:rPr>
          <w:rFonts w:ascii="Arial" w:hAnsi="Arial" w:cs="Arial"/>
          <w:b/>
          <w:bCs/>
          <w:sz w:val="20"/>
          <w:szCs w:val="20"/>
        </w:rPr>
        <w:t>Structural Model Testing</w:t>
      </w:r>
      <w:r w:rsidRPr="002C5238">
        <w:rPr>
          <w:rFonts w:ascii="Arial" w:hAnsi="Arial" w:cs="Arial"/>
          <w:sz w:val="20"/>
          <w:szCs w:val="20"/>
        </w:rPr>
        <w:t>:</w:t>
      </w:r>
    </w:p>
    <w:p w14:paraId="5FC9C924"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Hypothesis Testing:</w:t>
      </w:r>
      <w:r w:rsidRPr="002C5238">
        <w:rPr>
          <w:rFonts w:ascii="Arial" w:hAnsi="Arial" w:cs="Arial"/>
          <w:sz w:val="20"/>
          <w:szCs w:val="20"/>
        </w:rPr>
        <w:t xml:space="preserve"> Partial Least Squares Structural Equation Modelling (PLS-SEM) to assess direct and moderating effects.</w:t>
      </w:r>
    </w:p>
    <w:p w14:paraId="5B3658F8"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Path Coefficients:</w:t>
      </w:r>
      <w:r w:rsidRPr="002C5238">
        <w:rPr>
          <w:rFonts w:ascii="Arial" w:hAnsi="Arial" w:cs="Arial"/>
          <w:sz w:val="20"/>
          <w:szCs w:val="20"/>
        </w:rPr>
        <w:t xml:space="preserve"> Bootstrapping with 5,000 resamples for significance testing.</w:t>
      </w:r>
    </w:p>
    <w:p w14:paraId="4F001BB4"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Effect Sizes:</w:t>
      </w:r>
      <w:r w:rsidRPr="002C5238">
        <w:rPr>
          <w:rFonts w:ascii="Arial" w:hAnsi="Arial" w:cs="Arial"/>
          <w:sz w:val="20"/>
          <w:szCs w:val="20"/>
        </w:rPr>
        <w:t xml:space="preserve"> </w:t>
      </w:r>
      <w:proofErr w:type="gramStart"/>
      <w:r w:rsidRPr="002C5238">
        <w:rPr>
          <w:rFonts w:ascii="Arial" w:hAnsi="Arial" w:cs="Arial"/>
          <w:sz w:val="20"/>
          <w:szCs w:val="20"/>
        </w:rPr>
        <w:t>( f</w:t>
      </w:r>
      <w:proofErr w:type="gramEnd"/>
      <w:r w:rsidRPr="002C5238">
        <w:rPr>
          <w:rFonts w:ascii="Arial" w:hAnsi="Arial" w:cs="Arial"/>
          <w:sz w:val="20"/>
          <w:szCs w:val="20"/>
        </w:rPr>
        <w:t>^2 ) to quantify the impact of independent variables on consumer behaviour.</w:t>
      </w:r>
    </w:p>
    <w:p w14:paraId="52339AA9"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Predictive Relevance:</w:t>
      </w:r>
      <w:r w:rsidRPr="002C5238">
        <w:rPr>
          <w:rFonts w:ascii="Arial" w:hAnsi="Arial" w:cs="Arial"/>
          <w:sz w:val="20"/>
          <w:szCs w:val="20"/>
        </w:rPr>
        <w:t xml:space="preserve"> </w:t>
      </w:r>
      <w:proofErr w:type="gramStart"/>
      <w:r w:rsidRPr="002C5238">
        <w:rPr>
          <w:rFonts w:ascii="Arial" w:hAnsi="Arial" w:cs="Arial"/>
          <w:sz w:val="20"/>
          <w:szCs w:val="20"/>
        </w:rPr>
        <w:t>( Q</w:t>
      </w:r>
      <w:proofErr w:type="gramEnd"/>
      <w:r w:rsidRPr="002C5238">
        <w:rPr>
          <w:rFonts w:ascii="Arial" w:hAnsi="Arial" w:cs="Arial"/>
          <w:sz w:val="20"/>
          <w:szCs w:val="20"/>
        </w:rPr>
        <w:t>^2 ) Stone-</w:t>
      </w:r>
      <w:proofErr w:type="spellStart"/>
      <w:r w:rsidRPr="002C5238">
        <w:rPr>
          <w:rFonts w:ascii="Arial" w:hAnsi="Arial" w:cs="Arial"/>
          <w:sz w:val="20"/>
          <w:szCs w:val="20"/>
        </w:rPr>
        <w:t>Geisser</w:t>
      </w:r>
      <w:proofErr w:type="spellEnd"/>
      <w:r w:rsidRPr="002C5238">
        <w:rPr>
          <w:rFonts w:ascii="Arial" w:hAnsi="Arial" w:cs="Arial"/>
          <w:sz w:val="20"/>
          <w:szCs w:val="20"/>
        </w:rPr>
        <w:t xml:space="preserve"> criterion for model predictive accuracy.</w:t>
      </w:r>
    </w:p>
    <w:p w14:paraId="20C1302B" w14:textId="77777777" w:rsidR="00167CD9" w:rsidRPr="002C5238" w:rsidRDefault="00167CD9" w:rsidP="00167CD9">
      <w:pPr>
        <w:numPr>
          <w:ilvl w:val="0"/>
          <w:numId w:val="7"/>
        </w:numPr>
        <w:jc w:val="both"/>
        <w:rPr>
          <w:rFonts w:ascii="Arial" w:hAnsi="Arial" w:cs="Arial"/>
          <w:sz w:val="20"/>
          <w:szCs w:val="20"/>
        </w:rPr>
      </w:pPr>
      <w:r w:rsidRPr="002C5238">
        <w:rPr>
          <w:rFonts w:ascii="Arial" w:hAnsi="Arial" w:cs="Arial"/>
          <w:b/>
          <w:bCs/>
          <w:sz w:val="20"/>
          <w:szCs w:val="20"/>
        </w:rPr>
        <w:t>Supplementary Analysis:</w:t>
      </w:r>
    </w:p>
    <w:p w14:paraId="2E61B53E"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Segment Analysis:</w:t>
      </w:r>
      <w:r w:rsidRPr="002C5238">
        <w:rPr>
          <w:rFonts w:ascii="Arial" w:hAnsi="Arial" w:cs="Arial"/>
          <w:sz w:val="20"/>
          <w:szCs w:val="20"/>
        </w:rPr>
        <w:t xml:space="preserve"> Latent Class Analysis (LCA) to identify heterogeneous consumer segments based on pricing sensitivity and content preference.</w:t>
      </w:r>
    </w:p>
    <w:p w14:paraId="7572DA45"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Descriptive Statistics:</w:t>
      </w:r>
      <w:r w:rsidRPr="002C5238">
        <w:rPr>
          <w:rFonts w:ascii="Arial" w:hAnsi="Arial" w:cs="Arial"/>
          <w:sz w:val="20"/>
          <w:szCs w:val="20"/>
        </w:rPr>
        <w:t xml:space="preserve"> Means, standard deviations, and cross-tabulations for demographic insights.</w:t>
      </w:r>
    </w:p>
    <w:p w14:paraId="522C8599"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This methodology ensures robust statistical inference, accommodates the heterogeneity of emerging markets, and provides actionable insights for OTT platform strategy.</w:t>
      </w:r>
    </w:p>
    <w:p w14:paraId="13068381" w14:textId="78B6240E" w:rsidR="00127782" w:rsidRPr="002C5238" w:rsidRDefault="002C5238" w:rsidP="00127782">
      <w:pPr>
        <w:jc w:val="both"/>
        <w:rPr>
          <w:rFonts w:ascii="Arial" w:hAnsi="Arial" w:cs="Arial"/>
          <w:b/>
          <w:bCs/>
        </w:rPr>
      </w:pPr>
      <w:r>
        <w:rPr>
          <w:rFonts w:ascii="Arial" w:hAnsi="Arial" w:cs="Arial"/>
          <w:b/>
          <w:bCs/>
        </w:rPr>
        <w:t>5.</w:t>
      </w:r>
      <w:r w:rsidR="00127782" w:rsidRPr="002C5238">
        <w:rPr>
          <w:rFonts w:ascii="Arial" w:hAnsi="Arial" w:cs="Arial"/>
          <w:b/>
          <w:bCs/>
        </w:rPr>
        <w:t xml:space="preserve">Data Analysis </w:t>
      </w:r>
    </w:p>
    <w:p w14:paraId="7BEF997E" w14:textId="1DF613FA"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1. Descriptive Statistics</w:t>
      </w:r>
    </w:p>
    <w:p w14:paraId="31E0685E" w14:textId="77777777" w:rsidR="00127782" w:rsidRDefault="00127782" w:rsidP="00127782">
      <w:pPr>
        <w:jc w:val="both"/>
        <w:rPr>
          <w:rFonts w:ascii="Arial" w:hAnsi="Arial" w:cs="Arial"/>
          <w:sz w:val="20"/>
          <w:szCs w:val="20"/>
        </w:rPr>
      </w:pPr>
      <w:r w:rsidRPr="002C5238">
        <w:rPr>
          <w:rFonts w:ascii="Arial" w:hAnsi="Arial" w:cs="Arial"/>
          <w:sz w:val="20"/>
          <w:szCs w:val="20"/>
        </w:rPr>
        <w:t xml:space="preserve">We collected </w:t>
      </w:r>
      <w:r w:rsidRPr="002C5238">
        <w:rPr>
          <w:rFonts w:ascii="Arial" w:hAnsi="Arial" w:cs="Arial"/>
          <w:b/>
          <w:bCs/>
          <w:sz w:val="20"/>
          <w:szCs w:val="20"/>
        </w:rPr>
        <w:t>1,200 responses</w:t>
      </w:r>
      <w:r w:rsidRPr="002C5238">
        <w:rPr>
          <w:rFonts w:ascii="Arial" w:hAnsi="Arial" w:cs="Arial"/>
          <w:sz w:val="20"/>
          <w:szCs w:val="20"/>
        </w:rPr>
        <w:t xml:space="preserve"> across India, Brazil, and Indonesia. Demographics were summarised as follows:</w:t>
      </w:r>
    </w:p>
    <w:p w14:paraId="447B306D" w14:textId="6456CA79" w:rsidR="00A21168" w:rsidRPr="002C5238" w:rsidRDefault="00A21168" w:rsidP="00127782">
      <w:pPr>
        <w:jc w:val="both"/>
        <w:rPr>
          <w:rFonts w:ascii="Arial" w:hAnsi="Arial" w:cs="Arial"/>
          <w:sz w:val="20"/>
          <w:szCs w:val="20"/>
        </w:rPr>
      </w:pPr>
      <w:r>
        <w:rPr>
          <w:rFonts w:ascii="Arial" w:hAnsi="Arial" w:cs="Arial"/>
          <w:sz w:val="20"/>
          <w:szCs w:val="20"/>
        </w:rPr>
        <w:t>Table 2-</w:t>
      </w:r>
      <w:r w:rsidR="00F40874">
        <w:rPr>
          <w:rFonts w:ascii="Arial" w:hAnsi="Arial" w:cs="Arial"/>
          <w:sz w:val="20"/>
          <w:szCs w:val="20"/>
        </w:rPr>
        <w:t xml:space="preserve"> </w:t>
      </w:r>
      <w:r w:rsidR="00F40874" w:rsidRPr="00F40874">
        <w:rPr>
          <w:rFonts w:ascii="Arial" w:hAnsi="Arial" w:cs="Arial"/>
          <w:sz w:val="20"/>
          <w:szCs w:val="20"/>
        </w:rPr>
        <w:t>Demographic Profile of Survey Respondents</w:t>
      </w:r>
    </w:p>
    <w:tbl>
      <w:tblPr>
        <w:tblStyle w:val="TableGrid"/>
        <w:tblW w:w="0" w:type="auto"/>
        <w:tblLook w:val="04A0" w:firstRow="1" w:lastRow="0" w:firstColumn="1" w:lastColumn="0" w:noHBand="0" w:noVBand="1"/>
      </w:tblPr>
      <w:tblGrid>
        <w:gridCol w:w="1495"/>
        <w:gridCol w:w="2229"/>
        <w:gridCol w:w="1228"/>
        <w:gridCol w:w="1661"/>
      </w:tblGrid>
      <w:tr w:rsidR="00127782" w:rsidRPr="002C5238" w14:paraId="1390BBB2" w14:textId="77777777" w:rsidTr="008E3942">
        <w:tc>
          <w:tcPr>
            <w:tcW w:w="0" w:type="auto"/>
            <w:hideMark/>
          </w:tcPr>
          <w:p w14:paraId="09109FB7"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Demographic</w:t>
            </w:r>
          </w:p>
        </w:tc>
        <w:tc>
          <w:tcPr>
            <w:tcW w:w="0" w:type="auto"/>
            <w:hideMark/>
          </w:tcPr>
          <w:p w14:paraId="5DCBE07B"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Category</w:t>
            </w:r>
          </w:p>
        </w:tc>
        <w:tc>
          <w:tcPr>
            <w:tcW w:w="0" w:type="auto"/>
            <w:hideMark/>
          </w:tcPr>
          <w:p w14:paraId="716FC6F1"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Frequency</w:t>
            </w:r>
          </w:p>
        </w:tc>
        <w:tc>
          <w:tcPr>
            <w:tcW w:w="0" w:type="auto"/>
            <w:hideMark/>
          </w:tcPr>
          <w:p w14:paraId="682FF9D8"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Percentage (%)</w:t>
            </w:r>
          </w:p>
        </w:tc>
      </w:tr>
      <w:tr w:rsidR="00127782" w:rsidRPr="002C5238" w14:paraId="60F6992D" w14:textId="77777777" w:rsidTr="008E3942">
        <w:tc>
          <w:tcPr>
            <w:tcW w:w="0" w:type="auto"/>
            <w:hideMark/>
          </w:tcPr>
          <w:p w14:paraId="327D688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Gender</w:t>
            </w:r>
          </w:p>
        </w:tc>
        <w:tc>
          <w:tcPr>
            <w:tcW w:w="0" w:type="auto"/>
            <w:hideMark/>
          </w:tcPr>
          <w:p w14:paraId="10205DE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Male</w:t>
            </w:r>
          </w:p>
        </w:tc>
        <w:tc>
          <w:tcPr>
            <w:tcW w:w="0" w:type="auto"/>
            <w:hideMark/>
          </w:tcPr>
          <w:p w14:paraId="44BF7D1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610</w:t>
            </w:r>
          </w:p>
        </w:tc>
        <w:tc>
          <w:tcPr>
            <w:tcW w:w="0" w:type="auto"/>
            <w:hideMark/>
          </w:tcPr>
          <w:p w14:paraId="012E1C0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50.8</w:t>
            </w:r>
          </w:p>
        </w:tc>
      </w:tr>
      <w:tr w:rsidR="00127782" w:rsidRPr="002C5238" w14:paraId="64C97755" w14:textId="77777777" w:rsidTr="008E3942">
        <w:tc>
          <w:tcPr>
            <w:tcW w:w="0" w:type="auto"/>
            <w:hideMark/>
          </w:tcPr>
          <w:p w14:paraId="6F5F429D"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348B829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Female</w:t>
            </w:r>
          </w:p>
        </w:tc>
        <w:tc>
          <w:tcPr>
            <w:tcW w:w="0" w:type="auto"/>
            <w:hideMark/>
          </w:tcPr>
          <w:p w14:paraId="671D909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590</w:t>
            </w:r>
          </w:p>
        </w:tc>
        <w:tc>
          <w:tcPr>
            <w:tcW w:w="0" w:type="auto"/>
            <w:hideMark/>
          </w:tcPr>
          <w:p w14:paraId="744060A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49.2</w:t>
            </w:r>
          </w:p>
        </w:tc>
      </w:tr>
      <w:tr w:rsidR="00127782" w:rsidRPr="002C5238" w14:paraId="08403072" w14:textId="77777777" w:rsidTr="008E3942">
        <w:tc>
          <w:tcPr>
            <w:tcW w:w="0" w:type="auto"/>
            <w:hideMark/>
          </w:tcPr>
          <w:p w14:paraId="1FF3D16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Age</w:t>
            </w:r>
          </w:p>
        </w:tc>
        <w:tc>
          <w:tcPr>
            <w:tcW w:w="0" w:type="auto"/>
            <w:hideMark/>
          </w:tcPr>
          <w:p w14:paraId="67B5D20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18–25</w:t>
            </w:r>
          </w:p>
        </w:tc>
        <w:tc>
          <w:tcPr>
            <w:tcW w:w="0" w:type="auto"/>
            <w:hideMark/>
          </w:tcPr>
          <w:p w14:paraId="454766C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420</w:t>
            </w:r>
          </w:p>
        </w:tc>
        <w:tc>
          <w:tcPr>
            <w:tcW w:w="0" w:type="auto"/>
            <w:hideMark/>
          </w:tcPr>
          <w:p w14:paraId="5F3ED36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35.0</w:t>
            </w:r>
          </w:p>
        </w:tc>
      </w:tr>
      <w:tr w:rsidR="00127782" w:rsidRPr="002C5238" w14:paraId="4229C99E" w14:textId="77777777" w:rsidTr="008E3942">
        <w:tc>
          <w:tcPr>
            <w:tcW w:w="0" w:type="auto"/>
            <w:hideMark/>
          </w:tcPr>
          <w:p w14:paraId="218F30BA"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0D4D029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26–35</w:t>
            </w:r>
          </w:p>
        </w:tc>
        <w:tc>
          <w:tcPr>
            <w:tcW w:w="0" w:type="auto"/>
            <w:hideMark/>
          </w:tcPr>
          <w:p w14:paraId="5E6975C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480</w:t>
            </w:r>
          </w:p>
        </w:tc>
        <w:tc>
          <w:tcPr>
            <w:tcW w:w="0" w:type="auto"/>
            <w:hideMark/>
          </w:tcPr>
          <w:p w14:paraId="0ED951F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40.0</w:t>
            </w:r>
          </w:p>
        </w:tc>
      </w:tr>
      <w:tr w:rsidR="00127782" w:rsidRPr="002C5238" w14:paraId="370A6C2F" w14:textId="77777777" w:rsidTr="008E3942">
        <w:tc>
          <w:tcPr>
            <w:tcW w:w="0" w:type="auto"/>
            <w:hideMark/>
          </w:tcPr>
          <w:p w14:paraId="58289348"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27A705A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36–50</w:t>
            </w:r>
          </w:p>
        </w:tc>
        <w:tc>
          <w:tcPr>
            <w:tcW w:w="0" w:type="auto"/>
            <w:hideMark/>
          </w:tcPr>
          <w:p w14:paraId="4D91937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300</w:t>
            </w:r>
          </w:p>
        </w:tc>
        <w:tc>
          <w:tcPr>
            <w:tcW w:w="0" w:type="auto"/>
            <w:hideMark/>
          </w:tcPr>
          <w:p w14:paraId="64D413D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25.0</w:t>
            </w:r>
          </w:p>
        </w:tc>
      </w:tr>
      <w:tr w:rsidR="00127782" w:rsidRPr="002C5238" w14:paraId="41431B26" w14:textId="77777777" w:rsidTr="008E3942">
        <w:tc>
          <w:tcPr>
            <w:tcW w:w="0" w:type="auto"/>
            <w:hideMark/>
          </w:tcPr>
          <w:p w14:paraId="25E526A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Income</w:t>
            </w:r>
          </w:p>
        </w:tc>
        <w:tc>
          <w:tcPr>
            <w:tcW w:w="0" w:type="auto"/>
            <w:hideMark/>
          </w:tcPr>
          <w:p w14:paraId="6309D8B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Low (&lt;$500/month)</w:t>
            </w:r>
          </w:p>
        </w:tc>
        <w:tc>
          <w:tcPr>
            <w:tcW w:w="0" w:type="auto"/>
            <w:hideMark/>
          </w:tcPr>
          <w:p w14:paraId="0BCC002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360</w:t>
            </w:r>
          </w:p>
        </w:tc>
        <w:tc>
          <w:tcPr>
            <w:tcW w:w="0" w:type="auto"/>
            <w:hideMark/>
          </w:tcPr>
          <w:p w14:paraId="2C2FCFC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30.0</w:t>
            </w:r>
          </w:p>
        </w:tc>
      </w:tr>
      <w:tr w:rsidR="00127782" w:rsidRPr="002C5238" w14:paraId="3734D78B" w14:textId="77777777" w:rsidTr="008E3942">
        <w:tc>
          <w:tcPr>
            <w:tcW w:w="0" w:type="auto"/>
            <w:hideMark/>
          </w:tcPr>
          <w:p w14:paraId="4675656F"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20C12AF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Medium ($500–$1500)</w:t>
            </w:r>
          </w:p>
        </w:tc>
        <w:tc>
          <w:tcPr>
            <w:tcW w:w="0" w:type="auto"/>
            <w:hideMark/>
          </w:tcPr>
          <w:p w14:paraId="2D9B19A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540</w:t>
            </w:r>
          </w:p>
        </w:tc>
        <w:tc>
          <w:tcPr>
            <w:tcW w:w="0" w:type="auto"/>
            <w:hideMark/>
          </w:tcPr>
          <w:p w14:paraId="3235060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45.0</w:t>
            </w:r>
          </w:p>
        </w:tc>
      </w:tr>
      <w:tr w:rsidR="00127782" w:rsidRPr="002C5238" w14:paraId="0E6F5FEB" w14:textId="77777777" w:rsidTr="008E3942">
        <w:tc>
          <w:tcPr>
            <w:tcW w:w="0" w:type="auto"/>
            <w:hideMark/>
          </w:tcPr>
          <w:p w14:paraId="013DAE4A"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3654089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High (&gt;$1500)</w:t>
            </w:r>
          </w:p>
        </w:tc>
        <w:tc>
          <w:tcPr>
            <w:tcW w:w="0" w:type="auto"/>
            <w:hideMark/>
          </w:tcPr>
          <w:p w14:paraId="50DACCD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300</w:t>
            </w:r>
          </w:p>
        </w:tc>
        <w:tc>
          <w:tcPr>
            <w:tcW w:w="0" w:type="auto"/>
            <w:hideMark/>
          </w:tcPr>
          <w:p w14:paraId="74F24C8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25.0</w:t>
            </w:r>
          </w:p>
        </w:tc>
      </w:tr>
      <w:tr w:rsidR="00127782" w:rsidRPr="002C5238" w14:paraId="4B1B0B0C" w14:textId="77777777" w:rsidTr="008E3942">
        <w:tc>
          <w:tcPr>
            <w:tcW w:w="0" w:type="auto"/>
            <w:hideMark/>
          </w:tcPr>
          <w:p w14:paraId="61BF71B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Location</w:t>
            </w:r>
          </w:p>
        </w:tc>
        <w:tc>
          <w:tcPr>
            <w:tcW w:w="0" w:type="auto"/>
            <w:hideMark/>
          </w:tcPr>
          <w:p w14:paraId="087B68C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Urban</w:t>
            </w:r>
          </w:p>
        </w:tc>
        <w:tc>
          <w:tcPr>
            <w:tcW w:w="0" w:type="auto"/>
            <w:hideMark/>
          </w:tcPr>
          <w:p w14:paraId="016F839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720</w:t>
            </w:r>
          </w:p>
        </w:tc>
        <w:tc>
          <w:tcPr>
            <w:tcW w:w="0" w:type="auto"/>
            <w:hideMark/>
          </w:tcPr>
          <w:p w14:paraId="2E17336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60.0</w:t>
            </w:r>
          </w:p>
        </w:tc>
      </w:tr>
      <w:tr w:rsidR="00127782" w:rsidRPr="002C5238" w14:paraId="7E53538A" w14:textId="77777777" w:rsidTr="008E3942">
        <w:tc>
          <w:tcPr>
            <w:tcW w:w="0" w:type="auto"/>
            <w:hideMark/>
          </w:tcPr>
          <w:p w14:paraId="6783A589"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4072569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Rural</w:t>
            </w:r>
          </w:p>
        </w:tc>
        <w:tc>
          <w:tcPr>
            <w:tcW w:w="0" w:type="auto"/>
            <w:hideMark/>
          </w:tcPr>
          <w:p w14:paraId="7D70557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480</w:t>
            </w:r>
          </w:p>
        </w:tc>
        <w:tc>
          <w:tcPr>
            <w:tcW w:w="0" w:type="auto"/>
            <w:hideMark/>
          </w:tcPr>
          <w:p w14:paraId="598C819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40.0</w:t>
            </w:r>
          </w:p>
        </w:tc>
      </w:tr>
    </w:tbl>
    <w:p w14:paraId="5DB8DA5B"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The sample is well-distributed across gender, age, and income, providing representativeness of emerging markets.</w:t>
      </w:r>
    </w:p>
    <w:p w14:paraId="179DAD67" w14:textId="4C5B72D8" w:rsidR="00127782" w:rsidRPr="002C5238" w:rsidRDefault="00127782" w:rsidP="00127782">
      <w:pPr>
        <w:jc w:val="both"/>
        <w:rPr>
          <w:rFonts w:ascii="Arial" w:hAnsi="Arial" w:cs="Arial"/>
          <w:sz w:val="20"/>
          <w:szCs w:val="20"/>
        </w:rPr>
      </w:pPr>
    </w:p>
    <w:p w14:paraId="171201D1" w14:textId="5027E6FE"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2. Reliability Analysis (Cronbach’s Alpha)</w:t>
      </w:r>
    </w:p>
    <w:p w14:paraId="28DC67A6" w14:textId="77777777" w:rsidR="00127782" w:rsidRPr="002C5238" w:rsidRDefault="00127782" w:rsidP="00127782">
      <w:pPr>
        <w:jc w:val="both"/>
        <w:rPr>
          <w:rFonts w:ascii="Arial" w:hAnsi="Arial" w:cs="Arial"/>
          <w:sz w:val="20"/>
          <w:szCs w:val="20"/>
        </w:rPr>
      </w:pPr>
      <w:r w:rsidRPr="002C5238">
        <w:rPr>
          <w:rFonts w:ascii="Arial" w:hAnsi="Arial" w:cs="Arial"/>
          <w:sz w:val="20"/>
          <w:szCs w:val="20"/>
        </w:rPr>
        <w:t>We calculated Cronbach’s Alpha for multi-item constructs:</w:t>
      </w:r>
    </w:p>
    <w:p w14:paraId="181655D0" w14:textId="204EE20F" w:rsidR="008E3942" w:rsidRPr="002C5238" w:rsidRDefault="008E3942" w:rsidP="008E3942">
      <w:pPr>
        <w:jc w:val="center"/>
        <w:rPr>
          <w:rFonts w:ascii="Arial" w:hAnsi="Arial" w:cs="Arial"/>
          <w:sz w:val="20"/>
          <w:szCs w:val="20"/>
        </w:rPr>
      </w:pPr>
      <w:r w:rsidRPr="002C5238">
        <w:rPr>
          <w:rFonts w:ascii="Arial" w:hAnsi="Arial" w:cs="Arial"/>
          <w:noProof/>
          <w:sz w:val="20"/>
          <w:szCs w:val="20"/>
        </w:rPr>
        <w:drawing>
          <wp:inline distT="0" distB="0" distL="0" distR="0" wp14:anchorId="0D430D3A" wp14:editId="605F3140">
            <wp:extent cx="1569856" cy="419136"/>
            <wp:effectExtent l="0" t="0" r="0" b="0"/>
            <wp:docPr id="1482707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7094" name=""/>
                    <pic:cNvPicPr/>
                  </pic:nvPicPr>
                  <pic:blipFill>
                    <a:blip r:embed="rId9"/>
                    <a:stretch>
                      <a:fillRect/>
                    </a:stretch>
                  </pic:blipFill>
                  <pic:spPr>
                    <a:xfrm>
                      <a:off x="0" y="0"/>
                      <a:ext cx="1569856" cy="419136"/>
                    </a:xfrm>
                    <a:prstGeom prst="rect">
                      <a:avLst/>
                    </a:prstGeom>
                  </pic:spPr>
                </pic:pic>
              </a:graphicData>
            </a:graphic>
          </wp:inline>
        </w:drawing>
      </w:r>
    </w:p>
    <w:p w14:paraId="349DCF18" w14:textId="77777777" w:rsidR="00127782" w:rsidRDefault="00127782" w:rsidP="00127782">
      <w:pPr>
        <w:jc w:val="both"/>
        <w:rPr>
          <w:rFonts w:ascii="Arial" w:hAnsi="Arial" w:cs="Arial"/>
          <w:sz w:val="20"/>
          <w:szCs w:val="20"/>
        </w:rPr>
      </w:pPr>
      <w:r w:rsidRPr="002C5238">
        <w:rPr>
          <w:rFonts w:ascii="Arial" w:hAnsi="Arial" w:cs="Arial"/>
          <w:sz w:val="20"/>
          <w:szCs w:val="20"/>
        </w:rPr>
        <w:t>Where (k) = number of items, (\sigma_i^2) = variance of item (</w:t>
      </w:r>
      <w:proofErr w:type="spellStart"/>
      <w:r w:rsidRPr="002C5238">
        <w:rPr>
          <w:rFonts w:ascii="Arial" w:hAnsi="Arial" w:cs="Arial"/>
          <w:sz w:val="20"/>
          <w:szCs w:val="20"/>
        </w:rPr>
        <w:t>i</w:t>
      </w:r>
      <w:proofErr w:type="spellEnd"/>
      <w:r w:rsidRPr="002C5238">
        <w:rPr>
          <w:rFonts w:ascii="Arial" w:hAnsi="Arial" w:cs="Arial"/>
          <w:sz w:val="20"/>
          <w:szCs w:val="20"/>
        </w:rPr>
        <w:t>), (\sigma_t^2) = variance of total score.</w:t>
      </w:r>
    </w:p>
    <w:p w14:paraId="0354CF15" w14:textId="225B91D3" w:rsidR="005B73B6" w:rsidRPr="002C5238" w:rsidRDefault="005B73B6" w:rsidP="00127782">
      <w:pPr>
        <w:jc w:val="both"/>
        <w:rPr>
          <w:rFonts w:ascii="Arial" w:hAnsi="Arial" w:cs="Arial"/>
          <w:sz w:val="20"/>
          <w:szCs w:val="20"/>
        </w:rPr>
      </w:pPr>
      <w:r>
        <w:rPr>
          <w:rFonts w:ascii="Arial" w:hAnsi="Arial" w:cs="Arial"/>
          <w:sz w:val="20"/>
          <w:szCs w:val="20"/>
        </w:rPr>
        <w:t>Table 3-</w:t>
      </w:r>
      <w:r w:rsidR="00F40874">
        <w:rPr>
          <w:rFonts w:ascii="Arial" w:hAnsi="Arial" w:cs="Arial"/>
          <w:sz w:val="20"/>
          <w:szCs w:val="20"/>
        </w:rPr>
        <w:t xml:space="preserve"> </w:t>
      </w:r>
      <w:r w:rsidR="00F40874" w:rsidRPr="00F40874">
        <w:rPr>
          <w:rFonts w:ascii="Arial" w:hAnsi="Arial" w:cs="Arial"/>
          <w:sz w:val="20"/>
          <w:szCs w:val="20"/>
        </w:rPr>
        <w:t>Reliability Analysis of Survey Constructs</w:t>
      </w:r>
    </w:p>
    <w:tbl>
      <w:tblPr>
        <w:tblStyle w:val="TableGrid"/>
        <w:tblW w:w="0" w:type="auto"/>
        <w:tblLook w:val="04A0" w:firstRow="1" w:lastRow="0" w:firstColumn="1" w:lastColumn="0" w:noHBand="0" w:noVBand="1"/>
      </w:tblPr>
      <w:tblGrid>
        <w:gridCol w:w="2384"/>
        <w:gridCol w:w="1361"/>
        <w:gridCol w:w="1913"/>
        <w:gridCol w:w="1505"/>
      </w:tblGrid>
      <w:tr w:rsidR="00127782" w:rsidRPr="002C5238" w14:paraId="6F2B5178" w14:textId="77777777" w:rsidTr="00127782">
        <w:tc>
          <w:tcPr>
            <w:tcW w:w="0" w:type="auto"/>
            <w:hideMark/>
          </w:tcPr>
          <w:p w14:paraId="251E8DCF"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Construct</w:t>
            </w:r>
          </w:p>
        </w:tc>
        <w:tc>
          <w:tcPr>
            <w:tcW w:w="0" w:type="auto"/>
            <w:hideMark/>
          </w:tcPr>
          <w:p w14:paraId="2032F99F"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No. of Items</w:t>
            </w:r>
          </w:p>
        </w:tc>
        <w:tc>
          <w:tcPr>
            <w:tcW w:w="0" w:type="auto"/>
            <w:hideMark/>
          </w:tcPr>
          <w:p w14:paraId="5E9EFDCF"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Cronbach’s Alpha</w:t>
            </w:r>
          </w:p>
        </w:tc>
        <w:tc>
          <w:tcPr>
            <w:tcW w:w="0" w:type="auto"/>
            <w:hideMark/>
          </w:tcPr>
          <w:p w14:paraId="147BDF1E"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Interpretation</w:t>
            </w:r>
          </w:p>
        </w:tc>
      </w:tr>
      <w:tr w:rsidR="00127782" w:rsidRPr="002C5238" w14:paraId="2A2D9AE4" w14:textId="77777777" w:rsidTr="00127782">
        <w:tc>
          <w:tcPr>
            <w:tcW w:w="0" w:type="auto"/>
            <w:hideMark/>
          </w:tcPr>
          <w:p w14:paraId="6BE1650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Pricing Strategy</w:t>
            </w:r>
          </w:p>
        </w:tc>
        <w:tc>
          <w:tcPr>
            <w:tcW w:w="0" w:type="auto"/>
            <w:hideMark/>
          </w:tcPr>
          <w:p w14:paraId="40EE725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16A4A27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0.82</w:t>
            </w:r>
          </w:p>
        </w:tc>
        <w:tc>
          <w:tcPr>
            <w:tcW w:w="0" w:type="auto"/>
            <w:hideMark/>
          </w:tcPr>
          <w:p w14:paraId="44F94735"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Acceptable</w:t>
            </w:r>
          </w:p>
        </w:tc>
      </w:tr>
      <w:tr w:rsidR="00127782" w:rsidRPr="002C5238" w14:paraId="19AA4350" w14:textId="77777777" w:rsidTr="00127782">
        <w:tc>
          <w:tcPr>
            <w:tcW w:w="0" w:type="auto"/>
            <w:hideMark/>
          </w:tcPr>
          <w:p w14:paraId="329BE01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Content Preference</w:t>
            </w:r>
          </w:p>
        </w:tc>
        <w:tc>
          <w:tcPr>
            <w:tcW w:w="0" w:type="auto"/>
            <w:hideMark/>
          </w:tcPr>
          <w:p w14:paraId="20F196B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6F2FF70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0.85</w:t>
            </w:r>
          </w:p>
        </w:tc>
        <w:tc>
          <w:tcPr>
            <w:tcW w:w="0" w:type="auto"/>
            <w:hideMark/>
          </w:tcPr>
          <w:p w14:paraId="1E2557E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Good</w:t>
            </w:r>
          </w:p>
        </w:tc>
      </w:tr>
      <w:tr w:rsidR="00127782" w:rsidRPr="002C5238" w14:paraId="4A4B25FB" w14:textId="77777777" w:rsidTr="00127782">
        <w:tc>
          <w:tcPr>
            <w:tcW w:w="0" w:type="auto"/>
            <w:hideMark/>
          </w:tcPr>
          <w:p w14:paraId="33E51A5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Socio-Economic Factors</w:t>
            </w:r>
          </w:p>
        </w:tc>
        <w:tc>
          <w:tcPr>
            <w:tcW w:w="0" w:type="auto"/>
            <w:hideMark/>
          </w:tcPr>
          <w:p w14:paraId="77308A5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1C382CC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0.78</w:t>
            </w:r>
          </w:p>
        </w:tc>
        <w:tc>
          <w:tcPr>
            <w:tcW w:w="0" w:type="auto"/>
            <w:hideMark/>
          </w:tcPr>
          <w:p w14:paraId="321AD431"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Acceptable</w:t>
            </w:r>
          </w:p>
        </w:tc>
      </w:tr>
      <w:tr w:rsidR="00127782" w:rsidRPr="002C5238" w14:paraId="5E5C6E63" w14:textId="77777777" w:rsidTr="00127782">
        <w:tc>
          <w:tcPr>
            <w:tcW w:w="0" w:type="auto"/>
            <w:hideMark/>
          </w:tcPr>
          <w:p w14:paraId="3FFCE14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Socio-Cultural Factors</w:t>
            </w:r>
          </w:p>
        </w:tc>
        <w:tc>
          <w:tcPr>
            <w:tcW w:w="0" w:type="auto"/>
            <w:hideMark/>
          </w:tcPr>
          <w:p w14:paraId="635B4B7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406BED6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0.80</w:t>
            </w:r>
          </w:p>
        </w:tc>
        <w:tc>
          <w:tcPr>
            <w:tcW w:w="0" w:type="auto"/>
            <w:hideMark/>
          </w:tcPr>
          <w:p w14:paraId="0780417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Good</w:t>
            </w:r>
          </w:p>
        </w:tc>
      </w:tr>
      <w:tr w:rsidR="00127782" w:rsidRPr="002C5238" w14:paraId="4DE10C8F" w14:textId="77777777" w:rsidTr="00127782">
        <w:tc>
          <w:tcPr>
            <w:tcW w:w="0" w:type="auto"/>
            <w:hideMark/>
          </w:tcPr>
          <w:p w14:paraId="1B03A4F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Consumer Behaviour</w:t>
            </w:r>
          </w:p>
        </w:tc>
        <w:tc>
          <w:tcPr>
            <w:tcW w:w="0" w:type="auto"/>
            <w:hideMark/>
          </w:tcPr>
          <w:p w14:paraId="75DD02E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3AC644D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0.88</w:t>
            </w:r>
          </w:p>
        </w:tc>
        <w:tc>
          <w:tcPr>
            <w:tcW w:w="0" w:type="auto"/>
            <w:hideMark/>
          </w:tcPr>
          <w:p w14:paraId="634AF68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Excellent</w:t>
            </w:r>
          </w:p>
        </w:tc>
      </w:tr>
    </w:tbl>
    <w:p w14:paraId="24EBD37A" w14:textId="266513F3" w:rsidR="008E394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All constructs demonstrate good internal consistency, meeting the threshold α &gt; 0.7.</w:t>
      </w:r>
    </w:p>
    <w:p w14:paraId="69FC99E3" w14:textId="0B480CDF"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3. Convergent and Discriminant Validity</w:t>
      </w:r>
    </w:p>
    <w:p w14:paraId="1AA88105" w14:textId="5545ED9F" w:rsidR="00127782" w:rsidRPr="002C5238" w:rsidRDefault="002C5238" w:rsidP="00127782">
      <w:pPr>
        <w:rPr>
          <w:rFonts w:ascii="Arial" w:hAnsi="Arial" w:cs="Arial"/>
          <w:sz w:val="20"/>
          <w:szCs w:val="20"/>
        </w:rPr>
      </w:pPr>
      <w:r>
        <w:rPr>
          <w:rFonts w:ascii="Arial" w:hAnsi="Arial" w:cs="Arial"/>
          <w:b/>
          <w:bCs/>
          <w:sz w:val="20"/>
          <w:szCs w:val="20"/>
        </w:rPr>
        <w:t>5.</w:t>
      </w:r>
      <w:r w:rsidR="00127782" w:rsidRPr="002C5238">
        <w:rPr>
          <w:rFonts w:ascii="Arial" w:hAnsi="Arial" w:cs="Arial"/>
          <w:b/>
          <w:bCs/>
          <w:sz w:val="20"/>
          <w:szCs w:val="20"/>
        </w:rPr>
        <w:t>3.1 Convergent Validity</w:t>
      </w:r>
      <w:r w:rsidR="00127782" w:rsidRPr="002C5238">
        <w:rPr>
          <w:rFonts w:ascii="Arial" w:hAnsi="Arial" w:cs="Arial"/>
          <w:sz w:val="20"/>
          <w:szCs w:val="20"/>
        </w:rPr>
        <w:br/>
        <w:t>AVE (Average Variance Extracted) was computed:</w:t>
      </w:r>
    </w:p>
    <w:p w14:paraId="4D6A5157" w14:textId="647ED058" w:rsidR="00127782" w:rsidRDefault="00127782" w:rsidP="00127782">
      <w:pPr>
        <w:jc w:val="center"/>
        <w:rPr>
          <w:rFonts w:ascii="Arial" w:hAnsi="Arial" w:cs="Arial"/>
          <w:sz w:val="20"/>
          <w:szCs w:val="20"/>
        </w:rPr>
      </w:pPr>
      <w:r w:rsidRPr="002C5238">
        <w:rPr>
          <w:rFonts w:ascii="Arial" w:hAnsi="Arial" w:cs="Arial"/>
          <w:noProof/>
          <w:sz w:val="20"/>
          <w:szCs w:val="20"/>
        </w:rPr>
        <w:drawing>
          <wp:inline distT="0" distB="0" distL="0" distR="0" wp14:anchorId="700B9FF3" wp14:editId="09042145">
            <wp:extent cx="2537680" cy="472481"/>
            <wp:effectExtent l="0" t="0" r="0" b="3810"/>
            <wp:docPr id="1773971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71384" name=""/>
                    <pic:cNvPicPr/>
                  </pic:nvPicPr>
                  <pic:blipFill>
                    <a:blip r:embed="rId10"/>
                    <a:stretch>
                      <a:fillRect/>
                    </a:stretch>
                  </pic:blipFill>
                  <pic:spPr>
                    <a:xfrm>
                      <a:off x="0" y="0"/>
                      <a:ext cx="2537680" cy="472481"/>
                    </a:xfrm>
                    <a:prstGeom prst="rect">
                      <a:avLst/>
                    </a:prstGeom>
                  </pic:spPr>
                </pic:pic>
              </a:graphicData>
            </a:graphic>
          </wp:inline>
        </w:drawing>
      </w:r>
    </w:p>
    <w:p w14:paraId="071A903D" w14:textId="7C1EDB42" w:rsidR="005B73B6" w:rsidRPr="002C5238" w:rsidRDefault="005B73B6" w:rsidP="00127782">
      <w:pPr>
        <w:jc w:val="center"/>
        <w:rPr>
          <w:rFonts w:ascii="Arial" w:hAnsi="Arial" w:cs="Arial"/>
          <w:sz w:val="20"/>
          <w:szCs w:val="20"/>
        </w:rPr>
      </w:pPr>
      <w:r>
        <w:rPr>
          <w:rFonts w:ascii="Arial" w:hAnsi="Arial" w:cs="Arial"/>
          <w:sz w:val="20"/>
          <w:szCs w:val="20"/>
        </w:rPr>
        <w:t>Table 4-</w:t>
      </w:r>
      <w:r w:rsidR="00F40874">
        <w:rPr>
          <w:rFonts w:ascii="Arial" w:hAnsi="Arial" w:cs="Arial"/>
          <w:sz w:val="20"/>
          <w:szCs w:val="20"/>
        </w:rPr>
        <w:t xml:space="preserve"> </w:t>
      </w:r>
      <w:r w:rsidR="00F40874" w:rsidRPr="00F40874">
        <w:rPr>
          <w:rFonts w:ascii="Arial" w:hAnsi="Arial" w:cs="Arial"/>
          <w:sz w:val="20"/>
          <w:szCs w:val="20"/>
        </w:rPr>
        <w:t>Convergent Validity and Reliability of Measurement Constructs</w:t>
      </w:r>
    </w:p>
    <w:tbl>
      <w:tblPr>
        <w:tblStyle w:val="TableGrid"/>
        <w:tblW w:w="0" w:type="auto"/>
        <w:tblLook w:val="04A0" w:firstRow="1" w:lastRow="0" w:firstColumn="1" w:lastColumn="0" w:noHBand="0" w:noVBand="1"/>
      </w:tblPr>
      <w:tblGrid>
        <w:gridCol w:w="2095"/>
        <w:gridCol w:w="1772"/>
        <w:gridCol w:w="613"/>
        <w:gridCol w:w="606"/>
      </w:tblGrid>
      <w:tr w:rsidR="00127782" w:rsidRPr="002C5238" w14:paraId="32C3516C" w14:textId="77777777" w:rsidTr="00127782">
        <w:tc>
          <w:tcPr>
            <w:tcW w:w="0" w:type="auto"/>
            <w:hideMark/>
          </w:tcPr>
          <w:p w14:paraId="02BF5D1D"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Construct</w:t>
            </w:r>
          </w:p>
        </w:tc>
        <w:tc>
          <w:tcPr>
            <w:tcW w:w="0" w:type="auto"/>
            <w:hideMark/>
          </w:tcPr>
          <w:p w14:paraId="0263C13C"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Factor Loadings</w:t>
            </w:r>
          </w:p>
        </w:tc>
        <w:tc>
          <w:tcPr>
            <w:tcW w:w="0" w:type="auto"/>
            <w:hideMark/>
          </w:tcPr>
          <w:p w14:paraId="47F8C7E8"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AVE</w:t>
            </w:r>
          </w:p>
        </w:tc>
        <w:tc>
          <w:tcPr>
            <w:tcW w:w="0" w:type="auto"/>
            <w:hideMark/>
          </w:tcPr>
          <w:p w14:paraId="2E19E718"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CR</w:t>
            </w:r>
          </w:p>
        </w:tc>
      </w:tr>
      <w:tr w:rsidR="00127782" w:rsidRPr="002C5238" w14:paraId="6A6A3F8C" w14:textId="77777777" w:rsidTr="00127782">
        <w:tc>
          <w:tcPr>
            <w:tcW w:w="0" w:type="auto"/>
            <w:hideMark/>
          </w:tcPr>
          <w:p w14:paraId="0A175D9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Pricing Strategy</w:t>
            </w:r>
          </w:p>
        </w:tc>
        <w:tc>
          <w:tcPr>
            <w:tcW w:w="0" w:type="auto"/>
            <w:hideMark/>
          </w:tcPr>
          <w:p w14:paraId="3D6D92D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0.78, 0.81, 0.80</w:t>
            </w:r>
          </w:p>
        </w:tc>
        <w:tc>
          <w:tcPr>
            <w:tcW w:w="0" w:type="auto"/>
            <w:hideMark/>
          </w:tcPr>
          <w:p w14:paraId="2FA8068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0.63</w:t>
            </w:r>
          </w:p>
        </w:tc>
        <w:tc>
          <w:tcPr>
            <w:tcW w:w="0" w:type="auto"/>
            <w:hideMark/>
          </w:tcPr>
          <w:p w14:paraId="5C0FEFA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0.84</w:t>
            </w:r>
          </w:p>
        </w:tc>
      </w:tr>
      <w:tr w:rsidR="00127782" w:rsidRPr="002C5238" w14:paraId="17FFF45E" w14:textId="77777777" w:rsidTr="00127782">
        <w:tc>
          <w:tcPr>
            <w:tcW w:w="0" w:type="auto"/>
            <w:hideMark/>
          </w:tcPr>
          <w:p w14:paraId="0914C231"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Content Preference</w:t>
            </w:r>
          </w:p>
        </w:tc>
        <w:tc>
          <w:tcPr>
            <w:tcW w:w="0" w:type="auto"/>
            <w:hideMark/>
          </w:tcPr>
          <w:p w14:paraId="7C6A8D9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0.82, 0.79, 0.85</w:t>
            </w:r>
          </w:p>
        </w:tc>
        <w:tc>
          <w:tcPr>
            <w:tcW w:w="0" w:type="auto"/>
            <w:hideMark/>
          </w:tcPr>
          <w:p w14:paraId="1EC6D81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0.69</w:t>
            </w:r>
          </w:p>
        </w:tc>
        <w:tc>
          <w:tcPr>
            <w:tcW w:w="0" w:type="auto"/>
            <w:hideMark/>
          </w:tcPr>
          <w:p w14:paraId="4D5D868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0.86</w:t>
            </w:r>
          </w:p>
        </w:tc>
      </w:tr>
      <w:tr w:rsidR="00127782" w:rsidRPr="002C5238" w14:paraId="0787E1CB" w14:textId="77777777" w:rsidTr="00127782">
        <w:tc>
          <w:tcPr>
            <w:tcW w:w="0" w:type="auto"/>
            <w:hideMark/>
          </w:tcPr>
          <w:p w14:paraId="514E7A8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lastRenderedPageBreak/>
              <w:t>Socio-Economic</w:t>
            </w:r>
          </w:p>
        </w:tc>
        <w:tc>
          <w:tcPr>
            <w:tcW w:w="0" w:type="auto"/>
            <w:hideMark/>
          </w:tcPr>
          <w:p w14:paraId="4ABECE8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0.76, 0.77, 0.80</w:t>
            </w:r>
          </w:p>
        </w:tc>
        <w:tc>
          <w:tcPr>
            <w:tcW w:w="0" w:type="auto"/>
            <w:hideMark/>
          </w:tcPr>
          <w:p w14:paraId="1506E4B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0.62</w:t>
            </w:r>
          </w:p>
        </w:tc>
        <w:tc>
          <w:tcPr>
            <w:tcW w:w="0" w:type="auto"/>
            <w:hideMark/>
          </w:tcPr>
          <w:p w14:paraId="4480429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0.81</w:t>
            </w:r>
          </w:p>
        </w:tc>
      </w:tr>
      <w:tr w:rsidR="00127782" w:rsidRPr="002C5238" w14:paraId="1B8395BE" w14:textId="77777777" w:rsidTr="00127782">
        <w:tc>
          <w:tcPr>
            <w:tcW w:w="0" w:type="auto"/>
            <w:hideMark/>
          </w:tcPr>
          <w:p w14:paraId="02EDE60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Socio-Cultural</w:t>
            </w:r>
          </w:p>
        </w:tc>
        <w:tc>
          <w:tcPr>
            <w:tcW w:w="0" w:type="auto"/>
            <w:hideMark/>
          </w:tcPr>
          <w:p w14:paraId="7B9ED76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0.79, 0.81, 0.78</w:t>
            </w:r>
          </w:p>
        </w:tc>
        <w:tc>
          <w:tcPr>
            <w:tcW w:w="0" w:type="auto"/>
            <w:hideMark/>
          </w:tcPr>
          <w:p w14:paraId="17BBBA4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0.66</w:t>
            </w:r>
          </w:p>
        </w:tc>
        <w:tc>
          <w:tcPr>
            <w:tcW w:w="0" w:type="auto"/>
            <w:hideMark/>
          </w:tcPr>
          <w:p w14:paraId="17E7325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0.83</w:t>
            </w:r>
          </w:p>
        </w:tc>
      </w:tr>
      <w:tr w:rsidR="00127782" w:rsidRPr="002C5238" w14:paraId="17A891DD" w14:textId="77777777" w:rsidTr="00127782">
        <w:tc>
          <w:tcPr>
            <w:tcW w:w="0" w:type="auto"/>
            <w:hideMark/>
          </w:tcPr>
          <w:p w14:paraId="221454D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Consumer Behaviour</w:t>
            </w:r>
          </w:p>
        </w:tc>
        <w:tc>
          <w:tcPr>
            <w:tcW w:w="0" w:type="auto"/>
            <w:hideMark/>
          </w:tcPr>
          <w:p w14:paraId="0107AC81"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0.84, 0.82, 0.86</w:t>
            </w:r>
          </w:p>
        </w:tc>
        <w:tc>
          <w:tcPr>
            <w:tcW w:w="0" w:type="auto"/>
            <w:hideMark/>
          </w:tcPr>
          <w:p w14:paraId="1E716FA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0.72</w:t>
            </w:r>
          </w:p>
        </w:tc>
        <w:tc>
          <w:tcPr>
            <w:tcW w:w="0" w:type="auto"/>
            <w:hideMark/>
          </w:tcPr>
          <w:p w14:paraId="00D572F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0.88</w:t>
            </w:r>
          </w:p>
        </w:tc>
      </w:tr>
    </w:tbl>
    <w:p w14:paraId="38F08D7C"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AVE &gt; 0.5 and CR &gt; 0.7 → convergent validity established.</w:t>
      </w:r>
    </w:p>
    <w:p w14:paraId="7F70B299" w14:textId="52D0936A" w:rsidR="00127782" w:rsidRDefault="002C5238" w:rsidP="00127782">
      <w:pPr>
        <w:rPr>
          <w:rFonts w:ascii="Arial" w:hAnsi="Arial" w:cs="Arial"/>
          <w:sz w:val="20"/>
          <w:szCs w:val="20"/>
        </w:rPr>
      </w:pPr>
      <w:r>
        <w:rPr>
          <w:rFonts w:ascii="Arial" w:hAnsi="Arial" w:cs="Arial"/>
          <w:b/>
          <w:bCs/>
          <w:sz w:val="20"/>
          <w:szCs w:val="20"/>
        </w:rPr>
        <w:t>5.</w:t>
      </w:r>
      <w:r w:rsidR="00127782" w:rsidRPr="002C5238">
        <w:rPr>
          <w:rFonts w:ascii="Arial" w:hAnsi="Arial" w:cs="Arial"/>
          <w:b/>
          <w:bCs/>
          <w:sz w:val="20"/>
          <w:szCs w:val="20"/>
        </w:rPr>
        <w:t>3.2 Discriminant Validity</w:t>
      </w:r>
      <w:r w:rsidR="00127782" w:rsidRPr="002C5238">
        <w:rPr>
          <w:rFonts w:ascii="Arial" w:hAnsi="Arial" w:cs="Arial"/>
          <w:sz w:val="20"/>
          <w:szCs w:val="20"/>
        </w:rPr>
        <w:br/>
      </w:r>
      <w:proofErr w:type="spellStart"/>
      <w:r w:rsidR="00127782" w:rsidRPr="002C5238">
        <w:rPr>
          <w:rFonts w:ascii="Arial" w:hAnsi="Arial" w:cs="Arial"/>
          <w:sz w:val="20"/>
          <w:szCs w:val="20"/>
        </w:rPr>
        <w:t>Fornell-Larcker</w:t>
      </w:r>
      <w:proofErr w:type="spellEnd"/>
      <w:r w:rsidR="00127782" w:rsidRPr="002C5238">
        <w:rPr>
          <w:rFonts w:ascii="Arial" w:hAnsi="Arial" w:cs="Arial"/>
          <w:sz w:val="20"/>
          <w:szCs w:val="20"/>
        </w:rPr>
        <w:t xml:space="preserve"> criterion applied: square root of AVE &gt; correlations with other constructs.</w:t>
      </w:r>
    </w:p>
    <w:p w14:paraId="5FDEEBB6" w14:textId="7684E2FB" w:rsidR="005B73B6" w:rsidRPr="002C5238" w:rsidRDefault="005B73B6" w:rsidP="00127782">
      <w:pPr>
        <w:rPr>
          <w:rFonts w:ascii="Arial" w:hAnsi="Arial" w:cs="Arial"/>
          <w:sz w:val="20"/>
          <w:szCs w:val="20"/>
        </w:rPr>
      </w:pPr>
      <w:r w:rsidRPr="005B73B6">
        <w:rPr>
          <w:rFonts w:ascii="Arial" w:hAnsi="Arial" w:cs="Arial"/>
          <w:sz w:val="20"/>
          <w:szCs w:val="20"/>
        </w:rPr>
        <w:t>Table</w:t>
      </w:r>
      <w:r>
        <w:rPr>
          <w:rFonts w:ascii="Arial" w:hAnsi="Arial" w:cs="Arial"/>
          <w:sz w:val="20"/>
          <w:szCs w:val="20"/>
        </w:rPr>
        <w:t xml:space="preserve"> 5-</w:t>
      </w:r>
      <w:r w:rsidR="00F40874">
        <w:rPr>
          <w:rFonts w:ascii="Arial" w:hAnsi="Arial" w:cs="Arial"/>
          <w:sz w:val="20"/>
          <w:szCs w:val="20"/>
        </w:rPr>
        <w:t xml:space="preserve"> </w:t>
      </w:r>
      <w:r w:rsidR="00F40874" w:rsidRPr="00F40874">
        <w:rPr>
          <w:rFonts w:ascii="Arial" w:hAnsi="Arial" w:cs="Arial"/>
          <w:sz w:val="20"/>
          <w:szCs w:val="20"/>
        </w:rPr>
        <w:t xml:space="preserve">Discriminant Validity Using </w:t>
      </w:r>
      <w:proofErr w:type="spellStart"/>
      <w:r w:rsidR="00F40874" w:rsidRPr="00F40874">
        <w:rPr>
          <w:rFonts w:ascii="Arial" w:hAnsi="Arial" w:cs="Arial"/>
          <w:sz w:val="20"/>
          <w:szCs w:val="20"/>
        </w:rPr>
        <w:t>Fornell-Larcker</w:t>
      </w:r>
      <w:proofErr w:type="spellEnd"/>
      <w:r w:rsidR="00F40874" w:rsidRPr="00F40874">
        <w:rPr>
          <w:rFonts w:ascii="Arial" w:hAnsi="Arial" w:cs="Arial"/>
          <w:sz w:val="20"/>
          <w:szCs w:val="20"/>
        </w:rPr>
        <w:t xml:space="preserve"> Criterion</w:t>
      </w:r>
    </w:p>
    <w:tbl>
      <w:tblPr>
        <w:tblStyle w:val="TableGrid"/>
        <w:tblW w:w="0" w:type="auto"/>
        <w:tblLook w:val="04A0" w:firstRow="1" w:lastRow="0" w:firstColumn="1" w:lastColumn="0" w:noHBand="0" w:noVBand="1"/>
      </w:tblPr>
      <w:tblGrid>
        <w:gridCol w:w="2562"/>
        <w:gridCol w:w="606"/>
        <w:gridCol w:w="606"/>
        <w:gridCol w:w="606"/>
        <w:gridCol w:w="606"/>
        <w:gridCol w:w="606"/>
      </w:tblGrid>
      <w:tr w:rsidR="00127782" w:rsidRPr="002C5238" w14:paraId="14A4DAF1" w14:textId="77777777" w:rsidTr="00127782">
        <w:tc>
          <w:tcPr>
            <w:tcW w:w="0" w:type="auto"/>
            <w:hideMark/>
          </w:tcPr>
          <w:p w14:paraId="21808EA5"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Construct</w:t>
            </w:r>
          </w:p>
        </w:tc>
        <w:tc>
          <w:tcPr>
            <w:tcW w:w="0" w:type="auto"/>
            <w:hideMark/>
          </w:tcPr>
          <w:p w14:paraId="5BED1B8B"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PS</w:t>
            </w:r>
          </w:p>
        </w:tc>
        <w:tc>
          <w:tcPr>
            <w:tcW w:w="0" w:type="auto"/>
            <w:hideMark/>
          </w:tcPr>
          <w:p w14:paraId="324687E7"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CP</w:t>
            </w:r>
          </w:p>
        </w:tc>
        <w:tc>
          <w:tcPr>
            <w:tcW w:w="0" w:type="auto"/>
            <w:hideMark/>
          </w:tcPr>
          <w:p w14:paraId="56D86BAE"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SE</w:t>
            </w:r>
          </w:p>
        </w:tc>
        <w:tc>
          <w:tcPr>
            <w:tcW w:w="0" w:type="auto"/>
            <w:hideMark/>
          </w:tcPr>
          <w:p w14:paraId="47A7C5FB"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SC</w:t>
            </w:r>
          </w:p>
        </w:tc>
        <w:tc>
          <w:tcPr>
            <w:tcW w:w="0" w:type="auto"/>
            <w:hideMark/>
          </w:tcPr>
          <w:p w14:paraId="0A630AE0"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CB</w:t>
            </w:r>
          </w:p>
        </w:tc>
      </w:tr>
      <w:tr w:rsidR="00127782" w:rsidRPr="002C5238" w14:paraId="2A6A74D0" w14:textId="77777777" w:rsidTr="00127782">
        <w:tc>
          <w:tcPr>
            <w:tcW w:w="0" w:type="auto"/>
            <w:hideMark/>
          </w:tcPr>
          <w:p w14:paraId="136FFF6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Pricing Strategy (PS)</w:t>
            </w:r>
          </w:p>
        </w:tc>
        <w:tc>
          <w:tcPr>
            <w:tcW w:w="0" w:type="auto"/>
            <w:hideMark/>
          </w:tcPr>
          <w:p w14:paraId="4AA6FB6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0.79</w:t>
            </w:r>
          </w:p>
        </w:tc>
        <w:tc>
          <w:tcPr>
            <w:tcW w:w="0" w:type="auto"/>
            <w:hideMark/>
          </w:tcPr>
          <w:p w14:paraId="03083D9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0.52</w:t>
            </w:r>
          </w:p>
        </w:tc>
        <w:tc>
          <w:tcPr>
            <w:tcW w:w="0" w:type="auto"/>
            <w:hideMark/>
          </w:tcPr>
          <w:p w14:paraId="6E30B90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0.48</w:t>
            </w:r>
          </w:p>
        </w:tc>
        <w:tc>
          <w:tcPr>
            <w:tcW w:w="0" w:type="auto"/>
            <w:hideMark/>
          </w:tcPr>
          <w:p w14:paraId="5E3636B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0.45</w:t>
            </w:r>
          </w:p>
        </w:tc>
        <w:tc>
          <w:tcPr>
            <w:tcW w:w="0" w:type="auto"/>
            <w:hideMark/>
          </w:tcPr>
          <w:p w14:paraId="60DD71F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0.55</w:t>
            </w:r>
          </w:p>
        </w:tc>
      </w:tr>
      <w:tr w:rsidR="00127782" w:rsidRPr="002C5238" w14:paraId="2A490CB6" w14:textId="77777777" w:rsidTr="00127782">
        <w:tc>
          <w:tcPr>
            <w:tcW w:w="0" w:type="auto"/>
            <w:hideMark/>
          </w:tcPr>
          <w:p w14:paraId="5110261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Content Preference (CP)</w:t>
            </w:r>
          </w:p>
        </w:tc>
        <w:tc>
          <w:tcPr>
            <w:tcW w:w="0" w:type="auto"/>
            <w:hideMark/>
          </w:tcPr>
          <w:p w14:paraId="7392ABC7"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5CD4E68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0.83</w:t>
            </w:r>
          </w:p>
        </w:tc>
        <w:tc>
          <w:tcPr>
            <w:tcW w:w="0" w:type="auto"/>
            <w:hideMark/>
          </w:tcPr>
          <w:p w14:paraId="6E9DB9C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0.49</w:t>
            </w:r>
          </w:p>
        </w:tc>
        <w:tc>
          <w:tcPr>
            <w:tcW w:w="0" w:type="auto"/>
            <w:hideMark/>
          </w:tcPr>
          <w:p w14:paraId="33EC686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0.47</w:t>
            </w:r>
          </w:p>
        </w:tc>
        <w:tc>
          <w:tcPr>
            <w:tcW w:w="0" w:type="auto"/>
            <w:hideMark/>
          </w:tcPr>
          <w:p w14:paraId="0F6ED75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0.61</w:t>
            </w:r>
          </w:p>
        </w:tc>
      </w:tr>
      <w:tr w:rsidR="00127782" w:rsidRPr="002C5238" w14:paraId="4AF216B7" w14:textId="77777777" w:rsidTr="00127782">
        <w:tc>
          <w:tcPr>
            <w:tcW w:w="0" w:type="auto"/>
            <w:hideMark/>
          </w:tcPr>
          <w:p w14:paraId="4F797A9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Socio-Economic (SE)</w:t>
            </w:r>
          </w:p>
        </w:tc>
        <w:tc>
          <w:tcPr>
            <w:tcW w:w="0" w:type="auto"/>
            <w:hideMark/>
          </w:tcPr>
          <w:p w14:paraId="02617A02"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70924F34"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37F56BB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0.79</w:t>
            </w:r>
          </w:p>
        </w:tc>
        <w:tc>
          <w:tcPr>
            <w:tcW w:w="0" w:type="auto"/>
            <w:hideMark/>
          </w:tcPr>
          <w:p w14:paraId="5D33072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0.50</w:t>
            </w:r>
          </w:p>
        </w:tc>
        <w:tc>
          <w:tcPr>
            <w:tcW w:w="0" w:type="auto"/>
            <w:hideMark/>
          </w:tcPr>
          <w:p w14:paraId="09A646A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0.57</w:t>
            </w:r>
          </w:p>
        </w:tc>
      </w:tr>
      <w:tr w:rsidR="00127782" w:rsidRPr="002C5238" w14:paraId="7D929EAC" w14:textId="77777777" w:rsidTr="00127782">
        <w:tc>
          <w:tcPr>
            <w:tcW w:w="0" w:type="auto"/>
            <w:hideMark/>
          </w:tcPr>
          <w:p w14:paraId="445E495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Socio-Cultural (SC)</w:t>
            </w:r>
          </w:p>
        </w:tc>
        <w:tc>
          <w:tcPr>
            <w:tcW w:w="0" w:type="auto"/>
            <w:hideMark/>
          </w:tcPr>
          <w:p w14:paraId="703066CB"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0BE471EF"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55F39EC9"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7E1F715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0.81</w:t>
            </w:r>
          </w:p>
        </w:tc>
        <w:tc>
          <w:tcPr>
            <w:tcW w:w="0" w:type="auto"/>
            <w:hideMark/>
          </w:tcPr>
          <w:p w14:paraId="174CEFA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0.58</w:t>
            </w:r>
          </w:p>
        </w:tc>
      </w:tr>
      <w:tr w:rsidR="00127782" w:rsidRPr="002C5238" w14:paraId="06456406" w14:textId="77777777" w:rsidTr="00127782">
        <w:tc>
          <w:tcPr>
            <w:tcW w:w="0" w:type="auto"/>
            <w:hideMark/>
          </w:tcPr>
          <w:p w14:paraId="7CDE37D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Consumer Behaviour (CB)</w:t>
            </w:r>
          </w:p>
        </w:tc>
        <w:tc>
          <w:tcPr>
            <w:tcW w:w="0" w:type="auto"/>
            <w:hideMark/>
          </w:tcPr>
          <w:p w14:paraId="74117A56"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5D8F34D8"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59EB2932"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2D983E21"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44943F1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0.85</w:t>
            </w:r>
          </w:p>
        </w:tc>
      </w:tr>
    </w:tbl>
    <w:p w14:paraId="2F1AE7AA"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Discriminant validity achieved as diagonal values &gt; off-diagonal correlations.</w:t>
      </w:r>
    </w:p>
    <w:p w14:paraId="3636220D" w14:textId="3EFC3C9A" w:rsidR="00127782" w:rsidRPr="002C5238" w:rsidRDefault="00127782" w:rsidP="00127782">
      <w:pPr>
        <w:jc w:val="both"/>
        <w:rPr>
          <w:rFonts w:ascii="Arial" w:hAnsi="Arial" w:cs="Arial"/>
          <w:sz w:val="20"/>
          <w:szCs w:val="20"/>
        </w:rPr>
      </w:pPr>
    </w:p>
    <w:p w14:paraId="55C51687" w14:textId="69214EF7"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4. Structural Model and Hypothesis Testing (PLS-SEM)</w:t>
      </w:r>
    </w:p>
    <w:p w14:paraId="04FE0FAA"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Model:</w:t>
      </w:r>
      <w:r w:rsidRPr="002C5238">
        <w:rPr>
          <w:rFonts w:ascii="Arial" w:hAnsi="Arial" w:cs="Arial"/>
          <w:sz w:val="20"/>
          <w:szCs w:val="20"/>
        </w:rPr>
        <w:t xml:space="preserve"> Consumer Behaviour as dependent variable, Pricing Strategy &amp; Content Preference as IVs, moderated by Socio-Economic &amp; Socio-Cultural factors.</w:t>
      </w:r>
    </w:p>
    <w:p w14:paraId="21AB9F56" w14:textId="77777777" w:rsidR="00127782" w:rsidRDefault="00127782" w:rsidP="00127782">
      <w:pPr>
        <w:jc w:val="both"/>
        <w:rPr>
          <w:rFonts w:ascii="Arial" w:hAnsi="Arial" w:cs="Arial"/>
          <w:b/>
          <w:bCs/>
          <w:sz w:val="20"/>
          <w:szCs w:val="20"/>
        </w:rPr>
      </w:pPr>
      <w:r w:rsidRPr="002C5238">
        <w:rPr>
          <w:rFonts w:ascii="Arial" w:hAnsi="Arial" w:cs="Arial"/>
          <w:b/>
          <w:bCs/>
          <w:sz w:val="20"/>
          <w:szCs w:val="20"/>
        </w:rPr>
        <w:t>Path Coefficients and Significance (Bootstrapping, 5,000 resamples):</w:t>
      </w:r>
    </w:p>
    <w:p w14:paraId="1DB4A027" w14:textId="700FB90B" w:rsidR="005B73B6" w:rsidRPr="002C5238" w:rsidRDefault="005B73B6" w:rsidP="00127782">
      <w:pPr>
        <w:jc w:val="both"/>
        <w:rPr>
          <w:rFonts w:ascii="Arial" w:hAnsi="Arial" w:cs="Arial"/>
          <w:sz w:val="20"/>
          <w:szCs w:val="20"/>
        </w:rPr>
      </w:pPr>
      <w:r w:rsidRPr="005B73B6">
        <w:rPr>
          <w:rFonts w:ascii="Arial" w:hAnsi="Arial" w:cs="Arial"/>
          <w:sz w:val="20"/>
          <w:szCs w:val="20"/>
        </w:rPr>
        <w:t>Table</w:t>
      </w:r>
      <w:r>
        <w:rPr>
          <w:rFonts w:ascii="Arial" w:hAnsi="Arial" w:cs="Arial"/>
          <w:sz w:val="20"/>
          <w:szCs w:val="20"/>
        </w:rPr>
        <w:t xml:space="preserve"> 6-</w:t>
      </w:r>
      <w:r w:rsidR="00F40874">
        <w:rPr>
          <w:rFonts w:ascii="Arial" w:hAnsi="Arial" w:cs="Arial"/>
          <w:sz w:val="20"/>
          <w:szCs w:val="20"/>
        </w:rPr>
        <w:t xml:space="preserve"> </w:t>
      </w:r>
      <w:r w:rsidR="00F40874" w:rsidRPr="00F40874">
        <w:rPr>
          <w:rFonts w:ascii="Arial" w:hAnsi="Arial" w:cs="Arial"/>
          <w:sz w:val="20"/>
          <w:szCs w:val="20"/>
        </w:rPr>
        <w:t>Hypothesis Testing Results: Path Coefficients and Significance</w:t>
      </w:r>
    </w:p>
    <w:tbl>
      <w:tblPr>
        <w:tblStyle w:val="TableGrid"/>
        <w:tblW w:w="0" w:type="auto"/>
        <w:tblLook w:val="04A0" w:firstRow="1" w:lastRow="0" w:firstColumn="1" w:lastColumn="0" w:noHBand="0" w:noVBand="1"/>
      </w:tblPr>
      <w:tblGrid>
        <w:gridCol w:w="2162"/>
        <w:gridCol w:w="1561"/>
        <w:gridCol w:w="861"/>
        <w:gridCol w:w="917"/>
        <w:gridCol w:w="1584"/>
      </w:tblGrid>
      <w:tr w:rsidR="00127782" w:rsidRPr="002C5238" w14:paraId="31F96C41" w14:textId="77777777" w:rsidTr="00127782">
        <w:tc>
          <w:tcPr>
            <w:tcW w:w="0" w:type="auto"/>
            <w:hideMark/>
          </w:tcPr>
          <w:p w14:paraId="500C7105"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Path</w:t>
            </w:r>
          </w:p>
        </w:tc>
        <w:tc>
          <w:tcPr>
            <w:tcW w:w="0" w:type="auto"/>
            <w:hideMark/>
          </w:tcPr>
          <w:p w14:paraId="0858B14D"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Coefficient (β)</w:t>
            </w:r>
          </w:p>
        </w:tc>
        <w:tc>
          <w:tcPr>
            <w:tcW w:w="0" w:type="auto"/>
            <w:hideMark/>
          </w:tcPr>
          <w:p w14:paraId="4D967A57"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t-value</w:t>
            </w:r>
          </w:p>
        </w:tc>
        <w:tc>
          <w:tcPr>
            <w:tcW w:w="0" w:type="auto"/>
            <w:hideMark/>
          </w:tcPr>
          <w:p w14:paraId="20E02B42"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p-value</w:t>
            </w:r>
          </w:p>
        </w:tc>
        <w:tc>
          <w:tcPr>
            <w:tcW w:w="0" w:type="auto"/>
            <w:hideMark/>
          </w:tcPr>
          <w:p w14:paraId="52E839AC"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Result</w:t>
            </w:r>
          </w:p>
        </w:tc>
      </w:tr>
      <w:tr w:rsidR="00127782" w:rsidRPr="002C5238" w14:paraId="396C7C9E" w14:textId="77777777" w:rsidTr="00127782">
        <w:tc>
          <w:tcPr>
            <w:tcW w:w="0" w:type="auto"/>
            <w:hideMark/>
          </w:tcPr>
          <w:p w14:paraId="48BABB4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PS → CB</w:t>
            </w:r>
          </w:p>
        </w:tc>
        <w:tc>
          <w:tcPr>
            <w:tcW w:w="0" w:type="auto"/>
            <w:hideMark/>
          </w:tcPr>
          <w:p w14:paraId="3EAE649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0.42</w:t>
            </w:r>
          </w:p>
        </w:tc>
        <w:tc>
          <w:tcPr>
            <w:tcW w:w="0" w:type="auto"/>
            <w:hideMark/>
          </w:tcPr>
          <w:p w14:paraId="43559C45"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8.75</w:t>
            </w:r>
          </w:p>
        </w:tc>
        <w:tc>
          <w:tcPr>
            <w:tcW w:w="0" w:type="auto"/>
            <w:hideMark/>
          </w:tcPr>
          <w:p w14:paraId="4658CB5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&lt;0.001</w:t>
            </w:r>
          </w:p>
        </w:tc>
        <w:tc>
          <w:tcPr>
            <w:tcW w:w="0" w:type="auto"/>
            <w:hideMark/>
          </w:tcPr>
          <w:p w14:paraId="577EE03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(H1)</w:t>
            </w:r>
          </w:p>
        </w:tc>
      </w:tr>
      <w:tr w:rsidR="00127782" w:rsidRPr="002C5238" w14:paraId="460F65A3" w14:textId="77777777" w:rsidTr="00127782">
        <w:tc>
          <w:tcPr>
            <w:tcW w:w="0" w:type="auto"/>
            <w:hideMark/>
          </w:tcPr>
          <w:p w14:paraId="11F57CB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CP → CB</w:t>
            </w:r>
          </w:p>
        </w:tc>
        <w:tc>
          <w:tcPr>
            <w:tcW w:w="0" w:type="auto"/>
            <w:hideMark/>
          </w:tcPr>
          <w:p w14:paraId="11BD23C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0.47</w:t>
            </w:r>
          </w:p>
        </w:tc>
        <w:tc>
          <w:tcPr>
            <w:tcW w:w="0" w:type="auto"/>
            <w:hideMark/>
          </w:tcPr>
          <w:p w14:paraId="2011AFA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9.32</w:t>
            </w:r>
          </w:p>
        </w:tc>
        <w:tc>
          <w:tcPr>
            <w:tcW w:w="0" w:type="auto"/>
            <w:hideMark/>
          </w:tcPr>
          <w:p w14:paraId="618D76C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&lt;0.001</w:t>
            </w:r>
          </w:p>
        </w:tc>
        <w:tc>
          <w:tcPr>
            <w:tcW w:w="0" w:type="auto"/>
            <w:hideMark/>
          </w:tcPr>
          <w:p w14:paraId="0B11D46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(H2)</w:t>
            </w:r>
          </w:p>
        </w:tc>
      </w:tr>
      <w:tr w:rsidR="00127782" w:rsidRPr="002C5238" w14:paraId="7698F5AB" w14:textId="77777777" w:rsidTr="00127782">
        <w:tc>
          <w:tcPr>
            <w:tcW w:w="0" w:type="auto"/>
            <w:hideMark/>
          </w:tcPr>
          <w:p w14:paraId="57BB0AB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PS*SE → CB</w:t>
            </w:r>
          </w:p>
        </w:tc>
        <w:tc>
          <w:tcPr>
            <w:tcW w:w="0" w:type="auto"/>
            <w:hideMark/>
          </w:tcPr>
          <w:p w14:paraId="3D96C28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0.15</w:t>
            </w:r>
          </w:p>
        </w:tc>
        <w:tc>
          <w:tcPr>
            <w:tcW w:w="0" w:type="auto"/>
            <w:hideMark/>
          </w:tcPr>
          <w:p w14:paraId="5BB2A4A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3.12</w:t>
            </w:r>
          </w:p>
        </w:tc>
        <w:tc>
          <w:tcPr>
            <w:tcW w:w="0" w:type="auto"/>
            <w:hideMark/>
          </w:tcPr>
          <w:p w14:paraId="6F63065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0.002</w:t>
            </w:r>
          </w:p>
        </w:tc>
        <w:tc>
          <w:tcPr>
            <w:tcW w:w="0" w:type="auto"/>
            <w:hideMark/>
          </w:tcPr>
          <w:p w14:paraId="44F7EF0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(H3)</w:t>
            </w:r>
          </w:p>
        </w:tc>
      </w:tr>
      <w:tr w:rsidR="00127782" w:rsidRPr="002C5238" w14:paraId="4CEBBDFB" w14:textId="77777777" w:rsidTr="00127782">
        <w:tc>
          <w:tcPr>
            <w:tcW w:w="0" w:type="auto"/>
            <w:hideMark/>
          </w:tcPr>
          <w:p w14:paraId="6515881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CP*SC → CB</w:t>
            </w:r>
          </w:p>
        </w:tc>
        <w:tc>
          <w:tcPr>
            <w:tcW w:w="0" w:type="auto"/>
            <w:hideMark/>
          </w:tcPr>
          <w:p w14:paraId="06120A9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0.18</w:t>
            </w:r>
          </w:p>
        </w:tc>
        <w:tc>
          <w:tcPr>
            <w:tcW w:w="0" w:type="auto"/>
            <w:hideMark/>
          </w:tcPr>
          <w:p w14:paraId="7D2BD8A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3.68</w:t>
            </w:r>
          </w:p>
        </w:tc>
        <w:tc>
          <w:tcPr>
            <w:tcW w:w="0" w:type="auto"/>
            <w:hideMark/>
          </w:tcPr>
          <w:p w14:paraId="162279A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&lt;0.001</w:t>
            </w:r>
          </w:p>
        </w:tc>
        <w:tc>
          <w:tcPr>
            <w:tcW w:w="0" w:type="auto"/>
            <w:hideMark/>
          </w:tcPr>
          <w:p w14:paraId="43A2859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(H4)</w:t>
            </w:r>
          </w:p>
        </w:tc>
      </w:tr>
      <w:tr w:rsidR="00127782" w:rsidRPr="002C5238" w14:paraId="62487A1F" w14:textId="77777777" w:rsidTr="00127782">
        <w:tc>
          <w:tcPr>
            <w:tcW w:w="0" w:type="auto"/>
            <w:hideMark/>
          </w:tcPr>
          <w:p w14:paraId="0AE4350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CB → Retention/WTP</w:t>
            </w:r>
          </w:p>
        </w:tc>
        <w:tc>
          <w:tcPr>
            <w:tcW w:w="0" w:type="auto"/>
            <w:hideMark/>
          </w:tcPr>
          <w:p w14:paraId="6FD233A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0.55</w:t>
            </w:r>
          </w:p>
        </w:tc>
        <w:tc>
          <w:tcPr>
            <w:tcW w:w="0" w:type="auto"/>
            <w:hideMark/>
          </w:tcPr>
          <w:p w14:paraId="6E13F0F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10.25</w:t>
            </w:r>
          </w:p>
        </w:tc>
        <w:tc>
          <w:tcPr>
            <w:tcW w:w="0" w:type="auto"/>
            <w:hideMark/>
          </w:tcPr>
          <w:p w14:paraId="0E10449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&lt;0.001</w:t>
            </w:r>
          </w:p>
        </w:tc>
        <w:tc>
          <w:tcPr>
            <w:tcW w:w="0" w:type="auto"/>
            <w:hideMark/>
          </w:tcPr>
          <w:p w14:paraId="21234CD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(H5)</w:t>
            </w:r>
          </w:p>
        </w:tc>
      </w:tr>
    </w:tbl>
    <w:p w14:paraId="1181EE2D"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All hypothesised relationships are statistically significant. Pricing and content positively influence consumer behaviour, while moderators amplify these effects. Consumer behaviour strongly predicts retention and willingness to pay.</w:t>
      </w:r>
    </w:p>
    <w:p w14:paraId="409AF1F0" w14:textId="04C245D9" w:rsidR="00127782" w:rsidRPr="002C5238" w:rsidRDefault="00127782" w:rsidP="00127782">
      <w:pPr>
        <w:jc w:val="both"/>
        <w:rPr>
          <w:rFonts w:ascii="Arial" w:hAnsi="Arial" w:cs="Arial"/>
          <w:sz w:val="20"/>
          <w:szCs w:val="20"/>
        </w:rPr>
      </w:pPr>
    </w:p>
    <w:p w14:paraId="134069DE" w14:textId="3AA14D7B"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5. Segment Analysis (Latent Class Analysis)</w:t>
      </w:r>
    </w:p>
    <w:p w14:paraId="292A2FC8" w14:textId="77777777" w:rsidR="00127782" w:rsidRDefault="00127782" w:rsidP="00127782">
      <w:pPr>
        <w:jc w:val="both"/>
        <w:rPr>
          <w:rFonts w:ascii="Arial" w:hAnsi="Arial" w:cs="Arial"/>
          <w:sz w:val="20"/>
          <w:szCs w:val="20"/>
        </w:rPr>
      </w:pPr>
      <w:r w:rsidRPr="002C5238">
        <w:rPr>
          <w:rFonts w:ascii="Arial" w:hAnsi="Arial" w:cs="Arial"/>
          <w:sz w:val="20"/>
          <w:szCs w:val="20"/>
        </w:rPr>
        <w:t>Using LCA, three consumer segments identified:</w:t>
      </w:r>
    </w:p>
    <w:p w14:paraId="4D1BC6E7" w14:textId="3D3DCA34" w:rsidR="005B73B6" w:rsidRPr="002C5238" w:rsidRDefault="005B73B6" w:rsidP="00127782">
      <w:pPr>
        <w:jc w:val="both"/>
        <w:rPr>
          <w:rFonts w:ascii="Arial" w:hAnsi="Arial" w:cs="Arial"/>
          <w:sz w:val="20"/>
          <w:szCs w:val="20"/>
        </w:rPr>
      </w:pPr>
      <w:r w:rsidRPr="005B73B6">
        <w:rPr>
          <w:rFonts w:ascii="Arial" w:hAnsi="Arial" w:cs="Arial"/>
          <w:sz w:val="20"/>
          <w:szCs w:val="20"/>
        </w:rPr>
        <w:t>Table</w:t>
      </w:r>
      <w:r>
        <w:rPr>
          <w:rFonts w:ascii="Arial" w:hAnsi="Arial" w:cs="Arial"/>
          <w:sz w:val="20"/>
          <w:szCs w:val="20"/>
        </w:rPr>
        <w:t xml:space="preserve"> 7-</w:t>
      </w:r>
      <w:r w:rsidR="00F40874">
        <w:rPr>
          <w:rFonts w:ascii="Arial" w:hAnsi="Arial" w:cs="Arial"/>
          <w:sz w:val="20"/>
          <w:szCs w:val="20"/>
        </w:rPr>
        <w:t xml:space="preserve"> </w:t>
      </w:r>
      <w:r w:rsidR="00F40874" w:rsidRPr="00F40874">
        <w:rPr>
          <w:rFonts w:ascii="Arial" w:hAnsi="Arial" w:cs="Arial"/>
          <w:sz w:val="20"/>
          <w:szCs w:val="20"/>
        </w:rPr>
        <w:t>Customer Segmentation Based on Preferences and Characteristics</w:t>
      </w:r>
    </w:p>
    <w:tbl>
      <w:tblPr>
        <w:tblStyle w:val="TableGrid"/>
        <w:tblW w:w="0" w:type="auto"/>
        <w:tblLook w:val="04A0" w:firstRow="1" w:lastRow="0" w:firstColumn="1" w:lastColumn="0" w:noHBand="0" w:noVBand="1"/>
      </w:tblPr>
      <w:tblGrid>
        <w:gridCol w:w="1165"/>
        <w:gridCol w:w="926"/>
        <w:gridCol w:w="2507"/>
        <w:gridCol w:w="2007"/>
        <w:gridCol w:w="2415"/>
      </w:tblGrid>
      <w:tr w:rsidR="00127782" w:rsidRPr="002C5238" w14:paraId="4168C6D5" w14:textId="77777777" w:rsidTr="00127782">
        <w:tc>
          <w:tcPr>
            <w:tcW w:w="0" w:type="auto"/>
            <w:hideMark/>
          </w:tcPr>
          <w:p w14:paraId="5277E618"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Segment</w:t>
            </w:r>
          </w:p>
        </w:tc>
        <w:tc>
          <w:tcPr>
            <w:tcW w:w="0" w:type="auto"/>
            <w:hideMark/>
          </w:tcPr>
          <w:p w14:paraId="5CC309C6"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Size (%)</w:t>
            </w:r>
          </w:p>
        </w:tc>
        <w:tc>
          <w:tcPr>
            <w:tcW w:w="0" w:type="auto"/>
            <w:hideMark/>
          </w:tcPr>
          <w:p w14:paraId="415ACFB7"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Characteristics</w:t>
            </w:r>
          </w:p>
        </w:tc>
        <w:tc>
          <w:tcPr>
            <w:tcW w:w="0" w:type="auto"/>
            <w:hideMark/>
          </w:tcPr>
          <w:p w14:paraId="53DF70B4"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Pricing Preference</w:t>
            </w:r>
          </w:p>
        </w:tc>
        <w:tc>
          <w:tcPr>
            <w:tcW w:w="0" w:type="auto"/>
            <w:hideMark/>
          </w:tcPr>
          <w:p w14:paraId="3DF37F55"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Content Preference</w:t>
            </w:r>
          </w:p>
        </w:tc>
      </w:tr>
      <w:tr w:rsidR="00127782" w:rsidRPr="002C5238" w14:paraId="65BA063E" w14:textId="77777777" w:rsidTr="00127782">
        <w:tc>
          <w:tcPr>
            <w:tcW w:w="0" w:type="auto"/>
            <w:hideMark/>
          </w:tcPr>
          <w:p w14:paraId="6BA0A2E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lastRenderedPageBreak/>
              <w:t>Segment 1</w:t>
            </w:r>
          </w:p>
        </w:tc>
        <w:tc>
          <w:tcPr>
            <w:tcW w:w="0" w:type="auto"/>
            <w:hideMark/>
          </w:tcPr>
          <w:p w14:paraId="0C95993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40</w:t>
            </w:r>
          </w:p>
        </w:tc>
        <w:tc>
          <w:tcPr>
            <w:tcW w:w="0" w:type="auto"/>
            <w:hideMark/>
          </w:tcPr>
          <w:p w14:paraId="62236FA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Price-sensitive youth</w:t>
            </w:r>
          </w:p>
        </w:tc>
        <w:tc>
          <w:tcPr>
            <w:tcW w:w="0" w:type="auto"/>
            <w:hideMark/>
          </w:tcPr>
          <w:p w14:paraId="04802F7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Freemium</w:t>
            </w:r>
          </w:p>
        </w:tc>
        <w:tc>
          <w:tcPr>
            <w:tcW w:w="0" w:type="auto"/>
            <w:hideMark/>
          </w:tcPr>
          <w:p w14:paraId="44AAC0F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Regional content</w:t>
            </w:r>
          </w:p>
        </w:tc>
      </w:tr>
      <w:tr w:rsidR="00127782" w:rsidRPr="002C5238" w14:paraId="36570D2C" w14:textId="77777777" w:rsidTr="00127782">
        <w:tc>
          <w:tcPr>
            <w:tcW w:w="0" w:type="auto"/>
            <w:hideMark/>
          </w:tcPr>
          <w:p w14:paraId="2C8E670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Segment 2</w:t>
            </w:r>
          </w:p>
        </w:tc>
        <w:tc>
          <w:tcPr>
            <w:tcW w:w="0" w:type="auto"/>
            <w:hideMark/>
          </w:tcPr>
          <w:p w14:paraId="6E13E7C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35</w:t>
            </w:r>
          </w:p>
        </w:tc>
        <w:tc>
          <w:tcPr>
            <w:tcW w:w="0" w:type="auto"/>
            <w:hideMark/>
          </w:tcPr>
          <w:p w14:paraId="0CAF0AB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Mid-income working adults</w:t>
            </w:r>
          </w:p>
        </w:tc>
        <w:tc>
          <w:tcPr>
            <w:tcW w:w="0" w:type="auto"/>
            <w:hideMark/>
          </w:tcPr>
          <w:p w14:paraId="323AF775"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Tiered subscription</w:t>
            </w:r>
          </w:p>
        </w:tc>
        <w:tc>
          <w:tcPr>
            <w:tcW w:w="0" w:type="auto"/>
            <w:hideMark/>
          </w:tcPr>
          <w:p w14:paraId="1B34095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Mix of local + international</w:t>
            </w:r>
          </w:p>
        </w:tc>
      </w:tr>
      <w:tr w:rsidR="00127782" w:rsidRPr="002C5238" w14:paraId="24EE4307" w14:textId="77777777" w:rsidTr="00127782">
        <w:tc>
          <w:tcPr>
            <w:tcW w:w="0" w:type="auto"/>
            <w:hideMark/>
          </w:tcPr>
          <w:p w14:paraId="44A11E2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Segment 3</w:t>
            </w:r>
          </w:p>
        </w:tc>
        <w:tc>
          <w:tcPr>
            <w:tcW w:w="0" w:type="auto"/>
            <w:hideMark/>
          </w:tcPr>
          <w:p w14:paraId="740EE82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25</w:t>
            </w:r>
          </w:p>
        </w:tc>
        <w:tc>
          <w:tcPr>
            <w:tcW w:w="0" w:type="auto"/>
            <w:hideMark/>
          </w:tcPr>
          <w:p w14:paraId="7AEE0C0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High-income early adopters</w:t>
            </w:r>
          </w:p>
        </w:tc>
        <w:tc>
          <w:tcPr>
            <w:tcW w:w="0" w:type="auto"/>
            <w:hideMark/>
          </w:tcPr>
          <w:p w14:paraId="194FF775"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Premium subscription</w:t>
            </w:r>
          </w:p>
        </w:tc>
        <w:tc>
          <w:tcPr>
            <w:tcW w:w="0" w:type="auto"/>
            <w:hideMark/>
          </w:tcPr>
          <w:p w14:paraId="2BD4FCA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Exclusive/original content</w:t>
            </w:r>
          </w:p>
        </w:tc>
      </w:tr>
    </w:tbl>
    <w:p w14:paraId="638E36A3"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Segment-specific strategies recommended for adoption and retention. Freemium appeals to budget-conscious users; premium tiers target high-income, content-driven users.</w:t>
      </w:r>
    </w:p>
    <w:p w14:paraId="61D2F5E9" w14:textId="6164310E" w:rsidR="00127782" w:rsidRPr="002C5238" w:rsidRDefault="00127782" w:rsidP="00127782">
      <w:pPr>
        <w:jc w:val="both"/>
        <w:rPr>
          <w:rFonts w:ascii="Arial" w:hAnsi="Arial" w:cs="Arial"/>
          <w:sz w:val="20"/>
          <w:szCs w:val="20"/>
        </w:rPr>
      </w:pPr>
    </w:p>
    <w:p w14:paraId="7530DEA8" w14:textId="2D1C72CD"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6. Predictive Power of Model</w:t>
      </w:r>
    </w:p>
    <w:p w14:paraId="6EDACC43" w14:textId="77777777" w:rsidR="00127782" w:rsidRPr="002C5238" w:rsidRDefault="00127782" w:rsidP="00127782">
      <w:pPr>
        <w:numPr>
          <w:ilvl w:val="0"/>
          <w:numId w:val="8"/>
        </w:numPr>
        <w:jc w:val="both"/>
        <w:rPr>
          <w:rFonts w:ascii="Arial" w:hAnsi="Arial" w:cs="Arial"/>
          <w:sz w:val="20"/>
          <w:szCs w:val="20"/>
        </w:rPr>
      </w:pPr>
      <w:r w:rsidRPr="002C5238">
        <w:rPr>
          <w:rFonts w:ascii="Arial" w:hAnsi="Arial" w:cs="Arial"/>
          <w:b/>
          <w:bCs/>
          <w:sz w:val="20"/>
          <w:szCs w:val="20"/>
        </w:rPr>
        <w:t>R² for Consumer Behaviour:</w:t>
      </w:r>
      <w:r w:rsidRPr="002C5238">
        <w:rPr>
          <w:rFonts w:ascii="Arial" w:hAnsi="Arial" w:cs="Arial"/>
          <w:sz w:val="20"/>
          <w:szCs w:val="20"/>
        </w:rPr>
        <w:t xml:space="preserve"> 0.61 → 61% variance explained</w:t>
      </w:r>
    </w:p>
    <w:p w14:paraId="5ADB22A5" w14:textId="77777777" w:rsidR="00127782" w:rsidRPr="002C5238" w:rsidRDefault="00127782" w:rsidP="00127782">
      <w:pPr>
        <w:numPr>
          <w:ilvl w:val="0"/>
          <w:numId w:val="8"/>
        </w:numPr>
        <w:jc w:val="both"/>
        <w:rPr>
          <w:rFonts w:ascii="Arial" w:hAnsi="Arial" w:cs="Arial"/>
          <w:sz w:val="20"/>
          <w:szCs w:val="20"/>
        </w:rPr>
      </w:pPr>
      <w:r w:rsidRPr="002C5238">
        <w:rPr>
          <w:rFonts w:ascii="Arial" w:hAnsi="Arial" w:cs="Arial"/>
          <w:b/>
          <w:bCs/>
          <w:sz w:val="20"/>
          <w:szCs w:val="20"/>
        </w:rPr>
        <w:t>Effect sizes (f²):</w:t>
      </w:r>
      <w:r w:rsidRPr="002C5238">
        <w:rPr>
          <w:rFonts w:ascii="Arial" w:hAnsi="Arial" w:cs="Arial"/>
          <w:sz w:val="20"/>
          <w:szCs w:val="20"/>
        </w:rPr>
        <w:t xml:space="preserve"> PS = 0.18, CP = 0.22 → medium effects</w:t>
      </w:r>
    </w:p>
    <w:p w14:paraId="23CCFAF8" w14:textId="77777777" w:rsidR="00127782" w:rsidRPr="002C5238" w:rsidRDefault="00127782" w:rsidP="00127782">
      <w:pPr>
        <w:numPr>
          <w:ilvl w:val="0"/>
          <w:numId w:val="8"/>
        </w:numPr>
        <w:jc w:val="both"/>
        <w:rPr>
          <w:rFonts w:ascii="Arial" w:hAnsi="Arial" w:cs="Arial"/>
          <w:sz w:val="20"/>
          <w:szCs w:val="20"/>
        </w:rPr>
      </w:pPr>
      <w:r w:rsidRPr="002C5238">
        <w:rPr>
          <w:rFonts w:ascii="Arial" w:hAnsi="Arial" w:cs="Arial"/>
          <w:b/>
          <w:bCs/>
          <w:sz w:val="20"/>
          <w:szCs w:val="20"/>
        </w:rPr>
        <w:t>Predictive relevance (Q²):</w:t>
      </w:r>
      <w:r w:rsidRPr="002C5238">
        <w:rPr>
          <w:rFonts w:ascii="Arial" w:hAnsi="Arial" w:cs="Arial"/>
          <w:sz w:val="20"/>
          <w:szCs w:val="20"/>
        </w:rPr>
        <w:t xml:space="preserve"> 0.47 → model has good predictive validity</w:t>
      </w:r>
    </w:p>
    <w:p w14:paraId="309ABF62" w14:textId="064225DC" w:rsidR="008E3942" w:rsidRPr="002C5238" w:rsidRDefault="002C5238" w:rsidP="008E3942">
      <w:pPr>
        <w:jc w:val="both"/>
        <w:rPr>
          <w:rFonts w:ascii="Arial" w:hAnsi="Arial" w:cs="Arial"/>
        </w:rPr>
      </w:pPr>
      <w:r>
        <w:rPr>
          <w:rFonts w:ascii="Arial" w:hAnsi="Arial" w:cs="Arial"/>
          <w:b/>
          <w:bCs/>
        </w:rPr>
        <w:t>6.</w:t>
      </w:r>
      <w:r w:rsidR="008E3942" w:rsidRPr="002C5238">
        <w:rPr>
          <w:rFonts w:ascii="Arial" w:hAnsi="Arial" w:cs="Arial"/>
          <w:b/>
          <w:bCs/>
        </w:rPr>
        <w:t>Results and Findings</w:t>
      </w:r>
    </w:p>
    <w:p w14:paraId="3BACEF5D"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 study provides compelling insights into consumer behaviour and pricing strategies in emerging OTT markets. Analysis of </w:t>
      </w:r>
      <w:r w:rsidRPr="002C5238">
        <w:rPr>
          <w:rFonts w:ascii="Arial" w:hAnsi="Arial" w:cs="Arial"/>
          <w:b/>
          <w:bCs/>
          <w:sz w:val="20"/>
          <w:szCs w:val="20"/>
        </w:rPr>
        <w:t>1,200 respondents</w:t>
      </w:r>
      <w:r w:rsidRPr="002C5238">
        <w:rPr>
          <w:rFonts w:ascii="Arial" w:hAnsi="Arial" w:cs="Arial"/>
          <w:sz w:val="20"/>
          <w:szCs w:val="20"/>
        </w:rPr>
        <w:t xml:space="preserve"> across India, Brazil, and Indonesia reveals a highly heterogeneous user base, with significant differences in age, income, and location influencing adoption and engagement patterns. The descriptive statistics indicate a balanced representation across gender and age groups, with a slightly higher concentration of urban, mid-income users (45% of the sample), reflecting the primary target demographic for OTT platforms in emerging economies.</w:t>
      </w:r>
    </w:p>
    <w:p w14:paraId="74041138"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Impact of Pricing Strategy on Consumer Behaviour</w:t>
      </w:r>
      <w:r w:rsidRPr="002C5238">
        <w:rPr>
          <w:rFonts w:ascii="Arial" w:hAnsi="Arial" w:cs="Arial"/>
          <w:sz w:val="20"/>
          <w:szCs w:val="20"/>
        </w:rPr>
        <w:t xml:space="preserve"> </w:t>
      </w:r>
    </w:p>
    <w:p w14:paraId="746797AD" w14:textId="69802478"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 structural model demonstrates that </w:t>
      </w:r>
      <w:r w:rsidRPr="002C5238">
        <w:rPr>
          <w:rFonts w:ascii="Arial" w:hAnsi="Arial" w:cs="Arial"/>
          <w:b/>
          <w:bCs/>
          <w:sz w:val="20"/>
          <w:szCs w:val="20"/>
        </w:rPr>
        <w:t>pricing strategy</w:t>
      </w:r>
      <w:r w:rsidRPr="002C5238">
        <w:rPr>
          <w:rFonts w:ascii="Arial" w:hAnsi="Arial" w:cs="Arial"/>
          <w:sz w:val="20"/>
          <w:szCs w:val="20"/>
        </w:rPr>
        <w:t xml:space="preserve"> significantly influences consumer adoption. The path coefficient (β = 0.42, p &lt; 0.001) confirms that affordability, tiered subscription plans, and freemium options positively impact user engagement. Moderation analysis reveals that </w:t>
      </w:r>
      <w:r w:rsidRPr="002C5238">
        <w:rPr>
          <w:rFonts w:ascii="Arial" w:hAnsi="Arial" w:cs="Arial"/>
          <w:b/>
          <w:bCs/>
          <w:sz w:val="20"/>
          <w:szCs w:val="20"/>
        </w:rPr>
        <w:t>socio-economic factors</w:t>
      </w:r>
      <w:r w:rsidRPr="002C5238">
        <w:rPr>
          <w:rFonts w:ascii="Arial" w:hAnsi="Arial" w:cs="Arial"/>
          <w:sz w:val="20"/>
          <w:szCs w:val="20"/>
        </w:rPr>
        <w:t xml:space="preserve"> such as income and digital literacy amplify this effect (β = 0.15, p = 0.002), highlighting that low- and mid-income consumers are particularly sensitive to flexible and cost-effective pricing mechanisms. These findings reinforce prior research emphasizing the importance of adaptive pricing in price-sensitive emerging markets (Hennig-</w:t>
      </w:r>
      <w:proofErr w:type="spellStart"/>
      <w:r w:rsidRPr="002C5238">
        <w:rPr>
          <w:rFonts w:ascii="Arial" w:hAnsi="Arial" w:cs="Arial"/>
          <w:sz w:val="20"/>
          <w:szCs w:val="20"/>
        </w:rPr>
        <w:t>Thurau</w:t>
      </w:r>
      <w:proofErr w:type="spellEnd"/>
      <w:r w:rsidRPr="002C5238">
        <w:rPr>
          <w:rFonts w:ascii="Arial" w:hAnsi="Arial" w:cs="Arial"/>
          <w:sz w:val="20"/>
          <w:szCs w:val="20"/>
        </w:rPr>
        <w:t xml:space="preserve"> et al., 2021; Rai &amp; Singh, 2020).</w:t>
      </w:r>
    </w:p>
    <w:p w14:paraId="611C6C0B" w14:textId="77777777" w:rsidR="008E3942" w:rsidRPr="002C5238" w:rsidRDefault="008E3942" w:rsidP="008E3942">
      <w:pPr>
        <w:jc w:val="both"/>
        <w:rPr>
          <w:rFonts w:ascii="Arial" w:hAnsi="Arial" w:cs="Arial"/>
          <w:b/>
          <w:bCs/>
          <w:sz w:val="20"/>
          <w:szCs w:val="20"/>
        </w:rPr>
      </w:pPr>
      <w:r w:rsidRPr="002C5238">
        <w:rPr>
          <w:rFonts w:ascii="Arial" w:hAnsi="Arial" w:cs="Arial"/>
          <w:b/>
          <w:bCs/>
          <w:sz w:val="20"/>
          <w:szCs w:val="20"/>
        </w:rPr>
        <w:t>Role of Content Preferences</w:t>
      </w:r>
    </w:p>
    <w:p w14:paraId="7FC2A458" w14:textId="5B157453"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 Content preferences emerge as an equally strong determinant of adoption (β = 0.47, p &lt; 0.001). Users show heightened engagement when content aligns with </w:t>
      </w:r>
      <w:r w:rsidRPr="002C5238">
        <w:rPr>
          <w:rFonts w:ascii="Arial" w:hAnsi="Arial" w:cs="Arial"/>
          <w:b/>
          <w:bCs/>
          <w:sz w:val="20"/>
          <w:szCs w:val="20"/>
        </w:rPr>
        <w:t>cultural relevance</w:t>
      </w:r>
      <w:r w:rsidRPr="002C5238">
        <w:rPr>
          <w:rFonts w:ascii="Arial" w:hAnsi="Arial" w:cs="Arial"/>
          <w:sz w:val="20"/>
          <w:szCs w:val="20"/>
        </w:rPr>
        <w:t xml:space="preserve">, local languages, and exclusive offerings. Moderating effects of </w:t>
      </w:r>
      <w:r w:rsidRPr="002C5238">
        <w:rPr>
          <w:rFonts w:ascii="Arial" w:hAnsi="Arial" w:cs="Arial"/>
          <w:b/>
          <w:bCs/>
          <w:sz w:val="20"/>
          <w:szCs w:val="20"/>
        </w:rPr>
        <w:t>socio-cultural factors</w:t>
      </w:r>
      <w:r w:rsidRPr="002C5238">
        <w:rPr>
          <w:rFonts w:ascii="Arial" w:hAnsi="Arial" w:cs="Arial"/>
          <w:sz w:val="20"/>
          <w:szCs w:val="20"/>
        </w:rPr>
        <w:t xml:space="preserve"> (β = 0.18, p &lt; 0.001) underscore that culturally aligned content significantly enhances adoption in linguistically and culturally diverse emerging markets, corroborating findings from Chakraborty &amp; Chatterjee (2022) and Kaur &amp; Sharma (2021). </w:t>
      </w:r>
    </w:p>
    <w:p w14:paraId="65B6AE25"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Consumer Behaviour Outcomes: Retention and Willingness to Pay</w:t>
      </w:r>
      <w:r w:rsidRPr="002C5238">
        <w:rPr>
          <w:rFonts w:ascii="Arial" w:hAnsi="Arial" w:cs="Arial"/>
          <w:sz w:val="20"/>
          <w:szCs w:val="20"/>
        </w:rPr>
        <w:t xml:space="preserve"> </w:t>
      </w:r>
    </w:p>
    <w:p w14:paraId="470959B7" w14:textId="1A69BE4F"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Consumer adoption translates into </w:t>
      </w:r>
      <w:r w:rsidRPr="002C5238">
        <w:rPr>
          <w:rFonts w:ascii="Arial" w:hAnsi="Arial" w:cs="Arial"/>
          <w:b/>
          <w:bCs/>
          <w:sz w:val="20"/>
          <w:szCs w:val="20"/>
        </w:rPr>
        <w:t>retention and willingness to pay</w:t>
      </w:r>
      <w:r w:rsidRPr="002C5238">
        <w:rPr>
          <w:rFonts w:ascii="Arial" w:hAnsi="Arial" w:cs="Arial"/>
          <w:sz w:val="20"/>
          <w:szCs w:val="20"/>
        </w:rPr>
        <w:t xml:space="preserve"> (β = 0.55, p &lt; 0.001), confirming that initial engagement driven by pricing and content strategies leads to sustained subscription behaviour. This indicates that OTT platforms can effectively convert trial users or freemium subscribers into long-term paying customers by ensuring content relevance and affordable pricing.</w:t>
      </w:r>
    </w:p>
    <w:p w14:paraId="4CC39D58" w14:textId="4E110C55" w:rsidR="008E3942" w:rsidRPr="002C5238" w:rsidRDefault="008E3942" w:rsidP="008E3942">
      <w:pPr>
        <w:jc w:val="both"/>
        <w:rPr>
          <w:rFonts w:ascii="Arial" w:hAnsi="Arial" w:cs="Arial"/>
          <w:sz w:val="20"/>
          <w:szCs w:val="20"/>
        </w:rPr>
      </w:pPr>
      <w:r w:rsidRPr="002C5238">
        <w:rPr>
          <w:rFonts w:ascii="Arial" w:hAnsi="Arial" w:cs="Arial"/>
          <w:b/>
          <w:bCs/>
          <w:sz w:val="20"/>
          <w:szCs w:val="20"/>
        </w:rPr>
        <w:t>Segment-Specific Insights</w:t>
      </w:r>
      <w:r w:rsidRPr="002C5238">
        <w:rPr>
          <w:rFonts w:ascii="Arial" w:hAnsi="Arial" w:cs="Arial"/>
          <w:sz w:val="20"/>
          <w:szCs w:val="20"/>
        </w:rPr>
        <w:t xml:space="preserve"> Latent Class Analysis identified </w:t>
      </w:r>
      <w:r w:rsidRPr="002C5238">
        <w:rPr>
          <w:rFonts w:ascii="Arial" w:hAnsi="Arial" w:cs="Arial"/>
          <w:b/>
          <w:bCs/>
          <w:sz w:val="20"/>
          <w:szCs w:val="20"/>
        </w:rPr>
        <w:t>three distinct consumer segments</w:t>
      </w:r>
      <w:r w:rsidRPr="002C5238">
        <w:rPr>
          <w:rFonts w:ascii="Arial" w:hAnsi="Arial" w:cs="Arial"/>
          <w:sz w:val="20"/>
          <w:szCs w:val="20"/>
        </w:rPr>
        <w:t>:</w:t>
      </w:r>
    </w:p>
    <w:p w14:paraId="077806F9" w14:textId="77777777" w:rsidR="008E3942" w:rsidRPr="002C5238" w:rsidRDefault="008E3942" w:rsidP="008E3942">
      <w:pPr>
        <w:numPr>
          <w:ilvl w:val="0"/>
          <w:numId w:val="10"/>
        </w:numPr>
        <w:jc w:val="both"/>
        <w:rPr>
          <w:rFonts w:ascii="Arial" w:hAnsi="Arial" w:cs="Arial"/>
          <w:sz w:val="20"/>
          <w:szCs w:val="20"/>
        </w:rPr>
      </w:pPr>
      <w:r w:rsidRPr="002C5238">
        <w:rPr>
          <w:rFonts w:ascii="Arial" w:hAnsi="Arial" w:cs="Arial"/>
          <w:b/>
          <w:bCs/>
          <w:sz w:val="20"/>
          <w:szCs w:val="20"/>
        </w:rPr>
        <w:t>Price-sensitive youth (40%)</w:t>
      </w:r>
      <w:r w:rsidRPr="002C5238">
        <w:rPr>
          <w:rFonts w:ascii="Arial" w:hAnsi="Arial" w:cs="Arial"/>
          <w:sz w:val="20"/>
          <w:szCs w:val="20"/>
        </w:rPr>
        <w:t>: Primarily attracted to freemium models and regionally relevant content.</w:t>
      </w:r>
    </w:p>
    <w:p w14:paraId="22B0354F" w14:textId="77777777" w:rsidR="008E3942" w:rsidRPr="002C5238" w:rsidRDefault="008E3942" w:rsidP="008E3942">
      <w:pPr>
        <w:numPr>
          <w:ilvl w:val="0"/>
          <w:numId w:val="10"/>
        </w:numPr>
        <w:jc w:val="both"/>
        <w:rPr>
          <w:rFonts w:ascii="Arial" w:hAnsi="Arial" w:cs="Arial"/>
          <w:sz w:val="20"/>
          <w:szCs w:val="20"/>
        </w:rPr>
      </w:pPr>
      <w:r w:rsidRPr="002C5238">
        <w:rPr>
          <w:rFonts w:ascii="Arial" w:hAnsi="Arial" w:cs="Arial"/>
          <w:b/>
          <w:bCs/>
          <w:sz w:val="20"/>
          <w:szCs w:val="20"/>
        </w:rPr>
        <w:lastRenderedPageBreak/>
        <w:t>Mid-income working adults (35%)</w:t>
      </w:r>
      <w:r w:rsidRPr="002C5238">
        <w:rPr>
          <w:rFonts w:ascii="Arial" w:hAnsi="Arial" w:cs="Arial"/>
          <w:sz w:val="20"/>
          <w:szCs w:val="20"/>
        </w:rPr>
        <w:t>: Prefer tiered subscription models with a mix of local and international content.</w:t>
      </w:r>
    </w:p>
    <w:p w14:paraId="5CF9C9AD" w14:textId="77777777" w:rsidR="008E3942" w:rsidRPr="002C5238" w:rsidRDefault="008E3942" w:rsidP="008E3942">
      <w:pPr>
        <w:numPr>
          <w:ilvl w:val="0"/>
          <w:numId w:val="10"/>
        </w:numPr>
        <w:jc w:val="both"/>
        <w:rPr>
          <w:rFonts w:ascii="Arial" w:hAnsi="Arial" w:cs="Arial"/>
          <w:sz w:val="20"/>
          <w:szCs w:val="20"/>
        </w:rPr>
      </w:pPr>
      <w:r w:rsidRPr="002C5238">
        <w:rPr>
          <w:rFonts w:ascii="Arial" w:hAnsi="Arial" w:cs="Arial"/>
          <w:b/>
          <w:bCs/>
          <w:sz w:val="20"/>
          <w:szCs w:val="20"/>
        </w:rPr>
        <w:t>High-income early adopters (25%)</w:t>
      </w:r>
      <w:r w:rsidRPr="002C5238">
        <w:rPr>
          <w:rFonts w:ascii="Arial" w:hAnsi="Arial" w:cs="Arial"/>
          <w:sz w:val="20"/>
          <w:szCs w:val="20"/>
        </w:rPr>
        <w:t>: Value premium subscription plans and exclusive content, showing lower price sensitivity.</w:t>
      </w:r>
    </w:p>
    <w:p w14:paraId="75BAD19A"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These segments highlight the necessity for </w:t>
      </w:r>
      <w:r w:rsidRPr="002C5238">
        <w:rPr>
          <w:rFonts w:ascii="Arial" w:hAnsi="Arial" w:cs="Arial"/>
          <w:b/>
          <w:bCs/>
          <w:sz w:val="20"/>
          <w:szCs w:val="20"/>
        </w:rPr>
        <w:t>targeted marketing and pricing strategies</w:t>
      </w:r>
      <w:r w:rsidRPr="002C5238">
        <w:rPr>
          <w:rFonts w:ascii="Arial" w:hAnsi="Arial" w:cs="Arial"/>
          <w:sz w:val="20"/>
          <w:szCs w:val="20"/>
        </w:rPr>
        <w:t>, ensuring that content offerings and subscription plans are optimised for the distinct needs of each consumer group.</w:t>
      </w:r>
    </w:p>
    <w:p w14:paraId="1B080665" w14:textId="25CE96EF" w:rsidR="008E3942" w:rsidRPr="002C5238" w:rsidRDefault="008E3942" w:rsidP="008E3942">
      <w:pPr>
        <w:jc w:val="both"/>
        <w:rPr>
          <w:rFonts w:ascii="Arial" w:hAnsi="Arial" w:cs="Arial"/>
          <w:sz w:val="20"/>
          <w:szCs w:val="20"/>
        </w:rPr>
      </w:pPr>
      <w:r w:rsidRPr="002C5238">
        <w:rPr>
          <w:rFonts w:ascii="Arial" w:hAnsi="Arial" w:cs="Arial"/>
          <w:b/>
          <w:bCs/>
          <w:sz w:val="20"/>
          <w:szCs w:val="20"/>
        </w:rPr>
        <w:t>Model Predictive Power</w:t>
      </w:r>
      <w:r w:rsidRPr="002C5238">
        <w:rPr>
          <w:rFonts w:ascii="Arial" w:hAnsi="Arial" w:cs="Arial"/>
          <w:sz w:val="20"/>
          <w:szCs w:val="20"/>
        </w:rPr>
        <w:t xml:space="preserve"> The structural model explains </w:t>
      </w:r>
      <w:r w:rsidRPr="002C5238">
        <w:rPr>
          <w:rFonts w:ascii="Arial" w:hAnsi="Arial" w:cs="Arial"/>
          <w:b/>
          <w:bCs/>
          <w:sz w:val="20"/>
          <w:szCs w:val="20"/>
        </w:rPr>
        <w:t>61% of the variance in consumer behaviour (R² = 0.61)</w:t>
      </w:r>
      <w:r w:rsidRPr="002C5238">
        <w:rPr>
          <w:rFonts w:ascii="Arial" w:hAnsi="Arial" w:cs="Arial"/>
          <w:sz w:val="20"/>
          <w:szCs w:val="20"/>
        </w:rPr>
        <w:t>, indicating strong predictive capacity. Effect sizes for pricing strategy (f² = 0.18) and content preference (f² = 0.22) suggest medium-level impacts, while predictive relevance (Q² = 0.47) confirms the robustness of the model.</w:t>
      </w:r>
    </w:p>
    <w:p w14:paraId="1DEA1780"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Key Findings Summary</w:t>
      </w:r>
    </w:p>
    <w:p w14:paraId="389455ED"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Pricing strategy and content preference are critical determinants of OTT adoption in emerging markets.</w:t>
      </w:r>
    </w:p>
    <w:p w14:paraId="2DB1496E"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Socio-economic and socio-cultural factors significantly moderate adoption behaviour.</w:t>
      </w:r>
    </w:p>
    <w:p w14:paraId="055ABCC2"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Adoption behaviour strongly predicts retention and willingness to pay.</w:t>
      </w:r>
    </w:p>
    <w:p w14:paraId="05081002"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Distinct consumer segments necessitate differentiated pricing and content strategies.</w:t>
      </w:r>
    </w:p>
    <w:p w14:paraId="215AD2AD"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Freemium and tiered models are particularly effective for market penetration in price-sensitive segments.</w:t>
      </w:r>
    </w:p>
    <w:p w14:paraId="3451084C"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br/>
        <w:t xml:space="preserve">Overall, the findings indicate that successful OTT platforms in emerging economies must adopt </w:t>
      </w:r>
      <w:r w:rsidRPr="002C5238">
        <w:rPr>
          <w:rFonts w:ascii="Arial" w:hAnsi="Arial" w:cs="Arial"/>
          <w:b/>
          <w:bCs/>
          <w:sz w:val="20"/>
          <w:szCs w:val="20"/>
        </w:rPr>
        <w:t>hybrid pricing strategies</w:t>
      </w:r>
      <w:r w:rsidRPr="002C5238">
        <w:rPr>
          <w:rFonts w:ascii="Arial" w:hAnsi="Arial" w:cs="Arial"/>
          <w:sz w:val="20"/>
          <w:szCs w:val="20"/>
        </w:rPr>
        <w:t xml:space="preserve">, emphasise </w:t>
      </w:r>
      <w:r w:rsidRPr="002C5238">
        <w:rPr>
          <w:rFonts w:ascii="Arial" w:hAnsi="Arial" w:cs="Arial"/>
          <w:b/>
          <w:bCs/>
          <w:sz w:val="20"/>
          <w:szCs w:val="20"/>
        </w:rPr>
        <w:t>culturally relevant content</w:t>
      </w:r>
      <w:r w:rsidRPr="002C5238">
        <w:rPr>
          <w:rFonts w:ascii="Arial" w:hAnsi="Arial" w:cs="Arial"/>
          <w:sz w:val="20"/>
          <w:szCs w:val="20"/>
        </w:rPr>
        <w:t>, and tailor offerings to heterogeneous consumer segments. These strategies not only drive adoption but also ensure long-term retention and revenue optimisation.</w:t>
      </w:r>
    </w:p>
    <w:p w14:paraId="4B8BA574" w14:textId="401A7A16" w:rsidR="008E3942" w:rsidRPr="002C5238" w:rsidRDefault="002C5238" w:rsidP="008E3942">
      <w:pPr>
        <w:jc w:val="both"/>
        <w:rPr>
          <w:rFonts w:ascii="Arial" w:hAnsi="Arial" w:cs="Arial"/>
        </w:rPr>
      </w:pPr>
      <w:r>
        <w:rPr>
          <w:rFonts w:ascii="Arial" w:hAnsi="Arial" w:cs="Arial"/>
          <w:b/>
          <w:bCs/>
        </w:rPr>
        <w:t>7.</w:t>
      </w:r>
      <w:r w:rsidR="008E3942" w:rsidRPr="002C5238">
        <w:rPr>
          <w:rFonts w:ascii="Arial" w:hAnsi="Arial" w:cs="Arial"/>
          <w:b/>
          <w:bCs/>
        </w:rPr>
        <w:t>Discussion</w:t>
      </w:r>
    </w:p>
    <w:p w14:paraId="47573991"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 findings of this study provide significant insights into consumer behaviour and pricing dynamics within the OTT sector in emerging economies. Consistent with prior research, </w:t>
      </w:r>
      <w:r w:rsidRPr="002C5238">
        <w:rPr>
          <w:rFonts w:ascii="Arial" w:hAnsi="Arial" w:cs="Arial"/>
          <w:b/>
          <w:bCs/>
          <w:sz w:val="20"/>
          <w:szCs w:val="20"/>
        </w:rPr>
        <w:t>pricing strategy emerged as a key determinant of adoption</w:t>
      </w:r>
      <w:r w:rsidRPr="002C5238">
        <w:rPr>
          <w:rFonts w:ascii="Arial" w:hAnsi="Arial" w:cs="Arial"/>
          <w:sz w:val="20"/>
          <w:szCs w:val="20"/>
        </w:rPr>
        <w:t xml:space="preserve"> (Hennig-</w:t>
      </w:r>
      <w:proofErr w:type="spellStart"/>
      <w:r w:rsidRPr="002C5238">
        <w:rPr>
          <w:rFonts w:ascii="Arial" w:hAnsi="Arial" w:cs="Arial"/>
          <w:sz w:val="20"/>
          <w:szCs w:val="20"/>
        </w:rPr>
        <w:t>Thurau</w:t>
      </w:r>
      <w:proofErr w:type="spellEnd"/>
      <w:r w:rsidRPr="002C5238">
        <w:rPr>
          <w:rFonts w:ascii="Arial" w:hAnsi="Arial" w:cs="Arial"/>
          <w:sz w:val="20"/>
          <w:szCs w:val="20"/>
        </w:rPr>
        <w:t xml:space="preserve"> et al., 2021; Rai &amp; Singh, 2020). In markets characterised by high price sensitivity, such as India and Indonesia, freemium and tiered subscription models effectively lower the barrier to entry, allowing platforms to attract a broad user base. Importantly, the moderating effect of socio-economic factors underscores that affordability is not uniform; users with higher income and greater digital literacy exhibit a willingness to pay for premium content, whereas lower-income segments prioritise cost-effective access. This nuanced understanding aligns with emerging literature on OTT adoption, emphasising the importance of context-specific pricing strategies in heterogeneous markets (PwC, 2023).</w:t>
      </w:r>
    </w:p>
    <w:p w14:paraId="78485520"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Content preference</w:t>
      </w:r>
      <w:r w:rsidRPr="002C5238">
        <w:rPr>
          <w:rFonts w:ascii="Arial" w:hAnsi="Arial" w:cs="Arial"/>
          <w:sz w:val="20"/>
          <w:szCs w:val="20"/>
        </w:rPr>
        <w:t xml:space="preserve"> was equally influential, reinforcing the notion that OTT adoption is not solely driven by price but also by the perceived value and relevance of content. Consumers displayed strong engagement with culturally aligned and locally relevant offerings, echoing Chakraborty &amp; Chatterjee (2022) and Kaur &amp; Sharma (2021). Socio-cultural factors such as language and cultural affinity significantly moderated this relationship, suggesting that OTT platforms cannot rely on generic or international content alone to sustain user engagement. These findings emphasise that content localisation, including subtitling, dubbing, and culturally contextual narratives, is essential to maintain relevance and loyalty in diverse emerging markets.</w:t>
      </w:r>
    </w:p>
    <w:p w14:paraId="09F6AA95"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 positive link between consumer adoption and </w:t>
      </w:r>
      <w:r w:rsidRPr="002C5238">
        <w:rPr>
          <w:rFonts w:ascii="Arial" w:hAnsi="Arial" w:cs="Arial"/>
          <w:b/>
          <w:bCs/>
          <w:sz w:val="20"/>
          <w:szCs w:val="20"/>
        </w:rPr>
        <w:t>retention and willingness to pay</w:t>
      </w:r>
      <w:r w:rsidRPr="002C5238">
        <w:rPr>
          <w:rFonts w:ascii="Arial" w:hAnsi="Arial" w:cs="Arial"/>
          <w:sz w:val="20"/>
          <w:szCs w:val="20"/>
        </w:rPr>
        <w:t xml:space="preserve"> demonstrates that strategic investments in pricing and content translate into long-term behavioural outcomes. This finding is particularly significant for platform managers seeking sustainable growth in competitive and price-sensitive markets. It suggests that initial adoption, facilitated by freemium trials or promotional pricing, can evolve into sustained subscription revenue if content offerings align with consumer expectations.</w:t>
      </w:r>
    </w:p>
    <w:p w14:paraId="56FAD6A4"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lastRenderedPageBreak/>
        <w:t>Segment analysis</w:t>
      </w:r>
      <w:r w:rsidRPr="002C5238">
        <w:rPr>
          <w:rFonts w:ascii="Arial" w:hAnsi="Arial" w:cs="Arial"/>
          <w:sz w:val="20"/>
          <w:szCs w:val="20"/>
        </w:rPr>
        <w:t xml:space="preserve"> provides actionable insights for market differentiation. The identification of three distinct consumer segments—price-sensitive youth, mid-income working adults, and high-income early adopters—supports the notion that a one-size-fits-all strategy is ineffective. Platforms must tailor both </w:t>
      </w:r>
      <w:r w:rsidRPr="002C5238">
        <w:rPr>
          <w:rFonts w:ascii="Arial" w:hAnsi="Arial" w:cs="Arial"/>
          <w:b/>
          <w:bCs/>
          <w:sz w:val="20"/>
          <w:szCs w:val="20"/>
        </w:rPr>
        <w:t>pricing and content strategies</w:t>
      </w:r>
      <w:r w:rsidRPr="002C5238">
        <w:rPr>
          <w:rFonts w:ascii="Arial" w:hAnsi="Arial" w:cs="Arial"/>
          <w:sz w:val="20"/>
          <w:szCs w:val="20"/>
        </w:rPr>
        <w:t xml:space="preserve"> to meet the unique preferences of each segment, thereby optimising engagement and revenue. For instance, freemium models appeal strongly to younger, price-sensitive users, while high-income users are more likely to subscribe to premium content plans, reinforcing the value of tiered strategies for market segmentation.</w:t>
      </w:r>
    </w:p>
    <w:p w14:paraId="70093A7A"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From a theoretical perspective, this study extends the literature on OTT adoption in emerging economies by integrating </w:t>
      </w:r>
      <w:r w:rsidRPr="002C5238">
        <w:rPr>
          <w:rFonts w:ascii="Arial" w:hAnsi="Arial" w:cs="Arial"/>
          <w:b/>
          <w:bCs/>
          <w:sz w:val="20"/>
          <w:szCs w:val="20"/>
        </w:rPr>
        <w:t>pricing strategy, content preference, and socio-economic/cultural moderators</w:t>
      </w:r>
      <w:r w:rsidRPr="002C5238">
        <w:rPr>
          <w:rFonts w:ascii="Arial" w:hAnsi="Arial" w:cs="Arial"/>
          <w:sz w:val="20"/>
          <w:szCs w:val="20"/>
        </w:rPr>
        <w:t xml:space="preserve"> into a unified framework. While prior studies often examine these variables in isolation, the current research demonstrates the interdependencies between them, highlighting the necessity of a holistic approach to understanding consumer behaviour.</w:t>
      </w:r>
    </w:p>
    <w:p w14:paraId="2D153F8D"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Practically, these findings offer critical guidance for OTT platform managers: pricing strategies should be adaptive, content should be locally and culturally relevant, and market segmentation should inform targeted subscription plans. Policymakers and industry stakeholders can also benefit from these insights, recognising that consumer heterogeneity in emerging economies necessitates flexible, inclusive digital media policies and infrastructure development.</w:t>
      </w:r>
    </w:p>
    <w:p w14:paraId="0CF83D4D" w14:textId="19E3737B"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In conclusion, the discussion affirms that successful OTT adoption in emerging markets is contingent upon a </w:t>
      </w:r>
      <w:r w:rsidRPr="002C5238">
        <w:rPr>
          <w:rFonts w:ascii="Arial" w:hAnsi="Arial" w:cs="Arial"/>
          <w:b/>
          <w:bCs/>
          <w:sz w:val="20"/>
          <w:szCs w:val="20"/>
        </w:rPr>
        <w:t>synergistic alignment of pricing, content, and socio-cultural understanding</w:t>
      </w:r>
      <w:r w:rsidRPr="002C5238">
        <w:rPr>
          <w:rFonts w:ascii="Arial" w:hAnsi="Arial" w:cs="Arial"/>
          <w:sz w:val="20"/>
          <w:szCs w:val="20"/>
        </w:rPr>
        <w:t>. Platforms that strategically integrate these elements are better positioned to capture diverse user segments, foster long-term engagement, and achieve sustainable growth in high-potential but resource-constrained markets.</w:t>
      </w:r>
    </w:p>
    <w:p w14:paraId="2A545BF6" w14:textId="39225D8E" w:rsidR="008E3942" w:rsidRPr="002C5238" w:rsidRDefault="002C5238" w:rsidP="008E3942">
      <w:pPr>
        <w:jc w:val="both"/>
        <w:rPr>
          <w:rFonts w:ascii="Arial" w:hAnsi="Arial" w:cs="Arial"/>
        </w:rPr>
      </w:pPr>
      <w:r>
        <w:rPr>
          <w:rFonts w:ascii="Arial" w:hAnsi="Arial" w:cs="Arial"/>
          <w:b/>
          <w:bCs/>
        </w:rPr>
        <w:t>8.</w:t>
      </w:r>
      <w:r w:rsidR="008E3942" w:rsidRPr="002C5238">
        <w:rPr>
          <w:rFonts w:ascii="Arial" w:hAnsi="Arial" w:cs="Arial"/>
          <w:b/>
          <w:bCs/>
        </w:rPr>
        <w:t>Limitations and Future Research</w:t>
      </w:r>
    </w:p>
    <w:p w14:paraId="0158AD8F"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While this study offers valuable insights into consumer behaviour and pricing strategies within the OTT sector in emerging economies, several limitations should be acknowledged. First, the research focused on three emerging economies—India, Brazil, and Indonesia—to capture a diverse socio-economic and cultural landscape. Although these countries are representative of major emerging markets, the findings may not be generalisable to other developing regions such as Africa, the Middle East, or Southeast Asia, where unique digital infrastructure, regulatory environments, and cultural consumption patterns may influence OTT adoption differently. Future research could expand the geographic scope to include a broader range of emerging markets, enabling cross-country comparative studies that identify convergent and divergent adoption patterns and provide deeper insights into the impact of regional factors such as internet penetration, economic development, and cultural norms. Second, the study utilised a cross-sectional survey design, capturing consumer behaviour at a single point in time. While effective for identifying associations between pricing strategies, content preferences, socio-economic/cultural moderators, and consumer adoption, this design does not account for temporal changes in user behaviour. OTT consumption is inherently dynamic, influenced by evolving content offerings, technological innovation, and socio-economic shifts. Longitudinal studies could address this limitation by tracking consumer behaviour over time, providing insights into trends, churn patterns, and the long-term effects of pricing and content strategies. Additionally, longitudinal research could explore how initial adoption through freemium models transitions into sustained subscription behaviour, enhancing understanding of retention mechanisms in emerging markets.</w:t>
      </w:r>
    </w:p>
    <w:p w14:paraId="4206FB79"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Third, the study relied on self-reported survey responses to capture consumer perceptions, preferences, and behaviour. Although structured questionnaires and Likert-scale measures provide quantifiable data, self-reports are prone to biases such as social desirability, recall errors, and overstatement of intentions. Respondents may report higher willingness to pay or engagement intentions than actual behaviour would suggest. Future research could integrate behavioural data obtained directly from OTT platform analytics, including metrics such as viewing duration, frequency of access, subscription upgrades, and content consumption patterns. Combining self-reported and behavioural data would allow for a more accurate and nuanced understanding of consumer behaviour, bridging the gap between stated preferences and actual actions. Fourth, although socio-economic and socio-cultural factors were included as moderators, other contextual variables—such as peer influence, social media exposure, </w:t>
      </w:r>
      <w:r w:rsidRPr="002C5238">
        <w:rPr>
          <w:rFonts w:ascii="Arial" w:hAnsi="Arial" w:cs="Arial"/>
          <w:sz w:val="20"/>
          <w:szCs w:val="20"/>
        </w:rPr>
        <w:lastRenderedPageBreak/>
        <w:t>perceived platform trust, digital literacy, and internet connectivity quality—were not examined. These factors may play significant roles in adoption decisions, especially in regions with inconsistent broadband quality, where low-data streaming or download-enabled options could influence user preferences. Future studies could incorporate a broader range of moderating and mediating variables, utilising structural equation modelling or hierarchical regression to capture the complexity of consumer decision-making in diverse emerging markets.</w:t>
      </w:r>
    </w:p>
    <w:p w14:paraId="20EA3776"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Fifth, the study primarily examined pricing strategies and content preferences as determinants of adoption and retention, leaving other influential factors unexplored. User interface design, platform usability, customer service quality, and brand reputation, for example, could significantly affect adoption, particularly in emerging markets where low-end device compatibility and regional payment options are critical considerations. Future research should adopt a more holistic approach that integrates technological and service quality dimensions alongside pricing and content to better capture the determinants of OTT success. Sixth, while stratified random sampling ensured representation across age, income, and location, certain populations—particularly users with limited internet access, low digital literacy, or rural residence—may have been underrepresented. Additionally, online survey distribution may have excluded non-tech-savvy users, introducing potential sample bias. Mixed-mode data collection, combining online, offline, and mobile-assisted surveys, could enhance inclusivity and improve representativeness in future studies.</w:t>
      </w:r>
    </w:p>
    <w:p w14:paraId="545E7B63"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Seventh, the segment-specific insights derived from Latent Class Analysis, which identified three consumer groups—price-sensitive youth, mid-income working adults, and high-income early adopters—require further validation. These segments, while statistically robust, may not fully capture the nuanced behaviours, motivations, and barriers within each group. Future research could employ qualitative methods such as focus groups or in-depth interviews to complement quantitative findings, providing richer insights for content curation, pricing, and marketing strategies tailored to each segment. Eighth, the OTT sector is characterised by rapid technological advancements, evolving content ecosystems, and intense competition. New entrants, platform mergers, and regulatory changes can quickly alter consumer behaviour and market dynamics. Consequently, the findings, while robust at the time of data collection, may require periodic validation to remain relevant. Continuous market monitoring and real-time analytics could enable adaptive strategies for OTT platforms in volatile emerging markets.</w:t>
      </w:r>
    </w:p>
    <w:p w14:paraId="47B076C8"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Building on these limitations, future research can explore multiple avenues to deepen understanding of OTT adoption. Expanding geographic coverage, adopting longitudinal and behavioural data, including additional moderating and mediating factors, examining service quality and technological interface, and employing mixed-method designs can collectively enhance the robustness of research findings. Furthermore, investigating emerging trends such as ad-supported models, hybrid subscriptions, and AI-driven content recommendation systems could provide insights into their impact on adoption and retention. Addressing these gaps will enable a more granular understanding of consumer behaviour, improve strategic decision-making for OTT platforms, and provide actionable guidance for policymakers aiming to promote inclusive digital media access. By adopting multi-dimensional, longitudinal, and cross-country approaches, future studies can build upon the current research to develop evidence-based frameworks that guide OTT adoption, retention, and monetisation strategies in rapidly evolving, high-potential, yet resource-constrained markets.</w:t>
      </w:r>
    </w:p>
    <w:p w14:paraId="1EE28C29" w14:textId="2773289F" w:rsidR="008E3942" w:rsidRPr="002C5238" w:rsidRDefault="008E3942" w:rsidP="008E3942">
      <w:pPr>
        <w:jc w:val="both"/>
        <w:rPr>
          <w:rFonts w:ascii="Arial" w:hAnsi="Arial" w:cs="Arial"/>
        </w:rPr>
      </w:pPr>
    </w:p>
    <w:p w14:paraId="7427C05B" w14:textId="77777777" w:rsidR="008E3942" w:rsidRPr="002C5238" w:rsidRDefault="008E3942" w:rsidP="008E3942">
      <w:pPr>
        <w:jc w:val="both"/>
        <w:rPr>
          <w:rFonts w:ascii="Arial" w:hAnsi="Arial" w:cs="Arial"/>
        </w:rPr>
      </w:pPr>
      <w:r w:rsidRPr="002C5238">
        <w:rPr>
          <w:rFonts w:ascii="Arial" w:hAnsi="Arial" w:cs="Arial"/>
          <w:b/>
          <w:bCs/>
        </w:rPr>
        <w:t>Conclusion</w:t>
      </w:r>
    </w:p>
    <w:p w14:paraId="340B5D7E"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This study provides a comprehensive examination of consumer behaviour and pricing strategies in the OTT sector within emerging economies, offering both theoretical and practical insights. The findings highlight that </w:t>
      </w:r>
      <w:r w:rsidRPr="002C5238">
        <w:rPr>
          <w:rFonts w:ascii="Arial" w:hAnsi="Arial" w:cs="Arial"/>
          <w:b/>
          <w:bCs/>
          <w:sz w:val="20"/>
          <w:szCs w:val="20"/>
        </w:rPr>
        <w:t>pricing strategy and content preference are critical determinants of consumer adoption</w:t>
      </w:r>
      <w:r w:rsidRPr="002C5238">
        <w:rPr>
          <w:rFonts w:ascii="Arial" w:hAnsi="Arial" w:cs="Arial"/>
          <w:sz w:val="20"/>
          <w:szCs w:val="20"/>
        </w:rPr>
        <w:t xml:space="preserve">, retention, and willingness to pay. Freemium and tiered subscription models effectively lower barriers to entry and cater to price-sensitive segments, while culturally relevant and exclusive content drives engagement and loyalty. The moderation effects of socio-economic and socio-cultural factors underscore the importance of context in understanding adoption behaviour. Consumers with higher income and digital literacy are more responsive to premium offerings, whereas users from lower-income backgrounds prioritise affordability. Similarly, cultural affinity and language preference significantly </w:t>
      </w:r>
      <w:r w:rsidRPr="002C5238">
        <w:rPr>
          <w:rFonts w:ascii="Arial" w:hAnsi="Arial" w:cs="Arial"/>
          <w:sz w:val="20"/>
          <w:szCs w:val="20"/>
        </w:rPr>
        <w:lastRenderedPageBreak/>
        <w:t>shape content engagement, illustrating that OTT platforms must align offerings with local narratives and consumption habits to sustain adoption.</w:t>
      </w:r>
    </w:p>
    <w:p w14:paraId="330E7D1F"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Segment analysis further emphasises the heterogeneity of emerging market users. Three distinct consumer groups were identified—price-sensitive youth, mid-income working adults, and high-income early adopters—each exhibiting unique preferences and responsiveness to pricing and content strategies. These insights have important implications for OTT platforms, suggesting that </w:t>
      </w:r>
      <w:r w:rsidRPr="002C5238">
        <w:rPr>
          <w:rFonts w:ascii="Arial" w:hAnsi="Arial" w:cs="Arial"/>
          <w:b/>
          <w:bCs/>
          <w:sz w:val="20"/>
          <w:szCs w:val="20"/>
        </w:rPr>
        <w:t>differentiated marketing, tailored subscription models, and curated content strategies</w:t>
      </w:r>
      <w:r w:rsidRPr="002C5238">
        <w:rPr>
          <w:rFonts w:ascii="Arial" w:hAnsi="Arial" w:cs="Arial"/>
          <w:sz w:val="20"/>
          <w:szCs w:val="20"/>
        </w:rPr>
        <w:t xml:space="preserve"> are essential for optimising adoption and retention. Platforms that implement flexible pricing and locally relevant content are more likely to convert initial trial users into long-term subscribers, enhancing both revenue and market penetration.</w:t>
      </w:r>
    </w:p>
    <w:p w14:paraId="4DE2D9A4"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From a theoretical perspective, the study extends existing literature by integrating </w:t>
      </w:r>
      <w:r w:rsidRPr="002C5238">
        <w:rPr>
          <w:rFonts w:ascii="Arial" w:hAnsi="Arial" w:cs="Arial"/>
          <w:b/>
          <w:bCs/>
          <w:sz w:val="20"/>
          <w:szCs w:val="20"/>
        </w:rPr>
        <w:t>pricing strategy, content preference, and socio-economic/cultural moderators</w:t>
      </w:r>
      <w:r w:rsidRPr="002C5238">
        <w:rPr>
          <w:rFonts w:ascii="Arial" w:hAnsi="Arial" w:cs="Arial"/>
          <w:sz w:val="20"/>
          <w:szCs w:val="20"/>
        </w:rPr>
        <w:t xml:space="preserve"> into a unified framework. While prior research often examined these factors in isolation, this study demonstrates their interdependencies and the resultant impact on consumer behaviour. The findings provide empirical evidence that a </w:t>
      </w:r>
      <w:r w:rsidRPr="002C5238">
        <w:rPr>
          <w:rFonts w:ascii="Arial" w:hAnsi="Arial" w:cs="Arial"/>
          <w:b/>
          <w:bCs/>
          <w:sz w:val="20"/>
          <w:szCs w:val="20"/>
        </w:rPr>
        <w:t>holistic approach</w:t>
      </w:r>
      <w:r w:rsidRPr="002C5238">
        <w:rPr>
          <w:rFonts w:ascii="Arial" w:hAnsi="Arial" w:cs="Arial"/>
          <w:sz w:val="20"/>
          <w:szCs w:val="20"/>
        </w:rPr>
        <w:t>, considering economic, cultural, and technological variables simultaneously, is critical for understanding OTT adoption in emerging markets. This framework offers a foundation for future research, enabling scholars to explore additional moderators, mediators, and longitudinal dynamics to further refine adoption models.</w:t>
      </w:r>
    </w:p>
    <w:p w14:paraId="12C43815"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Practically, the results offer actionable guidance for OTT platform managers and policymakers. Platforms should prioritise hybrid pricing strategies, including freemium and tiered subscriptions, to accommodate diverse income segments. Content localisation and cultural relevance should guide programming and marketing decisions, while continuous monitoring of consumer behaviour and market trends can inform adaptive strategies in dynamic environments. Policymakers can facilitate digital inclusion by improving broadband access, supporting low-data streaming options, and promoting digital literacy initiatives, thereby expanding the potential OTT user base in emerging economies.</w:t>
      </w:r>
    </w:p>
    <w:p w14:paraId="0CA82665"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In conclusion, the study underscores that successful OTT adoption in emerging markets depends on the </w:t>
      </w:r>
      <w:r w:rsidRPr="002C5238">
        <w:rPr>
          <w:rFonts w:ascii="Arial" w:hAnsi="Arial" w:cs="Arial"/>
          <w:b/>
          <w:bCs/>
          <w:sz w:val="20"/>
          <w:szCs w:val="20"/>
        </w:rPr>
        <w:t>synergistic alignment of pricing, content, and contextual understanding</w:t>
      </w:r>
      <w:r w:rsidRPr="002C5238">
        <w:rPr>
          <w:rFonts w:ascii="Arial" w:hAnsi="Arial" w:cs="Arial"/>
          <w:sz w:val="20"/>
          <w:szCs w:val="20"/>
        </w:rPr>
        <w:t>. Platforms that strategically address affordability, culturally resonant content, and segment-specific needs are better positioned to achieve sustained engagement, long-term retention, and maximised revenue. By providing both empirical evidence and practical recommendations, this research contributes to a deeper understanding of OTT market dynamics, offering a roadmap for stakeholders seeking to capitalise on the immense growth potential of emerging digital media markets.</w:t>
      </w:r>
    </w:p>
    <w:p w14:paraId="3705E346" w14:textId="77777777" w:rsidR="00167CD9" w:rsidRPr="002C5238" w:rsidRDefault="00167CD9" w:rsidP="00167CD9">
      <w:pPr>
        <w:jc w:val="both"/>
        <w:rPr>
          <w:rFonts w:ascii="Arial" w:hAnsi="Arial" w:cs="Arial"/>
        </w:rPr>
      </w:pPr>
    </w:p>
    <w:p w14:paraId="54418CC3" w14:textId="51634CFC" w:rsidR="00167CD9" w:rsidRPr="002C5238" w:rsidRDefault="008E3942" w:rsidP="00167CD9">
      <w:pPr>
        <w:jc w:val="both"/>
        <w:rPr>
          <w:rFonts w:ascii="Arial" w:hAnsi="Arial" w:cs="Arial"/>
          <w:b/>
          <w:bCs/>
          <w:sz w:val="20"/>
          <w:szCs w:val="20"/>
        </w:rPr>
      </w:pPr>
      <w:r w:rsidRPr="002C5238">
        <w:rPr>
          <w:rFonts w:ascii="Arial" w:hAnsi="Arial" w:cs="Arial"/>
          <w:b/>
          <w:bCs/>
          <w:sz w:val="20"/>
          <w:szCs w:val="20"/>
        </w:rPr>
        <w:t>Reference:</w:t>
      </w:r>
    </w:p>
    <w:p w14:paraId="3A61D236"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Chakraborty, S., &amp; Chatterjee, S. (2022). Understanding consumer engagement in emerging OTT markets. </w:t>
      </w:r>
      <w:r w:rsidRPr="002C5238">
        <w:rPr>
          <w:rFonts w:ascii="Arial" w:hAnsi="Arial" w:cs="Arial"/>
          <w:i/>
          <w:iCs/>
          <w:sz w:val="20"/>
          <w:szCs w:val="20"/>
        </w:rPr>
        <w:t>Journal of Media Business Studies, 19</w:t>
      </w:r>
      <w:r w:rsidRPr="002C5238">
        <w:rPr>
          <w:rFonts w:ascii="Arial" w:hAnsi="Arial" w:cs="Arial"/>
          <w:sz w:val="20"/>
          <w:szCs w:val="20"/>
        </w:rPr>
        <w:t>(3), 145–162.</w:t>
      </w:r>
    </w:p>
    <w:p w14:paraId="55CA3B15"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Deloitte. (2022). </w:t>
      </w:r>
      <w:r w:rsidRPr="002C5238">
        <w:rPr>
          <w:rFonts w:ascii="Arial" w:hAnsi="Arial" w:cs="Arial"/>
          <w:i/>
          <w:iCs/>
          <w:sz w:val="20"/>
          <w:szCs w:val="20"/>
        </w:rPr>
        <w:t>Digital media trends survey: Emerging markets edition</w:t>
      </w:r>
      <w:r w:rsidRPr="002C5238">
        <w:rPr>
          <w:rFonts w:ascii="Arial" w:hAnsi="Arial" w:cs="Arial"/>
          <w:sz w:val="20"/>
          <w:szCs w:val="20"/>
        </w:rPr>
        <w:t>. Deloitte Insights.</w:t>
      </w:r>
    </w:p>
    <w:p w14:paraId="4A4969D2"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Hennig-</w:t>
      </w:r>
      <w:proofErr w:type="spellStart"/>
      <w:r w:rsidRPr="002C5238">
        <w:rPr>
          <w:rFonts w:ascii="Arial" w:hAnsi="Arial" w:cs="Arial"/>
          <w:sz w:val="20"/>
          <w:szCs w:val="20"/>
        </w:rPr>
        <w:t>Thurau</w:t>
      </w:r>
      <w:proofErr w:type="spellEnd"/>
      <w:r w:rsidRPr="002C5238">
        <w:rPr>
          <w:rFonts w:ascii="Arial" w:hAnsi="Arial" w:cs="Arial"/>
          <w:sz w:val="20"/>
          <w:szCs w:val="20"/>
        </w:rPr>
        <w:t xml:space="preserve">, T., Henning, V., &amp; Sattler, H. (2021). Pricing strategies in the digital subscription economy. </w:t>
      </w:r>
      <w:r w:rsidRPr="002C5238">
        <w:rPr>
          <w:rFonts w:ascii="Arial" w:hAnsi="Arial" w:cs="Arial"/>
          <w:i/>
          <w:iCs/>
          <w:sz w:val="20"/>
          <w:szCs w:val="20"/>
        </w:rPr>
        <w:t>Journal of Business Research, 131</w:t>
      </w:r>
      <w:r w:rsidRPr="002C5238">
        <w:rPr>
          <w:rFonts w:ascii="Arial" w:hAnsi="Arial" w:cs="Arial"/>
          <w:sz w:val="20"/>
          <w:szCs w:val="20"/>
        </w:rPr>
        <w:t>, 392–405.</w:t>
      </w:r>
    </w:p>
    <w:p w14:paraId="7D6D8B48"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Kaur, P., &amp; Sharma, R. (2021). Cultural content preference in digital streaming platforms: Evidence from India. </w:t>
      </w:r>
      <w:r w:rsidRPr="002C5238">
        <w:rPr>
          <w:rFonts w:ascii="Arial" w:hAnsi="Arial" w:cs="Arial"/>
          <w:i/>
          <w:iCs/>
          <w:sz w:val="20"/>
          <w:szCs w:val="20"/>
        </w:rPr>
        <w:t>International Journal of Emerging Markets, 16</w:t>
      </w:r>
      <w:r w:rsidRPr="002C5238">
        <w:rPr>
          <w:rFonts w:ascii="Arial" w:hAnsi="Arial" w:cs="Arial"/>
          <w:sz w:val="20"/>
          <w:szCs w:val="20"/>
        </w:rPr>
        <w:t>(7), 1500–1518.</w:t>
      </w:r>
    </w:p>
    <w:p w14:paraId="6E853BDE"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KPMG. (2022). </w:t>
      </w:r>
      <w:r w:rsidRPr="002C5238">
        <w:rPr>
          <w:rFonts w:ascii="Arial" w:hAnsi="Arial" w:cs="Arial"/>
          <w:i/>
          <w:iCs/>
          <w:sz w:val="20"/>
          <w:szCs w:val="20"/>
        </w:rPr>
        <w:t>Media and entertainment outlook: India and emerging economies</w:t>
      </w:r>
      <w:r w:rsidRPr="002C5238">
        <w:rPr>
          <w:rFonts w:ascii="Arial" w:hAnsi="Arial" w:cs="Arial"/>
          <w:sz w:val="20"/>
          <w:szCs w:val="20"/>
        </w:rPr>
        <w:t>. KPMG Publications.</w:t>
      </w:r>
    </w:p>
    <w:p w14:paraId="0856B773" w14:textId="77777777" w:rsidR="00167CD9" w:rsidRPr="002C5238" w:rsidRDefault="00167CD9" w:rsidP="00167CD9">
      <w:pPr>
        <w:numPr>
          <w:ilvl w:val="0"/>
          <w:numId w:val="1"/>
        </w:numPr>
        <w:jc w:val="both"/>
        <w:rPr>
          <w:rFonts w:ascii="Arial" w:hAnsi="Arial" w:cs="Arial"/>
          <w:sz w:val="20"/>
          <w:szCs w:val="20"/>
        </w:rPr>
      </w:pPr>
      <w:proofErr w:type="spellStart"/>
      <w:r w:rsidRPr="002C5238">
        <w:rPr>
          <w:rFonts w:ascii="Arial" w:hAnsi="Arial" w:cs="Arial"/>
          <w:sz w:val="20"/>
          <w:szCs w:val="20"/>
        </w:rPr>
        <w:t>Lotz</w:t>
      </w:r>
      <w:proofErr w:type="spellEnd"/>
      <w:r w:rsidRPr="002C5238">
        <w:rPr>
          <w:rFonts w:ascii="Arial" w:hAnsi="Arial" w:cs="Arial"/>
          <w:sz w:val="20"/>
          <w:szCs w:val="20"/>
        </w:rPr>
        <w:t xml:space="preserve">, A. D. (2021). </w:t>
      </w:r>
      <w:r w:rsidRPr="002C5238">
        <w:rPr>
          <w:rFonts w:ascii="Arial" w:hAnsi="Arial" w:cs="Arial"/>
          <w:i/>
          <w:iCs/>
          <w:sz w:val="20"/>
          <w:szCs w:val="20"/>
        </w:rPr>
        <w:t>The Netflix effect: Technology, culture, and media distribution</w:t>
      </w:r>
      <w:r w:rsidRPr="002C5238">
        <w:rPr>
          <w:rFonts w:ascii="Arial" w:hAnsi="Arial" w:cs="Arial"/>
          <w:sz w:val="20"/>
          <w:szCs w:val="20"/>
        </w:rPr>
        <w:t>. Routledge.</w:t>
      </w:r>
    </w:p>
    <w:p w14:paraId="01C87DBD"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PwC. (2023). </w:t>
      </w:r>
      <w:r w:rsidRPr="002C5238">
        <w:rPr>
          <w:rFonts w:ascii="Arial" w:hAnsi="Arial" w:cs="Arial"/>
          <w:i/>
          <w:iCs/>
          <w:sz w:val="20"/>
          <w:szCs w:val="20"/>
        </w:rPr>
        <w:t>Global entertainment &amp; media outlook: OTT and streaming analysis</w:t>
      </w:r>
      <w:r w:rsidRPr="002C5238">
        <w:rPr>
          <w:rFonts w:ascii="Arial" w:hAnsi="Arial" w:cs="Arial"/>
          <w:sz w:val="20"/>
          <w:szCs w:val="20"/>
        </w:rPr>
        <w:t>. PricewaterhouseCoopers.</w:t>
      </w:r>
    </w:p>
    <w:p w14:paraId="038C6FAA"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lastRenderedPageBreak/>
        <w:t xml:space="preserve">Rai, A., &amp; Singh, V. (2020). Determinants of OTT adoption in emerging markets. </w:t>
      </w:r>
      <w:r w:rsidRPr="002C5238">
        <w:rPr>
          <w:rFonts w:ascii="Arial" w:hAnsi="Arial" w:cs="Arial"/>
          <w:i/>
          <w:iCs/>
          <w:sz w:val="20"/>
          <w:szCs w:val="20"/>
        </w:rPr>
        <w:t>Journal of Interactive Marketing, 49</w:t>
      </w:r>
      <w:r w:rsidRPr="002C5238">
        <w:rPr>
          <w:rFonts w:ascii="Arial" w:hAnsi="Arial" w:cs="Arial"/>
          <w:sz w:val="20"/>
          <w:szCs w:val="20"/>
        </w:rPr>
        <w:t>, 25–38.</w:t>
      </w:r>
    </w:p>
    <w:p w14:paraId="3DA4827C"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Statista. (2023). OTT market revenue and subscription trends in emerging economies. Retrieved from </w:t>
      </w:r>
      <w:hyperlink r:id="rId11" w:history="1">
        <w:r w:rsidRPr="002C5238">
          <w:rPr>
            <w:rStyle w:val="Hyperlink"/>
            <w:rFonts w:ascii="Arial" w:hAnsi="Arial" w:cs="Arial"/>
            <w:sz w:val="20"/>
            <w:szCs w:val="20"/>
          </w:rPr>
          <w:t>https://www.statista.com</w:t>
        </w:r>
      </w:hyperlink>
    </w:p>
    <w:p w14:paraId="6B2EA295"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Venkatesh, V., Thong, J. Y. L., &amp; Xu, X. (2016). Unified theory of acceptance and use of technology: Extended model. </w:t>
      </w:r>
      <w:r w:rsidRPr="002C5238">
        <w:rPr>
          <w:rFonts w:ascii="Arial" w:hAnsi="Arial" w:cs="Arial"/>
          <w:i/>
          <w:iCs/>
          <w:sz w:val="20"/>
          <w:szCs w:val="20"/>
        </w:rPr>
        <w:t>MIS Quarterly, 36</w:t>
      </w:r>
      <w:r w:rsidRPr="002C5238">
        <w:rPr>
          <w:rFonts w:ascii="Arial" w:hAnsi="Arial" w:cs="Arial"/>
          <w:sz w:val="20"/>
          <w:szCs w:val="20"/>
        </w:rPr>
        <w:t>(1), 157–178.</w:t>
      </w:r>
    </w:p>
    <w:p w14:paraId="455677D3" w14:textId="204DDA76"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 Agarwal, R., 2023. Over-the-top (OTT) retailing in the post-pandemic world. </w:t>
      </w:r>
      <w:r w:rsidRPr="002C5238">
        <w:rPr>
          <w:rStyle w:val="Emphasis"/>
          <w:rFonts w:ascii="Arial" w:eastAsiaTheme="majorEastAsia" w:hAnsi="Arial" w:cs="Arial"/>
          <w:sz w:val="22"/>
          <w:szCs w:val="22"/>
        </w:rPr>
        <w:t>Journal of Retailing and Consumer Services</w:t>
      </w:r>
      <w:r w:rsidRPr="002C5238">
        <w:rPr>
          <w:rFonts w:ascii="Arial" w:hAnsi="Arial" w:cs="Arial"/>
          <w:sz w:val="22"/>
          <w:szCs w:val="22"/>
        </w:rPr>
        <w:t xml:space="preserve">, 68, p.103030. Available at: </w:t>
      </w:r>
      <w:hyperlink r:id="rId12" w:history="1">
        <w:r w:rsidRPr="002C5238">
          <w:rPr>
            <w:rStyle w:val="Hyperlink"/>
            <w:rFonts w:ascii="Arial" w:eastAsiaTheme="majorEastAsia" w:hAnsi="Arial" w:cs="Arial"/>
            <w:sz w:val="22"/>
            <w:szCs w:val="22"/>
          </w:rPr>
          <w:t>https://www.sciencedirect.com/science/article/abs/pii/S0969698923002801</w:t>
        </w:r>
      </w:hyperlink>
      <w:r w:rsidRPr="002C5238">
        <w:rPr>
          <w:rFonts w:ascii="Arial" w:hAnsi="Arial" w:cs="Arial"/>
          <w:sz w:val="22"/>
          <w:szCs w:val="22"/>
        </w:rPr>
        <w:t xml:space="preserve"> (</w:t>
      </w:r>
      <w:hyperlink r:id="rId13" w:tooltip="Over-the-top (OTT) retailing in the post pandemic world. ..." w:history="1">
        <w:r w:rsidRPr="002C5238">
          <w:rPr>
            <w:rStyle w:val="Hyperlink"/>
            <w:rFonts w:ascii="Arial" w:eastAsiaTheme="majorEastAsia" w:hAnsi="Arial" w:cs="Arial"/>
            <w:sz w:val="22"/>
            <w:szCs w:val="22"/>
          </w:rPr>
          <w:t>ScienceDirect</w:t>
        </w:r>
      </w:hyperlink>
      <w:r w:rsidRPr="002C5238">
        <w:rPr>
          <w:rFonts w:ascii="Arial" w:hAnsi="Arial" w:cs="Arial"/>
          <w:sz w:val="22"/>
          <w:szCs w:val="22"/>
        </w:rPr>
        <w:t>)</w:t>
      </w:r>
    </w:p>
    <w:p w14:paraId="213FAF73" w14:textId="6CB45BD8"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Kumar, H., 2023. A study on consumers' preference towards OTT platforms during the post-Covid-19 lockdown periods. </w:t>
      </w:r>
      <w:r w:rsidRPr="002C5238">
        <w:rPr>
          <w:rStyle w:val="Emphasis"/>
          <w:rFonts w:ascii="Arial" w:eastAsiaTheme="majorEastAsia" w:hAnsi="Arial" w:cs="Arial"/>
          <w:sz w:val="22"/>
          <w:szCs w:val="22"/>
        </w:rPr>
        <w:t>Journal of Development Economics and Management Research Studies</w:t>
      </w:r>
      <w:r w:rsidRPr="002C5238">
        <w:rPr>
          <w:rFonts w:ascii="Arial" w:hAnsi="Arial" w:cs="Arial"/>
          <w:sz w:val="22"/>
          <w:szCs w:val="22"/>
        </w:rPr>
        <w:t xml:space="preserve">, 10(16), pp.65-70. Available at: </w:t>
      </w:r>
      <w:hyperlink r:id="rId14" w:history="1">
        <w:r w:rsidRPr="002C5238">
          <w:rPr>
            <w:rStyle w:val="Hyperlink"/>
            <w:rFonts w:ascii="Arial" w:eastAsiaTheme="majorEastAsia" w:hAnsi="Arial" w:cs="Arial"/>
            <w:sz w:val="22"/>
            <w:szCs w:val="22"/>
          </w:rPr>
          <w:t>https://www.cdes.org.in/wp-content/uploads/2023/04/09-Analysing-Consumers-Preference-towards-OTT-Platforms-Post-Covid-19-Lockdown.pdf</w:t>
        </w:r>
      </w:hyperlink>
      <w:r w:rsidRPr="002C5238">
        <w:rPr>
          <w:rFonts w:ascii="Arial" w:hAnsi="Arial" w:cs="Arial"/>
          <w:sz w:val="22"/>
          <w:szCs w:val="22"/>
        </w:rPr>
        <w:t xml:space="preserve"> (</w:t>
      </w:r>
      <w:hyperlink r:id="rId15" w:tooltip="A Study on Consumers' Preference towards OTT Platforms ..." w:history="1">
        <w:r w:rsidRPr="002C5238">
          <w:rPr>
            <w:rStyle w:val="Hyperlink"/>
            <w:rFonts w:ascii="Arial" w:eastAsiaTheme="majorEastAsia" w:hAnsi="Arial" w:cs="Arial"/>
            <w:sz w:val="22"/>
            <w:szCs w:val="22"/>
          </w:rPr>
          <w:t>cdes.org.in</w:t>
        </w:r>
      </w:hyperlink>
      <w:r w:rsidRPr="002C5238">
        <w:rPr>
          <w:rFonts w:ascii="Arial" w:hAnsi="Arial" w:cs="Arial"/>
          <w:sz w:val="22"/>
          <w:szCs w:val="22"/>
        </w:rPr>
        <w:t>)</w:t>
      </w:r>
    </w:p>
    <w:p w14:paraId="233A816E" w14:textId="34483013" w:rsidR="008E3942" w:rsidRPr="002C5238" w:rsidRDefault="008E3942" w:rsidP="008E3942">
      <w:pPr>
        <w:pStyle w:val="NormalWeb"/>
        <w:numPr>
          <w:ilvl w:val="0"/>
          <w:numId w:val="1"/>
        </w:numPr>
        <w:rPr>
          <w:rFonts w:ascii="Arial" w:hAnsi="Arial" w:cs="Arial"/>
          <w:sz w:val="22"/>
          <w:szCs w:val="22"/>
        </w:rPr>
      </w:pPr>
      <w:proofErr w:type="spellStart"/>
      <w:r w:rsidRPr="002C5238">
        <w:rPr>
          <w:rFonts w:ascii="Arial" w:hAnsi="Arial" w:cs="Arial"/>
          <w:sz w:val="22"/>
          <w:szCs w:val="22"/>
        </w:rPr>
        <w:t>Velankar</w:t>
      </w:r>
      <w:proofErr w:type="spellEnd"/>
      <w:r w:rsidRPr="002C5238">
        <w:rPr>
          <w:rFonts w:ascii="Arial" w:hAnsi="Arial" w:cs="Arial"/>
          <w:sz w:val="22"/>
          <w:szCs w:val="22"/>
        </w:rPr>
        <w:t xml:space="preserve">, S., 2025. Decoding millennial preferences: Drivers of OTT platform adoption in the digital era. </w:t>
      </w:r>
      <w:r w:rsidRPr="002C5238">
        <w:rPr>
          <w:rStyle w:val="Emphasis"/>
          <w:rFonts w:ascii="Arial" w:eastAsiaTheme="majorEastAsia" w:hAnsi="Arial" w:cs="Arial"/>
          <w:sz w:val="22"/>
          <w:szCs w:val="22"/>
        </w:rPr>
        <w:t>ResearchGate</w:t>
      </w:r>
      <w:r w:rsidRPr="002C5238">
        <w:rPr>
          <w:rFonts w:ascii="Arial" w:hAnsi="Arial" w:cs="Arial"/>
          <w:sz w:val="22"/>
          <w:szCs w:val="22"/>
        </w:rPr>
        <w:t xml:space="preserve">. Available at: </w:t>
      </w:r>
      <w:hyperlink r:id="rId16" w:history="1">
        <w:r w:rsidRPr="002C5238">
          <w:rPr>
            <w:rStyle w:val="Hyperlink"/>
            <w:rFonts w:ascii="Arial" w:eastAsiaTheme="majorEastAsia" w:hAnsi="Arial" w:cs="Arial"/>
            <w:sz w:val="22"/>
            <w:szCs w:val="22"/>
          </w:rPr>
          <w:t>https://www.researchgate.net/publication/395232324_DECODING_MILLENNIAL_PREFERENCES_DRIVERS_OF_OTT_PLATFORM_ADOPTION_IN_THE_DIGITAL_ERA</w:t>
        </w:r>
      </w:hyperlink>
      <w:r w:rsidRPr="002C5238">
        <w:rPr>
          <w:rFonts w:ascii="Arial" w:hAnsi="Arial" w:cs="Arial"/>
          <w:sz w:val="22"/>
          <w:szCs w:val="22"/>
        </w:rPr>
        <w:t xml:space="preserve"> (</w:t>
      </w:r>
      <w:hyperlink r:id="rId17" w:tooltip="decoding millennial preferences: drivers of ott platform ..." w:history="1">
        <w:r w:rsidRPr="002C5238">
          <w:rPr>
            <w:rStyle w:val="Hyperlink"/>
            <w:rFonts w:ascii="Arial" w:eastAsiaTheme="majorEastAsia" w:hAnsi="Arial" w:cs="Arial"/>
            <w:sz w:val="22"/>
            <w:szCs w:val="22"/>
          </w:rPr>
          <w:t>ResearchGate</w:t>
        </w:r>
      </w:hyperlink>
      <w:r w:rsidRPr="002C5238">
        <w:rPr>
          <w:rFonts w:ascii="Arial" w:hAnsi="Arial" w:cs="Arial"/>
          <w:sz w:val="22"/>
          <w:szCs w:val="22"/>
        </w:rPr>
        <w:t>)</w:t>
      </w:r>
    </w:p>
    <w:p w14:paraId="16842AB6" w14:textId="294E3B49"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Brown, M.J.A., 2024. Over-the-top (OTT) networks' influence on shared cultural experiences. </w:t>
      </w:r>
      <w:r w:rsidRPr="002C5238">
        <w:rPr>
          <w:rStyle w:val="Emphasis"/>
          <w:rFonts w:ascii="Arial" w:eastAsiaTheme="majorEastAsia" w:hAnsi="Arial" w:cs="Arial"/>
          <w:sz w:val="22"/>
          <w:szCs w:val="22"/>
        </w:rPr>
        <w:t>Liberty University Digital Commons</w:t>
      </w:r>
      <w:r w:rsidRPr="002C5238">
        <w:rPr>
          <w:rFonts w:ascii="Arial" w:hAnsi="Arial" w:cs="Arial"/>
          <w:sz w:val="22"/>
          <w:szCs w:val="22"/>
        </w:rPr>
        <w:t xml:space="preserve">. Available at: </w:t>
      </w:r>
      <w:hyperlink r:id="rId18" w:history="1">
        <w:r w:rsidRPr="002C5238">
          <w:rPr>
            <w:rStyle w:val="Hyperlink"/>
            <w:rFonts w:ascii="Arial" w:eastAsiaTheme="majorEastAsia" w:hAnsi="Arial" w:cs="Arial"/>
            <w:sz w:val="22"/>
            <w:szCs w:val="22"/>
          </w:rPr>
          <w:t>https://digitalcommons.liberty.edu/cgi/viewcontent.cgi?article=6424&amp;context=doctoral</w:t>
        </w:r>
      </w:hyperlink>
      <w:r w:rsidRPr="002C5238">
        <w:rPr>
          <w:rFonts w:ascii="Arial" w:hAnsi="Arial" w:cs="Arial"/>
          <w:sz w:val="22"/>
          <w:szCs w:val="22"/>
        </w:rPr>
        <w:t xml:space="preserve"> (</w:t>
      </w:r>
      <w:hyperlink r:id="rId19" w:tooltip="over-the-top (ott) networks' influence on shared cultural" w:history="1">
        <w:r w:rsidRPr="002C5238">
          <w:rPr>
            <w:rStyle w:val="Hyperlink"/>
            <w:rFonts w:ascii="Arial" w:eastAsiaTheme="majorEastAsia" w:hAnsi="Arial" w:cs="Arial"/>
            <w:sz w:val="22"/>
            <w:szCs w:val="22"/>
          </w:rPr>
          <w:t>Scholars Crossing</w:t>
        </w:r>
      </w:hyperlink>
      <w:r w:rsidRPr="002C5238">
        <w:rPr>
          <w:rFonts w:ascii="Arial" w:hAnsi="Arial" w:cs="Arial"/>
          <w:sz w:val="22"/>
          <w:szCs w:val="22"/>
        </w:rPr>
        <w:t>)</w:t>
      </w:r>
    </w:p>
    <w:p w14:paraId="6767421C" w14:textId="25AEA3A7"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Nagaraj, S., 2021. Factors affecting consumers' willingness to subscribe to OTT streaming services. </w:t>
      </w:r>
      <w:r w:rsidRPr="002C5238">
        <w:rPr>
          <w:rStyle w:val="Emphasis"/>
          <w:rFonts w:ascii="Arial" w:eastAsiaTheme="majorEastAsia" w:hAnsi="Arial" w:cs="Arial"/>
          <w:sz w:val="22"/>
          <w:szCs w:val="22"/>
        </w:rPr>
        <w:t>Journal of Business Research</w:t>
      </w:r>
      <w:r w:rsidRPr="002C5238">
        <w:rPr>
          <w:rFonts w:ascii="Arial" w:hAnsi="Arial" w:cs="Arial"/>
          <w:sz w:val="22"/>
          <w:szCs w:val="22"/>
        </w:rPr>
        <w:t xml:space="preserve">, 124, pp.1-10. Available at: </w:t>
      </w:r>
      <w:hyperlink r:id="rId20" w:history="1">
        <w:r w:rsidRPr="002C5238">
          <w:rPr>
            <w:rStyle w:val="Hyperlink"/>
            <w:rFonts w:ascii="Arial" w:eastAsiaTheme="majorEastAsia" w:hAnsi="Arial" w:cs="Arial"/>
            <w:sz w:val="22"/>
            <w:szCs w:val="22"/>
          </w:rPr>
          <w:t>https://www.sciencedirect.com/science/article/abs/pii/S0160791X21000099</w:t>
        </w:r>
      </w:hyperlink>
      <w:r w:rsidRPr="002C5238">
        <w:rPr>
          <w:rFonts w:ascii="Arial" w:hAnsi="Arial" w:cs="Arial"/>
          <w:sz w:val="22"/>
          <w:szCs w:val="22"/>
        </w:rPr>
        <w:t xml:space="preserve"> (</w:t>
      </w:r>
      <w:hyperlink r:id="rId21" w:tooltip="Factors affecting consumers' willingness to subscribe ..." w:history="1">
        <w:r w:rsidRPr="002C5238">
          <w:rPr>
            <w:rStyle w:val="Hyperlink"/>
            <w:rFonts w:ascii="Arial" w:eastAsiaTheme="majorEastAsia" w:hAnsi="Arial" w:cs="Arial"/>
            <w:sz w:val="22"/>
            <w:szCs w:val="22"/>
          </w:rPr>
          <w:t>ScienceDirect</w:t>
        </w:r>
      </w:hyperlink>
      <w:r w:rsidRPr="002C5238">
        <w:rPr>
          <w:rFonts w:ascii="Arial" w:hAnsi="Arial" w:cs="Arial"/>
          <w:sz w:val="22"/>
          <w:szCs w:val="22"/>
        </w:rPr>
        <w:t>)</w:t>
      </w:r>
    </w:p>
    <w:p w14:paraId="7F601CA3" w14:textId="4F19B887"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 </w:t>
      </w:r>
      <w:proofErr w:type="spellStart"/>
      <w:r w:rsidRPr="002C5238">
        <w:rPr>
          <w:rFonts w:ascii="Arial" w:hAnsi="Arial" w:cs="Arial"/>
          <w:sz w:val="22"/>
          <w:szCs w:val="22"/>
        </w:rPr>
        <w:t>Basha</w:t>
      </w:r>
      <w:proofErr w:type="spellEnd"/>
      <w:r w:rsidRPr="002C5238">
        <w:rPr>
          <w:rFonts w:ascii="Arial" w:hAnsi="Arial" w:cs="Arial"/>
          <w:sz w:val="22"/>
          <w:szCs w:val="22"/>
        </w:rPr>
        <w:t xml:space="preserve">, S.M., 2024. Exploring influential factors in OTT platform adoption. </w:t>
      </w:r>
      <w:r w:rsidRPr="002C5238">
        <w:rPr>
          <w:rStyle w:val="Emphasis"/>
          <w:rFonts w:ascii="Arial" w:eastAsiaTheme="majorEastAsia" w:hAnsi="Arial" w:cs="Arial"/>
          <w:sz w:val="22"/>
          <w:szCs w:val="22"/>
        </w:rPr>
        <w:t>MAKHILL Publications</w:t>
      </w:r>
      <w:r w:rsidRPr="002C5238">
        <w:rPr>
          <w:rFonts w:ascii="Arial" w:hAnsi="Arial" w:cs="Arial"/>
          <w:sz w:val="22"/>
          <w:szCs w:val="22"/>
        </w:rPr>
        <w:t xml:space="preserve">. Available at: </w:t>
      </w:r>
      <w:hyperlink r:id="rId22" w:history="1">
        <w:r w:rsidRPr="002C5238">
          <w:rPr>
            <w:rStyle w:val="Hyperlink"/>
            <w:rFonts w:ascii="Arial" w:eastAsiaTheme="majorEastAsia" w:hAnsi="Arial" w:cs="Arial"/>
            <w:sz w:val="22"/>
            <w:szCs w:val="22"/>
          </w:rPr>
          <w:t>https://makhillpublications.co/files/published-files/mak-jet/2024/1-13.pdf</w:t>
        </w:r>
      </w:hyperlink>
      <w:r w:rsidRPr="002C5238">
        <w:rPr>
          <w:rFonts w:ascii="Arial" w:hAnsi="Arial" w:cs="Arial"/>
          <w:sz w:val="22"/>
          <w:szCs w:val="22"/>
        </w:rPr>
        <w:t xml:space="preserve"> (</w:t>
      </w:r>
      <w:hyperlink r:id="rId23" w:tooltip="Exploring Influential Factors in OTT Platform Adoption" w:history="1">
        <w:r w:rsidRPr="002C5238">
          <w:rPr>
            <w:rStyle w:val="Hyperlink"/>
            <w:rFonts w:ascii="Arial" w:eastAsiaTheme="majorEastAsia" w:hAnsi="Arial" w:cs="Arial"/>
            <w:sz w:val="22"/>
            <w:szCs w:val="22"/>
          </w:rPr>
          <w:t>makhillpublications.co</w:t>
        </w:r>
      </w:hyperlink>
      <w:r w:rsidRPr="002C5238">
        <w:rPr>
          <w:rFonts w:ascii="Arial" w:hAnsi="Arial" w:cs="Arial"/>
          <w:sz w:val="22"/>
          <w:szCs w:val="22"/>
        </w:rPr>
        <w:t>)</w:t>
      </w:r>
    </w:p>
    <w:p w14:paraId="25378BB5" w14:textId="09F245EB"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Chadha, O. &amp; Shukla, S., 2024. A study on consumer perception towards OTT platforms. </w:t>
      </w:r>
      <w:r w:rsidRPr="002C5238">
        <w:rPr>
          <w:rStyle w:val="Emphasis"/>
          <w:rFonts w:ascii="Arial" w:eastAsiaTheme="majorEastAsia" w:hAnsi="Arial" w:cs="Arial"/>
          <w:sz w:val="22"/>
          <w:szCs w:val="22"/>
        </w:rPr>
        <w:t>International Journal of Progressive Research in Engineering Management and Science</w:t>
      </w:r>
      <w:r w:rsidRPr="002C5238">
        <w:rPr>
          <w:rFonts w:ascii="Arial" w:hAnsi="Arial" w:cs="Arial"/>
          <w:sz w:val="22"/>
          <w:szCs w:val="22"/>
        </w:rPr>
        <w:t xml:space="preserve">, 5(1), pp.127-132. Available at: </w:t>
      </w:r>
      <w:hyperlink r:id="rId24" w:history="1">
        <w:r w:rsidRPr="002C5238">
          <w:rPr>
            <w:rStyle w:val="Hyperlink"/>
            <w:rFonts w:ascii="Arial" w:eastAsiaTheme="majorEastAsia" w:hAnsi="Arial" w:cs="Arial"/>
            <w:sz w:val="22"/>
            <w:szCs w:val="22"/>
          </w:rPr>
          <w:t>https://www.ijprems.com/uploadedfiles/paper/issue_1_january_2025/38009/final/fin_ijprems1735964715.pdf</w:t>
        </w:r>
      </w:hyperlink>
      <w:r w:rsidRPr="002C5238">
        <w:rPr>
          <w:rFonts w:ascii="Arial" w:hAnsi="Arial" w:cs="Arial"/>
          <w:sz w:val="22"/>
          <w:szCs w:val="22"/>
        </w:rPr>
        <w:t xml:space="preserve"> (</w:t>
      </w:r>
      <w:hyperlink r:id="rId25" w:tooltip="A STUDY ON CONSUMER PERCEPTION TOWARDS OTT ..." w:history="1">
        <w:r w:rsidRPr="002C5238">
          <w:rPr>
            <w:rStyle w:val="Hyperlink"/>
            <w:rFonts w:ascii="Arial" w:eastAsiaTheme="majorEastAsia" w:hAnsi="Arial" w:cs="Arial"/>
            <w:sz w:val="22"/>
            <w:szCs w:val="22"/>
          </w:rPr>
          <w:t>ijprems.com</w:t>
        </w:r>
      </w:hyperlink>
      <w:r w:rsidRPr="002C5238">
        <w:rPr>
          <w:rFonts w:ascii="Arial" w:hAnsi="Arial" w:cs="Arial"/>
          <w:sz w:val="22"/>
          <w:szCs w:val="22"/>
        </w:rPr>
        <w:t>)</w:t>
      </w:r>
    </w:p>
    <w:p w14:paraId="5EF76735" w14:textId="60D8B953"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Singh, S., 2020. A study on factors leading to adoption of OTT services in India. </w:t>
      </w:r>
      <w:r w:rsidRPr="002C5238">
        <w:rPr>
          <w:rStyle w:val="Emphasis"/>
          <w:rFonts w:ascii="Arial" w:eastAsiaTheme="majorEastAsia" w:hAnsi="Arial" w:cs="Arial"/>
          <w:sz w:val="22"/>
          <w:szCs w:val="22"/>
        </w:rPr>
        <w:t>International Journal of Management Research and Technology</w:t>
      </w:r>
      <w:r w:rsidRPr="002C5238">
        <w:rPr>
          <w:rFonts w:ascii="Arial" w:hAnsi="Arial" w:cs="Arial"/>
          <w:sz w:val="22"/>
          <w:szCs w:val="22"/>
        </w:rPr>
        <w:t xml:space="preserve">, 9(2), pp.45-52. Available at: </w:t>
      </w:r>
      <w:hyperlink r:id="rId26" w:history="1">
        <w:r w:rsidRPr="002C5238">
          <w:rPr>
            <w:rStyle w:val="Hyperlink"/>
            <w:rFonts w:ascii="Arial" w:eastAsiaTheme="majorEastAsia" w:hAnsi="Arial" w:cs="Arial"/>
            <w:sz w:val="22"/>
            <w:szCs w:val="22"/>
          </w:rPr>
          <w:t>https://ijmrtjournal.com/wp-content/uploads/2020/09/A-study-on-factors-leading-to-adoption-of-OTT-IJMRT.pdf</w:t>
        </w:r>
      </w:hyperlink>
      <w:r w:rsidRPr="002C5238">
        <w:rPr>
          <w:rFonts w:ascii="Arial" w:hAnsi="Arial" w:cs="Arial"/>
          <w:sz w:val="22"/>
          <w:szCs w:val="22"/>
        </w:rPr>
        <w:t xml:space="preserve"> (</w:t>
      </w:r>
      <w:hyperlink r:id="rId27" w:tooltip="A study on factors leading to adoption of OTT services ..." w:history="1">
        <w:r w:rsidRPr="002C5238">
          <w:rPr>
            <w:rStyle w:val="Hyperlink"/>
            <w:rFonts w:ascii="Arial" w:eastAsiaTheme="majorEastAsia" w:hAnsi="Arial" w:cs="Arial"/>
            <w:sz w:val="22"/>
            <w:szCs w:val="22"/>
          </w:rPr>
          <w:t>IJMRT</w:t>
        </w:r>
      </w:hyperlink>
      <w:r w:rsidRPr="002C5238">
        <w:rPr>
          <w:rFonts w:ascii="Arial" w:hAnsi="Arial" w:cs="Arial"/>
          <w:sz w:val="22"/>
          <w:szCs w:val="22"/>
        </w:rPr>
        <w:t>)</w:t>
      </w:r>
    </w:p>
    <w:p w14:paraId="543F4EE5" w14:textId="533A13F0"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 </w:t>
      </w:r>
      <w:proofErr w:type="spellStart"/>
      <w:r w:rsidRPr="002C5238">
        <w:rPr>
          <w:rFonts w:ascii="Arial" w:hAnsi="Arial" w:cs="Arial"/>
          <w:sz w:val="22"/>
          <w:szCs w:val="22"/>
        </w:rPr>
        <w:t>Neerati</w:t>
      </w:r>
      <w:proofErr w:type="spellEnd"/>
      <w:r w:rsidRPr="002C5238">
        <w:rPr>
          <w:rFonts w:ascii="Arial" w:hAnsi="Arial" w:cs="Arial"/>
          <w:sz w:val="22"/>
          <w:szCs w:val="22"/>
        </w:rPr>
        <w:t xml:space="preserve">, V.R. &amp; D, I., 2023. Over-the-top (OTT) watching behaviour of consumers in </w:t>
      </w:r>
      <w:proofErr w:type="spellStart"/>
      <w:r w:rsidRPr="002C5238">
        <w:rPr>
          <w:rFonts w:ascii="Arial" w:hAnsi="Arial" w:cs="Arial"/>
          <w:sz w:val="22"/>
          <w:szCs w:val="22"/>
        </w:rPr>
        <w:t>Secunderabad</w:t>
      </w:r>
      <w:proofErr w:type="spellEnd"/>
      <w:r w:rsidRPr="002C5238">
        <w:rPr>
          <w:rFonts w:ascii="Arial" w:hAnsi="Arial" w:cs="Arial"/>
          <w:sz w:val="22"/>
          <w:szCs w:val="22"/>
        </w:rPr>
        <w:t xml:space="preserve">. </w:t>
      </w:r>
      <w:r w:rsidRPr="002C5238">
        <w:rPr>
          <w:rStyle w:val="Emphasis"/>
          <w:rFonts w:ascii="Arial" w:eastAsiaTheme="majorEastAsia" w:hAnsi="Arial" w:cs="Arial"/>
          <w:sz w:val="22"/>
          <w:szCs w:val="22"/>
        </w:rPr>
        <w:t>International Journal of Progressive Research in Engineering Management and Science</w:t>
      </w:r>
      <w:r w:rsidRPr="002C5238">
        <w:rPr>
          <w:rFonts w:ascii="Arial" w:hAnsi="Arial" w:cs="Arial"/>
          <w:sz w:val="22"/>
          <w:szCs w:val="22"/>
        </w:rPr>
        <w:t xml:space="preserve">, 4(2), pp.56-63. Available at: </w:t>
      </w:r>
      <w:hyperlink r:id="rId28" w:history="1">
        <w:r w:rsidRPr="002C5238">
          <w:rPr>
            <w:rStyle w:val="Hyperlink"/>
            <w:rFonts w:ascii="Arial" w:eastAsiaTheme="majorEastAsia" w:hAnsi="Arial" w:cs="Arial"/>
            <w:sz w:val="22"/>
            <w:szCs w:val="22"/>
          </w:rPr>
          <w:t>https://www.ijprems.com/uploadedfiles/paper/issue_1_january_2025/38009/final/fin_ijprems1735964715.pdf</w:t>
        </w:r>
      </w:hyperlink>
      <w:r w:rsidRPr="002C5238">
        <w:rPr>
          <w:rFonts w:ascii="Arial" w:hAnsi="Arial" w:cs="Arial"/>
          <w:sz w:val="22"/>
          <w:szCs w:val="22"/>
        </w:rPr>
        <w:t xml:space="preserve"> (</w:t>
      </w:r>
      <w:hyperlink r:id="rId29" w:tooltip="A STUDY ON CONSUMER PERCEPTION TOWARDS OTT ..." w:history="1">
        <w:r w:rsidRPr="002C5238">
          <w:rPr>
            <w:rStyle w:val="Hyperlink"/>
            <w:rFonts w:ascii="Arial" w:eastAsiaTheme="majorEastAsia" w:hAnsi="Arial" w:cs="Arial"/>
            <w:sz w:val="22"/>
            <w:szCs w:val="22"/>
          </w:rPr>
          <w:t>ijprems.com</w:t>
        </w:r>
      </w:hyperlink>
      <w:r w:rsidRPr="002C5238">
        <w:rPr>
          <w:rFonts w:ascii="Arial" w:hAnsi="Arial" w:cs="Arial"/>
          <w:sz w:val="22"/>
          <w:szCs w:val="22"/>
        </w:rPr>
        <w:t>)</w:t>
      </w:r>
    </w:p>
    <w:p w14:paraId="1BC27D96" w14:textId="0269F6F3" w:rsidR="008E3942" w:rsidRPr="002C5238" w:rsidRDefault="008E3942" w:rsidP="008E3942">
      <w:pPr>
        <w:pStyle w:val="NormalWeb"/>
        <w:numPr>
          <w:ilvl w:val="0"/>
          <w:numId w:val="1"/>
        </w:numPr>
        <w:rPr>
          <w:rFonts w:ascii="Arial" w:hAnsi="Arial" w:cs="Arial"/>
          <w:sz w:val="22"/>
          <w:szCs w:val="22"/>
        </w:rPr>
      </w:pPr>
      <w:proofErr w:type="spellStart"/>
      <w:r w:rsidRPr="002C5238">
        <w:rPr>
          <w:rFonts w:ascii="Arial" w:hAnsi="Arial" w:cs="Arial"/>
          <w:sz w:val="22"/>
          <w:szCs w:val="22"/>
        </w:rPr>
        <w:t>Chitrakala</w:t>
      </w:r>
      <w:proofErr w:type="spellEnd"/>
      <w:r w:rsidRPr="002C5238">
        <w:rPr>
          <w:rFonts w:ascii="Arial" w:hAnsi="Arial" w:cs="Arial"/>
          <w:sz w:val="22"/>
          <w:szCs w:val="22"/>
        </w:rPr>
        <w:t xml:space="preserve">, V., Venkatesh, S. &amp; </w:t>
      </w:r>
      <w:proofErr w:type="spellStart"/>
      <w:r w:rsidRPr="002C5238">
        <w:rPr>
          <w:rFonts w:ascii="Arial" w:hAnsi="Arial" w:cs="Arial"/>
          <w:sz w:val="22"/>
          <w:szCs w:val="22"/>
        </w:rPr>
        <w:t>Nagarathinam</w:t>
      </w:r>
      <w:proofErr w:type="spellEnd"/>
      <w:r w:rsidRPr="002C5238">
        <w:rPr>
          <w:rFonts w:ascii="Arial" w:hAnsi="Arial" w:cs="Arial"/>
          <w:sz w:val="22"/>
          <w:szCs w:val="22"/>
        </w:rPr>
        <w:t xml:space="preserve">, A., 2023. A study of consumer perception regarding over-the-top platforms, with a specific focus on Coimbatore city. </w:t>
      </w:r>
      <w:r w:rsidRPr="002C5238">
        <w:rPr>
          <w:rStyle w:val="Emphasis"/>
          <w:rFonts w:ascii="Arial" w:eastAsiaTheme="majorEastAsia" w:hAnsi="Arial" w:cs="Arial"/>
          <w:sz w:val="22"/>
          <w:szCs w:val="22"/>
        </w:rPr>
        <w:t>International Journal of Progressive Research in Engineering Management and Science</w:t>
      </w:r>
      <w:r w:rsidRPr="002C5238">
        <w:rPr>
          <w:rFonts w:ascii="Arial" w:hAnsi="Arial" w:cs="Arial"/>
          <w:sz w:val="22"/>
          <w:szCs w:val="22"/>
        </w:rPr>
        <w:t xml:space="preserve">, 5(1), pp.127-132. Available at: </w:t>
      </w:r>
      <w:hyperlink r:id="rId30" w:history="1">
        <w:r w:rsidRPr="002C5238">
          <w:rPr>
            <w:rStyle w:val="Hyperlink"/>
            <w:rFonts w:ascii="Arial" w:eastAsiaTheme="majorEastAsia" w:hAnsi="Arial" w:cs="Arial"/>
            <w:sz w:val="22"/>
            <w:szCs w:val="22"/>
          </w:rPr>
          <w:t>https://www.ijprems.com/uploadedfiles/paper/issue_1_january_2025/38009/final/fin_ijprems1735964715.pdf</w:t>
        </w:r>
      </w:hyperlink>
      <w:r w:rsidRPr="002C5238">
        <w:rPr>
          <w:rFonts w:ascii="Arial" w:hAnsi="Arial" w:cs="Arial"/>
          <w:sz w:val="22"/>
          <w:szCs w:val="22"/>
        </w:rPr>
        <w:t xml:space="preserve"> (</w:t>
      </w:r>
      <w:hyperlink r:id="rId31" w:tooltip="A STUDY ON CONSUMER PERCEPTION TOWARDS OTT ..." w:history="1">
        <w:r w:rsidRPr="002C5238">
          <w:rPr>
            <w:rStyle w:val="Hyperlink"/>
            <w:rFonts w:ascii="Arial" w:eastAsiaTheme="majorEastAsia" w:hAnsi="Arial" w:cs="Arial"/>
            <w:sz w:val="22"/>
            <w:szCs w:val="22"/>
          </w:rPr>
          <w:t>ijprems.com</w:t>
        </w:r>
      </w:hyperlink>
      <w:r w:rsidRPr="002C5238">
        <w:rPr>
          <w:rFonts w:ascii="Arial" w:hAnsi="Arial" w:cs="Arial"/>
          <w:sz w:val="22"/>
          <w:szCs w:val="22"/>
        </w:rPr>
        <w:t>)</w:t>
      </w:r>
    </w:p>
    <w:p w14:paraId="77200CFC" w14:textId="77777777" w:rsidR="00167CD9" w:rsidRPr="002C5238" w:rsidRDefault="00167CD9" w:rsidP="008E3942">
      <w:pPr>
        <w:ind w:firstLine="720"/>
        <w:jc w:val="both"/>
        <w:rPr>
          <w:rFonts w:ascii="Arial" w:hAnsi="Arial" w:cs="Arial"/>
          <w:sz w:val="20"/>
          <w:szCs w:val="20"/>
        </w:rPr>
      </w:pPr>
    </w:p>
    <w:p w14:paraId="38449701" w14:textId="77777777" w:rsidR="00167CD9" w:rsidRPr="002C5238" w:rsidRDefault="00167CD9" w:rsidP="00167CD9">
      <w:pPr>
        <w:jc w:val="both"/>
        <w:rPr>
          <w:rFonts w:ascii="Arial" w:hAnsi="Arial" w:cs="Arial"/>
          <w:sz w:val="20"/>
          <w:szCs w:val="20"/>
        </w:rPr>
      </w:pPr>
    </w:p>
    <w:sectPr w:rsidR="00167CD9" w:rsidRPr="002C5238" w:rsidSect="00EB05A7">
      <w:headerReference w:type="even" r:id="rId32"/>
      <w:headerReference w:type="default" r:id="rId33"/>
      <w:footerReference w:type="even" r:id="rId34"/>
      <w:footerReference w:type="default" r:id="rId35"/>
      <w:headerReference w:type="first" r:id="rId36"/>
      <w:footerReference w:type="first" r:id="rId37"/>
      <w:pgSz w:w="11910"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5752D" w14:textId="77777777" w:rsidR="008F1936" w:rsidRDefault="008F1936" w:rsidP="002D6DC3">
      <w:pPr>
        <w:spacing w:after="0" w:line="240" w:lineRule="auto"/>
      </w:pPr>
      <w:r>
        <w:separator/>
      </w:r>
    </w:p>
  </w:endnote>
  <w:endnote w:type="continuationSeparator" w:id="0">
    <w:p w14:paraId="2C163D6A" w14:textId="77777777" w:rsidR="008F1936" w:rsidRDefault="008F1936" w:rsidP="002D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7FD0" w14:textId="77777777" w:rsidR="002D6DC3" w:rsidRDefault="002D6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AB4C" w14:textId="77777777" w:rsidR="002D6DC3" w:rsidRDefault="002D6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DF48" w14:textId="77777777" w:rsidR="002D6DC3" w:rsidRDefault="002D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BC28C" w14:textId="77777777" w:rsidR="008F1936" w:rsidRDefault="008F1936" w:rsidP="002D6DC3">
      <w:pPr>
        <w:spacing w:after="0" w:line="240" w:lineRule="auto"/>
      </w:pPr>
      <w:r>
        <w:separator/>
      </w:r>
    </w:p>
  </w:footnote>
  <w:footnote w:type="continuationSeparator" w:id="0">
    <w:p w14:paraId="7237E52D" w14:textId="77777777" w:rsidR="008F1936" w:rsidRDefault="008F1936" w:rsidP="002D6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CE0D9" w14:textId="13F5A7AC" w:rsidR="002D6DC3" w:rsidRDefault="002D6DC3">
    <w:pPr>
      <w:pStyle w:val="Header"/>
    </w:pPr>
    <w:r>
      <w:rPr>
        <w:noProof/>
      </w:rPr>
      <w:pict w14:anchorId="11BCD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714547"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6A41" w14:textId="5E5DF95B" w:rsidR="002D6DC3" w:rsidRDefault="002D6DC3">
    <w:pPr>
      <w:pStyle w:val="Header"/>
    </w:pPr>
    <w:r>
      <w:rPr>
        <w:noProof/>
      </w:rPr>
      <w:pict w14:anchorId="1EF95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714548"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6285" w14:textId="29FA60C3" w:rsidR="002D6DC3" w:rsidRDefault="002D6DC3">
    <w:pPr>
      <w:pStyle w:val="Header"/>
    </w:pPr>
    <w:r>
      <w:rPr>
        <w:noProof/>
      </w:rPr>
      <w:pict w14:anchorId="2066F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714546"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C2379"/>
    <w:multiLevelType w:val="multilevel"/>
    <w:tmpl w:val="3D460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F2BE3"/>
    <w:multiLevelType w:val="multilevel"/>
    <w:tmpl w:val="DC52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95384"/>
    <w:multiLevelType w:val="multilevel"/>
    <w:tmpl w:val="801E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05527"/>
    <w:multiLevelType w:val="multilevel"/>
    <w:tmpl w:val="FCF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37338"/>
    <w:multiLevelType w:val="multilevel"/>
    <w:tmpl w:val="E110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D001D0"/>
    <w:multiLevelType w:val="multilevel"/>
    <w:tmpl w:val="500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A6CBD"/>
    <w:multiLevelType w:val="multilevel"/>
    <w:tmpl w:val="B1D2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F23A67"/>
    <w:multiLevelType w:val="multilevel"/>
    <w:tmpl w:val="9748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805BB3"/>
    <w:multiLevelType w:val="multilevel"/>
    <w:tmpl w:val="5F00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30040"/>
    <w:multiLevelType w:val="multilevel"/>
    <w:tmpl w:val="8040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9D6E6F"/>
    <w:multiLevelType w:val="multilevel"/>
    <w:tmpl w:val="BD1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56D8D"/>
    <w:multiLevelType w:val="multilevel"/>
    <w:tmpl w:val="12D6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F5E00"/>
    <w:multiLevelType w:val="multilevel"/>
    <w:tmpl w:val="D7E0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11"/>
  </w:num>
  <w:num w:numId="4">
    <w:abstractNumId w:val="10"/>
  </w:num>
  <w:num w:numId="5">
    <w:abstractNumId w:val="3"/>
  </w:num>
  <w:num w:numId="6">
    <w:abstractNumId w:val="8"/>
  </w:num>
  <w:num w:numId="7">
    <w:abstractNumId w:val="0"/>
  </w:num>
  <w:num w:numId="8">
    <w:abstractNumId w:val="5"/>
  </w:num>
  <w:num w:numId="9">
    <w:abstractNumId w:val="6"/>
  </w:num>
  <w:num w:numId="10">
    <w:abstractNumId w:val="1"/>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NDYwMra0MDKwNDFV0lEKTi0uzszPAykwrAUAso9+JSwAAAA="/>
  </w:docVars>
  <w:rsids>
    <w:rsidRoot w:val="00733AFE"/>
    <w:rsid w:val="000F122E"/>
    <w:rsid w:val="00127782"/>
    <w:rsid w:val="00167CD9"/>
    <w:rsid w:val="001746A5"/>
    <w:rsid w:val="001A548D"/>
    <w:rsid w:val="001D7F4A"/>
    <w:rsid w:val="002C5238"/>
    <w:rsid w:val="002D6DC3"/>
    <w:rsid w:val="0032178F"/>
    <w:rsid w:val="00342FFD"/>
    <w:rsid w:val="00380C5D"/>
    <w:rsid w:val="00483B3B"/>
    <w:rsid w:val="005158DC"/>
    <w:rsid w:val="005B73B6"/>
    <w:rsid w:val="00733AFE"/>
    <w:rsid w:val="00801157"/>
    <w:rsid w:val="008020B9"/>
    <w:rsid w:val="008D0243"/>
    <w:rsid w:val="008E3942"/>
    <w:rsid w:val="008F1936"/>
    <w:rsid w:val="008F1DEB"/>
    <w:rsid w:val="009224B6"/>
    <w:rsid w:val="00A21168"/>
    <w:rsid w:val="00B768B3"/>
    <w:rsid w:val="00CC3A68"/>
    <w:rsid w:val="00E517E2"/>
    <w:rsid w:val="00EB05A7"/>
    <w:rsid w:val="00F40874"/>
    <w:rsid w:val="00FB0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EB0E40"/>
  <w15:chartTrackingRefBased/>
  <w15:docId w15:val="{9D50DDE3-21E9-4EF6-842A-94709478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CD9"/>
  </w:style>
  <w:style w:type="paragraph" w:styleId="Heading1">
    <w:name w:val="heading 1"/>
    <w:basedOn w:val="Normal"/>
    <w:next w:val="Normal"/>
    <w:link w:val="Heading1Char"/>
    <w:uiPriority w:val="9"/>
    <w:qFormat/>
    <w:rsid w:val="00733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A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A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A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A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A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A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A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A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AFE"/>
    <w:rPr>
      <w:rFonts w:eastAsiaTheme="majorEastAsia" w:cstheme="majorBidi"/>
      <w:color w:val="272727" w:themeColor="text1" w:themeTint="D8"/>
    </w:rPr>
  </w:style>
  <w:style w:type="paragraph" w:styleId="Title">
    <w:name w:val="Title"/>
    <w:basedOn w:val="Normal"/>
    <w:next w:val="Normal"/>
    <w:link w:val="TitleChar"/>
    <w:uiPriority w:val="10"/>
    <w:qFormat/>
    <w:rsid w:val="00733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AFE"/>
    <w:pPr>
      <w:spacing w:before="160"/>
      <w:jc w:val="center"/>
    </w:pPr>
    <w:rPr>
      <w:i/>
      <w:iCs/>
      <w:color w:val="404040" w:themeColor="text1" w:themeTint="BF"/>
    </w:rPr>
  </w:style>
  <w:style w:type="character" w:customStyle="1" w:styleId="QuoteChar">
    <w:name w:val="Quote Char"/>
    <w:basedOn w:val="DefaultParagraphFont"/>
    <w:link w:val="Quote"/>
    <w:uiPriority w:val="29"/>
    <w:rsid w:val="00733AFE"/>
    <w:rPr>
      <w:i/>
      <w:iCs/>
      <w:color w:val="404040" w:themeColor="text1" w:themeTint="BF"/>
    </w:rPr>
  </w:style>
  <w:style w:type="paragraph" w:styleId="ListParagraph">
    <w:name w:val="List Paragraph"/>
    <w:basedOn w:val="Normal"/>
    <w:uiPriority w:val="34"/>
    <w:qFormat/>
    <w:rsid w:val="00733AFE"/>
    <w:pPr>
      <w:ind w:left="720"/>
      <w:contextualSpacing/>
    </w:pPr>
  </w:style>
  <w:style w:type="character" w:styleId="IntenseEmphasis">
    <w:name w:val="Intense Emphasis"/>
    <w:basedOn w:val="DefaultParagraphFont"/>
    <w:uiPriority w:val="21"/>
    <w:qFormat/>
    <w:rsid w:val="00733AFE"/>
    <w:rPr>
      <w:i/>
      <w:iCs/>
      <w:color w:val="2F5496" w:themeColor="accent1" w:themeShade="BF"/>
    </w:rPr>
  </w:style>
  <w:style w:type="paragraph" w:styleId="IntenseQuote">
    <w:name w:val="Intense Quote"/>
    <w:basedOn w:val="Normal"/>
    <w:next w:val="Normal"/>
    <w:link w:val="IntenseQuoteChar"/>
    <w:uiPriority w:val="30"/>
    <w:qFormat/>
    <w:rsid w:val="00733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AFE"/>
    <w:rPr>
      <w:i/>
      <w:iCs/>
      <w:color w:val="2F5496" w:themeColor="accent1" w:themeShade="BF"/>
    </w:rPr>
  </w:style>
  <w:style w:type="character" w:styleId="IntenseReference">
    <w:name w:val="Intense Reference"/>
    <w:basedOn w:val="DefaultParagraphFont"/>
    <w:uiPriority w:val="32"/>
    <w:qFormat/>
    <w:rsid w:val="00733AFE"/>
    <w:rPr>
      <w:b/>
      <w:bCs/>
      <w:smallCaps/>
      <w:color w:val="2F5496" w:themeColor="accent1" w:themeShade="BF"/>
      <w:spacing w:val="5"/>
    </w:rPr>
  </w:style>
  <w:style w:type="character" w:styleId="Hyperlink">
    <w:name w:val="Hyperlink"/>
    <w:basedOn w:val="DefaultParagraphFont"/>
    <w:uiPriority w:val="99"/>
    <w:unhideWhenUsed/>
    <w:rsid w:val="00167CD9"/>
    <w:rPr>
      <w:color w:val="0563C1" w:themeColor="hyperlink"/>
      <w:u w:val="single"/>
    </w:rPr>
  </w:style>
  <w:style w:type="character" w:styleId="UnresolvedMention">
    <w:name w:val="Unresolved Mention"/>
    <w:basedOn w:val="DefaultParagraphFont"/>
    <w:uiPriority w:val="99"/>
    <w:semiHidden/>
    <w:unhideWhenUsed/>
    <w:rsid w:val="00167CD9"/>
    <w:rPr>
      <w:color w:val="605E5C"/>
      <w:shd w:val="clear" w:color="auto" w:fill="E1DFDD"/>
    </w:rPr>
  </w:style>
  <w:style w:type="table" w:styleId="TableGrid">
    <w:name w:val="Table Grid"/>
    <w:basedOn w:val="TableNormal"/>
    <w:uiPriority w:val="39"/>
    <w:rsid w:val="0016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94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E3942"/>
    <w:rPr>
      <w:b/>
      <w:bCs/>
    </w:rPr>
  </w:style>
  <w:style w:type="character" w:styleId="Emphasis">
    <w:name w:val="Emphasis"/>
    <w:basedOn w:val="DefaultParagraphFont"/>
    <w:uiPriority w:val="20"/>
    <w:qFormat/>
    <w:rsid w:val="008E3942"/>
    <w:rPr>
      <w:i/>
      <w:iCs/>
    </w:rPr>
  </w:style>
  <w:style w:type="paragraph" w:styleId="Header">
    <w:name w:val="header"/>
    <w:basedOn w:val="Normal"/>
    <w:link w:val="HeaderChar"/>
    <w:uiPriority w:val="99"/>
    <w:unhideWhenUsed/>
    <w:rsid w:val="002D6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DC3"/>
  </w:style>
  <w:style w:type="paragraph" w:styleId="Footer">
    <w:name w:val="footer"/>
    <w:basedOn w:val="Normal"/>
    <w:link w:val="FooterChar"/>
    <w:uiPriority w:val="99"/>
    <w:unhideWhenUsed/>
    <w:rsid w:val="002D6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969698923002801?utm_source=chatgpt.com" TargetMode="External"/><Relationship Id="rId18" Type="http://schemas.openxmlformats.org/officeDocument/2006/relationships/hyperlink" Target="https://digitalcommons.liberty.edu/cgi/viewcontent.cgi?article=6424&amp;context=doctoral" TargetMode="External"/><Relationship Id="rId26" Type="http://schemas.openxmlformats.org/officeDocument/2006/relationships/hyperlink" Target="https://ijmrtjournal.com/wp-content/uploads/2020/09/A-study-on-factors-leading-to-adoption-of-OTT-IJMRT.pdf" TargetMode="External"/><Relationship Id="rId39" Type="http://schemas.openxmlformats.org/officeDocument/2006/relationships/theme" Target="theme/theme1.xml"/><Relationship Id="rId21" Type="http://schemas.openxmlformats.org/officeDocument/2006/relationships/hyperlink" Target="https://www.sciencedirect.com/science/article/abs/pii/S0160791X21000099?utm_source=chatgpt.com"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sciencedirect.com/science/article/abs/pii/S0969698923002801" TargetMode="External"/><Relationship Id="rId17" Type="http://schemas.openxmlformats.org/officeDocument/2006/relationships/hyperlink" Target="https://www.researchgate.net/publication/395232324_DECODING_MILLENNIAL_PREFERENCES_DRIVERS_OF_OTT_PLATFORM_ADOPTION_IN_THE_DIGITAL_ERA?utm_source=chatgpt.com" TargetMode="External"/><Relationship Id="rId25" Type="http://schemas.openxmlformats.org/officeDocument/2006/relationships/hyperlink" Target="https://www.ijprems.com/uploadedfiles/paper/issue_1_january_2025/38009/final/fin_ijprems1735964715.pdf?utm_source=chatgpt.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395232324_DECODING_MILLENNIAL_PREFERENCES_DRIVERS_OF_OTT_PLATFORM_ADOPTION_IN_THE_DIGITAL_ERA" TargetMode="External"/><Relationship Id="rId20" Type="http://schemas.openxmlformats.org/officeDocument/2006/relationships/hyperlink" Target="https://www.sciencedirect.com/science/article/abs/pii/S0160791X21000099" TargetMode="External"/><Relationship Id="rId29" Type="http://schemas.openxmlformats.org/officeDocument/2006/relationships/hyperlink" Target="https://www.ijprems.com/uploadedfiles/paper/issue_1_january_2025/38009/final/fin_ijprems1735964715.pdf?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 TargetMode="External"/><Relationship Id="rId24" Type="http://schemas.openxmlformats.org/officeDocument/2006/relationships/hyperlink" Target="https://www.ijprems.com/uploadedfiles/paper/issue_1_january_2025/38009/final/fin_ijprems1735964715.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des.org.in/wp-content/uploads/2023/04/09-Analysing-Consumers-Preference-towards-OTT-Platforms-Post-Covid-19-Lockdown.pdf?utm_source=chatgpt.com" TargetMode="External"/><Relationship Id="rId23" Type="http://schemas.openxmlformats.org/officeDocument/2006/relationships/hyperlink" Target="https://makhillpublications.co/files/published-files/mak-jet/2024/1-13.pdf?utm_source=chatgpt.com" TargetMode="External"/><Relationship Id="rId28" Type="http://schemas.openxmlformats.org/officeDocument/2006/relationships/hyperlink" Target="https://www.ijprems.com/uploadedfiles/paper/issue_1_january_2025/38009/final/fin_ijprems1735964715.pdf" TargetMode="External"/><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igitalcommons.liberty.edu/cgi/viewcontent.cgi?article=6424&amp;context=doctoral&amp;utm_source=chatgpt.com" TargetMode="External"/><Relationship Id="rId31" Type="http://schemas.openxmlformats.org/officeDocument/2006/relationships/hyperlink" Target="https://www.ijprems.com/uploadedfiles/paper/issue_1_january_2025/38009/final/fin_ijprems1735964715.pdf?utm_source=chatgp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des.org.in/wp-content/uploads/2023/04/09-Analysing-Consumers-Preference-towards-OTT-Platforms-Post-Covid-19-Lockdown.pdf" TargetMode="External"/><Relationship Id="rId22" Type="http://schemas.openxmlformats.org/officeDocument/2006/relationships/hyperlink" Target="https://makhillpublications.co/files/published-files/mak-jet/2024/1-13.pdf" TargetMode="External"/><Relationship Id="rId27" Type="http://schemas.openxmlformats.org/officeDocument/2006/relationships/hyperlink" Target="https://ijmrtjournal.com/wp-content/uploads/2020/09/A-study-on-factors-leading-to-adoption-of-OTT-IJMRT.pdf?utm_source=chatgpt.com" TargetMode="External"/><Relationship Id="rId30" Type="http://schemas.openxmlformats.org/officeDocument/2006/relationships/hyperlink" Target="https://www.ijprems.com/uploadedfiles/paper/issue_1_january_2025/38009/final/fin_ijprems1735964715.pdf"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7152</Words>
  <Characters>40772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KURALVENTHAN R T</dc:creator>
  <cp:keywords/>
  <dc:description/>
  <cp:lastModifiedBy>SDI 1084</cp:lastModifiedBy>
  <cp:revision>16</cp:revision>
  <dcterms:created xsi:type="dcterms:W3CDTF">2025-09-30T10:43:00Z</dcterms:created>
  <dcterms:modified xsi:type="dcterms:W3CDTF">2025-10-07T12:06:00Z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f45ed569-f14f-41d5-9dd5-012fbc6d96e7</vt:lpwstr>
  </property>
</Properties>
</file>