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7AB57" w14:textId="28FDB68E" w:rsidR="00754C9A" w:rsidRDefault="00514693" w:rsidP="00441B6F">
      <w:pPr>
        <w:pStyle w:val="Title"/>
        <w:spacing w:after="0"/>
        <w:jc w:val="both"/>
        <w:rPr>
          <w:rFonts w:ascii="Arial" w:hAnsi="Arial" w:cs="Arial"/>
        </w:rPr>
      </w:pPr>
      <w:r w:rsidRPr="00514693">
        <w:rPr>
          <w:rFonts w:ascii="Arial" w:hAnsi="Arial" w:cs="Arial"/>
        </w:rPr>
        <w:t>Original Research Article</w:t>
      </w:r>
    </w:p>
    <w:p w14:paraId="686C323F" w14:textId="77777777" w:rsidR="00514693" w:rsidRDefault="00514693" w:rsidP="00441B6F">
      <w:pPr>
        <w:pStyle w:val="Title"/>
        <w:spacing w:after="0"/>
        <w:jc w:val="both"/>
        <w:rPr>
          <w:rFonts w:ascii="Arial" w:hAnsi="Arial" w:cs="Arial"/>
        </w:rPr>
      </w:pPr>
    </w:p>
    <w:p w14:paraId="35F6FB29" w14:textId="77777777" w:rsidR="00514693" w:rsidRDefault="00514693" w:rsidP="00441B6F">
      <w:pPr>
        <w:pStyle w:val="Title"/>
        <w:spacing w:after="0"/>
        <w:jc w:val="both"/>
        <w:rPr>
          <w:rFonts w:ascii="Arial" w:hAnsi="Arial" w:cs="Arial"/>
        </w:rPr>
      </w:pPr>
    </w:p>
    <w:p w14:paraId="7A84E54B" w14:textId="00BABF6B" w:rsidR="00163BC4" w:rsidRPr="00163BC4" w:rsidRDefault="00BD530D" w:rsidP="00441B6F">
      <w:pPr>
        <w:pStyle w:val="Author"/>
        <w:spacing w:line="240" w:lineRule="auto"/>
        <w:rPr>
          <w:rFonts w:ascii="Arial" w:hAnsi="Arial" w:cs="Arial"/>
          <w:bCs/>
          <w:iCs/>
          <w:kern w:val="28"/>
          <w:sz w:val="36"/>
        </w:rPr>
      </w:pPr>
      <w:r>
        <w:rPr>
          <w:rFonts w:ascii="Arial" w:hAnsi="Arial" w:cs="Arial"/>
          <w:bCs/>
          <w:iCs/>
          <w:kern w:val="28"/>
          <w:sz w:val="36"/>
        </w:rPr>
        <w:t>Governance Quality for Sustainable Growth: Evidence from Upper-Middle-Income Economies</w:t>
      </w:r>
      <w:r w:rsidR="00231920">
        <w:rPr>
          <w:rFonts w:ascii="Arial" w:hAnsi="Arial" w:cs="Arial"/>
          <w:bCs/>
          <w:iCs/>
          <w:kern w:val="28"/>
          <w:sz w:val="36"/>
        </w:rPr>
        <w:t xml:space="preserve"> </w:t>
      </w:r>
    </w:p>
    <w:p w14:paraId="575D7364" w14:textId="77777777" w:rsidR="00A258C3" w:rsidRPr="00790ADA" w:rsidRDefault="00A258C3" w:rsidP="00441B6F">
      <w:pPr>
        <w:pStyle w:val="Author"/>
        <w:spacing w:line="240" w:lineRule="auto"/>
        <w:jc w:val="both"/>
        <w:rPr>
          <w:rFonts w:ascii="Arial" w:hAnsi="Arial" w:cs="Arial"/>
          <w:sz w:val="36"/>
        </w:rPr>
      </w:pPr>
    </w:p>
    <w:p w14:paraId="5222A089" w14:textId="7AAA067A" w:rsidR="00633614" w:rsidRDefault="00633614" w:rsidP="00441B6F">
      <w:pPr>
        <w:pStyle w:val="Affiliation"/>
        <w:spacing w:after="0" w:line="240" w:lineRule="auto"/>
        <w:rPr>
          <w:rFonts w:ascii="Arial" w:hAnsi="Arial" w:cs="Arial"/>
          <w:i/>
        </w:rPr>
      </w:pPr>
    </w:p>
    <w:p w14:paraId="67C77133" w14:textId="694EAD88" w:rsidR="00CE37D5" w:rsidRDefault="00CE37D5" w:rsidP="00441B6F">
      <w:pPr>
        <w:pStyle w:val="Affiliation"/>
        <w:spacing w:after="0" w:line="240" w:lineRule="auto"/>
        <w:rPr>
          <w:rFonts w:ascii="Arial" w:hAnsi="Arial" w:cs="Arial"/>
          <w:i/>
        </w:rPr>
      </w:pPr>
    </w:p>
    <w:p w14:paraId="0A642BDA" w14:textId="3FF2FDD2" w:rsidR="00CE37D5" w:rsidRDefault="00CE37D5" w:rsidP="00441B6F">
      <w:pPr>
        <w:pStyle w:val="Affiliation"/>
        <w:spacing w:after="0" w:line="240" w:lineRule="auto"/>
        <w:rPr>
          <w:rFonts w:ascii="Arial" w:hAnsi="Arial" w:cs="Arial"/>
          <w:i/>
        </w:rPr>
      </w:pPr>
    </w:p>
    <w:p w14:paraId="680040E5" w14:textId="77777777" w:rsidR="00CE37D5" w:rsidRDefault="00CE37D5" w:rsidP="00441B6F">
      <w:pPr>
        <w:pStyle w:val="Affiliation"/>
        <w:spacing w:after="0" w:line="240" w:lineRule="auto"/>
        <w:rPr>
          <w:rFonts w:ascii="Arial" w:hAnsi="Arial" w:cs="Arial"/>
          <w:i/>
        </w:rPr>
      </w:pPr>
    </w:p>
    <w:p w14:paraId="15757878" w14:textId="77777777" w:rsidR="00790ADA" w:rsidRDefault="00790ADA" w:rsidP="00441B6F">
      <w:pPr>
        <w:pStyle w:val="Affiliation"/>
        <w:spacing w:after="0" w:line="240" w:lineRule="auto"/>
        <w:jc w:val="both"/>
        <w:rPr>
          <w:rFonts w:ascii="Arial" w:hAnsi="Arial" w:cs="Arial"/>
        </w:rPr>
      </w:pPr>
    </w:p>
    <w:p w14:paraId="569B5F1F" w14:textId="77777777" w:rsidR="002C57D2" w:rsidRPr="00FB3A86" w:rsidRDefault="002C57D2" w:rsidP="00441B6F">
      <w:pPr>
        <w:pStyle w:val="Affiliation"/>
        <w:spacing w:after="0" w:line="240" w:lineRule="auto"/>
        <w:jc w:val="both"/>
        <w:rPr>
          <w:rFonts w:ascii="Arial" w:hAnsi="Arial" w:cs="Arial"/>
        </w:rPr>
      </w:pPr>
    </w:p>
    <w:p w14:paraId="219D05B3" w14:textId="77777777" w:rsidR="00B01FCD" w:rsidRPr="00FB3A86" w:rsidRDefault="0049037B" w:rsidP="00441B6F">
      <w:pPr>
        <w:pStyle w:val="Copyright"/>
        <w:spacing w:after="0" w:line="240" w:lineRule="auto"/>
        <w:jc w:val="both"/>
        <w:rPr>
          <w:rFonts w:ascii="Arial" w:hAnsi="Arial" w:cs="Arial"/>
        </w:rPr>
        <w:sectPr w:rsidR="00B01FCD" w:rsidRPr="00FB3A86" w:rsidSect="00CE37D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6E97E5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FF06AE9" w14:textId="6D0A885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542400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2EE59F6" w14:textId="77777777" w:rsidTr="001E44FE">
        <w:tc>
          <w:tcPr>
            <w:tcW w:w="9576" w:type="dxa"/>
            <w:shd w:val="clear" w:color="auto" w:fill="F2F2F2"/>
          </w:tcPr>
          <w:p w14:paraId="049F6B91" w14:textId="5C362C6F" w:rsidR="00505F06" w:rsidRPr="00BA1B01" w:rsidRDefault="00BD530D" w:rsidP="00441B6F">
            <w:pPr>
              <w:pStyle w:val="Body"/>
              <w:spacing w:after="0"/>
              <w:rPr>
                <w:rFonts w:ascii="Arial" w:eastAsia="Calibri" w:hAnsi="Arial" w:cs="Arial"/>
                <w:szCs w:val="22"/>
              </w:rPr>
            </w:pPr>
            <w:r w:rsidRPr="00BD530D">
              <w:rPr>
                <w:rFonts w:ascii="Arial" w:eastAsia="Calibri" w:hAnsi="Arial" w:cs="Arial"/>
                <w:szCs w:val="22"/>
              </w:rPr>
              <w:t>This study empirically investigates the impact of governance on economic growth in 30 upper-middle-income countries from 1996 to 2023. Employing a comprehensive analytical framework, the research utilizes both static panel models (Pooled OLS, Fixed Effects, Random Effects) and dynamic panel estimators (Difference and System GMM) to address potential endogeneity and growth persistence. The static estimations reveal a significant positive association between economic growth and key governance dimensions, specifically government effectiveness, regulatory quality, and the rule of law. However, the more robust dynamic GMM estimations show that while economic growth exhibits strong persistence, the statistical significance of governance indicators diminishes. These findings suggest that the positive correlations observed in static models may partly reflect time-invariant, cross-country differences rather than short-term causal effects within countries. The findings imply that the growth returns from governance improvements are not instantaneous but are realized over a longer horizon, as institutional changes permeate the economy gradually. Consequently, the study concludes that for policymakers in upper-middle-income economies, governance reforms are a fundamental foundation for long-term, sustainable growth. However, they should not be viewed as a mechanism for generating immediate economic gains.</w:t>
            </w:r>
          </w:p>
        </w:tc>
      </w:tr>
    </w:tbl>
    <w:p w14:paraId="3CFE2CBA" w14:textId="77777777" w:rsidR="00636EB2" w:rsidRDefault="00636EB2" w:rsidP="00441B6F">
      <w:pPr>
        <w:pStyle w:val="Body"/>
        <w:spacing w:after="0"/>
        <w:rPr>
          <w:rFonts w:ascii="Arial" w:hAnsi="Arial" w:cs="Arial"/>
          <w:i/>
        </w:rPr>
      </w:pPr>
    </w:p>
    <w:p w14:paraId="7E06A6DF" w14:textId="10DE3836" w:rsidR="00A24E7E" w:rsidRDefault="00A24E7E" w:rsidP="00441B6F">
      <w:pPr>
        <w:pStyle w:val="Body"/>
        <w:spacing w:after="0"/>
        <w:rPr>
          <w:rFonts w:ascii="Arial" w:hAnsi="Arial" w:cs="Arial"/>
          <w:i/>
        </w:rPr>
      </w:pPr>
      <w:r>
        <w:rPr>
          <w:rFonts w:ascii="Arial" w:hAnsi="Arial" w:cs="Arial"/>
          <w:i/>
        </w:rPr>
        <w:t>Keywords:</w:t>
      </w:r>
      <w:r w:rsidR="00BD530D">
        <w:rPr>
          <w:rFonts w:ascii="Arial" w:hAnsi="Arial" w:cs="Arial"/>
          <w:i/>
        </w:rPr>
        <w:t xml:space="preserve"> Economic Growth, Governance, Dynamic Panel, System GMM, </w:t>
      </w:r>
      <w:r w:rsidR="004A09D7">
        <w:rPr>
          <w:rFonts w:ascii="Arial" w:hAnsi="Arial" w:cs="Arial"/>
          <w:i/>
        </w:rPr>
        <w:t>Growth Persistence, Middle-income Trap</w:t>
      </w:r>
    </w:p>
    <w:p w14:paraId="603CA7E7" w14:textId="77777777" w:rsidR="00790ADA" w:rsidRDefault="00790ADA" w:rsidP="00441B6F">
      <w:pPr>
        <w:pStyle w:val="Body"/>
        <w:spacing w:after="0"/>
        <w:rPr>
          <w:rFonts w:ascii="Arial" w:hAnsi="Arial" w:cs="Arial"/>
          <w:i/>
        </w:rPr>
      </w:pPr>
    </w:p>
    <w:p w14:paraId="6A8872D5" w14:textId="6069D52C" w:rsidR="00B52896" w:rsidRDefault="00B52896" w:rsidP="004A09D7">
      <w:pPr>
        <w:pStyle w:val="Body"/>
        <w:spacing w:after="0"/>
        <w:rPr>
          <w:rFonts w:ascii="Arial" w:hAnsi="Arial" w:cs="Arial"/>
          <w:i/>
          <w:sz w:val="18"/>
        </w:rPr>
      </w:pPr>
    </w:p>
    <w:p w14:paraId="2A449996"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1. Introduction</w:t>
      </w:r>
    </w:p>
    <w:p w14:paraId="24C4D2B4"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The pivotal role of institutional quality as a driver of economic growth is a cornerstone of modern economic thought. Governance, encompassing dimensions such as control of corruption, government effectiveness, political stability, regulatory quality, rule of law, and voice and accountability, shapes the investment climate, ensures the efficient allocation of resources, and protects property rights. Empirically, this relationship has been explored through various lenses. Global studies often confirm a strong positive correlation between indicators like the rule of law, regulatory quality, and economic performance (Kaufmann, </w:t>
      </w:r>
      <w:proofErr w:type="spellStart"/>
      <w:r w:rsidRPr="004A09D7">
        <w:rPr>
          <w:rFonts w:ascii="Arial" w:hAnsi="Arial" w:cs="Arial"/>
          <w:iCs/>
          <w:sz w:val="18"/>
        </w:rPr>
        <w:t>Kraay</w:t>
      </w:r>
      <w:proofErr w:type="spellEnd"/>
      <w:r w:rsidRPr="004A09D7">
        <w:rPr>
          <w:rFonts w:ascii="Arial" w:hAnsi="Arial" w:cs="Arial"/>
          <w:iCs/>
          <w:sz w:val="18"/>
        </w:rPr>
        <w:t xml:space="preserve">, &amp; </w:t>
      </w:r>
      <w:proofErr w:type="spellStart"/>
      <w:r w:rsidRPr="004A09D7">
        <w:rPr>
          <w:rFonts w:ascii="Arial" w:hAnsi="Arial" w:cs="Arial"/>
          <w:iCs/>
          <w:sz w:val="18"/>
        </w:rPr>
        <w:t>Zoido</w:t>
      </w:r>
      <w:proofErr w:type="spellEnd"/>
      <w:r w:rsidRPr="004A09D7">
        <w:rPr>
          <w:rFonts w:ascii="Arial" w:hAnsi="Arial" w:cs="Arial"/>
          <w:iCs/>
          <w:sz w:val="18"/>
        </w:rPr>
        <w:t>, 1999).</w:t>
      </w:r>
    </w:p>
    <w:p w14:paraId="2DD41A9C"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Despite these insights, a clear consensus on the precise magnitude and direction of the governance-growth nexus remains elusive. The empirical evidence is marked by contradictory findings, as some </w:t>
      </w:r>
      <w:r w:rsidRPr="004A09D7">
        <w:rPr>
          <w:rFonts w:ascii="Arial" w:hAnsi="Arial" w:cs="Arial"/>
          <w:iCs/>
          <w:sz w:val="18"/>
        </w:rPr>
        <w:lastRenderedPageBreak/>
        <w:t>studies underscore the growth-enhancing role of governance (</w:t>
      </w:r>
      <w:proofErr w:type="spellStart"/>
      <w:r w:rsidRPr="004A09D7">
        <w:rPr>
          <w:rFonts w:ascii="Arial" w:hAnsi="Arial" w:cs="Arial"/>
          <w:iCs/>
          <w:sz w:val="18"/>
        </w:rPr>
        <w:t>Maune</w:t>
      </w:r>
      <w:proofErr w:type="spellEnd"/>
      <w:r w:rsidRPr="004A09D7">
        <w:rPr>
          <w:rFonts w:ascii="Arial" w:hAnsi="Arial" w:cs="Arial"/>
          <w:iCs/>
          <w:sz w:val="18"/>
        </w:rPr>
        <w:t>, 2017; Bayar, 2016). Conversely, other research reports are negligible or even negative effects (Abdelkader, 2017).</w:t>
      </w:r>
    </w:p>
    <w:p w14:paraId="3D0D96A2"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These inconsistencies often stem from methodological differences, including reliance on static panel models prone to endogeneity and omitted variable bias, as well as variations in sample composition (Acemoglu et al., 2005; Blundell &amp; Bond, 1998). More recent works employing dynamic estimators such as generalized method of moments (GMM) provide nuanced results, suggesting that governance may influence growth indirectly through long-run institutional development rather than producing immediate effects (Uddin et al., 2017; Medina-Moral &amp; Montes-Gan, 2018).</w:t>
      </w:r>
    </w:p>
    <w:p w14:paraId="4D589506"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Upper-middle-income countries present a particularly relevant yet underexplored context for examining these dynamics. According to the World Bank classification, these economies—characterized by per capita incomes ranging from $4,046 to $12,535—exhibit transitional institutional structures. They often demonstrate improvements in governance compared to low-income countries but remain vulnerable to corruption, political volatility, and policy inconsistencies. As a result, they face the dual challenge of consolidating governance reforms while striving to avoid the so-called “middle-income trap” (Zubair &amp; Khan, 2014). Understanding how governance interacts with macroeconomic variables in these economies is crucial for charting pathways toward sustainable growth.</w:t>
      </w:r>
    </w:p>
    <w:p w14:paraId="5A59EEA8"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Against this backdrop, the present study contributes to the literature by empirically investigating the role of governance in shaping economic growth in 30 upper-middle-income countries over the period 1996–2023. By employing both static panel models and advanced dynamic estimators (difference GMM and system GMM), the study addresses methodological limitations of earlier works and provides more robust evidence on the governance–growth nexus. Furthermore, the analysis integrates key macroeconomic controls, including inflation, interest rates, and education expenditure, thereby situating governance within the broader growth environment. In doing so, the study not only advances academic understanding but also offers actionable insights for policymakers seeking to design governance reforms that foster long-term, inclusive development.</w:t>
      </w:r>
    </w:p>
    <w:p w14:paraId="472576F3"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The remainder of the paper is structured as follows. Section 2 reviews the relevant literature and outlines the research objectives. Section 3 details the data and methodology. Section 4 presents and discusses the empirical results, and Section 5 concludes with policy implications and suggestions for future research.</w:t>
      </w:r>
    </w:p>
    <w:p w14:paraId="035132E8" w14:textId="77777777" w:rsidR="004A09D7" w:rsidRPr="004A09D7" w:rsidRDefault="004A09D7" w:rsidP="004A09D7">
      <w:pPr>
        <w:pStyle w:val="Body"/>
        <w:spacing w:after="0"/>
        <w:rPr>
          <w:rFonts w:ascii="Arial" w:hAnsi="Arial" w:cs="Arial"/>
          <w:iCs/>
          <w:sz w:val="18"/>
        </w:rPr>
      </w:pPr>
    </w:p>
    <w:p w14:paraId="5D1A8D9A"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2. Literature Review</w:t>
      </w:r>
      <w:r w:rsidRPr="004A09D7">
        <w:rPr>
          <w:rFonts w:ascii="Arial" w:hAnsi="Arial" w:cs="Arial"/>
          <w:b/>
          <w:bCs/>
          <w:iCs/>
          <w:sz w:val="18"/>
        </w:rPr>
        <w:tab/>
      </w:r>
    </w:p>
    <w:p w14:paraId="5EB723F0"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2.1 Synthesis of Empirical Findings</w:t>
      </w:r>
    </w:p>
    <w:p w14:paraId="32EA9A9C"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The quality of governance has increasingly been recognized as a key determinant of economic growth, both in theory and empirical research. Governance encompasses institutional effectiveness, the rule of law, political stability, and control of corruption, which collectively shape the investment climate and the efficiency of public administration. According to Acemoglu et al. (2005), institutions influence investment in technology, physical, and human capital—drivers of long-run growth.</w:t>
      </w:r>
    </w:p>
    <w:p w14:paraId="6D3A2624"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Early contributions (Kaufmann et al., 1999; Dollar &amp; </w:t>
      </w:r>
      <w:proofErr w:type="spellStart"/>
      <w:r w:rsidRPr="004A09D7">
        <w:rPr>
          <w:rFonts w:ascii="Arial" w:hAnsi="Arial" w:cs="Arial"/>
          <w:iCs/>
          <w:sz w:val="18"/>
        </w:rPr>
        <w:t>Kraay</w:t>
      </w:r>
      <w:proofErr w:type="spellEnd"/>
      <w:r w:rsidRPr="004A09D7">
        <w:rPr>
          <w:rFonts w:ascii="Arial" w:hAnsi="Arial" w:cs="Arial"/>
          <w:iCs/>
          <w:sz w:val="18"/>
        </w:rPr>
        <w:t xml:space="preserve">, 2002; Easterly &amp; Levine, 2003) emphasized the strong role of institutional quality in shaping growth trajectories, with particular importance given to the rule of law and openness. </w:t>
      </w:r>
      <w:proofErr w:type="spellStart"/>
      <w:r w:rsidRPr="004A09D7">
        <w:rPr>
          <w:rFonts w:ascii="Arial" w:hAnsi="Arial" w:cs="Arial"/>
          <w:iCs/>
          <w:sz w:val="18"/>
        </w:rPr>
        <w:t>Rigobon</w:t>
      </w:r>
      <w:proofErr w:type="spellEnd"/>
      <w:r w:rsidRPr="004A09D7">
        <w:rPr>
          <w:rFonts w:ascii="Arial" w:hAnsi="Arial" w:cs="Arial"/>
          <w:iCs/>
          <w:sz w:val="18"/>
        </w:rPr>
        <w:t xml:space="preserve"> and Rodrik (2005) confirmed that institutional frameworks, especially the rule of law, are more strongly associated with growth than other democratic dimensions.</w:t>
      </w:r>
    </w:p>
    <w:p w14:paraId="6AD61A41"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In developing regions, evidence remains mixed. </w:t>
      </w:r>
      <w:proofErr w:type="spellStart"/>
      <w:r w:rsidRPr="004A09D7">
        <w:rPr>
          <w:rFonts w:ascii="Arial" w:hAnsi="Arial" w:cs="Arial"/>
          <w:iCs/>
          <w:sz w:val="18"/>
        </w:rPr>
        <w:t>Fayissa</w:t>
      </w:r>
      <w:proofErr w:type="spellEnd"/>
      <w:r w:rsidRPr="004A09D7">
        <w:rPr>
          <w:rFonts w:ascii="Arial" w:hAnsi="Arial" w:cs="Arial"/>
          <w:iCs/>
          <w:sz w:val="18"/>
        </w:rPr>
        <w:t xml:space="preserve"> and Nsiah (2013) showed that governance matters for growth in Sub-Saharan Africa, though the effect varies with income level. </w:t>
      </w:r>
      <w:proofErr w:type="spellStart"/>
      <w:r w:rsidRPr="004A09D7">
        <w:rPr>
          <w:rFonts w:ascii="Arial" w:hAnsi="Arial" w:cs="Arial"/>
          <w:iCs/>
          <w:sz w:val="18"/>
        </w:rPr>
        <w:t>Gani</w:t>
      </w:r>
      <w:proofErr w:type="spellEnd"/>
      <w:r w:rsidRPr="004A09D7">
        <w:rPr>
          <w:rFonts w:ascii="Arial" w:hAnsi="Arial" w:cs="Arial"/>
          <w:iCs/>
          <w:sz w:val="18"/>
        </w:rPr>
        <w:t xml:space="preserve"> (2011) argued that government effectiveness and political stability stimulate growth in developing countries, while voice and accountability may hinder it under certain contexts. Similarly, </w:t>
      </w:r>
      <w:proofErr w:type="spellStart"/>
      <w:r w:rsidRPr="004A09D7">
        <w:rPr>
          <w:rFonts w:ascii="Arial" w:hAnsi="Arial" w:cs="Arial"/>
          <w:iCs/>
          <w:sz w:val="18"/>
        </w:rPr>
        <w:t>Yerrabati</w:t>
      </w:r>
      <w:proofErr w:type="spellEnd"/>
      <w:r w:rsidRPr="004A09D7">
        <w:rPr>
          <w:rFonts w:ascii="Arial" w:hAnsi="Arial" w:cs="Arial"/>
          <w:iCs/>
          <w:sz w:val="18"/>
        </w:rPr>
        <w:t xml:space="preserve"> and Hawkes (2015) found that corruption and regulatory inefficiency impede growth across Asia-Pacific economies.</w:t>
      </w:r>
    </w:p>
    <w:p w14:paraId="32BA0E19"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Country-specific studies provide further nuance. For instance, political stability enhanced growth in Zimbabwe (</w:t>
      </w:r>
      <w:proofErr w:type="spellStart"/>
      <w:r w:rsidRPr="004A09D7">
        <w:rPr>
          <w:rFonts w:ascii="Arial" w:hAnsi="Arial" w:cs="Arial"/>
          <w:iCs/>
          <w:sz w:val="18"/>
        </w:rPr>
        <w:t>Maune</w:t>
      </w:r>
      <w:proofErr w:type="spellEnd"/>
      <w:r w:rsidRPr="004A09D7">
        <w:rPr>
          <w:rFonts w:ascii="Arial" w:hAnsi="Arial" w:cs="Arial"/>
          <w:iCs/>
          <w:sz w:val="18"/>
        </w:rPr>
        <w:t>, 2017) but instability significantly reduced growth in Egypt (Abdelkader, 2017). In Pakistan, stability was crucial for long-run growth (Zubair &amp; Khan, 2014), whereas external debt and inflation exerted adverse effects (</w:t>
      </w:r>
      <w:proofErr w:type="spellStart"/>
      <w:r w:rsidRPr="004A09D7">
        <w:rPr>
          <w:rFonts w:ascii="Arial" w:hAnsi="Arial" w:cs="Arial"/>
          <w:iCs/>
          <w:sz w:val="18"/>
        </w:rPr>
        <w:t>Sallahuddin</w:t>
      </w:r>
      <w:proofErr w:type="spellEnd"/>
      <w:r w:rsidRPr="004A09D7">
        <w:rPr>
          <w:rFonts w:ascii="Arial" w:hAnsi="Arial" w:cs="Arial"/>
          <w:iCs/>
          <w:sz w:val="18"/>
        </w:rPr>
        <w:t xml:space="preserve"> &amp; Awan, 2017). Studies in East Africa (</w:t>
      </w:r>
      <w:proofErr w:type="spellStart"/>
      <w:r w:rsidRPr="004A09D7">
        <w:rPr>
          <w:rFonts w:ascii="Arial" w:hAnsi="Arial" w:cs="Arial"/>
          <w:iCs/>
          <w:sz w:val="18"/>
        </w:rPr>
        <w:t>Orayo</w:t>
      </w:r>
      <w:proofErr w:type="spellEnd"/>
      <w:r w:rsidRPr="004A09D7">
        <w:rPr>
          <w:rFonts w:ascii="Arial" w:hAnsi="Arial" w:cs="Arial"/>
          <w:iCs/>
          <w:sz w:val="18"/>
        </w:rPr>
        <w:t xml:space="preserve"> &amp; </w:t>
      </w:r>
      <w:proofErr w:type="spellStart"/>
      <w:r w:rsidRPr="004A09D7">
        <w:rPr>
          <w:rFonts w:ascii="Arial" w:hAnsi="Arial" w:cs="Arial"/>
          <w:iCs/>
          <w:sz w:val="18"/>
        </w:rPr>
        <w:t>Mose</w:t>
      </w:r>
      <w:proofErr w:type="spellEnd"/>
      <w:r w:rsidRPr="004A09D7">
        <w:rPr>
          <w:rFonts w:ascii="Arial" w:hAnsi="Arial" w:cs="Arial"/>
          <w:iCs/>
          <w:sz w:val="18"/>
        </w:rPr>
        <w:t>, 2016) confirmed that regulatory quality and political stability foster growth, while in European transitional economies, Bayar (2016) highlighted the positive influence of voice and accountability.</w:t>
      </w:r>
    </w:p>
    <w:p w14:paraId="26BBB0DF"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Recent global analyses continue to highlight the complexity of governance–growth dynamics. Medina-Moral and Montes-Gan (2018) demonstrated that economic freedom, alongside governance, fosters sustainable development. Uddin et al. (2017) confirmed political stability as a consistent growth driver using dynamic GMM, while </w:t>
      </w:r>
      <w:proofErr w:type="spellStart"/>
      <w:r w:rsidRPr="004A09D7">
        <w:rPr>
          <w:rFonts w:ascii="Arial" w:hAnsi="Arial" w:cs="Arial"/>
          <w:iCs/>
          <w:sz w:val="18"/>
        </w:rPr>
        <w:t>Yahyaoui</w:t>
      </w:r>
      <w:proofErr w:type="spellEnd"/>
      <w:r w:rsidRPr="004A09D7">
        <w:rPr>
          <w:rFonts w:ascii="Arial" w:hAnsi="Arial" w:cs="Arial"/>
          <w:iCs/>
          <w:sz w:val="18"/>
        </w:rPr>
        <w:t xml:space="preserve"> and </w:t>
      </w:r>
      <w:proofErr w:type="spellStart"/>
      <w:r w:rsidRPr="004A09D7">
        <w:rPr>
          <w:rFonts w:ascii="Arial" w:hAnsi="Arial" w:cs="Arial"/>
          <w:iCs/>
          <w:sz w:val="18"/>
        </w:rPr>
        <w:t>Bouchoucha</w:t>
      </w:r>
      <w:proofErr w:type="spellEnd"/>
      <w:r w:rsidRPr="004A09D7">
        <w:rPr>
          <w:rFonts w:ascii="Arial" w:hAnsi="Arial" w:cs="Arial"/>
          <w:iCs/>
          <w:sz w:val="18"/>
        </w:rPr>
        <w:t xml:space="preserve"> (2020) found that institutional quality conditions the effectiveness of foreign aid in Africa.</w:t>
      </w:r>
    </w:p>
    <w:p w14:paraId="097D220C"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Overall, the literature suggests that governance exerts both direct and indirect effects on economic growth. While institutions such as rule of law and government effectiveness generally enhance </w:t>
      </w:r>
      <w:r w:rsidRPr="004A09D7">
        <w:rPr>
          <w:rFonts w:ascii="Arial" w:hAnsi="Arial" w:cs="Arial"/>
          <w:iCs/>
          <w:sz w:val="18"/>
        </w:rPr>
        <w:lastRenderedPageBreak/>
        <w:t>economic performance, the effects of anti-corruption measures, political stability, and voice and accountability are more context dependent.</w:t>
      </w:r>
    </w:p>
    <w:p w14:paraId="385D010F"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2.2 Comparative Review of Related Studies</w:t>
      </w:r>
    </w:p>
    <w:tbl>
      <w:tblPr>
        <w:tblStyle w:val="TableGrid1"/>
        <w:tblW w:w="5000" w:type="pct"/>
        <w:tblInd w:w="0" w:type="dxa"/>
        <w:tblLook w:val="04A0" w:firstRow="1" w:lastRow="0" w:firstColumn="1" w:lastColumn="0" w:noHBand="0" w:noVBand="1"/>
      </w:tblPr>
      <w:tblGrid>
        <w:gridCol w:w="1376"/>
        <w:gridCol w:w="898"/>
        <w:gridCol w:w="1616"/>
        <w:gridCol w:w="1540"/>
        <w:gridCol w:w="2994"/>
      </w:tblGrid>
      <w:tr w:rsidR="004A09D7" w:rsidRPr="004A09D7" w14:paraId="6240B8B6" w14:textId="77777777" w:rsidTr="004A09D7">
        <w:tc>
          <w:tcPr>
            <w:tcW w:w="817" w:type="pct"/>
            <w:vAlign w:val="center"/>
            <w:hideMark/>
          </w:tcPr>
          <w:p w14:paraId="62FE614E" w14:textId="77777777" w:rsidR="004A09D7" w:rsidRPr="004A09D7" w:rsidRDefault="004A09D7" w:rsidP="004A09D7">
            <w:pPr>
              <w:pStyle w:val="Body"/>
              <w:spacing w:after="0"/>
              <w:jc w:val="center"/>
              <w:rPr>
                <w:rFonts w:ascii="Arial" w:hAnsi="Arial" w:cs="Arial"/>
                <w:b/>
                <w:bCs/>
                <w:iCs/>
                <w:sz w:val="18"/>
              </w:rPr>
            </w:pPr>
            <w:r w:rsidRPr="004A09D7">
              <w:rPr>
                <w:rFonts w:ascii="Arial" w:hAnsi="Arial" w:cs="Arial"/>
                <w:b/>
                <w:bCs/>
                <w:iCs/>
                <w:sz w:val="18"/>
              </w:rPr>
              <w:t>Author(s)</w:t>
            </w:r>
          </w:p>
        </w:tc>
        <w:tc>
          <w:tcPr>
            <w:tcW w:w="533" w:type="pct"/>
            <w:vAlign w:val="center"/>
            <w:hideMark/>
          </w:tcPr>
          <w:p w14:paraId="53E7EAC4" w14:textId="77777777" w:rsidR="004A09D7" w:rsidRPr="004A09D7" w:rsidRDefault="004A09D7" w:rsidP="004A09D7">
            <w:pPr>
              <w:pStyle w:val="Body"/>
              <w:spacing w:after="0"/>
              <w:jc w:val="center"/>
              <w:rPr>
                <w:rFonts w:ascii="Arial" w:hAnsi="Arial" w:cs="Arial"/>
                <w:b/>
                <w:bCs/>
                <w:iCs/>
                <w:sz w:val="18"/>
              </w:rPr>
            </w:pPr>
            <w:r w:rsidRPr="004A09D7">
              <w:rPr>
                <w:rFonts w:ascii="Arial" w:hAnsi="Arial" w:cs="Arial"/>
                <w:b/>
                <w:bCs/>
                <w:iCs/>
                <w:sz w:val="18"/>
              </w:rPr>
              <w:t>Year</w:t>
            </w:r>
          </w:p>
        </w:tc>
        <w:tc>
          <w:tcPr>
            <w:tcW w:w="959" w:type="pct"/>
            <w:vAlign w:val="center"/>
            <w:hideMark/>
          </w:tcPr>
          <w:p w14:paraId="03263D98" w14:textId="77777777" w:rsidR="004A09D7" w:rsidRPr="004A09D7" w:rsidRDefault="004A09D7" w:rsidP="004A09D7">
            <w:pPr>
              <w:pStyle w:val="Body"/>
              <w:spacing w:after="0"/>
              <w:jc w:val="center"/>
              <w:rPr>
                <w:rFonts w:ascii="Arial" w:hAnsi="Arial" w:cs="Arial"/>
                <w:b/>
                <w:bCs/>
                <w:iCs/>
                <w:sz w:val="18"/>
              </w:rPr>
            </w:pPr>
            <w:r w:rsidRPr="004A09D7">
              <w:rPr>
                <w:rFonts w:ascii="Arial" w:hAnsi="Arial" w:cs="Arial"/>
                <w:b/>
                <w:bCs/>
                <w:iCs/>
                <w:sz w:val="18"/>
              </w:rPr>
              <w:t>Methodology</w:t>
            </w:r>
          </w:p>
        </w:tc>
        <w:tc>
          <w:tcPr>
            <w:tcW w:w="914" w:type="pct"/>
            <w:vAlign w:val="center"/>
            <w:hideMark/>
          </w:tcPr>
          <w:p w14:paraId="6D15A245" w14:textId="77777777" w:rsidR="004A09D7" w:rsidRPr="004A09D7" w:rsidRDefault="004A09D7" w:rsidP="004A09D7">
            <w:pPr>
              <w:pStyle w:val="Body"/>
              <w:spacing w:after="0"/>
              <w:jc w:val="center"/>
              <w:rPr>
                <w:rFonts w:ascii="Arial" w:hAnsi="Arial" w:cs="Arial"/>
                <w:b/>
                <w:bCs/>
                <w:iCs/>
                <w:sz w:val="18"/>
              </w:rPr>
            </w:pPr>
            <w:r w:rsidRPr="004A09D7">
              <w:rPr>
                <w:rFonts w:ascii="Arial" w:hAnsi="Arial" w:cs="Arial"/>
                <w:b/>
                <w:bCs/>
                <w:iCs/>
                <w:sz w:val="18"/>
              </w:rPr>
              <w:t>Observations</w:t>
            </w:r>
          </w:p>
        </w:tc>
        <w:tc>
          <w:tcPr>
            <w:tcW w:w="1777" w:type="pct"/>
            <w:vAlign w:val="center"/>
            <w:hideMark/>
          </w:tcPr>
          <w:p w14:paraId="71FF17CB" w14:textId="77777777" w:rsidR="004A09D7" w:rsidRPr="004A09D7" w:rsidRDefault="004A09D7" w:rsidP="004A09D7">
            <w:pPr>
              <w:pStyle w:val="Body"/>
              <w:spacing w:after="0"/>
              <w:jc w:val="center"/>
              <w:rPr>
                <w:rFonts w:ascii="Arial" w:hAnsi="Arial" w:cs="Arial"/>
                <w:b/>
                <w:bCs/>
                <w:iCs/>
                <w:sz w:val="18"/>
              </w:rPr>
            </w:pPr>
            <w:r w:rsidRPr="004A09D7">
              <w:rPr>
                <w:rFonts w:ascii="Arial" w:hAnsi="Arial" w:cs="Arial"/>
                <w:b/>
                <w:bCs/>
                <w:iCs/>
                <w:sz w:val="18"/>
              </w:rPr>
              <w:t>Main Findings</w:t>
            </w:r>
          </w:p>
        </w:tc>
      </w:tr>
      <w:tr w:rsidR="004A09D7" w:rsidRPr="004A09D7" w14:paraId="550A8B89" w14:textId="77777777" w:rsidTr="004A09D7">
        <w:tc>
          <w:tcPr>
            <w:tcW w:w="817" w:type="pct"/>
            <w:vAlign w:val="center"/>
            <w:hideMark/>
          </w:tcPr>
          <w:p w14:paraId="67FB0298"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Kaufmann et al.</w:t>
            </w:r>
          </w:p>
        </w:tc>
        <w:tc>
          <w:tcPr>
            <w:tcW w:w="533" w:type="pct"/>
            <w:vAlign w:val="center"/>
            <w:hideMark/>
          </w:tcPr>
          <w:p w14:paraId="239F7150"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1999</w:t>
            </w:r>
          </w:p>
        </w:tc>
        <w:tc>
          <w:tcPr>
            <w:tcW w:w="959" w:type="pct"/>
            <w:vAlign w:val="center"/>
            <w:hideMark/>
          </w:tcPr>
          <w:p w14:paraId="36CAD9B6"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Cross-country governance indicators</w:t>
            </w:r>
          </w:p>
        </w:tc>
        <w:tc>
          <w:tcPr>
            <w:tcW w:w="914" w:type="pct"/>
            <w:vAlign w:val="center"/>
            <w:hideMark/>
          </w:tcPr>
          <w:p w14:paraId="1F0EF82E"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Global sample</w:t>
            </w:r>
          </w:p>
        </w:tc>
        <w:tc>
          <w:tcPr>
            <w:tcW w:w="1777" w:type="pct"/>
            <w:vAlign w:val="center"/>
            <w:hideMark/>
          </w:tcPr>
          <w:p w14:paraId="1C53C71E"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Good governance is strongly linked to higher growth.</w:t>
            </w:r>
          </w:p>
        </w:tc>
      </w:tr>
      <w:tr w:rsidR="004A09D7" w:rsidRPr="004A09D7" w14:paraId="00E923D1" w14:textId="77777777" w:rsidTr="004A09D7">
        <w:tc>
          <w:tcPr>
            <w:tcW w:w="817" w:type="pct"/>
            <w:vAlign w:val="center"/>
            <w:hideMark/>
          </w:tcPr>
          <w:p w14:paraId="1097E51C"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 xml:space="preserve">Dollar &amp; </w:t>
            </w:r>
            <w:proofErr w:type="spellStart"/>
            <w:r w:rsidRPr="004A09D7">
              <w:rPr>
                <w:rFonts w:ascii="Arial" w:hAnsi="Arial" w:cs="Arial"/>
                <w:iCs/>
                <w:sz w:val="18"/>
              </w:rPr>
              <w:t>Kraay</w:t>
            </w:r>
            <w:proofErr w:type="spellEnd"/>
          </w:p>
        </w:tc>
        <w:tc>
          <w:tcPr>
            <w:tcW w:w="533" w:type="pct"/>
            <w:vAlign w:val="center"/>
            <w:hideMark/>
          </w:tcPr>
          <w:p w14:paraId="2E3D0A96"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2002</w:t>
            </w:r>
          </w:p>
        </w:tc>
        <w:tc>
          <w:tcPr>
            <w:tcW w:w="959" w:type="pct"/>
            <w:vAlign w:val="center"/>
            <w:hideMark/>
          </w:tcPr>
          <w:p w14:paraId="76CBE4CC"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Cross-country regressions</w:t>
            </w:r>
          </w:p>
        </w:tc>
        <w:tc>
          <w:tcPr>
            <w:tcW w:w="914" w:type="pct"/>
            <w:vAlign w:val="center"/>
            <w:hideMark/>
          </w:tcPr>
          <w:p w14:paraId="07154AD1"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92 countries</w:t>
            </w:r>
          </w:p>
        </w:tc>
        <w:tc>
          <w:tcPr>
            <w:tcW w:w="1777" w:type="pct"/>
            <w:vAlign w:val="center"/>
            <w:hideMark/>
          </w:tcPr>
          <w:p w14:paraId="56E3EC32"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Rule of law and openness increase income; growth benefits the poor.</w:t>
            </w:r>
          </w:p>
        </w:tc>
      </w:tr>
      <w:tr w:rsidR="004A09D7" w:rsidRPr="004A09D7" w14:paraId="2521E2E5" w14:textId="77777777" w:rsidTr="004A09D7">
        <w:tc>
          <w:tcPr>
            <w:tcW w:w="817" w:type="pct"/>
            <w:vAlign w:val="center"/>
            <w:hideMark/>
          </w:tcPr>
          <w:p w14:paraId="0B0FC0C0"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Easterly &amp; Levine</w:t>
            </w:r>
          </w:p>
        </w:tc>
        <w:tc>
          <w:tcPr>
            <w:tcW w:w="533" w:type="pct"/>
            <w:vAlign w:val="center"/>
            <w:hideMark/>
          </w:tcPr>
          <w:p w14:paraId="76624596"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2003</w:t>
            </w:r>
          </w:p>
        </w:tc>
        <w:tc>
          <w:tcPr>
            <w:tcW w:w="959" w:type="pct"/>
            <w:vAlign w:val="center"/>
            <w:hideMark/>
          </w:tcPr>
          <w:p w14:paraId="33148DE8"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Cross-country econometric study</w:t>
            </w:r>
          </w:p>
        </w:tc>
        <w:tc>
          <w:tcPr>
            <w:tcW w:w="914" w:type="pct"/>
            <w:vAlign w:val="center"/>
            <w:hideMark/>
          </w:tcPr>
          <w:p w14:paraId="3694C9A2"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80 countries</w:t>
            </w:r>
          </w:p>
        </w:tc>
        <w:tc>
          <w:tcPr>
            <w:tcW w:w="1777" w:type="pct"/>
            <w:vAlign w:val="center"/>
            <w:hideMark/>
          </w:tcPr>
          <w:p w14:paraId="05082937"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Institutions explain differences in income levels.</w:t>
            </w:r>
          </w:p>
        </w:tc>
      </w:tr>
      <w:tr w:rsidR="004A09D7" w:rsidRPr="004A09D7" w14:paraId="409DA350" w14:textId="77777777" w:rsidTr="004A09D7">
        <w:tc>
          <w:tcPr>
            <w:tcW w:w="817" w:type="pct"/>
            <w:vAlign w:val="center"/>
            <w:hideMark/>
          </w:tcPr>
          <w:p w14:paraId="200A42B6" w14:textId="77777777" w:rsidR="004A09D7" w:rsidRPr="004A09D7" w:rsidRDefault="004A09D7" w:rsidP="004A09D7">
            <w:pPr>
              <w:pStyle w:val="Body"/>
              <w:spacing w:after="0"/>
              <w:jc w:val="center"/>
              <w:rPr>
                <w:rFonts w:ascii="Arial" w:hAnsi="Arial" w:cs="Arial"/>
                <w:iCs/>
                <w:sz w:val="18"/>
              </w:rPr>
            </w:pPr>
            <w:proofErr w:type="spellStart"/>
            <w:r w:rsidRPr="004A09D7">
              <w:rPr>
                <w:rFonts w:ascii="Arial" w:hAnsi="Arial" w:cs="Arial"/>
                <w:iCs/>
                <w:sz w:val="18"/>
              </w:rPr>
              <w:t>Rigobon</w:t>
            </w:r>
            <w:proofErr w:type="spellEnd"/>
            <w:r w:rsidRPr="004A09D7">
              <w:rPr>
                <w:rFonts w:ascii="Arial" w:hAnsi="Arial" w:cs="Arial"/>
                <w:iCs/>
                <w:sz w:val="18"/>
              </w:rPr>
              <w:t xml:space="preserve"> &amp; Rodrik</w:t>
            </w:r>
          </w:p>
        </w:tc>
        <w:tc>
          <w:tcPr>
            <w:tcW w:w="533" w:type="pct"/>
            <w:vAlign w:val="center"/>
            <w:hideMark/>
          </w:tcPr>
          <w:p w14:paraId="44ADF996"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2005</w:t>
            </w:r>
          </w:p>
        </w:tc>
        <w:tc>
          <w:tcPr>
            <w:tcW w:w="959" w:type="pct"/>
            <w:vAlign w:val="center"/>
            <w:hideMark/>
          </w:tcPr>
          <w:p w14:paraId="614CD58B"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Instrumental Variable (IV) regression</w:t>
            </w:r>
          </w:p>
        </w:tc>
        <w:tc>
          <w:tcPr>
            <w:tcW w:w="914" w:type="pct"/>
            <w:vAlign w:val="center"/>
            <w:hideMark/>
          </w:tcPr>
          <w:p w14:paraId="5BA91E78"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72 countries</w:t>
            </w:r>
          </w:p>
        </w:tc>
        <w:tc>
          <w:tcPr>
            <w:tcW w:w="1777" w:type="pct"/>
            <w:vAlign w:val="center"/>
            <w:hideMark/>
          </w:tcPr>
          <w:p w14:paraId="0202CDCB"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Rule of law significantly boosts growth.</w:t>
            </w:r>
          </w:p>
        </w:tc>
      </w:tr>
      <w:tr w:rsidR="004A09D7" w:rsidRPr="004A09D7" w14:paraId="236392F5" w14:textId="77777777" w:rsidTr="004A09D7">
        <w:tc>
          <w:tcPr>
            <w:tcW w:w="817" w:type="pct"/>
            <w:vAlign w:val="center"/>
            <w:hideMark/>
          </w:tcPr>
          <w:p w14:paraId="7A8F013D" w14:textId="77777777" w:rsidR="004A09D7" w:rsidRPr="004A09D7" w:rsidRDefault="004A09D7" w:rsidP="004A09D7">
            <w:pPr>
              <w:pStyle w:val="Body"/>
              <w:spacing w:after="0"/>
              <w:jc w:val="center"/>
              <w:rPr>
                <w:rFonts w:ascii="Arial" w:hAnsi="Arial" w:cs="Arial"/>
                <w:iCs/>
                <w:sz w:val="18"/>
              </w:rPr>
            </w:pPr>
            <w:proofErr w:type="spellStart"/>
            <w:r w:rsidRPr="004A09D7">
              <w:rPr>
                <w:rFonts w:ascii="Arial" w:hAnsi="Arial" w:cs="Arial"/>
                <w:iCs/>
                <w:sz w:val="18"/>
              </w:rPr>
              <w:t>Jalilian</w:t>
            </w:r>
            <w:proofErr w:type="spellEnd"/>
            <w:r w:rsidRPr="004A09D7">
              <w:rPr>
                <w:rFonts w:ascii="Arial" w:hAnsi="Arial" w:cs="Arial"/>
                <w:iCs/>
                <w:sz w:val="18"/>
              </w:rPr>
              <w:t xml:space="preserve"> et al.</w:t>
            </w:r>
          </w:p>
        </w:tc>
        <w:tc>
          <w:tcPr>
            <w:tcW w:w="533" w:type="pct"/>
            <w:vAlign w:val="center"/>
            <w:hideMark/>
          </w:tcPr>
          <w:p w14:paraId="5B2F7573"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2006</w:t>
            </w:r>
          </w:p>
        </w:tc>
        <w:tc>
          <w:tcPr>
            <w:tcW w:w="959" w:type="pct"/>
            <w:vAlign w:val="center"/>
            <w:hideMark/>
          </w:tcPr>
          <w:p w14:paraId="46B99305"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Cross-country regression</w:t>
            </w:r>
          </w:p>
        </w:tc>
        <w:tc>
          <w:tcPr>
            <w:tcW w:w="914" w:type="pct"/>
            <w:vAlign w:val="center"/>
            <w:hideMark/>
          </w:tcPr>
          <w:p w14:paraId="584A0347"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52 developing countries</w:t>
            </w:r>
          </w:p>
        </w:tc>
        <w:tc>
          <w:tcPr>
            <w:tcW w:w="1777" w:type="pct"/>
            <w:vAlign w:val="center"/>
            <w:hideMark/>
          </w:tcPr>
          <w:p w14:paraId="2A6C9A2E"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Regulatory quality enhances growth.</w:t>
            </w:r>
          </w:p>
        </w:tc>
      </w:tr>
      <w:tr w:rsidR="004A09D7" w:rsidRPr="004A09D7" w14:paraId="4C3E5914" w14:textId="77777777" w:rsidTr="004A09D7">
        <w:tc>
          <w:tcPr>
            <w:tcW w:w="817" w:type="pct"/>
            <w:vAlign w:val="center"/>
            <w:hideMark/>
          </w:tcPr>
          <w:p w14:paraId="3E0975FB" w14:textId="77777777" w:rsidR="004A09D7" w:rsidRPr="004A09D7" w:rsidRDefault="004A09D7" w:rsidP="004A09D7">
            <w:pPr>
              <w:pStyle w:val="Body"/>
              <w:spacing w:after="0"/>
              <w:jc w:val="center"/>
              <w:rPr>
                <w:rFonts w:ascii="Arial" w:hAnsi="Arial" w:cs="Arial"/>
                <w:iCs/>
                <w:sz w:val="18"/>
              </w:rPr>
            </w:pPr>
            <w:proofErr w:type="spellStart"/>
            <w:r w:rsidRPr="004A09D7">
              <w:rPr>
                <w:rFonts w:ascii="Arial" w:hAnsi="Arial" w:cs="Arial"/>
                <w:iCs/>
                <w:sz w:val="18"/>
              </w:rPr>
              <w:t>Fayissa</w:t>
            </w:r>
            <w:proofErr w:type="spellEnd"/>
            <w:r w:rsidRPr="004A09D7">
              <w:rPr>
                <w:rFonts w:ascii="Arial" w:hAnsi="Arial" w:cs="Arial"/>
                <w:iCs/>
                <w:sz w:val="18"/>
              </w:rPr>
              <w:t xml:space="preserve"> &amp; Nsiah</w:t>
            </w:r>
          </w:p>
        </w:tc>
        <w:tc>
          <w:tcPr>
            <w:tcW w:w="533" w:type="pct"/>
            <w:vAlign w:val="center"/>
            <w:hideMark/>
          </w:tcPr>
          <w:p w14:paraId="0BFFE1C6"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2013</w:t>
            </w:r>
          </w:p>
        </w:tc>
        <w:tc>
          <w:tcPr>
            <w:tcW w:w="959" w:type="pct"/>
            <w:vAlign w:val="center"/>
            <w:hideMark/>
          </w:tcPr>
          <w:p w14:paraId="72851642"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Panel data (FE, RE)</w:t>
            </w:r>
          </w:p>
        </w:tc>
        <w:tc>
          <w:tcPr>
            <w:tcW w:w="914" w:type="pct"/>
            <w:vAlign w:val="center"/>
            <w:hideMark/>
          </w:tcPr>
          <w:p w14:paraId="76B3DE0E"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38 African countries</w:t>
            </w:r>
          </w:p>
        </w:tc>
        <w:tc>
          <w:tcPr>
            <w:tcW w:w="1777" w:type="pct"/>
            <w:vAlign w:val="center"/>
            <w:hideMark/>
          </w:tcPr>
          <w:p w14:paraId="6D5AB77E"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Governance–growth link varies with income level.</w:t>
            </w:r>
          </w:p>
        </w:tc>
      </w:tr>
      <w:tr w:rsidR="004A09D7" w:rsidRPr="004A09D7" w14:paraId="17867789" w14:textId="77777777" w:rsidTr="004A09D7">
        <w:tc>
          <w:tcPr>
            <w:tcW w:w="817" w:type="pct"/>
            <w:vAlign w:val="center"/>
            <w:hideMark/>
          </w:tcPr>
          <w:p w14:paraId="0EEC3B4C" w14:textId="77777777" w:rsidR="004A09D7" w:rsidRPr="004A09D7" w:rsidRDefault="004A09D7" w:rsidP="004A09D7">
            <w:pPr>
              <w:pStyle w:val="Body"/>
              <w:spacing w:after="0"/>
              <w:jc w:val="center"/>
              <w:rPr>
                <w:rFonts w:ascii="Arial" w:hAnsi="Arial" w:cs="Arial"/>
                <w:iCs/>
                <w:sz w:val="18"/>
              </w:rPr>
            </w:pPr>
            <w:proofErr w:type="spellStart"/>
            <w:r w:rsidRPr="004A09D7">
              <w:rPr>
                <w:rFonts w:ascii="Arial" w:hAnsi="Arial" w:cs="Arial"/>
                <w:iCs/>
                <w:sz w:val="18"/>
              </w:rPr>
              <w:t>Gani</w:t>
            </w:r>
            <w:proofErr w:type="spellEnd"/>
          </w:p>
        </w:tc>
        <w:tc>
          <w:tcPr>
            <w:tcW w:w="533" w:type="pct"/>
            <w:vAlign w:val="center"/>
            <w:hideMark/>
          </w:tcPr>
          <w:p w14:paraId="17AB7CB9"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2011</w:t>
            </w:r>
          </w:p>
        </w:tc>
        <w:tc>
          <w:tcPr>
            <w:tcW w:w="959" w:type="pct"/>
            <w:vAlign w:val="center"/>
            <w:hideMark/>
          </w:tcPr>
          <w:p w14:paraId="28DC7BD5"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Panel regression</w:t>
            </w:r>
          </w:p>
        </w:tc>
        <w:tc>
          <w:tcPr>
            <w:tcW w:w="914" w:type="pct"/>
            <w:vAlign w:val="center"/>
            <w:hideMark/>
          </w:tcPr>
          <w:p w14:paraId="2D875DD1"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93 developing countries</w:t>
            </w:r>
          </w:p>
        </w:tc>
        <w:tc>
          <w:tcPr>
            <w:tcW w:w="1777" w:type="pct"/>
            <w:vAlign w:val="center"/>
            <w:hideMark/>
          </w:tcPr>
          <w:p w14:paraId="3D26E0AF"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Gov. effectiveness &amp; stability positive; voice &amp; accountability negative.</w:t>
            </w:r>
          </w:p>
        </w:tc>
      </w:tr>
      <w:tr w:rsidR="004A09D7" w:rsidRPr="004A09D7" w14:paraId="03882023" w14:textId="77777777" w:rsidTr="004A09D7">
        <w:tc>
          <w:tcPr>
            <w:tcW w:w="817" w:type="pct"/>
            <w:vAlign w:val="center"/>
            <w:hideMark/>
          </w:tcPr>
          <w:p w14:paraId="1CA49412"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 xml:space="preserve">Huynh &amp; </w:t>
            </w:r>
            <w:proofErr w:type="spellStart"/>
            <w:r w:rsidRPr="004A09D7">
              <w:rPr>
                <w:rFonts w:ascii="Arial" w:hAnsi="Arial" w:cs="Arial"/>
                <w:iCs/>
                <w:sz w:val="18"/>
              </w:rPr>
              <w:t>Jacho</w:t>
            </w:r>
            <w:proofErr w:type="spellEnd"/>
            <w:r w:rsidRPr="004A09D7">
              <w:rPr>
                <w:rFonts w:ascii="Arial" w:hAnsi="Arial" w:cs="Arial"/>
                <w:iCs/>
                <w:sz w:val="18"/>
              </w:rPr>
              <w:t>-Chavez</w:t>
            </w:r>
          </w:p>
        </w:tc>
        <w:tc>
          <w:tcPr>
            <w:tcW w:w="533" w:type="pct"/>
            <w:vAlign w:val="center"/>
            <w:hideMark/>
          </w:tcPr>
          <w:p w14:paraId="70D12D16"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2009</w:t>
            </w:r>
          </w:p>
        </w:tc>
        <w:tc>
          <w:tcPr>
            <w:tcW w:w="959" w:type="pct"/>
            <w:vAlign w:val="center"/>
            <w:hideMark/>
          </w:tcPr>
          <w:p w14:paraId="23BB87D3"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Nonparametric quantile analysis</w:t>
            </w:r>
          </w:p>
        </w:tc>
        <w:tc>
          <w:tcPr>
            <w:tcW w:w="914" w:type="pct"/>
            <w:vAlign w:val="center"/>
            <w:hideMark/>
          </w:tcPr>
          <w:p w14:paraId="6C56739B"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80 countries</w:t>
            </w:r>
          </w:p>
        </w:tc>
        <w:tc>
          <w:tcPr>
            <w:tcW w:w="1777" w:type="pct"/>
            <w:vAlign w:val="center"/>
            <w:hideMark/>
          </w:tcPr>
          <w:p w14:paraId="4B9DE5DD"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Rule of law, gov. effectiveness, and stability positively affect growth.</w:t>
            </w:r>
          </w:p>
        </w:tc>
      </w:tr>
      <w:tr w:rsidR="004A09D7" w:rsidRPr="004A09D7" w14:paraId="516EF9D6" w14:textId="77777777" w:rsidTr="004A09D7">
        <w:tc>
          <w:tcPr>
            <w:tcW w:w="817" w:type="pct"/>
            <w:vAlign w:val="center"/>
            <w:hideMark/>
          </w:tcPr>
          <w:p w14:paraId="184591D2" w14:textId="77777777" w:rsidR="004A09D7" w:rsidRPr="004A09D7" w:rsidRDefault="004A09D7" w:rsidP="004A09D7">
            <w:pPr>
              <w:pStyle w:val="Body"/>
              <w:spacing w:after="0"/>
              <w:jc w:val="center"/>
              <w:rPr>
                <w:rFonts w:ascii="Arial" w:hAnsi="Arial" w:cs="Arial"/>
                <w:iCs/>
                <w:sz w:val="18"/>
              </w:rPr>
            </w:pPr>
            <w:proofErr w:type="spellStart"/>
            <w:r w:rsidRPr="004A09D7">
              <w:rPr>
                <w:rFonts w:ascii="Arial" w:hAnsi="Arial" w:cs="Arial"/>
                <w:iCs/>
                <w:sz w:val="18"/>
              </w:rPr>
              <w:t>Maune</w:t>
            </w:r>
            <w:proofErr w:type="spellEnd"/>
          </w:p>
        </w:tc>
        <w:tc>
          <w:tcPr>
            <w:tcW w:w="533" w:type="pct"/>
            <w:vAlign w:val="center"/>
            <w:hideMark/>
          </w:tcPr>
          <w:p w14:paraId="3FF7D41F"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2017</w:t>
            </w:r>
          </w:p>
        </w:tc>
        <w:tc>
          <w:tcPr>
            <w:tcW w:w="959" w:type="pct"/>
            <w:vAlign w:val="center"/>
            <w:hideMark/>
          </w:tcPr>
          <w:p w14:paraId="219170E5"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Case study (Zimbabwe)</w:t>
            </w:r>
          </w:p>
        </w:tc>
        <w:tc>
          <w:tcPr>
            <w:tcW w:w="914" w:type="pct"/>
            <w:vAlign w:val="center"/>
            <w:hideMark/>
          </w:tcPr>
          <w:p w14:paraId="63A4CD8B"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1968–2015</w:t>
            </w:r>
          </w:p>
        </w:tc>
        <w:tc>
          <w:tcPr>
            <w:tcW w:w="1777" w:type="pct"/>
            <w:vAlign w:val="center"/>
            <w:hideMark/>
          </w:tcPr>
          <w:p w14:paraId="446E2ADB"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Political stability is positive; corruption negative.</w:t>
            </w:r>
          </w:p>
        </w:tc>
      </w:tr>
      <w:tr w:rsidR="004A09D7" w:rsidRPr="004A09D7" w14:paraId="2DFDB0D9" w14:textId="77777777" w:rsidTr="004A09D7">
        <w:tc>
          <w:tcPr>
            <w:tcW w:w="817" w:type="pct"/>
            <w:vAlign w:val="center"/>
            <w:hideMark/>
          </w:tcPr>
          <w:p w14:paraId="29735E43"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Abdelkader</w:t>
            </w:r>
          </w:p>
        </w:tc>
        <w:tc>
          <w:tcPr>
            <w:tcW w:w="533" w:type="pct"/>
            <w:vAlign w:val="center"/>
            <w:hideMark/>
          </w:tcPr>
          <w:p w14:paraId="49F3E9CF"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2017</w:t>
            </w:r>
          </w:p>
        </w:tc>
        <w:tc>
          <w:tcPr>
            <w:tcW w:w="959" w:type="pct"/>
            <w:vAlign w:val="center"/>
            <w:hideMark/>
          </w:tcPr>
          <w:p w14:paraId="2D5D9041"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Time series (ARDL)</w:t>
            </w:r>
          </w:p>
        </w:tc>
        <w:tc>
          <w:tcPr>
            <w:tcW w:w="914" w:type="pct"/>
            <w:vAlign w:val="center"/>
            <w:hideMark/>
          </w:tcPr>
          <w:p w14:paraId="7973D039"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Egypt (1970–2014)</w:t>
            </w:r>
          </w:p>
        </w:tc>
        <w:tc>
          <w:tcPr>
            <w:tcW w:w="1777" w:type="pct"/>
            <w:vAlign w:val="center"/>
            <w:hideMark/>
          </w:tcPr>
          <w:p w14:paraId="6B0806E7"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Political instability significantly reduces growth.</w:t>
            </w:r>
          </w:p>
        </w:tc>
      </w:tr>
      <w:tr w:rsidR="004A09D7" w:rsidRPr="004A09D7" w14:paraId="5B571C1F" w14:textId="77777777" w:rsidTr="004A09D7">
        <w:tc>
          <w:tcPr>
            <w:tcW w:w="817" w:type="pct"/>
            <w:vAlign w:val="center"/>
            <w:hideMark/>
          </w:tcPr>
          <w:p w14:paraId="78764214"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Zubair &amp; Khan</w:t>
            </w:r>
          </w:p>
        </w:tc>
        <w:tc>
          <w:tcPr>
            <w:tcW w:w="533" w:type="pct"/>
            <w:vAlign w:val="center"/>
            <w:hideMark/>
          </w:tcPr>
          <w:p w14:paraId="6BD203E1"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2014</w:t>
            </w:r>
          </w:p>
        </w:tc>
        <w:tc>
          <w:tcPr>
            <w:tcW w:w="959" w:type="pct"/>
            <w:vAlign w:val="center"/>
            <w:hideMark/>
          </w:tcPr>
          <w:p w14:paraId="72EBD070"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Time series (cointegration)</w:t>
            </w:r>
          </w:p>
        </w:tc>
        <w:tc>
          <w:tcPr>
            <w:tcW w:w="914" w:type="pct"/>
            <w:vAlign w:val="center"/>
            <w:hideMark/>
          </w:tcPr>
          <w:p w14:paraId="5BA842B6"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Pakistan (1972–2010)</w:t>
            </w:r>
          </w:p>
        </w:tc>
        <w:tc>
          <w:tcPr>
            <w:tcW w:w="1777" w:type="pct"/>
            <w:vAlign w:val="center"/>
            <w:hideMark/>
          </w:tcPr>
          <w:p w14:paraId="61141ADB"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Political stability is critical for growth.</w:t>
            </w:r>
          </w:p>
        </w:tc>
      </w:tr>
      <w:tr w:rsidR="004A09D7" w:rsidRPr="004A09D7" w14:paraId="2F1E4E58" w14:textId="77777777" w:rsidTr="004A09D7">
        <w:tc>
          <w:tcPr>
            <w:tcW w:w="817" w:type="pct"/>
            <w:vAlign w:val="center"/>
            <w:hideMark/>
          </w:tcPr>
          <w:p w14:paraId="37DEC5ED" w14:textId="77777777" w:rsidR="004A09D7" w:rsidRPr="004A09D7" w:rsidRDefault="004A09D7" w:rsidP="004A09D7">
            <w:pPr>
              <w:pStyle w:val="Body"/>
              <w:spacing w:after="0"/>
              <w:jc w:val="center"/>
              <w:rPr>
                <w:rFonts w:ascii="Arial" w:hAnsi="Arial" w:cs="Arial"/>
                <w:iCs/>
                <w:sz w:val="18"/>
              </w:rPr>
            </w:pPr>
            <w:proofErr w:type="spellStart"/>
            <w:r w:rsidRPr="004A09D7">
              <w:rPr>
                <w:rFonts w:ascii="Arial" w:hAnsi="Arial" w:cs="Arial"/>
                <w:iCs/>
                <w:sz w:val="18"/>
              </w:rPr>
              <w:t>Orayo</w:t>
            </w:r>
            <w:proofErr w:type="spellEnd"/>
            <w:r w:rsidRPr="004A09D7">
              <w:rPr>
                <w:rFonts w:ascii="Arial" w:hAnsi="Arial" w:cs="Arial"/>
                <w:iCs/>
                <w:sz w:val="18"/>
              </w:rPr>
              <w:t xml:space="preserve"> &amp; </w:t>
            </w:r>
            <w:proofErr w:type="spellStart"/>
            <w:r w:rsidRPr="004A09D7">
              <w:rPr>
                <w:rFonts w:ascii="Arial" w:hAnsi="Arial" w:cs="Arial"/>
                <w:iCs/>
                <w:sz w:val="18"/>
              </w:rPr>
              <w:t>Mose</w:t>
            </w:r>
            <w:proofErr w:type="spellEnd"/>
          </w:p>
        </w:tc>
        <w:tc>
          <w:tcPr>
            <w:tcW w:w="533" w:type="pct"/>
            <w:vAlign w:val="center"/>
            <w:hideMark/>
          </w:tcPr>
          <w:p w14:paraId="785BE7D1"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2016</w:t>
            </w:r>
          </w:p>
        </w:tc>
        <w:tc>
          <w:tcPr>
            <w:tcW w:w="959" w:type="pct"/>
            <w:vAlign w:val="center"/>
            <w:hideMark/>
          </w:tcPr>
          <w:p w14:paraId="78D92B24"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Panel regression</w:t>
            </w:r>
          </w:p>
        </w:tc>
        <w:tc>
          <w:tcPr>
            <w:tcW w:w="914" w:type="pct"/>
            <w:vAlign w:val="center"/>
            <w:hideMark/>
          </w:tcPr>
          <w:p w14:paraId="3E590BC6"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5 East African countries</w:t>
            </w:r>
          </w:p>
        </w:tc>
        <w:tc>
          <w:tcPr>
            <w:tcW w:w="1777" w:type="pct"/>
            <w:vAlign w:val="center"/>
            <w:hideMark/>
          </w:tcPr>
          <w:p w14:paraId="792582F8"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Political stability &amp; regulatory quality promote growth.</w:t>
            </w:r>
          </w:p>
        </w:tc>
      </w:tr>
      <w:tr w:rsidR="004A09D7" w:rsidRPr="004A09D7" w14:paraId="54D12C39" w14:textId="77777777" w:rsidTr="004A09D7">
        <w:tc>
          <w:tcPr>
            <w:tcW w:w="817" w:type="pct"/>
            <w:vAlign w:val="center"/>
            <w:hideMark/>
          </w:tcPr>
          <w:p w14:paraId="38B04F53"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Bayar</w:t>
            </w:r>
          </w:p>
        </w:tc>
        <w:tc>
          <w:tcPr>
            <w:tcW w:w="533" w:type="pct"/>
            <w:vAlign w:val="center"/>
            <w:hideMark/>
          </w:tcPr>
          <w:p w14:paraId="5EDFF652"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2016</w:t>
            </w:r>
          </w:p>
        </w:tc>
        <w:tc>
          <w:tcPr>
            <w:tcW w:w="959" w:type="pct"/>
            <w:vAlign w:val="center"/>
            <w:hideMark/>
          </w:tcPr>
          <w:p w14:paraId="50F99974"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Panel regression</w:t>
            </w:r>
          </w:p>
        </w:tc>
        <w:tc>
          <w:tcPr>
            <w:tcW w:w="914" w:type="pct"/>
            <w:vAlign w:val="center"/>
            <w:hideMark/>
          </w:tcPr>
          <w:p w14:paraId="1280E60A"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11 EU transition economies</w:t>
            </w:r>
          </w:p>
        </w:tc>
        <w:tc>
          <w:tcPr>
            <w:tcW w:w="1777" w:type="pct"/>
            <w:vAlign w:val="center"/>
            <w:hideMark/>
          </w:tcPr>
          <w:p w14:paraId="7605BA83"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Voice &amp; accountability and rule of law boost growth.</w:t>
            </w:r>
          </w:p>
        </w:tc>
      </w:tr>
      <w:tr w:rsidR="004A09D7" w:rsidRPr="004A09D7" w14:paraId="1148C795" w14:textId="77777777" w:rsidTr="004A09D7">
        <w:tc>
          <w:tcPr>
            <w:tcW w:w="817" w:type="pct"/>
            <w:vAlign w:val="center"/>
            <w:hideMark/>
          </w:tcPr>
          <w:p w14:paraId="779A71A0"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Medina-Moral &amp; Montes-Gan</w:t>
            </w:r>
          </w:p>
        </w:tc>
        <w:tc>
          <w:tcPr>
            <w:tcW w:w="533" w:type="pct"/>
            <w:vAlign w:val="center"/>
            <w:hideMark/>
          </w:tcPr>
          <w:p w14:paraId="7B060F0B"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2018</w:t>
            </w:r>
          </w:p>
        </w:tc>
        <w:tc>
          <w:tcPr>
            <w:tcW w:w="959" w:type="pct"/>
            <w:vAlign w:val="center"/>
            <w:hideMark/>
          </w:tcPr>
          <w:p w14:paraId="327C0605"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Dynamic panel GMM</w:t>
            </w:r>
          </w:p>
        </w:tc>
        <w:tc>
          <w:tcPr>
            <w:tcW w:w="914" w:type="pct"/>
            <w:vAlign w:val="center"/>
            <w:hideMark/>
          </w:tcPr>
          <w:p w14:paraId="5AFFAC61"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140 countries</w:t>
            </w:r>
          </w:p>
        </w:tc>
        <w:tc>
          <w:tcPr>
            <w:tcW w:w="1777" w:type="pct"/>
            <w:vAlign w:val="center"/>
            <w:hideMark/>
          </w:tcPr>
          <w:p w14:paraId="1D84F8C8"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Governance and economic freedom foster development.</w:t>
            </w:r>
          </w:p>
        </w:tc>
      </w:tr>
      <w:tr w:rsidR="004A09D7" w:rsidRPr="004A09D7" w14:paraId="733B2A99" w14:textId="77777777" w:rsidTr="004A09D7">
        <w:tc>
          <w:tcPr>
            <w:tcW w:w="817" w:type="pct"/>
            <w:vAlign w:val="center"/>
            <w:hideMark/>
          </w:tcPr>
          <w:p w14:paraId="301D5813"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Uddin et al.</w:t>
            </w:r>
          </w:p>
        </w:tc>
        <w:tc>
          <w:tcPr>
            <w:tcW w:w="533" w:type="pct"/>
            <w:vAlign w:val="center"/>
            <w:hideMark/>
          </w:tcPr>
          <w:p w14:paraId="70C8AC89"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2017</w:t>
            </w:r>
          </w:p>
        </w:tc>
        <w:tc>
          <w:tcPr>
            <w:tcW w:w="959" w:type="pct"/>
            <w:vAlign w:val="center"/>
            <w:hideMark/>
          </w:tcPr>
          <w:p w14:paraId="5D900997"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Dynamic GMM &amp; quantile regression</w:t>
            </w:r>
          </w:p>
        </w:tc>
        <w:tc>
          <w:tcPr>
            <w:tcW w:w="914" w:type="pct"/>
            <w:vAlign w:val="center"/>
            <w:hideMark/>
          </w:tcPr>
          <w:p w14:paraId="79CCCF93"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70 countries</w:t>
            </w:r>
          </w:p>
        </w:tc>
        <w:tc>
          <w:tcPr>
            <w:tcW w:w="1777" w:type="pct"/>
            <w:vAlign w:val="center"/>
            <w:hideMark/>
          </w:tcPr>
          <w:p w14:paraId="414445EB"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Political stability consistently enhances growth.</w:t>
            </w:r>
          </w:p>
        </w:tc>
      </w:tr>
      <w:tr w:rsidR="004A09D7" w:rsidRPr="004A09D7" w14:paraId="2CCBDF6E" w14:textId="77777777" w:rsidTr="004A09D7">
        <w:tc>
          <w:tcPr>
            <w:tcW w:w="817" w:type="pct"/>
            <w:vAlign w:val="center"/>
            <w:hideMark/>
          </w:tcPr>
          <w:p w14:paraId="3FDE34CE" w14:textId="77777777" w:rsidR="004A09D7" w:rsidRPr="004A09D7" w:rsidRDefault="004A09D7" w:rsidP="004A09D7">
            <w:pPr>
              <w:pStyle w:val="Body"/>
              <w:spacing w:after="0"/>
              <w:jc w:val="center"/>
              <w:rPr>
                <w:rFonts w:ascii="Arial" w:hAnsi="Arial" w:cs="Arial"/>
                <w:iCs/>
                <w:sz w:val="18"/>
              </w:rPr>
            </w:pPr>
            <w:proofErr w:type="spellStart"/>
            <w:r w:rsidRPr="004A09D7">
              <w:rPr>
                <w:rFonts w:ascii="Arial" w:hAnsi="Arial" w:cs="Arial"/>
                <w:iCs/>
                <w:sz w:val="18"/>
              </w:rPr>
              <w:t>Yahyaoui</w:t>
            </w:r>
            <w:proofErr w:type="spellEnd"/>
            <w:r w:rsidRPr="004A09D7">
              <w:rPr>
                <w:rFonts w:ascii="Arial" w:hAnsi="Arial" w:cs="Arial"/>
                <w:iCs/>
                <w:sz w:val="18"/>
              </w:rPr>
              <w:t xml:space="preserve"> &amp; </w:t>
            </w:r>
            <w:proofErr w:type="spellStart"/>
            <w:r w:rsidRPr="004A09D7">
              <w:rPr>
                <w:rFonts w:ascii="Arial" w:hAnsi="Arial" w:cs="Arial"/>
                <w:iCs/>
                <w:sz w:val="18"/>
              </w:rPr>
              <w:t>Bouchoucha</w:t>
            </w:r>
            <w:proofErr w:type="spellEnd"/>
          </w:p>
        </w:tc>
        <w:tc>
          <w:tcPr>
            <w:tcW w:w="533" w:type="pct"/>
            <w:vAlign w:val="center"/>
            <w:hideMark/>
          </w:tcPr>
          <w:p w14:paraId="4A9C9B2D"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2020</w:t>
            </w:r>
          </w:p>
        </w:tc>
        <w:tc>
          <w:tcPr>
            <w:tcW w:w="959" w:type="pct"/>
            <w:vAlign w:val="center"/>
            <w:hideMark/>
          </w:tcPr>
          <w:p w14:paraId="74F9ED1A"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Panel GMM</w:t>
            </w:r>
          </w:p>
        </w:tc>
        <w:tc>
          <w:tcPr>
            <w:tcW w:w="914" w:type="pct"/>
            <w:vAlign w:val="center"/>
            <w:hideMark/>
          </w:tcPr>
          <w:p w14:paraId="330A03E5"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50 African countries</w:t>
            </w:r>
          </w:p>
        </w:tc>
        <w:tc>
          <w:tcPr>
            <w:tcW w:w="1777" w:type="pct"/>
            <w:vAlign w:val="center"/>
            <w:hideMark/>
          </w:tcPr>
          <w:p w14:paraId="22442F00" w14:textId="77777777" w:rsidR="004A09D7" w:rsidRPr="004A09D7" w:rsidRDefault="004A09D7" w:rsidP="004A09D7">
            <w:pPr>
              <w:pStyle w:val="Body"/>
              <w:spacing w:after="0"/>
              <w:jc w:val="center"/>
              <w:rPr>
                <w:rFonts w:ascii="Arial" w:hAnsi="Arial" w:cs="Arial"/>
                <w:iCs/>
                <w:sz w:val="18"/>
              </w:rPr>
            </w:pPr>
            <w:r w:rsidRPr="004A09D7">
              <w:rPr>
                <w:rFonts w:ascii="Arial" w:hAnsi="Arial" w:cs="Arial"/>
                <w:iCs/>
                <w:sz w:val="18"/>
              </w:rPr>
              <w:t>Institutional quality conditions aid effectiveness.</w:t>
            </w:r>
          </w:p>
        </w:tc>
      </w:tr>
    </w:tbl>
    <w:p w14:paraId="24473CEE" w14:textId="77777777" w:rsidR="004A09D7" w:rsidRPr="004A09D7" w:rsidRDefault="004A09D7" w:rsidP="004A09D7">
      <w:pPr>
        <w:pStyle w:val="Body"/>
        <w:spacing w:after="0"/>
        <w:rPr>
          <w:rFonts w:ascii="Arial" w:hAnsi="Arial" w:cs="Arial"/>
          <w:b/>
          <w:bCs/>
          <w:iCs/>
          <w:sz w:val="18"/>
        </w:rPr>
      </w:pPr>
    </w:p>
    <w:p w14:paraId="4E3BBEB5" w14:textId="507C9C7B" w:rsidR="009C6735" w:rsidRDefault="009C6735" w:rsidP="004A09D7">
      <w:pPr>
        <w:pStyle w:val="Body"/>
        <w:spacing w:after="0"/>
        <w:rPr>
          <w:rFonts w:ascii="Arial" w:hAnsi="Arial" w:cs="Arial"/>
          <w:b/>
          <w:bCs/>
          <w:iCs/>
          <w:sz w:val="18"/>
        </w:rPr>
      </w:pPr>
      <w:r>
        <w:rPr>
          <w:rFonts w:ascii="Arial" w:hAnsi="Arial" w:cs="Arial"/>
          <w:b/>
          <w:bCs/>
          <w:iCs/>
          <w:sz w:val="18"/>
        </w:rPr>
        <w:t>List 1-</w:t>
      </w:r>
      <w:r w:rsidR="00996413">
        <w:rPr>
          <w:rFonts w:ascii="Arial" w:hAnsi="Arial" w:cs="Arial"/>
          <w:b/>
          <w:bCs/>
          <w:iCs/>
          <w:sz w:val="18"/>
        </w:rPr>
        <w:t xml:space="preserve"> </w:t>
      </w:r>
      <w:r w:rsidR="00996413" w:rsidRPr="00996413">
        <w:rPr>
          <w:rFonts w:ascii="Arial" w:hAnsi="Arial" w:cs="Arial"/>
          <w:b/>
          <w:bCs/>
          <w:iCs/>
          <w:sz w:val="18"/>
        </w:rPr>
        <w:t>Comparative Review of Related Studies</w:t>
      </w:r>
    </w:p>
    <w:p w14:paraId="5BF93241" w14:textId="5638705F"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2.3 Research Gap</w:t>
      </w:r>
    </w:p>
    <w:p w14:paraId="0209BF82"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Although the relationship between governance and economic growth has been widely examined, several gaps remain. First, much of the existing literature has concentrated either on single-country analyses (e.g., Egypt, Pakistan, Zimbabwe) or on regional groupings (e.g., Sub-Saharan Africa, Asia-Pacific, East Africa), with limited attention given to systematic cross-country comparisons of developed and upper-middle-income economies. This is crucial because, as per the World Bank classification, upper-middle-income countries constitute a distinct group that often exhibits transitional institutional structures, more advanced than low-income economies but still vulnerable to governance inefficiencies. Yet, empirical evidence on this group remains sparse.</w:t>
      </w:r>
    </w:p>
    <w:p w14:paraId="4B04942D"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Second, previous findings are often inconsistent or contradictory. While some studies report that political stability and control of corruption stimulate growth, others observe negative or insignificant effects. These mixed results are partly attributable to differences in datasets, sample composition, and </w:t>
      </w:r>
      <w:r w:rsidRPr="004A09D7">
        <w:rPr>
          <w:rFonts w:ascii="Arial" w:hAnsi="Arial" w:cs="Arial"/>
          <w:iCs/>
          <w:sz w:val="18"/>
        </w:rPr>
        <w:lastRenderedPageBreak/>
        <w:t>econometric techniques. For instance, many earlier works employed pooled OLS, fixed effects, or cross-sectional regressions, which are prone to bias due to endogeneity. Comparatively fewer studies have adopted advanced dynamic models such as the generalized method of moments (GMM) or system GMM that can better address such econometric challenges.</w:t>
      </w:r>
    </w:p>
    <w:p w14:paraId="09B553CD"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Finally, the interaction between governance quality and key macroeconomic variables (such as inflation, interest rates, and education expenditure) remains underexplored. Existing studies tend to examine governance indicators in isolation, without fully integrating into how they interact with the broader macroeconomic environment, particularly in upper-middle-income countries.</w:t>
      </w:r>
    </w:p>
    <w:p w14:paraId="0C5C949A" w14:textId="77777777" w:rsidR="004A09D7" w:rsidRPr="004A09D7" w:rsidRDefault="004A09D7" w:rsidP="004A09D7">
      <w:pPr>
        <w:pStyle w:val="Body"/>
        <w:spacing w:after="0"/>
        <w:rPr>
          <w:rFonts w:ascii="Arial" w:hAnsi="Arial" w:cs="Arial"/>
          <w:iCs/>
          <w:sz w:val="18"/>
        </w:rPr>
      </w:pPr>
    </w:p>
    <w:p w14:paraId="56BD831A"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2.4 Research Objectives</w:t>
      </w:r>
    </w:p>
    <w:p w14:paraId="3F5B6E43"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Based on these gaps, the present study pursues the following objectives:</w:t>
      </w:r>
    </w:p>
    <w:p w14:paraId="31A1D6CF" w14:textId="77777777" w:rsidR="004A09D7" w:rsidRPr="004A09D7" w:rsidRDefault="004A09D7" w:rsidP="004A09D7">
      <w:pPr>
        <w:pStyle w:val="Body"/>
        <w:numPr>
          <w:ilvl w:val="0"/>
          <w:numId w:val="42"/>
        </w:numPr>
        <w:spacing w:after="0"/>
        <w:rPr>
          <w:rFonts w:ascii="Arial" w:hAnsi="Arial" w:cs="Arial"/>
          <w:iCs/>
          <w:sz w:val="18"/>
        </w:rPr>
      </w:pPr>
      <w:r w:rsidRPr="004A09D7">
        <w:rPr>
          <w:rFonts w:ascii="Arial" w:hAnsi="Arial" w:cs="Arial"/>
          <w:iCs/>
          <w:sz w:val="18"/>
        </w:rPr>
        <w:t>To empirically examine the impact of governance indicators, including control of corruption, government effectiveness, political stability, regulatory quality, rule of law, and voice and accountability on economic growth in upper-middle-income countries as classified by the World Bank.</w:t>
      </w:r>
    </w:p>
    <w:p w14:paraId="28BA8E34" w14:textId="77777777" w:rsidR="004A09D7" w:rsidRPr="004A09D7" w:rsidRDefault="004A09D7" w:rsidP="004A09D7">
      <w:pPr>
        <w:pStyle w:val="Body"/>
        <w:numPr>
          <w:ilvl w:val="0"/>
          <w:numId w:val="42"/>
        </w:numPr>
        <w:spacing w:after="0"/>
        <w:rPr>
          <w:rFonts w:ascii="Arial" w:hAnsi="Arial" w:cs="Arial"/>
          <w:iCs/>
          <w:sz w:val="18"/>
        </w:rPr>
      </w:pPr>
      <w:r w:rsidRPr="004A09D7">
        <w:rPr>
          <w:rFonts w:ascii="Arial" w:hAnsi="Arial" w:cs="Arial"/>
          <w:iCs/>
          <w:sz w:val="18"/>
        </w:rPr>
        <w:t>To compare the outcomes of traditional panel models (pooled OLS, fixed effects, and random effects) with advanced dynamic techniques (difference GMM and system GMM) to address potential endogeneity and provide more robust evidence on the governance–growth relationship.</w:t>
      </w:r>
    </w:p>
    <w:p w14:paraId="17EE33EA" w14:textId="77777777" w:rsidR="004A09D7" w:rsidRPr="004A09D7" w:rsidRDefault="004A09D7" w:rsidP="004A09D7">
      <w:pPr>
        <w:pStyle w:val="Body"/>
        <w:numPr>
          <w:ilvl w:val="0"/>
          <w:numId w:val="42"/>
        </w:numPr>
        <w:spacing w:after="0"/>
        <w:rPr>
          <w:rFonts w:ascii="Arial" w:hAnsi="Arial" w:cs="Arial"/>
          <w:iCs/>
          <w:sz w:val="18"/>
        </w:rPr>
      </w:pPr>
      <w:r w:rsidRPr="004A09D7">
        <w:rPr>
          <w:rFonts w:ascii="Arial" w:hAnsi="Arial" w:cs="Arial"/>
          <w:iCs/>
          <w:sz w:val="18"/>
        </w:rPr>
        <w:t>To provide evidence on whether governance exerts direct or indirect effects on growth once key macroeconomic variables such as inflation, GDP growth, interest rates, and education expenditure are controlled for.</w:t>
      </w:r>
    </w:p>
    <w:p w14:paraId="284A5560" w14:textId="77777777" w:rsidR="004A09D7" w:rsidRPr="004A09D7" w:rsidRDefault="004A09D7" w:rsidP="004A09D7">
      <w:pPr>
        <w:pStyle w:val="Body"/>
        <w:numPr>
          <w:ilvl w:val="0"/>
          <w:numId w:val="42"/>
        </w:numPr>
        <w:spacing w:after="0"/>
        <w:rPr>
          <w:rFonts w:ascii="Arial" w:hAnsi="Arial" w:cs="Arial"/>
          <w:iCs/>
          <w:sz w:val="18"/>
        </w:rPr>
      </w:pPr>
      <w:r w:rsidRPr="004A09D7">
        <w:rPr>
          <w:rFonts w:ascii="Arial" w:hAnsi="Arial" w:cs="Arial"/>
          <w:iCs/>
          <w:sz w:val="18"/>
        </w:rPr>
        <w:t>To contribute to policy debate by identifying which dimensions of governance are most critical for sustaining long-term growth in developed economies.</w:t>
      </w:r>
    </w:p>
    <w:p w14:paraId="46BA14A6" w14:textId="77777777" w:rsidR="004A09D7" w:rsidRPr="004A09D7" w:rsidRDefault="004A09D7" w:rsidP="004A09D7">
      <w:pPr>
        <w:pStyle w:val="Body"/>
        <w:spacing w:after="0"/>
        <w:rPr>
          <w:rFonts w:ascii="Arial" w:hAnsi="Arial" w:cs="Arial"/>
          <w:iCs/>
          <w:sz w:val="18"/>
        </w:rPr>
      </w:pPr>
    </w:p>
    <w:p w14:paraId="6BB6F6CC" w14:textId="77777777" w:rsidR="004A09D7" w:rsidRPr="004A09D7" w:rsidRDefault="004A09D7" w:rsidP="004A09D7">
      <w:pPr>
        <w:pStyle w:val="Body"/>
        <w:spacing w:after="0"/>
        <w:rPr>
          <w:rFonts w:ascii="Arial" w:hAnsi="Arial" w:cs="Arial"/>
          <w:iCs/>
          <w:sz w:val="18"/>
        </w:rPr>
      </w:pPr>
    </w:p>
    <w:p w14:paraId="6526EFC9"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3. DATA AND METHODOLOGY</w:t>
      </w:r>
    </w:p>
    <w:p w14:paraId="21C9DFA4" w14:textId="77777777" w:rsidR="004A09D7" w:rsidRPr="004A09D7" w:rsidRDefault="004A09D7" w:rsidP="004A09D7">
      <w:pPr>
        <w:pStyle w:val="Body"/>
        <w:spacing w:after="0"/>
        <w:rPr>
          <w:rFonts w:ascii="Arial" w:hAnsi="Arial" w:cs="Arial"/>
          <w:b/>
          <w:bCs/>
          <w:iCs/>
          <w:sz w:val="18"/>
        </w:rPr>
      </w:pPr>
    </w:p>
    <w:p w14:paraId="58956673"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3.1 Data Source and Sample Selection</w:t>
      </w:r>
    </w:p>
    <w:p w14:paraId="76883BBE" w14:textId="4D9C879F"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The empirical analysis is based on a panel of 30 upper-middle-income economies observed annually from 1996 to 2023. The initial universe of countries was defined according to the World Bank's classification of 54 upper-middle-income economies. However, due to constraints in data availability and consistency for the entire study period, the final sample was restricted to 30 countries for which complete data on all variables were obtainable. The definitions, measurements, and sources of all variables used in the analysis are summarized in Table </w:t>
      </w:r>
      <w:r w:rsidR="00FD38B8">
        <w:rPr>
          <w:rFonts w:ascii="Arial" w:hAnsi="Arial" w:cs="Arial"/>
          <w:iCs/>
          <w:sz w:val="18"/>
        </w:rPr>
        <w:t>1</w:t>
      </w:r>
      <w:r w:rsidRPr="004A09D7">
        <w:rPr>
          <w:rFonts w:ascii="Arial" w:hAnsi="Arial" w:cs="Arial"/>
          <w:iCs/>
          <w:sz w:val="18"/>
        </w:rPr>
        <w:t>.</w:t>
      </w:r>
    </w:p>
    <w:p w14:paraId="6368CC6D" w14:textId="57268A50" w:rsidR="004A09D7" w:rsidRPr="004A09D7" w:rsidRDefault="004A09D7" w:rsidP="004A09D7">
      <w:pPr>
        <w:pStyle w:val="Body"/>
        <w:spacing w:after="0"/>
        <w:rPr>
          <w:rFonts w:ascii="Arial" w:hAnsi="Arial" w:cs="Arial"/>
          <w:b/>
          <w:bCs/>
          <w:iCs/>
          <w:sz w:val="18"/>
          <w:lang w:val="en-IN"/>
        </w:rPr>
      </w:pPr>
      <w:r w:rsidRPr="004A09D7">
        <w:rPr>
          <w:rFonts w:ascii="Arial" w:hAnsi="Arial" w:cs="Arial"/>
          <w:b/>
          <w:bCs/>
          <w:iCs/>
          <w:sz w:val="18"/>
          <w:lang w:val="en-IN"/>
        </w:rPr>
        <w:t xml:space="preserve">Table </w:t>
      </w:r>
      <w:r w:rsidR="00FD38B8">
        <w:rPr>
          <w:rFonts w:ascii="Arial" w:hAnsi="Arial" w:cs="Arial"/>
          <w:b/>
          <w:bCs/>
          <w:iCs/>
          <w:sz w:val="18"/>
          <w:lang w:val="en-IN"/>
        </w:rPr>
        <w:t>1</w:t>
      </w:r>
      <w:r w:rsidRPr="004A09D7">
        <w:rPr>
          <w:rFonts w:ascii="Arial" w:hAnsi="Arial" w:cs="Arial"/>
          <w:b/>
          <w:bCs/>
          <w:iCs/>
          <w:sz w:val="18"/>
          <w:lang w:val="en-IN"/>
        </w:rPr>
        <w:t xml:space="preserve">. </w:t>
      </w:r>
      <w:r w:rsidRPr="004A09D7">
        <w:rPr>
          <w:rFonts w:ascii="Arial" w:hAnsi="Arial" w:cs="Arial"/>
          <w:b/>
          <w:bCs/>
          <w:iCs/>
          <w:sz w:val="18"/>
        </w:rPr>
        <w:t>Definition of Variables, Measurement Units, and Data Sources (Annual Frequency)</w:t>
      </w:r>
    </w:p>
    <w:tbl>
      <w:tblPr>
        <w:tblStyle w:val="TableGrid"/>
        <w:tblW w:w="0" w:type="auto"/>
        <w:jc w:val="center"/>
        <w:tblLook w:val="04A0" w:firstRow="1" w:lastRow="0" w:firstColumn="1" w:lastColumn="0" w:noHBand="0" w:noVBand="1"/>
      </w:tblPr>
      <w:tblGrid>
        <w:gridCol w:w="2335"/>
        <w:gridCol w:w="3652"/>
        <w:gridCol w:w="1610"/>
        <w:gridCol w:w="827"/>
      </w:tblGrid>
      <w:tr w:rsidR="004A09D7" w:rsidRPr="004A09D7" w14:paraId="6BE03EF9" w14:textId="77777777" w:rsidTr="004A09D7">
        <w:trPr>
          <w:jc w:val="center"/>
        </w:trPr>
        <w:tc>
          <w:tcPr>
            <w:tcW w:w="0" w:type="auto"/>
            <w:gridSpan w:val="4"/>
            <w:vAlign w:val="center"/>
          </w:tcPr>
          <w:p w14:paraId="46775AB9" w14:textId="77777777" w:rsidR="004A09D7" w:rsidRPr="004A09D7" w:rsidRDefault="004A09D7" w:rsidP="004A09D7">
            <w:pPr>
              <w:pStyle w:val="Body"/>
              <w:spacing w:after="0"/>
              <w:jc w:val="left"/>
              <w:rPr>
                <w:rFonts w:ascii="Arial" w:eastAsia="Times New Roman" w:hAnsi="Arial" w:cs="Arial"/>
                <w:b/>
                <w:bCs/>
                <w:iCs/>
                <w:sz w:val="18"/>
                <w:lang w:val="en-IN"/>
              </w:rPr>
            </w:pPr>
            <w:r w:rsidRPr="004A09D7">
              <w:rPr>
                <w:rFonts w:ascii="Arial" w:eastAsia="Times New Roman" w:hAnsi="Arial" w:cs="Arial"/>
                <w:b/>
                <w:bCs/>
                <w:iCs/>
                <w:sz w:val="18"/>
                <w:lang w:val="en-IN"/>
              </w:rPr>
              <w:t>Dependent Variable</w:t>
            </w:r>
          </w:p>
        </w:tc>
      </w:tr>
      <w:tr w:rsidR="004A09D7" w:rsidRPr="004A09D7" w14:paraId="03C9D5E6" w14:textId="77777777" w:rsidTr="004A09D7">
        <w:trPr>
          <w:jc w:val="center"/>
        </w:trPr>
        <w:tc>
          <w:tcPr>
            <w:tcW w:w="2335" w:type="dxa"/>
            <w:vAlign w:val="center"/>
          </w:tcPr>
          <w:p w14:paraId="14DCD982" w14:textId="77777777" w:rsidR="004A09D7" w:rsidRPr="004A09D7" w:rsidRDefault="004A09D7" w:rsidP="004A09D7">
            <w:pPr>
              <w:pStyle w:val="Body"/>
              <w:spacing w:after="0"/>
              <w:jc w:val="center"/>
              <w:rPr>
                <w:rFonts w:ascii="Arial" w:eastAsia="Times New Roman" w:hAnsi="Arial" w:cs="Arial"/>
                <w:b/>
                <w:bCs/>
                <w:iCs/>
                <w:sz w:val="18"/>
                <w:lang w:val="en-IN"/>
              </w:rPr>
            </w:pPr>
            <w:r w:rsidRPr="004A09D7">
              <w:rPr>
                <w:rFonts w:ascii="Arial" w:eastAsia="Times New Roman" w:hAnsi="Arial" w:cs="Arial"/>
                <w:b/>
                <w:bCs/>
                <w:iCs/>
                <w:sz w:val="18"/>
                <w:lang w:val="en-IN"/>
              </w:rPr>
              <w:t>Variable</w:t>
            </w:r>
          </w:p>
        </w:tc>
        <w:tc>
          <w:tcPr>
            <w:tcW w:w="3652" w:type="dxa"/>
            <w:vAlign w:val="center"/>
          </w:tcPr>
          <w:p w14:paraId="77911E39" w14:textId="77777777" w:rsidR="004A09D7" w:rsidRPr="004A09D7" w:rsidRDefault="004A09D7" w:rsidP="004A09D7">
            <w:pPr>
              <w:pStyle w:val="Body"/>
              <w:spacing w:after="0"/>
              <w:jc w:val="center"/>
              <w:rPr>
                <w:rFonts w:ascii="Arial" w:eastAsia="Times New Roman" w:hAnsi="Arial" w:cs="Arial"/>
                <w:b/>
                <w:bCs/>
                <w:iCs/>
                <w:sz w:val="18"/>
                <w:lang w:val="en-IN"/>
              </w:rPr>
            </w:pPr>
            <w:r w:rsidRPr="004A09D7">
              <w:rPr>
                <w:rFonts w:ascii="Arial" w:eastAsia="Times New Roman" w:hAnsi="Arial" w:cs="Arial"/>
                <w:b/>
                <w:bCs/>
                <w:iCs/>
                <w:sz w:val="18"/>
                <w:lang w:val="en-IN"/>
              </w:rPr>
              <w:t>Description</w:t>
            </w:r>
          </w:p>
        </w:tc>
        <w:tc>
          <w:tcPr>
            <w:tcW w:w="0" w:type="auto"/>
            <w:vAlign w:val="center"/>
          </w:tcPr>
          <w:p w14:paraId="15417449" w14:textId="77777777" w:rsidR="004A09D7" w:rsidRPr="004A09D7" w:rsidRDefault="004A09D7" w:rsidP="004A09D7">
            <w:pPr>
              <w:pStyle w:val="Body"/>
              <w:spacing w:after="0"/>
              <w:jc w:val="center"/>
              <w:rPr>
                <w:rFonts w:ascii="Arial" w:eastAsia="Times New Roman" w:hAnsi="Arial" w:cs="Arial"/>
                <w:b/>
                <w:bCs/>
                <w:iCs/>
                <w:sz w:val="18"/>
                <w:lang w:val="en-IN"/>
              </w:rPr>
            </w:pPr>
            <w:r w:rsidRPr="004A09D7">
              <w:rPr>
                <w:rFonts w:ascii="Arial" w:eastAsia="Times New Roman" w:hAnsi="Arial" w:cs="Arial"/>
                <w:b/>
                <w:bCs/>
                <w:iCs/>
                <w:sz w:val="18"/>
                <w:lang w:val="en-IN"/>
              </w:rPr>
              <w:t>Units</w:t>
            </w:r>
          </w:p>
        </w:tc>
        <w:tc>
          <w:tcPr>
            <w:tcW w:w="0" w:type="auto"/>
            <w:vAlign w:val="center"/>
          </w:tcPr>
          <w:p w14:paraId="0B16C680" w14:textId="77777777" w:rsidR="004A09D7" w:rsidRPr="004A09D7" w:rsidRDefault="004A09D7" w:rsidP="004A09D7">
            <w:pPr>
              <w:pStyle w:val="Body"/>
              <w:spacing w:after="0"/>
              <w:jc w:val="center"/>
              <w:rPr>
                <w:rFonts w:ascii="Arial" w:eastAsia="Times New Roman" w:hAnsi="Arial" w:cs="Arial"/>
                <w:b/>
                <w:bCs/>
                <w:iCs/>
                <w:sz w:val="18"/>
                <w:lang w:val="en-IN"/>
              </w:rPr>
            </w:pPr>
            <w:r w:rsidRPr="004A09D7">
              <w:rPr>
                <w:rFonts w:ascii="Arial" w:eastAsia="Times New Roman" w:hAnsi="Arial" w:cs="Arial"/>
                <w:b/>
                <w:bCs/>
                <w:iCs/>
                <w:sz w:val="18"/>
                <w:lang w:val="en-IN"/>
              </w:rPr>
              <w:t>Source</w:t>
            </w:r>
          </w:p>
        </w:tc>
      </w:tr>
      <w:tr w:rsidR="004A09D7" w:rsidRPr="004A09D7" w14:paraId="4167BD0F" w14:textId="77777777" w:rsidTr="004A09D7">
        <w:trPr>
          <w:jc w:val="center"/>
        </w:trPr>
        <w:tc>
          <w:tcPr>
            <w:tcW w:w="2335" w:type="dxa"/>
            <w:vAlign w:val="center"/>
          </w:tcPr>
          <w:p w14:paraId="711F9146" w14:textId="77777777" w:rsidR="004A09D7" w:rsidRPr="004A09D7" w:rsidRDefault="004A09D7" w:rsidP="004A09D7">
            <w:pPr>
              <w:pStyle w:val="Body"/>
              <w:spacing w:after="0"/>
              <w:jc w:val="center"/>
              <w:rPr>
                <w:rFonts w:ascii="Arial" w:eastAsia="Times New Roman" w:hAnsi="Arial" w:cs="Arial"/>
                <w:iCs/>
                <w:sz w:val="18"/>
                <w:lang w:val="en-IN"/>
              </w:rPr>
            </w:pPr>
            <w:proofErr w:type="spellStart"/>
            <w:r w:rsidRPr="004A09D7">
              <w:rPr>
                <w:rFonts w:ascii="Arial" w:eastAsia="Times New Roman" w:hAnsi="Arial" w:cs="Arial"/>
                <w:iCs/>
                <w:sz w:val="18"/>
              </w:rPr>
              <w:t>logGDP</w:t>
            </w:r>
            <w:proofErr w:type="spellEnd"/>
          </w:p>
        </w:tc>
        <w:tc>
          <w:tcPr>
            <w:tcW w:w="3652" w:type="dxa"/>
            <w:vAlign w:val="center"/>
          </w:tcPr>
          <w:p w14:paraId="63151786"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Economic Growth (Measured as GDP per capita)</w:t>
            </w:r>
          </w:p>
        </w:tc>
        <w:tc>
          <w:tcPr>
            <w:tcW w:w="0" w:type="auto"/>
            <w:vAlign w:val="center"/>
          </w:tcPr>
          <w:p w14:paraId="3B345B81" w14:textId="4F3C10BD"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 xml:space="preserve">Logarithm of GDP per capita </w:t>
            </w:r>
            <w:r w:rsidRPr="004A09D7">
              <w:rPr>
                <w:rFonts w:ascii="Arial" w:eastAsia="Times New Roman" w:hAnsi="Arial" w:cs="Arial"/>
                <w:iCs/>
                <w:sz w:val="18"/>
                <w:lang w:val="en-IN"/>
              </w:rPr>
              <w:t>(reference year 2015 in USD).</w:t>
            </w:r>
          </w:p>
        </w:tc>
        <w:tc>
          <w:tcPr>
            <w:tcW w:w="0" w:type="auto"/>
            <w:vAlign w:val="center"/>
          </w:tcPr>
          <w:p w14:paraId="62A725F3"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WDI</w:t>
            </w:r>
            <w:r w:rsidRPr="004A09D7">
              <w:rPr>
                <w:rFonts w:ascii="Arial" w:eastAsia="Times New Roman" w:hAnsi="Arial" w:cs="Arial"/>
                <w:iCs/>
                <w:sz w:val="18"/>
                <w:vertAlign w:val="superscript"/>
                <w:lang w:val="en-IN"/>
              </w:rPr>
              <w:footnoteReference w:id="1"/>
            </w:r>
          </w:p>
        </w:tc>
      </w:tr>
      <w:tr w:rsidR="004A09D7" w:rsidRPr="004A09D7" w14:paraId="2182BFD7" w14:textId="77777777" w:rsidTr="004A09D7">
        <w:trPr>
          <w:jc w:val="center"/>
        </w:trPr>
        <w:tc>
          <w:tcPr>
            <w:tcW w:w="0" w:type="auto"/>
            <w:gridSpan w:val="4"/>
            <w:vAlign w:val="center"/>
          </w:tcPr>
          <w:p w14:paraId="43CCC3DD" w14:textId="77777777" w:rsidR="004A09D7" w:rsidRPr="004A09D7" w:rsidRDefault="004A09D7" w:rsidP="004A09D7">
            <w:pPr>
              <w:pStyle w:val="Body"/>
              <w:spacing w:after="0"/>
              <w:jc w:val="left"/>
              <w:rPr>
                <w:rFonts w:ascii="Arial" w:eastAsia="Times New Roman" w:hAnsi="Arial" w:cs="Arial"/>
                <w:iCs/>
                <w:sz w:val="18"/>
                <w:lang w:val="en-IN"/>
              </w:rPr>
            </w:pPr>
            <w:r w:rsidRPr="004A09D7">
              <w:rPr>
                <w:rFonts w:ascii="Arial" w:eastAsia="Times New Roman" w:hAnsi="Arial" w:cs="Arial"/>
                <w:b/>
                <w:bCs/>
                <w:iCs/>
                <w:sz w:val="18"/>
                <w:lang w:val="en-IN"/>
              </w:rPr>
              <w:t>Independent Variables</w:t>
            </w:r>
          </w:p>
        </w:tc>
      </w:tr>
      <w:tr w:rsidR="004A09D7" w:rsidRPr="004A09D7" w14:paraId="29D3F02E" w14:textId="77777777" w:rsidTr="004A09D7">
        <w:trPr>
          <w:jc w:val="center"/>
        </w:trPr>
        <w:tc>
          <w:tcPr>
            <w:tcW w:w="2335" w:type="dxa"/>
            <w:vAlign w:val="center"/>
          </w:tcPr>
          <w:p w14:paraId="30066AAE"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CC (</w:t>
            </w:r>
            <w:r w:rsidRPr="004A09D7">
              <w:rPr>
                <w:rFonts w:ascii="Arial" w:eastAsia="Times New Roman" w:hAnsi="Arial" w:cs="Arial"/>
                <w:iCs/>
                <w:sz w:val="18"/>
              </w:rPr>
              <w:t>Control of Corruption)</w:t>
            </w:r>
          </w:p>
        </w:tc>
        <w:tc>
          <w:tcPr>
            <w:tcW w:w="3652" w:type="dxa"/>
            <w:vAlign w:val="center"/>
          </w:tcPr>
          <w:p w14:paraId="01376B4F" w14:textId="4E5B136D"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Perceptions of public power being used for private gain, including both petty and grand corruption.</w:t>
            </w:r>
          </w:p>
        </w:tc>
        <w:tc>
          <w:tcPr>
            <w:tcW w:w="0" w:type="auto"/>
            <w:vAlign w:val="center"/>
          </w:tcPr>
          <w:p w14:paraId="461C5DDC"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Measured on a standardized scale from approximately -2.5 (weak) to 2.5 (strong).</w:t>
            </w:r>
          </w:p>
        </w:tc>
        <w:tc>
          <w:tcPr>
            <w:tcW w:w="0" w:type="auto"/>
            <w:vAlign w:val="center"/>
          </w:tcPr>
          <w:p w14:paraId="4949A88C"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WGI</w:t>
            </w:r>
            <w:r w:rsidRPr="004A09D7">
              <w:rPr>
                <w:rFonts w:ascii="Arial" w:eastAsia="Times New Roman" w:hAnsi="Arial" w:cs="Arial"/>
                <w:iCs/>
                <w:sz w:val="18"/>
                <w:vertAlign w:val="superscript"/>
                <w:lang w:val="en-IN"/>
              </w:rPr>
              <w:footnoteReference w:id="2"/>
            </w:r>
          </w:p>
        </w:tc>
      </w:tr>
      <w:tr w:rsidR="004A09D7" w:rsidRPr="004A09D7" w14:paraId="2918AE65" w14:textId="77777777" w:rsidTr="004A09D7">
        <w:trPr>
          <w:jc w:val="center"/>
        </w:trPr>
        <w:tc>
          <w:tcPr>
            <w:tcW w:w="2335" w:type="dxa"/>
            <w:vAlign w:val="center"/>
          </w:tcPr>
          <w:p w14:paraId="42B1EF13"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GE (</w:t>
            </w:r>
            <w:r w:rsidRPr="004A09D7">
              <w:rPr>
                <w:rFonts w:ascii="Arial" w:eastAsia="Times New Roman" w:hAnsi="Arial" w:cs="Arial"/>
                <w:iCs/>
                <w:sz w:val="18"/>
              </w:rPr>
              <w:t>Government Effectiveness)</w:t>
            </w:r>
          </w:p>
        </w:tc>
        <w:tc>
          <w:tcPr>
            <w:tcW w:w="3652" w:type="dxa"/>
            <w:vAlign w:val="center"/>
          </w:tcPr>
          <w:p w14:paraId="3F2D87FD" w14:textId="1705249A"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Perceptions of the quality of public services, civil service, policy formulation and implementation, and the government's credibility.</w:t>
            </w:r>
          </w:p>
        </w:tc>
        <w:tc>
          <w:tcPr>
            <w:tcW w:w="0" w:type="auto"/>
            <w:vAlign w:val="center"/>
          </w:tcPr>
          <w:p w14:paraId="50C6D7D1"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Measured on a standardized scale from approximately -2.5 (low) to 2.5 (high).</w:t>
            </w:r>
          </w:p>
        </w:tc>
        <w:tc>
          <w:tcPr>
            <w:tcW w:w="0" w:type="auto"/>
            <w:vAlign w:val="center"/>
          </w:tcPr>
          <w:p w14:paraId="77523DC5"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WGI</w:t>
            </w:r>
          </w:p>
        </w:tc>
      </w:tr>
      <w:tr w:rsidR="004A09D7" w:rsidRPr="004A09D7" w14:paraId="7BB6CD96" w14:textId="77777777" w:rsidTr="004A09D7">
        <w:trPr>
          <w:jc w:val="center"/>
        </w:trPr>
        <w:tc>
          <w:tcPr>
            <w:tcW w:w="2335" w:type="dxa"/>
            <w:vAlign w:val="center"/>
          </w:tcPr>
          <w:p w14:paraId="32E72E09"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PS (</w:t>
            </w:r>
            <w:r w:rsidRPr="004A09D7">
              <w:rPr>
                <w:rFonts w:ascii="Arial" w:eastAsia="Times New Roman" w:hAnsi="Arial" w:cs="Arial"/>
                <w:iCs/>
                <w:sz w:val="18"/>
              </w:rPr>
              <w:t xml:space="preserve">Political Stability and </w:t>
            </w:r>
            <w:r w:rsidRPr="004A09D7">
              <w:rPr>
                <w:rFonts w:ascii="Arial" w:eastAsia="Times New Roman" w:hAnsi="Arial" w:cs="Arial"/>
                <w:iCs/>
                <w:sz w:val="18"/>
              </w:rPr>
              <w:lastRenderedPageBreak/>
              <w:t>Absence of Violence/Terrorism)</w:t>
            </w:r>
          </w:p>
        </w:tc>
        <w:tc>
          <w:tcPr>
            <w:tcW w:w="3652" w:type="dxa"/>
            <w:vAlign w:val="center"/>
          </w:tcPr>
          <w:p w14:paraId="69DDE4D6" w14:textId="3B59DFEB"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lastRenderedPageBreak/>
              <w:t xml:space="preserve">Perceptions of the likelihood of political </w:t>
            </w:r>
            <w:r w:rsidRPr="004A09D7">
              <w:rPr>
                <w:rFonts w:ascii="Arial" w:eastAsia="Times New Roman" w:hAnsi="Arial" w:cs="Arial"/>
                <w:iCs/>
                <w:sz w:val="18"/>
              </w:rPr>
              <w:lastRenderedPageBreak/>
              <w:t>instability and/or politically motivated violence.</w:t>
            </w:r>
          </w:p>
        </w:tc>
        <w:tc>
          <w:tcPr>
            <w:tcW w:w="0" w:type="auto"/>
            <w:vAlign w:val="center"/>
          </w:tcPr>
          <w:p w14:paraId="00A0D038"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lastRenderedPageBreak/>
              <w:t xml:space="preserve">Measured on a </w:t>
            </w:r>
            <w:r w:rsidRPr="004A09D7">
              <w:rPr>
                <w:rFonts w:ascii="Arial" w:eastAsia="Times New Roman" w:hAnsi="Arial" w:cs="Arial"/>
                <w:iCs/>
                <w:sz w:val="18"/>
              </w:rPr>
              <w:lastRenderedPageBreak/>
              <w:t>standardized scale from approximately -2.5 (less stable) to 2.5 (more stable).</w:t>
            </w:r>
          </w:p>
        </w:tc>
        <w:tc>
          <w:tcPr>
            <w:tcW w:w="0" w:type="auto"/>
            <w:vAlign w:val="center"/>
          </w:tcPr>
          <w:p w14:paraId="3460AC17"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lastRenderedPageBreak/>
              <w:t>WGI</w:t>
            </w:r>
          </w:p>
        </w:tc>
      </w:tr>
      <w:tr w:rsidR="004A09D7" w:rsidRPr="004A09D7" w14:paraId="7C6E1FDF" w14:textId="77777777" w:rsidTr="004A09D7">
        <w:trPr>
          <w:jc w:val="center"/>
        </w:trPr>
        <w:tc>
          <w:tcPr>
            <w:tcW w:w="2335" w:type="dxa"/>
            <w:vAlign w:val="center"/>
          </w:tcPr>
          <w:p w14:paraId="2EF9FA07"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RQ (</w:t>
            </w:r>
            <w:r w:rsidRPr="004A09D7">
              <w:rPr>
                <w:rFonts w:ascii="Arial" w:eastAsia="Times New Roman" w:hAnsi="Arial" w:cs="Arial"/>
                <w:iCs/>
                <w:sz w:val="18"/>
              </w:rPr>
              <w:t>Regulatory Quality)</w:t>
            </w:r>
          </w:p>
        </w:tc>
        <w:tc>
          <w:tcPr>
            <w:tcW w:w="3652" w:type="dxa"/>
            <w:vAlign w:val="center"/>
          </w:tcPr>
          <w:p w14:paraId="46F9AA72" w14:textId="77777777" w:rsidR="004A09D7" w:rsidRPr="004A09D7" w:rsidRDefault="004A09D7" w:rsidP="004A09D7">
            <w:pPr>
              <w:pStyle w:val="Body"/>
              <w:spacing w:after="0"/>
              <w:jc w:val="center"/>
              <w:rPr>
                <w:rFonts w:ascii="Arial" w:eastAsia="Times New Roman" w:hAnsi="Arial" w:cs="Arial"/>
                <w:iCs/>
                <w:sz w:val="18"/>
              </w:rPr>
            </w:pPr>
            <w:r w:rsidRPr="004A09D7">
              <w:rPr>
                <w:rFonts w:ascii="Arial" w:eastAsia="Times New Roman" w:hAnsi="Arial" w:cs="Arial"/>
                <w:iCs/>
                <w:sz w:val="18"/>
              </w:rPr>
              <w:t>Perceptions of the government's ability to formulate and implement sound policies and regulations that promote private sector development.</w:t>
            </w:r>
          </w:p>
        </w:tc>
        <w:tc>
          <w:tcPr>
            <w:tcW w:w="0" w:type="auto"/>
            <w:vAlign w:val="center"/>
          </w:tcPr>
          <w:p w14:paraId="730CB153" w14:textId="77777777" w:rsidR="004A09D7" w:rsidRPr="004A09D7" w:rsidRDefault="004A09D7" w:rsidP="004A09D7">
            <w:pPr>
              <w:pStyle w:val="Body"/>
              <w:spacing w:after="0"/>
              <w:jc w:val="center"/>
              <w:rPr>
                <w:rFonts w:ascii="Arial" w:eastAsia="Times New Roman" w:hAnsi="Arial" w:cs="Arial"/>
                <w:iCs/>
                <w:sz w:val="18"/>
              </w:rPr>
            </w:pPr>
            <w:r w:rsidRPr="004A09D7">
              <w:rPr>
                <w:rFonts w:ascii="Arial" w:eastAsia="Times New Roman" w:hAnsi="Arial" w:cs="Arial"/>
                <w:iCs/>
                <w:sz w:val="18"/>
              </w:rPr>
              <w:t>Measured on a standardized scale from approximately -2.5 (low) to 2.5 (high).</w:t>
            </w:r>
          </w:p>
        </w:tc>
        <w:tc>
          <w:tcPr>
            <w:tcW w:w="0" w:type="auto"/>
            <w:vAlign w:val="center"/>
          </w:tcPr>
          <w:p w14:paraId="48FBBC28"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WGI</w:t>
            </w:r>
          </w:p>
        </w:tc>
      </w:tr>
      <w:tr w:rsidR="004A09D7" w:rsidRPr="004A09D7" w14:paraId="584216CA" w14:textId="77777777" w:rsidTr="004A09D7">
        <w:trPr>
          <w:jc w:val="center"/>
        </w:trPr>
        <w:tc>
          <w:tcPr>
            <w:tcW w:w="2335" w:type="dxa"/>
            <w:vAlign w:val="center"/>
          </w:tcPr>
          <w:p w14:paraId="27C9A9F2"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RL (</w:t>
            </w:r>
            <w:r w:rsidRPr="004A09D7">
              <w:rPr>
                <w:rFonts w:ascii="Arial" w:eastAsia="Times New Roman" w:hAnsi="Arial" w:cs="Arial"/>
                <w:iCs/>
                <w:sz w:val="18"/>
              </w:rPr>
              <w:t>Rule of Law)</w:t>
            </w:r>
          </w:p>
        </w:tc>
        <w:tc>
          <w:tcPr>
            <w:tcW w:w="3652" w:type="dxa"/>
            <w:vAlign w:val="center"/>
          </w:tcPr>
          <w:p w14:paraId="7E896D2C" w14:textId="01F0082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Perceptions of the extent to which rules of society are observed, including the quality of contract enforcement, property rights, police, and courts.</w:t>
            </w:r>
          </w:p>
        </w:tc>
        <w:tc>
          <w:tcPr>
            <w:tcW w:w="0" w:type="auto"/>
            <w:vAlign w:val="center"/>
          </w:tcPr>
          <w:p w14:paraId="792E1D07"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Measured on a standardized scale from approximately -2.5 (weak) to 2.5 (strong).</w:t>
            </w:r>
          </w:p>
        </w:tc>
        <w:tc>
          <w:tcPr>
            <w:tcW w:w="0" w:type="auto"/>
            <w:vAlign w:val="center"/>
          </w:tcPr>
          <w:p w14:paraId="791C930B"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WGI</w:t>
            </w:r>
          </w:p>
        </w:tc>
      </w:tr>
      <w:tr w:rsidR="004A09D7" w:rsidRPr="004A09D7" w14:paraId="162CC066" w14:textId="77777777" w:rsidTr="004A09D7">
        <w:trPr>
          <w:jc w:val="center"/>
        </w:trPr>
        <w:tc>
          <w:tcPr>
            <w:tcW w:w="2335" w:type="dxa"/>
            <w:vAlign w:val="center"/>
          </w:tcPr>
          <w:p w14:paraId="7A711EB8"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VA (</w:t>
            </w:r>
            <w:r w:rsidRPr="004A09D7">
              <w:rPr>
                <w:rFonts w:ascii="Arial" w:eastAsia="Times New Roman" w:hAnsi="Arial" w:cs="Arial"/>
                <w:iCs/>
                <w:sz w:val="18"/>
              </w:rPr>
              <w:t>Voice and Accountability)</w:t>
            </w:r>
          </w:p>
        </w:tc>
        <w:tc>
          <w:tcPr>
            <w:tcW w:w="3652" w:type="dxa"/>
            <w:vAlign w:val="center"/>
          </w:tcPr>
          <w:p w14:paraId="60B462CA" w14:textId="7075621C"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Perceptions of the extent to which citizens can participate in selecting their government, and enjoy freedom of expression, association, and media.</w:t>
            </w:r>
          </w:p>
        </w:tc>
        <w:tc>
          <w:tcPr>
            <w:tcW w:w="0" w:type="auto"/>
            <w:vAlign w:val="center"/>
          </w:tcPr>
          <w:p w14:paraId="033ED998"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rPr>
              <w:t>Measured on a standardized scale from approximately -2.5 (low) to 2.5 (high).</w:t>
            </w:r>
          </w:p>
        </w:tc>
        <w:tc>
          <w:tcPr>
            <w:tcW w:w="0" w:type="auto"/>
            <w:vAlign w:val="center"/>
          </w:tcPr>
          <w:p w14:paraId="1D2E5983"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WGI</w:t>
            </w:r>
          </w:p>
        </w:tc>
      </w:tr>
      <w:tr w:rsidR="004A09D7" w:rsidRPr="004A09D7" w14:paraId="518D5CEF" w14:textId="77777777" w:rsidTr="004A09D7">
        <w:trPr>
          <w:jc w:val="center"/>
        </w:trPr>
        <w:tc>
          <w:tcPr>
            <w:tcW w:w="0" w:type="auto"/>
            <w:gridSpan w:val="4"/>
            <w:vAlign w:val="center"/>
          </w:tcPr>
          <w:p w14:paraId="4DDDD050" w14:textId="77777777" w:rsidR="004A09D7" w:rsidRPr="004A09D7" w:rsidRDefault="004A09D7" w:rsidP="004A09D7">
            <w:pPr>
              <w:pStyle w:val="Body"/>
              <w:spacing w:after="0"/>
              <w:jc w:val="left"/>
              <w:rPr>
                <w:rFonts w:ascii="Arial" w:eastAsia="Times New Roman" w:hAnsi="Arial" w:cs="Arial"/>
                <w:iCs/>
                <w:sz w:val="18"/>
                <w:lang w:val="en-IN"/>
              </w:rPr>
            </w:pPr>
            <w:r w:rsidRPr="004A09D7">
              <w:rPr>
                <w:rFonts w:ascii="Arial" w:eastAsia="Times New Roman" w:hAnsi="Arial" w:cs="Arial"/>
                <w:b/>
                <w:bCs/>
                <w:iCs/>
                <w:sz w:val="18"/>
                <w:lang w:val="en-IN"/>
              </w:rPr>
              <w:t>Control Variables</w:t>
            </w:r>
          </w:p>
        </w:tc>
      </w:tr>
      <w:tr w:rsidR="004A09D7" w:rsidRPr="004A09D7" w14:paraId="2FB71A4E" w14:textId="77777777" w:rsidTr="004A09D7">
        <w:trPr>
          <w:jc w:val="center"/>
        </w:trPr>
        <w:tc>
          <w:tcPr>
            <w:tcW w:w="2335" w:type="dxa"/>
            <w:vAlign w:val="center"/>
          </w:tcPr>
          <w:p w14:paraId="37332ECA"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GGDP</w:t>
            </w:r>
          </w:p>
        </w:tc>
        <w:tc>
          <w:tcPr>
            <w:tcW w:w="3652" w:type="dxa"/>
            <w:vAlign w:val="center"/>
          </w:tcPr>
          <w:p w14:paraId="4196DFC9" w14:textId="77777777" w:rsidR="004A09D7" w:rsidRPr="004A09D7" w:rsidRDefault="004A09D7" w:rsidP="004A09D7">
            <w:pPr>
              <w:pStyle w:val="Body"/>
              <w:spacing w:after="0"/>
              <w:jc w:val="center"/>
              <w:rPr>
                <w:rFonts w:ascii="Arial" w:eastAsia="Times New Roman" w:hAnsi="Arial" w:cs="Arial"/>
                <w:iCs/>
                <w:sz w:val="18"/>
              </w:rPr>
            </w:pPr>
            <w:r w:rsidRPr="004A09D7">
              <w:rPr>
                <w:rFonts w:ascii="Arial" w:eastAsia="Times New Roman" w:hAnsi="Arial" w:cs="Arial"/>
                <w:iCs/>
                <w:sz w:val="18"/>
              </w:rPr>
              <w:t>GDP Growth</w:t>
            </w:r>
          </w:p>
        </w:tc>
        <w:tc>
          <w:tcPr>
            <w:tcW w:w="0" w:type="auto"/>
            <w:vAlign w:val="center"/>
          </w:tcPr>
          <w:p w14:paraId="54140B25" w14:textId="77777777" w:rsidR="004A09D7" w:rsidRPr="004A09D7" w:rsidRDefault="004A09D7" w:rsidP="004A09D7">
            <w:pPr>
              <w:pStyle w:val="Body"/>
              <w:spacing w:after="0"/>
              <w:jc w:val="center"/>
              <w:rPr>
                <w:rFonts w:ascii="Arial" w:eastAsia="Times New Roman" w:hAnsi="Arial" w:cs="Arial"/>
                <w:iCs/>
                <w:sz w:val="18"/>
              </w:rPr>
            </w:pPr>
            <w:r w:rsidRPr="004A09D7">
              <w:rPr>
                <w:rFonts w:ascii="Arial" w:eastAsia="Times New Roman" w:hAnsi="Arial" w:cs="Arial"/>
                <w:iCs/>
                <w:sz w:val="18"/>
              </w:rPr>
              <w:t>Annual percentage growth rate of GDP</w:t>
            </w:r>
          </w:p>
        </w:tc>
        <w:tc>
          <w:tcPr>
            <w:tcW w:w="0" w:type="auto"/>
            <w:vAlign w:val="center"/>
          </w:tcPr>
          <w:p w14:paraId="1FFC5E37"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WDI</w:t>
            </w:r>
          </w:p>
        </w:tc>
      </w:tr>
      <w:tr w:rsidR="004A09D7" w:rsidRPr="004A09D7" w14:paraId="64CA86C4" w14:textId="77777777" w:rsidTr="004A09D7">
        <w:trPr>
          <w:jc w:val="center"/>
        </w:trPr>
        <w:tc>
          <w:tcPr>
            <w:tcW w:w="2335" w:type="dxa"/>
            <w:vAlign w:val="center"/>
          </w:tcPr>
          <w:p w14:paraId="1E78F044"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INF</w:t>
            </w:r>
          </w:p>
        </w:tc>
        <w:tc>
          <w:tcPr>
            <w:tcW w:w="3652" w:type="dxa"/>
            <w:vAlign w:val="center"/>
          </w:tcPr>
          <w:p w14:paraId="20A61096" w14:textId="77777777" w:rsidR="004A09D7" w:rsidRPr="004A09D7" w:rsidRDefault="004A09D7" w:rsidP="004A09D7">
            <w:pPr>
              <w:pStyle w:val="Body"/>
              <w:spacing w:after="0"/>
              <w:jc w:val="center"/>
              <w:rPr>
                <w:rFonts w:ascii="Arial" w:eastAsia="Times New Roman" w:hAnsi="Arial" w:cs="Arial"/>
                <w:iCs/>
                <w:sz w:val="18"/>
              </w:rPr>
            </w:pPr>
            <w:r w:rsidRPr="004A09D7">
              <w:rPr>
                <w:rFonts w:ascii="Arial" w:eastAsia="Times New Roman" w:hAnsi="Arial" w:cs="Arial"/>
                <w:iCs/>
                <w:sz w:val="18"/>
              </w:rPr>
              <w:t>Inflation</w:t>
            </w:r>
          </w:p>
        </w:tc>
        <w:tc>
          <w:tcPr>
            <w:tcW w:w="0" w:type="auto"/>
            <w:vAlign w:val="center"/>
          </w:tcPr>
          <w:p w14:paraId="1DD70098" w14:textId="77777777" w:rsidR="004A09D7" w:rsidRPr="004A09D7" w:rsidRDefault="004A09D7" w:rsidP="004A09D7">
            <w:pPr>
              <w:pStyle w:val="Body"/>
              <w:spacing w:after="0"/>
              <w:jc w:val="center"/>
              <w:rPr>
                <w:rFonts w:ascii="Arial" w:eastAsia="Times New Roman" w:hAnsi="Arial" w:cs="Arial"/>
                <w:iCs/>
                <w:sz w:val="18"/>
              </w:rPr>
            </w:pPr>
            <w:r w:rsidRPr="004A09D7">
              <w:rPr>
                <w:rFonts w:ascii="Arial" w:eastAsia="Times New Roman" w:hAnsi="Arial" w:cs="Arial"/>
                <w:iCs/>
                <w:sz w:val="18"/>
              </w:rPr>
              <w:t>Annual percentage change in the consumer price index</w:t>
            </w:r>
          </w:p>
        </w:tc>
        <w:tc>
          <w:tcPr>
            <w:tcW w:w="0" w:type="auto"/>
            <w:vAlign w:val="center"/>
          </w:tcPr>
          <w:p w14:paraId="5C3E803D"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WDI</w:t>
            </w:r>
          </w:p>
        </w:tc>
      </w:tr>
      <w:tr w:rsidR="004A09D7" w:rsidRPr="004A09D7" w14:paraId="1C172F10" w14:textId="77777777" w:rsidTr="004A09D7">
        <w:trPr>
          <w:jc w:val="center"/>
        </w:trPr>
        <w:tc>
          <w:tcPr>
            <w:tcW w:w="2335" w:type="dxa"/>
            <w:vAlign w:val="center"/>
          </w:tcPr>
          <w:p w14:paraId="48A0E88A"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INR</w:t>
            </w:r>
          </w:p>
        </w:tc>
        <w:tc>
          <w:tcPr>
            <w:tcW w:w="3652" w:type="dxa"/>
            <w:vAlign w:val="center"/>
          </w:tcPr>
          <w:p w14:paraId="6005E014" w14:textId="77777777" w:rsidR="004A09D7" w:rsidRPr="004A09D7" w:rsidRDefault="004A09D7" w:rsidP="004A09D7">
            <w:pPr>
              <w:pStyle w:val="Body"/>
              <w:spacing w:after="0"/>
              <w:jc w:val="center"/>
              <w:rPr>
                <w:rFonts w:ascii="Arial" w:eastAsia="Times New Roman" w:hAnsi="Arial" w:cs="Arial"/>
                <w:iCs/>
                <w:sz w:val="18"/>
              </w:rPr>
            </w:pPr>
            <w:r w:rsidRPr="004A09D7">
              <w:rPr>
                <w:rFonts w:ascii="Arial" w:eastAsia="Times New Roman" w:hAnsi="Arial" w:cs="Arial"/>
                <w:iCs/>
                <w:sz w:val="18"/>
              </w:rPr>
              <w:t>The real interest rate is the lending interest rate adjusted for inflation as measured by the GDP deflator.</w:t>
            </w:r>
          </w:p>
        </w:tc>
        <w:tc>
          <w:tcPr>
            <w:tcW w:w="0" w:type="auto"/>
            <w:vAlign w:val="center"/>
          </w:tcPr>
          <w:p w14:paraId="5C725953" w14:textId="77777777" w:rsidR="004A09D7" w:rsidRPr="004A09D7" w:rsidRDefault="004A09D7" w:rsidP="004A09D7">
            <w:pPr>
              <w:pStyle w:val="Body"/>
              <w:spacing w:after="0"/>
              <w:jc w:val="center"/>
              <w:rPr>
                <w:rFonts w:ascii="Arial" w:eastAsia="Times New Roman" w:hAnsi="Arial" w:cs="Arial"/>
                <w:iCs/>
                <w:sz w:val="18"/>
              </w:rPr>
            </w:pPr>
            <w:r w:rsidRPr="004A09D7">
              <w:rPr>
                <w:rFonts w:ascii="Arial" w:eastAsia="Times New Roman" w:hAnsi="Arial" w:cs="Arial"/>
                <w:iCs/>
                <w:sz w:val="18"/>
              </w:rPr>
              <w:t>Expressed as a percentage.</w:t>
            </w:r>
          </w:p>
        </w:tc>
        <w:tc>
          <w:tcPr>
            <w:tcW w:w="0" w:type="auto"/>
            <w:vAlign w:val="center"/>
          </w:tcPr>
          <w:p w14:paraId="29D99ADF"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WDI</w:t>
            </w:r>
          </w:p>
        </w:tc>
      </w:tr>
      <w:tr w:rsidR="004A09D7" w:rsidRPr="004A09D7" w14:paraId="23C2A68F" w14:textId="77777777" w:rsidTr="004A09D7">
        <w:trPr>
          <w:jc w:val="center"/>
        </w:trPr>
        <w:tc>
          <w:tcPr>
            <w:tcW w:w="2335" w:type="dxa"/>
            <w:vAlign w:val="center"/>
          </w:tcPr>
          <w:p w14:paraId="40752851"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GEDU</w:t>
            </w:r>
          </w:p>
        </w:tc>
        <w:tc>
          <w:tcPr>
            <w:tcW w:w="3652" w:type="dxa"/>
            <w:vAlign w:val="center"/>
          </w:tcPr>
          <w:p w14:paraId="69988B68" w14:textId="6241B0E0" w:rsidR="004A09D7" w:rsidRPr="004A09D7" w:rsidRDefault="004A09D7" w:rsidP="004A09D7">
            <w:pPr>
              <w:pStyle w:val="Body"/>
              <w:spacing w:after="0"/>
              <w:jc w:val="center"/>
              <w:rPr>
                <w:rFonts w:ascii="Arial" w:eastAsia="Times New Roman" w:hAnsi="Arial" w:cs="Arial"/>
                <w:iCs/>
                <w:sz w:val="18"/>
              </w:rPr>
            </w:pPr>
            <w:r w:rsidRPr="004A09D7">
              <w:rPr>
                <w:rFonts w:ascii="Arial" w:eastAsia="Times New Roman" w:hAnsi="Arial" w:cs="Arial"/>
                <w:iCs/>
                <w:sz w:val="18"/>
              </w:rPr>
              <w:t>Total government spending on education (current, capital, and transfers)</w:t>
            </w:r>
          </w:p>
        </w:tc>
        <w:tc>
          <w:tcPr>
            <w:tcW w:w="0" w:type="auto"/>
            <w:vAlign w:val="center"/>
          </w:tcPr>
          <w:p w14:paraId="1C2908C6" w14:textId="77777777" w:rsidR="004A09D7" w:rsidRPr="004A09D7" w:rsidRDefault="004A09D7" w:rsidP="004A09D7">
            <w:pPr>
              <w:pStyle w:val="Body"/>
              <w:spacing w:after="0"/>
              <w:jc w:val="center"/>
              <w:rPr>
                <w:rFonts w:ascii="Arial" w:eastAsia="Times New Roman" w:hAnsi="Arial" w:cs="Arial"/>
                <w:iCs/>
                <w:sz w:val="18"/>
              </w:rPr>
            </w:pPr>
            <w:r w:rsidRPr="004A09D7">
              <w:rPr>
                <w:rFonts w:ascii="Arial" w:eastAsia="Times New Roman" w:hAnsi="Arial" w:cs="Arial"/>
                <w:iCs/>
                <w:sz w:val="18"/>
              </w:rPr>
              <w:t>Percentage of GDP.</w:t>
            </w:r>
          </w:p>
        </w:tc>
        <w:tc>
          <w:tcPr>
            <w:tcW w:w="0" w:type="auto"/>
            <w:vAlign w:val="center"/>
          </w:tcPr>
          <w:p w14:paraId="6D424E4C" w14:textId="77777777" w:rsidR="004A09D7" w:rsidRPr="004A09D7" w:rsidRDefault="004A09D7" w:rsidP="004A09D7">
            <w:pPr>
              <w:pStyle w:val="Body"/>
              <w:spacing w:after="0"/>
              <w:jc w:val="center"/>
              <w:rPr>
                <w:rFonts w:ascii="Arial" w:eastAsia="Times New Roman" w:hAnsi="Arial" w:cs="Arial"/>
                <w:iCs/>
                <w:sz w:val="18"/>
                <w:lang w:val="en-IN"/>
              </w:rPr>
            </w:pPr>
            <w:r w:rsidRPr="004A09D7">
              <w:rPr>
                <w:rFonts w:ascii="Arial" w:eastAsia="Times New Roman" w:hAnsi="Arial" w:cs="Arial"/>
                <w:iCs/>
                <w:sz w:val="18"/>
                <w:lang w:val="en-IN"/>
              </w:rPr>
              <w:t>WDI</w:t>
            </w:r>
          </w:p>
        </w:tc>
      </w:tr>
    </w:tbl>
    <w:p w14:paraId="7D7C739E" w14:textId="77777777" w:rsidR="004A09D7" w:rsidRPr="004A09D7" w:rsidRDefault="004A09D7" w:rsidP="004A09D7">
      <w:pPr>
        <w:pStyle w:val="Body"/>
        <w:spacing w:after="0"/>
        <w:rPr>
          <w:rFonts w:ascii="Arial" w:hAnsi="Arial" w:cs="Arial"/>
          <w:iCs/>
          <w:sz w:val="18"/>
        </w:rPr>
      </w:pPr>
    </w:p>
    <w:p w14:paraId="2A6C7307" w14:textId="77777777" w:rsidR="004A09D7" w:rsidRPr="004A09D7" w:rsidRDefault="004A09D7" w:rsidP="004A09D7">
      <w:pPr>
        <w:pStyle w:val="Body"/>
        <w:spacing w:after="0"/>
        <w:rPr>
          <w:rFonts w:ascii="Arial" w:hAnsi="Arial" w:cs="Arial"/>
          <w:iCs/>
          <w:sz w:val="18"/>
        </w:rPr>
      </w:pPr>
    </w:p>
    <w:p w14:paraId="1D85AC7C"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 xml:space="preserve">3.2 Econometric Modeling </w:t>
      </w:r>
    </w:p>
    <w:p w14:paraId="2C36DBD4" w14:textId="77777777" w:rsidR="004A09D7" w:rsidRPr="004A09D7" w:rsidRDefault="004A09D7" w:rsidP="004A09D7">
      <w:pPr>
        <w:pStyle w:val="Body"/>
        <w:spacing w:after="0"/>
        <w:rPr>
          <w:rFonts w:ascii="Arial" w:hAnsi="Arial" w:cs="Arial"/>
          <w:b/>
          <w:bCs/>
          <w:iCs/>
          <w:sz w:val="18"/>
        </w:rPr>
      </w:pPr>
      <w:r w:rsidRPr="004A09D7">
        <w:rPr>
          <w:rFonts w:ascii="Arial" w:hAnsi="Arial" w:cs="Arial"/>
          <w:iCs/>
          <w:sz w:val="18"/>
        </w:rPr>
        <w:t>The empirical strategy employs a combination of static and dynamic panel data techniques to ensure robust estimation. Initial specifications are estimated using pooled OLS, fixed-effects, and random-effects models, which provide a baseline but do not adequately address potential endogeneity. Dynamic panel estimators are employed to address these limitations, specifically the first-difference GMM and the system GMM, both of which provide a stronger treatment of endogeneity and greater efficiency in estimation.</w:t>
      </w:r>
    </w:p>
    <w:p w14:paraId="4F9C1221"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Static Model</w:t>
      </w:r>
    </w:p>
    <w:p w14:paraId="31706C15"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The influence of governance on economic growth in upper-middle-income economies may be evaluated using the following model:</w:t>
      </w:r>
    </w:p>
    <w:bookmarkStart w:id="0" w:name="_Hlk209552030"/>
    <w:p w14:paraId="40EF3147" w14:textId="1C22A964" w:rsidR="004A09D7" w:rsidRPr="004A09D7" w:rsidRDefault="0049037B" w:rsidP="004A09D7">
      <w:pPr>
        <w:pStyle w:val="Body"/>
        <w:spacing w:after="0"/>
        <w:rPr>
          <w:rFonts w:ascii="Arial" w:hAnsi="Arial" w:cs="Arial"/>
          <w:iCs/>
          <w:sz w:val="18"/>
          <w:vertAlign w:val="subscript"/>
        </w:rPr>
      </w:pPr>
      <m:oMath>
        <m:sSub>
          <m:sSubPr>
            <m:ctrlPr>
              <w:rPr>
                <w:rFonts w:ascii="Cambria Math" w:hAnsi="Cambria Math" w:cs="Arial"/>
                <w:i/>
                <w:iCs/>
                <w:sz w:val="18"/>
              </w:rPr>
            </m:ctrlPr>
          </m:sSubPr>
          <m:e>
            <m:r>
              <w:rPr>
                <w:rFonts w:ascii="Cambria Math" w:hAnsi="Cambria Math" w:cs="Arial"/>
                <w:sz w:val="18"/>
              </w:rPr>
              <m:t>logGDP</m:t>
            </m:r>
          </m:e>
          <m:sub>
            <m:r>
              <w:rPr>
                <w:rFonts w:ascii="Cambria Math" w:hAnsi="Cambria Math" w:cs="Arial"/>
                <w:sz w:val="18"/>
              </w:rPr>
              <m:t>it</m:t>
            </m:r>
            <m:r>
              <w:rPr>
                <w:rFonts w:ascii="Cambria Math" w:hAnsi="Cambria Math" w:cs="Arial"/>
                <w:sz w:val="18"/>
              </w:rPr>
              <m:t xml:space="preserve">  </m:t>
            </m:r>
          </m:sub>
        </m:sSub>
      </m:oMath>
      <w:r w:rsidR="004A09D7" w:rsidRPr="004A09D7">
        <w:rPr>
          <w:rFonts w:ascii="Arial" w:hAnsi="Arial" w:cs="Arial"/>
          <w:iCs/>
          <w:sz w:val="18"/>
        </w:rPr>
        <w:t xml:space="preserve">=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0</m:t>
            </m:r>
          </m:sub>
        </m:sSub>
      </m:oMath>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1</m:t>
            </m:r>
          </m:sub>
        </m:sSub>
      </m:oMath>
      <w:r w:rsidR="004A09D7" w:rsidRPr="004A09D7">
        <w:rPr>
          <w:rFonts w:ascii="Arial" w:hAnsi="Arial" w:cs="Arial"/>
          <w:iCs/>
          <w:sz w:val="18"/>
        </w:rPr>
        <w:t>CC</w:t>
      </w:r>
      <w:r w:rsidR="004A09D7" w:rsidRPr="004A09D7">
        <w:rPr>
          <w:rFonts w:ascii="Arial" w:hAnsi="Arial" w:cs="Arial"/>
          <w:iCs/>
          <w:sz w:val="18"/>
          <w:vertAlign w:val="subscript"/>
        </w:rPr>
        <w:t xml:space="preserve">it </w:t>
      </w:r>
      <w:r w:rsidR="004A09D7" w:rsidRPr="004A09D7">
        <w:rPr>
          <w:rFonts w:ascii="Arial" w:hAnsi="Arial" w:cs="Arial"/>
          <w:iCs/>
          <w:sz w:val="18"/>
        </w:rPr>
        <w:t xml:space="preserve">+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2</m:t>
            </m:r>
          </m:sub>
        </m:sSub>
      </m:oMath>
      <w:r w:rsidR="004A09D7" w:rsidRPr="004A09D7">
        <w:rPr>
          <w:rFonts w:ascii="Arial" w:hAnsi="Arial" w:cs="Arial"/>
          <w:iCs/>
          <w:sz w:val="18"/>
        </w:rPr>
        <w:t>GE</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3</m:t>
            </m:r>
          </m:sub>
        </m:sSub>
      </m:oMath>
      <w:r w:rsidR="004A09D7" w:rsidRPr="004A09D7">
        <w:rPr>
          <w:rFonts w:ascii="Arial" w:hAnsi="Arial" w:cs="Arial"/>
          <w:iCs/>
          <w:sz w:val="18"/>
        </w:rPr>
        <w:t>PS</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4</m:t>
            </m:r>
          </m:sub>
        </m:sSub>
      </m:oMath>
      <w:r w:rsidR="004A09D7" w:rsidRPr="004A09D7">
        <w:rPr>
          <w:rFonts w:ascii="Arial" w:hAnsi="Arial" w:cs="Arial"/>
          <w:iCs/>
          <w:sz w:val="18"/>
        </w:rPr>
        <w:t>RQ</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5</m:t>
            </m:r>
          </m:sub>
        </m:sSub>
      </m:oMath>
      <w:r w:rsidR="004A09D7" w:rsidRPr="004A09D7">
        <w:rPr>
          <w:rFonts w:ascii="Arial" w:hAnsi="Arial" w:cs="Arial"/>
          <w:iCs/>
          <w:sz w:val="18"/>
        </w:rPr>
        <w:t>RL</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6</m:t>
            </m:r>
          </m:sub>
        </m:sSub>
      </m:oMath>
      <w:r w:rsidR="004A09D7" w:rsidRPr="004A09D7">
        <w:rPr>
          <w:rFonts w:ascii="Arial" w:hAnsi="Arial" w:cs="Arial"/>
          <w:iCs/>
          <w:sz w:val="18"/>
        </w:rPr>
        <w:t>VA</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7</m:t>
            </m:r>
          </m:sub>
        </m:sSub>
      </m:oMath>
      <w:r w:rsidR="004A09D7" w:rsidRPr="004A09D7">
        <w:rPr>
          <w:rFonts w:ascii="Arial" w:hAnsi="Arial" w:cs="Arial"/>
          <w:iCs/>
          <w:sz w:val="18"/>
        </w:rPr>
        <w:t>G</w:t>
      </w:r>
      <w:proofErr w:type="spellStart"/>
      <w:r w:rsidR="004A09D7" w:rsidRPr="004A09D7">
        <w:rPr>
          <w:rFonts w:ascii="Arial" w:hAnsi="Arial" w:cs="Arial"/>
          <w:iCs/>
          <w:sz w:val="18"/>
        </w:rPr>
        <w:t>GDP</w:t>
      </w:r>
      <w:r w:rsidR="004A09D7" w:rsidRPr="004A09D7">
        <w:rPr>
          <w:rFonts w:ascii="Arial" w:hAnsi="Arial" w:cs="Arial"/>
          <w:iCs/>
          <w:sz w:val="18"/>
          <w:vertAlign w:val="subscript"/>
        </w:rPr>
        <w:t>it</w:t>
      </w:r>
      <w:proofErr w:type="spellEnd"/>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8</m:t>
            </m:r>
          </m:sub>
        </m:sSub>
      </m:oMath>
      <w:r w:rsidR="004A09D7" w:rsidRPr="004A09D7">
        <w:rPr>
          <w:rFonts w:ascii="Arial" w:hAnsi="Arial" w:cs="Arial"/>
          <w:iCs/>
          <w:sz w:val="18"/>
        </w:rPr>
        <w:t>INF</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9</m:t>
            </m:r>
          </m:sub>
        </m:sSub>
      </m:oMath>
      <w:r w:rsidR="004A09D7" w:rsidRPr="004A09D7">
        <w:rPr>
          <w:rFonts w:ascii="Arial" w:hAnsi="Arial" w:cs="Arial"/>
          <w:iCs/>
          <w:sz w:val="18"/>
        </w:rPr>
        <w:t>INR</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10</m:t>
            </m:r>
          </m:sub>
        </m:sSub>
      </m:oMath>
      <w:r w:rsidR="004A09D7" w:rsidRPr="004A09D7">
        <w:rPr>
          <w:rFonts w:ascii="Arial" w:hAnsi="Arial" w:cs="Arial"/>
          <w:iCs/>
          <w:sz w:val="18"/>
        </w:rPr>
        <w:t>GEDU</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r>
          <w:rPr>
            <w:rFonts w:ascii="Cambria Math" w:hAnsi="Cambria Math" w:cs="Arial"/>
            <w:sz w:val="18"/>
          </w:rPr>
          <m:t>ε</m:t>
        </m:r>
      </m:oMath>
      <w:r w:rsidR="004A09D7" w:rsidRPr="004A09D7">
        <w:rPr>
          <w:rFonts w:ascii="Arial" w:hAnsi="Arial" w:cs="Arial"/>
          <w:iCs/>
          <w:sz w:val="18"/>
          <w:vertAlign w:val="subscript"/>
        </w:rPr>
        <w:t xml:space="preserve">it   </w:t>
      </w:r>
      <w:r w:rsidR="004A09D7" w:rsidRPr="004A09D7">
        <w:rPr>
          <w:rFonts w:ascii="Arial" w:hAnsi="Arial" w:cs="Arial"/>
          <w:iCs/>
          <w:sz w:val="18"/>
        </w:rPr>
        <w:t>…………………………</w:t>
      </w:r>
      <w:proofErr w:type="gramStart"/>
      <w:r w:rsidR="004A09D7" w:rsidRPr="004A09D7">
        <w:rPr>
          <w:rFonts w:ascii="Arial" w:hAnsi="Arial" w:cs="Arial"/>
          <w:iCs/>
          <w:sz w:val="18"/>
        </w:rPr>
        <w:t>…</w:t>
      </w:r>
      <w:r w:rsidR="004A09D7" w:rsidRPr="004A09D7">
        <w:rPr>
          <w:rFonts w:ascii="Arial" w:hAnsi="Arial" w:cs="Arial"/>
          <w:iCs/>
          <w:sz w:val="18"/>
          <w:vertAlign w:val="subscript"/>
        </w:rPr>
        <w:t>.</w:t>
      </w:r>
      <w:r w:rsidR="004A09D7" w:rsidRPr="004A09D7">
        <w:rPr>
          <w:rFonts w:ascii="Arial" w:hAnsi="Arial" w:cs="Arial"/>
          <w:iCs/>
          <w:sz w:val="18"/>
        </w:rPr>
        <w:t>(</w:t>
      </w:r>
      <w:proofErr w:type="gramEnd"/>
      <w:r w:rsidR="004A09D7" w:rsidRPr="004A09D7">
        <w:rPr>
          <w:rFonts w:ascii="Arial" w:hAnsi="Arial" w:cs="Arial"/>
          <w:iCs/>
          <w:sz w:val="18"/>
        </w:rPr>
        <w:t>I)</w:t>
      </w:r>
    </w:p>
    <w:bookmarkEnd w:id="0"/>
    <w:p w14:paraId="33424DDB" w14:textId="77777777" w:rsidR="004A09D7" w:rsidRPr="004A09D7" w:rsidRDefault="004A09D7" w:rsidP="004A09D7">
      <w:pPr>
        <w:pStyle w:val="Body"/>
        <w:spacing w:after="0"/>
        <w:rPr>
          <w:rFonts w:ascii="Arial" w:hAnsi="Arial" w:cs="Arial"/>
          <w:b/>
          <w:bCs/>
          <w:iCs/>
          <w:sz w:val="18"/>
        </w:rPr>
      </w:pPr>
    </w:p>
    <w:p w14:paraId="11B194F7" w14:textId="6E45CF48"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In the model, </w:t>
      </w:r>
      <w:r w:rsidRPr="004A09D7">
        <w:rPr>
          <w:rFonts w:ascii="Arial" w:hAnsi="Arial" w:cs="Arial"/>
          <w:i/>
          <w:iCs/>
          <w:sz w:val="18"/>
        </w:rPr>
        <w:t>log</w:t>
      </w:r>
      <w:r w:rsidRPr="004A09D7">
        <w:rPr>
          <w:rFonts w:ascii="Arial" w:hAnsi="Arial" w:cs="Arial"/>
          <w:iCs/>
          <w:sz w:val="18"/>
        </w:rPr>
        <w:t xml:space="preserve"> denotes the natural logarithm, </w:t>
      </w:r>
      <w:proofErr w:type="spellStart"/>
      <w:r w:rsidRPr="004A09D7">
        <w:rPr>
          <w:rFonts w:ascii="Arial" w:hAnsi="Arial" w:cs="Arial"/>
          <w:i/>
          <w:iCs/>
          <w:sz w:val="18"/>
        </w:rPr>
        <w:t>i</w:t>
      </w:r>
      <w:proofErr w:type="spellEnd"/>
      <w:r w:rsidRPr="004A09D7">
        <w:rPr>
          <w:rFonts w:ascii="Arial" w:hAnsi="Arial" w:cs="Arial"/>
          <w:iCs/>
          <w:sz w:val="18"/>
        </w:rPr>
        <w:t xml:space="preserve"> refers to country, </w:t>
      </w:r>
      <w:r w:rsidRPr="004A09D7">
        <w:rPr>
          <w:rFonts w:ascii="Arial" w:hAnsi="Arial" w:cs="Arial"/>
          <w:i/>
          <w:iCs/>
          <w:sz w:val="18"/>
        </w:rPr>
        <w:t>t</w:t>
      </w:r>
      <w:r w:rsidRPr="004A09D7">
        <w:rPr>
          <w:rFonts w:ascii="Arial" w:hAnsi="Arial" w:cs="Arial"/>
          <w:iCs/>
          <w:sz w:val="18"/>
        </w:rPr>
        <w:t xml:space="preserve"> to time, </w:t>
      </w:r>
      <m:oMath>
        <m:sSub>
          <m:sSubPr>
            <m:ctrlPr>
              <w:rPr>
                <w:rFonts w:ascii="Cambria Math" w:hAnsi="Cambria Math" w:cs="Arial"/>
                <w:b/>
                <w:bCs/>
                <w:i/>
                <w:iCs/>
                <w:sz w:val="18"/>
              </w:rPr>
            </m:ctrlPr>
          </m:sSubPr>
          <m:e>
            <m:r>
              <m:rPr>
                <m:sty m:val="bi"/>
              </m:rPr>
              <w:rPr>
                <w:rFonts w:ascii="Cambria Math" w:hAnsi="Cambria Math" w:cs="Arial"/>
                <w:sz w:val="18"/>
              </w:rPr>
              <m:t>δ</m:t>
            </m:r>
          </m:e>
          <m:sub>
            <m:r>
              <m:rPr>
                <m:sty m:val="bi"/>
              </m:rPr>
              <w:rPr>
                <w:rFonts w:ascii="Cambria Math" w:hAnsi="Cambria Math" w:cs="Arial"/>
                <w:sz w:val="18"/>
              </w:rPr>
              <m:t>0</m:t>
            </m:r>
          </m:sub>
        </m:sSub>
      </m:oMath>
      <w:r w:rsidRPr="004A09D7">
        <w:rPr>
          <w:rFonts w:ascii="Arial" w:hAnsi="Arial" w:cs="Arial"/>
          <w:iCs/>
          <w:sz w:val="18"/>
        </w:rPr>
        <w:t xml:space="preserve"> is the constant, </w:t>
      </w:r>
      <m:oMath>
        <m:sSub>
          <m:sSubPr>
            <m:ctrlPr>
              <w:rPr>
                <w:rFonts w:ascii="Cambria Math" w:hAnsi="Cambria Math" w:cs="Arial"/>
                <w:b/>
                <w:bCs/>
                <w:i/>
                <w:iCs/>
                <w:sz w:val="18"/>
              </w:rPr>
            </m:ctrlPr>
          </m:sSubPr>
          <m:e>
            <m:r>
              <m:rPr>
                <m:sty m:val="bi"/>
              </m:rPr>
              <w:rPr>
                <w:rFonts w:ascii="Cambria Math" w:hAnsi="Cambria Math" w:cs="Arial"/>
                <w:sz w:val="18"/>
              </w:rPr>
              <m:t>δ</m:t>
            </m:r>
          </m:e>
          <m:sub>
            <m:r>
              <m:rPr>
                <m:sty m:val="bi"/>
              </m:rPr>
              <w:rPr>
                <w:rFonts w:ascii="Cambria Math" w:hAnsi="Cambria Math" w:cs="Arial"/>
                <w:sz w:val="18"/>
              </w:rPr>
              <m:t>i</m:t>
            </m:r>
          </m:sub>
        </m:sSub>
      </m:oMath>
      <w:r w:rsidRPr="004A09D7">
        <w:rPr>
          <w:rFonts w:ascii="Arial" w:hAnsi="Arial" w:cs="Arial"/>
          <w:iCs/>
          <w:sz w:val="18"/>
        </w:rPr>
        <w:t xml:space="preserve"> the estimated coefficients, and εᵢ</w:t>
      </w:r>
      <w:r w:rsidRPr="004A09D7">
        <w:rPr>
          <w:rFonts w:ascii="Cambria Math" w:hAnsi="Cambria Math" w:cs="Cambria Math"/>
          <w:iCs/>
          <w:sz w:val="18"/>
        </w:rPr>
        <w:t>ₜ</w:t>
      </w:r>
      <w:r w:rsidRPr="004A09D7">
        <w:rPr>
          <w:rFonts w:ascii="Arial" w:hAnsi="Arial" w:cs="Arial"/>
          <w:iCs/>
          <w:sz w:val="18"/>
        </w:rPr>
        <w:t xml:space="preserve"> the error term. The variables are defined as follows: GDP (GDP per capita, constant 2015 US$), CC (control of corruption), GE (government effectiveness), PS (political stability and absence of violence), RQ (regulatory quality), RL (rule of law), VA (voice and </w:t>
      </w:r>
      <w:r w:rsidRPr="004A09D7">
        <w:rPr>
          <w:rFonts w:ascii="Arial" w:hAnsi="Arial" w:cs="Arial"/>
          <w:iCs/>
          <w:sz w:val="18"/>
        </w:rPr>
        <w:lastRenderedPageBreak/>
        <w:t>accountability), GGDP (annual GDP growth, %), INF (inflation, annual % of consumer prices), INR (real interest rate, %), and GEDU (government expenditure on education, % of total).</w:t>
      </w:r>
    </w:p>
    <w:p w14:paraId="64AC895E"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Fixed Effects Model</w:t>
      </w:r>
    </w:p>
    <w:p w14:paraId="4A1EB97C"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We employ the fixed effects model in this study because it addresses the influence of unobserved heterogeneity. These are time-invariant factors that could otherwise bias the estimates. The analysis is based on 30 upper-middle-income countries.  Each country is treated as a separate group with its own intercept. The model assumes that the coefficients of the independent variables are constant across groups. At the same time, the intercepts vary to capture country-specific effects. This approach improves the reliability of the results by addressing unobserved factors. Finally, the study test whether the fixed effects specification is appropriate for the study to ensure robustness of the findings.</w:t>
      </w:r>
    </w:p>
    <w:p w14:paraId="17BE97D3" w14:textId="77777777" w:rsidR="004A09D7" w:rsidRPr="004A09D7" w:rsidRDefault="004A09D7" w:rsidP="004A09D7">
      <w:pPr>
        <w:pStyle w:val="Body"/>
        <w:spacing w:after="0"/>
        <w:rPr>
          <w:rFonts w:ascii="Arial" w:hAnsi="Arial" w:cs="Arial"/>
          <w:b/>
          <w:bCs/>
          <w:iCs/>
          <w:sz w:val="18"/>
        </w:rPr>
      </w:pPr>
    </w:p>
    <w:p w14:paraId="05D341F6"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Random Effects Model</w:t>
      </w:r>
    </w:p>
    <w:p w14:paraId="149638B6"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The random effects model is used in panel data analysis when it is assumed that individual-specific unobserved heterogeneity is random and uncorrelated with the explanatory variables. In this approach, these unobserved effects are treated as random variables drawn from a common distribution, allowing for both within- and between-entity variation. The random effects model is suitable when analysis includes variables that do not change over time. It is often chosen to estimate the impact of such time-invariant characteristics. Robust standard errors are commonly used to improve the reliability of estimation. These robust errors help to address potential heteroskedasticity in the data</w:t>
      </w:r>
    </w:p>
    <w:p w14:paraId="620A5663" w14:textId="77777777" w:rsidR="004A09D7" w:rsidRPr="004A09D7" w:rsidRDefault="004A09D7" w:rsidP="004A09D7">
      <w:pPr>
        <w:pStyle w:val="Body"/>
        <w:spacing w:after="0"/>
        <w:rPr>
          <w:rFonts w:ascii="Arial" w:hAnsi="Arial" w:cs="Arial"/>
          <w:b/>
          <w:bCs/>
          <w:i/>
          <w:iCs/>
          <w:sz w:val="18"/>
        </w:rPr>
      </w:pPr>
      <w:r w:rsidRPr="004A09D7">
        <w:rPr>
          <w:rFonts w:ascii="Arial" w:hAnsi="Arial" w:cs="Arial"/>
          <w:b/>
          <w:bCs/>
          <w:iCs/>
          <w:sz w:val="18"/>
        </w:rPr>
        <w:t>Hausman Specification Test</w:t>
      </w:r>
      <w:r w:rsidRPr="004A09D7">
        <w:rPr>
          <w:rFonts w:ascii="Arial" w:hAnsi="Arial" w:cs="Arial"/>
          <w:b/>
          <w:bCs/>
          <w:i/>
          <w:iCs/>
          <w:sz w:val="18"/>
        </w:rPr>
        <w:t xml:space="preserve"> </w:t>
      </w:r>
    </w:p>
    <w:p w14:paraId="41A0FD9D"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The Hausman specification test is designed to determine whether the fixed effects or random effects estimator is more appropriate for the given panel data analysis. The test helps to decide between these two models by examining whether the unique errors are correlated with the regressors. If the test indicates that such correlation exists, the fixed effects model is preferred; otherwise, the random effects model may be used.</w:t>
      </w:r>
    </w:p>
    <w:p w14:paraId="582E4E38"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Dynamic Model</w:t>
      </w:r>
    </w:p>
    <w:p w14:paraId="037BA08D"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The relationship between governance and economic growth is examined empirically through the following model specification.</w:t>
      </w:r>
    </w:p>
    <w:p w14:paraId="38CAEB68" w14:textId="3349DEEF" w:rsidR="004A09D7" w:rsidRPr="004A09D7" w:rsidRDefault="0049037B" w:rsidP="004A09D7">
      <w:pPr>
        <w:pStyle w:val="Body"/>
        <w:spacing w:after="0"/>
        <w:rPr>
          <w:rFonts w:ascii="Arial" w:hAnsi="Arial" w:cs="Arial"/>
          <w:iCs/>
          <w:sz w:val="18"/>
        </w:rPr>
      </w:pPr>
      <m:oMath>
        <m:sSub>
          <m:sSubPr>
            <m:ctrlPr>
              <w:rPr>
                <w:rFonts w:ascii="Cambria Math" w:hAnsi="Cambria Math" w:cs="Arial"/>
                <w:i/>
                <w:iCs/>
                <w:sz w:val="18"/>
              </w:rPr>
            </m:ctrlPr>
          </m:sSubPr>
          <m:e>
            <m:r>
              <w:rPr>
                <w:rFonts w:ascii="Cambria Math" w:hAnsi="Cambria Math" w:cs="Arial"/>
                <w:sz w:val="18"/>
              </w:rPr>
              <m:t>logGDP</m:t>
            </m:r>
          </m:e>
          <m:sub>
            <m:r>
              <w:rPr>
                <w:rFonts w:ascii="Cambria Math" w:hAnsi="Cambria Math" w:cs="Arial"/>
                <w:sz w:val="18"/>
              </w:rPr>
              <m:t>it</m:t>
            </m:r>
            <m:r>
              <w:rPr>
                <w:rFonts w:ascii="Cambria Math" w:hAnsi="Cambria Math" w:cs="Arial"/>
                <w:sz w:val="18"/>
              </w:rPr>
              <m:t xml:space="preserve">  </m:t>
            </m:r>
          </m:sub>
        </m:sSub>
      </m:oMath>
      <w:r w:rsidR="004A09D7" w:rsidRPr="004A09D7">
        <w:rPr>
          <w:rFonts w:ascii="Arial" w:hAnsi="Arial" w:cs="Arial"/>
          <w:iCs/>
          <w:sz w:val="18"/>
        </w:rPr>
        <w:t xml:space="preserve">=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0</m:t>
            </m:r>
          </m:sub>
        </m:sSub>
      </m:oMath>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1</m:t>
            </m:r>
          </m:sub>
        </m:sSub>
        <m:sSub>
          <m:sSubPr>
            <m:ctrlPr>
              <w:rPr>
                <w:rFonts w:ascii="Cambria Math" w:hAnsi="Cambria Math" w:cs="Arial"/>
                <w:i/>
                <w:iCs/>
                <w:sz w:val="18"/>
              </w:rPr>
            </m:ctrlPr>
          </m:sSubPr>
          <m:e>
            <m:r>
              <w:rPr>
                <w:rFonts w:ascii="Cambria Math" w:hAnsi="Cambria Math" w:cs="Arial"/>
                <w:sz w:val="18"/>
              </w:rPr>
              <m:t>log</m:t>
            </m:r>
            <m:r>
              <w:rPr>
                <w:rFonts w:ascii="Cambria Math" w:hAnsi="Cambria Math" w:cs="Arial"/>
                <w:sz w:val="18"/>
              </w:rPr>
              <m:t>(</m:t>
            </m:r>
            <m:r>
              <w:rPr>
                <w:rFonts w:ascii="Cambria Math" w:hAnsi="Cambria Math" w:cs="Arial"/>
                <w:sz w:val="18"/>
              </w:rPr>
              <m:t>GDP</m:t>
            </m:r>
            <m:r>
              <w:rPr>
                <w:rFonts w:ascii="Cambria Math" w:hAnsi="Cambria Math" w:cs="Arial"/>
                <w:sz w:val="18"/>
              </w:rPr>
              <m:t>)</m:t>
            </m:r>
          </m:e>
          <m:sub>
            <m:r>
              <w:rPr>
                <w:rFonts w:ascii="Cambria Math" w:hAnsi="Cambria Math" w:cs="Arial"/>
                <w:sz w:val="18"/>
              </w:rPr>
              <m:t>it</m:t>
            </m:r>
            <m:r>
              <w:rPr>
                <w:rFonts w:ascii="Cambria Math" w:hAnsi="Cambria Math" w:cs="Arial"/>
                <w:sz w:val="18"/>
              </w:rPr>
              <m:t xml:space="preserve">-1  </m:t>
            </m:r>
          </m:sub>
        </m:sSub>
      </m:oMath>
      <w:r w:rsidR="004A09D7" w:rsidRPr="004A09D7">
        <w:rPr>
          <w:rFonts w:ascii="Arial" w:hAnsi="Arial" w:cs="Arial"/>
          <w:iCs/>
          <w:sz w:val="18"/>
          <w:vertAlign w:val="subscript"/>
        </w:rPr>
        <w:t xml:space="preserve"> + </w:t>
      </w:r>
      <w:r w:rsidR="004A09D7" w:rsidRPr="004A09D7">
        <w:rPr>
          <w:rFonts w:ascii="Arial" w:hAnsi="Arial" w:cs="Arial"/>
          <w:iCs/>
          <w:sz w:val="18"/>
        </w:rPr>
        <w:t xml:space="preserve">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2</m:t>
            </m:r>
          </m:sub>
        </m:sSub>
      </m:oMath>
      <w:r w:rsidR="004A09D7" w:rsidRPr="004A09D7">
        <w:rPr>
          <w:rFonts w:ascii="Arial" w:hAnsi="Arial" w:cs="Arial"/>
          <w:iCs/>
          <w:sz w:val="18"/>
        </w:rPr>
        <w:t>CC</w:t>
      </w:r>
      <w:r w:rsidR="004A09D7" w:rsidRPr="004A09D7">
        <w:rPr>
          <w:rFonts w:ascii="Arial" w:hAnsi="Arial" w:cs="Arial"/>
          <w:iCs/>
          <w:sz w:val="18"/>
          <w:vertAlign w:val="subscript"/>
        </w:rPr>
        <w:t xml:space="preserve">it </w:t>
      </w:r>
      <w:r w:rsidR="004A09D7" w:rsidRPr="004A09D7">
        <w:rPr>
          <w:rFonts w:ascii="Arial" w:hAnsi="Arial" w:cs="Arial"/>
          <w:iCs/>
          <w:sz w:val="18"/>
        </w:rPr>
        <w:t xml:space="preserve">+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3</m:t>
            </m:r>
          </m:sub>
        </m:sSub>
      </m:oMath>
      <w:r w:rsidR="004A09D7" w:rsidRPr="004A09D7">
        <w:rPr>
          <w:rFonts w:ascii="Arial" w:hAnsi="Arial" w:cs="Arial"/>
          <w:iCs/>
          <w:sz w:val="18"/>
        </w:rPr>
        <w:t>GE</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4</m:t>
            </m:r>
          </m:sub>
        </m:sSub>
      </m:oMath>
      <w:r w:rsidR="004A09D7" w:rsidRPr="004A09D7">
        <w:rPr>
          <w:rFonts w:ascii="Arial" w:hAnsi="Arial" w:cs="Arial"/>
          <w:iCs/>
          <w:sz w:val="18"/>
        </w:rPr>
        <w:t>PS</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5</m:t>
            </m:r>
          </m:sub>
        </m:sSub>
      </m:oMath>
      <w:r w:rsidR="004A09D7" w:rsidRPr="004A09D7">
        <w:rPr>
          <w:rFonts w:ascii="Arial" w:hAnsi="Arial" w:cs="Arial"/>
          <w:iCs/>
          <w:sz w:val="18"/>
        </w:rPr>
        <w:t>RQ</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6</m:t>
            </m:r>
          </m:sub>
        </m:sSub>
      </m:oMath>
      <w:r w:rsidR="004A09D7" w:rsidRPr="004A09D7">
        <w:rPr>
          <w:rFonts w:ascii="Arial" w:hAnsi="Arial" w:cs="Arial"/>
          <w:iCs/>
          <w:sz w:val="18"/>
        </w:rPr>
        <w:t>RL</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7</m:t>
            </m:r>
          </m:sub>
        </m:sSub>
      </m:oMath>
      <w:r w:rsidR="004A09D7" w:rsidRPr="004A09D7">
        <w:rPr>
          <w:rFonts w:ascii="Arial" w:hAnsi="Arial" w:cs="Arial"/>
          <w:iCs/>
          <w:sz w:val="18"/>
        </w:rPr>
        <w:t>VA</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8</m:t>
            </m:r>
          </m:sub>
        </m:sSub>
      </m:oMath>
      <w:r w:rsidR="004A09D7" w:rsidRPr="004A09D7">
        <w:rPr>
          <w:rFonts w:ascii="Arial" w:hAnsi="Arial" w:cs="Arial"/>
          <w:iCs/>
          <w:sz w:val="18"/>
        </w:rPr>
        <w:t>GGDP</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9</m:t>
            </m:r>
          </m:sub>
        </m:sSub>
      </m:oMath>
      <w:r w:rsidR="004A09D7" w:rsidRPr="004A09D7">
        <w:rPr>
          <w:rFonts w:ascii="Arial" w:hAnsi="Arial" w:cs="Arial"/>
          <w:iCs/>
          <w:sz w:val="18"/>
        </w:rPr>
        <w:t>INF</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10</m:t>
            </m:r>
          </m:sub>
        </m:sSub>
      </m:oMath>
      <w:r w:rsidR="004A09D7" w:rsidRPr="004A09D7">
        <w:rPr>
          <w:rFonts w:ascii="Arial" w:hAnsi="Arial" w:cs="Arial"/>
          <w:iCs/>
          <w:sz w:val="18"/>
        </w:rPr>
        <w:t>INR</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11</m:t>
            </m:r>
          </m:sub>
        </m:sSub>
      </m:oMath>
      <w:r w:rsidR="004A09D7" w:rsidRPr="004A09D7">
        <w:rPr>
          <w:rFonts w:ascii="Arial" w:hAnsi="Arial" w:cs="Arial"/>
          <w:iCs/>
          <w:sz w:val="18"/>
        </w:rPr>
        <w:t>GEDU</w:t>
      </w:r>
      <w:r w:rsidR="004A09D7" w:rsidRPr="004A09D7">
        <w:rPr>
          <w:rFonts w:ascii="Arial" w:hAnsi="Arial" w:cs="Arial"/>
          <w:iCs/>
          <w:sz w:val="18"/>
          <w:vertAlign w:val="subscript"/>
        </w:rPr>
        <w:t>it</w:t>
      </w:r>
      <w:r w:rsidR="004A09D7" w:rsidRPr="004A09D7">
        <w:rPr>
          <w:rFonts w:ascii="Arial" w:hAnsi="Arial" w:cs="Arial"/>
          <w:iCs/>
          <w:sz w:val="18"/>
        </w:rPr>
        <w:t xml:space="preserve"> + </w:t>
      </w:r>
      <m:oMath>
        <m:r>
          <w:rPr>
            <w:rFonts w:ascii="Cambria Math" w:hAnsi="Cambria Math" w:cs="Arial"/>
            <w:sz w:val="18"/>
          </w:rPr>
          <m:t>μ</m:t>
        </m:r>
      </m:oMath>
      <w:r w:rsidR="004A09D7" w:rsidRPr="004A09D7">
        <w:rPr>
          <w:rFonts w:ascii="Arial" w:hAnsi="Arial" w:cs="Arial"/>
          <w:iCs/>
          <w:sz w:val="18"/>
          <w:vertAlign w:val="subscript"/>
        </w:rPr>
        <w:t xml:space="preserve">it   </w:t>
      </w:r>
      <w:r w:rsidR="004A09D7" w:rsidRPr="004A09D7">
        <w:rPr>
          <w:rFonts w:ascii="Arial" w:hAnsi="Arial" w:cs="Arial"/>
          <w:iCs/>
          <w:sz w:val="18"/>
        </w:rPr>
        <w:t>……………………………</w:t>
      </w:r>
      <w:r w:rsidR="004A09D7" w:rsidRPr="004A09D7">
        <w:rPr>
          <w:rFonts w:ascii="Arial" w:hAnsi="Arial" w:cs="Arial"/>
          <w:iCs/>
          <w:sz w:val="18"/>
          <w:vertAlign w:val="subscript"/>
        </w:rPr>
        <w:t>.</w:t>
      </w:r>
      <w:r w:rsidR="004A09D7" w:rsidRPr="004A09D7">
        <w:rPr>
          <w:rFonts w:ascii="Arial" w:hAnsi="Arial" w:cs="Arial"/>
          <w:iCs/>
          <w:sz w:val="18"/>
        </w:rPr>
        <w:t>(II)</w:t>
      </w:r>
    </w:p>
    <w:p w14:paraId="5BB5D8BC" w14:textId="5C8B7E43" w:rsidR="004A09D7" w:rsidRPr="004A09D7" w:rsidRDefault="004A09D7" w:rsidP="004A09D7">
      <w:pPr>
        <w:pStyle w:val="Body"/>
        <w:spacing w:after="0"/>
        <w:rPr>
          <w:rFonts w:ascii="Arial" w:hAnsi="Arial" w:cs="Arial"/>
          <w:iCs/>
          <w:sz w:val="18"/>
        </w:rPr>
      </w:pPr>
      <w:r w:rsidRPr="004A09D7">
        <w:rPr>
          <w:rFonts w:ascii="Arial" w:hAnsi="Arial" w:cs="Arial"/>
          <w:iCs/>
          <w:sz w:val="18"/>
        </w:rPr>
        <w:t>In dynamic panel models, the country dimension is denoted by </w:t>
      </w:r>
      <w:proofErr w:type="spellStart"/>
      <w:r w:rsidRPr="004A09D7">
        <w:rPr>
          <w:rFonts w:ascii="Arial" w:hAnsi="Arial" w:cs="Arial"/>
          <w:iCs/>
          <w:sz w:val="18"/>
        </w:rPr>
        <w:t>i</w:t>
      </w:r>
      <w:proofErr w:type="spellEnd"/>
      <w:r w:rsidRPr="004A09D7">
        <w:rPr>
          <w:rFonts w:ascii="Arial" w:hAnsi="Arial" w:cs="Arial"/>
          <w:iCs/>
          <w:sz w:val="18"/>
        </w:rPr>
        <w:t xml:space="preserve"> and the time dimension by t, with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0</m:t>
            </m:r>
          </m:sub>
        </m:sSub>
      </m:oMath>
      <w:r w:rsidRPr="004A09D7">
        <w:rPr>
          <w:rFonts w:ascii="Arial" w:hAnsi="Arial" w:cs="Arial"/>
          <w:iCs/>
          <w:sz w:val="18"/>
        </w:rPr>
        <w:t xml:space="preserve">  representing the intercept, </w:t>
      </w:r>
      <m:oMath>
        <m:sSub>
          <m:sSubPr>
            <m:ctrlPr>
              <w:rPr>
                <w:rFonts w:ascii="Cambria Math" w:hAnsi="Cambria Math" w:cs="Arial"/>
                <w:i/>
                <w:iCs/>
                <w:sz w:val="18"/>
              </w:rPr>
            </m:ctrlPr>
          </m:sSubPr>
          <m:e>
            <m:r>
              <w:rPr>
                <w:rFonts w:ascii="Cambria Math" w:hAnsi="Cambria Math" w:cs="Arial"/>
                <w:sz w:val="18"/>
              </w:rPr>
              <m:t>δ</m:t>
            </m:r>
          </m:e>
          <m:sub>
            <m:r>
              <w:rPr>
                <w:rFonts w:ascii="Cambria Math" w:hAnsi="Cambria Math" w:cs="Arial"/>
                <w:sz w:val="18"/>
              </w:rPr>
              <m:t>i</m:t>
            </m:r>
          </m:sub>
        </m:sSub>
      </m:oMath>
      <w:r w:rsidRPr="004A09D7">
        <w:rPr>
          <w:rFonts w:ascii="Arial" w:hAnsi="Arial" w:cs="Arial"/>
          <w:iCs/>
          <w:sz w:val="18"/>
        </w:rPr>
        <w:t xml:space="preserve"> capturing the coefficients of the explanatory variables, and μᵢ</w:t>
      </w:r>
      <w:r w:rsidRPr="004A09D7">
        <w:rPr>
          <w:rFonts w:ascii="Cambria Math" w:hAnsi="Cambria Math" w:cs="Cambria Math"/>
          <w:iCs/>
          <w:sz w:val="18"/>
        </w:rPr>
        <w:t>ₜ</w:t>
      </w:r>
      <w:r w:rsidRPr="004A09D7">
        <w:rPr>
          <w:rFonts w:ascii="Arial" w:hAnsi="Arial" w:cs="Arial"/>
          <w:iCs/>
          <w:sz w:val="18"/>
        </w:rPr>
        <w:t xml:space="preserve"> denoting the disturbance term. Estimation in such models frequently relies on the Generalized Method of Moments (GMM), for which two principal estimators are available. The first is the difference GMM estimator introduced by Arellano and Bond (1991), which relies on transforming the data through first differencing. This method eliminates unobserved, time-invariant country-specific effects. It also reduces within-country variation and can generate weak instrument problems when variables are persistent. To address these limitations, Arellano and </w:t>
      </w:r>
      <w:proofErr w:type="spellStart"/>
      <w:r w:rsidRPr="004A09D7">
        <w:rPr>
          <w:rFonts w:ascii="Arial" w:hAnsi="Arial" w:cs="Arial"/>
          <w:iCs/>
          <w:sz w:val="18"/>
        </w:rPr>
        <w:t>Bover</w:t>
      </w:r>
      <w:proofErr w:type="spellEnd"/>
      <w:r w:rsidRPr="004A09D7">
        <w:rPr>
          <w:rFonts w:ascii="Arial" w:hAnsi="Arial" w:cs="Arial"/>
          <w:iCs/>
          <w:sz w:val="18"/>
        </w:rPr>
        <w:t xml:space="preserve"> (1995) and Blundell and Bond (1998) developed the system GMM estimator, which augments the difference equations with additional moment conditions in levels. By strengthening the instrumentation strategy and improving efficiency, system GMM is generally regarded as a more reliable approach compared with the difference GMM. In this study, system GMM is therefore employed as the primary method, with results from difference GMM reported to validate robustness.</w:t>
      </w:r>
    </w:p>
    <w:p w14:paraId="6A4889F9" w14:textId="77777777" w:rsidR="004A09D7" w:rsidRPr="004A09D7" w:rsidRDefault="004A09D7" w:rsidP="004A09D7">
      <w:pPr>
        <w:pStyle w:val="Body"/>
        <w:spacing w:after="0"/>
        <w:rPr>
          <w:rFonts w:ascii="Arial" w:hAnsi="Arial" w:cs="Arial"/>
          <w:b/>
          <w:bCs/>
          <w:iCs/>
          <w:sz w:val="18"/>
        </w:rPr>
      </w:pPr>
    </w:p>
    <w:p w14:paraId="7BE201F3" w14:textId="77777777" w:rsidR="004A09D7" w:rsidRPr="004A09D7" w:rsidRDefault="004A09D7" w:rsidP="004A09D7">
      <w:pPr>
        <w:pStyle w:val="Body"/>
        <w:numPr>
          <w:ilvl w:val="0"/>
          <w:numId w:val="37"/>
        </w:numPr>
        <w:spacing w:after="0"/>
        <w:rPr>
          <w:rFonts w:ascii="Arial" w:hAnsi="Arial" w:cs="Arial"/>
          <w:b/>
          <w:bCs/>
          <w:iCs/>
          <w:sz w:val="18"/>
          <w:lang w:val="en-IN"/>
        </w:rPr>
      </w:pPr>
      <w:r w:rsidRPr="004A09D7">
        <w:rPr>
          <w:rFonts w:ascii="Arial" w:hAnsi="Arial" w:cs="Arial"/>
          <w:b/>
          <w:bCs/>
          <w:iCs/>
          <w:sz w:val="18"/>
          <w:lang w:val="en-IN"/>
        </w:rPr>
        <w:t>RESULTS AND DISCUSSION</w:t>
      </w:r>
    </w:p>
    <w:p w14:paraId="2871C815" w14:textId="1AA86DE1" w:rsidR="004A09D7" w:rsidRPr="004A09D7" w:rsidRDefault="004A09D7" w:rsidP="005A47EE">
      <w:pPr>
        <w:pStyle w:val="Body"/>
        <w:spacing w:after="0"/>
        <w:rPr>
          <w:rFonts w:ascii="Arial" w:hAnsi="Arial" w:cs="Arial"/>
          <w:b/>
          <w:bCs/>
          <w:iCs/>
          <w:sz w:val="18"/>
        </w:rPr>
      </w:pPr>
    </w:p>
    <w:p w14:paraId="30158A66" w14:textId="5643C286"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Table </w:t>
      </w:r>
      <w:r w:rsidR="00FD38B8">
        <w:rPr>
          <w:rFonts w:ascii="Arial" w:hAnsi="Arial" w:cs="Arial"/>
          <w:iCs/>
          <w:sz w:val="18"/>
        </w:rPr>
        <w:t>2</w:t>
      </w:r>
      <w:r w:rsidRPr="004A09D7">
        <w:rPr>
          <w:rFonts w:ascii="Arial" w:hAnsi="Arial" w:cs="Arial"/>
          <w:iCs/>
          <w:sz w:val="18"/>
        </w:rPr>
        <w:t xml:space="preserve"> presents the descriptive statistics of the key variables used in the analysis, based on an unbalanced panel of 30 upper-middle-income economies over the period 1996–2023. The natural logarithm of GDP (</w:t>
      </w:r>
      <w:proofErr w:type="spellStart"/>
      <w:r w:rsidRPr="004A09D7">
        <w:rPr>
          <w:rFonts w:ascii="Arial" w:hAnsi="Arial" w:cs="Arial"/>
          <w:iCs/>
          <w:sz w:val="18"/>
        </w:rPr>
        <w:t>logGDP</w:t>
      </w:r>
      <w:proofErr w:type="spellEnd"/>
      <w:r w:rsidRPr="004A09D7">
        <w:rPr>
          <w:rFonts w:ascii="Arial" w:hAnsi="Arial" w:cs="Arial"/>
          <w:iCs/>
          <w:sz w:val="18"/>
        </w:rPr>
        <w:t>) has a mean of 8.468 with moderate variation (standard deviation of 0.501), reflecting moderate cross-country economic size variation.  Governance indicators such as control of corruption (CC), government effectiveness (GE), political stability (PS), regulatory quality (RQ), rule of law (RL), and voice and accountability (VA) exhibit mean values near zero with standard deviations ranging from 0.528 to 0.746, indicating diverse governance quality across countries. The average economic growth rate (GGDP) stands at 3.791 percent but with considerable dispersion (standard deviation of 5.495), highlighting heterogeneous growth experiences. Macroeconomic indicators such as inflation (INF) and interest (INR) exhibit wide variation, including negative and extreme positive values. The measure of Government expenditure for education (GEDU) shows a mean of 4.258 years with a standard deviation of 1.34. These statistics reveal considerable heterogeneity across countries and time, underscoring the need for dynamic panel estimation techniques employed in the study.</w:t>
      </w:r>
    </w:p>
    <w:p w14:paraId="456B2A72" w14:textId="1FF5CA70"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lastRenderedPageBreak/>
        <w:t xml:space="preserve">Table </w:t>
      </w:r>
      <w:r w:rsidR="00FD38B8">
        <w:rPr>
          <w:rFonts w:ascii="Arial" w:hAnsi="Arial" w:cs="Arial"/>
          <w:b/>
          <w:bCs/>
          <w:iCs/>
          <w:sz w:val="18"/>
        </w:rPr>
        <w:t>2</w:t>
      </w:r>
      <w:r w:rsidRPr="004A09D7">
        <w:rPr>
          <w:rFonts w:ascii="Arial" w:hAnsi="Arial" w:cs="Arial"/>
          <w:b/>
          <w:bCs/>
          <w:iCs/>
          <w:sz w:val="18"/>
        </w:rPr>
        <w:t>. Descriptive statistics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800"/>
        <w:gridCol w:w="1400"/>
        <w:gridCol w:w="1400"/>
        <w:gridCol w:w="1400"/>
        <w:gridCol w:w="1400"/>
      </w:tblGrid>
      <w:tr w:rsidR="004A09D7" w:rsidRPr="004A09D7" w14:paraId="216EE11E" w14:textId="77777777" w:rsidTr="001514BC">
        <w:tc>
          <w:tcPr>
            <w:tcW w:w="2508" w:type="dxa"/>
            <w:vAlign w:val="center"/>
          </w:tcPr>
          <w:p w14:paraId="3B482484"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Variable</w:t>
            </w:r>
          </w:p>
        </w:tc>
        <w:tc>
          <w:tcPr>
            <w:tcW w:w="800" w:type="dxa"/>
            <w:vAlign w:val="center"/>
          </w:tcPr>
          <w:p w14:paraId="59ADB245" w14:textId="67B750CC" w:rsidR="004A09D7" w:rsidRPr="004A09D7" w:rsidRDefault="004A09D7" w:rsidP="001514BC">
            <w:pPr>
              <w:pStyle w:val="Body"/>
              <w:spacing w:after="0"/>
              <w:jc w:val="center"/>
              <w:rPr>
                <w:rFonts w:ascii="Arial" w:hAnsi="Arial" w:cs="Arial"/>
                <w:iCs/>
                <w:sz w:val="18"/>
              </w:rPr>
            </w:pPr>
            <w:proofErr w:type="spellStart"/>
            <w:r w:rsidRPr="004A09D7">
              <w:rPr>
                <w:rFonts w:ascii="Arial" w:hAnsi="Arial" w:cs="Arial"/>
                <w:iCs/>
                <w:sz w:val="18"/>
              </w:rPr>
              <w:t>Obs</w:t>
            </w:r>
            <w:proofErr w:type="spellEnd"/>
          </w:p>
        </w:tc>
        <w:tc>
          <w:tcPr>
            <w:tcW w:w="1400" w:type="dxa"/>
            <w:vAlign w:val="center"/>
          </w:tcPr>
          <w:p w14:paraId="779CE47E" w14:textId="7EA386F6"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Mean</w:t>
            </w:r>
          </w:p>
        </w:tc>
        <w:tc>
          <w:tcPr>
            <w:tcW w:w="1400" w:type="dxa"/>
            <w:vAlign w:val="center"/>
          </w:tcPr>
          <w:p w14:paraId="58F6B766" w14:textId="627D77F0"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Std. Dev.</w:t>
            </w:r>
          </w:p>
        </w:tc>
        <w:tc>
          <w:tcPr>
            <w:tcW w:w="1400" w:type="dxa"/>
            <w:vAlign w:val="center"/>
          </w:tcPr>
          <w:p w14:paraId="0BE6A730" w14:textId="026F13AC"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Min</w:t>
            </w:r>
          </w:p>
        </w:tc>
        <w:tc>
          <w:tcPr>
            <w:tcW w:w="1400" w:type="dxa"/>
            <w:vAlign w:val="center"/>
          </w:tcPr>
          <w:p w14:paraId="2AA89BD4" w14:textId="7A526D05"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Max</w:t>
            </w:r>
          </w:p>
        </w:tc>
      </w:tr>
      <w:tr w:rsidR="004A09D7" w:rsidRPr="004A09D7" w14:paraId="022010ED" w14:textId="77777777" w:rsidTr="001514BC">
        <w:tc>
          <w:tcPr>
            <w:tcW w:w="2508" w:type="dxa"/>
            <w:vAlign w:val="center"/>
          </w:tcPr>
          <w:p w14:paraId="35BF1237" w14:textId="472D5A38" w:rsidR="004A09D7" w:rsidRPr="004A09D7" w:rsidRDefault="004A09D7" w:rsidP="001514BC">
            <w:pPr>
              <w:pStyle w:val="Body"/>
              <w:spacing w:after="0"/>
              <w:jc w:val="center"/>
              <w:rPr>
                <w:rFonts w:ascii="Arial" w:hAnsi="Arial" w:cs="Arial"/>
                <w:iCs/>
                <w:sz w:val="18"/>
              </w:rPr>
            </w:pPr>
            <w:proofErr w:type="spellStart"/>
            <w:r w:rsidRPr="004A09D7">
              <w:rPr>
                <w:rFonts w:ascii="Arial" w:hAnsi="Arial" w:cs="Arial"/>
                <w:iCs/>
                <w:sz w:val="18"/>
              </w:rPr>
              <w:t>logGDP</w:t>
            </w:r>
            <w:proofErr w:type="spellEnd"/>
          </w:p>
        </w:tc>
        <w:tc>
          <w:tcPr>
            <w:tcW w:w="800" w:type="dxa"/>
            <w:vAlign w:val="center"/>
          </w:tcPr>
          <w:p w14:paraId="7E2AAB68"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750</w:t>
            </w:r>
          </w:p>
        </w:tc>
        <w:tc>
          <w:tcPr>
            <w:tcW w:w="1400" w:type="dxa"/>
            <w:vAlign w:val="center"/>
          </w:tcPr>
          <w:p w14:paraId="45FEB668"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8.468</w:t>
            </w:r>
          </w:p>
        </w:tc>
        <w:tc>
          <w:tcPr>
            <w:tcW w:w="1400" w:type="dxa"/>
            <w:vAlign w:val="center"/>
          </w:tcPr>
          <w:p w14:paraId="57A896E9"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.501</w:t>
            </w:r>
          </w:p>
        </w:tc>
        <w:tc>
          <w:tcPr>
            <w:tcW w:w="1400" w:type="dxa"/>
            <w:vAlign w:val="center"/>
          </w:tcPr>
          <w:p w14:paraId="79B24E65"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6.903</w:t>
            </w:r>
          </w:p>
        </w:tc>
        <w:tc>
          <w:tcPr>
            <w:tcW w:w="1400" w:type="dxa"/>
            <w:vAlign w:val="center"/>
          </w:tcPr>
          <w:p w14:paraId="48766C28"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9.432</w:t>
            </w:r>
          </w:p>
        </w:tc>
      </w:tr>
      <w:tr w:rsidR="004A09D7" w:rsidRPr="004A09D7" w14:paraId="4CB8AE38" w14:textId="77777777" w:rsidTr="001514BC">
        <w:tc>
          <w:tcPr>
            <w:tcW w:w="2508" w:type="dxa"/>
            <w:vAlign w:val="center"/>
          </w:tcPr>
          <w:p w14:paraId="23361822" w14:textId="31EAFB6C"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CC</w:t>
            </w:r>
          </w:p>
        </w:tc>
        <w:tc>
          <w:tcPr>
            <w:tcW w:w="800" w:type="dxa"/>
            <w:vAlign w:val="center"/>
          </w:tcPr>
          <w:p w14:paraId="6D48A77E"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750</w:t>
            </w:r>
          </w:p>
        </w:tc>
        <w:tc>
          <w:tcPr>
            <w:tcW w:w="1400" w:type="dxa"/>
            <w:vAlign w:val="center"/>
          </w:tcPr>
          <w:p w14:paraId="174E8722"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-.285</w:t>
            </w:r>
          </w:p>
        </w:tc>
        <w:tc>
          <w:tcPr>
            <w:tcW w:w="1400" w:type="dxa"/>
            <w:vAlign w:val="center"/>
          </w:tcPr>
          <w:p w14:paraId="3AA2EEA8"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.575</w:t>
            </w:r>
          </w:p>
        </w:tc>
        <w:tc>
          <w:tcPr>
            <w:tcW w:w="1400" w:type="dxa"/>
            <w:vAlign w:val="center"/>
          </w:tcPr>
          <w:p w14:paraId="17AA6B91"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-1.527</w:t>
            </w:r>
          </w:p>
        </w:tc>
        <w:tc>
          <w:tcPr>
            <w:tcW w:w="1400" w:type="dxa"/>
            <w:vAlign w:val="center"/>
          </w:tcPr>
          <w:p w14:paraId="7FED468E"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1.331</w:t>
            </w:r>
          </w:p>
        </w:tc>
      </w:tr>
      <w:tr w:rsidR="004A09D7" w:rsidRPr="004A09D7" w14:paraId="72FE3BBA" w14:textId="77777777" w:rsidTr="001514BC">
        <w:tc>
          <w:tcPr>
            <w:tcW w:w="2508" w:type="dxa"/>
            <w:vAlign w:val="center"/>
          </w:tcPr>
          <w:p w14:paraId="64008544" w14:textId="1EBC3959"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GE</w:t>
            </w:r>
          </w:p>
        </w:tc>
        <w:tc>
          <w:tcPr>
            <w:tcW w:w="800" w:type="dxa"/>
            <w:vAlign w:val="center"/>
          </w:tcPr>
          <w:p w14:paraId="03056344"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750</w:t>
            </w:r>
          </w:p>
        </w:tc>
        <w:tc>
          <w:tcPr>
            <w:tcW w:w="1400" w:type="dxa"/>
            <w:vAlign w:val="center"/>
          </w:tcPr>
          <w:p w14:paraId="00BDC7DA"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-.106</w:t>
            </w:r>
          </w:p>
        </w:tc>
        <w:tc>
          <w:tcPr>
            <w:tcW w:w="1400" w:type="dxa"/>
            <w:vAlign w:val="center"/>
          </w:tcPr>
          <w:p w14:paraId="0BA8A6C1"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.532</w:t>
            </w:r>
          </w:p>
        </w:tc>
        <w:tc>
          <w:tcPr>
            <w:tcW w:w="1400" w:type="dxa"/>
            <w:vAlign w:val="center"/>
          </w:tcPr>
          <w:p w14:paraId="6011F932"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-1.21</w:t>
            </w:r>
          </w:p>
        </w:tc>
        <w:tc>
          <w:tcPr>
            <w:tcW w:w="1400" w:type="dxa"/>
            <w:vAlign w:val="center"/>
          </w:tcPr>
          <w:p w14:paraId="2C91DDFF"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1.238</w:t>
            </w:r>
          </w:p>
        </w:tc>
      </w:tr>
      <w:tr w:rsidR="004A09D7" w:rsidRPr="004A09D7" w14:paraId="6E8142D8" w14:textId="77777777" w:rsidTr="001514BC">
        <w:tc>
          <w:tcPr>
            <w:tcW w:w="2508" w:type="dxa"/>
            <w:vAlign w:val="center"/>
          </w:tcPr>
          <w:p w14:paraId="1E464256" w14:textId="35F0E060"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PS</w:t>
            </w:r>
          </w:p>
        </w:tc>
        <w:tc>
          <w:tcPr>
            <w:tcW w:w="800" w:type="dxa"/>
            <w:vAlign w:val="center"/>
          </w:tcPr>
          <w:p w14:paraId="086BA926"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750</w:t>
            </w:r>
          </w:p>
        </w:tc>
        <w:tc>
          <w:tcPr>
            <w:tcW w:w="1400" w:type="dxa"/>
            <w:vAlign w:val="center"/>
          </w:tcPr>
          <w:p w14:paraId="2544CA5B"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-.122</w:t>
            </w:r>
          </w:p>
        </w:tc>
        <w:tc>
          <w:tcPr>
            <w:tcW w:w="1400" w:type="dxa"/>
            <w:vAlign w:val="center"/>
          </w:tcPr>
          <w:p w14:paraId="5B13DDB3"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.746</w:t>
            </w:r>
          </w:p>
        </w:tc>
        <w:tc>
          <w:tcPr>
            <w:tcW w:w="1400" w:type="dxa"/>
            <w:vAlign w:val="center"/>
          </w:tcPr>
          <w:p w14:paraId="242CF14C"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-2.376</w:t>
            </w:r>
          </w:p>
        </w:tc>
        <w:tc>
          <w:tcPr>
            <w:tcW w:w="1400" w:type="dxa"/>
            <w:vAlign w:val="center"/>
          </w:tcPr>
          <w:p w14:paraId="6B31BF35"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1.344</w:t>
            </w:r>
          </w:p>
        </w:tc>
      </w:tr>
      <w:tr w:rsidR="004A09D7" w:rsidRPr="004A09D7" w14:paraId="32C27339" w14:textId="77777777" w:rsidTr="001514BC">
        <w:tc>
          <w:tcPr>
            <w:tcW w:w="2508" w:type="dxa"/>
            <w:vAlign w:val="center"/>
          </w:tcPr>
          <w:p w14:paraId="6FEE5C91" w14:textId="74DCA2EE"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RQ</w:t>
            </w:r>
          </w:p>
        </w:tc>
        <w:tc>
          <w:tcPr>
            <w:tcW w:w="800" w:type="dxa"/>
            <w:vAlign w:val="center"/>
          </w:tcPr>
          <w:p w14:paraId="26620982"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750</w:t>
            </w:r>
          </w:p>
        </w:tc>
        <w:tc>
          <w:tcPr>
            <w:tcW w:w="1400" w:type="dxa"/>
            <w:vAlign w:val="center"/>
          </w:tcPr>
          <w:p w14:paraId="1A138A2F"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-.077</w:t>
            </w:r>
          </w:p>
        </w:tc>
        <w:tc>
          <w:tcPr>
            <w:tcW w:w="1400" w:type="dxa"/>
            <w:vAlign w:val="center"/>
          </w:tcPr>
          <w:p w14:paraId="7AA8EB43"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.528</w:t>
            </w:r>
          </w:p>
        </w:tc>
        <w:tc>
          <w:tcPr>
            <w:tcW w:w="1400" w:type="dxa"/>
            <w:vAlign w:val="center"/>
          </w:tcPr>
          <w:p w14:paraId="3D566067"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-1.709</w:t>
            </w:r>
          </w:p>
        </w:tc>
        <w:tc>
          <w:tcPr>
            <w:tcW w:w="1400" w:type="dxa"/>
            <w:vAlign w:val="center"/>
          </w:tcPr>
          <w:p w14:paraId="35BD1B06"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1.26</w:t>
            </w:r>
          </w:p>
        </w:tc>
      </w:tr>
      <w:tr w:rsidR="004A09D7" w:rsidRPr="004A09D7" w14:paraId="15D0D959" w14:textId="77777777" w:rsidTr="001514BC">
        <w:tc>
          <w:tcPr>
            <w:tcW w:w="2508" w:type="dxa"/>
            <w:vAlign w:val="center"/>
          </w:tcPr>
          <w:p w14:paraId="68CB1477" w14:textId="4F637F6B"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RL</w:t>
            </w:r>
          </w:p>
        </w:tc>
        <w:tc>
          <w:tcPr>
            <w:tcW w:w="800" w:type="dxa"/>
            <w:vAlign w:val="center"/>
          </w:tcPr>
          <w:p w14:paraId="51DD135D"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750</w:t>
            </w:r>
          </w:p>
        </w:tc>
        <w:tc>
          <w:tcPr>
            <w:tcW w:w="1400" w:type="dxa"/>
            <w:vAlign w:val="center"/>
          </w:tcPr>
          <w:p w14:paraId="293CB379"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-.24</w:t>
            </w:r>
          </w:p>
        </w:tc>
        <w:tc>
          <w:tcPr>
            <w:tcW w:w="1400" w:type="dxa"/>
            <w:vAlign w:val="center"/>
          </w:tcPr>
          <w:p w14:paraId="18BDF6E3"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.585</w:t>
            </w:r>
          </w:p>
        </w:tc>
        <w:tc>
          <w:tcPr>
            <w:tcW w:w="1400" w:type="dxa"/>
            <w:vAlign w:val="center"/>
          </w:tcPr>
          <w:p w14:paraId="4AB51258"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-1.304</w:t>
            </w:r>
          </w:p>
        </w:tc>
        <w:tc>
          <w:tcPr>
            <w:tcW w:w="1400" w:type="dxa"/>
            <w:vAlign w:val="center"/>
          </w:tcPr>
          <w:p w14:paraId="1F8D966F"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1.271</w:t>
            </w:r>
          </w:p>
        </w:tc>
      </w:tr>
      <w:tr w:rsidR="004A09D7" w:rsidRPr="004A09D7" w14:paraId="0375CC89" w14:textId="77777777" w:rsidTr="001514BC">
        <w:tc>
          <w:tcPr>
            <w:tcW w:w="2508" w:type="dxa"/>
            <w:vAlign w:val="center"/>
          </w:tcPr>
          <w:p w14:paraId="082EE794" w14:textId="371C088F"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VA</w:t>
            </w:r>
          </w:p>
        </w:tc>
        <w:tc>
          <w:tcPr>
            <w:tcW w:w="800" w:type="dxa"/>
            <w:vAlign w:val="center"/>
          </w:tcPr>
          <w:p w14:paraId="0A76CDBE"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750</w:t>
            </w:r>
          </w:p>
        </w:tc>
        <w:tc>
          <w:tcPr>
            <w:tcW w:w="1400" w:type="dxa"/>
            <w:vAlign w:val="center"/>
          </w:tcPr>
          <w:p w14:paraId="0ABFB59D"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-.048</w:t>
            </w:r>
          </w:p>
        </w:tc>
        <w:tc>
          <w:tcPr>
            <w:tcW w:w="1400" w:type="dxa"/>
            <w:vAlign w:val="center"/>
          </w:tcPr>
          <w:p w14:paraId="77A6F55D"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.733</w:t>
            </w:r>
          </w:p>
        </w:tc>
        <w:tc>
          <w:tcPr>
            <w:tcW w:w="1400" w:type="dxa"/>
            <w:vAlign w:val="center"/>
          </w:tcPr>
          <w:p w14:paraId="5B1FECDD"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-1.767</w:t>
            </w:r>
          </w:p>
        </w:tc>
        <w:tc>
          <w:tcPr>
            <w:tcW w:w="1400" w:type="dxa"/>
            <w:vAlign w:val="center"/>
          </w:tcPr>
          <w:p w14:paraId="72CED2B1"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1.222</w:t>
            </w:r>
          </w:p>
        </w:tc>
      </w:tr>
      <w:tr w:rsidR="004A09D7" w:rsidRPr="004A09D7" w14:paraId="535CCA5F" w14:textId="77777777" w:rsidTr="001514BC">
        <w:tc>
          <w:tcPr>
            <w:tcW w:w="2508" w:type="dxa"/>
            <w:vAlign w:val="center"/>
          </w:tcPr>
          <w:p w14:paraId="59345D8A" w14:textId="498123E0"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GGDP</w:t>
            </w:r>
          </w:p>
        </w:tc>
        <w:tc>
          <w:tcPr>
            <w:tcW w:w="800" w:type="dxa"/>
            <w:vAlign w:val="center"/>
          </w:tcPr>
          <w:p w14:paraId="48F552B2"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750</w:t>
            </w:r>
          </w:p>
        </w:tc>
        <w:tc>
          <w:tcPr>
            <w:tcW w:w="1400" w:type="dxa"/>
            <w:vAlign w:val="center"/>
          </w:tcPr>
          <w:p w14:paraId="06724F29"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3.791</w:t>
            </w:r>
          </w:p>
        </w:tc>
        <w:tc>
          <w:tcPr>
            <w:tcW w:w="1400" w:type="dxa"/>
            <w:vAlign w:val="center"/>
          </w:tcPr>
          <w:p w14:paraId="6A5378DC"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5.495</w:t>
            </w:r>
          </w:p>
        </w:tc>
        <w:tc>
          <w:tcPr>
            <w:tcW w:w="1400" w:type="dxa"/>
            <w:vAlign w:val="center"/>
          </w:tcPr>
          <w:p w14:paraId="1F508D21"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-32.909</w:t>
            </w:r>
          </w:p>
        </w:tc>
        <w:tc>
          <w:tcPr>
            <w:tcW w:w="1400" w:type="dxa"/>
            <w:vAlign w:val="center"/>
          </w:tcPr>
          <w:p w14:paraId="7042F278"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37.508</w:t>
            </w:r>
          </w:p>
        </w:tc>
      </w:tr>
      <w:tr w:rsidR="004A09D7" w:rsidRPr="004A09D7" w14:paraId="18248171" w14:textId="77777777" w:rsidTr="001514BC">
        <w:tc>
          <w:tcPr>
            <w:tcW w:w="2508" w:type="dxa"/>
            <w:vAlign w:val="center"/>
          </w:tcPr>
          <w:p w14:paraId="29CC8431" w14:textId="7A4A1E9D"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INF</w:t>
            </w:r>
          </w:p>
        </w:tc>
        <w:tc>
          <w:tcPr>
            <w:tcW w:w="800" w:type="dxa"/>
            <w:vAlign w:val="center"/>
          </w:tcPr>
          <w:p w14:paraId="25F811F0"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750</w:t>
            </w:r>
          </w:p>
        </w:tc>
        <w:tc>
          <w:tcPr>
            <w:tcW w:w="1400" w:type="dxa"/>
            <w:vAlign w:val="center"/>
          </w:tcPr>
          <w:p w14:paraId="38D4D843"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6.726</w:t>
            </w:r>
          </w:p>
        </w:tc>
        <w:tc>
          <w:tcPr>
            <w:tcW w:w="1400" w:type="dxa"/>
            <w:vAlign w:val="center"/>
          </w:tcPr>
          <w:p w14:paraId="58796565"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10.438</w:t>
            </w:r>
          </w:p>
        </w:tc>
        <w:tc>
          <w:tcPr>
            <w:tcW w:w="1400" w:type="dxa"/>
            <w:vAlign w:val="center"/>
          </w:tcPr>
          <w:p w14:paraId="4433B27A"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-7.114</w:t>
            </w:r>
          </w:p>
        </w:tc>
        <w:tc>
          <w:tcPr>
            <w:tcW w:w="1400" w:type="dxa"/>
            <w:vAlign w:val="center"/>
          </w:tcPr>
          <w:p w14:paraId="0E52C38C"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168.62</w:t>
            </w:r>
          </w:p>
        </w:tc>
      </w:tr>
      <w:tr w:rsidR="004A09D7" w:rsidRPr="004A09D7" w14:paraId="4BE58775" w14:textId="77777777" w:rsidTr="001514BC">
        <w:tc>
          <w:tcPr>
            <w:tcW w:w="2508" w:type="dxa"/>
            <w:vAlign w:val="center"/>
          </w:tcPr>
          <w:p w14:paraId="4B868CA3" w14:textId="08856FDD"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INR</w:t>
            </w:r>
          </w:p>
        </w:tc>
        <w:tc>
          <w:tcPr>
            <w:tcW w:w="800" w:type="dxa"/>
            <w:vAlign w:val="center"/>
          </w:tcPr>
          <w:p w14:paraId="03CE3916"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712</w:t>
            </w:r>
          </w:p>
        </w:tc>
        <w:tc>
          <w:tcPr>
            <w:tcW w:w="1400" w:type="dxa"/>
            <w:vAlign w:val="center"/>
          </w:tcPr>
          <w:p w14:paraId="1970BBBD"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7.772</w:t>
            </w:r>
          </w:p>
        </w:tc>
        <w:tc>
          <w:tcPr>
            <w:tcW w:w="1400" w:type="dxa"/>
            <w:vAlign w:val="center"/>
          </w:tcPr>
          <w:p w14:paraId="14DF04B9"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9.859</w:t>
            </w:r>
          </w:p>
        </w:tc>
        <w:tc>
          <w:tcPr>
            <w:tcW w:w="1400" w:type="dxa"/>
            <w:vAlign w:val="center"/>
          </w:tcPr>
          <w:p w14:paraId="4AC4F67D"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-41.23</w:t>
            </w:r>
          </w:p>
        </w:tc>
        <w:tc>
          <w:tcPr>
            <w:tcW w:w="1400" w:type="dxa"/>
            <w:vAlign w:val="center"/>
          </w:tcPr>
          <w:p w14:paraId="0130E59E"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77.617</w:t>
            </w:r>
          </w:p>
        </w:tc>
      </w:tr>
      <w:tr w:rsidR="004A09D7" w:rsidRPr="004A09D7" w14:paraId="3F645D28" w14:textId="77777777" w:rsidTr="001514BC">
        <w:tc>
          <w:tcPr>
            <w:tcW w:w="2508" w:type="dxa"/>
            <w:vAlign w:val="center"/>
          </w:tcPr>
          <w:p w14:paraId="3F8A8206" w14:textId="02212A76"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GEDU</w:t>
            </w:r>
          </w:p>
        </w:tc>
        <w:tc>
          <w:tcPr>
            <w:tcW w:w="800" w:type="dxa"/>
            <w:vAlign w:val="center"/>
          </w:tcPr>
          <w:p w14:paraId="3FAB0269"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624</w:t>
            </w:r>
          </w:p>
        </w:tc>
        <w:tc>
          <w:tcPr>
            <w:tcW w:w="1400" w:type="dxa"/>
            <w:vAlign w:val="center"/>
          </w:tcPr>
          <w:p w14:paraId="1E885502"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4.258</w:t>
            </w:r>
          </w:p>
        </w:tc>
        <w:tc>
          <w:tcPr>
            <w:tcW w:w="1400" w:type="dxa"/>
            <w:vAlign w:val="center"/>
          </w:tcPr>
          <w:p w14:paraId="6F31DF8D"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1.34</w:t>
            </w:r>
          </w:p>
        </w:tc>
        <w:tc>
          <w:tcPr>
            <w:tcW w:w="1400" w:type="dxa"/>
            <w:vAlign w:val="center"/>
          </w:tcPr>
          <w:p w14:paraId="675A1C68"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.243</w:t>
            </w:r>
          </w:p>
        </w:tc>
        <w:tc>
          <w:tcPr>
            <w:tcW w:w="1400" w:type="dxa"/>
            <w:vAlign w:val="center"/>
          </w:tcPr>
          <w:p w14:paraId="0700A91C"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9.897</w:t>
            </w:r>
          </w:p>
        </w:tc>
      </w:tr>
    </w:tbl>
    <w:p w14:paraId="08569409" w14:textId="77777777" w:rsidR="004A09D7" w:rsidRPr="004A09D7" w:rsidRDefault="004A09D7" w:rsidP="004A09D7">
      <w:pPr>
        <w:pStyle w:val="Body"/>
        <w:spacing w:after="0"/>
        <w:rPr>
          <w:rFonts w:ascii="Arial" w:hAnsi="Arial" w:cs="Arial"/>
          <w:b/>
          <w:bCs/>
          <w:iCs/>
          <w:sz w:val="18"/>
        </w:rPr>
      </w:pPr>
    </w:p>
    <w:p w14:paraId="7C79E233" w14:textId="77777777" w:rsidR="004A09D7" w:rsidRPr="004A09D7" w:rsidRDefault="004A09D7" w:rsidP="004A09D7">
      <w:pPr>
        <w:pStyle w:val="Body"/>
        <w:spacing w:after="0"/>
        <w:rPr>
          <w:rFonts w:ascii="Arial" w:hAnsi="Arial" w:cs="Arial"/>
          <w:b/>
          <w:bCs/>
          <w:iCs/>
          <w:sz w:val="18"/>
        </w:rPr>
      </w:pPr>
    </w:p>
    <w:p w14:paraId="582DD670" w14:textId="77777777" w:rsidR="004A09D7" w:rsidRPr="004A09D7" w:rsidRDefault="004A09D7" w:rsidP="004A09D7">
      <w:pPr>
        <w:pStyle w:val="Body"/>
        <w:spacing w:after="0"/>
        <w:rPr>
          <w:rFonts w:ascii="Arial" w:hAnsi="Arial" w:cs="Arial"/>
          <w:b/>
          <w:bCs/>
          <w:iCs/>
          <w:sz w:val="18"/>
        </w:rPr>
      </w:pPr>
    </w:p>
    <w:p w14:paraId="71886685" w14:textId="01D9F52C"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Tables </w:t>
      </w:r>
      <w:r w:rsidR="00FD38B8">
        <w:rPr>
          <w:rFonts w:ascii="Arial" w:hAnsi="Arial" w:cs="Arial"/>
          <w:iCs/>
          <w:sz w:val="18"/>
        </w:rPr>
        <w:t>3</w:t>
      </w:r>
      <w:r w:rsidRPr="004A09D7">
        <w:rPr>
          <w:rFonts w:ascii="Arial" w:hAnsi="Arial" w:cs="Arial"/>
          <w:iCs/>
          <w:sz w:val="18"/>
        </w:rPr>
        <w:t xml:space="preserve"> and </w:t>
      </w:r>
      <w:r w:rsidR="00FD38B8">
        <w:rPr>
          <w:rFonts w:ascii="Arial" w:hAnsi="Arial" w:cs="Arial"/>
          <w:iCs/>
          <w:sz w:val="18"/>
        </w:rPr>
        <w:t>4</w:t>
      </w:r>
      <w:r w:rsidRPr="004A09D7">
        <w:rPr>
          <w:rFonts w:ascii="Arial" w:hAnsi="Arial" w:cs="Arial"/>
          <w:iCs/>
          <w:sz w:val="18"/>
        </w:rPr>
        <w:t xml:space="preserve"> provide complementary evidence on the relationship between various governance indicators and economic growth among upper-middle-income economies from 1996 to 2023. Table </w:t>
      </w:r>
      <w:r w:rsidR="00FD38B8">
        <w:rPr>
          <w:rFonts w:ascii="Arial" w:hAnsi="Arial" w:cs="Arial"/>
          <w:iCs/>
          <w:sz w:val="18"/>
        </w:rPr>
        <w:t xml:space="preserve">3 </w:t>
      </w:r>
      <w:r w:rsidRPr="004A09D7">
        <w:rPr>
          <w:rFonts w:ascii="Arial" w:hAnsi="Arial" w:cs="Arial"/>
          <w:iCs/>
          <w:sz w:val="18"/>
        </w:rPr>
        <w:t>reports the results from static panel estimates (pooled OLS, fixed effects, random effects), while Table 5 presents findings from dynamic panel models using GMM and system GMM estimators, which control endogeneity and persistence.</w:t>
      </w:r>
    </w:p>
    <w:p w14:paraId="18D1E25F" w14:textId="4025DBB5"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Table </w:t>
      </w:r>
      <w:r w:rsidR="00FD38B8">
        <w:rPr>
          <w:rFonts w:ascii="Arial" w:hAnsi="Arial" w:cs="Arial"/>
          <w:iCs/>
          <w:sz w:val="18"/>
        </w:rPr>
        <w:t>3</w:t>
      </w:r>
      <w:r w:rsidRPr="004A09D7">
        <w:rPr>
          <w:rFonts w:ascii="Arial" w:hAnsi="Arial" w:cs="Arial"/>
          <w:iCs/>
          <w:sz w:val="18"/>
        </w:rPr>
        <w:t xml:space="preserve"> shows that some governance dimensions have a statistically significant association with economic growth in the static framework. Government Effectiveness (GE) is consistently significant and positive across all models. This suggests that improvements in the quality of public services, bureaucracy, and policy implementation foster economic growth in upper-middle-income economies. This outcome aligns with </w:t>
      </w:r>
      <w:proofErr w:type="spellStart"/>
      <w:r w:rsidRPr="004A09D7">
        <w:rPr>
          <w:rFonts w:ascii="Arial" w:hAnsi="Arial" w:cs="Arial"/>
          <w:iCs/>
          <w:sz w:val="18"/>
        </w:rPr>
        <w:t>Mehanna</w:t>
      </w:r>
      <w:proofErr w:type="spellEnd"/>
      <w:r w:rsidRPr="004A09D7">
        <w:rPr>
          <w:rFonts w:ascii="Arial" w:hAnsi="Arial" w:cs="Arial"/>
          <w:iCs/>
          <w:sz w:val="18"/>
        </w:rPr>
        <w:t xml:space="preserve"> et al. (2010) and Medina-Moral &amp; Montes-Gan (2018), who also documented a strong positive role of effective institutions.</w:t>
      </w:r>
    </w:p>
    <w:p w14:paraId="46E61946"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The results of Rule of Law (RL) are mixed across the models. It emerges as negative and significant under pooled OLS (-0.257), but positive and significant under FE (0.185) and RE (0.167). This contrast suggests that once country-specific heterogeneity is controlled for (FE/RE), rule of law indeed strengthens growth. This supports the arguments of Acemoglu, Johnson &amp; Robinson (2005) that institutional enforcement is critical for long-run growth.</w:t>
      </w:r>
    </w:p>
    <w:p w14:paraId="04646634"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Political stability is positive and significant in OLS (0.153) but loses significance in FE and RE models. This implies that stability matters at the cross-country level, but its within-country effect is limited. In line with Uddin et al. (2017), stability may promote growth, but its effect depends on institutional maturity.</w:t>
      </w:r>
    </w:p>
    <w:p w14:paraId="1AB18F37"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RQ is positive and significant under FE/RE but not in OLS, suggesting that sound regulation promotes private sector growth once country heterogeneity is accounted for. Similar conclusions were drawn by </w:t>
      </w:r>
      <w:proofErr w:type="spellStart"/>
      <w:r w:rsidRPr="004A09D7">
        <w:rPr>
          <w:rFonts w:ascii="Arial" w:hAnsi="Arial" w:cs="Arial"/>
          <w:iCs/>
          <w:sz w:val="18"/>
        </w:rPr>
        <w:t>Jalilian</w:t>
      </w:r>
      <w:proofErr w:type="spellEnd"/>
      <w:r w:rsidRPr="004A09D7">
        <w:rPr>
          <w:rFonts w:ascii="Arial" w:hAnsi="Arial" w:cs="Arial"/>
          <w:iCs/>
          <w:sz w:val="18"/>
        </w:rPr>
        <w:t>, Kirkpatrick &amp; Parker (2006) regarding regulation and development.</w:t>
      </w:r>
    </w:p>
    <w:p w14:paraId="28CFFEE8"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Both Control of Corruption (CC) and Voice and Accountability (VA) are statistically insignificant across models. This may imply that, in upper-middle-income countries, corruption control and accountability mechanisms are not yet robust enough to drive measurable growth impacts. This diverges from findings in developed economies (Zhang et al., 2020), where CC and VA were strong growth drivers.</w:t>
      </w:r>
    </w:p>
    <w:p w14:paraId="4E72E086"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Macroeconomic controls behave as expected. Inflation and interest rates have positive and significant coefficients in FE and RE, which are counterintuitive but may reflect controlled inflationary environments or financial deepening in these economies. Education expenditure remains insignificant, indicating that the growth effects of education spending are long-term and not immediately visible. The significant Hausman statistic (p=0.000) confirms that the FE model is more appropriate than RE, as regressors are correlated with unobserved effects.</w:t>
      </w:r>
    </w:p>
    <w:p w14:paraId="281C5125" w14:textId="77777777" w:rsidR="004A09D7" w:rsidRPr="004A09D7" w:rsidRDefault="004A09D7" w:rsidP="004A09D7">
      <w:pPr>
        <w:pStyle w:val="Body"/>
        <w:spacing w:after="0"/>
        <w:rPr>
          <w:rFonts w:ascii="Arial" w:hAnsi="Arial" w:cs="Arial"/>
          <w:iCs/>
          <w:sz w:val="18"/>
        </w:rPr>
      </w:pPr>
    </w:p>
    <w:p w14:paraId="6161B176" w14:textId="77777777" w:rsidR="004A09D7" w:rsidRPr="004A09D7" w:rsidRDefault="004A09D7" w:rsidP="004A09D7">
      <w:pPr>
        <w:pStyle w:val="Body"/>
        <w:spacing w:after="0"/>
        <w:rPr>
          <w:rFonts w:ascii="Arial" w:hAnsi="Arial" w:cs="Arial"/>
          <w:b/>
          <w:bCs/>
          <w:iCs/>
          <w:sz w:val="18"/>
        </w:rPr>
      </w:pPr>
    </w:p>
    <w:p w14:paraId="7BE1DE78" w14:textId="1478DAA5"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 xml:space="preserve">Table </w:t>
      </w:r>
      <w:r w:rsidR="00FD38B8">
        <w:rPr>
          <w:rFonts w:ascii="Arial" w:hAnsi="Arial" w:cs="Arial"/>
          <w:b/>
          <w:bCs/>
          <w:iCs/>
          <w:sz w:val="18"/>
        </w:rPr>
        <w:t>3</w:t>
      </w:r>
      <w:r w:rsidRPr="004A09D7">
        <w:rPr>
          <w:rFonts w:ascii="Arial" w:hAnsi="Arial" w:cs="Arial"/>
          <w:b/>
          <w:bCs/>
          <w:iCs/>
          <w:sz w:val="18"/>
        </w:rPr>
        <w:t>. Impact of Governance on Economic Growth: Estimates from Static Panel Models</w:t>
      </w:r>
    </w:p>
    <w:tbl>
      <w:tblPr>
        <w:tblStyle w:val="TableGrid1"/>
        <w:tblW w:w="0" w:type="auto"/>
        <w:tblInd w:w="0" w:type="dxa"/>
        <w:tblLook w:val="04A0" w:firstRow="1" w:lastRow="0" w:firstColumn="1" w:lastColumn="0" w:noHBand="0" w:noVBand="1"/>
      </w:tblPr>
      <w:tblGrid>
        <w:gridCol w:w="2109"/>
        <w:gridCol w:w="2105"/>
        <w:gridCol w:w="2105"/>
        <w:gridCol w:w="2105"/>
      </w:tblGrid>
      <w:tr w:rsidR="004A09D7" w:rsidRPr="004A09D7" w14:paraId="366E9DD4" w14:textId="77777777" w:rsidTr="001514BC">
        <w:tc>
          <w:tcPr>
            <w:tcW w:w="2337" w:type="dxa"/>
            <w:tcBorders>
              <w:top w:val="single" w:sz="4" w:space="0" w:color="auto"/>
              <w:left w:val="single" w:sz="4" w:space="0" w:color="auto"/>
              <w:bottom w:val="single" w:sz="4" w:space="0" w:color="auto"/>
              <w:right w:val="single" w:sz="4" w:space="0" w:color="auto"/>
            </w:tcBorders>
            <w:vAlign w:val="center"/>
            <w:hideMark/>
          </w:tcPr>
          <w:p w14:paraId="2320A34C"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 xml:space="preserve">Dependent variable: </w:t>
            </w:r>
            <w:proofErr w:type="spellStart"/>
            <w:r w:rsidRPr="004A09D7">
              <w:rPr>
                <w:rFonts w:ascii="Arial" w:eastAsia="Times New Roman" w:hAnsi="Arial" w:cs="Arial"/>
                <w:iCs/>
                <w:sz w:val="18"/>
              </w:rPr>
              <w:t>logGDP</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36255E4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Pooled OLS</w:t>
            </w:r>
          </w:p>
        </w:tc>
        <w:tc>
          <w:tcPr>
            <w:tcW w:w="2338" w:type="dxa"/>
            <w:tcBorders>
              <w:top w:val="single" w:sz="4" w:space="0" w:color="auto"/>
              <w:left w:val="single" w:sz="4" w:space="0" w:color="auto"/>
              <w:bottom w:val="single" w:sz="4" w:space="0" w:color="auto"/>
              <w:right w:val="single" w:sz="4" w:space="0" w:color="auto"/>
            </w:tcBorders>
            <w:vAlign w:val="center"/>
            <w:hideMark/>
          </w:tcPr>
          <w:p w14:paraId="529E57BB"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Fixed effect</w:t>
            </w:r>
          </w:p>
        </w:tc>
        <w:tc>
          <w:tcPr>
            <w:tcW w:w="2338" w:type="dxa"/>
            <w:tcBorders>
              <w:top w:val="single" w:sz="4" w:space="0" w:color="auto"/>
              <w:left w:val="single" w:sz="4" w:space="0" w:color="auto"/>
              <w:bottom w:val="single" w:sz="4" w:space="0" w:color="auto"/>
              <w:right w:val="single" w:sz="4" w:space="0" w:color="auto"/>
            </w:tcBorders>
            <w:vAlign w:val="center"/>
            <w:hideMark/>
          </w:tcPr>
          <w:p w14:paraId="1F987288"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Random effect</w:t>
            </w:r>
          </w:p>
        </w:tc>
      </w:tr>
      <w:tr w:rsidR="004A09D7" w:rsidRPr="004A09D7" w14:paraId="2D07FB10"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4CA9A05D"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CC</w:t>
            </w:r>
          </w:p>
        </w:tc>
        <w:tc>
          <w:tcPr>
            <w:tcW w:w="2337" w:type="dxa"/>
            <w:tcBorders>
              <w:top w:val="single" w:sz="4" w:space="0" w:color="auto"/>
              <w:left w:val="single" w:sz="4" w:space="0" w:color="auto"/>
              <w:bottom w:val="single" w:sz="4" w:space="0" w:color="auto"/>
              <w:right w:val="single" w:sz="4" w:space="0" w:color="auto"/>
            </w:tcBorders>
            <w:vAlign w:val="center"/>
            <w:hideMark/>
          </w:tcPr>
          <w:p w14:paraId="2279DB2A"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0.0696</w:t>
            </w:r>
          </w:p>
          <w:p w14:paraId="37D9A9C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(1.27)</w:t>
            </w:r>
          </w:p>
        </w:tc>
        <w:tc>
          <w:tcPr>
            <w:tcW w:w="2338" w:type="dxa"/>
            <w:tcBorders>
              <w:top w:val="single" w:sz="4" w:space="0" w:color="auto"/>
              <w:left w:val="single" w:sz="4" w:space="0" w:color="auto"/>
              <w:bottom w:val="single" w:sz="4" w:space="0" w:color="auto"/>
              <w:right w:val="single" w:sz="4" w:space="0" w:color="auto"/>
            </w:tcBorders>
            <w:vAlign w:val="center"/>
            <w:hideMark/>
          </w:tcPr>
          <w:p w14:paraId="3452469A"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-0.0350</w:t>
            </w:r>
          </w:p>
          <w:p w14:paraId="536B5497"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(-0.63)</w:t>
            </w:r>
          </w:p>
        </w:tc>
        <w:tc>
          <w:tcPr>
            <w:tcW w:w="2338" w:type="dxa"/>
            <w:tcBorders>
              <w:top w:val="single" w:sz="4" w:space="0" w:color="auto"/>
              <w:left w:val="single" w:sz="4" w:space="0" w:color="auto"/>
              <w:bottom w:val="single" w:sz="4" w:space="0" w:color="auto"/>
              <w:right w:val="single" w:sz="4" w:space="0" w:color="auto"/>
            </w:tcBorders>
            <w:vAlign w:val="center"/>
            <w:hideMark/>
          </w:tcPr>
          <w:p w14:paraId="57990C1B"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-0.0273</w:t>
            </w:r>
          </w:p>
          <w:p w14:paraId="25724D3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(-0.51)</w:t>
            </w:r>
          </w:p>
        </w:tc>
      </w:tr>
      <w:tr w:rsidR="004A09D7" w:rsidRPr="004A09D7" w14:paraId="64BDF3F1"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2637596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GE</w:t>
            </w:r>
          </w:p>
        </w:tc>
        <w:tc>
          <w:tcPr>
            <w:tcW w:w="2337" w:type="dxa"/>
            <w:tcBorders>
              <w:top w:val="single" w:sz="4" w:space="0" w:color="auto"/>
              <w:left w:val="single" w:sz="4" w:space="0" w:color="auto"/>
              <w:bottom w:val="single" w:sz="4" w:space="0" w:color="auto"/>
              <w:right w:val="single" w:sz="4" w:space="0" w:color="auto"/>
            </w:tcBorders>
            <w:vAlign w:val="center"/>
            <w:hideMark/>
          </w:tcPr>
          <w:p w14:paraId="346C731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0.500***</w:t>
            </w:r>
          </w:p>
          <w:p w14:paraId="3F87400C"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(7.01)</w:t>
            </w:r>
          </w:p>
        </w:tc>
        <w:tc>
          <w:tcPr>
            <w:tcW w:w="2338" w:type="dxa"/>
            <w:tcBorders>
              <w:top w:val="single" w:sz="4" w:space="0" w:color="auto"/>
              <w:left w:val="single" w:sz="4" w:space="0" w:color="auto"/>
              <w:bottom w:val="single" w:sz="4" w:space="0" w:color="auto"/>
              <w:right w:val="single" w:sz="4" w:space="0" w:color="auto"/>
            </w:tcBorders>
            <w:vAlign w:val="center"/>
            <w:hideMark/>
          </w:tcPr>
          <w:p w14:paraId="42B0E347"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0.163***</w:t>
            </w:r>
          </w:p>
          <w:p w14:paraId="170BE93F"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(3.20)</w:t>
            </w:r>
          </w:p>
        </w:tc>
        <w:tc>
          <w:tcPr>
            <w:tcW w:w="2338" w:type="dxa"/>
            <w:tcBorders>
              <w:top w:val="single" w:sz="4" w:space="0" w:color="auto"/>
              <w:left w:val="single" w:sz="4" w:space="0" w:color="auto"/>
              <w:bottom w:val="single" w:sz="4" w:space="0" w:color="auto"/>
              <w:right w:val="single" w:sz="4" w:space="0" w:color="auto"/>
            </w:tcBorders>
            <w:vAlign w:val="center"/>
            <w:hideMark/>
          </w:tcPr>
          <w:p w14:paraId="3EFFD02E"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0.172***</w:t>
            </w:r>
          </w:p>
          <w:p w14:paraId="76E25AAF"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(3.40)</w:t>
            </w:r>
          </w:p>
        </w:tc>
      </w:tr>
      <w:tr w:rsidR="004A09D7" w:rsidRPr="004A09D7" w14:paraId="7928CC89"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664454DE"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lastRenderedPageBreak/>
              <w:t>PS</w:t>
            </w:r>
          </w:p>
        </w:tc>
        <w:tc>
          <w:tcPr>
            <w:tcW w:w="2337" w:type="dxa"/>
            <w:tcBorders>
              <w:top w:val="single" w:sz="4" w:space="0" w:color="auto"/>
              <w:left w:val="single" w:sz="4" w:space="0" w:color="auto"/>
              <w:bottom w:val="single" w:sz="4" w:space="0" w:color="auto"/>
              <w:right w:val="single" w:sz="4" w:space="0" w:color="auto"/>
            </w:tcBorders>
            <w:vAlign w:val="center"/>
            <w:hideMark/>
          </w:tcPr>
          <w:p w14:paraId="6678AD3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0.153***</w:t>
            </w:r>
          </w:p>
          <w:p w14:paraId="3E997497"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(4.01)</w:t>
            </w:r>
          </w:p>
        </w:tc>
        <w:tc>
          <w:tcPr>
            <w:tcW w:w="2338" w:type="dxa"/>
            <w:tcBorders>
              <w:top w:val="single" w:sz="4" w:space="0" w:color="auto"/>
              <w:left w:val="single" w:sz="4" w:space="0" w:color="auto"/>
              <w:bottom w:val="single" w:sz="4" w:space="0" w:color="auto"/>
              <w:right w:val="single" w:sz="4" w:space="0" w:color="auto"/>
            </w:tcBorders>
            <w:vAlign w:val="center"/>
            <w:hideMark/>
          </w:tcPr>
          <w:p w14:paraId="201A906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-0.0287</w:t>
            </w:r>
          </w:p>
          <w:p w14:paraId="3621DD0A"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(-0.95)</w:t>
            </w:r>
          </w:p>
        </w:tc>
        <w:tc>
          <w:tcPr>
            <w:tcW w:w="2338" w:type="dxa"/>
            <w:tcBorders>
              <w:top w:val="single" w:sz="4" w:space="0" w:color="auto"/>
              <w:left w:val="single" w:sz="4" w:space="0" w:color="auto"/>
              <w:bottom w:val="single" w:sz="4" w:space="0" w:color="auto"/>
              <w:right w:val="single" w:sz="4" w:space="0" w:color="auto"/>
            </w:tcBorders>
            <w:vAlign w:val="center"/>
            <w:hideMark/>
          </w:tcPr>
          <w:p w14:paraId="4C298F84"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-0.0221</w:t>
            </w:r>
          </w:p>
          <w:p w14:paraId="71738E58"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(-0.75)</w:t>
            </w:r>
          </w:p>
        </w:tc>
      </w:tr>
      <w:tr w:rsidR="004A09D7" w:rsidRPr="004A09D7" w14:paraId="531D9311"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2D3BACAA"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RQ</w:t>
            </w:r>
          </w:p>
        </w:tc>
        <w:tc>
          <w:tcPr>
            <w:tcW w:w="2337" w:type="dxa"/>
            <w:tcBorders>
              <w:top w:val="single" w:sz="4" w:space="0" w:color="auto"/>
              <w:left w:val="single" w:sz="4" w:space="0" w:color="auto"/>
              <w:bottom w:val="single" w:sz="4" w:space="0" w:color="auto"/>
              <w:right w:val="single" w:sz="4" w:space="0" w:color="auto"/>
            </w:tcBorders>
            <w:vAlign w:val="center"/>
            <w:hideMark/>
          </w:tcPr>
          <w:p w14:paraId="655BCA3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0.0170</w:t>
            </w:r>
          </w:p>
          <w:p w14:paraId="0D68FB9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(0.29)</w:t>
            </w:r>
          </w:p>
        </w:tc>
        <w:tc>
          <w:tcPr>
            <w:tcW w:w="2338" w:type="dxa"/>
            <w:tcBorders>
              <w:top w:val="single" w:sz="4" w:space="0" w:color="auto"/>
              <w:left w:val="single" w:sz="4" w:space="0" w:color="auto"/>
              <w:bottom w:val="single" w:sz="4" w:space="0" w:color="auto"/>
              <w:right w:val="single" w:sz="4" w:space="0" w:color="auto"/>
            </w:tcBorders>
            <w:vAlign w:val="center"/>
            <w:hideMark/>
          </w:tcPr>
          <w:p w14:paraId="0F87B8E1"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0.121**</w:t>
            </w:r>
          </w:p>
          <w:p w14:paraId="64CC42FD"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(2.28)</w:t>
            </w:r>
          </w:p>
        </w:tc>
        <w:tc>
          <w:tcPr>
            <w:tcW w:w="2338" w:type="dxa"/>
            <w:tcBorders>
              <w:top w:val="single" w:sz="4" w:space="0" w:color="auto"/>
              <w:left w:val="single" w:sz="4" w:space="0" w:color="auto"/>
              <w:bottom w:val="single" w:sz="4" w:space="0" w:color="auto"/>
              <w:right w:val="single" w:sz="4" w:space="0" w:color="auto"/>
            </w:tcBorders>
            <w:vAlign w:val="center"/>
            <w:hideMark/>
          </w:tcPr>
          <w:p w14:paraId="0B32C70B"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0.113**</w:t>
            </w:r>
          </w:p>
          <w:p w14:paraId="360AB06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(2.24)</w:t>
            </w:r>
          </w:p>
        </w:tc>
      </w:tr>
      <w:tr w:rsidR="004A09D7" w:rsidRPr="004A09D7" w14:paraId="12B12A17"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309FC97F"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RL</w:t>
            </w:r>
          </w:p>
        </w:tc>
        <w:tc>
          <w:tcPr>
            <w:tcW w:w="2337" w:type="dxa"/>
            <w:tcBorders>
              <w:top w:val="single" w:sz="4" w:space="0" w:color="auto"/>
              <w:left w:val="single" w:sz="4" w:space="0" w:color="auto"/>
              <w:bottom w:val="single" w:sz="4" w:space="0" w:color="auto"/>
              <w:right w:val="single" w:sz="4" w:space="0" w:color="auto"/>
            </w:tcBorders>
            <w:vAlign w:val="center"/>
            <w:hideMark/>
          </w:tcPr>
          <w:p w14:paraId="7D01CA3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-0.257***</w:t>
            </w:r>
          </w:p>
          <w:p w14:paraId="48B70827"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(-3.30)</w:t>
            </w:r>
          </w:p>
        </w:tc>
        <w:tc>
          <w:tcPr>
            <w:tcW w:w="2338" w:type="dxa"/>
            <w:tcBorders>
              <w:top w:val="single" w:sz="4" w:space="0" w:color="auto"/>
              <w:left w:val="single" w:sz="4" w:space="0" w:color="auto"/>
              <w:bottom w:val="single" w:sz="4" w:space="0" w:color="auto"/>
              <w:right w:val="single" w:sz="4" w:space="0" w:color="auto"/>
            </w:tcBorders>
            <w:vAlign w:val="center"/>
            <w:hideMark/>
          </w:tcPr>
          <w:p w14:paraId="30C0A34D"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0.185***</w:t>
            </w:r>
          </w:p>
          <w:p w14:paraId="6945805C"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(2.63)</w:t>
            </w:r>
          </w:p>
        </w:tc>
        <w:tc>
          <w:tcPr>
            <w:tcW w:w="2338" w:type="dxa"/>
            <w:tcBorders>
              <w:top w:val="single" w:sz="4" w:space="0" w:color="auto"/>
              <w:left w:val="single" w:sz="4" w:space="0" w:color="auto"/>
              <w:bottom w:val="single" w:sz="4" w:space="0" w:color="auto"/>
              <w:right w:val="single" w:sz="4" w:space="0" w:color="auto"/>
            </w:tcBorders>
            <w:vAlign w:val="center"/>
            <w:hideMark/>
          </w:tcPr>
          <w:p w14:paraId="2A5A3CE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0.167**</w:t>
            </w:r>
          </w:p>
          <w:p w14:paraId="62DEA6C8"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(2.43)</w:t>
            </w:r>
          </w:p>
        </w:tc>
      </w:tr>
      <w:tr w:rsidR="004A09D7" w:rsidRPr="004A09D7" w14:paraId="01C192A0"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31A8694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VA</w:t>
            </w:r>
          </w:p>
        </w:tc>
        <w:tc>
          <w:tcPr>
            <w:tcW w:w="2337" w:type="dxa"/>
            <w:tcBorders>
              <w:top w:val="single" w:sz="4" w:space="0" w:color="auto"/>
              <w:left w:val="single" w:sz="4" w:space="0" w:color="auto"/>
              <w:bottom w:val="single" w:sz="4" w:space="0" w:color="auto"/>
              <w:right w:val="single" w:sz="4" w:space="0" w:color="auto"/>
            </w:tcBorders>
            <w:vAlign w:val="center"/>
            <w:hideMark/>
          </w:tcPr>
          <w:p w14:paraId="24DAC598"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-0.0495</w:t>
            </w:r>
          </w:p>
          <w:p w14:paraId="77DB3008"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(-1.37)</w:t>
            </w:r>
          </w:p>
        </w:tc>
        <w:tc>
          <w:tcPr>
            <w:tcW w:w="2338" w:type="dxa"/>
            <w:tcBorders>
              <w:top w:val="single" w:sz="4" w:space="0" w:color="auto"/>
              <w:left w:val="single" w:sz="4" w:space="0" w:color="auto"/>
              <w:bottom w:val="single" w:sz="4" w:space="0" w:color="auto"/>
              <w:right w:val="single" w:sz="4" w:space="0" w:color="auto"/>
            </w:tcBorders>
            <w:vAlign w:val="center"/>
            <w:hideMark/>
          </w:tcPr>
          <w:p w14:paraId="2ECE9E9D"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-0.00467</w:t>
            </w:r>
          </w:p>
          <w:p w14:paraId="47A7C2AE"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(-0.09)</w:t>
            </w:r>
          </w:p>
        </w:tc>
        <w:tc>
          <w:tcPr>
            <w:tcW w:w="2338" w:type="dxa"/>
            <w:tcBorders>
              <w:top w:val="single" w:sz="4" w:space="0" w:color="auto"/>
              <w:left w:val="single" w:sz="4" w:space="0" w:color="auto"/>
              <w:bottom w:val="single" w:sz="4" w:space="0" w:color="auto"/>
              <w:right w:val="single" w:sz="4" w:space="0" w:color="auto"/>
            </w:tcBorders>
            <w:vAlign w:val="center"/>
            <w:hideMark/>
          </w:tcPr>
          <w:p w14:paraId="09E4584B"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-0.0104</w:t>
            </w:r>
          </w:p>
          <w:p w14:paraId="181BE8E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(-0.23)</w:t>
            </w:r>
          </w:p>
        </w:tc>
      </w:tr>
      <w:tr w:rsidR="004A09D7" w:rsidRPr="004A09D7" w14:paraId="245FE738"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7A22AEE8" w14:textId="56B8575B"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GGDP</w:t>
            </w:r>
          </w:p>
        </w:tc>
        <w:tc>
          <w:tcPr>
            <w:tcW w:w="2337" w:type="dxa"/>
            <w:tcBorders>
              <w:top w:val="single" w:sz="4" w:space="0" w:color="auto"/>
              <w:left w:val="single" w:sz="4" w:space="0" w:color="auto"/>
              <w:bottom w:val="single" w:sz="4" w:space="0" w:color="auto"/>
              <w:right w:val="single" w:sz="4" w:space="0" w:color="auto"/>
            </w:tcBorders>
            <w:vAlign w:val="center"/>
            <w:hideMark/>
          </w:tcPr>
          <w:p w14:paraId="1F9CEFA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-0.00629**</w:t>
            </w:r>
          </w:p>
          <w:p w14:paraId="62A1828C"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(-1.98)</w:t>
            </w:r>
          </w:p>
        </w:tc>
        <w:tc>
          <w:tcPr>
            <w:tcW w:w="2338" w:type="dxa"/>
            <w:tcBorders>
              <w:top w:val="single" w:sz="4" w:space="0" w:color="auto"/>
              <w:left w:val="single" w:sz="4" w:space="0" w:color="auto"/>
              <w:bottom w:val="single" w:sz="4" w:space="0" w:color="auto"/>
              <w:right w:val="single" w:sz="4" w:space="0" w:color="auto"/>
            </w:tcBorders>
            <w:vAlign w:val="center"/>
            <w:hideMark/>
          </w:tcPr>
          <w:p w14:paraId="691A2241"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0.00430**</w:t>
            </w:r>
          </w:p>
          <w:p w14:paraId="2AA0F8F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(-2.58)</w:t>
            </w:r>
          </w:p>
        </w:tc>
        <w:tc>
          <w:tcPr>
            <w:tcW w:w="2338" w:type="dxa"/>
            <w:tcBorders>
              <w:top w:val="single" w:sz="4" w:space="0" w:color="auto"/>
              <w:left w:val="single" w:sz="4" w:space="0" w:color="auto"/>
              <w:bottom w:val="single" w:sz="4" w:space="0" w:color="auto"/>
              <w:right w:val="single" w:sz="4" w:space="0" w:color="auto"/>
            </w:tcBorders>
            <w:vAlign w:val="center"/>
            <w:hideMark/>
          </w:tcPr>
          <w:p w14:paraId="7C7B33E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0.00435***</w:t>
            </w:r>
          </w:p>
          <w:p w14:paraId="1D82220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(-2.60)</w:t>
            </w:r>
          </w:p>
        </w:tc>
      </w:tr>
      <w:tr w:rsidR="004A09D7" w:rsidRPr="004A09D7" w14:paraId="0523BEA5"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0E361B2D" w14:textId="78FC1559"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INF</w:t>
            </w:r>
          </w:p>
        </w:tc>
        <w:tc>
          <w:tcPr>
            <w:tcW w:w="2337" w:type="dxa"/>
            <w:tcBorders>
              <w:top w:val="single" w:sz="4" w:space="0" w:color="auto"/>
              <w:left w:val="single" w:sz="4" w:space="0" w:color="auto"/>
              <w:bottom w:val="single" w:sz="4" w:space="0" w:color="auto"/>
              <w:right w:val="single" w:sz="4" w:space="0" w:color="auto"/>
            </w:tcBorders>
            <w:vAlign w:val="center"/>
            <w:hideMark/>
          </w:tcPr>
          <w:p w14:paraId="4CBD39EE"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0.00567***</w:t>
            </w:r>
          </w:p>
          <w:p w14:paraId="12643C3A"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(-2.63)</w:t>
            </w:r>
          </w:p>
        </w:tc>
        <w:tc>
          <w:tcPr>
            <w:tcW w:w="2338" w:type="dxa"/>
            <w:tcBorders>
              <w:top w:val="single" w:sz="4" w:space="0" w:color="auto"/>
              <w:left w:val="single" w:sz="4" w:space="0" w:color="auto"/>
              <w:bottom w:val="single" w:sz="4" w:space="0" w:color="auto"/>
              <w:right w:val="single" w:sz="4" w:space="0" w:color="auto"/>
            </w:tcBorders>
            <w:vAlign w:val="center"/>
            <w:hideMark/>
          </w:tcPr>
          <w:p w14:paraId="2A672B9A"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0.00850***</w:t>
            </w:r>
          </w:p>
          <w:p w14:paraId="53008511"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(-7.05)</w:t>
            </w:r>
          </w:p>
        </w:tc>
        <w:tc>
          <w:tcPr>
            <w:tcW w:w="2338" w:type="dxa"/>
            <w:tcBorders>
              <w:top w:val="single" w:sz="4" w:space="0" w:color="auto"/>
              <w:left w:val="single" w:sz="4" w:space="0" w:color="auto"/>
              <w:bottom w:val="single" w:sz="4" w:space="0" w:color="auto"/>
              <w:right w:val="single" w:sz="4" w:space="0" w:color="auto"/>
            </w:tcBorders>
            <w:vAlign w:val="center"/>
            <w:hideMark/>
          </w:tcPr>
          <w:p w14:paraId="55FDBA0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0.00841***</w:t>
            </w:r>
          </w:p>
          <w:p w14:paraId="01D5E0F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(-6.97)</w:t>
            </w:r>
          </w:p>
        </w:tc>
      </w:tr>
      <w:tr w:rsidR="004A09D7" w:rsidRPr="004A09D7" w14:paraId="6C2B8E08"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475576CB" w14:textId="79CBE89F"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INR</w:t>
            </w:r>
          </w:p>
        </w:tc>
        <w:tc>
          <w:tcPr>
            <w:tcW w:w="2337" w:type="dxa"/>
            <w:tcBorders>
              <w:top w:val="single" w:sz="4" w:space="0" w:color="auto"/>
              <w:left w:val="single" w:sz="4" w:space="0" w:color="auto"/>
              <w:bottom w:val="single" w:sz="4" w:space="0" w:color="auto"/>
              <w:right w:val="single" w:sz="4" w:space="0" w:color="auto"/>
            </w:tcBorders>
            <w:vAlign w:val="center"/>
            <w:hideMark/>
          </w:tcPr>
          <w:p w14:paraId="34BB12B8"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0.00203</w:t>
            </w:r>
          </w:p>
          <w:p w14:paraId="07C9E441"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(-1.03)</w:t>
            </w:r>
          </w:p>
        </w:tc>
        <w:tc>
          <w:tcPr>
            <w:tcW w:w="2338" w:type="dxa"/>
            <w:tcBorders>
              <w:top w:val="single" w:sz="4" w:space="0" w:color="auto"/>
              <w:left w:val="single" w:sz="4" w:space="0" w:color="auto"/>
              <w:bottom w:val="single" w:sz="4" w:space="0" w:color="auto"/>
              <w:right w:val="single" w:sz="4" w:space="0" w:color="auto"/>
            </w:tcBorders>
            <w:vAlign w:val="center"/>
            <w:hideMark/>
          </w:tcPr>
          <w:p w14:paraId="6746490F"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0.0128***</w:t>
            </w:r>
          </w:p>
          <w:p w14:paraId="0E6DAE2D"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(-9.03)</w:t>
            </w:r>
          </w:p>
        </w:tc>
        <w:tc>
          <w:tcPr>
            <w:tcW w:w="2338" w:type="dxa"/>
            <w:tcBorders>
              <w:top w:val="single" w:sz="4" w:space="0" w:color="auto"/>
              <w:left w:val="single" w:sz="4" w:space="0" w:color="auto"/>
              <w:bottom w:val="single" w:sz="4" w:space="0" w:color="auto"/>
              <w:right w:val="single" w:sz="4" w:space="0" w:color="auto"/>
            </w:tcBorders>
            <w:vAlign w:val="center"/>
            <w:hideMark/>
          </w:tcPr>
          <w:p w14:paraId="20BFB324"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0.0126***</w:t>
            </w:r>
          </w:p>
          <w:p w14:paraId="754827CB"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(-8.99)</w:t>
            </w:r>
          </w:p>
        </w:tc>
      </w:tr>
      <w:tr w:rsidR="004A09D7" w:rsidRPr="004A09D7" w14:paraId="4C32A976"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5DF4A956" w14:textId="1EA80E2E"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GEDU</w:t>
            </w:r>
          </w:p>
        </w:tc>
        <w:tc>
          <w:tcPr>
            <w:tcW w:w="2337" w:type="dxa"/>
            <w:tcBorders>
              <w:top w:val="single" w:sz="4" w:space="0" w:color="auto"/>
              <w:left w:val="single" w:sz="4" w:space="0" w:color="auto"/>
              <w:bottom w:val="single" w:sz="4" w:space="0" w:color="auto"/>
              <w:right w:val="single" w:sz="4" w:space="0" w:color="auto"/>
            </w:tcBorders>
            <w:vAlign w:val="center"/>
            <w:hideMark/>
          </w:tcPr>
          <w:p w14:paraId="0E113FC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0.000193</w:t>
            </w:r>
          </w:p>
          <w:p w14:paraId="46C79E16"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(-0.01)</w:t>
            </w:r>
          </w:p>
        </w:tc>
        <w:tc>
          <w:tcPr>
            <w:tcW w:w="2338" w:type="dxa"/>
            <w:tcBorders>
              <w:top w:val="single" w:sz="4" w:space="0" w:color="auto"/>
              <w:left w:val="single" w:sz="4" w:space="0" w:color="auto"/>
              <w:bottom w:val="single" w:sz="4" w:space="0" w:color="auto"/>
              <w:right w:val="single" w:sz="4" w:space="0" w:color="auto"/>
            </w:tcBorders>
            <w:vAlign w:val="center"/>
            <w:hideMark/>
          </w:tcPr>
          <w:p w14:paraId="73089D1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0.0160</w:t>
            </w:r>
          </w:p>
          <w:p w14:paraId="2C7E5E4F"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(-1.28)</w:t>
            </w:r>
          </w:p>
        </w:tc>
        <w:tc>
          <w:tcPr>
            <w:tcW w:w="2338" w:type="dxa"/>
            <w:tcBorders>
              <w:top w:val="single" w:sz="4" w:space="0" w:color="auto"/>
              <w:left w:val="single" w:sz="4" w:space="0" w:color="auto"/>
              <w:bottom w:val="single" w:sz="4" w:space="0" w:color="auto"/>
              <w:right w:val="single" w:sz="4" w:space="0" w:color="auto"/>
            </w:tcBorders>
            <w:vAlign w:val="center"/>
            <w:hideMark/>
          </w:tcPr>
          <w:p w14:paraId="06F4BAF8"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0.0148</w:t>
            </w:r>
          </w:p>
          <w:p w14:paraId="75B56D6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(-1.20)</w:t>
            </w:r>
          </w:p>
        </w:tc>
      </w:tr>
      <w:tr w:rsidR="004A09D7" w:rsidRPr="004A09D7" w14:paraId="17E4022E"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4E9BF1C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cons</w:t>
            </w:r>
          </w:p>
        </w:tc>
        <w:tc>
          <w:tcPr>
            <w:tcW w:w="2337" w:type="dxa"/>
            <w:tcBorders>
              <w:top w:val="single" w:sz="4" w:space="0" w:color="auto"/>
              <w:left w:val="single" w:sz="4" w:space="0" w:color="auto"/>
              <w:bottom w:val="single" w:sz="4" w:space="0" w:color="auto"/>
              <w:right w:val="single" w:sz="4" w:space="0" w:color="auto"/>
            </w:tcBorders>
            <w:vAlign w:val="center"/>
            <w:hideMark/>
          </w:tcPr>
          <w:p w14:paraId="4F964371"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8.579***</w:t>
            </w:r>
          </w:p>
          <w:p w14:paraId="52A6271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(115.21)</w:t>
            </w:r>
          </w:p>
        </w:tc>
        <w:tc>
          <w:tcPr>
            <w:tcW w:w="2338" w:type="dxa"/>
            <w:tcBorders>
              <w:top w:val="single" w:sz="4" w:space="0" w:color="auto"/>
              <w:left w:val="single" w:sz="4" w:space="0" w:color="auto"/>
              <w:bottom w:val="single" w:sz="4" w:space="0" w:color="auto"/>
              <w:right w:val="single" w:sz="4" w:space="0" w:color="auto"/>
            </w:tcBorders>
            <w:vAlign w:val="center"/>
            <w:hideMark/>
          </w:tcPr>
          <w:p w14:paraId="4B363316"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8.780***</w:t>
            </w:r>
          </w:p>
          <w:p w14:paraId="7952A064"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(140.98)</w:t>
            </w:r>
          </w:p>
        </w:tc>
        <w:tc>
          <w:tcPr>
            <w:tcW w:w="2338" w:type="dxa"/>
            <w:tcBorders>
              <w:top w:val="single" w:sz="4" w:space="0" w:color="auto"/>
              <w:left w:val="single" w:sz="4" w:space="0" w:color="auto"/>
              <w:bottom w:val="single" w:sz="4" w:space="0" w:color="auto"/>
              <w:right w:val="single" w:sz="4" w:space="0" w:color="auto"/>
            </w:tcBorders>
            <w:vAlign w:val="center"/>
            <w:hideMark/>
          </w:tcPr>
          <w:p w14:paraId="71E00E84"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8.779***</w:t>
            </w:r>
          </w:p>
          <w:p w14:paraId="3B99D74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(97.83)</w:t>
            </w:r>
          </w:p>
        </w:tc>
      </w:tr>
      <w:tr w:rsidR="004A09D7" w:rsidRPr="004A09D7" w14:paraId="6BD3AF9B" w14:textId="77777777" w:rsidTr="001514BC">
        <w:trPr>
          <w:trHeight w:val="516"/>
        </w:trPr>
        <w:tc>
          <w:tcPr>
            <w:tcW w:w="2337" w:type="dxa"/>
            <w:tcBorders>
              <w:top w:val="single" w:sz="4" w:space="0" w:color="auto"/>
              <w:left w:val="single" w:sz="4" w:space="0" w:color="auto"/>
              <w:bottom w:val="single" w:sz="4" w:space="0" w:color="auto"/>
              <w:right w:val="single" w:sz="4" w:space="0" w:color="auto"/>
            </w:tcBorders>
            <w:vAlign w:val="center"/>
            <w:hideMark/>
          </w:tcPr>
          <w:p w14:paraId="21345436"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Hausman test</w:t>
            </w:r>
          </w:p>
        </w:tc>
        <w:tc>
          <w:tcPr>
            <w:tcW w:w="7013" w:type="dxa"/>
            <w:gridSpan w:val="3"/>
            <w:tcBorders>
              <w:top w:val="single" w:sz="4" w:space="0" w:color="auto"/>
              <w:left w:val="single" w:sz="4" w:space="0" w:color="auto"/>
              <w:bottom w:val="single" w:sz="4" w:space="0" w:color="auto"/>
              <w:right w:val="single" w:sz="4" w:space="0" w:color="auto"/>
            </w:tcBorders>
            <w:vAlign w:val="center"/>
            <w:hideMark/>
          </w:tcPr>
          <w:p w14:paraId="6F8F699D"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w:t>
            </w:r>
          </w:p>
        </w:tc>
      </w:tr>
      <w:tr w:rsidR="004A09D7" w:rsidRPr="004A09D7" w14:paraId="6E8B4878" w14:textId="77777777" w:rsidTr="001514BC">
        <w:tc>
          <w:tcPr>
            <w:tcW w:w="2337" w:type="dxa"/>
            <w:tcBorders>
              <w:top w:val="single" w:sz="4" w:space="0" w:color="auto"/>
              <w:left w:val="single" w:sz="4" w:space="0" w:color="auto"/>
              <w:bottom w:val="single" w:sz="4" w:space="0" w:color="auto"/>
              <w:right w:val="single" w:sz="4" w:space="0" w:color="auto"/>
            </w:tcBorders>
            <w:vAlign w:val="center"/>
            <w:hideMark/>
          </w:tcPr>
          <w:p w14:paraId="3304CC0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N</w:t>
            </w:r>
          </w:p>
        </w:tc>
        <w:tc>
          <w:tcPr>
            <w:tcW w:w="2337" w:type="dxa"/>
            <w:tcBorders>
              <w:top w:val="single" w:sz="4" w:space="0" w:color="auto"/>
              <w:left w:val="single" w:sz="4" w:space="0" w:color="auto"/>
              <w:bottom w:val="single" w:sz="4" w:space="0" w:color="auto"/>
              <w:right w:val="single" w:sz="4" w:space="0" w:color="auto"/>
            </w:tcBorders>
            <w:vAlign w:val="center"/>
            <w:hideMark/>
          </w:tcPr>
          <w:p w14:paraId="5A136EEC"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591</w:t>
            </w:r>
          </w:p>
        </w:tc>
        <w:tc>
          <w:tcPr>
            <w:tcW w:w="2338" w:type="dxa"/>
            <w:tcBorders>
              <w:top w:val="single" w:sz="4" w:space="0" w:color="auto"/>
              <w:left w:val="single" w:sz="4" w:space="0" w:color="auto"/>
              <w:bottom w:val="single" w:sz="4" w:space="0" w:color="auto"/>
              <w:right w:val="single" w:sz="4" w:space="0" w:color="auto"/>
            </w:tcBorders>
            <w:vAlign w:val="center"/>
            <w:hideMark/>
          </w:tcPr>
          <w:p w14:paraId="369339CA"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591</w:t>
            </w:r>
          </w:p>
        </w:tc>
        <w:tc>
          <w:tcPr>
            <w:tcW w:w="2338" w:type="dxa"/>
            <w:tcBorders>
              <w:top w:val="single" w:sz="4" w:space="0" w:color="auto"/>
              <w:left w:val="single" w:sz="4" w:space="0" w:color="auto"/>
              <w:bottom w:val="single" w:sz="4" w:space="0" w:color="auto"/>
              <w:right w:val="single" w:sz="4" w:space="0" w:color="auto"/>
            </w:tcBorders>
            <w:vAlign w:val="center"/>
            <w:hideMark/>
          </w:tcPr>
          <w:p w14:paraId="491CBCFE"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591</w:t>
            </w:r>
          </w:p>
        </w:tc>
      </w:tr>
    </w:tbl>
    <w:p w14:paraId="70680885" w14:textId="77777777" w:rsidR="004A09D7" w:rsidRPr="004A09D7" w:rsidRDefault="004A09D7" w:rsidP="004A09D7">
      <w:pPr>
        <w:pStyle w:val="Body"/>
        <w:spacing w:after="0"/>
        <w:rPr>
          <w:rFonts w:ascii="Arial" w:hAnsi="Arial" w:cs="Arial"/>
          <w:b/>
          <w:bCs/>
          <w:iCs/>
          <w:sz w:val="18"/>
        </w:rPr>
      </w:pPr>
    </w:p>
    <w:p w14:paraId="621BC9EE" w14:textId="77777777" w:rsidR="004A09D7" w:rsidRPr="004A09D7" w:rsidRDefault="004A09D7" w:rsidP="004A09D7">
      <w:pPr>
        <w:pStyle w:val="Body"/>
        <w:spacing w:after="0"/>
        <w:rPr>
          <w:rFonts w:ascii="Arial" w:hAnsi="Arial" w:cs="Arial"/>
          <w:b/>
          <w:bCs/>
          <w:iCs/>
          <w:sz w:val="18"/>
        </w:rPr>
      </w:pPr>
      <w:r w:rsidRPr="004A09D7">
        <w:rPr>
          <w:rFonts w:ascii="Arial" w:hAnsi="Arial" w:cs="Arial"/>
          <w:iCs/>
          <w:noProof/>
          <w:sz w:val="18"/>
        </w:rPr>
        <w:drawing>
          <wp:inline distT="0" distB="0" distL="0" distR="0" wp14:anchorId="7BF77264" wp14:editId="5EEC58BE">
            <wp:extent cx="5943600" cy="270510"/>
            <wp:effectExtent l="0" t="0" r="0" b="0"/>
            <wp:docPr id="493560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70510"/>
                    </a:xfrm>
                    <a:prstGeom prst="rect">
                      <a:avLst/>
                    </a:prstGeom>
                    <a:noFill/>
                    <a:ln>
                      <a:noFill/>
                    </a:ln>
                  </pic:spPr>
                </pic:pic>
              </a:graphicData>
            </a:graphic>
          </wp:inline>
        </w:drawing>
      </w:r>
    </w:p>
    <w:p w14:paraId="5F1E93CA" w14:textId="18E00A55"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Dynamic estimators address endogeneity and persistence in growth. Table </w:t>
      </w:r>
      <w:r w:rsidR="00FD38B8">
        <w:rPr>
          <w:rFonts w:ascii="Arial" w:hAnsi="Arial" w:cs="Arial"/>
          <w:iCs/>
          <w:sz w:val="18"/>
        </w:rPr>
        <w:t>4</w:t>
      </w:r>
      <w:r w:rsidRPr="004A09D7">
        <w:rPr>
          <w:rFonts w:ascii="Arial" w:hAnsi="Arial" w:cs="Arial"/>
          <w:iCs/>
          <w:sz w:val="18"/>
        </w:rPr>
        <w:t xml:space="preserve"> shows Lagged GDP (</w:t>
      </w:r>
      <w:proofErr w:type="spellStart"/>
      <w:r w:rsidRPr="004A09D7">
        <w:rPr>
          <w:rFonts w:ascii="Arial" w:hAnsi="Arial" w:cs="Arial"/>
          <w:iCs/>
          <w:sz w:val="18"/>
        </w:rPr>
        <w:t>logGDP</w:t>
      </w:r>
      <w:proofErr w:type="spellEnd"/>
      <w:r w:rsidRPr="004A09D7">
        <w:rPr>
          <w:rFonts w:ascii="Arial" w:hAnsi="Arial" w:cs="Arial"/>
          <w:iCs/>
          <w:sz w:val="18"/>
        </w:rPr>
        <w:t>) is strongly positive (≈1.0, highly significant) which confirms growth persistence. It means today’s income is strongly dependent on past income. This is consistent with endogenous growth theory (Blundell &amp; Bond, 1998). Surprisingly, none of the governance indicators remain statistically significant once endogeneity and growth persistence are accounted for using the GMM and system GMM estimators. This suggests that the apparent governance-growth nexus observed in static models may, in part, reflect cross-country differences rather than within-country causal effects. The finding implies that governance reforms in upper-middle-income economies may operate indirectly or through long-run institutional channels, rather than generating immediate growth effects detectable in short-run panel regressions. This interpretation is consistent with the broader literature, which highlights that institutional variables are often highly persistent and may be poorly captured by short-term dynamic estimators. Arellano and Bond (1991) cautioned that governance-type variables can produce weak instrumentation problems when they are slow-moving, which reduces their significance in GMM frameworks. Blundell and Bond (1998) further emphasized that while system GMM improves efficiency, persistent variables like governance indicators may still exhibit muted short-term effects. Taken together, the dynamic results underscore that although governance quality matters for long-term development, its measurable impact on year-to-year income dynamics in upper-middle-income economies is limited, requiring sustained reforms for effects to materialize.</w:t>
      </w:r>
    </w:p>
    <w:p w14:paraId="33188E8A"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To validate the robustness of the dynamic panel estimations, both the </w:t>
      </w:r>
      <w:proofErr w:type="spellStart"/>
      <w:r w:rsidRPr="004A09D7">
        <w:rPr>
          <w:rFonts w:ascii="Arial" w:hAnsi="Arial" w:cs="Arial"/>
          <w:iCs/>
          <w:sz w:val="18"/>
        </w:rPr>
        <w:t>Sargan</w:t>
      </w:r>
      <w:proofErr w:type="spellEnd"/>
      <w:r w:rsidRPr="004A09D7">
        <w:rPr>
          <w:rFonts w:ascii="Arial" w:hAnsi="Arial" w:cs="Arial"/>
          <w:iCs/>
          <w:sz w:val="18"/>
        </w:rPr>
        <w:t xml:space="preserve"> test of over-identifying restrictions and the Arellano–Bond </w:t>
      </w:r>
      <w:proofErr w:type="gramStart"/>
      <w:r w:rsidRPr="004A09D7">
        <w:rPr>
          <w:rFonts w:ascii="Arial" w:hAnsi="Arial" w:cs="Arial"/>
          <w:iCs/>
          <w:sz w:val="18"/>
        </w:rPr>
        <w:t>AR(</w:t>
      </w:r>
      <w:proofErr w:type="gramEnd"/>
      <w:r w:rsidRPr="004A09D7">
        <w:rPr>
          <w:rFonts w:ascii="Arial" w:hAnsi="Arial" w:cs="Arial"/>
          <w:iCs/>
          <w:sz w:val="18"/>
        </w:rPr>
        <w:t>2) test for second-order serial correlation were conducted.</w:t>
      </w:r>
    </w:p>
    <w:p w14:paraId="50211C06"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The results of the </w:t>
      </w:r>
      <w:proofErr w:type="spellStart"/>
      <w:r w:rsidRPr="004A09D7">
        <w:rPr>
          <w:rFonts w:ascii="Arial" w:hAnsi="Arial" w:cs="Arial"/>
          <w:iCs/>
          <w:sz w:val="18"/>
        </w:rPr>
        <w:t>Sargan</w:t>
      </w:r>
      <w:proofErr w:type="spellEnd"/>
      <w:r w:rsidRPr="004A09D7">
        <w:rPr>
          <w:rFonts w:ascii="Arial" w:hAnsi="Arial" w:cs="Arial"/>
          <w:iCs/>
          <w:sz w:val="18"/>
        </w:rPr>
        <w:t xml:space="preserve"> test reveal statistically significant values in both the difference GMM (χ² = 76.84, p = 0.000) and system GMM (χ² = 19.94, p = 0.000) models. While this might indicate potential issues with instrument validity, the Hansen test, which is considered more reliable in finite samples, provides non-rejection of the null hypothesis for both estimators (difference GMM: χ² = 20.57, p = 0.361; system GMM: χ² = 5.89, p = 0.053). These results suggest that the instruments employed are valid and not correlated with the error term.</w:t>
      </w:r>
    </w:p>
    <w:p w14:paraId="213CEE7E"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Furthermore, the Arellano–Bond </w:t>
      </w:r>
      <w:proofErr w:type="gramStart"/>
      <w:r w:rsidRPr="004A09D7">
        <w:rPr>
          <w:rFonts w:ascii="Arial" w:hAnsi="Arial" w:cs="Arial"/>
          <w:iCs/>
          <w:sz w:val="18"/>
        </w:rPr>
        <w:t>AR(</w:t>
      </w:r>
      <w:proofErr w:type="gramEnd"/>
      <w:r w:rsidRPr="004A09D7">
        <w:rPr>
          <w:rFonts w:ascii="Arial" w:hAnsi="Arial" w:cs="Arial"/>
          <w:iCs/>
          <w:sz w:val="18"/>
        </w:rPr>
        <w:t>2) test fails to reject the null hypothesis of no second-order serial correlation in both specifications (difference GMM: z = −0.95, p = 0.343; system GMM: z = −0.87, p = 0.382). This confirms that the model does not suffer from autocorrelation problems at the second order, thereby supporting the consistency of the GMM estimators.</w:t>
      </w:r>
    </w:p>
    <w:p w14:paraId="39962939" w14:textId="77777777" w:rsidR="004A09D7" w:rsidRPr="004A09D7" w:rsidRDefault="004A09D7" w:rsidP="004A09D7">
      <w:pPr>
        <w:pStyle w:val="Body"/>
        <w:spacing w:after="0"/>
        <w:rPr>
          <w:rFonts w:ascii="Arial" w:hAnsi="Arial" w:cs="Arial"/>
          <w:iCs/>
          <w:sz w:val="18"/>
        </w:rPr>
      </w:pPr>
    </w:p>
    <w:p w14:paraId="50B83431" w14:textId="77777777" w:rsidR="004A09D7" w:rsidRPr="004A09D7" w:rsidRDefault="004A09D7" w:rsidP="004A09D7">
      <w:pPr>
        <w:pStyle w:val="Body"/>
        <w:spacing w:after="0"/>
        <w:rPr>
          <w:rFonts w:ascii="Arial" w:hAnsi="Arial" w:cs="Arial"/>
          <w:iCs/>
          <w:sz w:val="18"/>
        </w:rPr>
      </w:pPr>
    </w:p>
    <w:p w14:paraId="163F5118" w14:textId="77777777" w:rsidR="004A09D7" w:rsidRPr="004A09D7" w:rsidRDefault="004A09D7" w:rsidP="004A09D7">
      <w:pPr>
        <w:pStyle w:val="Body"/>
        <w:spacing w:after="0"/>
        <w:rPr>
          <w:rFonts w:ascii="Arial" w:hAnsi="Arial" w:cs="Arial"/>
          <w:b/>
          <w:bCs/>
          <w:iCs/>
          <w:sz w:val="18"/>
        </w:rPr>
      </w:pPr>
    </w:p>
    <w:p w14:paraId="1616BAB2" w14:textId="446ADD12"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 xml:space="preserve">Table </w:t>
      </w:r>
      <w:r w:rsidR="00FD38B8">
        <w:rPr>
          <w:rFonts w:ascii="Arial" w:hAnsi="Arial" w:cs="Arial"/>
          <w:b/>
          <w:bCs/>
          <w:iCs/>
          <w:sz w:val="18"/>
        </w:rPr>
        <w:t>4</w:t>
      </w:r>
      <w:r w:rsidRPr="004A09D7">
        <w:rPr>
          <w:rFonts w:ascii="Arial" w:hAnsi="Arial" w:cs="Arial"/>
          <w:b/>
          <w:bCs/>
          <w:iCs/>
          <w:sz w:val="18"/>
        </w:rPr>
        <w:t>. Governance Indicators and Economic Growth: GMM and System GMM Estimation Results</w:t>
      </w:r>
    </w:p>
    <w:tbl>
      <w:tblPr>
        <w:tblStyle w:val="TableGrid1"/>
        <w:tblW w:w="5000" w:type="pct"/>
        <w:tblInd w:w="0" w:type="dxa"/>
        <w:tblLook w:val="04A0" w:firstRow="1" w:lastRow="0" w:firstColumn="1" w:lastColumn="0" w:noHBand="0" w:noVBand="1"/>
      </w:tblPr>
      <w:tblGrid>
        <w:gridCol w:w="2808"/>
        <w:gridCol w:w="2807"/>
        <w:gridCol w:w="2809"/>
      </w:tblGrid>
      <w:tr w:rsidR="004A09D7" w:rsidRPr="004A09D7" w14:paraId="41357D5D" w14:textId="77777777" w:rsidTr="001514BC">
        <w:tc>
          <w:tcPr>
            <w:tcW w:w="1666" w:type="pct"/>
            <w:vAlign w:val="center"/>
          </w:tcPr>
          <w:p w14:paraId="01050241"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Dependent variable: GDP per capita</w:t>
            </w:r>
          </w:p>
        </w:tc>
        <w:tc>
          <w:tcPr>
            <w:tcW w:w="1666" w:type="pct"/>
            <w:vAlign w:val="center"/>
          </w:tcPr>
          <w:p w14:paraId="383424F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GMM</w:t>
            </w:r>
          </w:p>
        </w:tc>
        <w:tc>
          <w:tcPr>
            <w:tcW w:w="1667" w:type="pct"/>
            <w:vAlign w:val="center"/>
          </w:tcPr>
          <w:p w14:paraId="437A2DA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System GMM</w:t>
            </w:r>
          </w:p>
        </w:tc>
      </w:tr>
      <w:tr w:rsidR="004A09D7" w:rsidRPr="004A09D7" w14:paraId="50D98219" w14:textId="77777777" w:rsidTr="001514BC">
        <w:trPr>
          <w:trHeight w:val="368"/>
        </w:trPr>
        <w:tc>
          <w:tcPr>
            <w:tcW w:w="1666" w:type="pct"/>
            <w:vAlign w:val="center"/>
          </w:tcPr>
          <w:p w14:paraId="3C1726A3" w14:textId="3CD317D1" w:rsidR="004A09D7" w:rsidRPr="004A09D7" w:rsidRDefault="0049037B" w:rsidP="001514BC">
            <w:pPr>
              <w:pStyle w:val="Body"/>
              <w:spacing w:after="0"/>
              <w:jc w:val="center"/>
              <w:rPr>
                <w:rFonts w:ascii="Arial" w:eastAsia="Times New Roman" w:hAnsi="Arial" w:cs="Arial"/>
                <w:iCs/>
                <w:sz w:val="18"/>
              </w:rPr>
            </w:pPr>
            <m:oMathPara>
              <m:oMath>
                <m:sSub>
                  <m:sSubPr>
                    <m:ctrlPr>
                      <w:rPr>
                        <w:rFonts w:ascii="Cambria Math" w:eastAsia="Times New Roman" w:hAnsi="Cambria Math" w:cs="Arial"/>
                        <w:i/>
                        <w:iCs/>
                        <w:sz w:val="18"/>
                      </w:rPr>
                    </m:ctrlPr>
                  </m:sSubPr>
                  <m:e>
                    <m:r>
                      <w:rPr>
                        <w:rFonts w:ascii="Cambria Math" w:hAnsi="Cambria Math" w:cs="Arial"/>
                        <w:sz w:val="18"/>
                      </w:rPr>
                      <m:t>log</m:t>
                    </m:r>
                    <m:r>
                      <w:rPr>
                        <w:rFonts w:ascii="Cambria Math" w:hAnsi="Cambria Math" w:cs="Arial"/>
                        <w:sz w:val="18"/>
                      </w:rPr>
                      <m:t>(</m:t>
                    </m:r>
                    <m:r>
                      <w:rPr>
                        <w:rFonts w:ascii="Cambria Math" w:hAnsi="Cambria Math" w:cs="Arial"/>
                        <w:sz w:val="18"/>
                      </w:rPr>
                      <m:t>GDP</m:t>
                    </m:r>
                    <m:r>
                      <w:rPr>
                        <w:rFonts w:ascii="Cambria Math" w:hAnsi="Cambria Math" w:cs="Arial"/>
                        <w:sz w:val="18"/>
                      </w:rPr>
                      <m:t>)</m:t>
                    </m:r>
                  </m:e>
                  <m:sub>
                    <m:r>
                      <w:rPr>
                        <w:rFonts w:ascii="Cambria Math" w:hAnsi="Cambria Math" w:cs="Arial"/>
                        <w:sz w:val="18"/>
                      </w:rPr>
                      <m:t>it</m:t>
                    </m:r>
                    <m:r>
                      <w:rPr>
                        <w:rFonts w:ascii="Cambria Math" w:hAnsi="Cambria Math" w:cs="Arial"/>
                        <w:sz w:val="18"/>
                      </w:rPr>
                      <m:t>-</m:t>
                    </m:r>
                    <m:r>
                      <w:rPr>
                        <w:rFonts w:ascii="Cambria Math" w:hAnsi="Cambria Math" w:cs="Arial"/>
                        <w:sz w:val="18"/>
                      </w:rPr>
                      <m:t xml:space="preserve">1  </m:t>
                    </m:r>
                  </m:sub>
                </m:sSub>
              </m:oMath>
            </m:oMathPara>
          </w:p>
        </w:tc>
        <w:tc>
          <w:tcPr>
            <w:tcW w:w="1666" w:type="pct"/>
            <w:vAlign w:val="center"/>
          </w:tcPr>
          <w:p w14:paraId="5F320A7D"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1.010***</w:t>
            </w:r>
          </w:p>
          <w:p w14:paraId="1DC93DFF"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(313.04)</w:t>
            </w:r>
          </w:p>
        </w:tc>
        <w:tc>
          <w:tcPr>
            <w:tcW w:w="1667" w:type="pct"/>
            <w:vAlign w:val="center"/>
          </w:tcPr>
          <w:p w14:paraId="4C5C1848" w14:textId="1DD628D4"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1.004***</w:t>
            </w:r>
          </w:p>
          <w:p w14:paraId="041C684A" w14:textId="7534CE66"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(140.56)</w:t>
            </w:r>
          </w:p>
        </w:tc>
      </w:tr>
      <w:tr w:rsidR="004A09D7" w:rsidRPr="004A09D7" w14:paraId="4B789B9A" w14:textId="77777777" w:rsidTr="001514BC">
        <w:trPr>
          <w:trHeight w:val="516"/>
        </w:trPr>
        <w:tc>
          <w:tcPr>
            <w:tcW w:w="1666" w:type="pct"/>
            <w:vAlign w:val="center"/>
          </w:tcPr>
          <w:p w14:paraId="4360E128"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CC</w:t>
            </w:r>
          </w:p>
        </w:tc>
        <w:tc>
          <w:tcPr>
            <w:tcW w:w="1666" w:type="pct"/>
            <w:vAlign w:val="center"/>
          </w:tcPr>
          <w:p w14:paraId="76AAA0D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0.000698</w:t>
            </w:r>
          </w:p>
          <w:p w14:paraId="0AE8FB66"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(0.25)</w:t>
            </w:r>
          </w:p>
        </w:tc>
        <w:tc>
          <w:tcPr>
            <w:tcW w:w="1667" w:type="pct"/>
            <w:vAlign w:val="center"/>
          </w:tcPr>
          <w:p w14:paraId="270140D0" w14:textId="05DF178B"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0.00221</w:t>
            </w:r>
          </w:p>
          <w:p w14:paraId="76202D59" w14:textId="5A96E5F8"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(0.44)</w:t>
            </w:r>
          </w:p>
        </w:tc>
      </w:tr>
      <w:tr w:rsidR="004A09D7" w:rsidRPr="004A09D7" w14:paraId="5C3F1685" w14:textId="77777777" w:rsidTr="001514BC">
        <w:trPr>
          <w:trHeight w:val="516"/>
        </w:trPr>
        <w:tc>
          <w:tcPr>
            <w:tcW w:w="1666" w:type="pct"/>
            <w:vAlign w:val="center"/>
          </w:tcPr>
          <w:p w14:paraId="6CF64EEA"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GE</w:t>
            </w:r>
          </w:p>
        </w:tc>
        <w:tc>
          <w:tcPr>
            <w:tcW w:w="1666" w:type="pct"/>
            <w:vAlign w:val="center"/>
          </w:tcPr>
          <w:p w14:paraId="403E5D6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-0.00286</w:t>
            </w:r>
          </w:p>
          <w:p w14:paraId="3391C53B"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(-0.75)</w:t>
            </w:r>
          </w:p>
        </w:tc>
        <w:tc>
          <w:tcPr>
            <w:tcW w:w="1667" w:type="pct"/>
            <w:vAlign w:val="center"/>
          </w:tcPr>
          <w:p w14:paraId="7A484498" w14:textId="6A0136F4"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-0.00267</w:t>
            </w:r>
          </w:p>
          <w:p w14:paraId="417C6518" w14:textId="4BA62301"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(-0.50)</w:t>
            </w:r>
          </w:p>
        </w:tc>
      </w:tr>
      <w:tr w:rsidR="004A09D7" w:rsidRPr="004A09D7" w14:paraId="435E669D" w14:textId="77777777" w:rsidTr="001514BC">
        <w:trPr>
          <w:trHeight w:val="516"/>
        </w:trPr>
        <w:tc>
          <w:tcPr>
            <w:tcW w:w="1666" w:type="pct"/>
            <w:vAlign w:val="center"/>
          </w:tcPr>
          <w:p w14:paraId="7B4FCD1F"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PS</w:t>
            </w:r>
          </w:p>
        </w:tc>
        <w:tc>
          <w:tcPr>
            <w:tcW w:w="1666" w:type="pct"/>
            <w:vAlign w:val="center"/>
          </w:tcPr>
          <w:p w14:paraId="3F7D122D"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-0.00511</w:t>
            </w:r>
          </w:p>
          <w:p w14:paraId="3C2F223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(-1.47)</w:t>
            </w:r>
          </w:p>
        </w:tc>
        <w:tc>
          <w:tcPr>
            <w:tcW w:w="1667" w:type="pct"/>
            <w:vAlign w:val="center"/>
          </w:tcPr>
          <w:p w14:paraId="773F5D1B" w14:textId="3F99BA93"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-0.00114</w:t>
            </w:r>
          </w:p>
          <w:p w14:paraId="54E3D48F" w14:textId="079771BF"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(-0.37)</w:t>
            </w:r>
          </w:p>
        </w:tc>
      </w:tr>
      <w:tr w:rsidR="004A09D7" w:rsidRPr="004A09D7" w14:paraId="54934644" w14:textId="77777777" w:rsidTr="001514BC">
        <w:trPr>
          <w:trHeight w:val="516"/>
        </w:trPr>
        <w:tc>
          <w:tcPr>
            <w:tcW w:w="1666" w:type="pct"/>
            <w:vAlign w:val="center"/>
          </w:tcPr>
          <w:p w14:paraId="179367C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RQ</w:t>
            </w:r>
          </w:p>
        </w:tc>
        <w:tc>
          <w:tcPr>
            <w:tcW w:w="1666" w:type="pct"/>
            <w:vAlign w:val="center"/>
          </w:tcPr>
          <w:p w14:paraId="0D004556"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0.00331</w:t>
            </w:r>
          </w:p>
          <w:p w14:paraId="5E70AF2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(0.08)</w:t>
            </w:r>
          </w:p>
        </w:tc>
        <w:tc>
          <w:tcPr>
            <w:tcW w:w="1667" w:type="pct"/>
            <w:vAlign w:val="center"/>
          </w:tcPr>
          <w:p w14:paraId="23FBA2B7" w14:textId="57F365C8"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0.00186</w:t>
            </w:r>
          </w:p>
          <w:p w14:paraId="079E0786" w14:textId="2F9488BE"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(0.46)</w:t>
            </w:r>
          </w:p>
        </w:tc>
      </w:tr>
      <w:tr w:rsidR="004A09D7" w:rsidRPr="004A09D7" w14:paraId="039D8C97" w14:textId="77777777" w:rsidTr="001514BC">
        <w:trPr>
          <w:trHeight w:val="516"/>
        </w:trPr>
        <w:tc>
          <w:tcPr>
            <w:tcW w:w="1666" w:type="pct"/>
            <w:vAlign w:val="center"/>
          </w:tcPr>
          <w:p w14:paraId="30FB8D7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RL</w:t>
            </w:r>
          </w:p>
        </w:tc>
        <w:tc>
          <w:tcPr>
            <w:tcW w:w="1666" w:type="pct"/>
            <w:vAlign w:val="center"/>
          </w:tcPr>
          <w:p w14:paraId="3D6E3A16"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0.000135</w:t>
            </w:r>
          </w:p>
          <w:p w14:paraId="48B73881"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(0.14)</w:t>
            </w:r>
          </w:p>
        </w:tc>
        <w:tc>
          <w:tcPr>
            <w:tcW w:w="1667" w:type="pct"/>
            <w:vAlign w:val="center"/>
          </w:tcPr>
          <w:p w14:paraId="37FF96E3" w14:textId="704EA7C1"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0.000994</w:t>
            </w:r>
          </w:p>
          <w:p w14:paraId="634C5D20" w14:textId="148682F0"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(0.18)</w:t>
            </w:r>
          </w:p>
        </w:tc>
      </w:tr>
      <w:tr w:rsidR="004A09D7" w:rsidRPr="004A09D7" w14:paraId="6E5C3FF5" w14:textId="77777777" w:rsidTr="001514BC">
        <w:trPr>
          <w:trHeight w:val="516"/>
        </w:trPr>
        <w:tc>
          <w:tcPr>
            <w:tcW w:w="1666" w:type="pct"/>
            <w:vAlign w:val="center"/>
          </w:tcPr>
          <w:p w14:paraId="4E2728EA"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VA</w:t>
            </w:r>
          </w:p>
        </w:tc>
        <w:tc>
          <w:tcPr>
            <w:tcW w:w="1666" w:type="pct"/>
            <w:vAlign w:val="center"/>
          </w:tcPr>
          <w:p w14:paraId="4F596B5A"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-0.00471</w:t>
            </w:r>
          </w:p>
          <w:p w14:paraId="34784D7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(0.28)</w:t>
            </w:r>
          </w:p>
        </w:tc>
        <w:tc>
          <w:tcPr>
            <w:tcW w:w="1667" w:type="pct"/>
            <w:vAlign w:val="center"/>
          </w:tcPr>
          <w:p w14:paraId="063F9131" w14:textId="20D98616"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-0.00239</w:t>
            </w:r>
          </w:p>
          <w:p w14:paraId="4FB1AD90" w14:textId="53F9AAEB"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(-0.68)</w:t>
            </w:r>
          </w:p>
        </w:tc>
      </w:tr>
      <w:tr w:rsidR="004A09D7" w:rsidRPr="004A09D7" w14:paraId="5D624AF6" w14:textId="77777777" w:rsidTr="001514BC">
        <w:trPr>
          <w:trHeight w:val="516"/>
        </w:trPr>
        <w:tc>
          <w:tcPr>
            <w:tcW w:w="1666" w:type="pct"/>
            <w:vAlign w:val="center"/>
          </w:tcPr>
          <w:p w14:paraId="640E8141" w14:textId="2C1EEAAA"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GGDP</w:t>
            </w:r>
          </w:p>
        </w:tc>
        <w:tc>
          <w:tcPr>
            <w:tcW w:w="1666" w:type="pct"/>
            <w:vAlign w:val="center"/>
          </w:tcPr>
          <w:p w14:paraId="1B81802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0.0100***</w:t>
            </w:r>
          </w:p>
          <w:p w14:paraId="521DC3A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(102.44)</w:t>
            </w:r>
          </w:p>
        </w:tc>
        <w:tc>
          <w:tcPr>
            <w:tcW w:w="1667" w:type="pct"/>
            <w:vAlign w:val="center"/>
          </w:tcPr>
          <w:p w14:paraId="5AE726E5" w14:textId="391D47D0"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0.00974***</w:t>
            </w:r>
          </w:p>
          <w:p w14:paraId="70CC017F" w14:textId="3358B80D"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(84.27)</w:t>
            </w:r>
          </w:p>
        </w:tc>
      </w:tr>
      <w:tr w:rsidR="004A09D7" w:rsidRPr="004A09D7" w14:paraId="311D142C" w14:textId="77777777" w:rsidTr="001514BC">
        <w:trPr>
          <w:trHeight w:val="516"/>
        </w:trPr>
        <w:tc>
          <w:tcPr>
            <w:tcW w:w="1666" w:type="pct"/>
            <w:vAlign w:val="center"/>
          </w:tcPr>
          <w:p w14:paraId="1EE2B9E1" w14:textId="6D999B1E"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INF</w:t>
            </w:r>
          </w:p>
        </w:tc>
        <w:tc>
          <w:tcPr>
            <w:tcW w:w="1666" w:type="pct"/>
            <w:vAlign w:val="center"/>
          </w:tcPr>
          <w:p w14:paraId="7B019F89"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-0.00000720</w:t>
            </w:r>
          </w:p>
          <w:p w14:paraId="085250D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(-0.06)</w:t>
            </w:r>
          </w:p>
        </w:tc>
        <w:tc>
          <w:tcPr>
            <w:tcW w:w="1667" w:type="pct"/>
            <w:vAlign w:val="center"/>
          </w:tcPr>
          <w:p w14:paraId="58F33A1D" w14:textId="22BCF3B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-0.0000317</w:t>
            </w:r>
          </w:p>
          <w:p w14:paraId="060962B9" w14:textId="45DE78DD"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(-0.20)</w:t>
            </w:r>
          </w:p>
        </w:tc>
      </w:tr>
      <w:tr w:rsidR="004A09D7" w:rsidRPr="004A09D7" w14:paraId="049906A5" w14:textId="77777777" w:rsidTr="001514BC">
        <w:trPr>
          <w:trHeight w:val="516"/>
        </w:trPr>
        <w:tc>
          <w:tcPr>
            <w:tcW w:w="1666" w:type="pct"/>
            <w:vAlign w:val="center"/>
          </w:tcPr>
          <w:p w14:paraId="439BA1F8" w14:textId="02CF97C5"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INR</w:t>
            </w:r>
          </w:p>
        </w:tc>
        <w:tc>
          <w:tcPr>
            <w:tcW w:w="1666" w:type="pct"/>
            <w:vAlign w:val="center"/>
          </w:tcPr>
          <w:p w14:paraId="44A17398"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-0.0000119</w:t>
            </w:r>
          </w:p>
          <w:p w14:paraId="00DC798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(-0.17)</w:t>
            </w:r>
          </w:p>
        </w:tc>
        <w:tc>
          <w:tcPr>
            <w:tcW w:w="1667" w:type="pct"/>
            <w:vAlign w:val="center"/>
          </w:tcPr>
          <w:p w14:paraId="252E9AFD" w14:textId="602286D9"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-0.000133</w:t>
            </w:r>
          </w:p>
          <w:p w14:paraId="07FCB42E" w14:textId="279C17EA"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(-1.09)</w:t>
            </w:r>
          </w:p>
        </w:tc>
      </w:tr>
      <w:tr w:rsidR="004A09D7" w:rsidRPr="004A09D7" w14:paraId="075BD6CA" w14:textId="77777777" w:rsidTr="001514BC">
        <w:trPr>
          <w:trHeight w:val="516"/>
        </w:trPr>
        <w:tc>
          <w:tcPr>
            <w:tcW w:w="1666" w:type="pct"/>
            <w:vAlign w:val="center"/>
          </w:tcPr>
          <w:p w14:paraId="7DA08D11" w14:textId="2A4E20C2"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GEDU</w:t>
            </w:r>
          </w:p>
        </w:tc>
        <w:tc>
          <w:tcPr>
            <w:tcW w:w="1666" w:type="pct"/>
            <w:vAlign w:val="center"/>
          </w:tcPr>
          <w:p w14:paraId="1350B25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-0.00121</w:t>
            </w:r>
          </w:p>
          <w:p w14:paraId="19D55CF0"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(-1.23)</w:t>
            </w:r>
          </w:p>
        </w:tc>
        <w:tc>
          <w:tcPr>
            <w:tcW w:w="1667" w:type="pct"/>
            <w:vAlign w:val="center"/>
          </w:tcPr>
          <w:p w14:paraId="295B2DAB" w14:textId="124B8786"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0.000845</w:t>
            </w:r>
          </w:p>
          <w:p w14:paraId="29F3C1BA" w14:textId="769AD95F"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(0.49)</w:t>
            </w:r>
          </w:p>
        </w:tc>
      </w:tr>
      <w:tr w:rsidR="004A09D7" w:rsidRPr="004A09D7" w14:paraId="6D33DEBE" w14:textId="77777777" w:rsidTr="001514BC">
        <w:trPr>
          <w:trHeight w:val="516"/>
        </w:trPr>
        <w:tc>
          <w:tcPr>
            <w:tcW w:w="1666" w:type="pct"/>
            <w:vAlign w:val="center"/>
          </w:tcPr>
          <w:p w14:paraId="694BAB2B"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cons</w:t>
            </w:r>
          </w:p>
        </w:tc>
        <w:tc>
          <w:tcPr>
            <w:tcW w:w="1666" w:type="pct"/>
            <w:vAlign w:val="center"/>
          </w:tcPr>
          <w:p w14:paraId="16F27BC5" w14:textId="77777777" w:rsidR="004A09D7" w:rsidRPr="004A09D7" w:rsidRDefault="004A09D7" w:rsidP="001514BC">
            <w:pPr>
              <w:pStyle w:val="Body"/>
              <w:spacing w:after="0"/>
              <w:jc w:val="center"/>
              <w:rPr>
                <w:rFonts w:ascii="Arial" w:eastAsia="Times New Roman" w:hAnsi="Arial" w:cs="Arial"/>
                <w:iCs/>
                <w:sz w:val="18"/>
              </w:rPr>
            </w:pPr>
          </w:p>
        </w:tc>
        <w:tc>
          <w:tcPr>
            <w:tcW w:w="1667" w:type="pct"/>
            <w:vAlign w:val="center"/>
          </w:tcPr>
          <w:p w14:paraId="6F8304AA" w14:textId="2D920C78"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-0.0448</w:t>
            </w:r>
          </w:p>
          <w:p w14:paraId="1056CE45" w14:textId="56F5344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(-0.74)</w:t>
            </w:r>
          </w:p>
        </w:tc>
      </w:tr>
      <w:tr w:rsidR="004A09D7" w:rsidRPr="004A09D7" w14:paraId="43620FF9" w14:textId="77777777" w:rsidTr="001514BC">
        <w:tc>
          <w:tcPr>
            <w:tcW w:w="1666" w:type="pct"/>
            <w:vAlign w:val="center"/>
          </w:tcPr>
          <w:p w14:paraId="79F5094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N</w:t>
            </w:r>
          </w:p>
        </w:tc>
        <w:tc>
          <w:tcPr>
            <w:tcW w:w="1666" w:type="pct"/>
            <w:vAlign w:val="center"/>
          </w:tcPr>
          <w:p w14:paraId="48718BC9"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476</w:t>
            </w:r>
          </w:p>
        </w:tc>
        <w:tc>
          <w:tcPr>
            <w:tcW w:w="1667" w:type="pct"/>
            <w:vAlign w:val="center"/>
          </w:tcPr>
          <w:p w14:paraId="470C7144" w14:textId="17E37C16"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529</w:t>
            </w:r>
          </w:p>
        </w:tc>
      </w:tr>
      <w:tr w:rsidR="004A09D7" w:rsidRPr="004A09D7" w14:paraId="51D5DF1C" w14:textId="77777777" w:rsidTr="001514BC">
        <w:tc>
          <w:tcPr>
            <w:tcW w:w="1666" w:type="pct"/>
            <w:vAlign w:val="center"/>
          </w:tcPr>
          <w:p w14:paraId="240BAE3B" w14:textId="77777777" w:rsidR="004A09D7" w:rsidRPr="004A09D7" w:rsidRDefault="004A09D7" w:rsidP="001514BC">
            <w:pPr>
              <w:pStyle w:val="Body"/>
              <w:spacing w:after="0"/>
              <w:jc w:val="center"/>
              <w:rPr>
                <w:rFonts w:ascii="Arial" w:eastAsia="Times New Roman" w:hAnsi="Arial" w:cs="Arial"/>
                <w:iCs/>
                <w:sz w:val="18"/>
              </w:rPr>
            </w:pPr>
            <w:proofErr w:type="spellStart"/>
            <w:r w:rsidRPr="004A09D7">
              <w:rPr>
                <w:rFonts w:ascii="Arial" w:eastAsia="Times New Roman" w:hAnsi="Arial" w:cs="Arial"/>
                <w:iCs/>
                <w:sz w:val="18"/>
              </w:rPr>
              <w:t>Sargan</w:t>
            </w:r>
            <w:proofErr w:type="spellEnd"/>
            <w:r w:rsidRPr="004A09D7">
              <w:rPr>
                <w:rFonts w:ascii="Arial" w:eastAsia="Times New Roman" w:hAnsi="Arial" w:cs="Arial"/>
                <w:iCs/>
                <w:sz w:val="18"/>
              </w:rPr>
              <w:t xml:space="preserve"> test</w:t>
            </w:r>
          </w:p>
        </w:tc>
        <w:tc>
          <w:tcPr>
            <w:tcW w:w="1666" w:type="pct"/>
            <w:vAlign w:val="center"/>
          </w:tcPr>
          <w:p w14:paraId="6F27E10D"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76.84</w:t>
            </w:r>
          </w:p>
          <w:p w14:paraId="67F1A4D5"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w:t>
            </w:r>
          </w:p>
        </w:tc>
        <w:tc>
          <w:tcPr>
            <w:tcW w:w="1667" w:type="pct"/>
            <w:vAlign w:val="center"/>
          </w:tcPr>
          <w:p w14:paraId="3C4D7BFC"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19.94</w:t>
            </w:r>
          </w:p>
          <w:p w14:paraId="039A4F0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0.000</w:t>
            </w:r>
          </w:p>
        </w:tc>
      </w:tr>
      <w:tr w:rsidR="004A09D7" w:rsidRPr="004A09D7" w14:paraId="1488DF06" w14:textId="77777777" w:rsidTr="001514BC">
        <w:tc>
          <w:tcPr>
            <w:tcW w:w="1666" w:type="pct"/>
            <w:vAlign w:val="center"/>
          </w:tcPr>
          <w:p w14:paraId="14DD17C8"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Hansen Test</w:t>
            </w:r>
          </w:p>
        </w:tc>
        <w:tc>
          <w:tcPr>
            <w:tcW w:w="1666" w:type="pct"/>
            <w:vAlign w:val="center"/>
          </w:tcPr>
          <w:p w14:paraId="00E608A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20.57</w:t>
            </w:r>
          </w:p>
          <w:p w14:paraId="13E5F271"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0.361</w:t>
            </w:r>
          </w:p>
        </w:tc>
        <w:tc>
          <w:tcPr>
            <w:tcW w:w="1667" w:type="pct"/>
            <w:vAlign w:val="center"/>
          </w:tcPr>
          <w:p w14:paraId="77928661"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5.89</w:t>
            </w:r>
          </w:p>
          <w:p w14:paraId="4B3A3ED2"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0.053</w:t>
            </w:r>
          </w:p>
        </w:tc>
      </w:tr>
      <w:tr w:rsidR="004A09D7" w:rsidRPr="004A09D7" w14:paraId="2D6501AE" w14:textId="77777777" w:rsidTr="001514BC">
        <w:tc>
          <w:tcPr>
            <w:tcW w:w="1666" w:type="pct"/>
            <w:vAlign w:val="center"/>
          </w:tcPr>
          <w:p w14:paraId="61E0AFC3" w14:textId="77777777" w:rsidR="004A09D7" w:rsidRPr="004A09D7" w:rsidRDefault="004A09D7" w:rsidP="001514BC">
            <w:pPr>
              <w:pStyle w:val="Body"/>
              <w:spacing w:after="0"/>
              <w:jc w:val="center"/>
              <w:rPr>
                <w:rFonts w:ascii="Arial" w:eastAsia="Times New Roman" w:hAnsi="Arial" w:cs="Arial"/>
                <w:iCs/>
                <w:sz w:val="18"/>
              </w:rPr>
            </w:pPr>
            <w:proofErr w:type="gramStart"/>
            <w:r w:rsidRPr="004A09D7">
              <w:rPr>
                <w:rFonts w:ascii="Arial" w:eastAsia="Times New Roman" w:hAnsi="Arial" w:cs="Arial"/>
                <w:iCs/>
                <w:sz w:val="18"/>
              </w:rPr>
              <w:t>AR(</w:t>
            </w:r>
            <w:proofErr w:type="gramEnd"/>
            <w:r w:rsidRPr="004A09D7">
              <w:rPr>
                <w:rFonts w:ascii="Arial" w:eastAsia="Times New Roman" w:hAnsi="Arial" w:cs="Arial"/>
                <w:iCs/>
                <w:sz w:val="18"/>
              </w:rPr>
              <w:t>2)</w:t>
            </w:r>
          </w:p>
        </w:tc>
        <w:tc>
          <w:tcPr>
            <w:tcW w:w="1666" w:type="pct"/>
            <w:vAlign w:val="center"/>
          </w:tcPr>
          <w:p w14:paraId="03C3A9BB"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-0.95</w:t>
            </w:r>
          </w:p>
          <w:p w14:paraId="04530EE7"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0.343</w:t>
            </w:r>
          </w:p>
        </w:tc>
        <w:tc>
          <w:tcPr>
            <w:tcW w:w="1667" w:type="pct"/>
            <w:vAlign w:val="center"/>
          </w:tcPr>
          <w:p w14:paraId="016F6E97"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-0.87</w:t>
            </w:r>
          </w:p>
          <w:p w14:paraId="2AF252F3" w14:textId="77777777" w:rsidR="004A09D7" w:rsidRPr="004A09D7" w:rsidRDefault="004A09D7" w:rsidP="001514BC">
            <w:pPr>
              <w:pStyle w:val="Body"/>
              <w:spacing w:after="0"/>
              <w:jc w:val="center"/>
              <w:rPr>
                <w:rFonts w:ascii="Arial" w:eastAsia="Times New Roman" w:hAnsi="Arial" w:cs="Arial"/>
                <w:iCs/>
                <w:sz w:val="18"/>
              </w:rPr>
            </w:pPr>
            <w:r w:rsidRPr="004A09D7">
              <w:rPr>
                <w:rFonts w:ascii="Arial" w:eastAsia="Times New Roman" w:hAnsi="Arial" w:cs="Arial"/>
                <w:iCs/>
                <w:sz w:val="18"/>
              </w:rPr>
              <w:t>0.382</w:t>
            </w:r>
          </w:p>
        </w:tc>
      </w:tr>
    </w:tbl>
    <w:p w14:paraId="16FE478B" w14:textId="77777777" w:rsidR="004A09D7" w:rsidRPr="004A09D7" w:rsidRDefault="004A09D7" w:rsidP="004A09D7">
      <w:pPr>
        <w:pStyle w:val="Body"/>
        <w:spacing w:after="0"/>
        <w:rPr>
          <w:rFonts w:ascii="Arial" w:hAnsi="Arial" w:cs="Arial"/>
          <w:b/>
          <w:bCs/>
          <w:iCs/>
          <w:sz w:val="18"/>
        </w:rPr>
      </w:pPr>
    </w:p>
    <w:p w14:paraId="340B5ABA" w14:textId="77777777" w:rsidR="004A09D7" w:rsidRPr="004A09D7" w:rsidRDefault="004A09D7" w:rsidP="004A09D7">
      <w:pPr>
        <w:pStyle w:val="Body"/>
        <w:spacing w:after="0"/>
        <w:rPr>
          <w:rFonts w:ascii="Arial" w:hAnsi="Arial" w:cs="Arial"/>
          <w:b/>
          <w:bCs/>
          <w:iCs/>
          <w:sz w:val="18"/>
        </w:rPr>
      </w:pPr>
      <w:r w:rsidRPr="004A09D7">
        <w:rPr>
          <w:rFonts w:ascii="Arial" w:hAnsi="Arial" w:cs="Arial"/>
          <w:iCs/>
          <w:noProof/>
          <w:sz w:val="18"/>
        </w:rPr>
        <w:drawing>
          <wp:inline distT="0" distB="0" distL="0" distR="0" wp14:anchorId="2C1558F3" wp14:editId="4A0239A5">
            <wp:extent cx="5943600" cy="270510"/>
            <wp:effectExtent l="0" t="0" r="0" b="0"/>
            <wp:docPr id="2084890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70510"/>
                    </a:xfrm>
                    <a:prstGeom prst="rect">
                      <a:avLst/>
                    </a:prstGeom>
                    <a:noFill/>
                    <a:ln>
                      <a:noFill/>
                    </a:ln>
                  </pic:spPr>
                </pic:pic>
              </a:graphicData>
            </a:graphic>
          </wp:inline>
        </w:drawing>
      </w:r>
    </w:p>
    <w:p w14:paraId="1BD7E440" w14:textId="77777777" w:rsidR="004A09D7" w:rsidRPr="004A09D7" w:rsidRDefault="004A09D7" w:rsidP="004A09D7">
      <w:pPr>
        <w:pStyle w:val="Body"/>
        <w:spacing w:after="0"/>
        <w:rPr>
          <w:rFonts w:ascii="Arial" w:hAnsi="Arial" w:cs="Arial"/>
          <w:b/>
          <w:bCs/>
          <w:iCs/>
          <w:sz w:val="18"/>
        </w:rPr>
      </w:pPr>
    </w:p>
    <w:p w14:paraId="445C1DD4" w14:textId="77777777" w:rsidR="004A09D7" w:rsidRPr="004A09D7" w:rsidRDefault="004A09D7" w:rsidP="004A09D7">
      <w:pPr>
        <w:pStyle w:val="Body"/>
        <w:spacing w:after="0"/>
        <w:rPr>
          <w:rFonts w:ascii="Arial" w:hAnsi="Arial" w:cs="Arial"/>
          <w:b/>
          <w:bCs/>
          <w:iCs/>
          <w:sz w:val="18"/>
        </w:rPr>
      </w:pPr>
      <w:r w:rsidRPr="004A09D7">
        <w:rPr>
          <w:rFonts w:ascii="Arial" w:hAnsi="Arial" w:cs="Arial"/>
          <w:b/>
          <w:bCs/>
          <w:iCs/>
          <w:sz w:val="18"/>
        </w:rPr>
        <w:t>Conclusion:</w:t>
      </w:r>
    </w:p>
    <w:p w14:paraId="1CF118CC"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  This study set out to empirically investigate the impact of governance on economic growth in 30 upper-middle-income economies from 1996 to 2023. Employing a comprehensive analytical framework that included both static (Pooled OLS, Fixed Effects, Random Effects) and dynamic (Difference GMM, System GMM) panel data estimators, the analysis yields nuanced insights into this complex relationship.</w:t>
      </w:r>
    </w:p>
    <w:p w14:paraId="68510839"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 xml:space="preserve">Static model estimations reveal a significant positive association between key governance dimensions—specifically, government effectiveness, regulatory quality, and the rule of law—and economic growth. These findings underscore the critical role of sound institutions, effective public service delivery, and a predictable regulatory environment in fostering economic development, aligning with established literature (e.g., Acemoglu et al., 2005; </w:t>
      </w:r>
      <w:proofErr w:type="spellStart"/>
      <w:r w:rsidRPr="004A09D7">
        <w:rPr>
          <w:rFonts w:ascii="Arial" w:hAnsi="Arial" w:cs="Arial"/>
          <w:iCs/>
          <w:sz w:val="18"/>
        </w:rPr>
        <w:t>Jalilian</w:t>
      </w:r>
      <w:proofErr w:type="spellEnd"/>
      <w:r w:rsidRPr="004A09D7">
        <w:rPr>
          <w:rFonts w:ascii="Arial" w:hAnsi="Arial" w:cs="Arial"/>
          <w:iCs/>
          <w:sz w:val="18"/>
        </w:rPr>
        <w:t xml:space="preserve"> et al., 2006).</w:t>
      </w:r>
    </w:p>
    <w:p w14:paraId="07B562CE"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lastRenderedPageBreak/>
        <w:t>However, the dynamic panel estimations, which robustly account for growth persistence and potential endogeneity, present a more tempered perspective. While a strong persistence effect in economic growth is confirmed, the statistical significance of the governance indicators diminishes. This suggests that the positive correlations observed in static models may partly reflect time-invariant, cross-country differences rather than short-term, causal within-country effects. It indicates that the growth returns from governance improvements are not instantaneous but are likely realized over a longer horizon, as institutional changes permeate the economy gradually.</w:t>
      </w:r>
    </w:p>
    <w:p w14:paraId="549C221F"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The key contribution of this study lies in highlighting this temporal dimension of the governance-growth nexus. For policymakers in upper-middle-income economies, the results deliver a crucial message. Governance reforms are a fundamental foundation for long-term, sustainable growth but should not be viewed as a mechanism for quick economic gains. The findings imply that escaping the middle-income trap requires persistent, long-term commitment to strengthening institutions, alongside complementary investments in human capital and innovation. This aligns with broader evidence that successful transitions to high-income status, as seen in countries like South Korea, require decades of consistent institutional strengthening and innovation.</w:t>
      </w:r>
    </w:p>
    <w:p w14:paraId="04D5DC54" w14:textId="77777777" w:rsidR="004A09D7" w:rsidRPr="004A09D7" w:rsidRDefault="004A09D7" w:rsidP="004A09D7">
      <w:pPr>
        <w:pStyle w:val="Body"/>
        <w:spacing w:after="0"/>
        <w:rPr>
          <w:rFonts w:ascii="Arial" w:hAnsi="Arial" w:cs="Arial"/>
          <w:iCs/>
          <w:sz w:val="18"/>
        </w:rPr>
      </w:pPr>
      <w:r w:rsidRPr="004A09D7">
        <w:rPr>
          <w:rFonts w:ascii="Arial" w:hAnsi="Arial" w:cs="Arial"/>
          <w:iCs/>
          <w:sz w:val="18"/>
        </w:rPr>
        <w:t>A limitation of this study is the potential for weak instrumentation of the slow-moving governance variables in the GMM framework. Future research could explore alternative econometric techniques, incorporate more frequent data, or investigate non-linearities and threshold effects to further unravel the conditions under which governance reforms most effectively translate into tangible growth outcomes. Extending the analysis to compare low-income and high-income countries could also provide a more comprehensive understanding of how the governance-growth relationship evolves across different stages of economic development.</w:t>
      </w:r>
    </w:p>
    <w:p w14:paraId="1B72268F" w14:textId="77777777" w:rsidR="004A09D7" w:rsidRPr="004A09D7" w:rsidRDefault="004A09D7" w:rsidP="004A09D7">
      <w:pPr>
        <w:pStyle w:val="Body"/>
        <w:spacing w:after="0"/>
        <w:rPr>
          <w:rFonts w:ascii="Arial" w:hAnsi="Arial" w:cs="Arial"/>
          <w:b/>
          <w:bCs/>
          <w:iCs/>
          <w:sz w:val="18"/>
        </w:rPr>
      </w:pPr>
    </w:p>
    <w:p w14:paraId="1D39EAC1" w14:textId="77777777" w:rsidR="004A09D7" w:rsidRPr="004A09D7" w:rsidRDefault="004A09D7" w:rsidP="004A09D7">
      <w:pPr>
        <w:pStyle w:val="Body"/>
        <w:spacing w:after="0"/>
        <w:rPr>
          <w:rFonts w:ascii="Arial" w:hAnsi="Arial" w:cs="Arial"/>
          <w:b/>
          <w:bCs/>
          <w:iCs/>
          <w:sz w:val="18"/>
        </w:rPr>
      </w:pPr>
    </w:p>
    <w:p w14:paraId="51EFABB4" w14:textId="00778FE8" w:rsidR="004A09D7" w:rsidRPr="004A09D7" w:rsidRDefault="009C6735" w:rsidP="004A09D7">
      <w:pPr>
        <w:pStyle w:val="Body"/>
        <w:spacing w:after="0"/>
        <w:rPr>
          <w:rFonts w:ascii="Arial" w:hAnsi="Arial" w:cs="Arial"/>
          <w:b/>
          <w:bCs/>
          <w:iCs/>
          <w:sz w:val="18"/>
        </w:rPr>
      </w:pPr>
      <w:r>
        <w:rPr>
          <w:rFonts w:ascii="Arial" w:hAnsi="Arial" w:cs="Arial"/>
          <w:b/>
          <w:bCs/>
          <w:iCs/>
          <w:sz w:val="18"/>
        </w:rPr>
        <w:t>List 2-</w:t>
      </w:r>
      <w:r w:rsidR="004A09D7" w:rsidRPr="004A09D7">
        <w:rPr>
          <w:rFonts w:ascii="Arial" w:hAnsi="Arial" w:cs="Arial"/>
          <w:b/>
          <w:bCs/>
          <w:iCs/>
          <w:sz w:val="18"/>
        </w:rPr>
        <w:t>UPPER-MIDDLE-INCOME ECONOMIES ($4,496 TO $13,935) </w:t>
      </w:r>
    </w:p>
    <w:tbl>
      <w:tblPr>
        <w:tblStyle w:val="TableGrid"/>
        <w:tblW w:w="0" w:type="auto"/>
        <w:tblLook w:val="04A0" w:firstRow="1" w:lastRow="0" w:firstColumn="1" w:lastColumn="0" w:noHBand="0" w:noVBand="1"/>
      </w:tblPr>
      <w:tblGrid>
        <w:gridCol w:w="1817"/>
        <w:gridCol w:w="1617"/>
        <w:gridCol w:w="2718"/>
      </w:tblGrid>
      <w:tr w:rsidR="004A09D7" w:rsidRPr="004A09D7" w14:paraId="142C8ECB" w14:textId="77777777" w:rsidTr="001514BC">
        <w:tc>
          <w:tcPr>
            <w:tcW w:w="0" w:type="auto"/>
            <w:vAlign w:val="center"/>
            <w:hideMark/>
          </w:tcPr>
          <w:p w14:paraId="729AFE11"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Albania</w:t>
            </w:r>
          </w:p>
        </w:tc>
        <w:tc>
          <w:tcPr>
            <w:tcW w:w="0" w:type="auto"/>
            <w:vAlign w:val="center"/>
            <w:hideMark/>
          </w:tcPr>
          <w:p w14:paraId="3F11BEAC"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Fiji</w:t>
            </w:r>
          </w:p>
        </w:tc>
        <w:tc>
          <w:tcPr>
            <w:tcW w:w="0" w:type="auto"/>
            <w:vAlign w:val="center"/>
            <w:hideMark/>
          </w:tcPr>
          <w:p w14:paraId="26CCA6ED"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Moldova</w:t>
            </w:r>
          </w:p>
        </w:tc>
      </w:tr>
      <w:tr w:rsidR="004A09D7" w:rsidRPr="004A09D7" w14:paraId="7592FB18" w14:textId="77777777" w:rsidTr="001514BC">
        <w:tc>
          <w:tcPr>
            <w:tcW w:w="0" w:type="auto"/>
            <w:vAlign w:val="center"/>
          </w:tcPr>
          <w:p w14:paraId="0C6EBA2C"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Armenia</w:t>
            </w:r>
          </w:p>
        </w:tc>
        <w:tc>
          <w:tcPr>
            <w:tcW w:w="0" w:type="auto"/>
            <w:vAlign w:val="center"/>
            <w:hideMark/>
          </w:tcPr>
          <w:p w14:paraId="0EE8D4D9"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Georgia</w:t>
            </w:r>
          </w:p>
        </w:tc>
        <w:tc>
          <w:tcPr>
            <w:tcW w:w="0" w:type="auto"/>
            <w:vAlign w:val="center"/>
            <w:hideMark/>
          </w:tcPr>
          <w:p w14:paraId="153A386A"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Mongolia</w:t>
            </w:r>
          </w:p>
        </w:tc>
      </w:tr>
      <w:tr w:rsidR="004A09D7" w:rsidRPr="004A09D7" w14:paraId="0EC2A0E7" w14:textId="77777777" w:rsidTr="001514BC">
        <w:tc>
          <w:tcPr>
            <w:tcW w:w="0" w:type="auto"/>
            <w:vAlign w:val="center"/>
          </w:tcPr>
          <w:p w14:paraId="22B7B797"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Azerbaijan</w:t>
            </w:r>
          </w:p>
        </w:tc>
        <w:tc>
          <w:tcPr>
            <w:tcW w:w="0" w:type="auto"/>
            <w:vAlign w:val="center"/>
            <w:hideMark/>
          </w:tcPr>
          <w:p w14:paraId="7D0AD6AC"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Guatemala</w:t>
            </w:r>
          </w:p>
        </w:tc>
        <w:tc>
          <w:tcPr>
            <w:tcW w:w="0" w:type="auto"/>
            <w:vAlign w:val="center"/>
          </w:tcPr>
          <w:p w14:paraId="23DA74E1"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Paraguay</w:t>
            </w:r>
          </w:p>
        </w:tc>
      </w:tr>
      <w:tr w:rsidR="004A09D7" w:rsidRPr="004A09D7" w14:paraId="3B70E6AF" w14:textId="77777777" w:rsidTr="001514BC">
        <w:tc>
          <w:tcPr>
            <w:tcW w:w="0" w:type="auto"/>
            <w:vAlign w:val="center"/>
            <w:hideMark/>
          </w:tcPr>
          <w:p w14:paraId="5BA36421"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Belarus</w:t>
            </w:r>
          </w:p>
        </w:tc>
        <w:tc>
          <w:tcPr>
            <w:tcW w:w="0" w:type="auto"/>
            <w:vAlign w:val="center"/>
            <w:hideMark/>
          </w:tcPr>
          <w:p w14:paraId="26453841"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Indonesia</w:t>
            </w:r>
          </w:p>
        </w:tc>
        <w:tc>
          <w:tcPr>
            <w:tcW w:w="0" w:type="auto"/>
            <w:vAlign w:val="center"/>
          </w:tcPr>
          <w:p w14:paraId="488BEF87"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Peru</w:t>
            </w:r>
          </w:p>
        </w:tc>
      </w:tr>
      <w:tr w:rsidR="004A09D7" w:rsidRPr="004A09D7" w14:paraId="4802F62C" w14:textId="77777777" w:rsidTr="001514BC">
        <w:tc>
          <w:tcPr>
            <w:tcW w:w="0" w:type="auto"/>
            <w:vAlign w:val="center"/>
            <w:hideMark/>
          </w:tcPr>
          <w:p w14:paraId="754E9CD7"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Belize</w:t>
            </w:r>
          </w:p>
        </w:tc>
        <w:tc>
          <w:tcPr>
            <w:tcW w:w="0" w:type="auto"/>
            <w:vAlign w:val="center"/>
            <w:hideMark/>
          </w:tcPr>
          <w:p w14:paraId="63E3D911"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Iran, Islamic Rep.</w:t>
            </w:r>
          </w:p>
        </w:tc>
        <w:tc>
          <w:tcPr>
            <w:tcW w:w="0" w:type="auto"/>
            <w:vAlign w:val="center"/>
            <w:hideMark/>
          </w:tcPr>
          <w:p w14:paraId="370B4FD9"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Samoa</w:t>
            </w:r>
          </w:p>
        </w:tc>
      </w:tr>
      <w:tr w:rsidR="004A09D7" w:rsidRPr="004A09D7" w14:paraId="51DD2FB3" w14:textId="77777777" w:rsidTr="001514BC">
        <w:tc>
          <w:tcPr>
            <w:tcW w:w="0" w:type="auto"/>
            <w:vAlign w:val="center"/>
            <w:hideMark/>
          </w:tcPr>
          <w:p w14:paraId="34AAD49F"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Brazil</w:t>
            </w:r>
          </w:p>
        </w:tc>
        <w:tc>
          <w:tcPr>
            <w:tcW w:w="0" w:type="auto"/>
            <w:vAlign w:val="center"/>
            <w:hideMark/>
          </w:tcPr>
          <w:p w14:paraId="18AB9B0D"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Jamaica</w:t>
            </w:r>
          </w:p>
        </w:tc>
        <w:tc>
          <w:tcPr>
            <w:tcW w:w="0" w:type="auto"/>
            <w:vAlign w:val="center"/>
            <w:hideMark/>
          </w:tcPr>
          <w:p w14:paraId="0A67F98C"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South Africa</w:t>
            </w:r>
          </w:p>
        </w:tc>
      </w:tr>
      <w:tr w:rsidR="004A09D7" w:rsidRPr="004A09D7" w14:paraId="5A8091DE" w14:textId="77777777" w:rsidTr="001514BC">
        <w:tc>
          <w:tcPr>
            <w:tcW w:w="0" w:type="auto"/>
            <w:vAlign w:val="center"/>
            <w:hideMark/>
          </w:tcPr>
          <w:p w14:paraId="2D7BB694"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Cabo Verde</w:t>
            </w:r>
          </w:p>
        </w:tc>
        <w:tc>
          <w:tcPr>
            <w:tcW w:w="0" w:type="auto"/>
            <w:vAlign w:val="center"/>
            <w:hideMark/>
          </w:tcPr>
          <w:p w14:paraId="7E18095A"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Malaysia</w:t>
            </w:r>
          </w:p>
        </w:tc>
        <w:tc>
          <w:tcPr>
            <w:tcW w:w="0" w:type="auto"/>
            <w:vAlign w:val="center"/>
            <w:hideMark/>
          </w:tcPr>
          <w:p w14:paraId="7B2BCDBC"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St. Lucia</w:t>
            </w:r>
          </w:p>
        </w:tc>
      </w:tr>
      <w:tr w:rsidR="004A09D7" w:rsidRPr="004A09D7" w14:paraId="70A1D1CC" w14:textId="77777777" w:rsidTr="001514BC">
        <w:tc>
          <w:tcPr>
            <w:tcW w:w="0" w:type="auto"/>
            <w:vAlign w:val="center"/>
          </w:tcPr>
          <w:p w14:paraId="1168D322"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China</w:t>
            </w:r>
          </w:p>
        </w:tc>
        <w:tc>
          <w:tcPr>
            <w:tcW w:w="0" w:type="auto"/>
            <w:vAlign w:val="center"/>
            <w:hideMark/>
          </w:tcPr>
          <w:p w14:paraId="7D787EE3"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Maldives</w:t>
            </w:r>
          </w:p>
        </w:tc>
        <w:tc>
          <w:tcPr>
            <w:tcW w:w="0" w:type="auto"/>
            <w:vAlign w:val="center"/>
            <w:hideMark/>
          </w:tcPr>
          <w:p w14:paraId="12A8CBDE"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St. Vincent and the Grenadines</w:t>
            </w:r>
          </w:p>
        </w:tc>
      </w:tr>
      <w:tr w:rsidR="004A09D7" w:rsidRPr="004A09D7" w14:paraId="2D4102F8" w14:textId="77777777" w:rsidTr="001514BC">
        <w:tc>
          <w:tcPr>
            <w:tcW w:w="0" w:type="auto"/>
            <w:vAlign w:val="center"/>
          </w:tcPr>
          <w:p w14:paraId="0AFA6A43"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Colombia</w:t>
            </w:r>
          </w:p>
        </w:tc>
        <w:tc>
          <w:tcPr>
            <w:tcW w:w="0" w:type="auto"/>
            <w:vAlign w:val="center"/>
            <w:hideMark/>
          </w:tcPr>
          <w:p w14:paraId="43CB363A"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Mauritius</w:t>
            </w:r>
          </w:p>
        </w:tc>
        <w:tc>
          <w:tcPr>
            <w:tcW w:w="0" w:type="auto"/>
            <w:vAlign w:val="center"/>
            <w:hideMark/>
          </w:tcPr>
          <w:p w14:paraId="65EC1726"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Thailand</w:t>
            </w:r>
          </w:p>
        </w:tc>
      </w:tr>
      <w:tr w:rsidR="004A09D7" w:rsidRPr="004A09D7" w14:paraId="17BAFFE3" w14:textId="77777777" w:rsidTr="001514BC">
        <w:tc>
          <w:tcPr>
            <w:tcW w:w="0" w:type="auto"/>
            <w:vAlign w:val="center"/>
            <w:hideMark/>
          </w:tcPr>
          <w:p w14:paraId="321BA8BB"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Dominican Republic</w:t>
            </w:r>
          </w:p>
        </w:tc>
        <w:tc>
          <w:tcPr>
            <w:tcW w:w="0" w:type="auto"/>
            <w:vAlign w:val="center"/>
            <w:hideMark/>
          </w:tcPr>
          <w:p w14:paraId="6A24D018"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Mexico</w:t>
            </w:r>
          </w:p>
        </w:tc>
        <w:tc>
          <w:tcPr>
            <w:tcW w:w="0" w:type="auto"/>
            <w:vAlign w:val="center"/>
            <w:hideMark/>
          </w:tcPr>
          <w:p w14:paraId="21501178" w14:textId="77777777" w:rsidR="004A09D7" w:rsidRPr="004A09D7" w:rsidRDefault="004A09D7" w:rsidP="001514BC">
            <w:pPr>
              <w:pStyle w:val="Body"/>
              <w:spacing w:after="0"/>
              <w:jc w:val="center"/>
              <w:rPr>
                <w:rFonts w:ascii="Arial" w:hAnsi="Arial" w:cs="Arial"/>
                <w:iCs/>
                <w:sz w:val="18"/>
              </w:rPr>
            </w:pPr>
            <w:r w:rsidRPr="004A09D7">
              <w:rPr>
                <w:rFonts w:ascii="Arial" w:hAnsi="Arial" w:cs="Arial"/>
                <w:iCs/>
                <w:sz w:val="18"/>
              </w:rPr>
              <w:t>Ukraine</w:t>
            </w:r>
          </w:p>
        </w:tc>
      </w:tr>
    </w:tbl>
    <w:p w14:paraId="0FAA4F71" w14:textId="77777777" w:rsidR="0024282C" w:rsidRPr="004A09D7" w:rsidRDefault="0024282C" w:rsidP="00441B6F">
      <w:pPr>
        <w:pStyle w:val="Body"/>
        <w:spacing w:after="0"/>
        <w:rPr>
          <w:rFonts w:ascii="Arial" w:hAnsi="Arial" w:cs="Arial"/>
          <w:iCs/>
          <w:sz w:val="18"/>
        </w:rPr>
      </w:pPr>
    </w:p>
    <w:p w14:paraId="23C81743" w14:textId="77777777" w:rsidR="00315186" w:rsidRDefault="00315186" w:rsidP="00441B6F"/>
    <w:p w14:paraId="2807FF65" w14:textId="77777777" w:rsidR="001514BC" w:rsidRPr="00315186" w:rsidRDefault="001514BC" w:rsidP="00441B6F"/>
    <w:p w14:paraId="5D3730C0" w14:textId="77777777" w:rsidR="001514BC" w:rsidRDefault="001514BC" w:rsidP="001514BC">
      <w:r>
        <w:t>DISCLAIMER</w:t>
      </w:r>
    </w:p>
    <w:p w14:paraId="29561B48" w14:textId="77777777" w:rsidR="001514BC" w:rsidRDefault="001514BC" w:rsidP="001514BC">
      <w:r>
        <w:t>The author confirms that this manuscript is his original work. All analysis was conducted by</w:t>
      </w:r>
    </w:p>
    <w:p w14:paraId="6761515A" w14:textId="388E0AAE" w:rsidR="001514BC" w:rsidRDefault="001514BC" w:rsidP="001514BC">
      <w:r>
        <w:t>the author using the STATA econometrics software package. No generative artificial</w:t>
      </w:r>
    </w:p>
    <w:p w14:paraId="1B7ACC61" w14:textId="77777777" w:rsidR="001514BC" w:rsidRDefault="001514BC" w:rsidP="001514BC">
      <w:r>
        <w:t>intelligence (AI) technologies were used in the writing, analysis, or interpretation of the</w:t>
      </w:r>
    </w:p>
    <w:p w14:paraId="4E311AD7" w14:textId="50FF612E" w:rsidR="00315186" w:rsidRPr="00315186" w:rsidRDefault="001514BC" w:rsidP="001514BC">
      <w:r>
        <w:t>results presented in this paper.</w:t>
      </w:r>
    </w:p>
    <w:p w14:paraId="4CDF781B" w14:textId="77777777" w:rsidR="00315186" w:rsidRPr="00315186" w:rsidRDefault="00315186" w:rsidP="00441B6F"/>
    <w:p w14:paraId="340F8105" w14:textId="77777777" w:rsidR="00315186" w:rsidRPr="00315186" w:rsidRDefault="00315186" w:rsidP="00441B6F"/>
    <w:p w14:paraId="4ED73EB9" w14:textId="77777777" w:rsidR="002B685A" w:rsidRDefault="002B685A" w:rsidP="00441B6F">
      <w:pPr>
        <w:pStyle w:val="ReferHead"/>
        <w:spacing w:after="0"/>
        <w:jc w:val="both"/>
        <w:rPr>
          <w:rFonts w:ascii="Arial" w:hAnsi="Arial" w:cs="Arial"/>
          <w:b w:val="0"/>
          <w:caps w:val="0"/>
          <w:sz w:val="20"/>
        </w:rPr>
      </w:pPr>
      <w:bookmarkStart w:id="1" w:name="_GoBack"/>
      <w:bookmarkEnd w:id="1"/>
    </w:p>
    <w:p w14:paraId="040E8E9D" w14:textId="77777777" w:rsidR="00685F35" w:rsidRDefault="00685F35" w:rsidP="00441B6F">
      <w:pPr>
        <w:pStyle w:val="ReferHead"/>
        <w:spacing w:after="0"/>
        <w:jc w:val="both"/>
        <w:rPr>
          <w:rFonts w:ascii="Arial" w:hAnsi="Arial" w:cs="Arial"/>
          <w:b w:val="0"/>
          <w:caps w:val="0"/>
          <w:sz w:val="20"/>
        </w:rPr>
      </w:pPr>
    </w:p>
    <w:p w14:paraId="0CD65E0F" w14:textId="77777777" w:rsidR="00685F35" w:rsidRDefault="00685F35" w:rsidP="00685F35">
      <w:pPr>
        <w:pStyle w:val="DefAcrHead"/>
        <w:spacing w:after="0"/>
        <w:jc w:val="both"/>
        <w:rPr>
          <w:rFonts w:ascii="Arial" w:hAnsi="Arial" w:cs="Arial"/>
        </w:rPr>
      </w:pPr>
      <w:r w:rsidRPr="00FB3A86">
        <w:rPr>
          <w:rFonts w:ascii="Arial" w:hAnsi="Arial" w:cs="Arial"/>
        </w:rPr>
        <w:t>Definition</w:t>
      </w:r>
    </w:p>
    <w:p w14:paraId="16E31734" w14:textId="77777777" w:rsidR="00685F35" w:rsidRPr="00387C97" w:rsidRDefault="00685F35" w:rsidP="00685F35">
      <w:pPr>
        <w:pStyle w:val="Body"/>
        <w:spacing w:after="0"/>
        <w:rPr>
          <w:rFonts w:ascii="Arial" w:hAnsi="Arial" w:cs="Arial"/>
          <w:b/>
          <w:bCs/>
        </w:rPr>
      </w:pPr>
      <w:r w:rsidRPr="00FB3A86">
        <w:rPr>
          <w:rFonts w:ascii="Arial" w:hAnsi="Arial" w:cs="Arial"/>
          <w:b/>
        </w:rPr>
        <w:t>Term</w:t>
      </w:r>
      <w:r w:rsidRPr="00FB3A86">
        <w:rPr>
          <w:rFonts w:ascii="Arial" w:hAnsi="Arial" w:cs="Arial"/>
        </w:rPr>
        <w:t xml:space="preserve">: </w:t>
      </w:r>
      <w:r w:rsidRPr="00387C97">
        <w:rPr>
          <w:rFonts w:ascii="Arial" w:hAnsi="Arial" w:cs="Arial"/>
          <w:b/>
          <w:bCs/>
        </w:rPr>
        <w:t>Upper-Middle-Income Countries (World Bank)</w:t>
      </w:r>
    </w:p>
    <w:p w14:paraId="20FDF0BF" w14:textId="77777777" w:rsidR="00685F35" w:rsidRPr="00387C97" w:rsidRDefault="00685F35" w:rsidP="00685F35">
      <w:pPr>
        <w:pStyle w:val="Body"/>
        <w:spacing w:after="0"/>
        <w:rPr>
          <w:rFonts w:ascii="Arial" w:hAnsi="Arial" w:cs="Arial"/>
        </w:rPr>
      </w:pPr>
      <w:r w:rsidRPr="00387C97">
        <w:rPr>
          <w:rFonts w:ascii="Arial" w:hAnsi="Arial" w:cs="Arial"/>
        </w:rPr>
        <w:t>The World Bank classifies the world's economies into four income groups for analytical purposes: low, lower-middle, upper-middle, and high income. This classification is based on a metric called </w:t>
      </w:r>
      <w:r w:rsidRPr="00387C97">
        <w:rPr>
          <w:rFonts w:ascii="Arial" w:hAnsi="Arial" w:cs="Arial"/>
          <w:b/>
          <w:bCs/>
        </w:rPr>
        <w:t>Gross National Income (GNI) per capita</w:t>
      </w:r>
      <w:r w:rsidRPr="00387C97">
        <w:rPr>
          <w:rFonts w:ascii="Arial" w:hAnsi="Arial" w:cs="Arial"/>
        </w:rPr>
        <w:t>, calculated using the </w:t>
      </w:r>
      <w:r w:rsidRPr="00387C97">
        <w:rPr>
          <w:rFonts w:ascii="Arial" w:hAnsi="Arial" w:cs="Arial"/>
          <w:b/>
          <w:bCs/>
        </w:rPr>
        <w:t>Atlas method</w:t>
      </w:r>
      <w:r w:rsidRPr="00387C97">
        <w:rPr>
          <w:rFonts w:ascii="Arial" w:hAnsi="Arial" w:cs="Arial"/>
        </w:rPr>
        <w:t>.</w:t>
      </w:r>
    </w:p>
    <w:p w14:paraId="49099478" w14:textId="77777777" w:rsidR="00685F35" w:rsidRPr="00387C97" w:rsidRDefault="00685F35" w:rsidP="00685F35">
      <w:pPr>
        <w:pStyle w:val="Body"/>
        <w:spacing w:after="0"/>
        <w:rPr>
          <w:rFonts w:ascii="Arial" w:hAnsi="Arial" w:cs="Arial"/>
        </w:rPr>
      </w:pPr>
      <w:r w:rsidRPr="00387C97">
        <w:rPr>
          <w:rFonts w:ascii="Arial" w:hAnsi="Arial" w:cs="Arial"/>
        </w:rPr>
        <w:t>An </w:t>
      </w:r>
      <w:r w:rsidRPr="00387C97">
        <w:rPr>
          <w:rFonts w:ascii="Arial" w:hAnsi="Arial" w:cs="Arial"/>
          <w:b/>
          <w:bCs/>
        </w:rPr>
        <w:t>Upper-Middle-Income Country (UMIC)</w:t>
      </w:r>
      <w:r w:rsidRPr="00387C97">
        <w:rPr>
          <w:rFonts w:ascii="Arial" w:hAnsi="Arial" w:cs="Arial"/>
        </w:rPr>
        <w:t> is defined as an economy with a GNI per capita that falls within a specific threshold band. This threshold is </w:t>
      </w:r>
      <w:r w:rsidRPr="00387C97">
        <w:rPr>
          <w:rFonts w:ascii="Arial" w:hAnsi="Arial" w:cs="Arial"/>
          <w:b/>
          <w:bCs/>
        </w:rPr>
        <w:t>adjusted annually</w:t>
      </w:r>
      <w:r w:rsidRPr="00387C97">
        <w:rPr>
          <w:rFonts w:ascii="Arial" w:hAnsi="Arial" w:cs="Arial"/>
        </w:rPr>
        <w:t> to account for inflation and changes in the global economy.</w:t>
      </w:r>
    </w:p>
    <w:p w14:paraId="0F91AB92" w14:textId="77777777" w:rsidR="00685F35" w:rsidRPr="00387C97" w:rsidRDefault="00685F35" w:rsidP="00685F35">
      <w:pPr>
        <w:pStyle w:val="Body"/>
        <w:spacing w:after="0"/>
        <w:rPr>
          <w:rFonts w:ascii="Arial" w:hAnsi="Arial" w:cs="Arial"/>
          <w:b/>
          <w:bCs/>
        </w:rPr>
      </w:pPr>
      <w:r w:rsidRPr="00387C97">
        <w:rPr>
          <w:rFonts w:ascii="Arial" w:hAnsi="Arial" w:cs="Arial"/>
          <w:b/>
          <w:bCs/>
        </w:rPr>
        <w:lastRenderedPageBreak/>
        <w:t>Key Criteria:</w:t>
      </w:r>
    </w:p>
    <w:p w14:paraId="626FA9B3" w14:textId="77777777" w:rsidR="00685F35" w:rsidRPr="00387C97" w:rsidRDefault="00685F35" w:rsidP="00685F35">
      <w:pPr>
        <w:pStyle w:val="Body"/>
        <w:numPr>
          <w:ilvl w:val="0"/>
          <w:numId w:val="44"/>
        </w:numPr>
        <w:rPr>
          <w:rFonts w:ascii="Arial" w:hAnsi="Arial" w:cs="Arial"/>
        </w:rPr>
      </w:pPr>
      <w:r w:rsidRPr="00387C97">
        <w:rPr>
          <w:rFonts w:ascii="Arial" w:hAnsi="Arial" w:cs="Arial"/>
          <w:b/>
          <w:bCs/>
        </w:rPr>
        <w:t>Benchmark Metric:</w:t>
      </w:r>
      <w:r w:rsidRPr="00387C97">
        <w:rPr>
          <w:rFonts w:ascii="Arial" w:hAnsi="Arial" w:cs="Arial"/>
        </w:rPr>
        <w:t> Gross National Income (GNI) per capita, using the Atlas method.</w:t>
      </w:r>
    </w:p>
    <w:p w14:paraId="70CE1190" w14:textId="77777777" w:rsidR="00685F35" w:rsidRPr="00387C97" w:rsidRDefault="00685F35" w:rsidP="00685F35">
      <w:pPr>
        <w:pStyle w:val="Body"/>
        <w:numPr>
          <w:ilvl w:val="0"/>
          <w:numId w:val="44"/>
        </w:numPr>
        <w:spacing w:after="0"/>
        <w:rPr>
          <w:rFonts w:ascii="Arial" w:hAnsi="Arial" w:cs="Arial"/>
        </w:rPr>
      </w:pPr>
      <w:r w:rsidRPr="00387C97">
        <w:rPr>
          <w:rFonts w:ascii="Arial" w:hAnsi="Arial" w:cs="Arial"/>
          <w:b/>
          <w:bCs/>
        </w:rPr>
        <w:t>Current Threshold (Fiscal Year 2025 - based on 2023 data):</w:t>
      </w:r>
    </w:p>
    <w:p w14:paraId="2C84C3D7" w14:textId="77777777" w:rsidR="00685F35" w:rsidRPr="00387C97" w:rsidRDefault="00685F35" w:rsidP="00685F35">
      <w:pPr>
        <w:pStyle w:val="NoSpacing"/>
      </w:pPr>
      <w:r w:rsidRPr="00387C97">
        <w:t>Lower bound: $4,516</w:t>
      </w:r>
    </w:p>
    <w:p w14:paraId="7C59D2C3" w14:textId="77777777" w:rsidR="00685F35" w:rsidRPr="00387C97" w:rsidRDefault="00685F35" w:rsidP="00685F35">
      <w:pPr>
        <w:pStyle w:val="NoSpacing"/>
      </w:pPr>
      <w:r w:rsidRPr="00387C97">
        <w:t>Upper bound: $14,005</w:t>
      </w:r>
    </w:p>
    <w:p w14:paraId="1CF783DE" w14:textId="77777777" w:rsidR="00685F35" w:rsidRPr="00387C97" w:rsidRDefault="00685F35" w:rsidP="00685F35">
      <w:pPr>
        <w:pStyle w:val="Body"/>
        <w:numPr>
          <w:ilvl w:val="0"/>
          <w:numId w:val="44"/>
        </w:numPr>
        <w:rPr>
          <w:rFonts w:ascii="Arial" w:hAnsi="Arial" w:cs="Arial"/>
        </w:rPr>
      </w:pPr>
      <w:r w:rsidRPr="00387C97">
        <w:rPr>
          <w:rFonts w:ascii="Arial" w:hAnsi="Arial" w:cs="Arial"/>
          <w:b/>
          <w:bCs/>
        </w:rPr>
        <w:t>Purpose:</w:t>
      </w:r>
      <w:r w:rsidRPr="00387C97">
        <w:rPr>
          <w:rFonts w:ascii="Arial" w:hAnsi="Arial" w:cs="Arial"/>
        </w:rPr>
        <w:t> The classification is primarily a statistical tool for operational and analytical purposes. It helps the World Bank allocate resources and tailor its lending and advisory services. It is </w:t>
      </w:r>
      <w:r w:rsidRPr="00387C97">
        <w:rPr>
          <w:rFonts w:ascii="Arial" w:hAnsi="Arial" w:cs="Arial"/>
          <w:b/>
          <w:bCs/>
        </w:rPr>
        <w:t>not</w:t>
      </w:r>
      <w:r w:rsidRPr="00387C97">
        <w:rPr>
          <w:rFonts w:ascii="Arial" w:hAnsi="Arial" w:cs="Arial"/>
        </w:rPr>
        <w:t> a measure of development status, which encompasses a wider range of social, institutional, and environmental factors.</w:t>
      </w:r>
    </w:p>
    <w:p w14:paraId="652A1603" w14:textId="77777777" w:rsidR="00685F35" w:rsidRDefault="00685F35" w:rsidP="00441B6F">
      <w:pPr>
        <w:pStyle w:val="ReferHead"/>
        <w:spacing w:after="0"/>
        <w:jc w:val="both"/>
        <w:rPr>
          <w:rFonts w:ascii="Arial" w:hAnsi="Arial" w:cs="Arial"/>
          <w:b w:val="0"/>
          <w:caps w:val="0"/>
          <w:sz w:val="20"/>
        </w:rPr>
      </w:pPr>
    </w:p>
    <w:p w14:paraId="67CE28B0" w14:textId="77777777" w:rsidR="005C784C" w:rsidRDefault="005C784C" w:rsidP="00441B6F">
      <w:pPr>
        <w:pStyle w:val="ReferHead"/>
        <w:spacing w:after="0"/>
        <w:jc w:val="both"/>
        <w:rPr>
          <w:rFonts w:ascii="Arial" w:hAnsi="Arial" w:cs="Arial"/>
          <w:b w:val="0"/>
          <w:caps w:val="0"/>
          <w:sz w:val="20"/>
        </w:rPr>
      </w:pPr>
    </w:p>
    <w:p w14:paraId="785E8C56" w14:textId="77777777" w:rsidR="00860000" w:rsidRDefault="00860000" w:rsidP="00441B6F">
      <w:pPr>
        <w:pStyle w:val="ReferHead"/>
        <w:spacing w:after="0"/>
        <w:jc w:val="both"/>
        <w:rPr>
          <w:rFonts w:ascii="Arial" w:hAnsi="Arial" w:cs="Arial"/>
        </w:rPr>
      </w:pPr>
    </w:p>
    <w:p w14:paraId="5E3AB3C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D0EDE57" w14:textId="77777777" w:rsidR="00790ADA" w:rsidRPr="00FB3A86" w:rsidRDefault="00790ADA" w:rsidP="00441B6F">
      <w:pPr>
        <w:pStyle w:val="ReferHead"/>
        <w:spacing w:after="0"/>
        <w:jc w:val="both"/>
        <w:rPr>
          <w:rFonts w:ascii="Arial" w:hAnsi="Arial" w:cs="Arial"/>
        </w:rPr>
      </w:pPr>
    </w:p>
    <w:p w14:paraId="2E37F177" w14:textId="77777777" w:rsidR="001514BC" w:rsidRPr="001514BC" w:rsidRDefault="001514BC" w:rsidP="001514BC">
      <w:pPr>
        <w:pStyle w:val="Body"/>
        <w:spacing w:after="0"/>
      </w:pPr>
      <w:r w:rsidRPr="001514BC">
        <w:t xml:space="preserve">Abdelkader, H. E. M. (2017). Political instability and economic growth in Egypt. </w:t>
      </w:r>
      <w:r w:rsidRPr="001514BC">
        <w:rPr>
          <w:i/>
          <w:iCs/>
        </w:rPr>
        <w:t>Review of Middle East Economics and Finance, 13</w:t>
      </w:r>
      <w:r w:rsidRPr="001514BC">
        <w:t>(2), 1–11.</w:t>
      </w:r>
    </w:p>
    <w:p w14:paraId="33372165" w14:textId="77777777" w:rsidR="001514BC" w:rsidRPr="001514BC" w:rsidRDefault="001514BC" w:rsidP="001514BC">
      <w:pPr>
        <w:pStyle w:val="Body"/>
        <w:spacing w:after="0"/>
      </w:pPr>
      <w:r w:rsidRPr="001514BC">
        <w:t xml:space="preserve">Acemoglu, D., Johnson, S., &amp; Robinson, J. A. (2005). Institutions as a fundamental cause of long-run growth. In P. Aghion &amp; S. </w:t>
      </w:r>
      <w:proofErr w:type="spellStart"/>
      <w:r w:rsidRPr="001514BC">
        <w:t>Durlauf</w:t>
      </w:r>
      <w:proofErr w:type="spellEnd"/>
      <w:r w:rsidRPr="001514BC">
        <w:t xml:space="preserve"> (Eds.), </w:t>
      </w:r>
      <w:r w:rsidRPr="001514BC">
        <w:rPr>
          <w:i/>
          <w:iCs/>
        </w:rPr>
        <w:t>Handbook of economic growth</w:t>
      </w:r>
      <w:r w:rsidRPr="001514BC">
        <w:t xml:space="preserve"> (Vol. 1, pp. 385–472). Elsevier.</w:t>
      </w:r>
    </w:p>
    <w:p w14:paraId="6508FE40" w14:textId="77777777" w:rsidR="001514BC" w:rsidRPr="001514BC" w:rsidRDefault="001514BC" w:rsidP="001514BC">
      <w:pPr>
        <w:pStyle w:val="Body"/>
        <w:spacing w:after="0"/>
        <w:jc w:val="left"/>
      </w:pPr>
      <w:r w:rsidRPr="001514BC">
        <w:t xml:space="preserve">Arellano, M., &amp; Bond, S. (1991). Some tests of specification for panel data: Monte Carlo evidence and an application to employment equations. The Review of Economic Studies, 58(2), 277–297. </w:t>
      </w:r>
    </w:p>
    <w:p w14:paraId="250EBFEF" w14:textId="77777777" w:rsidR="001514BC" w:rsidRPr="001514BC" w:rsidRDefault="001514BC" w:rsidP="001514BC">
      <w:pPr>
        <w:pStyle w:val="Body"/>
        <w:spacing w:after="0"/>
        <w:jc w:val="left"/>
      </w:pPr>
      <w:r w:rsidRPr="001514BC">
        <w:t xml:space="preserve">Arellano, M., &amp; </w:t>
      </w:r>
      <w:proofErr w:type="spellStart"/>
      <w:r w:rsidRPr="001514BC">
        <w:t>Bover</w:t>
      </w:r>
      <w:proofErr w:type="spellEnd"/>
      <w:r w:rsidRPr="001514BC">
        <w:t>, O. (1995). Another look at the instrumental variable estimation of error-components models. Journal of Econometrics, 68(1), 29–51.</w:t>
      </w:r>
    </w:p>
    <w:p w14:paraId="41E5EFC4" w14:textId="77777777" w:rsidR="001514BC" w:rsidRPr="001514BC" w:rsidRDefault="001514BC" w:rsidP="001514BC">
      <w:pPr>
        <w:pStyle w:val="Body"/>
        <w:spacing w:after="0"/>
      </w:pPr>
      <w:r w:rsidRPr="001514BC">
        <w:t xml:space="preserve">Bayar, Y. (2016). Public governance and economic growth in the transitional economies of the European Union. </w:t>
      </w:r>
      <w:r w:rsidRPr="001514BC">
        <w:rPr>
          <w:i/>
          <w:iCs/>
        </w:rPr>
        <w:t>Transylvanian Review of Administrative Sciences, 12</w:t>
      </w:r>
      <w:r w:rsidRPr="001514BC">
        <w:t>(48), 5–18.</w:t>
      </w:r>
    </w:p>
    <w:p w14:paraId="2D2C1808" w14:textId="77777777" w:rsidR="001514BC" w:rsidRPr="001514BC" w:rsidRDefault="001514BC" w:rsidP="001514BC">
      <w:pPr>
        <w:pStyle w:val="Body"/>
        <w:spacing w:after="0"/>
      </w:pPr>
      <w:r w:rsidRPr="001514BC">
        <w:t>Blundell, R., &amp; Bond, S. (1998). Initial conditions and moment restrictions in dynamic panel data models. Journal of Econometrics, 87(1), 115–143.</w:t>
      </w:r>
    </w:p>
    <w:p w14:paraId="0FA2BEFB" w14:textId="77777777" w:rsidR="001514BC" w:rsidRPr="001514BC" w:rsidRDefault="001514BC" w:rsidP="001514BC">
      <w:pPr>
        <w:pStyle w:val="Body"/>
        <w:spacing w:after="0"/>
      </w:pPr>
      <w:r w:rsidRPr="001514BC">
        <w:t xml:space="preserve">Dollar, D., &amp; </w:t>
      </w:r>
      <w:proofErr w:type="spellStart"/>
      <w:r w:rsidRPr="001514BC">
        <w:t>Kraay</w:t>
      </w:r>
      <w:proofErr w:type="spellEnd"/>
      <w:r w:rsidRPr="001514BC">
        <w:t xml:space="preserve">, A. (2002). Growth is good for the poor. </w:t>
      </w:r>
      <w:r w:rsidRPr="001514BC">
        <w:rPr>
          <w:i/>
          <w:iCs/>
        </w:rPr>
        <w:t>Journal of Economic Growth, 7</w:t>
      </w:r>
      <w:r w:rsidRPr="001514BC">
        <w:t>(3), 195–225.</w:t>
      </w:r>
    </w:p>
    <w:p w14:paraId="71854F04" w14:textId="77777777" w:rsidR="001514BC" w:rsidRPr="001514BC" w:rsidRDefault="001514BC" w:rsidP="001514BC">
      <w:pPr>
        <w:pStyle w:val="Body"/>
        <w:spacing w:after="0"/>
      </w:pPr>
      <w:r w:rsidRPr="001514BC">
        <w:t xml:space="preserve">Easterly, W., &amp; Levine, R. (2003). Tropics, germs, and crops: How endowments influence economic development. </w:t>
      </w:r>
      <w:r w:rsidRPr="001514BC">
        <w:rPr>
          <w:i/>
          <w:iCs/>
        </w:rPr>
        <w:t>Journal of Monetary Economics, 50</w:t>
      </w:r>
      <w:r w:rsidRPr="001514BC">
        <w:t>(1), 3–39.</w:t>
      </w:r>
    </w:p>
    <w:p w14:paraId="22353042" w14:textId="77777777" w:rsidR="001514BC" w:rsidRPr="001514BC" w:rsidRDefault="001514BC" w:rsidP="001514BC">
      <w:pPr>
        <w:pStyle w:val="Body"/>
        <w:spacing w:after="0"/>
      </w:pPr>
      <w:proofErr w:type="spellStart"/>
      <w:r w:rsidRPr="001514BC">
        <w:t>Fayissa</w:t>
      </w:r>
      <w:proofErr w:type="spellEnd"/>
      <w:r w:rsidRPr="001514BC">
        <w:t xml:space="preserve">, B., &amp; Nsiah, C. (2013). The impact of governance on economic growth in Africa. </w:t>
      </w:r>
      <w:r w:rsidRPr="001514BC">
        <w:rPr>
          <w:i/>
          <w:iCs/>
        </w:rPr>
        <w:t>The Journal of Developing Areas, 47</w:t>
      </w:r>
      <w:r w:rsidRPr="001514BC">
        <w:t>(1), 91–108.</w:t>
      </w:r>
    </w:p>
    <w:p w14:paraId="6D892BB7" w14:textId="77777777" w:rsidR="001514BC" w:rsidRPr="001514BC" w:rsidRDefault="001514BC" w:rsidP="001514BC">
      <w:pPr>
        <w:pStyle w:val="Body"/>
        <w:spacing w:after="0"/>
      </w:pPr>
      <w:proofErr w:type="spellStart"/>
      <w:r w:rsidRPr="001514BC">
        <w:t>Gani</w:t>
      </w:r>
      <w:proofErr w:type="spellEnd"/>
      <w:r w:rsidRPr="001514BC">
        <w:t xml:space="preserve">, A. (2011). Governance and growth in developing countries. </w:t>
      </w:r>
      <w:r w:rsidRPr="001514BC">
        <w:rPr>
          <w:i/>
          <w:iCs/>
        </w:rPr>
        <w:t>Journal of Economic Issues, 45</w:t>
      </w:r>
      <w:r w:rsidRPr="001514BC">
        <w:t>(1), 19–39.</w:t>
      </w:r>
    </w:p>
    <w:p w14:paraId="425F0038" w14:textId="77777777" w:rsidR="001514BC" w:rsidRPr="001514BC" w:rsidRDefault="001514BC" w:rsidP="001514BC">
      <w:pPr>
        <w:pStyle w:val="Body"/>
        <w:spacing w:after="0"/>
      </w:pPr>
      <w:r w:rsidRPr="001514BC">
        <w:t xml:space="preserve">Huynh, K. P., &amp; </w:t>
      </w:r>
      <w:proofErr w:type="spellStart"/>
      <w:r w:rsidRPr="001514BC">
        <w:t>Jacho</w:t>
      </w:r>
      <w:proofErr w:type="spellEnd"/>
      <w:r w:rsidRPr="001514BC">
        <w:t xml:space="preserve">-Chavez, D. T. (2009). Growth and governance: A nonparametric analysis. </w:t>
      </w:r>
      <w:r w:rsidRPr="001514BC">
        <w:rPr>
          <w:i/>
          <w:iCs/>
        </w:rPr>
        <w:t>Advances in Econometrics, 25</w:t>
      </w:r>
      <w:r w:rsidRPr="001514BC">
        <w:t>, 193–221.</w:t>
      </w:r>
    </w:p>
    <w:p w14:paraId="51983E2F" w14:textId="77777777" w:rsidR="001514BC" w:rsidRPr="001514BC" w:rsidRDefault="001514BC" w:rsidP="001514BC">
      <w:pPr>
        <w:pStyle w:val="Body"/>
        <w:spacing w:after="0"/>
      </w:pPr>
      <w:proofErr w:type="spellStart"/>
      <w:r w:rsidRPr="001514BC">
        <w:t>Jalilian</w:t>
      </w:r>
      <w:proofErr w:type="spellEnd"/>
      <w:r w:rsidRPr="001514BC">
        <w:t xml:space="preserve">, H., Kirkpatrick, C., &amp; Parker, D. (2006). The impact of regulation on economic growth in developing countries: A cross-country analysis. </w:t>
      </w:r>
      <w:r w:rsidRPr="001514BC">
        <w:rPr>
          <w:i/>
          <w:iCs/>
        </w:rPr>
        <w:t>World Development, 35</w:t>
      </w:r>
      <w:r w:rsidRPr="001514BC">
        <w:t>(1), 87–103.</w:t>
      </w:r>
    </w:p>
    <w:p w14:paraId="589662BF" w14:textId="77777777" w:rsidR="001514BC" w:rsidRPr="001514BC" w:rsidRDefault="001514BC" w:rsidP="001514BC">
      <w:pPr>
        <w:pStyle w:val="Body"/>
        <w:spacing w:after="0"/>
      </w:pPr>
      <w:r w:rsidRPr="001514BC">
        <w:t xml:space="preserve">Kaufmann, D., </w:t>
      </w:r>
      <w:proofErr w:type="spellStart"/>
      <w:r w:rsidRPr="001514BC">
        <w:t>Kraay</w:t>
      </w:r>
      <w:proofErr w:type="spellEnd"/>
      <w:r w:rsidRPr="001514BC">
        <w:t xml:space="preserve">, A., &amp; </w:t>
      </w:r>
      <w:proofErr w:type="spellStart"/>
      <w:r w:rsidRPr="001514BC">
        <w:t>Zoido</w:t>
      </w:r>
      <w:proofErr w:type="spellEnd"/>
      <w:r w:rsidRPr="001514BC">
        <w:t xml:space="preserve">, P. (1999). Governance matters. </w:t>
      </w:r>
      <w:r w:rsidRPr="001514BC">
        <w:rPr>
          <w:i/>
          <w:iCs/>
        </w:rPr>
        <w:t>World Bank Policy Research Working Paper</w:t>
      </w:r>
      <w:r w:rsidRPr="001514BC">
        <w:t xml:space="preserve"> No. 2196.</w:t>
      </w:r>
    </w:p>
    <w:p w14:paraId="1C5712C7" w14:textId="77777777" w:rsidR="001514BC" w:rsidRPr="001514BC" w:rsidRDefault="001514BC" w:rsidP="001514BC">
      <w:pPr>
        <w:pStyle w:val="Body"/>
        <w:spacing w:after="0"/>
      </w:pPr>
      <w:proofErr w:type="spellStart"/>
      <w:r w:rsidRPr="001514BC">
        <w:t>Maune</w:t>
      </w:r>
      <w:proofErr w:type="spellEnd"/>
      <w:r w:rsidRPr="001514BC">
        <w:t xml:space="preserve">, A. (2017). The strong influence of sound corporate governance on economic growth: Evidence from Zimbabwe. </w:t>
      </w:r>
      <w:r w:rsidRPr="001514BC">
        <w:rPr>
          <w:i/>
          <w:iCs/>
        </w:rPr>
        <w:t>Problems and Perspectives in Management, 15</w:t>
      </w:r>
      <w:r w:rsidRPr="001514BC">
        <w:t>(2), 445–455.</w:t>
      </w:r>
    </w:p>
    <w:p w14:paraId="53782A84" w14:textId="77777777" w:rsidR="001514BC" w:rsidRPr="001514BC" w:rsidRDefault="001514BC" w:rsidP="001514BC">
      <w:pPr>
        <w:pStyle w:val="Body"/>
        <w:spacing w:after="0"/>
      </w:pPr>
      <w:r w:rsidRPr="001514BC">
        <w:t xml:space="preserve">Medina-Moral, E., &amp; Montes-Gan, V. J. (2018). Economic freedom, good governance and the dynamics of development. </w:t>
      </w:r>
      <w:r w:rsidRPr="001514BC">
        <w:rPr>
          <w:i/>
          <w:iCs/>
        </w:rPr>
        <w:t>Journal of Applied Economics, 21</w:t>
      </w:r>
      <w:r w:rsidRPr="001514BC">
        <w:t>(1), 44–66.</w:t>
      </w:r>
    </w:p>
    <w:p w14:paraId="4403FC12" w14:textId="77777777" w:rsidR="001514BC" w:rsidRPr="001514BC" w:rsidRDefault="001514BC" w:rsidP="001514BC">
      <w:pPr>
        <w:pStyle w:val="Body"/>
        <w:spacing w:after="0"/>
      </w:pPr>
      <w:proofErr w:type="spellStart"/>
      <w:r w:rsidRPr="001514BC">
        <w:t>Orayo</w:t>
      </w:r>
      <w:proofErr w:type="spellEnd"/>
      <w:r w:rsidRPr="001514BC">
        <w:t xml:space="preserve">, J. A., &amp; </w:t>
      </w:r>
      <w:proofErr w:type="spellStart"/>
      <w:r w:rsidRPr="001514BC">
        <w:t>Mose</w:t>
      </w:r>
      <w:proofErr w:type="spellEnd"/>
      <w:r w:rsidRPr="001514BC">
        <w:t xml:space="preserve">, G. N. (2016). A comparative study on contribution of governance on economic growth in the East African community countries. </w:t>
      </w:r>
      <w:r w:rsidRPr="001514BC">
        <w:rPr>
          <w:i/>
          <w:iCs/>
        </w:rPr>
        <w:t>International Journal of Regional Development, 3</w:t>
      </w:r>
      <w:r w:rsidRPr="001514BC">
        <w:t>(2), 89–106.</w:t>
      </w:r>
    </w:p>
    <w:p w14:paraId="67EA0A84" w14:textId="77777777" w:rsidR="001514BC" w:rsidRPr="001514BC" w:rsidRDefault="001514BC" w:rsidP="001514BC">
      <w:pPr>
        <w:pStyle w:val="Body"/>
        <w:spacing w:after="0"/>
      </w:pPr>
      <w:proofErr w:type="spellStart"/>
      <w:r w:rsidRPr="001514BC">
        <w:lastRenderedPageBreak/>
        <w:t>Rigobon</w:t>
      </w:r>
      <w:proofErr w:type="spellEnd"/>
      <w:r w:rsidRPr="001514BC">
        <w:t xml:space="preserve">, R., &amp; Rodrik, D. (2005). Rule of law, democracy, openness, and income: Estimating the interrelationships. </w:t>
      </w:r>
      <w:r w:rsidRPr="001514BC">
        <w:rPr>
          <w:i/>
          <w:iCs/>
        </w:rPr>
        <w:t>The Economics of Transition, 13</w:t>
      </w:r>
      <w:r w:rsidRPr="001514BC">
        <w:t>(3), 533–564.</w:t>
      </w:r>
    </w:p>
    <w:p w14:paraId="18A24AD7" w14:textId="77777777" w:rsidR="001514BC" w:rsidRPr="001514BC" w:rsidRDefault="001514BC" w:rsidP="001514BC">
      <w:pPr>
        <w:pStyle w:val="Body"/>
        <w:spacing w:after="0"/>
      </w:pPr>
      <w:proofErr w:type="spellStart"/>
      <w:r w:rsidRPr="001514BC">
        <w:t>Sallahuddin</w:t>
      </w:r>
      <w:proofErr w:type="spellEnd"/>
      <w:r w:rsidRPr="001514BC">
        <w:t xml:space="preserve">, N. U. A., &amp; Awan, P. D. A. G. (2017). Impact of political instability on Pakistan’s economic growth. </w:t>
      </w:r>
      <w:r w:rsidRPr="001514BC">
        <w:rPr>
          <w:i/>
          <w:iCs/>
        </w:rPr>
        <w:t>Global Journal of Management, Social Sciences and Humanities, 3</w:t>
      </w:r>
      <w:r w:rsidRPr="001514BC">
        <w:t>(4), 729–748.</w:t>
      </w:r>
    </w:p>
    <w:p w14:paraId="251DC843" w14:textId="77777777" w:rsidR="001514BC" w:rsidRPr="001514BC" w:rsidRDefault="001514BC" w:rsidP="001514BC">
      <w:pPr>
        <w:pStyle w:val="Body"/>
        <w:spacing w:after="0"/>
      </w:pPr>
      <w:r w:rsidRPr="001514BC">
        <w:t xml:space="preserve">Uddin, M. A., Ali, M. H., &amp; Masih, M. (2017). Political stability and growth: An application of dynamic GMM and quantile regression. </w:t>
      </w:r>
      <w:r w:rsidRPr="001514BC">
        <w:rPr>
          <w:i/>
          <w:iCs/>
        </w:rPr>
        <w:t>Economic Modelling, 64</w:t>
      </w:r>
      <w:r w:rsidRPr="001514BC">
        <w:t>, 610–625.</w:t>
      </w:r>
    </w:p>
    <w:p w14:paraId="029887FD" w14:textId="77777777" w:rsidR="001514BC" w:rsidRPr="001514BC" w:rsidRDefault="001514BC" w:rsidP="001514BC">
      <w:pPr>
        <w:pStyle w:val="Body"/>
        <w:spacing w:after="0"/>
      </w:pPr>
      <w:proofErr w:type="spellStart"/>
      <w:r w:rsidRPr="001514BC">
        <w:t>Yahyaoui</w:t>
      </w:r>
      <w:proofErr w:type="spellEnd"/>
      <w:r w:rsidRPr="001514BC">
        <w:t xml:space="preserve">, I., &amp; </w:t>
      </w:r>
      <w:proofErr w:type="spellStart"/>
      <w:r w:rsidRPr="001514BC">
        <w:t>Bouchoucha</w:t>
      </w:r>
      <w:proofErr w:type="spellEnd"/>
      <w:r w:rsidRPr="001514BC">
        <w:t xml:space="preserve">, N. (2020). Foreign aid-growth nexus in Africa: Do institutions matter? </w:t>
      </w:r>
      <w:r w:rsidRPr="001514BC">
        <w:rPr>
          <w:i/>
          <w:iCs/>
        </w:rPr>
        <w:t>Journal of the Knowledge Economy, 11</w:t>
      </w:r>
      <w:r w:rsidRPr="001514BC">
        <w:t>(2), 1–27.</w:t>
      </w:r>
    </w:p>
    <w:p w14:paraId="30A599A0" w14:textId="77777777" w:rsidR="001514BC" w:rsidRPr="001514BC" w:rsidRDefault="001514BC" w:rsidP="001514BC">
      <w:pPr>
        <w:pStyle w:val="Body"/>
        <w:spacing w:after="0"/>
      </w:pPr>
      <w:proofErr w:type="spellStart"/>
      <w:r w:rsidRPr="001514BC">
        <w:t>Yerrabati</w:t>
      </w:r>
      <w:proofErr w:type="spellEnd"/>
      <w:r w:rsidRPr="001514BC">
        <w:t xml:space="preserve">, S., &amp; Hawkes, D. (2015). Economic governance and economic growth in South and East Asia &amp; Pacific region: Evidence from systematic literature reviews and meta-analysis. </w:t>
      </w:r>
      <w:r w:rsidRPr="001514BC">
        <w:rPr>
          <w:i/>
          <w:iCs/>
        </w:rPr>
        <w:t>Advances in Economics and Business, 3</w:t>
      </w:r>
      <w:r w:rsidRPr="001514BC">
        <w:t>(1), 1–21.</w:t>
      </w:r>
    </w:p>
    <w:p w14:paraId="5C03691D" w14:textId="77777777" w:rsidR="001514BC" w:rsidRPr="001514BC" w:rsidRDefault="001514BC" w:rsidP="001514BC">
      <w:pPr>
        <w:pStyle w:val="Body"/>
        <w:spacing w:after="0"/>
      </w:pPr>
      <w:r w:rsidRPr="001514BC">
        <w:t xml:space="preserve">Zubair, S. S., &amp; Khan, M. A. (2014). Good governance: Pakistan’s economic growth and worldwide governance indicators. </w:t>
      </w:r>
      <w:r w:rsidRPr="001514BC">
        <w:rPr>
          <w:i/>
          <w:iCs/>
        </w:rPr>
        <w:t>Pakistan Journal of Commerce and Social Sciences, 8</w:t>
      </w:r>
      <w:r w:rsidRPr="001514BC">
        <w:t>(1), 274–287.</w:t>
      </w:r>
    </w:p>
    <w:p w14:paraId="1C00E871" w14:textId="77777777" w:rsidR="00441B6F" w:rsidRDefault="00441B6F" w:rsidP="00441B6F">
      <w:pPr>
        <w:pStyle w:val="Body"/>
        <w:spacing w:after="0"/>
        <w:jc w:val="left"/>
      </w:pPr>
    </w:p>
    <w:p w14:paraId="69E1E521" w14:textId="77777777" w:rsidR="00441B6F" w:rsidRDefault="00441B6F" w:rsidP="00441B6F">
      <w:pPr>
        <w:pStyle w:val="Body"/>
        <w:spacing w:after="0"/>
        <w:jc w:val="left"/>
        <w:rPr>
          <w:rFonts w:ascii="Arial" w:hAnsi="Arial" w:cs="Arial"/>
        </w:rPr>
      </w:pPr>
    </w:p>
    <w:p w14:paraId="1A201807" w14:textId="77777777" w:rsidR="00B01FCD" w:rsidRPr="00FB3A86" w:rsidRDefault="00B01FCD" w:rsidP="00441B6F">
      <w:pPr>
        <w:pStyle w:val="Reference"/>
        <w:numPr>
          <w:ilvl w:val="0"/>
          <w:numId w:val="0"/>
        </w:numPr>
        <w:spacing w:line="240" w:lineRule="auto"/>
        <w:rPr>
          <w:rFonts w:ascii="Arial" w:hAnsi="Arial" w:cs="Arial"/>
        </w:rPr>
      </w:pPr>
    </w:p>
    <w:p w14:paraId="56448558" w14:textId="55CB7B90" w:rsidR="00B01FCD" w:rsidRDefault="00B01FCD" w:rsidP="00441B6F">
      <w:pPr>
        <w:pStyle w:val="Body"/>
        <w:spacing w:after="0"/>
        <w:rPr>
          <w:rFonts w:ascii="Arial" w:hAnsi="Arial" w:cs="Arial"/>
        </w:rPr>
      </w:pPr>
    </w:p>
    <w:p w14:paraId="1DBC66B9" w14:textId="77777777" w:rsidR="00790ADA" w:rsidRPr="00FB3A86" w:rsidRDefault="00790ADA" w:rsidP="00441B6F">
      <w:pPr>
        <w:pStyle w:val="Body"/>
        <w:spacing w:after="0"/>
        <w:rPr>
          <w:rFonts w:ascii="Arial" w:hAnsi="Arial" w:cs="Arial"/>
        </w:rPr>
      </w:pPr>
    </w:p>
    <w:p w14:paraId="5FBD944E" w14:textId="544FBD9A" w:rsidR="004D4277" w:rsidRPr="00FB3A86" w:rsidRDefault="004D4277" w:rsidP="00441B6F">
      <w:pPr>
        <w:pStyle w:val="Appendix"/>
        <w:spacing w:after="0"/>
        <w:jc w:val="both"/>
        <w:rPr>
          <w:rFonts w:ascii="Arial" w:hAnsi="Arial" w:cs="Arial"/>
          <w:b w:val="0"/>
        </w:rPr>
        <w:sectPr w:rsidR="004D4277" w:rsidRPr="00FB3A86" w:rsidSect="00CE37D5">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06EF7105" w14:textId="77777777" w:rsidR="00B01FCD" w:rsidRPr="00FB3A86" w:rsidRDefault="00B01FCD" w:rsidP="00441B6F">
      <w:pPr>
        <w:pStyle w:val="Appendix"/>
        <w:spacing w:after="0"/>
        <w:jc w:val="both"/>
        <w:rPr>
          <w:rFonts w:ascii="Arial" w:hAnsi="Arial" w:cs="Arial"/>
          <w:b w:val="0"/>
        </w:rPr>
      </w:pPr>
    </w:p>
    <w:sectPr w:rsidR="00B01FCD" w:rsidRPr="00FB3A86" w:rsidSect="00CE37D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AC085" w14:textId="77777777" w:rsidR="0049037B" w:rsidRDefault="0049037B" w:rsidP="00C37E61">
      <w:r>
        <w:separator/>
      </w:r>
    </w:p>
  </w:endnote>
  <w:endnote w:type="continuationSeparator" w:id="0">
    <w:p w14:paraId="3F980EB5" w14:textId="77777777" w:rsidR="0049037B" w:rsidRDefault="0049037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E2801" w14:textId="77777777" w:rsidR="002D1345" w:rsidRDefault="002D1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F3656" w14:textId="77777777" w:rsidR="002D1345" w:rsidRDefault="002D13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64D17" w14:textId="6CC688B3" w:rsidR="00754C9A" w:rsidRPr="00CE37D5" w:rsidRDefault="00754C9A" w:rsidP="00CE37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8027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ACD71" w14:textId="77777777" w:rsidR="0049037B" w:rsidRDefault="0049037B" w:rsidP="00C37E61">
      <w:r>
        <w:separator/>
      </w:r>
    </w:p>
  </w:footnote>
  <w:footnote w:type="continuationSeparator" w:id="0">
    <w:p w14:paraId="14490537" w14:textId="77777777" w:rsidR="0049037B" w:rsidRDefault="0049037B" w:rsidP="00C37E61">
      <w:r>
        <w:continuationSeparator/>
      </w:r>
    </w:p>
  </w:footnote>
  <w:footnote w:id="1">
    <w:p w14:paraId="526A40D6" w14:textId="77777777" w:rsidR="004A09D7" w:rsidRDefault="004A09D7" w:rsidP="004A09D7">
      <w:pPr>
        <w:pStyle w:val="FootnoteText"/>
      </w:pPr>
      <w:r>
        <w:rPr>
          <w:rStyle w:val="FootnoteReference"/>
        </w:rPr>
        <w:footnoteRef/>
      </w:r>
      <w:r>
        <w:t xml:space="preserve"> </w:t>
      </w:r>
      <w:r w:rsidRPr="00A95D48">
        <w:t>World Development Indicators (WDI), World Bank.</w:t>
      </w:r>
    </w:p>
  </w:footnote>
  <w:footnote w:id="2">
    <w:p w14:paraId="51464009" w14:textId="77777777" w:rsidR="004A09D7" w:rsidRDefault="004A09D7" w:rsidP="004A09D7">
      <w:pPr>
        <w:pStyle w:val="FootnoteText"/>
      </w:pPr>
      <w:r>
        <w:rPr>
          <w:rStyle w:val="FootnoteReference"/>
        </w:rPr>
        <w:footnoteRef/>
      </w:r>
      <w:r>
        <w:t xml:space="preserve"> </w:t>
      </w:r>
      <w:r w:rsidRPr="004176E1">
        <w:t>Worldwide Governance Indicators (WGI), World Bank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93C9D" w14:textId="4B2D02BA" w:rsidR="002D1345" w:rsidRDefault="002D1345">
    <w:pPr>
      <w:pStyle w:val="Header"/>
    </w:pPr>
    <w:r>
      <w:rPr>
        <w:noProof/>
      </w:rPr>
      <w:pict w14:anchorId="75294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56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0A088" w14:textId="752816CE" w:rsidR="002D1345" w:rsidRDefault="002D1345">
    <w:pPr>
      <w:pStyle w:val="Header"/>
    </w:pPr>
    <w:r>
      <w:rPr>
        <w:noProof/>
      </w:rPr>
      <w:pict w14:anchorId="0542F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56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61988" w14:textId="2EDFB895" w:rsidR="00296529" w:rsidRPr="00296529" w:rsidRDefault="002D1345" w:rsidP="00296529">
    <w:pPr>
      <w:ind w:left="2160"/>
      <w:jc w:val="center"/>
      <w:rPr>
        <w:rFonts w:ascii="Times New Roman" w:eastAsia="Calibri" w:hAnsi="Times New Roman"/>
        <w:i/>
        <w:sz w:val="18"/>
        <w:szCs w:val="22"/>
      </w:rPr>
    </w:pPr>
    <w:r>
      <w:rPr>
        <w:noProof/>
      </w:rPr>
      <w:pict w14:anchorId="0B0A8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56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DEE554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49E9E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9EC80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6C026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A588D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80061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BEC6E" w14:textId="20D2EBC1" w:rsidR="002D1345" w:rsidRDefault="002D1345">
    <w:pPr>
      <w:pStyle w:val="Header"/>
    </w:pPr>
    <w:r>
      <w:rPr>
        <w:noProof/>
      </w:rPr>
      <w:pict w14:anchorId="22689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56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86CE3" w14:textId="1DE0CF39" w:rsidR="002D1345" w:rsidRDefault="002D1345">
    <w:pPr>
      <w:pStyle w:val="Header"/>
    </w:pPr>
    <w:r>
      <w:rPr>
        <w:noProof/>
      </w:rPr>
      <w:pict w14:anchorId="5AF25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56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35ED" w14:textId="168FB603" w:rsidR="002D1345" w:rsidRDefault="002D1345">
    <w:pPr>
      <w:pStyle w:val="Header"/>
    </w:pPr>
    <w:r>
      <w:rPr>
        <w:noProof/>
      </w:rPr>
      <w:pict w14:anchorId="3F2F5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456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FC48DE"/>
    <w:multiLevelType w:val="multilevel"/>
    <w:tmpl w:val="5EC8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44F3B"/>
    <w:multiLevelType w:val="multilevel"/>
    <w:tmpl w:val="B496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8A2928"/>
    <w:multiLevelType w:val="multilevel"/>
    <w:tmpl w:val="3D36B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9C3BB5"/>
    <w:multiLevelType w:val="multilevel"/>
    <w:tmpl w:val="8E18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0B45D93"/>
    <w:multiLevelType w:val="hybridMultilevel"/>
    <w:tmpl w:val="9B22F0E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68245BA"/>
    <w:multiLevelType w:val="multilevel"/>
    <w:tmpl w:val="890C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E15747"/>
    <w:multiLevelType w:val="multilevel"/>
    <w:tmpl w:val="FEFC9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AB7761"/>
    <w:multiLevelType w:val="multilevel"/>
    <w:tmpl w:val="047E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CD2D6B"/>
    <w:multiLevelType w:val="multilevel"/>
    <w:tmpl w:val="5F907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A0386"/>
    <w:multiLevelType w:val="multilevel"/>
    <w:tmpl w:val="9504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B278AB"/>
    <w:multiLevelType w:val="multilevel"/>
    <w:tmpl w:val="04DA5F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1CC15CF"/>
    <w:multiLevelType w:val="multilevel"/>
    <w:tmpl w:val="D4CE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B0C7974"/>
    <w:multiLevelType w:val="multilevel"/>
    <w:tmpl w:val="6478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900831"/>
    <w:multiLevelType w:val="multilevel"/>
    <w:tmpl w:val="B2282D7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6"/>
  </w:num>
  <w:num w:numId="7">
    <w:abstractNumId w:val="1"/>
  </w:num>
  <w:num w:numId="8">
    <w:abstractNumId w:val="17"/>
  </w:num>
  <w:num w:numId="9">
    <w:abstractNumId w:val="39"/>
  </w:num>
  <w:num w:numId="10">
    <w:abstractNumId w:val="2"/>
  </w:num>
  <w:num w:numId="11">
    <w:abstractNumId w:val="30"/>
  </w:num>
  <w:num w:numId="12">
    <w:abstractNumId w:val="3"/>
  </w:num>
  <w:num w:numId="13">
    <w:abstractNumId w:val="28"/>
  </w:num>
  <w:num w:numId="14">
    <w:abstractNumId w:val="12"/>
  </w:num>
  <w:num w:numId="15">
    <w:abstractNumId w:val="35"/>
  </w:num>
  <w:num w:numId="16">
    <w:abstractNumId w:val="5"/>
  </w:num>
  <w:num w:numId="17">
    <w:abstractNumId w:val="36"/>
  </w:num>
  <w:num w:numId="18">
    <w:abstractNumId w:val="19"/>
  </w:num>
  <w:num w:numId="19">
    <w:abstractNumId w:val="42"/>
  </w:num>
  <w:num w:numId="20">
    <w:abstractNumId w:val="16"/>
  </w:num>
  <w:num w:numId="21">
    <w:abstractNumId w:val="14"/>
  </w:num>
  <w:num w:numId="22">
    <w:abstractNumId w:val="18"/>
  </w:num>
  <w:num w:numId="23">
    <w:abstractNumId w:val="33"/>
  </w:num>
  <w:num w:numId="24">
    <w:abstractNumId w:val="40"/>
  </w:num>
  <w:num w:numId="25">
    <w:abstractNumId w:val="4"/>
  </w:num>
  <w:num w:numId="26">
    <w:abstractNumId w:val="25"/>
  </w:num>
  <w:num w:numId="27">
    <w:abstractNumId w:val="34"/>
  </w:num>
  <w:num w:numId="28">
    <w:abstractNumId w:val="41"/>
  </w:num>
  <w:num w:numId="29">
    <w:abstractNumId w:val="38"/>
  </w:num>
  <w:num w:numId="30">
    <w:abstractNumId w:val="15"/>
  </w:num>
  <w:num w:numId="31">
    <w:abstractNumId w:val="22"/>
  </w:num>
  <w:num w:numId="32">
    <w:abstractNumId w:val="8"/>
  </w:num>
  <w:num w:numId="33">
    <w:abstractNumId w:val="26"/>
  </w:num>
  <w:num w:numId="34">
    <w:abstractNumId w:val="20"/>
  </w:num>
  <w:num w:numId="35">
    <w:abstractNumId w:val="21"/>
  </w:num>
  <w:num w:numId="36">
    <w:abstractNumId w:val="13"/>
  </w:num>
  <w:num w:numId="37">
    <w:abstractNumId w:val="32"/>
  </w:num>
  <w:num w:numId="38">
    <w:abstractNumId w:val="29"/>
  </w:num>
  <w:num w:numId="39">
    <w:abstractNumId w:val="9"/>
  </w:num>
  <w:num w:numId="40">
    <w:abstractNumId w:val="10"/>
  </w:num>
  <w:num w:numId="41">
    <w:abstractNumId w:val="7"/>
  </w:num>
  <w:num w:numId="42">
    <w:abstractNumId w:val="23"/>
  </w:num>
  <w:num w:numId="43">
    <w:abstractNumId w:val="31"/>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Y0MzQwt7CwtDQwMTBX0lEKTi0uzszPAykwrAUAYTgboSwAAAA="/>
  </w:docVars>
  <w:rsids>
    <w:rsidRoot w:val="00AA6219"/>
    <w:rsid w:val="00000F8F"/>
    <w:rsid w:val="00030174"/>
    <w:rsid w:val="0004579C"/>
    <w:rsid w:val="00077C83"/>
    <w:rsid w:val="000A023C"/>
    <w:rsid w:val="000A47FA"/>
    <w:rsid w:val="000A65D3"/>
    <w:rsid w:val="000B1E33"/>
    <w:rsid w:val="000D689F"/>
    <w:rsid w:val="000E7B7B"/>
    <w:rsid w:val="000E7D62"/>
    <w:rsid w:val="00103357"/>
    <w:rsid w:val="00123C9F"/>
    <w:rsid w:val="00126190"/>
    <w:rsid w:val="00130F17"/>
    <w:rsid w:val="001320BF"/>
    <w:rsid w:val="001514BC"/>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1345"/>
    <w:rsid w:val="002E0D56"/>
    <w:rsid w:val="00315186"/>
    <w:rsid w:val="0033343E"/>
    <w:rsid w:val="00333DC7"/>
    <w:rsid w:val="003512C2"/>
    <w:rsid w:val="00371FB6"/>
    <w:rsid w:val="003763C1"/>
    <w:rsid w:val="00376BBE"/>
    <w:rsid w:val="00387C97"/>
    <w:rsid w:val="0039224F"/>
    <w:rsid w:val="003A43A4"/>
    <w:rsid w:val="003A7E18"/>
    <w:rsid w:val="003C4C86"/>
    <w:rsid w:val="003C6258"/>
    <w:rsid w:val="003E2904"/>
    <w:rsid w:val="00401927"/>
    <w:rsid w:val="004024A9"/>
    <w:rsid w:val="0041027F"/>
    <w:rsid w:val="00412475"/>
    <w:rsid w:val="00423789"/>
    <w:rsid w:val="00440F43"/>
    <w:rsid w:val="00441B6F"/>
    <w:rsid w:val="00446221"/>
    <w:rsid w:val="00450E62"/>
    <w:rsid w:val="004539DB"/>
    <w:rsid w:val="00471A80"/>
    <w:rsid w:val="0049037B"/>
    <w:rsid w:val="004A09D7"/>
    <w:rsid w:val="004D305E"/>
    <w:rsid w:val="004D4277"/>
    <w:rsid w:val="00502516"/>
    <w:rsid w:val="00505F06"/>
    <w:rsid w:val="00506828"/>
    <w:rsid w:val="00514693"/>
    <w:rsid w:val="0053056E"/>
    <w:rsid w:val="00554FDA"/>
    <w:rsid w:val="005A47EE"/>
    <w:rsid w:val="005C784C"/>
    <w:rsid w:val="005D17F6"/>
    <w:rsid w:val="005E5539"/>
    <w:rsid w:val="00602BF5"/>
    <w:rsid w:val="00617FDD"/>
    <w:rsid w:val="00633614"/>
    <w:rsid w:val="00633F68"/>
    <w:rsid w:val="00636EB2"/>
    <w:rsid w:val="006375B8"/>
    <w:rsid w:val="0066510A"/>
    <w:rsid w:val="00673F9F"/>
    <w:rsid w:val="00685F35"/>
    <w:rsid w:val="00686953"/>
    <w:rsid w:val="00687DEA"/>
    <w:rsid w:val="00687E67"/>
    <w:rsid w:val="006967F7"/>
    <w:rsid w:val="006A250C"/>
    <w:rsid w:val="006B21D3"/>
    <w:rsid w:val="006B57D0"/>
    <w:rsid w:val="006D30FF"/>
    <w:rsid w:val="006D4015"/>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2FD8"/>
    <w:rsid w:val="008B459E"/>
    <w:rsid w:val="008E13AE"/>
    <w:rsid w:val="008E1506"/>
    <w:rsid w:val="008E710C"/>
    <w:rsid w:val="008F69D6"/>
    <w:rsid w:val="00902823"/>
    <w:rsid w:val="00915CA6"/>
    <w:rsid w:val="00927834"/>
    <w:rsid w:val="009500A6"/>
    <w:rsid w:val="00957C18"/>
    <w:rsid w:val="009659BA"/>
    <w:rsid w:val="00983040"/>
    <w:rsid w:val="00996413"/>
    <w:rsid w:val="009B3FB9"/>
    <w:rsid w:val="009C2465"/>
    <w:rsid w:val="009C673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1CF2"/>
    <w:rsid w:val="00AC6BB8"/>
    <w:rsid w:val="00AE008F"/>
    <w:rsid w:val="00B01FCD"/>
    <w:rsid w:val="00B1776C"/>
    <w:rsid w:val="00B52583"/>
    <w:rsid w:val="00B52896"/>
    <w:rsid w:val="00B95236"/>
    <w:rsid w:val="00B96BD9"/>
    <w:rsid w:val="00B96D79"/>
    <w:rsid w:val="00BA1B01"/>
    <w:rsid w:val="00BA2641"/>
    <w:rsid w:val="00BB37AA"/>
    <w:rsid w:val="00BC53A0"/>
    <w:rsid w:val="00BD530D"/>
    <w:rsid w:val="00BE62AD"/>
    <w:rsid w:val="00BF121F"/>
    <w:rsid w:val="00BF1F80"/>
    <w:rsid w:val="00C02A2C"/>
    <w:rsid w:val="00C166EF"/>
    <w:rsid w:val="00C17EB0"/>
    <w:rsid w:val="00C27F5F"/>
    <w:rsid w:val="00C30A0F"/>
    <w:rsid w:val="00C37E61"/>
    <w:rsid w:val="00C70F1B"/>
    <w:rsid w:val="00C71A47"/>
    <w:rsid w:val="00C7464C"/>
    <w:rsid w:val="00C85588"/>
    <w:rsid w:val="00CC557A"/>
    <w:rsid w:val="00CD6755"/>
    <w:rsid w:val="00CD6856"/>
    <w:rsid w:val="00CE0089"/>
    <w:rsid w:val="00CE37D5"/>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D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A4EB6C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4A09D7"/>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4A09D7"/>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4A09D7"/>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rPr>
  </w:style>
  <w:style w:type="paragraph" w:styleId="Heading5">
    <w:name w:val="heading 5"/>
    <w:basedOn w:val="Normal"/>
    <w:next w:val="Normal"/>
    <w:link w:val="Heading5Char"/>
    <w:uiPriority w:val="9"/>
    <w:semiHidden/>
    <w:unhideWhenUsed/>
    <w:qFormat/>
    <w:rsid w:val="004A09D7"/>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rPr>
  </w:style>
  <w:style w:type="paragraph" w:styleId="Heading6">
    <w:name w:val="heading 6"/>
    <w:basedOn w:val="Normal"/>
    <w:next w:val="Normal"/>
    <w:link w:val="Heading6Char"/>
    <w:uiPriority w:val="9"/>
    <w:semiHidden/>
    <w:unhideWhenUsed/>
    <w:qFormat/>
    <w:rsid w:val="004A09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4A09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4A09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4A09D7"/>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4A09D7"/>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4A09D7"/>
    <w:rPr>
      <w:rFonts w:asciiTheme="minorHAnsi" w:eastAsiaTheme="majorEastAsia" w:hAnsiTheme="minorHAnsi"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4A09D7"/>
    <w:rPr>
      <w:rFonts w:asciiTheme="minorHAnsi" w:eastAsiaTheme="majorEastAsia" w:hAnsiTheme="minorHAnsi" w:cstheme="majorBidi"/>
      <w:i/>
      <w:iCs/>
      <w:color w:val="365F91" w:themeColor="accent1" w:themeShade="BF"/>
      <w:kern w:val="2"/>
      <w:sz w:val="22"/>
      <w:szCs w:val="22"/>
    </w:rPr>
  </w:style>
  <w:style w:type="character" w:customStyle="1" w:styleId="Heading5Char">
    <w:name w:val="Heading 5 Char"/>
    <w:basedOn w:val="DefaultParagraphFont"/>
    <w:link w:val="Heading5"/>
    <w:uiPriority w:val="9"/>
    <w:semiHidden/>
    <w:rsid w:val="004A09D7"/>
    <w:rPr>
      <w:rFonts w:asciiTheme="minorHAnsi" w:eastAsiaTheme="majorEastAsia" w:hAnsiTheme="minorHAnsi" w:cstheme="majorBidi"/>
      <w:color w:val="365F91" w:themeColor="accent1" w:themeShade="BF"/>
      <w:kern w:val="2"/>
      <w:sz w:val="22"/>
      <w:szCs w:val="22"/>
    </w:rPr>
  </w:style>
  <w:style w:type="character" w:customStyle="1" w:styleId="Heading6Char">
    <w:name w:val="Heading 6 Char"/>
    <w:basedOn w:val="DefaultParagraphFont"/>
    <w:link w:val="Heading6"/>
    <w:uiPriority w:val="9"/>
    <w:semiHidden/>
    <w:rsid w:val="004A09D7"/>
    <w:rPr>
      <w:rFonts w:asciiTheme="minorHAnsi" w:eastAsiaTheme="majorEastAsia" w:hAnsiTheme="minorHAnsi" w:cstheme="majorBidi"/>
      <w:i/>
      <w:iCs/>
      <w:color w:val="595959" w:themeColor="text1" w:themeTint="A6"/>
      <w:kern w:val="2"/>
      <w:sz w:val="22"/>
      <w:szCs w:val="22"/>
    </w:rPr>
  </w:style>
  <w:style w:type="character" w:customStyle="1" w:styleId="Heading7Char">
    <w:name w:val="Heading 7 Char"/>
    <w:basedOn w:val="DefaultParagraphFont"/>
    <w:link w:val="Heading7"/>
    <w:uiPriority w:val="9"/>
    <w:semiHidden/>
    <w:rsid w:val="004A09D7"/>
    <w:rPr>
      <w:rFonts w:asciiTheme="minorHAnsi" w:eastAsiaTheme="majorEastAsia" w:hAnsiTheme="minorHAnsi" w:cstheme="majorBidi"/>
      <w:color w:val="595959" w:themeColor="text1" w:themeTint="A6"/>
      <w:kern w:val="2"/>
      <w:sz w:val="22"/>
      <w:szCs w:val="22"/>
    </w:rPr>
  </w:style>
  <w:style w:type="character" w:customStyle="1" w:styleId="Heading8Char">
    <w:name w:val="Heading 8 Char"/>
    <w:basedOn w:val="DefaultParagraphFont"/>
    <w:link w:val="Heading8"/>
    <w:uiPriority w:val="9"/>
    <w:semiHidden/>
    <w:rsid w:val="004A09D7"/>
    <w:rPr>
      <w:rFonts w:asciiTheme="minorHAnsi" w:eastAsiaTheme="majorEastAsia" w:hAnsiTheme="minorHAnsi" w:cstheme="majorBidi"/>
      <w:i/>
      <w:iCs/>
      <w:color w:val="272727" w:themeColor="text1" w:themeTint="D8"/>
      <w:kern w:val="2"/>
      <w:sz w:val="22"/>
      <w:szCs w:val="22"/>
    </w:rPr>
  </w:style>
  <w:style w:type="character" w:customStyle="1" w:styleId="Heading9Char">
    <w:name w:val="Heading 9 Char"/>
    <w:basedOn w:val="DefaultParagraphFont"/>
    <w:link w:val="Heading9"/>
    <w:uiPriority w:val="9"/>
    <w:semiHidden/>
    <w:rsid w:val="004A09D7"/>
    <w:rPr>
      <w:rFonts w:asciiTheme="minorHAnsi" w:eastAsiaTheme="majorEastAsia" w:hAnsiTheme="minorHAnsi" w:cstheme="majorBidi"/>
      <w:color w:val="272727" w:themeColor="text1" w:themeTint="D8"/>
      <w:kern w:val="2"/>
      <w:sz w:val="22"/>
      <w:szCs w:val="22"/>
    </w:rPr>
  </w:style>
  <w:style w:type="character" w:customStyle="1" w:styleId="Heading1Char">
    <w:name w:val="Heading 1 Char"/>
    <w:basedOn w:val="DefaultParagraphFont"/>
    <w:link w:val="Heading1"/>
    <w:uiPriority w:val="9"/>
    <w:rsid w:val="004A09D7"/>
    <w:rPr>
      <w:rFonts w:ascii="Arial" w:hAnsi="Arial"/>
      <w:b/>
      <w:kern w:val="28"/>
      <w:sz w:val="28"/>
    </w:rPr>
  </w:style>
  <w:style w:type="character" w:customStyle="1" w:styleId="TitleChar">
    <w:name w:val="Title Char"/>
    <w:basedOn w:val="DefaultParagraphFont"/>
    <w:link w:val="Title"/>
    <w:uiPriority w:val="10"/>
    <w:rsid w:val="004A09D7"/>
    <w:rPr>
      <w:rFonts w:ascii="Helvetica" w:hAnsi="Helvetica"/>
      <w:b/>
      <w:kern w:val="28"/>
      <w:sz w:val="36"/>
    </w:rPr>
  </w:style>
  <w:style w:type="paragraph" w:styleId="Subtitle">
    <w:name w:val="Subtitle"/>
    <w:basedOn w:val="Normal"/>
    <w:next w:val="Normal"/>
    <w:link w:val="SubtitleChar"/>
    <w:uiPriority w:val="11"/>
    <w:qFormat/>
    <w:rsid w:val="004A09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4A09D7"/>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4A09D7"/>
    <w:pPr>
      <w:spacing w:before="160" w:after="160" w:line="259" w:lineRule="auto"/>
      <w:jc w:val="center"/>
    </w:pPr>
    <w:rPr>
      <w:rFonts w:ascii="Times New Roman" w:eastAsiaTheme="minorHAnsi" w:hAnsi="Times New Roman"/>
      <w:i/>
      <w:iCs/>
      <w:color w:val="404040" w:themeColor="text1" w:themeTint="BF"/>
      <w:kern w:val="2"/>
      <w:sz w:val="22"/>
      <w:szCs w:val="22"/>
    </w:rPr>
  </w:style>
  <w:style w:type="character" w:customStyle="1" w:styleId="QuoteChar">
    <w:name w:val="Quote Char"/>
    <w:basedOn w:val="DefaultParagraphFont"/>
    <w:link w:val="Quote"/>
    <w:uiPriority w:val="29"/>
    <w:rsid w:val="004A09D7"/>
    <w:rPr>
      <w:rFonts w:eastAsiaTheme="minorHAnsi"/>
      <w:i/>
      <w:iCs/>
      <w:color w:val="404040" w:themeColor="text1" w:themeTint="BF"/>
      <w:kern w:val="2"/>
      <w:sz w:val="22"/>
      <w:szCs w:val="22"/>
    </w:rPr>
  </w:style>
  <w:style w:type="paragraph" w:styleId="ListParagraph">
    <w:name w:val="List Paragraph"/>
    <w:basedOn w:val="Normal"/>
    <w:uiPriority w:val="34"/>
    <w:qFormat/>
    <w:rsid w:val="004A09D7"/>
    <w:pPr>
      <w:spacing w:after="160" w:line="259" w:lineRule="auto"/>
      <w:ind w:left="720"/>
      <w:contextualSpacing/>
    </w:pPr>
    <w:rPr>
      <w:rFonts w:ascii="Times New Roman" w:eastAsiaTheme="minorHAnsi" w:hAnsi="Times New Roman"/>
      <w:kern w:val="2"/>
      <w:sz w:val="22"/>
      <w:szCs w:val="22"/>
    </w:rPr>
  </w:style>
  <w:style w:type="character" w:styleId="IntenseEmphasis">
    <w:name w:val="Intense Emphasis"/>
    <w:basedOn w:val="DefaultParagraphFont"/>
    <w:uiPriority w:val="21"/>
    <w:qFormat/>
    <w:rsid w:val="004A09D7"/>
    <w:rPr>
      <w:i/>
      <w:iCs/>
      <w:color w:val="365F91" w:themeColor="accent1" w:themeShade="BF"/>
    </w:rPr>
  </w:style>
  <w:style w:type="paragraph" w:styleId="IntenseQuote">
    <w:name w:val="Intense Quote"/>
    <w:basedOn w:val="Normal"/>
    <w:next w:val="Normal"/>
    <w:link w:val="IntenseQuoteChar"/>
    <w:uiPriority w:val="30"/>
    <w:qFormat/>
    <w:rsid w:val="004A09D7"/>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imes New Roman" w:eastAsiaTheme="minorHAnsi" w:hAnsi="Times New Roman"/>
      <w:i/>
      <w:iCs/>
      <w:color w:val="365F91" w:themeColor="accent1" w:themeShade="BF"/>
      <w:kern w:val="2"/>
      <w:sz w:val="22"/>
      <w:szCs w:val="22"/>
    </w:rPr>
  </w:style>
  <w:style w:type="character" w:customStyle="1" w:styleId="IntenseQuoteChar">
    <w:name w:val="Intense Quote Char"/>
    <w:basedOn w:val="DefaultParagraphFont"/>
    <w:link w:val="IntenseQuote"/>
    <w:uiPriority w:val="30"/>
    <w:rsid w:val="004A09D7"/>
    <w:rPr>
      <w:rFonts w:eastAsiaTheme="minorHAnsi"/>
      <w:i/>
      <w:iCs/>
      <w:color w:val="365F91" w:themeColor="accent1" w:themeShade="BF"/>
      <w:kern w:val="2"/>
      <w:sz w:val="22"/>
      <w:szCs w:val="22"/>
    </w:rPr>
  </w:style>
  <w:style w:type="character" w:styleId="IntenseReference">
    <w:name w:val="Intense Reference"/>
    <w:basedOn w:val="DefaultParagraphFont"/>
    <w:uiPriority w:val="32"/>
    <w:qFormat/>
    <w:rsid w:val="004A09D7"/>
    <w:rPr>
      <w:b/>
      <w:bCs/>
      <w:smallCaps/>
      <w:color w:val="365F91" w:themeColor="accent1" w:themeShade="BF"/>
      <w:spacing w:val="5"/>
    </w:rPr>
  </w:style>
  <w:style w:type="character" w:styleId="PlaceholderText">
    <w:name w:val="Placeholder Text"/>
    <w:basedOn w:val="DefaultParagraphFont"/>
    <w:uiPriority w:val="99"/>
    <w:semiHidden/>
    <w:rsid w:val="004A09D7"/>
    <w:rPr>
      <w:color w:val="666666"/>
    </w:rPr>
  </w:style>
  <w:style w:type="paragraph" w:styleId="FootnoteText">
    <w:name w:val="footnote text"/>
    <w:basedOn w:val="Normal"/>
    <w:link w:val="FootnoteTextChar"/>
    <w:uiPriority w:val="99"/>
    <w:semiHidden/>
    <w:unhideWhenUsed/>
    <w:rsid w:val="004A09D7"/>
    <w:rPr>
      <w:rFonts w:ascii="Times New Roman" w:eastAsiaTheme="minorHAnsi" w:hAnsi="Times New Roman"/>
      <w:kern w:val="2"/>
    </w:rPr>
  </w:style>
  <w:style w:type="character" w:customStyle="1" w:styleId="FootnoteTextChar">
    <w:name w:val="Footnote Text Char"/>
    <w:basedOn w:val="DefaultParagraphFont"/>
    <w:link w:val="FootnoteText"/>
    <w:uiPriority w:val="99"/>
    <w:semiHidden/>
    <w:rsid w:val="004A09D7"/>
    <w:rPr>
      <w:rFonts w:eastAsiaTheme="minorHAnsi"/>
      <w:kern w:val="2"/>
    </w:rPr>
  </w:style>
  <w:style w:type="character" w:styleId="FootnoteReference">
    <w:name w:val="footnote reference"/>
    <w:basedOn w:val="DefaultParagraphFont"/>
    <w:uiPriority w:val="99"/>
    <w:semiHidden/>
    <w:unhideWhenUsed/>
    <w:rsid w:val="004A09D7"/>
    <w:rPr>
      <w:vertAlign w:val="superscript"/>
    </w:rPr>
  </w:style>
  <w:style w:type="table" w:customStyle="1" w:styleId="TableGrid1">
    <w:name w:val="Table Grid1"/>
    <w:basedOn w:val="TableNormal"/>
    <w:next w:val="TableGrid"/>
    <w:uiPriority w:val="39"/>
    <w:rsid w:val="004A09D7"/>
    <w:rPr>
      <w:rFonts w:eastAsia="Aptos"/>
      <w:kern w:val="2"/>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09D7"/>
    <w:rPr>
      <w:rFonts w:eastAsiaTheme="minorHAns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5A88E-FB3D-408A-B65D-EC4FB48E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12</Pages>
  <Words>5665</Words>
  <Characters>32297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37887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19</cp:revision>
  <cp:lastPrinted>1999-07-06T11:00:00Z</cp:lastPrinted>
  <dcterms:created xsi:type="dcterms:W3CDTF">2014-10-25T14:34:00Z</dcterms:created>
  <dcterms:modified xsi:type="dcterms:W3CDTF">2025-10-03T11:49:00Z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03de4796-4631-48fd-ab5e-92dea0ecd835</vt:lpwstr>
  </property>
</Properties>
</file>