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2CA26" w14:textId="77777777" w:rsidR="0070011D" w:rsidRPr="0070011D" w:rsidRDefault="0070011D" w:rsidP="0070011D">
      <w:pPr>
        <w:pStyle w:val="Title"/>
        <w:jc w:val="both"/>
        <w:rPr>
          <w:rFonts w:ascii="Arial" w:hAnsi="Arial" w:cs="Arial"/>
          <w:bCs/>
          <w:i/>
          <w:iCs/>
          <w:u w:val="single"/>
        </w:rPr>
      </w:pPr>
      <w:r w:rsidRPr="0070011D">
        <w:rPr>
          <w:rFonts w:ascii="Arial" w:hAnsi="Arial" w:cs="Arial"/>
          <w:bCs/>
          <w:i/>
          <w:iCs/>
          <w:u w:val="single"/>
        </w:rPr>
        <w:t>Original Research Article</w:t>
      </w:r>
    </w:p>
    <w:p w14:paraId="4BD01602" w14:textId="77777777" w:rsidR="00754C9A" w:rsidRDefault="00754C9A" w:rsidP="00441B6F">
      <w:pPr>
        <w:pStyle w:val="Title"/>
        <w:spacing w:after="0"/>
        <w:jc w:val="both"/>
        <w:rPr>
          <w:rFonts w:ascii="Arial" w:hAnsi="Arial" w:cs="Arial"/>
        </w:rPr>
      </w:pPr>
    </w:p>
    <w:p w14:paraId="08E92C49" w14:textId="77777777" w:rsidR="007B7317" w:rsidRPr="007B7317" w:rsidRDefault="007B7317" w:rsidP="007B7317">
      <w:pPr>
        <w:pStyle w:val="Author"/>
        <w:spacing w:line="240" w:lineRule="auto"/>
        <w:rPr>
          <w:rFonts w:ascii="Arial" w:hAnsi="Arial" w:cs="Arial"/>
          <w:bCs/>
          <w:iCs/>
          <w:kern w:val="28"/>
          <w:sz w:val="36"/>
        </w:rPr>
      </w:pPr>
      <w:r w:rsidRPr="007B7317">
        <w:rPr>
          <w:rFonts w:ascii="Arial" w:hAnsi="Arial" w:cs="Arial"/>
          <w:bCs/>
          <w:iCs/>
          <w:kern w:val="28"/>
          <w:sz w:val="36"/>
        </w:rPr>
        <w:t xml:space="preserve">The Effect </w:t>
      </w:r>
      <w:proofErr w:type="gramStart"/>
      <w:r w:rsidRPr="007B7317">
        <w:rPr>
          <w:rFonts w:ascii="Arial" w:hAnsi="Arial" w:cs="Arial"/>
          <w:bCs/>
          <w:iCs/>
          <w:kern w:val="28"/>
          <w:sz w:val="36"/>
        </w:rPr>
        <w:t>Of</w:t>
      </w:r>
      <w:proofErr w:type="gramEnd"/>
      <w:r w:rsidRPr="007B7317">
        <w:rPr>
          <w:rFonts w:ascii="Arial" w:hAnsi="Arial" w:cs="Arial"/>
          <w:bCs/>
          <w:iCs/>
          <w:kern w:val="28"/>
          <w:sz w:val="36"/>
        </w:rPr>
        <w:t xml:space="preserve"> </w:t>
      </w:r>
      <w:proofErr w:type="spellStart"/>
      <w:r w:rsidRPr="007B7317">
        <w:rPr>
          <w:rFonts w:ascii="Arial" w:hAnsi="Arial" w:cs="Arial"/>
          <w:bCs/>
          <w:iCs/>
          <w:kern w:val="28"/>
          <w:sz w:val="36"/>
        </w:rPr>
        <w:t>Esg</w:t>
      </w:r>
      <w:proofErr w:type="spellEnd"/>
      <w:r w:rsidRPr="007B7317">
        <w:rPr>
          <w:rFonts w:ascii="Arial" w:hAnsi="Arial" w:cs="Arial"/>
          <w:bCs/>
          <w:iCs/>
          <w:kern w:val="28"/>
          <w:sz w:val="36"/>
        </w:rPr>
        <w:t xml:space="preserve"> Score On Company Financial Performance With Digital Transformation As A Moderating Variable</w:t>
      </w:r>
    </w:p>
    <w:p w14:paraId="7454B306" w14:textId="77777777" w:rsidR="007B7317" w:rsidRPr="00163BC4" w:rsidRDefault="007B7317" w:rsidP="00441B6F">
      <w:pPr>
        <w:pStyle w:val="Author"/>
        <w:spacing w:line="240" w:lineRule="auto"/>
        <w:rPr>
          <w:rFonts w:ascii="Arial" w:hAnsi="Arial" w:cs="Arial"/>
          <w:bCs/>
          <w:iCs/>
          <w:kern w:val="28"/>
          <w:sz w:val="36"/>
        </w:rPr>
      </w:pPr>
    </w:p>
    <w:p w14:paraId="7064EA75" w14:textId="77777777" w:rsidR="00A258C3" w:rsidRPr="00790ADA" w:rsidRDefault="00A258C3" w:rsidP="00441B6F">
      <w:pPr>
        <w:pStyle w:val="Author"/>
        <w:spacing w:line="240" w:lineRule="auto"/>
        <w:jc w:val="both"/>
        <w:rPr>
          <w:rFonts w:ascii="Arial" w:hAnsi="Arial" w:cs="Arial"/>
          <w:sz w:val="36"/>
        </w:rPr>
      </w:pPr>
    </w:p>
    <w:p w14:paraId="737BCF59" w14:textId="77777777" w:rsidR="00790ADA" w:rsidRDefault="00790ADA" w:rsidP="00441B6F">
      <w:pPr>
        <w:pStyle w:val="Affiliation"/>
        <w:spacing w:after="0" w:line="240" w:lineRule="auto"/>
        <w:jc w:val="both"/>
        <w:rPr>
          <w:rFonts w:ascii="Arial" w:hAnsi="Arial" w:cs="Arial"/>
        </w:rPr>
      </w:pPr>
    </w:p>
    <w:p w14:paraId="6FCE7D18" w14:textId="77777777" w:rsidR="002C57D2" w:rsidRPr="00FB3A86" w:rsidRDefault="002C57D2" w:rsidP="00441B6F">
      <w:pPr>
        <w:pStyle w:val="Affiliation"/>
        <w:spacing w:after="0" w:line="240" w:lineRule="auto"/>
        <w:jc w:val="both"/>
        <w:rPr>
          <w:rFonts w:ascii="Arial" w:hAnsi="Arial" w:cs="Arial"/>
        </w:rPr>
      </w:pPr>
    </w:p>
    <w:p w14:paraId="5FA1F3FC" w14:textId="5F17EEDA" w:rsidR="00B01FCD" w:rsidRPr="00FB3A86" w:rsidRDefault="00626AAA" w:rsidP="00441B6F">
      <w:pPr>
        <w:pStyle w:val="Copyright"/>
        <w:spacing w:after="0" w:line="240" w:lineRule="auto"/>
        <w:jc w:val="both"/>
        <w:rPr>
          <w:rFonts w:ascii="Arial" w:hAnsi="Arial" w:cs="Arial"/>
        </w:rPr>
        <w:sectPr w:rsidR="00B01FCD" w:rsidRPr="00FB3A86" w:rsidSect="00EF5AB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B79F335" wp14:editId="4A69FCE6">
                <wp:extent cx="5303520" cy="635"/>
                <wp:effectExtent l="13335" t="12700" r="17145"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0988F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6319E489"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3613B6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D35B46D" w14:textId="77777777" w:rsidTr="001E44FE">
        <w:tc>
          <w:tcPr>
            <w:tcW w:w="9576" w:type="dxa"/>
            <w:shd w:val="clear" w:color="auto" w:fill="F2F2F2"/>
          </w:tcPr>
          <w:p w14:paraId="742FC962" w14:textId="77777777" w:rsidR="000761F9"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0761F9" w:rsidRPr="000761F9">
              <w:rPr>
                <w:rFonts w:ascii="Arial" w:eastAsia="Calibri" w:hAnsi="Arial" w:cs="Arial"/>
                <w:szCs w:val="22"/>
              </w:rPr>
              <w:t>To examine the influence of ESG score on financial performance of Indonesian energy companies and evaluate digital transformation as a moderating variable.</w:t>
            </w:r>
          </w:p>
          <w:p w14:paraId="684DAA0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761F9" w:rsidRPr="000761F9">
              <w:rPr>
                <w:rFonts w:ascii="Arial" w:eastAsia="Calibri" w:hAnsi="Arial" w:cs="Arial"/>
                <w:szCs w:val="22"/>
              </w:rPr>
              <w:t>Causal research with quantitative approach using secondary data analysis.</w:t>
            </w:r>
          </w:p>
          <w:p w14:paraId="0680273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761F9" w:rsidRPr="000761F9">
              <w:rPr>
                <w:rFonts w:ascii="Arial" w:eastAsia="Calibri" w:hAnsi="Arial" w:cs="Arial"/>
                <w:szCs w:val="22"/>
              </w:rPr>
              <w:t>Energy sector companies listed on Indonesia Stock Exchange (IDX), 2021-2023 period.</w:t>
            </w:r>
          </w:p>
          <w:p w14:paraId="7D6CE83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761F9" w:rsidRPr="000761F9">
              <w:rPr>
                <w:rFonts w:ascii="Arial" w:eastAsia="Calibri" w:hAnsi="Arial" w:cs="Arial"/>
                <w:szCs w:val="22"/>
              </w:rPr>
              <w:t>Purposive sampling from 91 energy companies yielded 8 companies meeting criteria with 24 observations. Data collected from annual reports, sustainability reports, and financial statements. Multiple linear regression analysis Y=α+β</w:t>
            </w:r>
            <w:r w:rsidR="000761F9" w:rsidRPr="000761F9">
              <w:rPr>
                <w:rFonts w:ascii="Cambria Math" w:eastAsia="Calibri" w:hAnsi="Cambria Math" w:cs="Cambria Math"/>
                <w:szCs w:val="22"/>
              </w:rPr>
              <w:t>₁</w:t>
            </w:r>
            <w:r w:rsidR="000761F9" w:rsidRPr="000761F9">
              <w:rPr>
                <w:rFonts w:ascii="Arial" w:eastAsia="Calibri" w:hAnsi="Arial" w:cs="Arial"/>
                <w:szCs w:val="22"/>
              </w:rPr>
              <w:t>X+β</w:t>
            </w:r>
            <w:r w:rsidR="000761F9" w:rsidRPr="000761F9">
              <w:rPr>
                <w:rFonts w:ascii="Cambria Math" w:eastAsia="Calibri" w:hAnsi="Cambria Math" w:cs="Cambria Math"/>
                <w:szCs w:val="22"/>
              </w:rPr>
              <w:t>₂</w:t>
            </w:r>
            <w:r w:rsidR="000761F9" w:rsidRPr="000761F9">
              <w:rPr>
                <w:rFonts w:ascii="Arial" w:eastAsia="Calibri" w:hAnsi="Arial" w:cs="Arial"/>
                <w:szCs w:val="22"/>
              </w:rPr>
              <w:t>Z+β</w:t>
            </w:r>
            <w:r w:rsidR="000761F9" w:rsidRPr="000761F9">
              <w:rPr>
                <w:rFonts w:ascii="Cambria Math" w:eastAsia="Calibri" w:hAnsi="Cambria Math" w:cs="Cambria Math"/>
                <w:szCs w:val="22"/>
              </w:rPr>
              <w:t>₃</w:t>
            </w:r>
            <w:r w:rsidR="000761F9" w:rsidRPr="000761F9">
              <w:rPr>
                <w:rFonts w:ascii="Arial" w:eastAsia="Calibri" w:hAnsi="Arial" w:cs="Arial"/>
                <w:szCs w:val="22"/>
              </w:rPr>
              <w:t>(X*</w:t>
            </w:r>
            <w:proofErr w:type="gramStart"/>
            <w:r w:rsidR="000761F9" w:rsidRPr="000761F9">
              <w:rPr>
                <w:rFonts w:ascii="Arial" w:eastAsia="Calibri" w:hAnsi="Arial" w:cs="Arial"/>
                <w:szCs w:val="22"/>
              </w:rPr>
              <w:t>Z)+</w:t>
            </w:r>
            <w:proofErr w:type="gramEnd"/>
            <w:r w:rsidR="000761F9" w:rsidRPr="000761F9">
              <w:rPr>
                <w:rFonts w:ascii="Arial" w:eastAsia="Calibri" w:hAnsi="Arial" w:cs="Arial"/>
                <w:szCs w:val="22"/>
              </w:rPr>
              <w:t>ε was applied using SPSS, with classical assumption tests performed.</w:t>
            </w:r>
          </w:p>
          <w:p w14:paraId="56160051"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761F9" w:rsidRPr="000761F9">
              <w:rPr>
                <w:rFonts w:ascii="Arial" w:eastAsia="Calibri" w:hAnsi="Arial" w:cs="Arial"/>
                <w:szCs w:val="22"/>
              </w:rPr>
              <w:t>ESG Score showed no significant effect on ROA (coefficient = 526.077, P = .810). Digital transformation failed to moderate the ESG-ROA relationship (interaction coefficient = -1612.144, P = .621). F-test indicated overall model insignificance (F = 0.333, P = .801). Classical assumptions were met except multicollinearity in interaction variables (VIF &gt; 10).</w:t>
            </w:r>
          </w:p>
          <w:p w14:paraId="2516F806"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761F9" w:rsidRPr="000761F9">
              <w:rPr>
                <w:rFonts w:ascii="Arial" w:eastAsia="Calibri" w:hAnsi="Arial" w:cs="Arial"/>
                <w:szCs w:val="22"/>
              </w:rPr>
              <w:t>ESG practices remain compliance-oriented rather than value-creating in Indonesian energy sector. Digital transformation lacks measurable short-term financial impact. External factors like commodity prices and government policies appear more influential on financial performance than ESG and digitalization efforts.</w:t>
            </w:r>
          </w:p>
        </w:tc>
      </w:tr>
    </w:tbl>
    <w:p w14:paraId="1057A6EC" w14:textId="77777777" w:rsidR="00636EB2" w:rsidRDefault="00636EB2" w:rsidP="00441B6F">
      <w:pPr>
        <w:pStyle w:val="Body"/>
        <w:spacing w:after="0"/>
        <w:rPr>
          <w:rFonts w:ascii="Arial" w:hAnsi="Arial" w:cs="Arial"/>
          <w:i/>
        </w:rPr>
      </w:pPr>
    </w:p>
    <w:p w14:paraId="0DAB5FD0" w14:textId="77777777" w:rsidR="00A24E7E" w:rsidRDefault="00A24E7E" w:rsidP="00441B6F">
      <w:pPr>
        <w:pStyle w:val="Body"/>
        <w:spacing w:after="0"/>
        <w:rPr>
          <w:rFonts w:ascii="Arial" w:hAnsi="Arial" w:cs="Arial"/>
          <w:i/>
        </w:rPr>
      </w:pPr>
      <w:r>
        <w:rPr>
          <w:rFonts w:ascii="Arial" w:hAnsi="Arial" w:cs="Arial"/>
          <w:i/>
        </w:rPr>
        <w:t xml:space="preserve">Keywords: </w:t>
      </w:r>
      <w:r w:rsidR="000761F9" w:rsidRPr="000761F9">
        <w:rPr>
          <w:rFonts w:ascii="Arial" w:hAnsi="Arial" w:cs="Arial"/>
          <w:i/>
        </w:rPr>
        <w:t>ESG Score, Financial Performance, Digital Transformation, Energy Sector, Indonesia</w:t>
      </w:r>
    </w:p>
    <w:p w14:paraId="02876B42" w14:textId="77777777" w:rsidR="0024282C" w:rsidRDefault="0024282C" w:rsidP="00441B6F">
      <w:pPr>
        <w:pStyle w:val="Body"/>
        <w:spacing w:after="0"/>
        <w:rPr>
          <w:rFonts w:ascii="Arial" w:hAnsi="Arial" w:cs="Arial"/>
          <w:i/>
          <w:sz w:val="18"/>
        </w:rPr>
      </w:pPr>
    </w:p>
    <w:p w14:paraId="202A7B66" w14:textId="77777777" w:rsidR="00505F06" w:rsidRPr="00A24E7E" w:rsidRDefault="00505F06" w:rsidP="00441B6F">
      <w:pPr>
        <w:pStyle w:val="Body"/>
        <w:spacing w:after="0"/>
        <w:rPr>
          <w:rFonts w:ascii="Arial" w:hAnsi="Arial" w:cs="Arial"/>
          <w:i/>
        </w:rPr>
      </w:pPr>
    </w:p>
    <w:p w14:paraId="18CCC948" w14:textId="77777777" w:rsidR="00505F06" w:rsidRDefault="00902823" w:rsidP="000761F9">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35295BE" w14:textId="0986C168" w:rsidR="000761F9" w:rsidRPr="00540C5D" w:rsidRDefault="000761F9" w:rsidP="000761F9">
      <w:pPr>
        <w:pStyle w:val="NormalWeb"/>
        <w:jc w:val="both"/>
        <w:rPr>
          <w:rFonts w:ascii="Arial" w:hAnsi="Arial" w:cs="Arial"/>
          <w:sz w:val="20"/>
          <w:szCs w:val="20"/>
        </w:rPr>
      </w:pPr>
      <w:r w:rsidRPr="00540C5D">
        <w:rPr>
          <w:rFonts w:ascii="Arial" w:hAnsi="Arial" w:cs="Arial"/>
          <w:sz w:val="20"/>
          <w:szCs w:val="20"/>
        </w:rPr>
        <w:t xml:space="preserve">Sustainability issues have become a key agenda in modern corporate governance, especially in the energy sector, which has a significant impact on the environment and society. The concept of Environmental, Social, and Governance (ESG) is no longer considered an additional responsibility, but a strategic element in creating long-term value. The implementation of ESG plays an important role in building a company's reputation, improving operational efficiency, and maintaining good relationships with stakeholders, including investors, consumers, and regulators. Environmental performance in ESG reflects the extent to which a company carries out its commitment to environmental preservation. This includes energy efficiency, carbon emission reduction, and waste management. In the energy sector, which contributes significantly to the climate crisis, attention to environmental aspects is urgently needed. Research by </w:t>
      </w:r>
      <w:r w:rsidR="00626AAA">
        <w:rPr>
          <w:rFonts w:ascii="Arial" w:hAnsi="Arial" w:cs="Arial"/>
          <w:sz w:val="20"/>
          <w:szCs w:val="20"/>
        </w:rPr>
        <w:fldChar w:fldCharType="begin" w:fldLock="1"/>
      </w:r>
      <w:r w:rsidR="00626AAA">
        <w:rPr>
          <w:rFonts w:ascii="Arial" w:hAnsi="Arial" w:cs="Arial"/>
          <w:sz w:val="20"/>
          <w:szCs w:val="20"/>
        </w:rPr>
        <w:instrText>ADDIN CSL_CITATION {"citationItems":[{"id":"ITEM-1","itemData":{"author":[{"dropping-particle":"","family":"Inawati","given":"Wahdan Arum","non-dropping-particle":"","parse-names":false,"suffix":""},{"dropping-particle":"","family":"Rahmawati","given":"R","non-dropping-particle":"","parse-names":false,"suffix":""}],"container-title":"Jurnal Akademi Akuntansi","id":"ITEM-1","issue":"2","issued":{"date-parts":[["2023"]]},"page":"225–241","title":"Dampak Environmental, Social, Dan Governance (ESG) Terhadap Kinerja Keuangan","type":"article-journal","volume":"6"},"uris":["http://www.mendeley.com/documents/?uuid=fa4dad6d-9949-4c6e-b891-1b7f07362564"]}],"mendeley":{"formattedCitation":"(Inawati &amp; Rahmawati, 2023)","plainTextFormattedCitation":"(Inawati &amp; Rahmawati, 2023)","previouslyFormattedCitation":"(Inawati &amp; Rahmawati, 2023)"},"properties":{"noteIndex":0},"schema":"https://github.com/citation-style-language/schema/raw/master/csl-citation.json"}</w:instrText>
      </w:r>
      <w:r w:rsidR="00626AAA">
        <w:rPr>
          <w:rFonts w:ascii="Arial" w:hAnsi="Arial" w:cs="Arial"/>
          <w:sz w:val="20"/>
          <w:szCs w:val="20"/>
        </w:rPr>
        <w:fldChar w:fldCharType="separate"/>
      </w:r>
      <w:r w:rsidR="00626AAA" w:rsidRPr="00626AAA">
        <w:rPr>
          <w:rFonts w:ascii="Arial" w:hAnsi="Arial" w:cs="Arial"/>
          <w:noProof/>
          <w:sz w:val="20"/>
          <w:szCs w:val="20"/>
        </w:rPr>
        <w:t>(Inawati &amp; Rahmawati, 2023)</w:t>
      </w:r>
      <w:r w:rsidR="00626AAA">
        <w:rPr>
          <w:rFonts w:ascii="Arial" w:hAnsi="Arial" w:cs="Arial"/>
          <w:sz w:val="20"/>
          <w:szCs w:val="20"/>
        </w:rPr>
        <w:fldChar w:fldCharType="end"/>
      </w:r>
      <w:r w:rsidR="00626AAA">
        <w:rPr>
          <w:rFonts w:ascii="Arial" w:hAnsi="Arial" w:cs="Arial"/>
          <w:sz w:val="20"/>
          <w:szCs w:val="20"/>
        </w:rPr>
        <w:t xml:space="preserve"> </w:t>
      </w:r>
      <w:r w:rsidRPr="00540C5D">
        <w:rPr>
          <w:rFonts w:ascii="Arial" w:hAnsi="Arial" w:cs="Arial"/>
          <w:sz w:val="20"/>
          <w:szCs w:val="20"/>
        </w:rPr>
        <w:t xml:space="preserve">shows that disclosure of environmental performance has a positive effect on investment efficiency, especially when supported by the use of digital technology. Meanwhile, the social aspect (Social Performance) describes the company's responsibility to its </w:t>
      </w:r>
      <w:r w:rsidRPr="00540C5D">
        <w:rPr>
          <w:rFonts w:ascii="Arial" w:hAnsi="Arial" w:cs="Arial"/>
          <w:sz w:val="20"/>
          <w:szCs w:val="20"/>
        </w:rPr>
        <w:lastRenderedPageBreak/>
        <w:t>employees, local communities, and the principles of equality and human rights</w:t>
      </w:r>
      <w:r w:rsidR="00626AAA">
        <w:rPr>
          <w:rFonts w:ascii="Arial" w:hAnsi="Arial" w:cs="Arial"/>
          <w:sz w:val="20"/>
          <w:szCs w:val="20"/>
        </w:rPr>
        <w:t xml:space="preserve"> </w:t>
      </w:r>
      <w:r w:rsidR="00626AAA">
        <w:rPr>
          <w:rFonts w:ascii="Arial" w:hAnsi="Arial" w:cs="Arial"/>
          <w:sz w:val="20"/>
          <w:szCs w:val="20"/>
        </w:rPr>
        <w:fldChar w:fldCharType="begin" w:fldLock="1"/>
      </w:r>
      <w:r w:rsidR="00626AAA">
        <w:rPr>
          <w:rFonts w:ascii="Arial" w:hAnsi="Arial" w:cs="Arial"/>
          <w:sz w:val="20"/>
          <w:szCs w:val="20"/>
        </w:rPr>
        <w:instrText>ADDIN CSL_CITATION {"citationItems":[{"id":"ITEM-1","itemData":{"DOI":"10.51903/e-bisnis.v15i2.810","ISSN":"1979-0155","abstract":"This case study discusses the effect of Environmental Disclosure (EVN), Social Disclosure (CSR), Governance Disclosure (CG) and Environmental, Social, Governance (ESG) disclosure on company performance, using control variables including asset turnover and asset growth. The variables that will be used in this study are the dependent variable (Return on Assets), independent variables (ESG disclosure, EVN disclosure, CSR disclosure, and Corporate Govenance Disclosure), and control variables (asset turnover and asset growth). The population in this sample will use manufacturing companies listed on the Indonesia Stock Exchange with a range of 2016-2020. Samples will be taken by purposive sampling method. Based on purposive sampling, it was found that there were 25 manufacturing companies listed on the IDX (2016-2020) that had complete data. The data analysis method used in this research is multiple regression analysis. In addition, this research also uses statistical techniques to test the hypothesys proposed in this study, namely panel data using SPSS. This study found that overall ESG Disclosure has a significant positive effect on company performance and CSR Disclosure has a significant negative effect on company performance.","author":[{"dropping-particle":"","family":"Nugroho","given":"Naufal Adi","non-dropping-particle":"","parse-names":false,"suffix":""},{"dropping-particle":"","family":"Hersugondo Hersugondo","given":"","non-dropping-particle":"","parse-names":false,"suffix":""}],"container-title":"E-Bisnis : Jurnal Ilmiah Ekonomi dan Bisnis","id":"ITEM-1","issue":"2","issued":{"date-parts":[["2022"]]},"page":"233-243","title":"Analisis Pengaruh Environment, Social, Governance (ESG) Disclosure Terhadap Kinerja Keuangan Perusahaan","type":"article-journal","volume":"15"},"uris":["http://www.mendeley.com/documents/?uuid=da8d8b82-8d98-482f-ae64-90a3728b0931"]}],"mendeley":{"formattedCitation":"(Nugroho &amp; Hersugondo Hersugondo, 2022)","plainTextFormattedCitation":"(Nugroho &amp; Hersugondo Hersugondo, 2022)","previouslyFormattedCitation":"(Nugroho &amp; Hersugondo Hersugondo, 2022)"},"properties":{"noteIndex":0},"schema":"https://github.com/citation-style-language/schema/raw/master/csl-citation.json"}</w:instrText>
      </w:r>
      <w:r w:rsidR="00626AAA">
        <w:rPr>
          <w:rFonts w:ascii="Arial" w:hAnsi="Arial" w:cs="Arial"/>
          <w:sz w:val="20"/>
          <w:szCs w:val="20"/>
        </w:rPr>
        <w:fldChar w:fldCharType="separate"/>
      </w:r>
      <w:r w:rsidR="00626AAA" w:rsidRPr="00626AAA">
        <w:rPr>
          <w:rFonts w:ascii="Arial" w:hAnsi="Arial" w:cs="Arial"/>
          <w:noProof/>
          <w:sz w:val="20"/>
          <w:szCs w:val="20"/>
        </w:rPr>
        <w:t>(Nugroho &amp; Hersugondo Hersugondo, 2022)</w:t>
      </w:r>
      <w:r w:rsidR="00626AAA">
        <w:rPr>
          <w:rFonts w:ascii="Arial" w:hAnsi="Arial" w:cs="Arial"/>
          <w:sz w:val="20"/>
          <w:szCs w:val="20"/>
        </w:rPr>
        <w:fldChar w:fldCharType="end"/>
      </w:r>
      <w:r w:rsidRPr="00540C5D">
        <w:rPr>
          <w:rFonts w:ascii="Arial" w:hAnsi="Arial" w:cs="Arial"/>
          <w:sz w:val="20"/>
          <w:szCs w:val="20"/>
        </w:rPr>
        <w:t>, and the governance dimension (Governance Performance) focuses on organizational structure, oversight mechanisms, and transparency in decision-making.</w:t>
      </w:r>
    </w:p>
    <w:p w14:paraId="1247518C" w14:textId="3D3530A6" w:rsidR="000761F9" w:rsidRPr="00540C5D" w:rsidRDefault="000761F9" w:rsidP="000761F9">
      <w:pPr>
        <w:pStyle w:val="NormalWeb"/>
        <w:jc w:val="both"/>
        <w:rPr>
          <w:rFonts w:ascii="Arial" w:hAnsi="Arial" w:cs="Arial"/>
          <w:sz w:val="20"/>
          <w:szCs w:val="20"/>
        </w:rPr>
      </w:pPr>
      <w:r w:rsidRPr="00540C5D">
        <w:rPr>
          <w:rFonts w:ascii="Arial" w:hAnsi="Arial" w:cs="Arial"/>
          <w:sz w:val="20"/>
          <w:szCs w:val="20"/>
        </w:rPr>
        <w:t xml:space="preserve">Financial performance as a key indicator of a company's success measures how efficiently the company manages its resources to generate profits, with Return on Assets (ROA) as a commonly used indicator. A study by </w:t>
      </w:r>
      <w:r w:rsidR="00626AAA">
        <w:rPr>
          <w:rFonts w:ascii="Arial" w:hAnsi="Arial" w:cs="Arial"/>
          <w:sz w:val="20"/>
          <w:szCs w:val="20"/>
        </w:rPr>
        <w:fldChar w:fldCharType="begin" w:fldLock="1"/>
      </w:r>
      <w:r w:rsidR="00626AAA">
        <w:rPr>
          <w:rFonts w:ascii="Arial" w:hAnsi="Arial" w:cs="Arial"/>
          <w:sz w:val="20"/>
          <w:szCs w:val="20"/>
        </w:rPr>
        <w:instrText>ADDIN CSL_CITATION {"citationItems":[{"id":"ITEM-1","itemData":{"DOI":"10.51903/e-bisnis.v15i2.810","ISSN":"1979-0155","abstract":"This case study discusses the effect of Environmental Disclosure (EVN), Social Disclosure (CSR), Governance Disclosure (CG) and Environmental, Social, Governance (ESG) disclosure on company performance, using control variables including asset turnover and asset growth. The variables that will be used in this study are the dependent variable (Return on Assets), independent variables (ESG disclosure, EVN disclosure, CSR disclosure, and Corporate Govenance Disclosure), and control variables (asset turnover and asset growth). The population in this sample will use manufacturing companies listed on the Indonesia Stock Exchange with a range of 2016-2020. Samples will be taken by purposive sampling method. Based on purposive sampling, it was found that there were 25 manufacturing companies listed on the IDX (2016-2020) that had complete data. The data analysis method used in this research is multiple regression analysis. In addition, this research also uses statistical techniques to test the hypothesys proposed in this study, namely panel data using SPSS. This study found that overall ESG Disclosure has a significant positive effect on company performance and CSR Disclosure has a significant negative effect on company performance.","author":[{"dropping-particle":"","family":"Nugroho","given":"Naufal Adi","non-dropping-particle":"","parse-names":false,"suffix":""},{"dropping-particle":"","family":"Hersugondo Hersugondo","given":"","non-dropping-particle":"","parse-names":false,"suffix":""}],"container-title":"E-Bisnis : Jurnal Ilmiah Ekonomi dan Bisnis","id":"ITEM-1","issue":"2","issued":{"date-parts":[["2022"]]},"page":"233-243","title":"Analisis Pengaruh Environment, Social, Governance (ESG) Disclosure Terhadap Kinerja Keuangan Perusahaan","type":"article-journal","volume":"15"},"uris":["http://www.mendeley.com/documents/?uuid=da8d8b82-8d98-482f-ae64-90a3728b0931"]}],"mendeley":{"formattedCitation":"(Nugroho &amp; Hersugondo Hersugondo, 2022)","plainTextFormattedCitation":"(Nugroho &amp; Hersugondo Hersugondo, 2022)","previouslyFormattedCitation":"(Nugroho &amp; Hersugondo Hersugondo, 2022)"},"properties":{"noteIndex":0},"schema":"https://github.com/citation-style-language/schema/raw/master/csl-citation.json"}</w:instrText>
      </w:r>
      <w:r w:rsidR="00626AAA">
        <w:rPr>
          <w:rFonts w:ascii="Arial" w:hAnsi="Arial" w:cs="Arial"/>
          <w:sz w:val="20"/>
          <w:szCs w:val="20"/>
        </w:rPr>
        <w:fldChar w:fldCharType="separate"/>
      </w:r>
      <w:r w:rsidR="00626AAA" w:rsidRPr="00626AAA">
        <w:rPr>
          <w:rFonts w:ascii="Arial" w:hAnsi="Arial" w:cs="Arial"/>
          <w:noProof/>
          <w:sz w:val="20"/>
          <w:szCs w:val="20"/>
        </w:rPr>
        <w:t>(Nugroho &amp; Hersugondo Hersugondo, 2022)</w:t>
      </w:r>
      <w:r w:rsidR="00626AAA">
        <w:rPr>
          <w:rFonts w:ascii="Arial" w:hAnsi="Arial" w:cs="Arial"/>
          <w:sz w:val="20"/>
          <w:szCs w:val="20"/>
        </w:rPr>
        <w:fldChar w:fldCharType="end"/>
      </w:r>
      <w:r w:rsidR="00626AAA">
        <w:rPr>
          <w:rFonts w:ascii="Arial" w:hAnsi="Arial" w:cs="Arial"/>
          <w:sz w:val="20"/>
          <w:szCs w:val="20"/>
        </w:rPr>
        <w:t xml:space="preserve"> </w:t>
      </w:r>
      <w:r w:rsidRPr="00540C5D">
        <w:rPr>
          <w:rFonts w:ascii="Arial" w:hAnsi="Arial" w:cs="Arial"/>
          <w:sz w:val="20"/>
          <w:szCs w:val="20"/>
        </w:rPr>
        <w:t xml:space="preserve">states that ESG generally has a positive effect on ROA. However, a cross-country study by </w:t>
      </w:r>
      <w:r w:rsidR="00626AAA">
        <w:rPr>
          <w:rFonts w:ascii="Arial" w:hAnsi="Arial" w:cs="Arial"/>
          <w:sz w:val="20"/>
          <w:szCs w:val="20"/>
        </w:rPr>
        <w:fldChar w:fldCharType="begin" w:fldLock="1"/>
      </w:r>
      <w:r w:rsidR="00626AAA">
        <w:rPr>
          <w:rFonts w:ascii="Arial" w:hAnsi="Arial" w:cs="Arial"/>
          <w:sz w:val="20"/>
          <w:szCs w:val="20"/>
        </w:rPr>
        <w:instrText>ADDIN CSL_CITATION {"citationItems":[{"id":"ITEM-1","itemData":{"ISSN":"2622-2205","abstract":"Tujuan penelitian ini adalah untuk mengetahui pengaruh ESG Disclosure terhadap kinerja keuangan dengan menggunakan gender diversity anggota dewan sebagai variabel moderasi. Pengungkapan ESG memberikan gambaran yang lebih lengkap tentang aspek keberlanjutan kinerja perusahaan, yang mendukung pelaporan regulasi di Indonesia. Metode penelitian menggunakan metode kuantitatif dengan Moderation Regression Analysis (MRA). Hasil penelitian menunjukkan bahwa pengungkapan ESG mempengaruhi ROA. Semakin baik kualitas pengungkapan ESG dapat meningkatkan kinerja keuangan. Belum terbukti bahwa gender diversity mempunyai pengaruh terhadap kinerja keuangan serta memoderasi hubungan antara pengungkapan ESG dan ROA. Kinerja keuangan perusahaan secara negatif dipengaruhi oleh variabel kontrol SIZE dan LEV. ABSTRACT Keywords : Gender Diversity, ESG Disclosure, Financial Performance, Firm Size, Leverage The purpose of this study is to examine the effect of ESG Disclosure on financial Performance using the gender diversity of board members as a moderating variable. aspects of corporate performance, which supports regulatory reporting in Indonesia. The research method uses quantitative methods with Moderated Regression Analysis (MRA). The results showed that ESG disclosure affects ROA. The better the quality of ESG disclosure can improve financial performance. It has not been proven that gender diversity has an influence on financial performance and moderates the relationship between ESG disclosure and ROA. The company's financial performance is negatively influenced by the control variables SIZE and LEV.","author":[{"dropping-particle":"","family":"Sekar Sari","given":"Putri","non-dropping-particle":"","parse-names":false,"suffix":""},{"dropping-particle":"","family":"Widiatmoko","given":"Jacobus","non-dropping-particle":"","parse-names":false,"suffix":""},{"dropping-particle":"","family":"kunci","given":"Kata","non-dropping-particle":"","parse-names":false,"suffix":""}],"container-title":"Jurnal Ilmiah Akuntansi dan Keuangan","id":"ITEM-1","issue":"9","issued":{"date-parts":[["2023"]]},"page":"2023","title":"Pengaruh Environmental, Social, and Governance (ESG) Disclosure terhadap Kinerja Keuangan dengan Gender Diversity sebagai Variabel Moderasi","type":"article-journal","volume":"5"},"uris":["http://www.mendeley.com/documents/?uuid=c9e6bf94-3147-492a-a30d-2a467c94bf2e"]}],"mendeley":{"formattedCitation":"(Sekar Sari et al., 2023)","plainTextFormattedCitation":"(Sekar Sari et al., 2023)","previouslyFormattedCitation":"(Sekar Sari et al., 2023)"},"properties":{"noteIndex":0},"schema":"https://github.com/citation-style-language/schema/raw/master/csl-citation.json"}</w:instrText>
      </w:r>
      <w:r w:rsidR="00626AAA">
        <w:rPr>
          <w:rFonts w:ascii="Arial" w:hAnsi="Arial" w:cs="Arial"/>
          <w:sz w:val="20"/>
          <w:szCs w:val="20"/>
        </w:rPr>
        <w:fldChar w:fldCharType="separate"/>
      </w:r>
      <w:r w:rsidR="00626AAA" w:rsidRPr="00626AAA">
        <w:rPr>
          <w:rFonts w:ascii="Arial" w:hAnsi="Arial" w:cs="Arial"/>
          <w:noProof/>
          <w:sz w:val="20"/>
          <w:szCs w:val="20"/>
        </w:rPr>
        <w:t>(Sekar Sari et al., 2023)</w:t>
      </w:r>
      <w:r w:rsidR="00626AAA">
        <w:rPr>
          <w:rFonts w:ascii="Arial" w:hAnsi="Arial" w:cs="Arial"/>
          <w:sz w:val="20"/>
          <w:szCs w:val="20"/>
        </w:rPr>
        <w:fldChar w:fldCharType="end"/>
      </w:r>
      <w:r w:rsidR="00626AAA">
        <w:rPr>
          <w:rFonts w:ascii="Arial" w:hAnsi="Arial" w:cs="Arial"/>
          <w:sz w:val="20"/>
          <w:szCs w:val="20"/>
        </w:rPr>
        <w:t xml:space="preserve"> </w:t>
      </w:r>
      <w:r w:rsidRPr="00540C5D">
        <w:rPr>
          <w:rFonts w:ascii="Arial" w:hAnsi="Arial" w:cs="Arial"/>
          <w:sz w:val="20"/>
          <w:szCs w:val="20"/>
        </w:rPr>
        <w:t xml:space="preserve">shows that the effect of ESG on ROA is inconsistent, depending on the geographical context and sustainability practices implemented in each country. Digital transformation is here to strengthen the impact of ESG on financial performance. Technologies such as big data, cloud computing, and real-time analysis enable companies to manage ESG data more effectively, increase transparency, and reduce transaction and monitoring costs. Research by </w:t>
      </w:r>
      <w:r w:rsidR="00626AAA">
        <w:rPr>
          <w:rFonts w:ascii="Arial" w:hAnsi="Arial" w:cs="Arial"/>
          <w:sz w:val="20"/>
          <w:szCs w:val="20"/>
        </w:rPr>
        <w:fldChar w:fldCharType="begin" w:fldLock="1"/>
      </w:r>
      <w:r w:rsidR="00626AAA">
        <w:rPr>
          <w:rFonts w:ascii="Arial" w:hAnsi="Arial" w:cs="Arial"/>
          <w:sz w:val="20"/>
          <w:szCs w:val="20"/>
        </w:rPr>
        <w:instrText>ADDIN CSL_CITATION {"citationItems":[{"id":"ITEM-1","itemData":{"ISSN":"2622-2205","abstract":"Tujuan penelitian ini adalah untuk mengetahui pengaruh ESG Disclosure terhadap kinerja keuangan dengan menggunakan gender diversity anggota dewan sebagai variabel moderasi. Pengungkapan ESG memberikan gambaran yang lebih lengkap tentang aspek keberlanjutan kinerja perusahaan, yang mendukung pelaporan regulasi di Indonesia. Metode penelitian menggunakan metode kuantitatif dengan Moderation Regression Analysis (MRA). Hasil penelitian menunjukkan bahwa pengungkapan ESG mempengaruhi ROA. Semakin baik kualitas pengungkapan ESG dapat meningkatkan kinerja keuangan. Belum terbukti bahwa gender diversity mempunyai pengaruh terhadap kinerja keuangan serta memoderasi hubungan antara pengungkapan ESG dan ROA. Kinerja keuangan perusahaan secara negatif dipengaruhi oleh variabel kontrol SIZE dan LEV. ABSTRACT Keywords : Gender Diversity, ESG Disclosure, Financial Performance, Firm Size, Leverage The purpose of this study is to examine the effect of ESG Disclosure on financial Performance using the gender diversity of board members as a moderating variable. aspects of corporate performance, which supports regulatory reporting in Indonesia. The research method uses quantitative methods with Moderated Regression Analysis (MRA). The results showed that ESG disclosure affects ROA. The better the quality of ESG disclosure can improve financial performance. It has not been proven that gender diversity has an influence on financial performance and moderates the relationship between ESG disclosure and ROA. The company's financial performance is negatively influenced by the control variables SIZE and LEV.","author":[{"dropping-particle":"","family":"Sekar Sari","given":"Putri","non-dropping-particle":"","parse-names":false,"suffix":""},{"dropping-particle":"","family":"Widiatmoko","given":"Jacobus","non-dropping-particle":"","parse-names":false,"suffix":""},{"dropping-particle":"","family":"kunci","given":"Kata","non-dropping-particle":"","parse-names":false,"suffix":""}],"container-title":"Jurnal Ilmiah Akuntansi dan Keuangan","id":"ITEM-1","issue":"9","issued":{"date-parts":[["2023"]]},"page":"2023","title":"Pengaruh Environmental, Social, and Governance (ESG) Disclosure terhadap Kinerja Keuangan dengan Gender Diversity sebagai Variabel Moderasi","type":"article-journal","volume":"5"},"uris":["http://www.mendeley.com/documents/?uuid=c9e6bf94-3147-492a-a30d-2a467c94bf2e"]}],"mendeley":{"formattedCitation":"(Sekar Sari et al., 2023)","plainTextFormattedCitation":"(Sekar Sari et al., 2023)","previouslyFormattedCitation":"(Sekar Sari et al., 2023)"},"properties":{"noteIndex":0},"schema":"https://github.com/citation-style-language/schema/raw/master/csl-citation.json"}</w:instrText>
      </w:r>
      <w:r w:rsidR="00626AAA">
        <w:rPr>
          <w:rFonts w:ascii="Arial" w:hAnsi="Arial" w:cs="Arial"/>
          <w:sz w:val="20"/>
          <w:szCs w:val="20"/>
        </w:rPr>
        <w:fldChar w:fldCharType="separate"/>
      </w:r>
      <w:r w:rsidR="00626AAA" w:rsidRPr="00626AAA">
        <w:rPr>
          <w:rFonts w:ascii="Arial" w:hAnsi="Arial" w:cs="Arial"/>
          <w:noProof/>
          <w:sz w:val="20"/>
          <w:szCs w:val="20"/>
        </w:rPr>
        <w:t>(Sekar Sari et al., 2023)</w:t>
      </w:r>
      <w:r w:rsidR="00626AAA">
        <w:rPr>
          <w:rFonts w:ascii="Arial" w:hAnsi="Arial" w:cs="Arial"/>
          <w:sz w:val="20"/>
          <w:szCs w:val="20"/>
        </w:rPr>
        <w:fldChar w:fldCharType="end"/>
      </w:r>
      <w:r w:rsidRPr="00540C5D">
        <w:rPr>
          <w:rFonts w:ascii="Arial" w:hAnsi="Arial" w:cs="Arial"/>
          <w:sz w:val="20"/>
          <w:szCs w:val="20"/>
        </w:rPr>
        <w:t xml:space="preserve"> and </w:t>
      </w:r>
      <w:r w:rsidR="00626AAA">
        <w:rPr>
          <w:rFonts w:ascii="Arial" w:hAnsi="Arial" w:cs="Arial"/>
          <w:sz w:val="20"/>
          <w:szCs w:val="20"/>
        </w:rPr>
        <w:fldChar w:fldCharType="begin" w:fldLock="1"/>
      </w:r>
      <w:r w:rsidR="00626AAA">
        <w:rPr>
          <w:rFonts w:ascii="Arial" w:hAnsi="Arial" w:cs="Arial"/>
          <w:sz w:val="20"/>
          <w:szCs w:val="20"/>
        </w:rPr>
        <w:instrText>ADDIN CSL_CITATION {"citationItems":[{"id":"ITEM-1","itemData":{"author":[{"dropping-particle":"","family":"Waskito","given":"Saptono Kusdanu","non-dropping-particle":"","parse-names":false,"suffix":""},{"dropping-particle":"","family":"Rahayu","given":"Muji","non-dropping-particle":"","parse-names":false,"suffix":""}],"container-title":"YUME : Journal of Management","id":"ITEM-1","issue":"1","issued":{"date-parts":[["2025"]]},"page":"421-436","title":"Pengaruh Strategi Bisnis Logistik Terhadap Kinerja Perusahaan Distributor Karpet Bandung (DKB) dengan Transformasi Digital Sebagai Variabel Moderasi","type":"article-journal","volume":"8"},"uris":["http://www.mendeley.com/documents/?uuid=5b06846d-5926-466d-9a44-0ddacce67723"]}],"mendeley":{"formattedCitation":"(Waskito &amp; Rahayu, 2025)","plainTextFormattedCitation":"(Waskito &amp; Rahayu, 2025)","previouslyFormattedCitation":"(Waskito &amp; Rahayu, 2025)"},"properties":{"noteIndex":0},"schema":"https://github.com/citation-style-language/schema/raw/master/csl-citation.json"}</w:instrText>
      </w:r>
      <w:r w:rsidR="00626AAA">
        <w:rPr>
          <w:rFonts w:ascii="Arial" w:hAnsi="Arial" w:cs="Arial"/>
          <w:sz w:val="20"/>
          <w:szCs w:val="20"/>
        </w:rPr>
        <w:fldChar w:fldCharType="separate"/>
      </w:r>
      <w:r w:rsidR="00626AAA" w:rsidRPr="00626AAA">
        <w:rPr>
          <w:rFonts w:ascii="Arial" w:hAnsi="Arial" w:cs="Arial"/>
          <w:noProof/>
          <w:sz w:val="20"/>
          <w:szCs w:val="20"/>
        </w:rPr>
        <w:t>(Waskito &amp; Rahayu, 2025)</w:t>
      </w:r>
      <w:r w:rsidR="00626AAA">
        <w:rPr>
          <w:rFonts w:ascii="Arial" w:hAnsi="Arial" w:cs="Arial"/>
          <w:sz w:val="20"/>
          <w:szCs w:val="20"/>
        </w:rPr>
        <w:fldChar w:fldCharType="end"/>
      </w:r>
      <w:r w:rsidR="00626AAA">
        <w:rPr>
          <w:rFonts w:ascii="Arial" w:hAnsi="Arial" w:cs="Arial"/>
          <w:sz w:val="20"/>
          <w:szCs w:val="20"/>
        </w:rPr>
        <w:t xml:space="preserve"> </w:t>
      </w:r>
      <w:r w:rsidRPr="00540C5D">
        <w:rPr>
          <w:rFonts w:ascii="Arial" w:hAnsi="Arial" w:cs="Arial"/>
          <w:sz w:val="20"/>
          <w:szCs w:val="20"/>
        </w:rPr>
        <w:t>states that digitization can increase the impact of ESG on efficiency and revenue growth by 30–35%, especially in the energy sector.</w:t>
      </w:r>
    </w:p>
    <w:p w14:paraId="55103231" w14:textId="77777777" w:rsidR="00790ADA" w:rsidRPr="001A5F98" w:rsidRDefault="000761F9" w:rsidP="001A5F98">
      <w:pPr>
        <w:pStyle w:val="NormalWeb"/>
        <w:jc w:val="both"/>
        <w:rPr>
          <w:rFonts w:ascii="Arial" w:hAnsi="Arial" w:cs="Arial"/>
          <w:sz w:val="20"/>
          <w:szCs w:val="20"/>
        </w:rPr>
      </w:pPr>
      <w:r w:rsidRPr="00540C5D">
        <w:rPr>
          <w:rFonts w:ascii="Arial" w:hAnsi="Arial" w:cs="Arial"/>
          <w:sz w:val="20"/>
          <w:szCs w:val="20"/>
        </w:rPr>
        <w:t>Based on the research gap, this study aims to examine the influence of each ESG dimension on the financial performance of energy companies in Indonesia and to evaluate whether digitization can strengthen this relationship. Many studies still examine ESG as a single overall score, without exploring the influence of each dimension (E, S, and G) separately on financial performance. In addition, there has not been much research focusing specifically on the energy sector in Indonesia, even though this sector has high ESG complexity. This research is expected to contribute theoretically to the development of ESG and digitalization literature, as well as practically to corporate management, investors, and regulators in designing data- and technology-based sustainability strategies. The novelty of this research lies in its dimensional approach to ESG, its specific focus on the energy sector in Indonesia, and its testing of digitalization as a moderating variable that can strengthen the influence of ESG on financial performance.</w:t>
      </w:r>
    </w:p>
    <w:p w14:paraId="69625378"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C292258" w14:textId="77777777" w:rsidR="000761F9" w:rsidRPr="00540C5D" w:rsidRDefault="001A5F98" w:rsidP="000761F9">
      <w:pPr>
        <w:pStyle w:val="NormalWeb"/>
        <w:jc w:val="both"/>
        <w:rPr>
          <w:rFonts w:ascii="Arial" w:hAnsi="Arial" w:cs="Arial"/>
          <w:b/>
          <w:bCs/>
          <w:sz w:val="20"/>
          <w:szCs w:val="20"/>
        </w:rPr>
      </w:pPr>
      <w:r>
        <w:rPr>
          <w:rFonts w:ascii="Arial" w:hAnsi="Arial" w:cs="Arial"/>
          <w:b/>
          <w:bCs/>
          <w:sz w:val="20"/>
          <w:szCs w:val="20"/>
        </w:rPr>
        <w:t xml:space="preserve">2.1 </w:t>
      </w:r>
      <w:r w:rsidR="000761F9" w:rsidRPr="00540C5D">
        <w:rPr>
          <w:rFonts w:ascii="Arial" w:hAnsi="Arial" w:cs="Arial"/>
          <w:b/>
          <w:bCs/>
          <w:sz w:val="20"/>
          <w:szCs w:val="20"/>
        </w:rPr>
        <w:t>Literature Review</w:t>
      </w:r>
    </w:p>
    <w:p w14:paraId="51177E8E" w14:textId="226E0C6F" w:rsidR="000761F9" w:rsidRPr="00540C5D" w:rsidRDefault="000761F9" w:rsidP="000761F9">
      <w:pPr>
        <w:pStyle w:val="NormalWeb"/>
        <w:jc w:val="both"/>
        <w:rPr>
          <w:rFonts w:ascii="Arial" w:hAnsi="Arial" w:cs="Arial"/>
          <w:sz w:val="20"/>
          <w:szCs w:val="20"/>
        </w:rPr>
      </w:pPr>
      <w:r w:rsidRPr="00540C5D">
        <w:rPr>
          <w:rFonts w:ascii="Arial" w:hAnsi="Arial" w:cs="Arial"/>
          <w:sz w:val="20"/>
          <w:szCs w:val="20"/>
        </w:rPr>
        <w:t xml:space="preserve">Research on the relationship between ESG and financial performance shows mixed results. </w:t>
      </w:r>
      <w:r w:rsidR="00626AAA">
        <w:rPr>
          <w:rFonts w:ascii="Arial" w:hAnsi="Arial" w:cs="Arial"/>
          <w:sz w:val="20"/>
          <w:szCs w:val="20"/>
        </w:rPr>
        <w:fldChar w:fldCharType="begin" w:fldLock="1"/>
      </w:r>
      <w:r w:rsidR="00626AAA">
        <w:rPr>
          <w:rFonts w:ascii="Arial" w:hAnsi="Arial" w:cs="Arial"/>
          <w:sz w:val="20"/>
          <w:szCs w:val="20"/>
        </w:rPr>
        <w:instrText>ADDIN CSL_CITATION {"citationItems":[{"id":"ITEM-1","itemData":{"author":[{"dropping-particle":"","family":"Linawati","given":"L","non-dropping-particle":"","parse-names":false,"suffix":""},{"dropping-particle":"","family":"Syailendra","given":"S","non-dropping-particle":"","parse-names":false,"suffix":""},{"dropping-particle":"","family":"Darmansyah","given":"D","non-dropping-particle":"","parse-names":false,"suffix":""}],"container-title":"Jurnal Akuntansi Dan Bisnis Indonesia (JABISI)","id":"ITEM-1","issue":"2","issued":{"date-parts":[["2024"]]},"page":"159–170","title":"Pengaruh Digital Intellectual Capital Dan Inovasi Berkelanjutan Terhadap Kinerja Keuangan: Peran Mediasi Reputasi Perusahaan Dan Moderasi Transformasi Digital","type":"article-journal","volume":"5"},"uris":["http://www.mendeley.com/documents/?uuid=fbc5e256-d72e-4d3d-b3cd-c19c11eeaff8"]}],"mendeley":{"formattedCitation":"(Linawati et al., 2024)","plainTextFormattedCitation":"(Linawati et al., 2024)","previouslyFormattedCitation":"(Linawati et al., 2024)"},"properties":{"noteIndex":0},"schema":"https://github.com/citation-style-language/schema/raw/master/csl-citation.json"}</w:instrText>
      </w:r>
      <w:r w:rsidR="00626AAA">
        <w:rPr>
          <w:rFonts w:ascii="Arial" w:hAnsi="Arial" w:cs="Arial"/>
          <w:sz w:val="20"/>
          <w:szCs w:val="20"/>
        </w:rPr>
        <w:fldChar w:fldCharType="separate"/>
      </w:r>
      <w:r w:rsidR="00626AAA" w:rsidRPr="00626AAA">
        <w:rPr>
          <w:rFonts w:ascii="Arial" w:hAnsi="Arial" w:cs="Arial"/>
          <w:noProof/>
          <w:sz w:val="20"/>
          <w:szCs w:val="20"/>
        </w:rPr>
        <w:t>(Linawati et al., 2024)</w:t>
      </w:r>
      <w:r w:rsidR="00626AAA">
        <w:rPr>
          <w:rFonts w:ascii="Arial" w:hAnsi="Arial" w:cs="Arial"/>
          <w:sz w:val="20"/>
          <w:szCs w:val="20"/>
        </w:rPr>
        <w:fldChar w:fldCharType="end"/>
      </w:r>
      <w:r w:rsidR="00626AAA">
        <w:rPr>
          <w:rFonts w:ascii="Arial" w:hAnsi="Arial" w:cs="Arial"/>
          <w:sz w:val="20"/>
          <w:szCs w:val="20"/>
        </w:rPr>
        <w:t xml:space="preserve"> </w:t>
      </w:r>
      <w:r w:rsidRPr="00540C5D">
        <w:rPr>
          <w:rFonts w:ascii="Arial" w:hAnsi="Arial" w:cs="Arial"/>
          <w:sz w:val="20"/>
          <w:szCs w:val="20"/>
        </w:rPr>
        <w:t xml:space="preserve">found that ESG has a positive effect on ROA, with Woman on Board and Firm Age having a negative effect, and digital transformation moderating Woman on Board. Similarly, </w:t>
      </w:r>
      <w:r w:rsidR="00626AAA">
        <w:rPr>
          <w:rFonts w:ascii="Arial" w:hAnsi="Arial" w:cs="Arial"/>
          <w:sz w:val="20"/>
          <w:szCs w:val="20"/>
        </w:rPr>
        <w:fldChar w:fldCharType="begin" w:fldLock="1"/>
      </w:r>
      <w:r w:rsidR="00626AAA">
        <w:rPr>
          <w:rFonts w:ascii="Arial" w:hAnsi="Arial" w:cs="Arial"/>
          <w:sz w:val="20"/>
          <w:szCs w:val="20"/>
        </w:rPr>
        <w:instrText>ADDIN CSL_CITATION {"citationItems":[{"id":"ITEM-1","itemData":{"abstract":"ABSTRACT This study examines the impact of environmental, social and governance (ESG) disclosures on investment performance by considering audit quality and digital transformation as moderating variables. Using a purposive sampling method, this research was conducted using a quantitative approach and focused on energy sector companies listed on the Indonesia Stock Exchange (IDX) in 2018-2023. Hypothesis testing was carried out using multiple linear regression. The results showed that environmental and social disclosures positively influence investment efficiency, while governance disclosures have no significant effect. In addition, audit quality is found to negatively influence investment efficiency, while digital transformation has a positive impact. Hence, the effect of ESG disclosure on investment efficiency varies when moderated by audit quality and digital transformation. When moderated by audit quality, environmental disclosures have a negative effect, while social and governance disclosures have no significant impact. On the other hand, when moderated by digital transformation, environmental disclosure has a positive impact, social disclosure has a negative effect, and governance disclosure has no significant effect on investment efficiency. This finding indicates that moderating factors such as audit quality and digital transformation significantly affect investment efficiency)","author":[{"dropping-particle":"","family":"Ningsih","given":"Shela Septia","non-dropping-particle":"","parse-names":false,"suffix":""},{"dropping-particle":"","family":"Zaitul","given":"Zaitul","non-dropping-particle":"","parse-names":false,"suffix":""},{"dropping-particle":"","family":"Ilona","given":"Desi","non-dropping-particle":"","parse-names":false,"suffix":""}],"container-title":"Jurnal Akuntansi, Manajemen dan Ilmu Ekonomi","id":"ITEM-1","issued":{"date-parts":[["2024"]]},"page":"2723-8121","title":"Pengungkapan Esg Dan Efisiensi Investasi Investigasi Peran Kualitas Audit Dan Transformasi Digital Sebagai Variabel Moderasi","type":"article-journal","volume":"05"},"uris":["http://www.mendeley.com/documents/?uuid=86f42025-6831-4bbb-be70-222df71d00da"]}],"mendeley":{"formattedCitation":"(Ningsih et al., 2024)","plainTextFormattedCitation":"(Ningsih et al., 2024)","previouslyFormattedCitation":"(Ningsih et al., 2024)"},"properties":{"noteIndex":0},"schema":"https://github.com/citation-style-language/schema/raw/master/csl-citation.json"}</w:instrText>
      </w:r>
      <w:r w:rsidR="00626AAA">
        <w:rPr>
          <w:rFonts w:ascii="Arial" w:hAnsi="Arial" w:cs="Arial"/>
          <w:sz w:val="20"/>
          <w:szCs w:val="20"/>
        </w:rPr>
        <w:fldChar w:fldCharType="separate"/>
      </w:r>
      <w:r w:rsidR="00626AAA" w:rsidRPr="00626AAA">
        <w:rPr>
          <w:rFonts w:ascii="Arial" w:hAnsi="Arial" w:cs="Arial"/>
          <w:noProof/>
          <w:sz w:val="20"/>
          <w:szCs w:val="20"/>
        </w:rPr>
        <w:t>(Ningsih et al., 2024)</w:t>
      </w:r>
      <w:r w:rsidR="00626AAA">
        <w:rPr>
          <w:rFonts w:ascii="Arial" w:hAnsi="Arial" w:cs="Arial"/>
          <w:sz w:val="20"/>
          <w:szCs w:val="20"/>
        </w:rPr>
        <w:fldChar w:fldCharType="end"/>
      </w:r>
      <w:r w:rsidR="00626AAA">
        <w:rPr>
          <w:rFonts w:ascii="Arial" w:hAnsi="Arial" w:cs="Arial"/>
          <w:sz w:val="20"/>
          <w:szCs w:val="20"/>
        </w:rPr>
        <w:t xml:space="preserve"> </w:t>
      </w:r>
      <w:r w:rsidRPr="00540C5D">
        <w:rPr>
          <w:rFonts w:ascii="Arial" w:hAnsi="Arial" w:cs="Arial"/>
          <w:sz w:val="20"/>
          <w:szCs w:val="20"/>
        </w:rPr>
        <w:t xml:space="preserve">in their study on ESG disclosure and investment efficiency found that the Environmental and Social dimensions had a significant positive effect, but Governance was not significant, with Audit Quality having a negative effect and digital transformation strengthening the Environmental dimension. The findings of </w:t>
      </w:r>
      <w:proofErr w:type="spellStart"/>
      <w:r w:rsidRPr="00540C5D">
        <w:rPr>
          <w:rFonts w:ascii="Arial" w:hAnsi="Arial" w:cs="Arial"/>
          <w:sz w:val="20"/>
          <w:szCs w:val="20"/>
        </w:rPr>
        <w:t>Nugroho</w:t>
      </w:r>
      <w:proofErr w:type="spellEnd"/>
      <w:r w:rsidRPr="00540C5D">
        <w:rPr>
          <w:rFonts w:ascii="Arial" w:hAnsi="Arial" w:cs="Arial"/>
          <w:sz w:val="20"/>
          <w:szCs w:val="20"/>
        </w:rPr>
        <w:t xml:space="preserve"> &amp; </w:t>
      </w:r>
      <w:proofErr w:type="spellStart"/>
      <w:r w:rsidRPr="00540C5D">
        <w:rPr>
          <w:rFonts w:ascii="Arial" w:hAnsi="Arial" w:cs="Arial"/>
          <w:sz w:val="20"/>
          <w:szCs w:val="20"/>
        </w:rPr>
        <w:t>Hersugondo</w:t>
      </w:r>
      <w:proofErr w:type="spellEnd"/>
      <w:r w:rsidRPr="00540C5D">
        <w:rPr>
          <w:rFonts w:ascii="Arial" w:hAnsi="Arial" w:cs="Arial"/>
          <w:sz w:val="20"/>
          <w:szCs w:val="20"/>
        </w:rPr>
        <w:t xml:space="preserve"> (2022) found that ESG Disclosure has a significant positive effect on ROA, but CSR has a significant negative effect, while Environmental and Corporate Governance are not significant. </w:t>
      </w:r>
      <w:r w:rsidR="00626AAA">
        <w:rPr>
          <w:rFonts w:ascii="Arial" w:hAnsi="Arial" w:cs="Arial"/>
          <w:sz w:val="20"/>
          <w:szCs w:val="20"/>
        </w:rPr>
        <w:fldChar w:fldCharType="begin" w:fldLock="1"/>
      </w:r>
      <w:r w:rsidR="00626AAA">
        <w:rPr>
          <w:rFonts w:ascii="Arial" w:hAnsi="Arial" w:cs="Arial"/>
          <w:sz w:val="20"/>
          <w:szCs w:val="20"/>
        </w:rPr>
        <w:instrText>ADDIN CSL_CITATION {"citationItems":[{"id":"ITEM-1","itemData":{"DOI":"10.51903/e-bisnis.v15i2.810","ISSN":"1979-0155","abstract":"This case study discusses the effect of Environmental Disclosure (EVN), Social Disclosure (CSR), Governance Disclosure (CG) and Environmental, Social, Governance (ESG) disclosure on company performance, using control variables including asset turnover and asset growth. The variables that will be used in this study are the dependent variable (Return on Assets), independent variables (ESG disclosure, EVN disclosure, CSR disclosure, and Corporate Govenance Disclosure), and control variables (asset turnover and asset growth). The population in this sample will use manufacturing companies listed on the Indonesia Stock Exchange with a range of 2016-2020. Samples will be taken by purposive sampling method. Based on purposive sampling, it was found that there were 25 manufacturing companies listed on the IDX (2016-2020) that had complete data. The data analysis method used in this research is multiple regression analysis. In addition, this research also uses statistical techniques to test the hypothesys proposed in this study, namely panel data using SPSS. This study found that overall ESG Disclosure has a significant positive effect on company performance and CSR Disclosure has a significant negative effect on company performance.","author":[{"dropping-particle":"","family":"Nugroho","given":"Naufal Adi","non-dropping-particle":"","parse-names":false,"suffix":""},{"dropping-particle":"","family":"Hersugondo Hersugondo","given":"","non-dropping-particle":"","parse-names":false,"suffix":""}],"container-title":"E-Bisnis : Jurnal Ilmiah Ekonomi dan Bisnis","id":"ITEM-1","issue":"2","issued":{"date-parts":[["2022"]]},"page":"233-243","title":"Analisis Pengaruh Environment, Social, Governance (ESG) Disclosure Terhadap Kinerja Keuangan Perusahaan","type":"article-journal","volume":"15"},"uris":["http://www.mendeley.com/documents/?uuid=da8d8b82-8d98-482f-ae64-90a3728b0931"]}],"mendeley":{"formattedCitation":"(Nugroho &amp; Hersugondo Hersugondo, 2022)","plainTextFormattedCitation":"(Nugroho &amp; Hersugondo Hersugondo, 2022)","previouslyFormattedCitation":"(Nugroho &amp; Hersugondo Hersugondo, 2022)"},"properties":{"noteIndex":0},"schema":"https://github.com/citation-style-language/schema/raw/master/csl-citation.json"}</w:instrText>
      </w:r>
      <w:r w:rsidR="00626AAA">
        <w:rPr>
          <w:rFonts w:ascii="Arial" w:hAnsi="Arial" w:cs="Arial"/>
          <w:sz w:val="20"/>
          <w:szCs w:val="20"/>
        </w:rPr>
        <w:fldChar w:fldCharType="separate"/>
      </w:r>
      <w:r w:rsidR="00626AAA" w:rsidRPr="00626AAA">
        <w:rPr>
          <w:rFonts w:ascii="Arial" w:hAnsi="Arial" w:cs="Arial"/>
          <w:noProof/>
          <w:sz w:val="20"/>
          <w:szCs w:val="20"/>
        </w:rPr>
        <w:t>(Nugroho &amp; Hersugondo Hersugondo, 2022)</w:t>
      </w:r>
      <w:r w:rsidR="00626AAA">
        <w:rPr>
          <w:rFonts w:ascii="Arial" w:hAnsi="Arial" w:cs="Arial"/>
          <w:sz w:val="20"/>
          <w:szCs w:val="20"/>
        </w:rPr>
        <w:fldChar w:fldCharType="end"/>
      </w:r>
      <w:r w:rsidR="00626AAA">
        <w:rPr>
          <w:rFonts w:ascii="Arial" w:hAnsi="Arial" w:cs="Arial"/>
          <w:sz w:val="20"/>
          <w:szCs w:val="20"/>
        </w:rPr>
        <w:t xml:space="preserve"> </w:t>
      </w:r>
      <w:r w:rsidRPr="00540C5D">
        <w:rPr>
          <w:rFonts w:ascii="Arial" w:hAnsi="Arial" w:cs="Arial"/>
          <w:sz w:val="20"/>
          <w:szCs w:val="20"/>
        </w:rPr>
        <w:t xml:space="preserve">found that ESG has no significant effect in Indonesia and Malaysia, but a significant positive effect in Singapore, with ESG components actually showing a negative direction. Research related to digital transformation shows the important role of digitalization as a moderator, as found by </w:t>
      </w:r>
      <w:r w:rsidR="00626AAA">
        <w:rPr>
          <w:rFonts w:ascii="Arial" w:hAnsi="Arial" w:cs="Arial"/>
          <w:sz w:val="20"/>
          <w:szCs w:val="20"/>
        </w:rPr>
        <w:fldChar w:fldCharType="begin" w:fldLock="1"/>
      </w:r>
      <w:r w:rsidR="00626AAA">
        <w:rPr>
          <w:rFonts w:ascii="Arial" w:hAnsi="Arial" w:cs="Arial"/>
          <w:sz w:val="20"/>
          <w:szCs w:val="20"/>
        </w:rPr>
        <w:instrText>ADDIN CSL_CITATION {"citationItems":[{"id":"ITEM-1","itemData":{"DOI":"10.31955/mea.v8i2.4245","ISSN":"2621-5306","abstract":"Penelitian ini bertujuan untuk menganalisis dampak ESG score, board size, board meeting dan woman on board terhadap financial performance dengan variabel firm age dan sales growth sebagai variabel kontrol dan digital transformation yang diduga dapat memoderasi hubungan ESG score, board size, board meeting dan woman on board dengan financial performance. Data yang digunakan dalam penelitian ini merupakan data sekunder yang bersumber dari website bloomberg dan laporan tahunan perusahaan yang tercatat di BEI dan masuk dalam list LQ45 selama 2018-2022. Sampel penelitian dipilih menggunakan metode purposive sampling sehingga diperoleh 50 perusahaan yang menjadi sampel. Analisis data yang digunakan untuk uji hipotesis yaitu analisis regresi moderasi dengan menggunakan program E-views 9. Hasil penelitian menunjukkan bahwa pengungkapan ESG score memiliki pengaruh positif dan signifikan terhadap financial performance. Hasil penelitian juga menunjukkan bahwa board size, board meeting, sales growth dan digital transformation tidak berpengaruh signifikan terhadap financial performance. Selain itu, variabel woman on board dan firm age terbukti memiliki pengaruh negatif dan signifikan terhadap financial performance. Hasil penelitian juga menunjukkan bahwa digital transformation tidak terbukti dapat memoderasi hubungan antara ESG Score, board size dan board meeting dengan financial performance. Namun variabel digital transformation terbukti dapat memoderasi hubungan antara woman on board dan financial performance.\r  ","author":[{"dropping-particle":"","family":"Pertiwi","given":"Silva Nurbaiti","non-dropping-particle":"","parse-names":false,"suffix":""},{"dropping-particle":"","family":"Muslim","given":"Ahmad","non-dropping-particle":"","parse-names":false,"suffix":""},{"dropping-particle":"","family":"Widiastuti","given":"Maria C","non-dropping-particle":"","parse-names":false,"suffix":""}],"container-title":"Jurnal Ilmiah Manajemen, Ekonomi, &amp; Akuntansi (MEA)","id":"ITEM-1","issue":"2","issued":{"date-parts":[["2024"]]},"page":"1777-1796","title":"Analisis Pengaruh Kinerja Esg Dan Corporate Governance Terhadap Financial Performance Dengan Digital Transformation Sebagai Variabel Moderasi Pada Perusahaan Lq45","type":"article-journal","volume":"8"},"uris":["http://www.mendeley.com/documents/?uuid=a24f2cac-c559-4f5a-8a03-b30a5978791e"]}],"mendeley":{"formattedCitation":"(Pertiwi et al., 2024)","plainTextFormattedCitation":"(Pertiwi et al., 2024)","previouslyFormattedCitation":"(Pertiwi et al., 2024)"},"properties":{"noteIndex":0},"schema":"https://github.com/citation-style-language/schema/raw/master/csl-citation.json"}</w:instrText>
      </w:r>
      <w:r w:rsidR="00626AAA">
        <w:rPr>
          <w:rFonts w:ascii="Arial" w:hAnsi="Arial" w:cs="Arial"/>
          <w:sz w:val="20"/>
          <w:szCs w:val="20"/>
        </w:rPr>
        <w:fldChar w:fldCharType="separate"/>
      </w:r>
      <w:r w:rsidR="00626AAA" w:rsidRPr="00626AAA">
        <w:rPr>
          <w:rFonts w:ascii="Arial" w:hAnsi="Arial" w:cs="Arial"/>
          <w:noProof/>
          <w:sz w:val="20"/>
          <w:szCs w:val="20"/>
        </w:rPr>
        <w:t>(Pertiwi et al., 2024)</w:t>
      </w:r>
      <w:r w:rsidR="00626AAA">
        <w:rPr>
          <w:rFonts w:ascii="Arial" w:hAnsi="Arial" w:cs="Arial"/>
          <w:sz w:val="20"/>
          <w:szCs w:val="20"/>
        </w:rPr>
        <w:fldChar w:fldCharType="end"/>
      </w:r>
      <w:r w:rsidR="00626AAA">
        <w:rPr>
          <w:rFonts w:ascii="Arial" w:hAnsi="Arial" w:cs="Arial"/>
          <w:sz w:val="20"/>
          <w:szCs w:val="20"/>
        </w:rPr>
        <w:t xml:space="preserve"> </w:t>
      </w:r>
      <w:r w:rsidRPr="00540C5D">
        <w:rPr>
          <w:rFonts w:ascii="Arial" w:hAnsi="Arial" w:cs="Arial"/>
          <w:sz w:val="20"/>
          <w:szCs w:val="20"/>
        </w:rPr>
        <w:t>that ESG increases operational efficiency by up to 20%, with digital strengthening it by up to 30% and energy sector revenue increasing by up to 35%.</w:t>
      </w:r>
    </w:p>
    <w:p w14:paraId="0D5EFFB5" w14:textId="06E3E6F7" w:rsidR="000761F9" w:rsidRPr="00540C5D" w:rsidRDefault="000761F9" w:rsidP="000761F9">
      <w:pPr>
        <w:pStyle w:val="NormalWeb"/>
        <w:jc w:val="both"/>
        <w:rPr>
          <w:rFonts w:ascii="Arial" w:hAnsi="Arial" w:cs="Arial"/>
          <w:sz w:val="20"/>
          <w:szCs w:val="20"/>
        </w:rPr>
      </w:pPr>
      <w:r w:rsidRPr="00540C5D">
        <w:rPr>
          <w:rFonts w:ascii="Arial" w:hAnsi="Arial" w:cs="Arial"/>
          <w:sz w:val="20"/>
          <w:szCs w:val="20"/>
        </w:rPr>
        <w:t xml:space="preserve">Based on the Stakeholder Theory proposed by Freeman (1984), corporate responsibility is not limited to shareholders but includes all stakeholders such as employees, the community, the government, and the environment. Optimal ESG implementation not only contributes to improving reputation and public trust, but is also believed to strengthen a company's financial performance, in line with the findings of </w:t>
      </w:r>
      <w:r w:rsidR="00626AAA">
        <w:rPr>
          <w:rFonts w:ascii="Arial" w:hAnsi="Arial" w:cs="Arial"/>
          <w:sz w:val="20"/>
          <w:szCs w:val="20"/>
        </w:rPr>
        <w:fldChar w:fldCharType="begin" w:fldLock="1"/>
      </w:r>
      <w:r w:rsidR="00626AAA">
        <w:rPr>
          <w:rFonts w:ascii="Arial" w:hAnsi="Arial" w:cs="Arial"/>
          <w:sz w:val="20"/>
          <w:szCs w:val="20"/>
        </w:rPr>
        <w:instrText>ADDIN CSL_CITATION {"citationItems":[{"id":"ITEM-1","itemData":{"abstract":"The purpose of this study is to examine how corporate financial performance is affected by environmental, social, and governance (ESG) disclosure performance, with a moderating variable from sharia compliance. In this study, financial performance is utilized as the dependent variable and is measured using Tobin’s Q. ESG disclosure performance is employed as the independent variable, proxied by the ESG score published on Bloomberg. This study also involves a moderating variable, which is shariah compliance measured by a dummy variable based on Indeks Saham Syariah Indonesia. Non-financial companies listed on the Indonesia Stock Exchange between 2019 and 2022 are the population that this study concentrates on. The sampling method utilized is purposive sampling, with a total of 58 companies chosen as samples for an observation period of 4 years. Data analysis is done using the Eviews 13 software comprised of descriptive statistical analysis, classic assumption test, panel data regression analysis, and moderated regression analysis (MRA). This study shows that environmental, social, and governance (ESG) disclosure performance impacted the company’s financial performance positively. While conducting the moderating test using MRA, it was discovered that shariah compliance has no moderating effect on the relationship between environmental, social, and governance (ESG) disclosure performance and the company’s financial performance.","author":[{"dropping-particle":"","family":"Rahmansyah","given":"Muhammad Faiz","non-dropping-particle":"","parse-names":false,"suffix":""},{"dropping-particle":"","family":"Mutmainah","given":"Siti","non-dropping-particle":"","parse-names":false,"suffix":""}],"container-title":"Diponegoro Journal of Accounting","id":"ITEM-1","issue":"3","issued":{"date-parts":[["2024"]]},"page":"1-15","title":"Pengaruh Kinerja Pengungkapan Esg Terhadap Sebagai Variabel Moderasi","type":"article-journal","volume":"13"},"uris":["http://www.mendeley.com/documents/?uuid=7c1231e5-95a4-4d58-9fb6-b9e6f95efc18"]}],"mendeley":{"formattedCitation":"(Rahmansyah &amp; Mutmainah, 2024)","plainTextFormattedCitation":"(Rahmansyah &amp; Mutmainah, 2024)","previouslyFormattedCitation":"(Rahmansyah &amp; Mutmainah, 2024)"},"properties":{"noteIndex":0},"schema":"https://github.com/citation-style-language/schema/raw/master/csl-citation.json"}</w:instrText>
      </w:r>
      <w:r w:rsidR="00626AAA">
        <w:rPr>
          <w:rFonts w:ascii="Arial" w:hAnsi="Arial" w:cs="Arial"/>
          <w:sz w:val="20"/>
          <w:szCs w:val="20"/>
        </w:rPr>
        <w:fldChar w:fldCharType="separate"/>
      </w:r>
      <w:r w:rsidR="00626AAA" w:rsidRPr="00626AAA">
        <w:rPr>
          <w:rFonts w:ascii="Arial" w:hAnsi="Arial" w:cs="Arial"/>
          <w:noProof/>
          <w:sz w:val="20"/>
          <w:szCs w:val="20"/>
        </w:rPr>
        <w:t>(Rahmansyah &amp; Mutmainah, 2024)</w:t>
      </w:r>
      <w:r w:rsidR="00626AAA">
        <w:rPr>
          <w:rFonts w:ascii="Arial" w:hAnsi="Arial" w:cs="Arial"/>
          <w:sz w:val="20"/>
          <w:szCs w:val="20"/>
        </w:rPr>
        <w:fldChar w:fldCharType="end"/>
      </w:r>
      <w:r w:rsidR="00626AAA">
        <w:rPr>
          <w:rFonts w:ascii="Arial" w:hAnsi="Arial" w:cs="Arial"/>
          <w:sz w:val="20"/>
          <w:szCs w:val="20"/>
        </w:rPr>
        <w:t xml:space="preserve"> </w:t>
      </w:r>
      <w:r w:rsidRPr="00540C5D">
        <w:rPr>
          <w:rFonts w:ascii="Arial" w:hAnsi="Arial" w:cs="Arial"/>
          <w:sz w:val="20"/>
          <w:szCs w:val="20"/>
        </w:rPr>
        <w:t>and</w:t>
      </w:r>
      <w:r w:rsidR="00626AAA">
        <w:rPr>
          <w:rFonts w:ascii="Arial" w:hAnsi="Arial" w:cs="Arial"/>
          <w:sz w:val="20"/>
          <w:szCs w:val="20"/>
        </w:rPr>
        <w:t xml:space="preserve"> </w:t>
      </w:r>
      <w:r w:rsidR="00626AAA">
        <w:rPr>
          <w:rFonts w:ascii="Arial" w:hAnsi="Arial" w:cs="Arial"/>
          <w:sz w:val="20"/>
          <w:szCs w:val="20"/>
        </w:rPr>
        <w:fldChar w:fldCharType="begin" w:fldLock="1"/>
      </w:r>
      <w:r w:rsidR="00626AAA">
        <w:rPr>
          <w:rFonts w:ascii="Arial" w:hAnsi="Arial" w:cs="Arial"/>
          <w:sz w:val="20"/>
          <w:szCs w:val="20"/>
        </w:rPr>
        <w:instrText>ADDIN CSL_CITATION {"citationItems":[{"id":"ITEM-1","itemData":{"ISSN":"2622-2205","abstract":"Tujuan penelitian ini adalah untuk mengetahui pengaruh ESG Disclosure terhadap kinerja keuangan dengan menggunakan gender diversity anggota dewan sebagai variabel moderasi. Pengungkapan ESG memberikan gambaran yang lebih lengkap tentang aspek keberlanjutan kinerja perusahaan, yang mendukung pelaporan regulasi di Indonesia. Metode penelitian menggunakan metode kuantitatif dengan Moderation Regression Analysis (MRA). Hasil penelitian menunjukkan bahwa pengungkapan ESG mempengaruhi ROA. Semakin baik kualitas pengungkapan ESG dapat meningkatkan kinerja keuangan. Belum terbukti bahwa gender diversity mempunyai pengaruh terhadap kinerja keuangan serta memoderasi hubungan antara pengungkapan ESG dan ROA. Kinerja keuangan perusahaan secara negatif dipengaruhi oleh variabel kontrol SIZE dan LEV. ABSTRACT Keywords : Gender Diversity, ESG Disclosure, Financial Performance, Firm Size, Leverage The purpose of this study is to examine the effect of ESG Disclosure on financial Performance using the gender diversity of board members as a moderating variable. aspects of corporate performance, which supports regulatory reporting in Indonesia. The research method uses quantitative methods with Moderated Regression Analysis (MRA). The results showed that ESG disclosure affects ROA. The better the quality of ESG disclosure can improve financial performance. It has not been proven that gender diversity has an influence on financial performance and moderates the relationship between ESG disclosure and ROA. The company's financial performance is negatively influenced by the control variables SIZE and LEV.","author":[{"dropping-particle":"","family":"Sekar Sari","given":"Putri","non-dropping-particle":"","parse-names":false,"suffix":""},{"dropping-particle":"","family":"Widiatmoko","given":"Jacobus","non-dropping-particle":"","parse-names":false,"suffix":""},{"dropping-particle":"","family":"kunci","given":"Kata","non-dropping-particle":"","parse-names":false,"suffix":""}],"container-title":"Jurnal Ilmiah Akuntansi dan Keuangan","id":"ITEM-1","issue":"9","issued":{"date-parts":[["2023"]]},"page":"2023","title":"Pengaruh Environmental, Social, and Governance (ESG) Disclosure terhadap Kinerja Keuangan dengan Gender Diversity sebagai Variabel Moderasi","type":"article-journal","volume":"5"},"uris":["http://www.mendeley.com/documents/?uuid=c9e6bf94-3147-492a-a30d-2a467c94bf2e"]}],"mendeley":{"formattedCitation":"(Sekar Sari et al., 2023)","plainTextFormattedCitation":"(Sekar Sari et al., 2023)","previouslyFormattedCitation":"(Sekar Sari et al., 2023)"},"properties":{"noteIndex":0},"schema":"https://github.com/citation-style-language/schema/raw/master/csl-citation.json"}</w:instrText>
      </w:r>
      <w:r w:rsidR="00626AAA">
        <w:rPr>
          <w:rFonts w:ascii="Arial" w:hAnsi="Arial" w:cs="Arial"/>
          <w:sz w:val="20"/>
          <w:szCs w:val="20"/>
        </w:rPr>
        <w:fldChar w:fldCharType="separate"/>
      </w:r>
      <w:r w:rsidR="00626AAA" w:rsidRPr="00626AAA">
        <w:rPr>
          <w:rFonts w:ascii="Arial" w:hAnsi="Arial" w:cs="Arial"/>
          <w:noProof/>
          <w:sz w:val="20"/>
          <w:szCs w:val="20"/>
        </w:rPr>
        <w:t>(Sekar Sari et al., 2023)</w:t>
      </w:r>
      <w:r w:rsidR="00626AAA">
        <w:rPr>
          <w:rFonts w:ascii="Arial" w:hAnsi="Arial" w:cs="Arial"/>
          <w:sz w:val="20"/>
          <w:szCs w:val="20"/>
        </w:rPr>
        <w:fldChar w:fldCharType="end"/>
      </w:r>
      <w:r w:rsidRPr="00540C5D">
        <w:rPr>
          <w:rFonts w:ascii="Arial" w:hAnsi="Arial" w:cs="Arial"/>
          <w:sz w:val="20"/>
          <w:szCs w:val="20"/>
        </w:rPr>
        <w:t xml:space="preserve">, which show a positive influence of ESG on Return on Assets (ROA) and operational efficiency. This research framework examines the effect of ESG Score on financial performance with digitalization as a moderating variable. Research hypotheses: </w:t>
      </w:r>
    </w:p>
    <w:p w14:paraId="1084685F" w14:textId="77777777" w:rsidR="000761F9" w:rsidRPr="00540C5D" w:rsidRDefault="000761F9" w:rsidP="000761F9">
      <w:pPr>
        <w:pStyle w:val="NormalWeb"/>
        <w:jc w:val="both"/>
        <w:rPr>
          <w:rFonts w:ascii="Arial" w:hAnsi="Arial" w:cs="Arial"/>
          <w:sz w:val="20"/>
          <w:szCs w:val="20"/>
        </w:rPr>
      </w:pPr>
      <w:r w:rsidRPr="00540C5D">
        <w:rPr>
          <w:rFonts w:ascii="Arial" w:hAnsi="Arial" w:cs="Arial"/>
          <w:sz w:val="20"/>
          <w:szCs w:val="20"/>
        </w:rPr>
        <w:t>H1 - ESG Score has a positive effect on Company Financial Performance.</w:t>
      </w:r>
    </w:p>
    <w:p w14:paraId="42A4BF08" w14:textId="77777777" w:rsidR="000761F9" w:rsidRPr="00540C5D" w:rsidRDefault="000761F9" w:rsidP="000761F9">
      <w:pPr>
        <w:pStyle w:val="NormalWeb"/>
        <w:jc w:val="both"/>
        <w:rPr>
          <w:rFonts w:ascii="Arial" w:hAnsi="Arial" w:cs="Arial"/>
          <w:sz w:val="20"/>
          <w:szCs w:val="20"/>
        </w:rPr>
      </w:pPr>
      <w:r w:rsidRPr="00540C5D">
        <w:rPr>
          <w:rFonts w:ascii="Arial" w:hAnsi="Arial" w:cs="Arial"/>
          <w:sz w:val="20"/>
          <w:szCs w:val="20"/>
        </w:rPr>
        <w:t xml:space="preserve">H2 - Digital Transformation strengthens the relationship between ESG Score and company financial performance. </w:t>
      </w:r>
    </w:p>
    <w:p w14:paraId="45416A6D" w14:textId="71758B68" w:rsidR="000761F9" w:rsidRPr="00540C5D" w:rsidRDefault="000761F9" w:rsidP="000761F9">
      <w:pPr>
        <w:pStyle w:val="NormalWeb"/>
        <w:jc w:val="both"/>
        <w:rPr>
          <w:rFonts w:ascii="Arial" w:hAnsi="Arial" w:cs="Arial"/>
          <w:sz w:val="20"/>
          <w:szCs w:val="20"/>
        </w:rPr>
      </w:pPr>
      <w:r w:rsidRPr="00540C5D">
        <w:rPr>
          <w:rFonts w:ascii="Arial" w:hAnsi="Arial" w:cs="Arial"/>
          <w:sz w:val="20"/>
          <w:szCs w:val="20"/>
        </w:rPr>
        <w:t xml:space="preserve">Digitalization is hypothesized to act as a moderating variable that can strengthen the relationship between ESG performance and financial performance, enabling increased transparency, efficiency, and accountability in the management of environmental, social, and governance aspects, as found by </w:t>
      </w:r>
      <w:r w:rsidR="00626AAA">
        <w:rPr>
          <w:rFonts w:ascii="Arial" w:hAnsi="Arial" w:cs="Arial"/>
          <w:sz w:val="20"/>
          <w:szCs w:val="20"/>
        </w:rPr>
        <w:fldChar w:fldCharType="begin" w:fldLock="1"/>
      </w:r>
      <w:r w:rsidR="00626AAA">
        <w:rPr>
          <w:rFonts w:ascii="Arial" w:hAnsi="Arial" w:cs="Arial"/>
          <w:sz w:val="20"/>
          <w:szCs w:val="20"/>
        </w:rPr>
        <w:instrText>ADDIN CSL_CITATION {"citationItems":[{"id":"ITEM-1","itemData":{"author":[{"dropping-particle":"","family":"Waskito","given":"Saptono Kusdanu","non-dropping-particle":"","parse-names":false,"suffix":""},{"dropping-particle":"","family":"Rahayu","given":"Muji","non-dropping-particle":"","parse-names":false,"suffix":""}],"container-title":"YUME : Journal of Management","id":"ITEM-1","issue":"1","issued":{"date-parts":[["2025"]]},"page":"421-436","title":"Pengaruh Strategi Bisnis Logistik Terhadap Kinerja Perusahaan Distributor Karpet Bandung (DKB) dengan Transformasi Digital Sebagai Variabel Moderasi","type":"article-journal","volume":"8"},"uris":["http://www.mendeley.com/documents/?uuid=5b06846d-5926-466d-9a44-0ddacce67723"]}],"mendeley":{"formattedCitation":"(Waskito &amp; Rahayu, 2025)","plainTextFormattedCitation":"(Waskito &amp; Rahayu, 2025)","previouslyFormattedCitation":"(Waskito &amp; Rahayu, 2025)"},"properties":{"noteIndex":0},"schema":"https://github.com/citation-style-language/schema/raw/master/csl-citation.json"}</w:instrText>
      </w:r>
      <w:r w:rsidR="00626AAA">
        <w:rPr>
          <w:rFonts w:ascii="Arial" w:hAnsi="Arial" w:cs="Arial"/>
          <w:sz w:val="20"/>
          <w:szCs w:val="20"/>
        </w:rPr>
        <w:fldChar w:fldCharType="separate"/>
      </w:r>
      <w:r w:rsidR="00626AAA" w:rsidRPr="00626AAA">
        <w:rPr>
          <w:rFonts w:ascii="Arial" w:hAnsi="Arial" w:cs="Arial"/>
          <w:noProof/>
          <w:sz w:val="20"/>
          <w:szCs w:val="20"/>
        </w:rPr>
        <w:t>(Waskito &amp; Rahayu, 2025)</w:t>
      </w:r>
      <w:r w:rsidR="00626AAA">
        <w:rPr>
          <w:rFonts w:ascii="Arial" w:hAnsi="Arial" w:cs="Arial"/>
          <w:sz w:val="20"/>
          <w:szCs w:val="20"/>
        </w:rPr>
        <w:fldChar w:fldCharType="end"/>
      </w:r>
      <w:r w:rsidR="00626AAA">
        <w:rPr>
          <w:rFonts w:ascii="Arial" w:hAnsi="Arial" w:cs="Arial"/>
          <w:sz w:val="20"/>
          <w:szCs w:val="20"/>
        </w:rPr>
        <w:t xml:space="preserve"> </w:t>
      </w:r>
      <w:r w:rsidRPr="00540C5D">
        <w:rPr>
          <w:rFonts w:ascii="Arial" w:hAnsi="Arial" w:cs="Arial"/>
          <w:sz w:val="20"/>
          <w:szCs w:val="20"/>
        </w:rPr>
        <w:t>that digitalization strengthens the influence of ESG disclosure on investment efficiency.</w:t>
      </w:r>
    </w:p>
    <w:p w14:paraId="799CAD3D" w14:textId="77777777" w:rsidR="000761F9" w:rsidRPr="00540C5D" w:rsidRDefault="000761F9" w:rsidP="000761F9">
      <w:pPr>
        <w:jc w:val="both"/>
        <w:rPr>
          <w:rFonts w:ascii="Arial" w:hAnsi="Arial" w:cs="Arial"/>
          <w:b/>
        </w:rPr>
      </w:pPr>
      <w:r w:rsidRPr="00540C5D">
        <w:rPr>
          <w:rFonts w:ascii="Arial" w:hAnsi="Arial" w:cs="Arial"/>
          <w:b/>
        </w:rPr>
        <w:t>2.2 Research Methods</w:t>
      </w:r>
    </w:p>
    <w:p w14:paraId="0AAEEE9B" w14:textId="77777777" w:rsidR="000761F9" w:rsidRPr="00540C5D" w:rsidRDefault="000761F9" w:rsidP="000761F9">
      <w:pPr>
        <w:pStyle w:val="NormalWeb"/>
        <w:jc w:val="both"/>
        <w:rPr>
          <w:rFonts w:ascii="Arial" w:hAnsi="Arial" w:cs="Arial"/>
          <w:sz w:val="20"/>
          <w:szCs w:val="20"/>
        </w:rPr>
      </w:pPr>
      <w:r w:rsidRPr="00540C5D">
        <w:rPr>
          <w:rFonts w:ascii="Arial" w:hAnsi="Arial" w:cs="Arial"/>
          <w:sz w:val="20"/>
          <w:szCs w:val="20"/>
        </w:rPr>
        <w:lastRenderedPageBreak/>
        <w:t xml:space="preserve">This study uses a causal research design with a quantitative approach to determine the effect or causal relationship between independent and dependent variables, as has been done by Sari &amp; Jacobus (2023), </w:t>
      </w:r>
      <w:proofErr w:type="spellStart"/>
      <w:r w:rsidRPr="00540C5D">
        <w:rPr>
          <w:rFonts w:ascii="Arial" w:hAnsi="Arial" w:cs="Arial"/>
          <w:sz w:val="20"/>
          <w:szCs w:val="20"/>
        </w:rPr>
        <w:t>Nugroho</w:t>
      </w:r>
      <w:proofErr w:type="spellEnd"/>
      <w:r w:rsidRPr="00540C5D">
        <w:rPr>
          <w:rFonts w:ascii="Arial" w:hAnsi="Arial" w:cs="Arial"/>
          <w:sz w:val="20"/>
          <w:szCs w:val="20"/>
        </w:rPr>
        <w:t xml:space="preserve"> &amp; </w:t>
      </w:r>
      <w:proofErr w:type="spellStart"/>
      <w:r w:rsidRPr="00540C5D">
        <w:rPr>
          <w:rFonts w:ascii="Arial" w:hAnsi="Arial" w:cs="Arial"/>
          <w:sz w:val="20"/>
          <w:szCs w:val="20"/>
        </w:rPr>
        <w:t>Hersugondo</w:t>
      </w:r>
      <w:proofErr w:type="spellEnd"/>
      <w:r w:rsidRPr="00540C5D">
        <w:rPr>
          <w:rFonts w:ascii="Arial" w:hAnsi="Arial" w:cs="Arial"/>
          <w:sz w:val="20"/>
          <w:szCs w:val="20"/>
        </w:rPr>
        <w:t xml:space="preserve"> (2022), and </w:t>
      </w:r>
      <w:proofErr w:type="spellStart"/>
      <w:r w:rsidRPr="00540C5D">
        <w:rPr>
          <w:rFonts w:ascii="Arial" w:hAnsi="Arial" w:cs="Arial"/>
          <w:sz w:val="20"/>
          <w:szCs w:val="20"/>
        </w:rPr>
        <w:t>Khairunnisa</w:t>
      </w:r>
      <w:proofErr w:type="spellEnd"/>
      <w:r w:rsidRPr="00540C5D">
        <w:rPr>
          <w:rFonts w:ascii="Arial" w:hAnsi="Arial" w:cs="Arial"/>
          <w:sz w:val="20"/>
          <w:szCs w:val="20"/>
        </w:rPr>
        <w:t xml:space="preserve"> &amp; </w:t>
      </w:r>
      <w:proofErr w:type="spellStart"/>
      <w:r w:rsidRPr="00540C5D">
        <w:rPr>
          <w:rFonts w:ascii="Arial" w:hAnsi="Arial" w:cs="Arial"/>
          <w:sz w:val="20"/>
          <w:szCs w:val="20"/>
        </w:rPr>
        <w:t>Widiastuty</w:t>
      </w:r>
      <w:proofErr w:type="spellEnd"/>
      <w:r w:rsidRPr="00540C5D">
        <w:rPr>
          <w:rFonts w:ascii="Arial" w:hAnsi="Arial" w:cs="Arial"/>
          <w:sz w:val="20"/>
          <w:szCs w:val="20"/>
        </w:rPr>
        <w:t xml:space="preserve"> (2023). The research was conducted on energy sector companies listed on the Indonesia Stock Exchange (IDX) during the period 2021-2023, with secondary data obtained from public documents through the official IDX website (www.idx.co.id), company websites, and sustainability and annual reports. The research population consisted of all energy sector companies listed on the IDX during the 2021-2023 period with a sample of approximately 270 samples, which were then determined using the purposive sampling method based on the following criteria: (1) energy sector companies listed on the IDX during that period, (2) consistently published annual reports and sustainability reports, (3) had ESG disclosure data and digital transformation information, and (4) did not experience delisting. After a gradual exclusion process from the initial 91 companies, 8 companies remained that met the criteria. The data collection technique used the documentation method from annual reports, sustainability reports, and financial reports published by companies, as done by Ningsih et al. (2024) and </w:t>
      </w:r>
      <w:proofErr w:type="spellStart"/>
      <w:r w:rsidRPr="00540C5D">
        <w:rPr>
          <w:rFonts w:ascii="Arial" w:hAnsi="Arial" w:cs="Arial"/>
          <w:sz w:val="20"/>
          <w:szCs w:val="20"/>
        </w:rPr>
        <w:t>Nugroho</w:t>
      </w:r>
      <w:proofErr w:type="spellEnd"/>
      <w:r w:rsidRPr="00540C5D">
        <w:rPr>
          <w:rFonts w:ascii="Arial" w:hAnsi="Arial" w:cs="Arial"/>
          <w:sz w:val="20"/>
          <w:szCs w:val="20"/>
        </w:rPr>
        <w:t xml:space="preserve"> &amp; </w:t>
      </w:r>
      <w:proofErr w:type="spellStart"/>
      <w:r w:rsidRPr="00540C5D">
        <w:rPr>
          <w:rFonts w:ascii="Arial" w:hAnsi="Arial" w:cs="Arial"/>
          <w:sz w:val="20"/>
          <w:szCs w:val="20"/>
        </w:rPr>
        <w:t>Hersugondo</w:t>
      </w:r>
      <w:proofErr w:type="spellEnd"/>
      <w:r w:rsidRPr="00540C5D">
        <w:rPr>
          <w:rFonts w:ascii="Arial" w:hAnsi="Arial" w:cs="Arial"/>
          <w:sz w:val="20"/>
          <w:szCs w:val="20"/>
        </w:rPr>
        <w:t xml:space="preserve"> (2022). The data analysis techniques were classical assumption tests (normality, multicollinearity, and heteroscedasticity tests), hypothesis tests (simultaneous F test and partial t test), and multiple linear regression analysis with the model Y=α+β1X+β2Z+β3(X*Z)+ϵ to test the effect of ESG Score (X) on financial performance measured by ROA (Y) with digitalization (Z) as a moderating variable, using the SPSS program for data processing.</w:t>
      </w:r>
    </w:p>
    <w:p w14:paraId="74046415" w14:textId="77777777" w:rsidR="00AA74E0" w:rsidRDefault="00AA74E0" w:rsidP="00441B6F">
      <w:pPr>
        <w:pStyle w:val="Body"/>
        <w:spacing w:after="0"/>
        <w:rPr>
          <w:rFonts w:ascii="Arial" w:hAnsi="Arial" w:cs="Arial"/>
        </w:rPr>
      </w:pPr>
    </w:p>
    <w:p w14:paraId="6780672C" w14:textId="77777777" w:rsidR="00790ADA" w:rsidRPr="00FB3A86" w:rsidRDefault="00790ADA" w:rsidP="00441B6F">
      <w:pPr>
        <w:pStyle w:val="Body"/>
        <w:spacing w:after="0"/>
        <w:rPr>
          <w:rFonts w:ascii="Arial" w:hAnsi="Arial" w:cs="Arial"/>
        </w:rPr>
      </w:pPr>
    </w:p>
    <w:p w14:paraId="4402F26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01A3714" w14:textId="77777777" w:rsidR="00790ADA" w:rsidRPr="00FB3A86" w:rsidRDefault="00790ADA" w:rsidP="00441B6F">
      <w:pPr>
        <w:pStyle w:val="Head1"/>
        <w:spacing w:after="0"/>
        <w:jc w:val="both"/>
        <w:rPr>
          <w:rFonts w:ascii="Arial" w:hAnsi="Arial" w:cs="Arial"/>
        </w:rPr>
      </w:pPr>
    </w:p>
    <w:p w14:paraId="48BFD60D" w14:textId="77777777" w:rsidR="001A5F98" w:rsidRPr="001A5F98" w:rsidRDefault="001A5F98" w:rsidP="001A5F98">
      <w:pPr>
        <w:pStyle w:val="ListParagraph"/>
        <w:numPr>
          <w:ilvl w:val="1"/>
          <w:numId w:val="35"/>
        </w:numPr>
        <w:ind w:left="567"/>
        <w:jc w:val="both"/>
        <w:rPr>
          <w:rFonts w:ascii="Arial" w:hAnsi="Arial" w:cs="Arial"/>
          <w:b/>
          <w:bCs/>
        </w:rPr>
      </w:pPr>
      <w:r w:rsidRPr="001A5F98">
        <w:rPr>
          <w:rFonts w:ascii="Arial" w:hAnsi="Arial" w:cs="Arial"/>
          <w:b/>
          <w:bCs/>
        </w:rPr>
        <w:t xml:space="preserve">Classical </w:t>
      </w:r>
      <w:proofErr w:type="spellStart"/>
      <w:r w:rsidRPr="001A5F98">
        <w:rPr>
          <w:rFonts w:ascii="Arial" w:hAnsi="Arial" w:cs="Arial"/>
          <w:b/>
          <w:bCs/>
        </w:rPr>
        <w:t>Asumption</w:t>
      </w:r>
      <w:proofErr w:type="spellEnd"/>
      <w:r w:rsidRPr="001A5F98">
        <w:rPr>
          <w:rFonts w:ascii="Arial" w:hAnsi="Arial" w:cs="Arial"/>
          <w:b/>
          <w:bCs/>
        </w:rPr>
        <w:t xml:space="preserve"> Tests</w:t>
      </w:r>
    </w:p>
    <w:p w14:paraId="02839E1F" w14:textId="77777777" w:rsidR="001A5F98" w:rsidRPr="00540C5D" w:rsidRDefault="001A5F98" w:rsidP="001A5F98">
      <w:pPr>
        <w:spacing w:before="240"/>
        <w:jc w:val="both"/>
        <w:rPr>
          <w:rFonts w:ascii="Arial" w:hAnsi="Arial" w:cs="Arial"/>
        </w:rPr>
      </w:pPr>
      <w:r w:rsidRPr="00540C5D">
        <w:rPr>
          <w:rFonts w:ascii="Arial" w:hAnsi="Arial" w:cs="Arial"/>
        </w:rPr>
        <w:t>The regression model passes all of the classical assumption tests, indicating that it is statistically robust and suitable for further analysis.</w:t>
      </w:r>
    </w:p>
    <w:p w14:paraId="0E55C63C" w14:textId="77777777" w:rsidR="001A5F98" w:rsidRPr="00540C5D" w:rsidRDefault="001A5F98" w:rsidP="001A5F98">
      <w:pPr>
        <w:pStyle w:val="ListParagraph"/>
        <w:numPr>
          <w:ilvl w:val="0"/>
          <w:numId w:val="33"/>
        </w:numPr>
        <w:spacing w:before="240" w:after="0" w:line="240" w:lineRule="auto"/>
        <w:jc w:val="both"/>
        <w:rPr>
          <w:rFonts w:ascii="Arial" w:eastAsia="Times New Roman" w:hAnsi="Arial" w:cs="Arial"/>
          <w:kern w:val="0"/>
          <w:sz w:val="20"/>
          <w:szCs w:val="20"/>
          <w:lang w:val="en-US"/>
        </w:rPr>
      </w:pPr>
      <w:r w:rsidRPr="00540C5D">
        <w:rPr>
          <w:rFonts w:ascii="Arial" w:hAnsi="Arial" w:cs="Arial"/>
          <w:b/>
          <w:sz w:val="20"/>
          <w:szCs w:val="20"/>
        </w:rPr>
        <w:t>Normality test</w:t>
      </w:r>
    </w:p>
    <w:p w14:paraId="0BA29D68" w14:textId="77777777" w:rsidR="001A5F98" w:rsidRPr="00891BBA" w:rsidRDefault="001A5F98" w:rsidP="001A5F98">
      <w:pPr>
        <w:spacing w:before="240"/>
        <w:jc w:val="center"/>
        <w:rPr>
          <w:rFonts w:ascii="Arial" w:hAnsi="Arial" w:cs="Arial"/>
          <w:b/>
        </w:rPr>
      </w:pPr>
      <w:r w:rsidRPr="00540C5D">
        <w:rPr>
          <w:rFonts w:ascii="Arial" w:hAnsi="Arial" w:cs="Arial"/>
          <w:b/>
        </w:rPr>
        <w:t>Table 1. Normality test</w:t>
      </w:r>
    </w:p>
    <w:tbl>
      <w:tblPr>
        <w:tblStyle w:val="TableGrid"/>
        <w:tblW w:w="9067" w:type="dxa"/>
        <w:tblLook w:val="04A0" w:firstRow="1" w:lastRow="0" w:firstColumn="1" w:lastColumn="0" w:noHBand="0" w:noVBand="1"/>
      </w:tblPr>
      <w:tblGrid>
        <w:gridCol w:w="3481"/>
        <w:gridCol w:w="1670"/>
        <w:gridCol w:w="3916"/>
      </w:tblGrid>
      <w:tr w:rsidR="001A5F98" w:rsidRPr="00891BBA" w14:paraId="79E669DD" w14:textId="77777777" w:rsidTr="004C40DA">
        <w:trPr>
          <w:trHeight w:val="20"/>
        </w:trPr>
        <w:tc>
          <w:tcPr>
            <w:tcW w:w="9067" w:type="dxa"/>
            <w:gridSpan w:val="3"/>
            <w:hideMark/>
          </w:tcPr>
          <w:p w14:paraId="787D4C56" w14:textId="77777777" w:rsidR="001A5F98" w:rsidRPr="00891BBA" w:rsidRDefault="001A5F98" w:rsidP="004C40DA">
            <w:pPr>
              <w:spacing w:before="240" w:after="240"/>
              <w:jc w:val="center"/>
              <w:rPr>
                <w:rFonts w:ascii="Arial" w:eastAsia="Times New Roman" w:hAnsi="Arial" w:cs="Arial"/>
                <w:sz w:val="20"/>
                <w:szCs w:val="20"/>
              </w:rPr>
            </w:pPr>
            <w:r w:rsidRPr="00891BBA">
              <w:rPr>
                <w:rFonts w:ascii="Arial" w:eastAsia="Times New Roman" w:hAnsi="Arial" w:cs="Arial"/>
                <w:b/>
                <w:bCs/>
                <w:color w:val="000000"/>
                <w:sz w:val="20"/>
                <w:szCs w:val="20"/>
              </w:rPr>
              <w:t>Tests of Normality</w:t>
            </w:r>
          </w:p>
        </w:tc>
      </w:tr>
      <w:tr w:rsidR="001A5F98" w:rsidRPr="00891BBA" w14:paraId="36A9A8BE" w14:textId="77777777" w:rsidTr="004C40DA">
        <w:trPr>
          <w:trHeight w:val="20"/>
        </w:trPr>
        <w:tc>
          <w:tcPr>
            <w:tcW w:w="0" w:type="auto"/>
            <w:vMerge w:val="restart"/>
            <w:hideMark/>
          </w:tcPr>
          <w:p w14:paraId="17782F69" w14:textId="77777777" w:rsidR="001A5F98" w:rsidRPr="00891BBA" w:rsidRDefault="001A5F98" w:rsidP="004C40DA">
            <w:pPr>
              <w:spacing w:before="240" w:after="240"/>
              <w:jc w:val="both"/>
              <w:rPr>
                <w:rFonts w:ascii="Arial" w:eastAsia="Times New Roman" w:hAnsi="Arial" w:cs="Arial"/>
                <w:sz w:val="20"/>
                <w:szCs w:val="20"/>
              </w:rPr>
            </w:pPr>
            <w:r w:rsidRPr="00891BBA">
              <w:rPr>
                <w:rFonts w:ascii="Arial" w:eastAsia="Times New Roman" w:hAnsi="Arial" w:cs="Arial"/>
                <w:color w:val="000000"/>
                <w:sz w:val="20"/>
                <w:szCs w:val="20"/>
              </w:rPr>
              <w:t> </w:t>
            </w:r>
          </w:p>
        </w:tc>
        <w:tc>
          <w:tcPr>
            <w:tcW w:w="0" w:type="auto"/>
            <w:vMerge w:val="restart"/>
            <w:hideMark/>
          </w:tcPr>
          <w:p w14:paraId="78BF86D0"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rPr>
              <w:t>ESG SCORE (X)</w:t>
            </w:r>
          </w:p>
        </w:tc>
        <w:tc>
          <w:tcPr>
            <w:tcW w:w="3916" w:type="dxa"/>
            <w:hideMark/>
          </w:tcPr>
          <w:p w14:paraId="66A3D830"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rPr>
              <w:t>Shapiro-</w:t>
            </w:r>
            <w:proofErr w:type="spellStart"/>
            <w:r w:rsidRPr="00891BBA">
              <w:rPr>
                <w:rFonts w:ascii="Arial" w:eastAsia="Times New Roman" w:hAnsi="Arial" w:cs="Arial"/>
                <w:color w:val="000000"/>
                <w:sz w:val="20"/>
                <w:szCs w:val="20"/>
              </w:rPr>
              <w:t>Wilk</w:t>
            </w:r>
            <w:r w:rsidRPr="00891BBA">
              <w:rPr>
                <w:rFonts w:ascii="Arial" w:eastAsia="Times New Roman" w:hAnsi="Arial" w:cs="Arial"/>
                <w:color w:val="000000"/>
                <w:sz w:val="20"/>
                <w:szCs w:val="20"/>
                <w:vertAlign w:val="superscript"/>
              </w:rPr>
              <w:t>b</w:t>
            </w:r>
            <w:proofErr w:type="spellEnd"/>
          </w:p>
        </w:tc>
      </w:tr>
      <w:tr w:rsidR="001A5F98" w:rsidRPr="00891BBA" w14:paraId="1B0EB12A" w14:textId="77777777" w:rsidTr="004C40DA">
        <w:trPr>
          <w:trHeight w:val="20"/>
        </w:trPr>
        <w:tc>
          <w:tcPr>
            <w:tcW w:w="0" w:type="auto"/>
            <w:vMerge/>
            <w:hideMark/>
          </w:tcPr>
          <w:p w14:paraId="25BB4BCE" w14:textId="77777777" w:rsidR="001A5F98" w:rsidRPr="00891BBA" w:rsidRDefault="001A5F98" w:rsidP="004C40DA">
            <w:pPr>
              <w:jc w:val="both"/>
              <w:rPr>
                <w:rFonts w:ascii="Arial" w:eastAsia="Times New Roman" w:hAnsi="Arial" w:cs="Arial"/>
                <w:sz w:val="20"/>
                <w:szCs w:val="20"/>
              </w:rPr>
            </w:pPr>
          </w:p>
        </w:tc>
        <w:tc>
          <w:tcPr>
            <w:tcW w:w="0" w:type="auto"/>
            <w:vMerge/>
            <w:hideMark/>
          </w:tcPr>
          <w:p w14:paraId="1D57DBF4" w14:textId="77777777" w:rsidR="001A5F98" w:rsidRPr="00891BBA" w:rsidRDefault="001A5F98" w:rsidP="004C40DA">
            <w:pPr>
              <w:jc w:val="both"/>
              <w:rPr>
                <w:rFonts w:ascii="Arial" w:eastAsia="Times New Roman" w:hAnsi="Arial" w:cs="Arial"/>
                <w:sz w:val="20"/>
                <w:szCs w:val="20"/>
              </w:rPr>
            </w:pPr>
          </w:p>
        </w:tc>
        <w:tc>
          <w:tcPr>
            <w:tcW w:w="3916" w:type="dxa"/>
            <w:hideMark/>
          </w:tcPr>
          <w:p w14:paraId="4E9DE95F"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rPr>
              <w:t>Sig.</w:t>
            </w:r>
          </w:p>
        </w:tc>
      </w:tr>
      <w:tr w:rsidR="001A5F98" w:rsidRPr="00891BBA" w14:paraId="278A0EFE" w14:textId="77777777" w:rsidTr="004C40DA">
        <w:trPr>
          <w:trHeight w:val="20"/>
        </w:trPr>
        <w:tc>
          <w:tcPr>
            <w:tcW w:w="0" w:type="auto"/>
            <w:vMerge w:val="restart"/>
            <w:hideMark/>
          </w:tcPr>
          <w:p w14:paraId="1DAF4EF5" w14:textId="56FA0EE2" w:rsidR="001A5F98" w:rsidRPr="00891BBA" w:rsidRDefault="000E4701" w:rsidP="004C40DA">
            <w:pPr>
              <w:ind w:left="60" w:right="60"/>
              <w:jc w:val="both"/>
              <w:rPr>
                <w:rFonts w:ascii="Arial" w:eastAsia="Times New Roman" w:hAnsi="Arial" w:cs="Arial"/>
                <w:sz w:val="20"/>
                <w:szCs w:val="20"/>
              </w:rPr>
            </w:pPr>
            <w:r w:rsidRPr="000E4701">
              <w:rPr>
                <w:rFonts w:ascii="Arial" w:eastAsia="Times New Roman" w:hAnsi="Arial" w:cs="Arial"/>
                <w:color w:val="000000"/>
                <w:sz w:val="20"/>
                <w:szCs w:val="20"/>
              </w:rPr>
              <w:t xml:space="preserve">FINANCIAL PERFORMANCE </w:t>
            </w:r>
            <w:r w:rsidR="001A5F98" w:rsidRPr="00891BBA">
              <w:rPr>
                <w:rFonts w:ascii="Arial" w:eastAsia="Times New Roman" w:hAnsi="Arial" w:cs="Arial"/>
                <w:color w:val="000000"/>
                <w:sz w:val="20"/>
                <w:szCs w:val="20"/>
              </w:rPr>
              <w:t>(ROA) (Y)</w:t>
            </w:r>
          </w:p>
        </w:tc>
        <w:tc>
          <w:tcPr>
            <w:tcW w:w="0" w:type="auto"/>
            <w:hideMark/>
          </w:tcPr>
          <w:p w14:paraId="6974D768"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rPr>
              <w:t>.12871</w:t>
            </w:r>
          </w:p>
        </w:tc>
        <w:tc>
          <w:tcPr>
            <w:tcW w:w="3916" w:type="dxa"/>
            <w:hideMark/>
          </w:tcPr>
          <w:p w14:paraId="427898C8" w14:textId="77777777" w:rsidR="001A5F98" w:rsidRPr="00891BBA" w:rsidRDefault="001A5F98" w:rsidP="004C40DA">
            <w:pPr>
              <w:spacing w:before="240" w:after="240"/>
              <w:jc w:val="both"/>
              <w:rPr>
                <w:rFonts w:ascii="Arial" w:eastAsia="Times New Roman" w:hAnsi="Arial" w:cs="Arial"/>
                <w:sz w:val="20"/>
                <w:szCs w:val="20"/>
              </w:rPr>
            </w:pPr>
            <w:r w:rsidRPr="00891BBA">
              <w:rPr>
                <w:rFonts w:ascii="Arial" w:eastAsia="Times New Roman" w:hAnsi="Arial" w:cs="Arial"/>
                <w:color w:val="000000"/>
                <w:sz w:val="20"/>
                <w:szCs w:val="20"/>
              </w:rPr>
              <w:t> </w:t>
            </w:r>
          </w:p>
        </w:tc>
      </w:tr>
      <w:tr w:rsidR="001A5F98" w:rsidRPr="00891BBA" w14:paraId="77555377" w14:textId="77777777" w:rsidTr="004C40DA">
        <w:trPr>
          <w:trHeight w:val="20"/>
        </w:trPr>
        <w:tc>
          <w:tcPr>
            <w:tcW w:w="0" w:type="auto"/>
            <w:vMerge/>
            <w:hideMark/>
          </w:tcPr>
          <w:p w14:paraId="766DF40C" w14:textId="77777777" w:rsidR="001A5F98" w:rsidRPr="00891BBA" w:rsidRDefault="001A5F98" w:rsidP="004C40DA">
            <w:pPr>
              <w:jc w:val="both"/>
              <w:rPr>
                <w:rFonts w:ascii="Arial" w:eastAsia="Times New Roman" w:hAnsi="Arial" w:cs="Arial"/>
                <w:sz w:val="20"/>
                <w:szCs w:val="20"/>
              </w:rPr>
            </w:pPr>
          </w:p>
        </w:tc>
        <w:tc>
          <w:tcPr>
            <w:tcW w:w="0" w:type="auto"/>
            <w:hideMark/>
          </w:tcPr>
          <w:p w14:paraId="73385F07"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rPr>
              <w:t>.29703</w:t>
            </w:r>
          </w:p>
        </w:tc>
        <w:tc>
          <w:tcPr>
            <w:tcW w:w="3916" w:type="dxa"/>
            <w:hideMark/>
          </w:tcPr>
          <w:p w14:paraId="54A27452" w14:textId="77777777" w:rsidR="001A5F98" w:rsidRPr="00891BBA" w:rsidRDefault="001A5F98" w:rsidP="004C40DA">
            <w:pPr>
              <w:spacing w:before="240" w:after="240"/>
              <w:jc w:val="both"/>
              <w:rPr>
                <w:rFonts w:ascii="Arial" w:eastAsia="Times New Roman" w:hAnsi="Arial" w:cs="Arial"/>
                <w:sz w:val="20"/>
                <w:szCs w:val="20"/>
              </w:rPr>
            </w:pPr>
            <w:r w:rsidRPr="00891BBA">
              <w:rPr>
                <w:rFonts w:ascii="Arial" w:eastAsia="Times New Roman" w:hAnsi="Arial" w:cs="Arial"/>
                <w:color w:val="000000"/>
                <w:sz w:val="20"/>
                <w:szCs w:val="20"/>
              </w:rPr>
              <w:t> </w:t>
            </w:r>
          </w:p>
        </w:tc>
      </w:tr>
      <w:tr w:rsidR="001A5F98" w:rsidRPr="00891BBA" w14:paraId="50AA7C71" w14:textId="77777777" w:rsidTr="004C40DA">
        <w:trPr>
          <w:trHeight w:val="20"/>
        </w:trPr>
        <w:tc>
          <w:tcPr>
            <w:tcW w:w="0" w:type="auto"/>
            <w:vMerge/>
            <w:hideMark/>
          </w:tcPr>
          <w:p w14:paraId="1F6FE8BB" w14:textId="77777777" w:rsidR="001A5F98" w:rsidRPr="00891BBA" w:rsidRDefault="001A5F98" w:rsidP="004C40DA">
            <w:pPr>
              <w:jc w:val="both"/>
              <w:rPr>
                <w:rFonts w:ascii="Arial" w:eastAsia="Times New Roman" w:hAnsi="Arial" w:cs="Arial"/>
                <w:sz w:val="20"/>
                <w:szCs w:val="20"/>
              </w:rPr>
            </w:pPr>
          </w:p>
        </w:tc>
        <w:tc>
          <w:tcPr>
            <w:tcW w:w="0" w:type="auto"/>
            <w:hideMark/>
          </w:tcPr>
          <w:p w14:paraId="23400203"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rPr>
              <w:t>.33663</w:t>
            </w:r>
          </w:p>
        </w:tc>
        <w:tc>
          <w:tcPr>
            <w:tcW w:w="3916" w:type="dxa"/>
            <w:hideMark/>
          </w:tcPr>
          <w:p w14:paraId="6999E9C8"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rPr>
              <w:t>.812</w:t>
            </w:r>
          </w:p>
        </w:tc>
      </w:tr>
    </w:tbl>
    <w:p w14:paraId="3774CC46" w14:textId="77777777" w:rsidR="001A5F98" w:rsidRPr="00540C5D" w:rsidRDefault="001A5F98" w:rsidP="001A5F98">
      <w:pPr>
        <w:pStyle w:val="NormalWeb"/>
        <w:jc w:val="both"/>
        <w:rPr>
          <w:rFonts w:ascii="Arial" w:hAnsi="Arial" w:cs="Arial"/>
          <w:sz w:val="20"/>
          <w:szCs w:val="20"/>
        </w:rPr>
      </w:pPr>
      <w:r w:rsidRPr="00540C5D">
        <w:rPr>
          <w:rFonts w:ascii="Arial" w:hAnsi="Arial" w:cs="Arial"/>
          <w:sz w:val="20"/>
          <w:szCs w:val="20"/>
        </w:rPr>
        <w:t>The analysis results show that financial performance measured by ROA varies across each ESG Score group. At an ESG Score of 0.12871, the average ROA is relatively high at 14.87% with a narrow range (13.03%–16.72%), indicating that the financial performance of companies at this level tends to be stable. Conversely, at an ESG Score of 0.29703, the average ROA fell to 4.15% (3.40%–4.91%), while at an ESG Score of 0.33663, the average ROA was even lower at 3.69% with a wider range (0.14%–6.87%). This shows that an increase in ESG Score is not always followed by an increase in profitability.</w:t>
      </w:r>
    </w:p>
    <w:p w14:paraId="16CD6F60" w14:textId="77777777" w:rsidR="001A5F98" w:rsidRPr="00540C5D" w:rsidRDefault="001A5F98" w:rsidP="001A5F98">
      <w:pPr>
        <w:pStyle w:val="NormalWeb"/>
        <w:jc w:val="both"/>
        <w:rPr>
          <w:rFonts w:ascii="Arial" w:hAnsi="Arial" w:cs="Arial"/>
          <w:sz w:val="20"/>
          <w:szCs w:val="20"/>
        </w:rPr>
      </w:pPr>
      <w:r w:rsidRPr="00540C5D">
        <w:rPr>
          <w:rFonts w:ascii="Arial" w:hAnsi="Arial" w:cs="Arial"/>
          <w:sz w:val="20"/>
          <w:szCs w:val="20"/>
        </w:rPr>
        <w:t>The normality test (Shapiro-Wilk) produced a significance value above 0.05, for example 0.812 at an ESG Score of 0.33663, so the data was declared to be normally distributed and met the regression assumptions. In general, these results indicate a trade-off between ESG implementation and short-term financial performance. ESG implementation has the potential to increase costs, thereby reducing profits, but in the long term, it is expected to improve reputation, attract investors, and support more sustainable financial performance.</w:t>
      </w:r>
    </w:p>
    <w:p w14:paraId="62367676" w14:textId="77777777" w:rsidR="001A5F98" w:rsidRPr="00540C5D" w:rsidRDefault="001A5F98" w:rsidP="001A5F98">
      <w:pPr>
        <w:pStyle w:val="NormalWeb"/>
        <w:numPr>
          <w:ilvl w:val="0"/>
          <w:numId w:val="33"/>
        </w:numPr>
        <w:jc w:val="both"/>
        <w:rPr>
          <w:rFonts w:ascii="Arial" w:hAnsi="Arial" w:cs="Arial"/>
          <w:b/>
          <w:sz w:val="20"/>
          <w:szCs w:val="20"/>
        </w:rPr>
      </w:pPr>
      <w:r w:rsidRPr="00540C5D">
        <w:rPr>
          <w:rFonts w:ascii="Arial" w:hAnsi="Arial" w:cs="Arial"/>
          <w:b/>
          <w:sz w:val="20"/>
          <w:szCs w:val="20"/>
        </w:rPr>
        <w:t>Multicollinearity test</w:t>
      </w:r>
      <w:r w:rsidRPr="00540C5D">
        <w:rPr>
          <w:rFonts w:ascii="Arial" w:hAnsi="Arial" w:cs="Arial"/>
          <w:b/>
          <w:color w:val="000000"/>
          <w:sz w:val="20"/>
          <w:szCs w:val="20"/>
          <w:shd w:val="clear" w:color="auto" w:fill="FFFFFF"/>
        </w:rPr>
        <w:tab/>
      </w:r>
    </w:p>
    <w:p w14:paraId="5E6B7CBC" w14:textId="77777777" w:rsidR="001A5F98" w:rsidRPr="00891BBA" w:rsidRDefault="001A5F98" w:rsidP="001A5F98">
      <w:pPr>
        <w:spacing w:before="240"/>
        <w:jc w:val="both"/>
        <w:rPr>
          <w:rFonts w:ascii="Arial" w:hAnsi="Arial" w:cs="Arial"/>
          <w:b/>
        </w:rPr>
      </w:pPr>
      <w:r w:rsidRPr="00540C5D">
        <w:rPr>
          <w:rFonts w:ascii="Arial" w:hAnsi="Arial" w:cs="Arial"/>
          <w:b/>
        </w:rPr>
        <w:t>Table 2. Multicollinearity test</w:t>
      </w:r>
      <w:r w:rsidRPr="00540C5D">
        <w:rPr>
          <w:rFonts w:ascii="Arial" w:hAnsi="Arial" w:cs="Arial"/>
          <w:b/>
          <w:color w:val="000000"/>
          <w:shd w:val="clear" w:color="auto" w:fill="FFFFFF"/>
        </w:rPr>
        <w:tab/>
      </w:r>
    </w:p>
    <w:tbl>
      <w:tblPr>
        <w:tblStyle w:val="TableGrid"/>
        <w:tblW w:w="0" w:type="auto"/>
        <w:tblLook w:val="04A0" w:firstRow="1" w:lastRow="0" w:firstColumn="1" w:lastColumn="0" w:noHBand="0" w:noVBand="1"/>
      </w:tblPr>
      <w:tblGrid>
        <w:gridCol w:w="449"/>
        <w:gridCol w:w="5496"/>
        <w:gridCol w:w="1843"/>
        <w:gridCol w:w="1151"/>
      </w:tblGrid>
      <w:tr w:rsidR="001A5F98" w:rsidRPr="00891BBA" w14:paraId="11E46DD8" w14:textId="77777777" w:rsidTr="004C40DA">
        <w:trPr>
          <w:trHeight w:val="57"/>
        </w:trPr>
        <w:tc>
          <w:tcPr>
            <w:tcW w:w="8939" w:type="dxa"/>
            <w:gridSpan w:val="4"/>
            <w:vAlign w:val="center"/>
            <w:hideMark/>
          </w:tcPr>
          <w:p w14:paraId="5C9D1967" w14:textId="77777777" w:rsidR="001A5F98" w:rsidRPr="00891BBA" w:rsidRDefault="001A5F98" w:rsidP="004C40DA">
            <w:pPr>
              <w:ind w:left="60" w:right="60"/>
              <w:jc w:val="center"/>
              <w:rPr>
                <w:rFonts w:ascii="Arial" w:eastAsia="Times New Roman" w:hAnsi="Arial" w:cs="Arial"/>
                <w:sz w:val="20"/>
                <w:szCs w:val="20"/>
              </w:rPr>
            </w:pPr>
            <w:proofErr w:type="spellStart"/>
            <w:r w:rsidRPr="00891BBA">
              <w:rPr>
                <w:rFonts w:ascii="Arial" w:eastAsia="Times New Roman" w:hAnsi="Arial" w:cs="Arial"/>
                <w:b/>
                <w:bCs/>
                <w:color w:val="000000"/>
                <w:sz w:val="20"/>
                <w:szCs w:val="20"/>
                <w:shd w:val="clear" w:color="auto" w:fill="FFFFFF"/>
              </w:rPr>
              <w:lastRenderedPageBreak/>
              <w:t>Coefficients</w:t>
            </w:r>
            <w:r w:rsidRPr="00891BBA">
              <w:rPr>
                <w:rFonts w:ascii="Arial" w:eastAsia="Times New Roman" w:hAnsi="Arial" w:cs="Arial"/>
                <w:b/>
                <w:bCs/>
                <w:color w:val="000000"/>
                <w:sz w:val="20"/>
                <w:szCs w:val="20"/>
                <w:shd w:val="clear" w:color="auto" w:fill="FFFFFF"/>
                <w:vertAlign w:val="superscript"/>
              </w:rPr>
              <w:t>a</w:t>
            </w:r>
            <w:proofErr w:type="spellEnd"/>
          </w:p>
        </w:tc>
      </w:tr>
      <w:tr w:rsidR="001A5F98" w:rsidRPr="00891BBA" w14:paraId="0FADCD11" w14:textId="77777777" w:rsidTr="004C40DA">
        <w:trPr>
          <w:trHeight w:val="57"/>
        </w:trPr>
        <w:tc>
          <w:tcPr>
            <w:tcW w:w="5949" w:type="dxa"/>
            <w:gridSpan w:val="2"/>
            <w:vMerge w:val="restart"/>
            <w:hideMark/>
          </w:tcPr>
          <w:p w14:paraId="0356C0C1"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Model</w:t>
            </w:r>
          </w:p>
        </w:tc>
        <w:tc>
          <w:tcPr>
            <w:tcW w:w="2990" w:type="dxa"/>
            <w:gridSpan w:val="2"/>
            <w:hideMark/>
          </w:tcPr>
          <w:p w14:paraId="322D51F4"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Collinearity Statistics</w:t>
            </w:r>
          </w:p>
        </w:tc>
      </w:tr>
      <w:tr w:rsidR="001A5F98" w:rsidRPr="00891BBA" w14:paraId="7A7EC6D2" w14:textId="77777777" w:rsidTr="004C40DA">
        <w:trPr>
          <w:trHeight w:val="57"/>
        </w:trPr>
        <w:tc>
          <w:tcPr>
            <w:tcW w:w="5949" w:type="dxa"/>
            <w:gridSpan w:val="2"/>
            <w:vMerge/>
            <w:hideMark/>
          </w:tcPr>
          <w:p w14:paraId="19A0CD56" w14:textId="77777777" w:rsidR="001A5F98" w:rsidRPr="00891BBA" w:rsidRDefault="001A5F98" w:rsidP="004C40DA">
            <w:pPr>
              <w:jc w:val="both"/>
              <w:rPr>
                <w:rFonts w:ascii="Arial" w:eastAsia="Times New Roman" w:hAnsi="Arial" w:cs="Arial"/>
                <w:sz w:val="20"/>
                <w:szCs w:val="20"/>
              </w:rPr>
            </w:pPr>
          </w:p>
        </w:tc>
        <w:tc>
          <w:tcPr>
            <w:tcW w:w="1841" w:type="dxa"/>
            <w:hideMark/>
          </w:tcPr>
          <w:p w14:paraId="48F20CA5"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Tolerance</w:t>
            </w:r>
          </w:p>
        </w:tc>
        <w:tc>
          <w:tcPr>
            <w:tcW w:w="1149" w:type="dxa"/>
            <w:hideMark/>
          </w:tcPr>
          <w:p w14:paraId="08DBFCD2"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VIF</w:t>
            </w:r>
          </w:p>
        </w:tc>
      </w:tr>
      <w:tr w:rsidR="001A5F98" w:rsidRPr="00540C5D" w14:paraId="48B547E5" w14:textId="77777777" w:rsidTr="004C40DA">
        <w:trPr>
          <w:trHeight w:val="57"/>
        </w:trPr>
        <w:tc>
          <w:tcPr>
            <w:tcW w:w="0" w:type="auto"/>
            <w:vMerge w:val="restart"/>
            <w:hideMark/>
          </w:tcPr>
          <w:p w14:paraId="6C9E71E1"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1</w:t>
            </w:r>
          </w:p>
        </w:tc>
        <w:tc>
          <w:tcPr>
            <w:tcW w:w="5489" w:type="dxa"/>
            <w:hideMark/>
          </w:tcPr>
          <w:p w14:paraId="1583ADDE"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(Constant)</w:t>
            </w:r>
          </w:p>
        </w:tc>
        <w:tc>
          <w:tcPr>
            <w:tcW w:w="1841" w:type="dxa"/>
            <w:hideMark/>
          </w:tcPr>
          <w:p w14:paraId="77B1CB20" w14:textId="77777777" w:rsidR="001A5F98" w:rsidRPr="00891BBA" w:rsidRDefault="001A5F98" w:rsidP="004C40DA">
            <w:pPr>
              <w:spacing w:before="240" w:after="24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 </w:t>
            </w:r>
          </w:p>
        </w:tc>
        <w:tc>
          <w:tcPr>
            <w:tcW w:w="1149" w:type="dxa"/>
            <w:hideMark/>
          </w:tcPr>
          <w:p w14:paraId="7ACA94A4" w14:textId="77777777" w:rsidR="001A5F98" w:rsidRPr="00891BBA" w:rsidRDefault="001A5F98" w:rsidP="004C40DA">
            <w:pPr>
              <w:spacing w:before="240" w:after="24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 </w:t>
            </w:r>
          </w:p>
        </w:tc>
      </w:tr>
      <w:tr w:rsidR="001A5F98" w:rsidRPr="00540C5D" w14:paraId="3A235C25" w14:textId="77777777" w:rsidTr="004C40DA">
        <w:trPr>
          <w:trHeight w:val="57"/>
        </w:trPr>
        <w:tc>
          <w:tcPr>
            <w:tcW w:w="0" w:type="auto"/>
            <w:vMerge/>
            <w:hideMark/>
          </w:tcPr>
          <w:p w14:paraId="6D9400D1" w14:textId="77777777" w:rsidR="001A5F98" w:rsidRPr="00891BBA" w:rsidRDefault="001A5F98" w:rsidP="004C40DA">
            <w:pPr>
              <w:jc w:val="both"/>
              <w:rPr>
                <w:rFonts w:ascii="Arial" w:eastAsia="Times New Roman" w:hAnsi="Arial" w:cs="Arial"/>
                <w:sz w:val="20"/>
                <w:szCs w:val="20"/>
              </w:rPr>
            </w:pPr>
          </w:p>
        </w:tc>
        <w:tc>
          <w:tcPr>
            <w:tcW w:w="5489" w:type="dxa"/>
            <w:hideMark/>
          </w:tcPr>
          <w:p w14:paraId="61F04FF4"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ESG SCORE (X)</w:t>
            </w:r>
          </w:p>
        </w:tc>
        <w:tc>
          <w:tcPr>
            <w:tcW w:w="1841" w:type="dxa"/>
            <w:hideMark/>
          </w:tcPr>
          <w:p w14:paraId="5B38318F"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.544</w:t>
            </w:r>
          </w:p>
        </w:tc>
        <w:tc>
          <w:tcPr>
            <w:tcW w:w="1149" w:type="dxa"/>
            <w:hideMark/>
          </w:tcPr>
          <w:p w14:paraId="15D226B3"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1.839</w:t>
            </w:r>
          </w:p>
        </w:tc>
      </w:tr>
      <w:tr w:rsidR="001A5F98" w:rsidRPr="00540C5D" w14:paraId="19D2FEC8" w14:textId="77777777" w:rsidTr="004C40DA">
        <w:trPr>
          <w:trHeight w:val="57"/>
        </w:trPr>
        <w:tc>
          <w:tcPr>
            <w:tcW w:w="0" w:type="auto"/>
            <w:vMerge/>
            <w:hideMark/>
          </w:tcPr>
          <w:p w14:paraId="7992DD57" w14:textId="77777777" w:rsidR="001A5F98" w:rsidRPr="00891BBA" w:rsidRDefault="001A5F98" w:rsidP="004C40DA">
            <w:pPr>
              <w:jc w:val="both"/>
              <w:rPr>
                <w:rFonts w:ascii="Arial" w:eastAsia="Times New Roman" w:hAnsi="Arial" w:cs="Arial"/>
                <w:sz w:val="20"/>
                <w:szCs w:val="20"/>
              </w:rPr>
            </w:pPr>
          </w:p>
        </w:tc>
        <w:tc>
          <w:tcPr>
            <w:tcW w:w="5489" w:type="dxa"/>
            <w:hideMark/>
          </w:tcPr>
          <w:p w14:paraId="12425402"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TRANSFORMASI DIGITAL (DUMMY) (Z)</w:t>
            </w:r>
          </w:p>
        </w:tc>
        <w:tc>
          <w:tcPr>
            <w:tcW w:w="1841" w:type="dxa"/>
            <w:hideMark/>
          </w:tcPr>
          <w:p w14:paraId="159D9EE1"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.091</w:t>
            </w:r>
          </w:p>
        </w:tc>
        <w:tc>
          <w:tcPr>
            <w:tcW w:w="1149" w:type="dxa"/>
            <w:hideMark/>
          </w:tcPr>
          <w:p w14:paraId="5AE4E285"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10.940</w:t>
            </w:r>
          </w:p>
        </w:tc>
      </w:tr>
      <w:tr w:rsidR="001A5F98" w:rsidRPr="00540C5D" w14:paraId="0B748A4D" w14:textId="77777777" w:rsidTr="004C40DA">
        <w:trPr>
          <w:trHeight w:val="57"/>
        </w:trPr>
        <w:tc>
          <w:tcPr>
            <w:tcW w:w="0" w:type="auto"/>
            <w:vMerge/>
            <w:hideMark/>
          </w:tcPr>
          <w:p w14:paraId="4E84F8CD" w14:textId="77777777" w:rsidR="001A5F98" w:rsidRPr="00891BBA" w:rsidRDefault="001A5F98" w:rsidP="004C40DA">
            <w:pPr>
              <w:jc w:val="both"/>
              <w:rPr>
                <w:rFonts w:ascii="Arial" w:eastAsia="Times New Roman" w:hAnsi="Arial" w:cs="Arial"/>
                <w:sz w:val="20"/>
                <w:szCs w:val="20"/>
              </w:rPr>
            </w:pPr>
          </w:p>
        </w:tc>
        <w:tc>
          <w:tcPr>
            <w:tcW w:w="5489" w:type="dxa"/>
            <w:hideMark/>
          </w:tcPr>
          <w:p w14:paraId="5E49A883" w14:textId="77777777" w:rsidR="001A5F98" w:rsidRPr="00891BBA" w:rsidRDefault="001A5F98" w:rsidP="004C40DA">
            <w:pPr>
              <w:ind w:left="60" w:right="60"/>
              <w:jc w:val="both"/>
              <w:rPr>
                <w:rFonts w:ascii="Arial" w:eastAsia="Times New Roman" w:hAnsi="Arial" w:cs="Arial"/>
                <w:sz w:val="20"/>
                <w:szCs w:val="20"/>
              </w:rPr>
            </w:pPr>
            <w:proofErr w:type="spellStart"/>
            <w:r w:rsidRPr="00891BBA">
              <w:rPr>
                <w:rFonts w:ascii="Arial" w:eastAsia="Times New Roman" w:hAnsi="Arial" w:cs="Arial"/>
                <w:color w:val="000000"/>
                <w:sz w:val="20"/>
                <w:szCs w:val="20"/>
                <w:shd w:val="clear" w:color="auto" w:fill="FFFFFF"/>
              </w:rPr>
              <w:t>Interaksi</w:t>
            </w:r>
            <w:proofErr w:type="spellEnd"/>
          </w:p>
        </w:tc>
        <w:tc>
          <w:tcPr>
            <w:tcW w:w="1841" w:type="dxa"/>
            <w:hideMark/>
          </w:tcPr>
          <w:p w14:paraId="4AD293D6"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.090</w:t>
            </w:r>
          </w:p>
        </w:tc>
        <w:tc>
          <w:tcPr>
            <w:tcW w:w="1149" w:type="dxa"/>
            <w:hideMark/>
          </w:tcPr>
          <w:p w14:paraId="0B7E6850"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11.123</w:t>
            </w:r>
          </w:p>
        </w:tc>
      </w:tr>
    </w:tbl>
    <w:p w14:paraId="10EA5928" w14:textId="77777777" w:rsidR="001A5F98" w:rsidRPr="00540C5D" w:rsidRDefault="001A5F98" w:rsidP="001A5F98">
      <w:pPr>
        <w:pStyle w:val="NormalWeb"/>
        <w:jc w:val="both"/>
        <w:rPr>
          <w:rFonts w:ascii="Arial" w:hAnsi="Arial" w:cs="Arial"/>
          <w:sz w:val="20"/>
          <w:szCs w:val="20"/>
        </w:rPr>
      </w:pPr>
      <w:r w:rsidRPr="00540C5D">
        <w:rPr>
          <w:rFonts w:ascii="Arial" w:hAnsi="Arial" w:cs="Arial"/>
          <w:sz w:val="20"/>
          <w:szCs w:val="20"/>
        </w:rPr>
        <w:t>The multicollinearity test shows that the ESG Score variable has a Tolerance value of 0.544 with a VIF &lt; 10, so it can be declared free from multicollinearity issues. Conversely, the Digital Transformation variable and the interaction variable (ESG*Digital Transformation) have a Tolerance value close to 0.09 with a VIF above 10. This indicates high multicollinearity, which is common in regression models with interaction variables because interactions are formed from the multiplication of two variables that tend to be strongly correlated with the original variables.</w:t>
      </w:r>
    </w:p>
    <w:p w14:paraId="096B1B51" w14:textId="77777777" w:rsidR="001A5F98" w:rsidRPr="00540C5D" w:rsidRDefault="001A5F98" w:rsidP="001A5F98">
      <w:pPr>
        <w:pStyle w:val="NormalWeb"/>
        <w:jc w:val="both"/>
        <w:rPr>
          <w:rFonts w:ascii="Arial" w:hAnsi="Arial" w:cs="Arial"/>
          <w:sz w:val="20"/>
          <w:szCs w:val="20"/>
        </w:rPr>
      </w:pPr>
      <w:r w:rsidRPr="00540C5D">
        <w:rPr>
          <w:rFonts w:ascii="Arial" w:hAnsi="Arial" w:cs="Arial"/>
          <w:sz w:val="20"/>
          <w:szCs w:val="20"/>
        </w:rPr>
        <w:t>This condition does not render the model invalid, but it can cause the regression coefficients to be less stable and their significance to weaken. Therefore, the interpretation of the moderating role of Digital Transformation needs to be done more carefully. For further research, the mean-centering technique before forming interaction variables can be considered so that the potential for multicollinearity can be suppressed.</w:t>
      </w:r>
    </w:p>
    <w:p w14:paraId="6D03A659" w14:textId="77777777" w:rsidR="001A5F98" w:rsidRPr="00540C5D" w:rsidRDefault="001A5F98" w:rsidP="001A5F98">
      <w:pPr>
        <w:pStyle w:val="ListParagraph"/>
        <w:numPr>
          <w:ilvl w:val="0"/>
          <w:numId w:val="33"/>
        </w:numPr>
        <w:spacing w:before="240" w:after="0" w:line="240" w:lineRule="auto"/>
        <w:jc w:val="both"/>
        <w:rPr>
          <w:rFonts w:ascii="Arial" w:eastAsia="Times New Roman" w:hAnsi="Arial" w:cs="Arial"/>
          <w:b/>
          <w:iCs/>
          <w:color w:val="000000"/>
          <w:kern w:val="0"/>
          <w:sz w:val="20"/>
          <w:szCs w:val="20"/>
          <w:shd w:val="clear" w:color="auto" w:fill="FFFFFF"/>
          <w:lang w:val="en-US"/>
        </w:rPr>
      </w:pPr>
      <w:proofErr w:type="spellStart"/>
      <w:r w:rsidRPr="00540C5D">
        <w:rPr>
          <w:rFonts w:ascii="Arial" w:hAnsi="Arial" w:cs="Arial"/>
          <w:b/>
          <w:sz w:val="20"/>
          <w:szCs w:val="20"/>
        </w:rPr>
        <w:t>Heterokedasticity</w:t>
      </w:r>
      <w:proofErr w:type="spellEnd"/>
      <w:r w:rsidRPr="00540C5D">
        <w:rPr>
          <w:rFonts w:ascii="Arial" w:hAnsi="Arial" w:cs="Arial"/>
          <w:b/>
          <w:sz w:val="20"/>
          <w:szCs w:val="20"/>
        </w:rPr>
        <w:t xml:space="preserve"> test</w:t>
      </w:r>
    </w:p>
    <w:p w14:paraId="40119FD0" w14:textId="77777777" w:rsidR="001A5F98" w:rsidRPr="001A5F98" w:rsidRDefault="001A5F98" w:rsidP="001A5F98">
      <w:pPr>
        <w:ind w:left="60" w:right="60"/>
        <w:jc w:val="center"/>
        <w:rPr>
          <w:rFonts w:ascii="Arial" w:hAnsi="Arial" w:cs="Arial"/>
          <w:b/>
        </w:rPr>
      </w:pPr>
      <w:r w:rsidRPr="00540C5D">
        <w:rPr>
          <w:rFonts w:ascii="Arial" w:hAnsi="Arial" w:cs="Arial"/>
          <w:b/>
          <w:bCs/>
          <w:color w:val="000000"/>
          <w:shd w:val="clear" w:color="auto" w:fill="FFFFFF"/>
        </w:rPr>
        <w:t>Table 3.</w:t>
      </w:r>
      <w:r w:rsidRPr="00891BBA">
        <w:rPr>
          <w:rFonts w:ascii="Arial" w:hAnsi="Arial" w:cs="Arial"/>
          <w:b/>
          <w:bCs/>
          <w:color w:val="000000"/>
          <w:shd w:val="clear" w:color="auto" w:fill="FFFFFF"/>
        </w:rPr>
        <w:t xml:space="preserve"> </w:t>
      </w:r>
      <w:proofErr w:type="spellStart"/>
      <w:r w:rsidRPr="00540C5D">
        <w:rPr>
          <w:rFonts w:ascii="Arial" w:hAnsi="Arial" w:cs="Arial"/>
          <w:b/>
        </w:rPr>
        <w:t>Heterokedasticity</w:t>
      </w:r>
      <w:proofErr w:type="spellEnd"/>
      <w:r w:rsidRPr="00540C5D">
        <w:rPr>
          <w:rFonts w:ascii="Arial" w:hAnsi="Arial" w:cs="Arial"/>
          <w:b/>
        </w:rPr>
        <w:t xml:space="preserve"> test</w:t>
      </w:r>
    </w:p>
    <w:tbl>
      <w:tblPr>
        <w:tblStyle w:val="TableGrid"/>
        <w:tblW w:w="0" w:type="auto"/>
        <w:tblLook w:val="04A0" w:firstRow="1" w:lastRow="0" w:firstColumn="1" w:lastColumn="0" w:noHBand="0" w:noVBand="1"/>
      </w:tblPr>
      <w:tblGrid>
        <w:gridCol w:w="2160"/>
        <w:gridCol w:w="1526"/>
        <w:gridCol w:w="1571"/>
        <w:gridCol w:w="1349"/>
        <w:gridCol w:w="1582"/>
        <w:gridCol w:w="559"/>
      </w:tblGrid>
      <w:tr w:rsidR="001A5F98" w:rsidRPr="00891BBA" w14:paraId="760AD253" w14:textId="77777777" w:rsidTr="004C40DA">
        <w:trPr>
          <w:trHeight w:val="690"/>
        </w:trPr>
        <w:tc>
          <w:tcPr>
            <w:tcW w:w="0" w:type="auto"/>
            <w:gridSpan w:val="6"/>
            <w:vAlign w:val="center"/>
            <w:hideMark/>
          </w:tcPr>
          <w:p w14:paraId="7F2CD596" w14:textId="77777777" w:rsidR="001A5F98" w:rsidRPr="00891BBA" w:rsidRDefault="001A5F98" w:rsidP="004C40DA">
            <w:pPr>
              <w:ind w:left="60" w:right="60"/>
              <w:jc w:val="center"/>
              <w:rPr>
                <w:rFonts w:ascii="Arial" w:eastAsia="Times New Roman" w:hAnsi="Arial" w:cs="Arial"/>
                <w:sz w:val="20"/>
                <w:szCs w:val="20"/>
              </w:rPr>
            </w:pPr>
            <w:r w:rsidRPr="00891BBA">
              <w:rPr>
                <w:rFonts w:ascii="Arial" w:eastAsia="Times New Roman" w:hAnsi="Arial" w:cs="Arial"/>
                <w:b/>
                <w:bCs/>
                <w:color w:val="000000"/>
                <w:sz w:val="20"/>
                <w:szCs w:val="20"/>
                <w:shd w:val="clear" w:color="auto" w:fill="FFFFFF"/>
              </w:rPr>
              <w:t xml:space="preserve">Residuals </w:t>
            </w:r>
            <w:proofErr w:type="spellStart"/>
            <w:r w:rsidRPr="00891BBA">
              <w:rPr>
                <w:rFonts w:ascii="Arial" w:eastAsia="Times New Roman" w:hAnsi="Arial" w:cs="Arial"/>
                <w:b/>
                <w:bCs/>
                <w:color w:val="000000"/>
                <w:sz w:val="20"/>
                <w:szCs w:val="20"/>
                <w:shd w:val="clear" w:color="auto" w:fill="FFFFFF"/>
              </w:rPr>
              <w:t>Statistics</w:t>
            </w:r>
            <w:r w:rsidRPr="00891BBA">
              <w:rPr>
                <w:rFonts w:ascii="Arial" w:eastAsia="Times New Roman" w:hAnsi="Arial" w:cs="Arial"/>
                <w:b/>
                <w:bCs/>
                <w:color w:val="000000"/>
                <w:sz w:val="20"/>
                <w:szCs w:val="20"/>
                <w:shd w:val="clear" w:color="auto" w:fill="FFFFFF"/>
                <w:vertAlign w:val="superscript"/>
              </w:rPr>
              <w:t>a</w:t>
            </w:r>
            <w:proofErr w:type="spellEnd"/>
          </w:p>
        </w:tc>
      </w:tr>
      <w:tr w:rsidR="001A5F98" w:rsidRPr="00891BBA" w14:paraId="558874D5" w14:textId="77777777" w:rsidTr="004C40DA">
        <w:trPr>
          <w:trHeight w:val="720"/>
        </w:trPr>
        <w:tc>
          <w:tcPr>
            <w:tcW w:w="0" w:type="auto"/>
            <w:hideMark/>
          </w:tcPr>
          <w:p w14:paraId="1833BDA7" w14:textId="77777777" w:rsidR="001A5F98" w:rsidRPr="00891BBA" w:rsidRDefault="001A5F98" w:rsidP="004C40DA">
            <w:pPr>
              <w:spacing w:before="240" w:after="24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 </w:t>
            </w:r>
          </w:p>
        </w:tc>
        <w:tc>
          <w:tcPr>
            <w:tcW w:w="0" w:type="auto"/>
            <w:hideMark/>
          </w:tcPr>
          <w:p w14:paraId="13FF811E"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Minimum</w:t>
            </w:r>
          </w:p>
        </w:tc>
        <w:tc>
          <w:tcPr>
            <w:tcW w:w="0" w:type="auto"/>
            <w:hideMark/>
          </w:tcPr>
          <w:p w14:paraId="4C092062"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Maximum</w:t>
            </w:r>
          </w:p>
        </w:tc>
        <w:tc>
          <w:tcPr>
            <w:tcW w:w="0" w:type="auto"/>
            <w:hideMark/>
          </w:tcPr>
          <w:p w14:paraId="152C2A31"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Mean</w:t>
            </w:r>
          </w:p>
        </w:tc>
        <w:tc>
          <w:tcPr>
            <w:tcW w:w="0" w:type="auto"/>
            <w:hideMark/>
          </w:tcPr>
          <w:p w14:paraId="5A5B646E"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Std. Deviation</w:t>
            </w:r>
          </w:p>
        </w:tc>
        <w:tc>
          <w:tcPr>
            <w:tcW w:w="0" w:type="auto"/>
            <w:hideMark/>
          </w:tcPr>
          <w:p w14:paraId="7F28A680"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N</w:t>
            </w:r>
          </w:p>
        </w:tc>
      </w:tr>
      <w:tr w:rsidR="001A5F98" w:rsidRPr="00891BBA" w14:paraId="649E163C" w14:textId="77777777" w:rsidTr="004C40DA">
        <w:trPr>
          <w:trHeight w:val="360"/>
        </w:trPr>
        <w:tc>
          <w:tcPr>
            <w:tcW w:w="0" w:type="auto"/>
            <w:hideMark/>
          </w:tcPr>
          <w:p w14:paraId="6EF704CA"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Predicted Value</w:t>
            </w:r>
          </w:p>
        </w:tc>
        <w:tc>
          <w:tcPr>
            <w:tcW w:w="0" w:type="auto"/>
            <w:hideMark/>
          </w:tcPr>
          <w:p w14:paraId="157FAB6D"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44.9451%</w:t>
            </w:r>
          </w:p>
        </w:tc>
        <w:tc>
          <w:tcPr>
            <w:tcW w:w="0" w:type="auto"/>
            <w:hideMark/>
          </w:tcPr>
          <w:p w14:paraId="5DE039C1"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483.4468%</w:t>
            </w:r>
          </w:p>
        </w:tc>
        <w:tc>
          <w:tcPr>
            <w:tcW w:w="0" w:type="auto"/>
            <w:hideMark/>
          </w:tcPr>
          <w:p w14:paraId="7E14940D"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231.9003%</w:t>
            </w:r>
          </w:p>
        </w:tc>
        <w:tc>
          <w:tcPr>
            <w:tcW w:w="0" w:type="auto"/>
            <w:hideMark/>
          </w:tcPr>
          <w:p w14:paraId="7680A8FC"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134.95607%</w:t>
            </w:r>
          </w:p>
        </w:tc>
        <w:tc>
          <w:tcPr>
            <w:tcW w:w="0" w:type="auto"/>
            <w:hideMark/>
          </w:tcPr>
          <w:p w14:paraId="40DFCBE6"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24</w:t>
            </w:r>
          </w:p>
        </w:tc>
      </w:tr>
      <w:tr w:rsidR="001A5F98" w:rsidRPr="00891BBA" w14:paraId="203D60C5" w14:textId="77777777" w:rsidTr="004C40DA">
        <w:trPr>
          <w:trHeight w:val="360"/>
        </w:trPr>
        <w:tc>
          <w:tcPr>
            <w:tcW w:w="0" w:type="auto"/>
            <w:hideMark/>
          </w:tcPr>
          <w:p w14:paraId="1FC7FA47"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Residual</w:t>
            </w:r>
          </w:p>
        </w:tc>
        <w:tc>
          <w:tcPr>
            <w:tcW w:w="0" w:type="auto"/>
            <w:hideMark/>
          </w:tcPr>
          <w:p w14:paraId="55D940A5"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-442.60773%</w:t>
            </w:r>
          </w:p>
        </w:tc>
        <w:tc>
          <w:tcPr>
            <w:tcW w:w="0" w:type="auto"/>
            <w:hideMark/>
          </w:tcPr>
          <w:p w14:paraId="0A91E564"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1924.97119%</w:t>
            </w:r>
          </w:p>
        </w:tc>
        <w:tc>
          <w:tcPr>
            <w:tcW w:w="0" w:type="auto"/>
            <w:hideMark/>
          </w:tcPr>
          <w:p w14:paraId="1A19F2F0"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0.00000%</w:t>
            </w:r>
          </w:p>
        </w:tc>
        <w:tc>
          <w:tcPr>
            <w:tcW w:w="0" w:type="auto"/>
            <w:hideMark/>
          </w:tcPr>
          <w:p w14:paraId="7089B135"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603.46810%</w:t>
            </w:r>
          </w:p>
        </w:tc>
        <w:tc>
          <w:tcPr>
            <w:tcW w:w="0" w:type="auto"/>
            <w:hideMark/>
          </w:tcPr>
          <w:p w14:paraId="6D603E27"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24</w:t>
            </w:r>
          </w:p>
        </w:tc>
      </w:tr>
      <w:tr w:rsidR="001A5F98" w:rsidRPr="00891BBA" w14:paraId="163FFBF2" w14:textId="77777777" w:rsidTr="004C40DA">
        <w:trPr>
          <w:trHeight w:val="720"/>
        </w:trPr>
        <w:tc>
          <w:tcPr>
            <w:tcW w:w="0" w:type="auto"/>
            <w:hideMark/>
          </w:tcPr>
          <w:p w14:paraId="6DB6301E"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Std. Predicted Value</w:t>
            </w:r>
          </w:p>
        </w:tc>
        <w:tc>
          <w:tcPr>
            <w:tcW w:w="0" w:type="auto"/>
            <w:hideMark/>
          </w:tcPr>
          <w:p w14:paraId="0160E4D7"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-1.385</w:t>
            </w:r>
          </w:p>
        </w:tc>
        <w:tc>
          <w:tcPr>
            <w:tcW w:w="0" w:type="auto"/>
            <w:hideMark/>
          </w:tcPr>
          <w:p w14:paraId="7D37BBFB"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1.864</w:t>
            </w:r>
          </w:p>
        </w:tc>
        <w:tc>
          <w:tcPr>
            <w:tcW w:w="0" w:type="auto"/>
            <w:hideMark/>
          </w:tcPr>
          <w:p w14:paraId="5E338F02"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.000</w:t>
            </w:r>
          </w:p>
        </w:tc>
        <w:tc>
          <w:tcPr>
            <w:tcW w:w="0" w:type="auto"/>
            <w:hideMark/>
          </w:tcPr>
          <w:p w14:paraId="7B022AA5"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1.000</w:t>
            </w:r>
          </w:p>
        </w:tc>
        <w:tc>
          <w:tcPr>
            <w:tcW w:w="0" w:type="auto"/>
            <w:hideMark/>
          </w:tcPr>
          <w:p w14:paraId="1D2B03DD"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24</w:t>
            </w:r>
          </w:p>
        </w:tc>
      </w:tr>
      <w:tr w:rsidR="001A5F98" w:rsidRPr="00891BBA" w14:paraId="0075C89D" w14:textId="77777777" w:rsidTr="004C40DA">
        <w:trPr>
          <w:trHeight w:val="360"/>
        </w:trPr>
        <w:tc>
          <w:tcPr>
            <w:tcW w:w="0" w:type="auto"/>
            <w:hideMark/>
          </w:tcPr>
          <w:p w14:paraId="2FB13168"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Std. Residual</w:t>
            </w:r>
          </w:p>
        </w:tc>
        <w:tc>
          <w:tcPr>
            <w:tcW w:w="0" w:type="auto"/>
            <w:hideMark/>
          </w:tcPr>
          <w:p w14:paraId="3BC128FD"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-.684</w:t>
            </w:r>
          </w:p>
        </w:tc>
        <w:tc>
          <w:tcPr>
            <w:tcW w:w="0" w:type="auto"/>
            <w:hideMark/>
          </w:tcPr>
          <w:p w14:paraId="7C4E5350"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2.975</w:t>
            </w:r>
          </w:p>
        </w:tc>
        <w:tc>
          <w:tcPr>
            <w:tcW w:w="0" w:type="auto"/>
            <w:hideMark/>
          </w:tcPr>
          <w:p w14:paraId="63DF295C"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.000</w:t>
            </w:r>
          </w:p>
        </w:tc>
        <w:tc>
          <w:tcPr>
            <w:tcW w:w="0" w:type="auto"/>
            <w:hideMark/>
          </w:tcPr>
          <w:p w14:paraId="03428DA9"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.933</w:t>
            </w:r>
          </w:p>
        </w:tc>
        <w:tc>
          <w:tcPr>
            <w:tcW w:w="0" w:type="auto"/>
            <w:hideMark/>
          </w:tcPr>
          <w:p w14:paraId="2B413AB4" w14:textId="77777777" w:rsidR="001A5F98" w:rsidRPr="00891BBA" w:rsidRDefault="001A5F98" w:rsidP="004C40DA">
            <w:pPr>
              <w:ind w:left="60" w:right="60"/>
              <w:jc w:val="both"/>
              <w:rPr>
                <w:rFonts w:ascii="Arial" w:eastAsia="Times New Roman" w:hAnsi="Arial" w:cs="Arial"/>
                <w:sz w:val="20"/>
                <w:szCs w:val="20"/>
              </w:rPr>
            </w:pPr>
            <w:r w:rsidRPr="00891BBA">
              <w:rPr>
                <w:rFonts w:ascii="Arial" w:eastAsia="Times New Roman" w:hAnsi="Arial" w:cs="Arial"/>
                <w:color w:val="000000"/>
                <w:sz w:val="20"/>
                <w:szCs w:val="20"/>
                <w:shd w:val="clear" w:color="auto" w:fill="FFFFFF"/>
              </w:rPr>
              <w:t>24</w:t>
            </w:r>
          </w:p>
        </w:tc>
      </w:tr>
    </w:tbl>
    <w:p w14:paraId="419DE283" w14:textId="77777777" w:rsidR="001A5F98" w:rsidRPr="00540C5D" w:rsidRDefault="001A5F98" w:rsidP="001A5F98">
      <w:pPr>
        <w:pStyle w:val="NormalWeb"/>
        <w:jc w:val="both"/>
        <w:rPr>
          <w:rFonts w:ascii="Arial" w:hAnsi="Arial" w:cs="Arial"/>
          <w:sz w:val="20"/>
          <w:szCs w:val="20"/>
        </w:rPr>
      </w:pPr>
      <w:r w:rsidRPr="00540C5D">
        <w:rPr>
          <w:rFonts w:ascii="Arial" w:hAnsi="Arial" w:cs="Arial"/>
          <w:sz w:val="20"/>
          <w:szCs w:val="20"/>
        </w:rPr>
        <w:t>The Residual Statistics test results show that the minimum and maximum residual values are still within a reasonable range with an average close to zero. This indicates that the regression model has no systematic bias, so that the predictions produced tend to be balanced between too high and too low compared to the actual values.</w:t>
      </w:r>
    </w:p>
    <w:p w14:paraId="61078D43" w14:textId="77777777" w:rsidR="001A5F98" w:rsidRPr="00540C5D" w:rsidRDefault="001A5F98" w:rsidP="001A5F98">
      <w:pPr>
        <w:pStyle w:val="NormalWeb"/>
        <w:jc w:val="both"/>
        <w:rPr>
          <w:rFonts w:ascii="Arial" w:hAnsi="Arial" w:cs="Arial"/>
          <w:sz w:val="20"/>
          <w:szCs w:val="20"/>
        </w:rPr>
      </w:pPr>
      <w:r w:rsidRPr="00540C5D">
        <w:rPr>
          <w:rFonts w:ascii="Arial" w:hAnsi="Arial" w:cs="Arial"/>
          <w:sz w:val="20"/>
          <w:szCs w:val="20"/>
        </w:rPr>
        <w:t>The residual standard deviation is also within normal limits, which means that prediction errors are randomly distributed without showing any particular pattern. Thus, the regression assumption of random and independent errors is satisfied.</w:t>
      </w:r>
    </w:p>
    <w:p w14:paraId="79C32831" w14:textId="77777777" w:rsidR="001A5F98" w:rsidRDefault="001A5F98" w:rsidP="001A5F98">
      <w:pPr>
        <w:pStyle w:val="NormalWeb"/>
        <w:jc w:val="both"/>
        <w:rPr>
          <w:rFonts w:ascii="Arial" w:hAnsi="Arial" w:cs="Arial"/>
          <w:sz w:val="20"/>
          <w:szCs w:val="20"/>
        </w:rPr>
      </w:pPr>
      <w:r w:rsidRPr="00540C5D">
        <w:rPr>
          <w:rFonts w:ascii="Arial" w:hAnsi="Arial" w:cs="Arial"/>
          <w:sz w:val="20"/>
          <w:szCs w:val="20"/>
        </w:rPr>
        <w:t>Although the F-test and t-test results show that the independent variables do not have a significant effect on ROA, this residual test confirms that the model is consistent with the basic assumptions of regression. However, the large residual variation indicates that changes in ROA are likely to be influenced more by factors outside the research model.</w:t>
      </w:r>
    </w:p>
    <w:p w14:paraId="23236363" w14:textId="5B49F76A" w:rsidR="00813D84" w:rsidRPr="00540C5D" w:rsidRDefault="00813D84" w:rsidP="001A5F98">
      <w:pPr>
        <w:pStyle w:val="NormalWeb"/>
        <w:jc w:val="both"/>
        <w:rPr>
          <w:rFonts w:ascii="Arial" w:hAnsi="Arial" w:cs="Arial"/>
          <w:sz w:val="20"/>
          <w:szCs w:val="20"/>
        </w:rPr>
      </w:pPr>
      <w:r>
        <w:rPr>
          <w:rFonts w:ascii="Arial" w:hAnsi="Arial" w:cs="Arial"/>
          <w:sz w:val="20"/>
          <w:szCs w:val="20"/>
        </w:rPr>
        <w:t xml:space="preserve">Fig </w:t>
      </w:r>
      <w:proofErr w:type="gramStart"/>
      <w:r>
        <w:rPr>
          <w:rFonts w:ascii="Arial" w:hAnsi="Arial" w:cs="Arial"/>
          <w:sz w:val="20"/>
          <w:szCs w:val="20"/>
        </w:rPr>
        <w:t>1 :</w:t>
      </w:r>
      <w:proofErr w:type="gramEnd"/>
      <w:r>
        <w:rPr>
          <w:rFonts w:ascii="Arial" w:hAnsi="Arial" w:cs="Arial"/>
          <w:sz w:val="20"/>
          <w:szCs w:val="20"/>
        </w:rPr>
        <w:t xml:space="preserve"> </w:t>
      </w:r>
      <w:r w:rsidR="00B13E60">
        <w:rPr>
          <w:rFonts w:ascii="Arial" w:hAnsi="Arial" w:cs="Arial"/>
          <w:sz w:val="20"/>
          <w:szCs w:val="20"/>
        </w:rPr>
        <w:t>S</w:t>
      </w:r>
      <w:r>
        <w:rPr>
          <w:rFonts w:ascii="Arial" w:hAnsi="Arial" w:cs="Arial"/>
          <w:sz w:val="20"/>
          <w:szCs w:val="20"/>
        </w:rPr>
        <w:t xml:space="preserve">catterplot Dependent variable : </w:t>
      </w:r>
      <w:r w:rsidR="000E4701" w:rsidRPr="000E4701">
        <w:rPr>
          <w:rFonts w:ascii="Arial" w:hAnsi="Arial" w:cs="Arial"/>
          <w:color w:val="000000"/>
          <w:sz w:val="20"/>
          <w:szCs w:val="20"/>
        </w:rPr>
        <w:t xml:space="preserve">FINANCIAL PERFORMANCE </w:t>
      </w:r>
      <w:r w:rsidRPr="00891BBA">
        <w:rPr>
          <w:rFonts w:ascii="Arial" w:hAnsi="Arial" w:cs="Arial"/>
          <w:color w:val="000000"/>
          <w:sz w:val="20"/>
          <w:szCs w:val="20"/>
        </w:rPr>
        <w:t>(ROA)</w:t>
      </w:r>
    </w:p>
    <w:p w14:paraId="4EE9CC5F" w14:textId="77777777" w:rsidR="001A5F98" w:rsidRPr="00891BBA" w:rsidRDefault="001A5F98" w:rsidP="001A5F98">
      <w:pPr>
        <w:spacing w:before="240" w:after="240"/>
        <w:jc w:val="both"/>
        <w:rPr>
          <w:rFonts w:ascii="Arial" w:hAnsi="Arial" w:cs="Arial"/>
        </w:rPr>
      </w:pPr>
      <w:r w:rsidRPr="00540C5D">
        <w:rPr>
          <w:rFonts w:ascii="Arial" w:eastAsia="Times" w:hAnsi="Arial" w:cs="Arial"/>
          <w:noProof/>
        </w:rPr>
        <w:lastRenderedPageBreak/>
        <w:drawing>
          <wp:inline distT="0" distB="0" distL="0" distR="0" wp14:anchorId="32A734B5" wp14:editId="55081022">
            <wp:extent cx="5201728" cy="2583522"/>
            <wp:effectExtent l="0" t="0" r="0" b="7620"/>
            <wp:docPr id="10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4"/>
                    <a:srcRect l="1" t="13063" r="-1735"/>
                    <a:stretch>
                      <a:fillRect/>
                    </a:stretch>
                  </pic:blipFill>
                  <pic:spPr bwMode="auto">
                    <a:xfrm>
                      <a:off x="0" y="0"/>
                      <a:ext cx="5208504" cy="2586887"/>
                    </a:xfrm>
                    <a:prstGeom prst="rect">
                      <a:avLst/>
                    </a:prstGeom>
                    <a:ln>
                      <a:noFill/>
                    </a:ln>
                    <a:extLst>
                      <a:ext uri="{53640926-AAD7-44D8-BBD7-CCE9431645EC}">
                        <a14:shadowObscured xmlns:a14="http://schemas.microsoft.com/office/drawing/2010/main"/>
                      </a:ext>
                    </a:extLst>
                  </pic:spPr>
                </pic:pic>
              </a:graphicData>
            </a:graphic>
          </wp:inline>
        </w:drawing>
      </w:r>
    </w:p>
    <w:p w14:paraId="7A5239FD" w14:textId="77777777" w:rsidR="001A5F98" w:rsidRPr="00540C5D" w:rsidRDefault="001A5F98" w:rsidP="001A5F98">
      <w:pPr>
        <w:pStyle w:val="NormalWeb"/>
        <w:jc w:val="both"/>
        <w:rPr>
          <w:rFonts w:ascii="Arial" w:hAnsi="Arial" w:cs="Arial"/>
          <w:sz w:val="20"/>
          <w:szCs w:val="20"/>
        </w:rPr>
      </w:pPr>
      <w:r w:rsidRPr="00540C5D">
        <w:rPr>
          <w:rFonts w:ascii="Arial" w:hAnsi="Arial" w:cs="Arial"/>
          <w:sz w:val="20"/>
          <w:szCs w:val="20"/>
        </w:rPr>
        <w:t>Based on the scatterplot between standard residuals and predicted values, the residual points appear to be randomly scattered around the horizontal line without forming any particular pattern. This indicates that the regression model does not exhibit heteroscedasticity, so that the residual variance can be considered constant across the entire range of predicted values. With this assumption fulfilled, the estimated regression coefficients are considered more reliable and not distorted by variance heterogeneity issues.</w:t>
      </w:r>
    </w:p>
    <w:p w14:paraId="3F87AB2D" w14:textId="77777777" w:rsidR="001A5F98" w:rsidRPr="00540C5D" w:rsidRDefault="001A5F98" w:rsidP="001A5F98">
      <w:pPr>
        <w:pStyle w:val="NormalWeb"/>
        <w:jc w:val="both"/>
        <w:rPr>
          <w:rStyle w:val="Strong"/>
          <w:rFonts w:ascii="Arial" w:hAnsi="Arial" w:cs="Arial"/>
          <w:b w:val="0"/>
          <w:bCs w:val="0"/>
          <w:sz w:val="20"/>
          <w:szCs w:val="20"/>
        </w:rPr>
      </w:pPr>
      <w:r w:rsidRPr="00540C5D">
        <w:rPr>
          <w:rFonts w:ascii="Arial" w:hAnsi="Arial" w:cs="Arial"/>
          <w:sz w:val="20"/>
          <w:szCs w:val="20"/>
        </w:rPr>
        <w:t>However, even though the assumption of heteroscedasticity has been met, the F-test and t-test previously showed that the independent variables did not have a significant effect on ROA. In other words, the regression model is consistent with classical assumptions, but its predictive power regarding financial performance is still limited.</w:t>
      </w:r>
    </w:p>
    <w:p w14:paraId="52BEB862" w14:textId="77777777" w:rsidR="001A5F98" w:rsidRPr="00540C5D" w:rsidRDefault="001A5F98" w:rsidP="001A5F98">
      <w:pPr>
        <w:pStyle w:val="NormalWeb"/>
        <w:jc w:val="both"/>
        <w:rPr>
          <w:rStyle w:val="Strong"/>
          <w:rFonts w:ascii="Arial" w:eastAsiaTheme="majorEastAsia" w:hAnsi="Arial" w:cs="Arial"/>
          <w:sz w:val="20"/>
          <w:szCs w:val="20"/>
        </w:rPr>
      </w:pPr>
      <w:r w:rsidRPr="00540C5D">
        <w:rPr>
          <w:rStyle w:val="Strong"/>
          <w:rFonts w:ascii="Arial" w:eastAsiaTheme="majorEastAsia" w:hAnsi="Arial" w:cs="Arial"/>
          <w:sz w:val="20"/>
          <w:szCs w:val="20"/>
        </w:rPr>
        <w:t xml:space="preserve">3.2 </w:t>
      </w:r>
      <w:r w:rsidRPr="00540C5D">
        <w:rPr>
          <w:rFonts w:ascii="Arial" w:hAnsi="Arial" w:cs="Arial"/>
          <w:b/>
          <w:sz w:val="20"/>
          <w:szCs w:val="20"/>
        </w:rPr>
        <w:t>Hypothesis Testing</w:t>
      </w:r>
    </w:p>
    <w:p w14:paraId="79B47C09" w14:textId="77777777" w:rsidR="001A5F98" w:rsidRPr="00540C5D" w:rsidRDefault="001A5F98" w:rsidP="001A5F98">
      <w:pPr>
        <w:pStyle w:val="NormalWeb"/>
        <w:jc w:val="both"/>
        <w:rPr>
          <w:rFonts w:ascii="Arial" w:hAnsi="Arial" w:cs="Arial"/>
          <w:b/>
          <w:sz w:val="20"/>
          <w:szCs w:val="20"/>
        </w:rPr>
      </w:pPr>
      <w:r w:rsidRPr="00540C5D">
        <w:rPr>
          <w:rStyle w:val="Strong"/>
          <w:rFonts w:ascii="Arial" w:eastAsiaTheme="majorEastAsia" w:hAnsi="Arial" w:cs="Arial"/>
          <w:sz w:val="20"/>
          <w:szCs w:val="20"/>
        </w:rPr>
        <w:tab/>
      </w:r>
      <w:r w:rsidRPr="00540C5D">
        <w:rPr>
          <w:rFonts w:ascii="Arial" w:hAnsi="Arial" w:cs="Arial"/>
          <w:b/>
          <w:sz w:val="20"/>
          <w:szCs w:val="20"/>
        </w:rPr>
        <w:t xml:space="preserve">a) Partial and </w:t>
      </w:r>
      <w:proofErr w:type="spellStart"/>
      <w:r w:rsidRPr="00540C5D">
        <w:rPr>
          <w:rFonts w:ascii="Arial" w:hAnsi="Arial" w:cs="Arial"/>
          <w:b/>
          <w:sz w:val="20"/>
          <w:szCs w:val="20"/>
        </w:rPr>
        <w:t>SimultanTest</w:t>
      </w:r>
      <w:proofErr w:type="spellEnd"/>
      <w:r w:rsidRPr="00540C5D">
        <w:rPr>
          <w:rFonts w:ascii="Arial" w:hAnsi="Arial" w:cs="Arial"/>
          <w:b/>
          <w:sz w:val="20"/>
          <w:szCs w:val="20"/>
        </w:rPr>
        <w:t xml:space="preserve"> (T-Test)</w:t>
      </w:r>
    </w:p>
    <w:p w14:paraId="1C076FD1" w14:textId="77777777" w:rsidR="001A5F98" w:rsidRPr="00540C5D" w:rsidRDefault="001A5F98" w:rsidP="001A5F98">
      <w:pPr>
        <w:pStyle w:val="NormalWeb"/>
        <w:jc w:val="center"/>
        <w:rPr>
          <w:rStyle w:val="Strong"/>
          <w:rFonts w:ascii="Arial" w:eastAsiaTheme="majorEastAsia" w:hAnsi="Arial" w:cs="Arial"/>
          <w:sz w:val="20"/>
          <w:szCs w:val="20"/>
        </w:rPr>
      </w:pPr>
      <w:r w:rsidRPr="00540C5D">
        <w:rPr>
          <w:rFonts w:ascii="Arial" w:eastAsia="Times" w:hAnsi="Arial" w:cs="Arial"/>
          <w:b/>
          <w:sz w:val="20"/>
          <w:szCs w:val="20"/>
        </w:rPr>
        <w:t xml:space="preserve">Table 4. </w:t>
      </w:r>
      <w:r w:rsidRPr="00540C5D">
        <w:rPr>
          <w:rFonts w:ascii="Arial" w:hAnsi="Arial" w:cs="Arial"/>
          <w:b/>
          <w:sz w:val="20"/>
          <w:szCs w:val="20"/>
        </w:rPr>
        <w:t>Partial Test</w:t>
      </w:r>
    </w:p>
    <w:tbl>
      <w:tblPr>
        <w:tblStyle w:val="TableGrid"/>
        <w:tblW w:w="8599" w:type="dxa"/>
        <w:tblLayout w:type="fixed"/>
        <w:tblLook w:val="0000" w:firstRow="0" w:lastRow="0" w:firstColumn="0" w:lastColumn="0" w:noHBand="0" w:noVBand="0"/>
      </w:tblPr>
      <w:tblGrid>
        <w:gridCol w:w="771"/>
        <w:gridCol w:w="2044"/>
        <w:gridCol w:w="1209"/>
        <w:gridCol w:w="1343"/>
        <w:gridCol w:w="1612"/>
        <w:gridCol w:w="806"/>
        <w:gridCol w:w="789"/>
        <w:gridCol w:w="25"/>
      </w:tblGrid>
      <w:tr w:rsidR="001A5F98" w:rsidRPr="00540C5D" w14:paraId="51CC82A9" w14:textId="77777777" w:rsidTr="001A5F98">
        <w:trPr>
          <w:trHeight w:val="540"/>
        </w:trPr>
        <w:tc>
          <w:tcPr>
            <w:tcW w:w="8599" w:type="dxa"/>
            <w:gridSpan w:val="8"/>
            <w:vAlign w:val="center"/>
          </w:tcPr>
          <w:p w14:paraId="645952DB" w14:textId="77777777" w:rsidR="001A5F98" w:rsidRPr="00540C5D" w:rsidRDefault="001A5F98" w:rsidP="004C40DA">
            <w:pPr>
              <w:widowControl w:val="0"/>
              <w:spacing w:line="360" w:lineRule="auto"/>
              <w:ind w:left="60" w:right="60"/>
              <w:jc w:val="center"/>
              <w:rPr>
                <w:rFonts w:ascii="Arial" w:eastAsia="Times" w:hAnsi="Arial" w:cs="Arial"/>
                <w:b/>
                <w:sz w:val="20"/>
                <w:szCs w:val="20"/>
              </w:rPr>
            </w:pPr>
            <w:proofErr w:type="spellStart"/>
            <w:r w:rsidRPr="00540C5D">
              <w:rPr>
                <w:rFonts w:ascii="Arial" w:eastAsia="Times" w:hAnsi="Arial" w:cs="Arial"/>
                <w:b/>
                <w:sz w:val="20"/>
                <w:szCs w:val="20"/>
              </w:rPr>
              <w:t>Coefficientsa</w:t>
            </w:r>
            <w:proofErr w:type="spellEnd"/>
          </w:p>
        </w:tc>
      </w:tr>
      <w:tr w:rsidR="001A5F98" w:rsidRPr="00540C5D" w14:paraId="27843A8C" w14:textId="77777777" w:rsidTr="001A5F98">
        <w:trPr>
          <w:gridAfter w:val="1"/>
          <w:wAfter w:w="25" w:type="dxa"/>
          <w:trHeight w:val="540"/>
        </w:trPr>
        <w:tc>
          <w:tcPr>
            <w:tcW w:w="2815" w:type="dxa"/>
            <w:gridSpan w:val="2"/>
            <w:vMerge w:val="restart"/>
          </w:tcPr>
          <w:p w14:paraId="2DBD64D6"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Model</w:t>
            </w:r>
          </w:p>
        </w:tc>
        <w:tc>
          <w:tcPr>
            <w:tcW w:w="2552" w:type="dxa"/>
            <w:gridSpan w:val="2"/>
          </w:tcPr>
          <w:p w14:paraId="55D23E9B"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Unstandardized Coefficients</w:t>
            </w:r>
          </w:p>
        </w:tc>
        <w:tc>
          <w:tcPr>
            <w:tcW w:w="1612" w:type="dxa"/>
          </w:tcPr>
          <w:p w14:paraId="7DB8AA7B"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Standardized Coefficients</w:t>
            </w:r>
          </w:p>
        </w:tc>
        <w:tc>
          <w:tcPr>
            <w:tcW w:w="806" w:type="dxa"/>
            <w:vMerge w:val="restart"/>
          </w:tcPr>
          <w:p w14:paraId="30711949"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t</w:t>
            </w:r>
          </w:p>
        </w:tc>
        <w:tc>
          <w:tcPr>
            <w:tcW w:w="789" w:type="dxa"/>
            <w:vMerge w:val="restart"/>
          </w:tcPr>
          <w:p w14:paraId="7DE3CEDF"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Sig.</w:t>
            </w:r>
          </w:p>
        </w:tc>
      </w:tr>
      <w:tr w:rsidR="001A5F98" w:rsidRPr="00540C5D" w14:paraId="301FE212" w14:textId="77777777" w:rsidTr="001A5F98">
        <w:trPr>
          <w:gridAfter w:val="1"/>
          <w:wAfter w:w="25" w:type="dxa"/>
          <w:trHeight w:val="540"/>
        </w:trPr>
        <w:tc>
          <w:tcPr>
            <w:tcW w:w="2815" w:type="dxa"/>
            <w:gridSpan w:val="2"/>
            <w:vMerge/>
          </w:tcPr>
          <w:p w14:paraId="16C6D851" w14:textId="77777777" w:rsidR="001A5F98" w:rsidRPr="00540C5D" w:rsidRDefault="001A5F98" w:rsidP="004C40DA">
            <w:pPr>
              <w:widowControl w:val="0"/>
              <w:jc w:val="both"/>
              <w:rPr>
                <w:rFonts w:ascii="Arial" w:eastAsia="Times" w:hAnsi="Arial" w:cs="Arial"/>
                <w:sz w:val="20"/>
                <w:szCs w:val="20"/>
              </w:rPr>
            </w:pPr>
          </w:p>
        </w:tc>
        <w:tc>
          <w:tcPr>
            <w:tcW w:w="1209" w:type="dxa"/>
          </w:tcPr>
          <w:p w14:paraId="65654B87"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B</w:t>
            </w:r>
          </w:p>
        </w:tc>
        <w:tc>
          <w:tcPr>
            <w:tcW w:w="1343" w:type="dxa"/>
          </w:tcPr>
          <w:p w14:paraId="7A0F6B68"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Std. Error</w:t>
            </w:r>
          </w:p>
        </w:tc>
        <w:tc>
          <w:tcPr>
            <w:tcW w:w="1612" w:type="dxa"/>
          </w:tcPr>
          <w:p w14:paraId="3C986E2A"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Beta</w:t>
            </w:r>
          </w:p>
        </w:tc>
        <w:tc>
          <w:tcPr>
            <w:tcW w:w="806" w:type="dxa"/>
            <w:vMerge/>
          </w:tcPr>
          <w:p w14:paraId="3EC724FD" w14:textId="77777777" w:rsidR="001A5F98" w:rsidRPr="00540C5D" w:rsidRDefault="001A5F98" w:rsidP="004C40DA">
            <w:pPr>
              <w:widowControl w:val="0"/>
              <w:jc w:val="both"/>
              <w:rPr>
                <w:rFonts w:ascii="Arial" w:eastAsia="Times" w:hAnsi="Arial" w:cs="Arial"/>
                <w:sz w:val="20"/>
                <w:szCs w:val="20"/>
              </w:rPr>
            </w:pPr>
          </w:p>
        </w:tc>
        <w:tc>
          <w:tcPr>
            <w:tcW w:w="789" w:type="dxa"/>
            <w:vMerge/>
          </w:tcPr>
          <w:p w14:paraId="78E2CEAE" w14:textId="77777777" w:rsidR="001A5F98" w:rsidRPr="00540C5D" w:rsidRDefault="001A5F98" w:rsidP="004C40DA">
            <w:pPr>
              <w:widowControl w:val="0"/>
              <w:jc w:val="both"/>
              <w:rPr>
                <w:rFonts w:ascii="Arial" w:eastAsia="Times" w:hAnsi="Arial" w:cs="Arial"/>
                <w:sz w:val="20"/>
                <w:szCs w:val="20"/>
              </w:rPr>
            </w:pPr>
          </w:p>
        </w:tc>
      </w:tr>
      <w:tr w:rsidR="001A5F98" w:rsidRPr="00540C5D" w14:paraId="1267B4D4" w14:textId="77777777" w:rsidTr="001A5F98">
        <w:trPr>
          <w:gridAfter w:val="1"/>
          <w:wAfter w:w="25" w:type="dxa"/>
          <w:trHeight w:val="333"/>
        </w:trPr>
        <w:tc>
          <w:tcPr>
            <w:tcW w:w="771" w:type="dxa"/>
            <w:vMerge w:val="restart"/>
          </w:tcPr>
          <w:p w14:paraId="5230A5ED"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1</w:t>
            </w:r>
          </w:p>
        </w:tc>
        <w:tc>
          <w:tcPr>
            <w:tcW w:w="2044" w:type="dxa"/>
          </w:tcPr>
          <w:p w14:paraId="2F5A69B0"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(Constant)</w:t>
            </w:r>
          </w:p>
        </w:tc>
        <w:tc>
          <w:tcPr>
            <w:tcW w:w="1209" w:type="dxa"/>
          </w:tcPr>
          <w:p w14:paraId="3A9550B1"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-22.766</w:t>
            </w:r>
          </w:p>
        </w:tc>
        <w:tc>
          <w:tcPr>
            <w:tcW w:w="1343" w:type="dxa"/>
          </w:tcPr>
          <w:p w14:paraId="0D456248"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609.241</w:t>
            </w:r>
          </w:p>
        </w:tc>
        <w:tc>
          <w:tcPr>
            <w:tcW w:w="1612" w:type="dxa"/>
          </w:tcPr>
          <w:p w14:paraId="39D81EAD" w14:textId="77777777" w:rsidR="001A5F98" w:rsidRPr="00540C5D" w:rsidRDefault="001A5F98" w:rsidP="004C40DA">
            <w:pPr>
              <w:widowControl w:val="0"/>
              <w:spacing w:line="360" w:lineRule="auto"/>
              <w:jc w:val="both"/>
              <w:rPr>
                <w:rFonts w:ascii="Arial" w:eastAsia="Times" w:hAnsi="Arial" w:cs="Arial"/>
                <w:sz w:val="20"/>
                <w:szCs w:val="20"/>
              </w:rPr>
            </w:pPr>
          </w:p>
        </w:tc>
        <w:tc>
          <w:tcPr>
            <w:tcW w:w="806" w:type="dxa"/>
          </w:tcPr>
          <w:p w14:paraId="331DA75E"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-.037</w:t>
            </w:r>
          </w:p>
        </w:tc>
        <w:tc>
          <w:tcPr>
            <w:tcW w:w="789" w:type="dxa"/>
          </w:tcPr>
          <w:p w14:paraId="13AA96CB"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.971</w:t>
            </w:r>
          </w:p>
        </w:tc>
      </w:tr>
      <w:tr w:rsidR="001A5F98" w:rsidRPr="00540C5D" w14:paraId="7E951FFD" w14:textId="77777777" w:rsidTr="001A5F98">
        <w:trPr>
          <w:gridAfter w:val="1"/>
          <w:wAfter w:w="25" w:type="dxa"/>
          <w:trHeight w:val="540"/>
        </w:trPr>
        <w:tc>
          <w:tcPr>
            <w:tcW w:w="771" w:type="dxa"/>
            <w:vMerge/>
          </w:tcPr>
          <w:p w14:paraId="2F90DCA4" w14:textId="77777777" w:rsidR="001A5F98" w:rsidRPr="00540C5D" w:rsidRDefault="001A5F98" w:rsidP="004C40DA">
            <w:pPr>
              <w:widowControl w:val="0"/>
              <w:jc w:val="both"/>
              <w:rPr>
                <w:rFonts w:ascii="Arial" w:eastAsia="Times" w:hAnsi="Arial" w:cs="Arial"/>
                <w:sz w:val="20"/>
                <w:szCs w:val="20"/>
              </w:rPr>
            </w:pPr>
          </w:p>
        </w:tc>
        <w:tc>
          <w:tcPr>
            <w:tcW w:w="2044" w:type="dxa"/>
          </w:tcPr>
          <w:p w14:paraId="636D5F2F"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 xml:space="preserve"> (X)</w:t>
            </w:r>
          </w:p>
        </w:tc>
        <w:tc>
          <w:tcPr>
            <w:tcW w:w="1209" w:type="dxa"/>
          </w:tcPr>
          <w:p w14:paraId="75E98595"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526.077</w:t>
            </w:r>
          </w:p>
        </w:tc>
        <w:tc>
          <w:tcPr>
            <w:tcW w:w="1343" w:type="dxa"/>
          </w:tcPr>
          <w:p w14:paraId="1AB69A78"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2155.166</w:t>
            </w:r>
          </w:p>
        </w:tc>
        <w:tc>
          <w:tcPr>
            <w:tcW w:w="1612" w:type="dxa"/>
          </w:tcPr>
          <w:p w14:paraId="6A50B273"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.072</w:t>
            </w:r>
          </w:p>
        </w:tc>
        <w:tc>
          <w:tcPr>
            <w:tcW w:w="806" w:type="dxa"/>
          </w:tcPr>
          <w:p w14:paraId="34DAE335"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.244</w:t>
            </w:r>
          </w:p>
        </w:tc>
        <w:tc>
          <w:tcPr>
            <w:tcW w:w="789" w:type="dxa"/>
          </w:tcPr>
          <w:p w14:paraId="4C4B44A4"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.810</w:t>
            </w:r>
          </w:p>
        </w:tc>
      </w:tr>
      <w:tr w:rsidR="001A5F98" w:rsidRPr="00540C5D" w14:paraId="1D69C2B7" w14:textId="77777777" w:rsidTr="001A5F98">
        <w:trPr>
          <w:gridAfter w:val="1"/>
          <w:wAfter w:w="25" w:type="dxa"/>
          <w:trHeight w:val="540"/>
        </w:trPr>
        <w:tc>
          <w:tcPr>
            <w:tcW w:w="771" w:type="dxa"/>
            <w:vMerge/>
          </w:tcPr>
          <w:p w14:paraId="39F93A00" w14:textId="77777777" w:rsidR="001A5F98" w:rsidRPr="00540C5D" w:rsidRDefault="001A5F98" w:rsidP="004C40DA">
            <w:pPr>
              <w:widowControl w:val="0"/>
              <w:jc w:val="both"/>
              <w:rPr>
                <w:rFonts w:ascii="Arial" w:eastAsia="Times" w:hAnsi="Arial" w:cs="Arial"/>
                <w:sz w:val="20"/>
                <w:szCs w:val="20"/>
              </w:rPr>
            </w:pPr>
          </w:p>
        </w:tc>
        <w:tc>
          <w:tcPr>
            <w:tcW w:w="2044" w:type="dxa"/>
          </w:tcPr>
          <w:p w14:paraId="2932ED0A"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 xml:space="preserve"> (Z)</w:t>
            </w:r>
          </w:p>
        </w:tc>
        <w:tc>
          <w:tcPr>
            <w:tcW w:w="1209" w:type="dxa"/>
          </w:tcPr>
          <w:p w14:paraId="21BC66B6"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640.114</w:t>
            </w:r>
          </w:p>
        </w:tc>
        <w:tc>
          <w:tcPr>
            <w:tcW w:w="1343" w:type="dxa"/>
          </w:tcPr>
          <w:p w14:paraId="53BD11EF"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873.856</w:t>
            </w:r>
          </w:p>
        </w:tc>
        <w:tc>
          <w:tcPr>
            <w:tcW w:w="1612" w:type="dxa"/>
          </w:tcPr>
          <w:p w14:paraId="1765D20C"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.529</w:t>
            </w:r>
          </w:p>
        </w:tc>
        <w:tc>
          <w:tcPr>
            <w:tcW w:w="806" w:type="dxa"/>
          </w:tcPr>
          <w:p w14:paraId="3837D021"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.733</w:t>
            </w:r>
          </w:p>
        </w:tc>
        <w:tc>
          <w:tcPr>
            <w:tcW w:w="789" w:type="dxa"/>
          </w:tcPr>
          <w:p w14:paraId="50385D8D"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.472</w:t>
            </w:r>
          </w:p>
        </w:tc>
      </w:tr>
      <w:tr w:rsidR="001A5F98" w:rsidRPr="00540C5D" w14:paraId="566AAD1B" w14:textId="77777777" w:rsidTr="001A5F98">
        <w:trPr>
          <w:gridAfter w:val="1"/>
          <w:wAfter w:w="25" w:type="dxa"/>
          <w:trHeight w:val="474"/>
        </w:trPr>
        <w:tc>
          <w:tcPr>
            <w:tcW w:w="771" w:type="dxa"/>
            <w:vMerge/>
          </w:tcPr>
          <w:p w14:paraId="7D5FADCF" w14:textId="77777777" w:rsidR="001A5F98" w:rsidRPr="00540C5D" w:rsidRDefault="001A5F98" w:rsidP="004C40DA">
            <w:pPr>
              <w:widowControl w:val="0"/>
              <w:jc w:val="both"/>
              <w:rPr>
                <w:rFonts w:ascii="Arial" w:eastAsia="Times" w:hAnsi="Arial" w:cs="Arial"/>
                <w:sz w:val="20"/>
                <w:szCs w:val="20"/>
              </w:rPr>
            </w:pPr>
          </w:p>
        </w:tc>
        <w:tc>
          <w:tcPr>
            <w:tcW w:w="2044" w:type="dxa"/>
          </w:tcPr>
          <w:p w14:paraId="5A9BDB67" w14:textId="2AC264D6" w:rsidR="001A5F98" w:rsidRPr="00540C5D" w:rsidRDefault="000E4701" w:rsidP="004C40DA">
            <w:pPr>
              <w:widowControl w:val="0"/>
              <w:spacing w:line="360" w:lineRule="auto"/>
              <w:ind w:left="60" w:right="60"/>
              <w:jc w:val="both"/>
              <w:rPr>
                <w:rFonts w:ascii="Arial" w:eastAsia="Times" w:hAnsi="Arial" w:cs="Arial"/>
                <w:sz w:val="20"/>
                <w:szCs w:val="20"/>
              </w:rPr>
            </w:pPr>
            <w:r w:rsidRPr="000E4701">
              <w:rPr>
                <w:rFonts w:ascii="Arial" w:eastAsia="Times" w:hAnsi="Arial" w:cs="Arial"/>
                <w:sz w:val="20"/>
                <w:szCs w:val="20"/>
              </w:rPr>
              <w:t>Interaction</w:t>
            </w:r>
          </w:p>
        </w:tc>
        <w:tc>
          <w:tcPr>
            <w:tcW w:w="1209" w:type="dxa"/>
          </w:tcPr>
          <w:p w14:paraId="283CEC57"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-1612.144</w:t>
            </w:r>
          </w:p>
        </w:tc>
        <w:tc>
          <w:tcPr>
            <w:tcW w:w="1343" w:type="dxa"/>
          </w:tcPr>
          <w:p w14:paraId="44438AFD"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3214.233</w:t>
            </w:r>
          </w:p>
        </w:tc>
        <w:tc>
          <w:tcPr>
            <w:tcW w:w="1612" w:type="dxa"/>
          </w:tcPr>
          <w:p w14:paraId="6E37ED64"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-.365</w:t>
            </w:r>
          </w:p>
        </w:tc>
        <w:tc>
          <w:tcPr>
            <w:tcW w:w="806" w:type="dxa"/>
          </w:tcPr>
          <w:p w14:paraId="729AFB3A"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-.502</w:t>
            </w:r>
          </w:p>
        </w:tc>
        <w:tc>
          <w:tcPr>
            <w:tcW w:w="789" w:type="dxa"/>
          </w:tcPr>
          <w:p w14:paraId="3EA4E179"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.621</w:t>
            </w:r>
          </w:p>
        </w:tc>
      </w:tr>
    </w:tbl>
    <w:p w14:paraId="557FCFF4" w14:textId="77777777" w:rsidR="001A5F98" w:rsidRPr="00540C5D" w:rsidRDefault="001A5F98" w:rsidP="001A5F98">
      <w:pPr>
        <w:pStyle w:val="NormalWeb"/>
        <w:jc w:val="both"/>
        <w:rPr>
          <w:rFonts w:ascii="Arial" w:hAnsi="Arial" w:cs="Arial"/>
          <w:sz w:val="20"/>
          <w:szCs w:val="20"/>
        </w:rPr>
      </w:pPr>
      <w:r w:rsidRPr="00540C5D">
        <w:rPr>
          <w:rFonts w:ascii="Arial" w:hAnsi="Arial" w:cs="Arial"/>
          <w:sz w:val="20"/>
          <w:szCs w:val="20"/>
        </w:rPr>
        <w:t xml:space="preserve">The partial test results show that all independent variables have no significant effect on financial performance (ROA). ESG Score (X) has a positive coefficient (526.077; sig. 0.810), but its effect is not significant, so that the application of ESG functions more as a form of legitimacy and regulatory compliance than as a strategy for increasing profitability. Digital Transformation (Z) also shows a positive coefficient (640.114; sig. 0.472), but has not had a real impact on profitability, possibly because it is still in the early stages of investment and internal efficiency. Meanwhile, the ESG-Digital </w:t>
      </w:r>
      <w:r w:rsidRPr="00540C5D">
        <w:rPr>
          <w:rFonts w:ascii="Arial" w:hAnsi="Arial" w:cs="Arial"/>
          <w:sz w:val="20"/>
          <w:szCs w:val="20"/>
        </w:rPr>
        <w:lastRenderedPageBreak/>
        <w:t>Transformation interaction (XZ) has a negative coefficient (-1612.144; sig. 0.621), indicating that digital transformation does not strengthen, but rather tends to weaken the relationship between ESG and ROA, although this is not significant.</w:t>
      </w:r>
    </w:p>
    <w:p w14:paraId="2359BA1B" w14:textId="77777777" w:rsidR="001A5F98" w:rsidRPr="00540C5D" w:rsidRDefault="001A5F98" w:rsidP="001A5F98">
      <w:pPr>
        <w:spacing w:before="120" w:after="120"/>
        <w:jc w:val="both"/>
        <w:rPr>
          <w:rFonts w:ascii="Arial" w:hAnsi="Arial" w:cs="Arial"/>
          <w:b/>
        </w:rPr>
      </w:pPr>
      <w:r w:rsidRPr="00540C5D">
        <w:rPr>
          <w:rFonts w:ascii="Arial" w:hAnsi="Arial" w:cs="Arial"/>
        </w:rPr>
        <w:tab/>
      </w:r>
      <w:r w:rsidRPr="00540C5D">
        <w:rPr>
          <w:rFonts w:ascii="Arial" w:hAnsi="Arial" w:cs="Arial"/>
          <w:b/>
        </w:rPr>
        <w:t>b. Simultaneous Test (F-Test)</w:t>
      </w:r>
    </w:p>
    <w:p w14:paraId="444557F4" w14:textId="77777777" w:rsidR="001A5F98" w:rsidRPr="00540C5D" w:rsidRDefault="001A5F98" w:rsidP="001A5F98">
      <w:pPr>
        <w:widowControl w:val="0"/>
        <w:spacing w:line="360" w:lineRule="auto"/>
        <w:ind w:left="62" w:right="62"/>
        <w:jc w:val="center"/>
        <w:rPr>
          <w:rFonts w:ascii="Arial" w:eastAsia="Times" w:hAnsi="Arial" w:cs="Arial"/>
          <w:b/>
        </w:rPr>
      </w:pPr>
      <w:r w:rsidRPr="00540C5D">
        <w:rPr>
          <w:rFonts w:ascii="Arial" w:eastAsia="Times" w:hAnsi="Arial" w:cs="Arial"/>
          <w:b/>
        </w:rPr>
        <w:t xml:space="preserve">Table 5. </w:t>
      </w:r>
      <w:r w:rsidRPr="00540C5D">
        <w:rPr>
          <w:rFonts w:ascii="Arial" w:hAnsi="Arial" w:cs="Arial"/>
          <w:b/>
        </w:rPr>
        <w:t>Simultaneous Test</w:t>
      </w:r>
    </w:p>
    <w:tbl>
      <w:tblPr>
        <w:tblStyle w:val="TableGrid"/>
        <w:tblW w:w="8366" w:type="dxa"/>
        <w:tblLayout w:type="fixed"/>
        <w:tblLook w:val="0000" w:firstRow="0" w:lastRow="0" w:firstColumn="0" w:lastColumn="0" w:noHBand="0" w:noVBand="0"/>
      </w:tblPr>
      <w:tblGrid>
        <w:gridCol w:w="694"/>
        <w:gridCol w:w="1826"/>
        <w:gridCol w:w="1991"/>
        <w:gridCol w:w="663"/>
        <w:gridCol w:w="1594"/>
        <w:gridCol w:w="796"/>
        <w:gridCol w:w="802"/>
      </w:tblGrid>
      <w:tr w:rsidR="001A5F98" w:rsidRPr="00540C5D" w14:paraId="06361477" w14:textId="77777777" w:rsidTr="001A5F98">
        <w:trPr>
          <w:trHeight w:val="613"/>
        </w:trPr>
        <w:tc>
          <w:tcPr>
            <w:tcW w:w="8366" w:type="dxa"/>
            <w:gridSpan w:val="7"/>
            <w:vAlign w:val="center"/>
          </w:tcPr>
          <w:p w14:paraId="334C03AF" w14:textId="77777777" w:rsidR="001A5F98" w:rsidRPr="00540C5D" w:rsidRDefault="001A5F98" w:rsidP="004C40DA">
            <w:pPr>
              <w:widowControl w:val="0"/>
              <w:spacing w:line="360" w:lineRule="auto"/>
              <w:ind w:left="60" w:right="60"/>
              <w:jc w:val="center"/>
              <w:rPr>
                <w:rFonts w:ascii="Arial" w:eastAsia="Times" w:hAnsi="Arial" w:cs="Arial"/>
                <w:sz w:val="20"/>
                <w:szCs w:val="20"/>
              </w:rPr>
            </w:pPr>
            <w:proofErr w:type="spellStart"/>
            <w:r w:rsidRPr="00540C5D">
              <w:rPr>
                <w:rFonts w:ascii="Arial" w:eastAsia="Times" w:hAnsi="Arial" w:cs="Arial"/>
                <w:b/>
                <w:sz w:val="20"/>
                <w:szCs w:val="20"/>
              </w:rPr>
              <w:t>ANOVA</w:t>
            </w:r>
            <w:r w:rsidRPr="00540C5D">
              <w:rPr>
                <w:rFonts w:ascii="Arial" w:eastAsia="Times" w:hAnsi="Arial" w:cs="Arial"/>
                <w:b/>
                <w:sz w:val="20"/>
                <w:szCs w:val="20"/>
                <w:vertAlign w:val="superscript"/>
              </w:rPr>
              <w:t>a</w:t>
            </w:r>
            <w:proofErr w:type="spellEnd"/>
          </w:p>
        </w:tc>
      </w:tr>
      <w:tr w:rsidR="001A5F98" w:rsidRPr="00540C5D" w14:paraId="3614476A" w14:textId="77777777" w:rsidTr="001A5F98">
        <w:trPr>
          <w:trHeight w:val="122"/>
        </w:trPr>
        <w:tc>
          <w:tcPr>
            <w:tcW w:w="2520" w:type="dxa"/>
            <w:gridSpan w:val="2"/>
          </w:tcPr>
          <w:p w14:paraId="63BBBC12"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Model</w:t>
            </w:r>
          </w:p>
        </w:tc>
        <w:tc>
          <w:tcPr>
            <w:tcW w:w="1991" w:type="dxa"/>
          </w:tcPr>
          <w:p w14:paraId="342AEA23"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Sum of Squares</w:t>
            </w:r>
          </w:p>
        </w:tc>
        <w:tc>
          <w:tcPr>
            <w:tcW w:w="663" w:type="dxa"/>
          </w:tcPr>
          <w:p w14:paraId="6D651442"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df</w:t>
            </w:r>
          </w:p>
        </w:tc>
        <w:tc>
          <w:tcPr>
            <w:tcW w:w="1594" w:type="dxa"/>
          </w:tcPr>
          <w:p w14:paraId="59C7161F"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Mean Square</w:t>
            </w:r>
          </w:p>
        </w:tc>
        <w:tc>
          <w:tcPr>
            <w:tcW w:w="796" w:type="dxa"/>
          </w:tcPr>
          <w:p w14:paraId="45A87DB3"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F</w:t>
            </w:r>
          </w:p>
        </w:tc>
        <w:tc>
          <w:tcPr>
            <w:tcW w:w="799" w:type="dxa"/>
          </w:tcPr>
          <w:p w14:paraId="6BEB1F15"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Sig.</w:t>
            </w:r>
          </w:p>
        </w:tc>
      </w:tr>
      <w:tr w:rsidR="001A5F98" w:rsidRPr="00540C5D" w14:paraId="2DDF275D" w14:textId="77777777" w:rsidTr="001A5F98">
        <w:trPr>
          <w:trHeight w:val="122"/>
        </w:trPr>
        <w:tc>
          <w:tcPr>
            <w:tcW w:w="694" w:type="dxa"/>
            <w:vMerge w:val="restart"/>
          </w:tcPr>
          <w:p w14:paraId="43047ECE"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1</w:t>
            </w:r>
          </w:p>
        </w:tc>
        <w:tc>
          <w:tcPr>
            <w:tcW w:w="1825" w:type="dxa"/>
          </w:tcPr>
          <w:p w14:paraId="1E8181C0"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Regression</w:t>
            </w:r>
          </w:p>
        </w:tc>
        <w:tc>
          <w:tcPr>
            <w:tcW w:w="1991" w:type="dxa"/>
          </w:tcPr>
          <w:p w14:paraId="695B5F37"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418902.243</w:t>
            </w:r>
          </w:p>
        </w:tc>
        <w:tc>
          <w:tcPr>
            <w:tcW w:w="663" w:type="dxa"/>
          </w:tcPr>
          <w:p w14:paraId="7160B138"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3</w:t>
            </w:r>
          </w:p>
        </w:tc>
        <w:tc>
          <w:tcPr>
            <w:tcW w:w="1594" w:type="dxa"/>
          </w:tcPr>
          <w:p w14:paraId="257BB54B"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139634.081</w:t>
            </w:r>
          </w:p>
        </w:tc>
        <w:tc>
          <w:tcPr>
            <w:tcW w:w="796" w:type="dxa"/>
          </w:tcPr>
          <w:p w14:paraId="15E6D325"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.333</w:t>
            </w:r>
          </w:p>
        </w:tc>
        <w:tc>
          <w:tcPr>
            <w:tcW w:w="799" w:type="dxa"/>
          </w:tcPr>
          <w:p w14:paraId="533EDE33"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.801</w:t>
            </w:r>
            <w:r w:rsidRPr="00540C5D">
              <w:rPr>
                <w:rFonts w:ascii="Arial" w:eastAsia="Times" w:hAnsi="Arial" w:cs="Arial"/>
                <w:sz w:val="20"/>
                <w:szCs w:val="20"/>
                <w:vertAlign w:val="superscript"/>
              </w:rPr>
              <w:t>b</w:t>
            </w:r>
          </w:p>
        </w:tc>
      </w:tr>
      <w:tr w:rsidR="001A5F98" w:rsidRPr="00540C5D" w14:paraId="54D495B2" w14:textId="77777777" w:rsidTr="001A5F98">
        <w:trPr>
          <w:trHeight w:val="122"/>
        </w:trPr>
        <w:tc>
          <w:tcPr>
            <w:tcW w:w="694" w:type="dxa"/>
            <w:vMerge/>
          </w:tcPr>
          <w:p w14:paraId="64F5F6A5" w14:textId="77777777" w:rsidR="001A5F98" w:rsidRPr="00540C5D" w:rsidRDefault="001A5F98" w:rsidP="004C40DA">
            <w:pPr>
              <w:widowControl w:val="0"/>
              <w:jc w:val="both"/>
              <w:rPr>
                <w:rFonts w:ascii="Arial" w:eastAsia="Times" w:hAnsi="Arial" w:cs="Arial"/>
                <w:sz w:val="20"/>
                <w:szCs w:val="20"/>
              </w:rPr>
            </w:pPr>
          </w:p>
        </w:tc>
        <w:tc>
          <w:tcPr>
            <w:tcW w:w="1825" w:type="dxa"/>
          </w:tcPr>
          <w:p w14:paraId="4B040C4E"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Residual</w:t>
            </w:r>
          </w:p>
        </w:tc>
        <w:tc>
          <w:tcPr>
            <w:tcW w:w="1991" w:type="dxa"/>
          </w:tcPr>
          <w:p w14:paraId="7558E98B"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8375996.063</w:t>
            </w:r>
          </w:p>
        </w:tc>
        <w:tc>
          <w:tcPr>
            <w:tcW w:w="663" w:type="dxa"/>
          </w:tcPr>
          <w:p w14:paraId="6F047833"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20</w:t>
            </w:r>
          </w:p>
        </w:tc>
        <w:tc>
          <w:tcPr>
            <w:tcW w:w="1594" w:type="dxa"/>
          </w:tcPr>
          <w:p w14:paraId="19841C5D"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418799.803</w:t>
            </w:r>
          </w:p>
        </w:tc>
        <w:tc>
          <w:tcPr>
            <w:tcW w:w="796" w:type="dxa"/>
          </w:tcPr>
          <w:p w14:paraId="7C40DB8C" w14:textId="77777777" w:rsidR="001A5F98" w:rsidRPr="00540C5D" w:rsidRDefault="001A5F98" w:rsidP="004C40DA">
            <w:pPr>
              <w:widowControl w:val="0"/>
              <w:spacing w:line="360" w:lineRule="auto"/>
              <w:jc w:val="both"/>
              <w:rPr>
                <w:rFonts w:ascii="Arial" w:eastAsia="Times" w:hAnsi="Arial" w:cs="Arial"/>
                <w:sz w:val="20"/>
                <w:szCs w:val="20"/>
              </w:rPr>
            </w:pPr>
          </w:p>
        </w:tc>
        <w:tc>
          <w:tcPr>
            <w:tcW w:w="799" w:type="dxa"/>
          </w:tcPr>
          <w:p w14:paraId="5F3379CD" w14:textId="77777777" w:rsidR="001A5F98" w:rsidRPr="00540C5D" w:rsidRDefault="001A5F98" w:rsidP="004C40DA">
            <w:pPr>
              <w:widowControl w:val="0"/>
              <w:spacing w:line="360" w:lineRule="auto"/>
              <w:jc w:val="both"/>
              <w:rPr>
                <w:rFonts w:ascii="Arial" w:eastAsia="Times" w:hAnsi="Arial" w:cs="Arial"/>
                <w:sz w:val="20"/>
                <w:szCs w:val="20"/>
              </w:rPr>
            </w:pPr>
          </w:p>
        </w:tc>
      </w:tr>
      <w:tr w:rsidR="001A5F98" w:rsidRPr="00540C5D" w14:paraId="510B4397" w14:textId="77777777" w:rsidTr="001A5F98">
        <w:trPr>
          <w:trHeight w:val="122"/>
        </w:trPr>
        <w:tc>
          <w:tcPr>
            <w:tcW w:w="694" w:type="dxa"/>
            <w:vMerge/>
          </w:tcPr>
          <w:p w14:paraId="7A7FC0E7" w14:textId="77777777" w:rsidR="001A5F98" w:rsidRPr="00540C5D" w:rsidRDefault="001A5F98" w:rsidP="004C40DA">
            <w:pPr>
              <w:widowControl w:val="0"/>
              <w:jc w:val="both"/>
              <w:rPr>
                <w:rFonts w:ascii="Arial" w:eastAsia="Times" w:hAnsi="Arial" w:cs="Arial"/>
                <w:sz w:val="20"/>
                <w:szCs w:val="20"/>
              </w:rPr>
            </w:pPr>
          </w:p>
        </w:tc>
        <w:tc>
          <w:tcPr>
            <w:tcW w:w="1825" w:type="dxa"/>
          </w:tcPr>
          <w:p w14:paraId="121845B2" w14:textId="77777777" w:rsidR="001A5F98" w:rsidRPr="00540C5D" w:rsidRDefault="001A5F98" w:rsidP="004C40DA">
            <w:pPr>
              <w:widowControl w:val="0"/>
              <w:spacing w:line="360" w:lineRule="auto"/>
              <w:ind w:left="60" w:right="60"/>
              <w:jc w:val="both"/>
              <w:rPr>
                <w:rFonts w:ascii="Arial" w:eastAsia="Times" w:hAnsi="Arial" w:cs="Arial"/>
                <w:sz w:val="20"/>
                <w:szCs w:val="20"/>
              </w:rPr>
            </w:pPr>
          </w:p>
        </w:tc>
        <w:tc>
          <w:tcPr>
            <w:tcW w:w="1991" w:type="dxa"/>
          </w:tcPr>
          <w:p w14:paraId="4836872B" w14:textId="77777777" w:rsidR="001A5F98" w:rsidRPr="00540C5D" w:rsidRDefault="001A5F98" w:rsidP="004C40DA">
            <w:pPr>
              <w:widowControl w:val="0"/>
              <w:spacing w:line="360" w:lineRule="auto"/>
              <w:ind w:left="60" w:right="60"/>
              <w:jc w:val="both"/>
              <w:rPr>
                <w:rFonts w:ascii="Arial" w:eastAsia="Times" w:hAnsi="Arial" w:cs="Arial"/>
                <w:sz w:val="20"/>
                <w:szCs w:val="20"/>
              </w:rPr>
            </w:pPr>
          </w:p>
        </w:tc>
        <w:tc>
          <w:tcPr>
            <w:tcW w:w="663" w:type="dxa"/>
          </w:tcPr>
          <w:p w14:paraId="6EEC5DBA" w14:textId="77777777" w:rsidR="001A5F98" w:rsidRPr="00540C5D" w:rsidRDefault="001A5F98" w:rsidP="004C40DA">
            <w:pPr>
              <w:widowControl w:val="0"/>
              <w:spacing w:line="360" w:lineRule="auto"/>
              <w:ind w:left="60" w:right="60"/>
              <w:jc w:val="both"/>
              <w:rPr>
                <w:rFonts w:ascii="Arial" w:eastAsia="Times" w:hAnsi="Arial" w:cs="Arial"/>
                <w:sz w:val="20"/>
                <w:szCs w:val="20"/>
              </w:rPr>
            </w:pPr>
          </w:p>
        </w:tc>
        <w:tc>
          <w:tcPr>
            <w:tcW w:w="1594" w:type="dxa"/>
          </w:tcPr>
          <w:p w14:paraId="7CD491FE" w14:textId="77777777" w:rsidR="001A5F98" w:rsidRPr="00540C5D" w:rsidRDefault="001A5F98" w:rsidP="004C40DA">
            <w:pPr>
              <w:widowControl w:val="0"/>
              <w:spacing w:line="360" w:lineRule="auto"/>
              <w:ind w:left="60" w:right="60"/>
              <w:jc w:val="both"/>
              <w:rPr>
                <w:rFonts w:ascii="Arial" w:eastAsia="Times" w:hAnsi="Arial" w:cs="Arial"/>
                <w:sz w:val="20"/>
                <w:szCs w:val="20"/>
              </w:rPr>
            </w:pPr>
          </w:p>
        </w:tc>
        <w:tc>
          <w:tcPr>
            <w:tcW w:w="796" w:type="dxa"/>
          </w:tcPr>
          <w:p w14:paraId="01F1ACFF" w14:textId="77777777" w:rsidR="001A5F98" w:rsidRPr="00540C5D" w:rsidRDefault="001A5F98" w:rsidP="004C40DA">
            <w:pPr>
              <w:widowControl w:val="0"/>
              <w:spacing w:line="360" w:lineRule="auto"/>
              <w:jc w:val="both"/>
              <w:rPr>
                <w:rFonts w:ascii="Arial" w:eastAsia="Times" w:hAnsi="Arial" w:cs="Arial"/>
                <w:sz w:val="20"/>
                <w:szCs w:val="20"/>
              </w:rPr>
            </w:pPr>
          </w:p>
        </w:tc>
        <w:tc>
          <w:tcPr>
            <w:tcW w:w="799" w:type="dxa"/>
          </w:tcPr>
          <w:p w14:paraId="2F865F85" w14:textId="77777777" w:rsidR="001A5F98" w:rsidRPr="00540C5D" w:rsidRDefault="001A5F98" w:rsidP="004C40DA">
            <w:pPr>
              <w:widowControl w:val="0"/>
              <w:spacing w:line="360" w:lineRule="auto"/>
              <w:jc w:val="both"/>
              <w:rPr>
                <w:rFonts w:ascii="Arial" w:eastAsia="Times" w:hAnsi="Arial" w:cs="Arial"/>
                <w:sz w:val="20"/>
                <w:szCs w:val="20"/>
              </w:rPr>
            </w:pPr>
          </w:p>
        </w:tc>
      </w:tr>
      <w:tr w:rsidR="001A5F98" w:rsidRPr="00540C5D" w14:paraId="35B1C7BD" w14:textId="77777777" w:rsidTr="001A5F98">
        <w:trPr>
          <w:trHeight w:val="122"/>
        </w:trPr>
        <w:tc>
          <w:tcPr>
            <w:tcW w:w="694" w:type="dxa"/>
            <w:vMerge/>
          </w:tcPr>
          <w:p w14:paraId="382CD345" w14:textId="77777777" w:rsidR="001A5F98" w:rsidRPr="00540C5D" w:rsidRDefault="001A5F98" w:rsidP="004C40DA">
            <w:pPr>
              <w:widowControl w:val="0"/>
              <w:jc w:val="both"/>
              <w:rPr>
                <w:rFonts w:ascii="Arial" w:eastAsia="Times" w:hAnsi="Arial" w:cs="Arial"/>
                <w:sz w:val="20"/>
                <w:szCs w:val="20"/>
              </w:rPr>
            </w:pPr>
          </w:p>
        </w:tc>
        <w:tc>
          <w:tcPr>
            <w:tcW w:w="1825" w:type="dxa"/>
          </w:tcPr>
          <w:p w14:paraId="2AB1C89F"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Total</w:t>
            </w:r>
          </w:p>
        </w:tc>
        <w:tc>
          <w:tcPr>
            <w:tcW w:w="1991" w:type="dxa"/>
          </w:tcPr>
          <w:p w14:paraId="016A4B57"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8794898.305</w:t>
            </w:r>
          </w:p>
        </w:tc>
        <w:tc>
          <w:tcPr>
            <w:tcW w:w="663" w:type="dxa"/>
          </w:tcPr>
          <w:p w14:paraId="65D8F855"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23</w:t>
            </w:r>
          </w:p>
        </w:tc>
        <w:tc>
          <w:tcPr>
            <w:tcW w:w="1594" w:type="dxa"/>
          </w:tcPr>
          <w:p w14:paraId="4FBBC9C4" w14:textId="77777777" w:rsidR="001A5F98" w:rsidRPr="00540C5D" w:rsidRDefault="001A5F98" w:rsidP="004C40DA">
            <w:pPr>
              <w:widowControl w:val="0"/>
              <w:spacing w:line="360" w:lineRule="auto"/>
              <w:jc w:val="both"/>
              <w:rPr>
                <w:rFonts w:ascii="Arial" w:eastAsia="Times" w:hAnsi="Arial" w:cs="Arial"/>
                <w:sz w:val="20"/>
                <w:szCs w:val="20"/>
              </w:rPr>
            </w:pPr>
          </w:p>
        </w:tc>
        <w:tc>
          <w:tcPr>
            <w:tcW w:w="796" w:type="dxa"/>
          </w:tcPr>
          <w:p w14:paraId="7238574A" w14:textId="77777777" w:rsidR="001A5F98" w:rsidRPr="00540C5D" w:rsidRDefault="001A5F98" w:rsidP="004C40DA">
            <w:pPr>
              <w:widowControl w:val="0"/>
              <w:spacing w:line="360" w:lineRule="auto"/>
              <w:jc w:val="both"/>
              <w:rPr>
                <w:rFonts w:ascii="Arial" w:eastAsia="Times" w:hAnsi="Arial" w:cs="Arial"/>
                <w:sz w:val="20"/>
                <w:szCs w:val="20"/>
              </w:rPr>
            </w:pPr>
          </w:p>
        </w:tc>
        <w:tc>
          <w:tcPr>
            <w:tcW w:w="799" w:type="dxa"/>
          </w:tcPr>
          <w:p w14:paraId="7679B215" w14:textId="77777777" w:rsidR="001A5F98" w:rsidRPr="00540C5D" w:rsidRDefault="001A5F98" w:rsidP="004C40DA">
            <w:pPr>
              <w:widowControl w:val="0"/>
              <w:spacing w:line="360" w:lineRule="auto"/>
              <w:jc w:val="both"/>
              <w:rPr>
                <w:rFonts w:ascii="Arial" w:eastAsia="Times" w:hAnsi="Arial" w:cs="Arial"/>
                <w:sz w:val="20"/>
                <w:szCs w:val="20"/>
              </w:rPr>
            </w:pPr>
          </w:p>
        </w:tc>
      </w:tr>
    </w:tbl>
    <w:p w14:paraId="00487E19" w14:textId="77777777" w:rsidR="001A5F98" w:rsidRPr="00540C5D" w:rsidRDefault="001A5F98" w:rsidP="001A5F98">
      <w:pPr>
        <w:pStyle w:val="NormalWeb"/>
        <w:jc w:val="both"/>
        <w:rPr>
          <w:rFonts w:ascii="Arial" w:hAnsi="Arial" w:cs="Arial"/>
          <w:sz w:val="20"/>
          <w:szCs w:val="20"/>
        </w:rPr>
      </w:pPr>
      <w:r w:rsidRPr="00540C5D">
        <w:rPr>
          <w:rFonts w:ascii="Arial" w:hAnsi="Arial" w:cs="Arial"/>
          <w:sz w:val="20"/>
          <w:szCs w:val="20"/>
        </w:rPr>
        <w:t>The F test results show an F value of 0.333 with a significance of 0.801 (&gt; 0.05). This indicates that the independent variables, namely ESG Score (X), Digital Transformation (Z), and Interaction (X*Z), do not have a significant effect on financial performance (ROA). Thus, the regression model constructed cannot explain the variation in company financial performance simultaneously. These findings show that the combination of ESG and digital transformation, either directly or through interaction, has not been able to make a real contribution to the company's profitability. The implication of these results is that financial performance is likely to be influenced more by factors outside the model, such as business strategy, market conditions, cost structure, and the dynamics of the energy industry under study.</w:t>
      </w:r>
    </w:p>
    <w:p w14:paraId="781A2FCA" w14:textId="77777777" w:rsidR="001A5F98" w:rsidRPr="00540C5D" w:rsidRDefault="001A5F98" w:rsidP="001A5F98">
      <w:pPr>
        <w:pStyle w:val="NormalWeb"/>
        <w:jc w:val="both"/>
        <w:rPr>
          <w:rFonts w:ascii="Arial" w:hAnsi="Arial" w:cs="Arial"/>
          <w:b/>
          <w:sz w:val="20"/>
          <w:szCs w:val="20"/>
        </w:rPr>
      </w:pPr>
      <w:r w:rsidRPr="00540C5D">
        <w:rPr>
          <w:rFonts w:ascii="Arial" w:hAnsi="Arial" w:cs="Arial"/>
          <w:b/>
          <w:sz w:val="20"/>
          <w:szCs w:val="20"/>
        </w:rPr>
        <w:t>The Effect of ESG Score on Company Financial Performance</w:t>
      </w:r>
    </w:p>
    <w:p w14:paraId="1FA846C2" w14:textId="7319D99B" w:rsidR="001A5F98" w:rsidRPr="00540C5D" w:rsidRDefault="001A5F98" w:rsidP="001A5F98">
      <w:pPr>
        <w:pStyle w:val="NormalWeb"/>
        <w:jc w:val="both"/>
        <w:rPr>
          <w:rFonts w:ascii="Arial" w:hAnsi="Arial" w:cs="Arial"/>
          <w:b/>
          <w:sz w:val="20"/>
          <w:szCs w:val="20"/>
        </w:rPr>
      </w:pPr>
      <w:r w:rsidRPr="00540C5D">
        <w:rPr>
          <w:rFonts w:ascii="Arial" w:hAnsi="Arial" w:cs="Arial"/>
          <w:sz w:val="20"/>
          <w:szCs w:val="20"/>
        </w:rPr>
        <w:t xml:space="preserve">The results of the first hypothesis test show that ESG Score does not have a significant effect on the financial performance of energy companies listed on the Indonesia Stock Exchange. Based on regression analysis, the ESG Score coefficient value obtained was 526.077 with a significance level of 0.810 (&gt; 0.05), thus rejecting the first hypothesis (H1). Although the direction of the relationship shows a positive coefficient, the effect is not statistically significant. This finding indicates that the implementation of Environmental, Social, and Governance (ESG) practices in energy companies in Indonesia still tends to be compliance-oriented or regulatory compliance, rather than a business strategy oriented towards long-term value creation. This condition is in line with the research by </w:t>
      </w:r>
      <w:r w:rsidR="007169B8">
        <w:rPr>
          <w:rFonts w:ascii="Arial" w:hAnsi="Arial" w:cs="Arial"/>
          <w:sz w:val="20"/>
          <w:szCs w:val="20"/>
        </w:rPr>
        <w:fldChar w:fldCharType="begin" w:fldLock="1"/>
      </w:r>
      <w:r w:rsidR="00626AAA">
        <w:rPr>
          <w:rFonts w:ascii="Arial" w:hAnsi="Arial" w:cs="Arial"/>
          <w:sz w:val="20"/>
          <w:szCs w:val="20"/>
        </w:rPr>
        <w:instrText>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Khairunnisa","given":"","non-dropping-particle":"","parse-names":false,"suffix":""},{"dropping-particle":"","family":"Pramitya","given":"Dian","non-dropping-particle":"","parse-names":false,"suffix":""},{"dropping-particle":"","family":"W","given":"E.","non-dropping-particle":"","parse-names":false,"suffix":""}],"container-title":"Jurnal Riset Akuntansi Aksioma","id":"ITEM-1","issue":"2","issued":{"date-parts":[["2023"]]},"page":"167-186","title":"Pengaruh Kinerja Esg Terhadap Kinerja Keuangan Perusahaan","type":"article-journal","volume":"22"},"uris":["http://www.mendeley.com/documents/?uuid=f705ebd0-0f01-457b-8d7a-1fca9e63eb8c"]}],"mendeley":{"formattedCitation":"(Khairunnisa et al., 2023)","plainTextFormattedCitation":"(Khairunnisa et al., 2023)","previouslyFormattedCitation":"(Khairunnisa et al., 2023)"},"properties":{"noteIndex":0},"schema":"https://github.com/citation-style-language/schema/raw/master/csl-citation.json"}</w:instrText>
      </w:r>
      <w:r w:rsidR="007169B8">
        <w:rPr>
          <w:rFonts w:ascii="Arial" w:hAnsi="Arial" w:cs="Arial"/>
          <w:sz w:val="20"/>
          <w:szCs w:val="20"/>
        </w:rPr>
        <w:fldChar w:fldCharType="separate"/>
      </w:r>
      <w:r w:rsidR="00626AAA" w:rsidRPr="00626AAA">
        <w:rPr>
          <w:rFonts w:ascii="Arial" w:hAnsi="Arial" w:cs="Arial"/>
          <w:noProof/>
          <w:sz w:val="20"/>
          <w:szCs w:val="20"/>
        </w:rPr>
        <w:t>(Khairunnisa et al., 2023)</w:t>
      </w:r>
      <w:r w:rsidR="007169B8">
        <w:rPr>
          <w:rFonts w:ascii="Arial" w:hAnsi="Arial" w:cs="Arial"/>
          <w:sz w:val="20"/>
          <w:szCs w:val="20"/>
        </w:rPr>
        <w:fldChar w:fldCharType="end"/>
      </w:r>
      <w:r w:rsidR="007169B8">
        <w:rPr>
          <w:rFonts w:ascii="Arial" w:hAnsi="Arial" w:cs="Arial"/>
          <w:sz w:val="20"/>
          <w:szCs w:val="20"/>
        </w:rPr>
        <w:t xml:space="preserve"> </w:t>
      </w:r>
      <w:r w:rsidRPr="00540C5D">
        <w:rPr>
          <w:rFonts w:ascii="Arial" w:hAnsi="Arial" w:cs="Arial"/>
          <w:sz w:val="20"/>
          <w:szCs w:val="20"/>
        </w:rPr>
        <w:t>and</w:t>
      </w:r>
      <w:r w:rsidR="007169B8">
        <w:rPr>
          <w:rFonts w:ascii="Arial" w:hAnsi="Arial" w:cs="Arial"/>
          <w:sz w:val="20"/>
          <w:szCs w:val="20"/>
        </w:rPr>
        <w:t xml:space="preserve"> </w:t>
      </w:r>
      <w:r w:rsidR="007169B8">
        <w:rPr>
          <w:rFonts w:ascii="Arial" w:hAnsi="Arial" w:cs="Arial"/>
          <w:sz w:val="20"/>
          <w:szCs w:val="20"/>
        </w:rPr>
        <w:fldChar w:fldCharType="begin" w:fldLock="1"/>
      </w:r>
      <w:r w:rsidR="00626AAA">
        <w:rPr>
          <w:rFonts w:ascii="Arial" w:hAnsi="Arial" w:cs="Arial"/>
          <w:sz w:val="20"/>
          <w:szCs w:val="20"/>
        </w:rPr>
        <w:instrText>ADDIN CSL_CITATION {"citationItems":[{"id":"ITEM-1","itemData":{"author":[{"dropping-particle":"","family":"Era Vivianti Husada","given":"S. H","non-dropping-particle":"","parse-names":false,"suffix":""}],"container-title":"Jurnal Bina Akuntansi","id":"ITEM-1","issue":"2","issued":{"date-parts":[["2021"]]},"page":"122–144","title":"445668-None-45738a32","type":"article-journal","volume":"8"},"uris":["http://www.mendeley.com/documents/?uuid=c4b62bc2-f824-442c-8041-42eeb85bf19e"]}],"mendeley":{"formattedCitation":"(Era Vivianti Husada, 2021)","plainTextFormattedCitation":"(Era Vivianti Husada, 2021)","previouslyFormattedCitation":"(Era Vivianti Husada, 2021)"},"properties":{"noteIndex":0},"schema":"https://github.com/citation-style-language/schema/raw/master/csl-citation.json"}</w:instrText>
      </w:r>
      <w:r w:rsidR="007169B8">
        <w:rPr>
          <w:rFonts w:ascii="Arial" w:hAnsi="Arial" w:cs="Arial"/>
          <w:sz w:val="20"/>
          <w:szCs w:val="20"/>
        </w:rPr>
        <w:fldChar w:fldCharType="separate"/>
      </w:r>
      <w:r w:rsidR="007169B8" w:rsidRPr="007169B8">
        <w:rPr>
          <w:rFonts w:ascii="Arial" w:hAnsi="Arial" w:cs="Arial"/>
          <w:noProof/>
          <w:sz w:val="20"/>
          <w:szCs w:val="20"/>
        </w:rPr>
        <w:t>(Era Vivianti Husada, 2021)</w:t>
      </w:r>
      <w:r w:rsidR="007169B8">
        <w:rPr>
          <w:rFonts w:ascii="Arial" w:hAnsi="Arial" w:cs="Arial"/>
          <w:sz w:val="20"/>
          <w:szCs w:val="20"/>
        </w:rPr>
        <w:fldChar w:fldCharType="end"/>
      </w:r>
      <w:r w:rsidRPr="00540C5D">
        <w:rPr>
          <w:rFonts w:ascii="Arial" w:hAnsi="Arial" w:cs="Arial"/>
          <w:sz w:val="20"/>
          <w:szCs w:val="20"/>
        </w:rPr>
        <w:t>, which found that in developing countries and industries with large cost structures such as the energy sector, ESG does not always have a significant relationship with short-term financial performance</w:t>
      </w:r>
    </w:p>
    <w:p w14:paraId="15AF3168" w14:textId="77777777" w:rsidR="001A5F98" w:rsidRPr="00540C5D" w:rsidRDefault="001A5F98" w:rsidP="001A5F98">
      <w:pPr>
        <w:pStyle w:val="NormalWeb"/>
        <w:jc w:val="both"/>
        <w:rPr>
          <w:rFonts w:ascii="Arial" w:hAnsi="Arial" w:cs="Arial"/>
          <w:b/>
          <w:sz w:val="20"/>
          <w:szCs w:val="20"/>
        </w:rPr>
      </w:pPr>
      <w:r w:rsidRPr="00540C5D">
        <w:rPr>
          <w:rFonts w:ascii="Arial" w:hAnsi="Arial" w:cs="Arial"/>
          <w:b/>
          <w:sz w:val="20"/>
          <w:szCs w:val="20"/>
        </w:rPr>
        <w:t>The Role of Digital Transformation on Financial Performance</w:t>
      </w:r>
    </w:p>
    <w:p w14:paraId="7D072DB5" w14:textId="57C23111" w:rsidR="001A5F98" w:rsidRPr="00540C5D" w:rsidRDefault="001A5F98" w:rsidP="001A5F98">
      <w:pPr>
        <w:pStyle w:val="NormalWeb"/>
        <w:jc w:val="both"/>
        <w:rPr>
          <w:rFonts w:ascii="Arial" w:hAnsi="Arial" w:cs="Arial"/>
          <w:sz w:val="20"/>
          <w:szCs w:val="20"/>
        </w:rPr>
      </w:pPr>
      <w:r w:rsidRPr="00540C5D">
        <w:rPr>
          <w:rFonts w:ascii="Arial" w:hAnsi="Arial" w:cs="Arial"/>
          <w:sz w:val="20"/>
          <w:szCs w:val="20"/>
        </w:rPr>
        <w:t xml:space="preserve">The digital transformation variable, proxied by a dummy variable, shows insignificant results on financial performance, with a coefficient of 640.114 and a significance value of 0.472 (&gt; 0.05). These results indicate that the digitization efforts undertaken by energy companies have not had a measurable financial impact in the short term. This finding can be explained by the characteristics of digital investments, which require a longer period of time to provide a tangible return, as stated by </w:t>
      </w:r>
      <w:r w:rsidR="007169B8">
        <w:rPr>
          <w:rFonts w:ascii="Arial" w:hAnsi="Arial" w:cs="Arial"/>
          <w:sz w:val="20"/>
          <w:szCs w:val="20"/>
        </w:rPr>
        <w:fldChar w:fldCharType="begin" w:fldLock="1"/>
      </w:r>
      <w:r w:rsidR="00626AAA">
        <w:rPr>
          <w:rFonts w:ascii="Arial" w:hAnsi="Arial" w:cs="Arial"/>
          <w:sz w:val="20"/>
          <w:szCs w:val="20"/>
        </w:rPr>
        <w:instrText>ADDIN CSL_CITATION {"citationItems":[{"id":"ITEM-1","itemData":{"ISSN":"3063-8968","abstract":"This research examines the relationship between Environmental, Social, and Governance (ESG) implementation and corporate financial performance, with digital transformation as a moderating variable. In an increasingly complex digital era, the integration of ESG with digital technology has become a crucial factor in determining company success and sustainability. Through a qualitative approach with library research methods, this study analyzes various academic and professional literature sources during the 2014-2024 period. The results show that companies with effective ESG implementation achieve operational efficiency improvements of up to 20%, while the integration of digital technology in ESG implementation increases efficiency by up to 30% compared to conventional approaches. The use of technologies such as Internet of Things, blockchain, and artificial intelligence in ESG management results in 60% faster and more accurate risk identification. Sectoral analysis reveals significant impact variations, with the manufacturing sector recording a 30% increase in operational efficiency, the financial services sector experiencing a 25% increase in customer satisfaction, and the energy sector showing 35% higher revenue growth for sustainable portfolios. This research provides theoretical and practical contributions to understanding the role of digital transformation as a catalyst for ESG implementation and improving corporate financial performance.","author":[{"dropping-particle":"","family":"Heryana","given":"Regina Putri","non-dropping-particle":"","parse-names":false,"suffix":""},{"dropping-particle":"","family":"Soeratin","given":"Harry Z","non-dropping-particle":"","parse-names":false,"suffix":""}],"container-title":"Journal of Business Economics and Management","id":"ITEM-1","issue":"03","issued":{"date-parts":[["2025"]]},"page":"373-380","title":"Analisis Pengaruh ESG Terhadap Kinerja Keuangan Perusahaan Dengan Transformasi Digital Sebagai Variabel Pemoderasi","type":"article-journal","volume":"01"},"uris":["http://www.mendeley.com/documents/?uuid=1d7b339a-3c13-40e6-ae47-dca32a90cb49"]}],"mendeley":{"formattedCitation":"(Heryana &amp; Soeratin, 2025)","plainTextFormattedCitation":"(Heryana &amp; Soeratin, 2025)","previouslyFormattedCitation":"(Heryana &amp; Soeratin, 2025)"},"properties":{"noteIndex":0},"schema":"https://github.com/citation-style-language/schema/raw/master/csl-citation.json"}</w:instrText>
      </w:r>
      <w:r w:rsidR="007169B8">
        <w:rPr>
          <w:rFonts w:ascii="Arial" w:hAnsi="Arial" w:cs="Arial"/>
          <w:sz w:val="20"/>
          <w:szCs w:val="20"/>
        </w:rPr>
        <w:fldChar w:fldCharType="separate"/>
      </w:r>
      <w:r w:rsidR="00626AAA" w:rsidRPr="00626AAA">
        <w:rPr>
          <w:rFonts w:ascii="Arial" w:hAnsi="Arial" w:cs="Arial"/>
          <w:noProof/>
          <w:sz w:val="20"/>
          <w:szCs w:val="20"/>
        </w:rPr>
        <w:t>(Heryana &amp; Soeratin, 2025)</w:t>
      </w:r>
      <w:r w:rsidR="007169B8">
        <w:rPr>
          <w:rFonts w:ascii="Arial" w:hAnsi="Arial" w:cs="Arial"/>
          <w:sz w:val="20"/>
          <w:szCs w:val="20"/>
        </w:rPr>
        <w:fldChar w:fldCharType="end"/>
      </w:r>
      <w:r w:rsidR="007169B8">
        <w:rPr>
          <w:rFonts w:ascii="Arial" w:hAnsi="Arial" w:cs="Arial"/>
          <w:sz w:val="20"/>
          <w:szCs w:val="20"/>
        </w:rPr>
        <w:t xml:space="preserve">. </w:t>
      </w:r>
      <w:r w:rsidRPr="00540C5D">
        <w:rPr>
          <w:rFonts w:ascii="Arial" w:hAnsi="Arial" w:cs="Arial"/>
          <w:sz w:val="20"/>
          <w:szCs w:val="20"/>
        </w:rPr>
        <w:t>In the context of the energy sector, digital transformation tends to focus on improving operational efficiency, optimizing production processes, and strengthening internal information systems, so that the benefits are more in the form of cost reduction than revenue enhancement that is directly visible in profitability.</w:t>
      </w:r>
    </w:p>
    <w:p w14:paraId="17716B2C" w14:textId="77777777" w:rsidR="001A5F98" w:rsidRPr="00540C5D" w:rsidRDefault="001A5F98" w:rsidP="001A5F98">
      <w:pPr>
        <w:spacing w:before="240"/>
        <w:jc w:val="both"/>
        <w:rPr>
          <w:rFonts w:ascii="Arial" w:hAnsi="Arial" w:cs="Arial"/>
          <w:b/>
        </w:rPr>
      </w:pPr>
      <w:r w:rsidRPr="00540C5D">
        <w:rPr>
          <w:rFonts w:ascii="Arial" w:hAnsi="Arial" w:cs="Arial"/>
          <w:b/>
        </w:rPr>
        <w:t>3.3 Multiple Linear Regression Analysis</w:t>
      </w:r>
    </w:p>
    <w:p w14:paraId="7529388B" w14:textId="77777777" w:rsidR="001A5F98" w:rsidRPr="00540C5D" w:rsidRDefault="001A5F98" w:rsidP="001A5F98">
      <w:pPr>
        <w:pStyle w:val="NormalWeb"/>
        <w:jc w:val="both"/>
        <w:rPr>
          <w:rFonts w:ascii="Arial" w:hAnsi="Arial" w:cs="Arial"/>
          <w:sz w:val="20"/>
          <w:szCs w:val="20"/>
        </w:rPr>
      </w:pPr>
      <w:r w:rsidRPr="00540C5D">
        <w:rPr>
          <w:rFonts w:ascii="Arial" w:hAnsi="Arial" w:cs="Arial"/>
          <w:sz w:val="20"/>
          <w:szCs w:val="20"/>
        </w:rPr>
        <w:t>The moderating effect of digital transformation on the relationship between ESG and financial performance was analyzed based on the following ESG Score categories:</w:t>
      </w:r>
    </w:p>
    <w:p w14:paraId="496B2A3A" w14:textId="77777777" w:rsidR="001A5F98" w:rsidRPr="00540C5D" w:rsidRDefault="001A5F98" w:rsidP="001A5F98">
      <w:pPr>
        <w:pStyle w:val="NormalWeb"/>
        <w:spacing w:after="120" w:afterAutospacing="0"/>
        <w:jc w:val="center"/>
        <w:rPr>
          <w:rFonts w:ascii="Arial" w:hAnsi="Arial" w:cs="Arial"/>
          <w:sz w:val="20"/>
          <w:szCs w:val="20"/>
        </w:rPr>
      </w:pPr>
      <w:r w:rsidRPr="00540C5D">
        <w:rPr>
          <w:rFonts w:ascii="Arial" w:hAnsi="Arial" w:cs="Arial"/>
          <w:b/>
          <w:sz w:val="20"/>
          <w:szCs w:val="20"/>
        </w:rPr>
        <w:t>Table 6.</w:t>
      </w:r>
      <w:r w:rsidRPr="00540C5D">
        <w:rPr>
          <w:rFonts w:ascii="Arial" w:hAnsi="Arial" w:cs="Arial"/>
          <w:sz w:val="20"/>
          <w:szCs w:val="20"/>
        </w:rPr>
        <w:t xml:space="preserve"> Descriptive Analysis Based on ESG Score</w:t>
      </w:r>
    </w:p>
    <w:tbl>
      <w:tblPr>
        <w:tblStyle w:val="TableGrid"/>
        <w:tblW w:w="0" w:type="auto"/>
        <w:tblInd w:w="108" w:type="dxa"/>
        <w:tblLook w:val="04A0" w:firstRow="1" w:lastRow="0" w:firstColumn="1" w:lastColumn="0" w:noHBand="0" w:noVBand="1"/>
      </w:tblPr>
      <w:tblGrid>
        <w:gridCol w:w="1511"/>
        <w:gridCol w:w="1940"/>
        <w:gridCol w:w="1655"/>
        <w:gridCol w:w="1673"/>
        <w:gridCol w:w="1647"/>
        <w:gridCol w:w="482"/>
      </w:tblGrid>
      <w:tr w:rsidR="001A5F98" w:rsidRPr="00540C5D" w14:paraId="402A4AF0" w14:textId="77777777" w:rsidTr="004C40DA">
        <w:trPr>
          <w:trHeight w:val="283"/>
        </w:trPr>
        <w:tc>
          <w:tcPr>
            <w:tcW w:w="1511" w:type="dxa"/>
          </w:tcPr>
          <w:p w14:paraId="2F3FC51E" w14:textId="77777777" w:rsidR="001A5F98" w:rsidRPr="00540C5D" w:rsidRDefault="001A5F98" w:rsidP="004C40DA">
            <w:pPr>
              <w:jc w:val="both"/>
              <w:rPr>
                <w:rFonts w:ascii="Arial" w:hAnsi="Arial" w:cs="Arial"/>
                <w:b/>
                <w:bCs/>
                <w:sz w:val="20"/>
                <w:szCs w:val="20"/>
              </w:rPr>
            </w:pPr>
            <w:r w:rsidRPr="00540C5D">
              <w:rPr>
                <w:rFonts w:ascii="Arial" w:hAnsi="Arial" w:cs="Arial"/>
                <w:b/>
                <w:bCs/>
                <w:sz w:val="20"/>
                <w:szCs w:val="20"/>
              </w:rPr>
              <w:t>ESG Score</w:t>
            </w:r>
          </w:p>
        </w:tc>
        <w:tc>
          <w:tcPr>
            <w:tcW w:w="1940" w:type="dxa"/>
          </w:tcPr>
          <w:p w14:paraId="3C79E5C4" w14:textId="77777777" w:rsidR="001A5F98" w:rsidRPr="00540C5D" w:rsidRDefault="001A5F98" w:rsidP="004C40DA">
            <w:pPr>
              <w:jc w:val="both"/>
              <w:rPr>
                <w:rFonts w:ascii="Arial" w:hAnsi="Arial" w:cs="Arial"/>
                <w:b/>
                <w:bCs/>
                <w:sz w:val="20"/>
                <w:szCs w:val="20"/>
              </w:rPr>
            </w:pPr>
            <w:r w:rsidRPr="00540C5D">
              <w:rPr>
                <w:rFonts w:ascii="Arial" w:hAnsi="Arial" w:cs="Arial"/>
                <w:b/>
                <w:bCs/>
                <w:sz w:val="20"/>
                <w:szCs w:val="20"/>
              </w:rPr>
              <w:t>Mean ROA (%)</w:t>
            </w:r>
          </w:p>
        </w:tc>
        <w:tc>
          <w:tcPr>
            <w:tcW w:w="1655" w:type="dxa"/>
          </w:tcPr>
          <w:p w14:paraId="2B707030" w14:textId="77777777" w:rsidR="001A5F98" w:rsidRPr="00540C5D" w:rsidRDefault="001A5F98" w:rsidP="004C40DA">
            <w:pPr>
              <w:jc w:val="both"/>
              <w:rPr>
                <w:rFonts w:ascii="Arial" w:hAnsi="Arial" w:cs="Arial"/>
                <w:b/>
                <w:bCs/>
                <w:sz w:val="20"/>
                <w:szCs w:val="20"/>
              </w:rPr>
            </w:pPr>
            <w:r w:rsidRPr="00540C5D">
              <w:rPr>
                <w:rFonts w:ascii="Arial" w:hAnsi="Arial" w:cs="Arial"/>
                <w:b/>
                <w:bCs/>
                <w:sz w:val="20"/>
                <w:szCs w:val="20"/>
              </w:rPr>
              <w:t>Min ROA (%)</w:t>
            </w:r>
          </w:p>
        </w:tc>
        <w:tc>
          <w:tcPr>
            <w:tcW w:w="1673" w:type="dxa"/>
          </w:tcPr>
          <w:p w14:paraId="138CAF11" w14:textId="77777777" w:rsidR="001A5F98" w:rsidRPr="00540C5D" w:rsidRDefault="001A5F98" w:rsidP="004C40DA">
            <w:pPr>
              <w:jc w:val="both"/>
              <w:rPr>
                <w:rFonts w:ascii="Arial" w:hAnsi="Arial" w:cs="Arial"/>
                <w:b/>
                <w:bCs/>
                <w:sz w:val="20"/>
                <w:szCs w:val="20"/>
              </w:rPr>
            </w:pPr>
            <w:r w:rsidRPr="00540C5D">
              <w:rPr>
                <w:rFonts w:ascii="Arial" w:hAnsi="Arial" w:cs="Arial"/>
                <w:b/>
                <w:bCs/>
                <w:sz w:val="20"/>
                <w:szCs w:val="20"/>
              </w:rPr>
              <w:t>Max ROA (%)</w:t>
            </w:r>
          </w:p>
        </w:tc>
        <w:tc>
          <w:tcPr>
            <w:tcW w:w="1647" w:type="dxa"/>
          </w:tcPr>
          <w:p w14:paraId="1724D98C" w14:textId="77777777" w:rsidR="001A5F98" w:rsidRPr="00540C5D" w:rsidRDefault="001A5F98" w:rsidP="004C40DA">
            <w:pPr>
              <w:jc w:val="both"/>
              <w:rPr>
                <w:rFonts w:ascii="Arial" w:hAnsi="Arial" w:cs="Arial"/>
                <w:b/>
                <w:bCs/>
                <w:sz w:val="20"/>
                <w:szCs w:val="20"/>
              </w:rPr>
            </w:pPr>
            <w:r w:rsidRPr="00540C5D">
              <w:rPr>
                <w:rFonts w:ascii="Arial" w:hAnsi="Arial" w:cs="Arial"/>
                <w:b/>
                <w:bCs/>
                <w:sz w:val="20"/>
                <w:szCs w:val="20"/>
              </w:rPr>
              <w:t>Std. Deviation</w:t>
            </w:r>
          </w:p>
        </w:tc>
        <w:tc>
          <w:tcPr>
            <w:tcW w:w="482" w:type="dxa"/>
          </w:tcPr>
          <w:p w14:paraId="7BBA9670" w14:textId="77777777" w:rsidR="001A5F98" w:rsidRPr="00540C5D" w:rsidRDefault="001A5F98" w:rsidP="004C40DA">
            <w:pPr>
              <w:jc w:val="both"/>
              <w:rPr>
                <w:rFonts w:ascii="Arial" w:hAnsi="Arial" w:cs="Arial"/>
                <w:b/>
                <w:bCs/>
                <w:sz w:val="20"/>
                <w:szCs w:val="20"/>
              </w:rPr>
            </w:pPr>
            <w:r w:rsidRPr="00540C5D">
              <w:rPr>
                <w:rFonts w:ascii="Arial" w:hAnsi="Arial" w:cs="Arial"/>
                <w:b/>
                <w:bCs/>
                <w:sz w:val="20"/>
                <w:szCs w:val="20"/>
              </w:rPr>
              <w:t>N</w:t>
            </w:r>
          </w:p>
        </w:tc>
      </w:tr>
      <w:tr w:rsidR="001A5F98" w:rsidRPr="00540C5D" w14:paraId="6FAB941C" w14:textId="77777777" w:rsidTr="004C40DA">
        <w:trPr>
          <w:trHeight w:val="283"/>
        </w:trPr>
        <w:tc>
          <w:tcPr>
            <w:tcW w:w="1511" w:type="dxa"/>
          </w:tcPr>
          <w:p w14:paraId="3189A398"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0,12871</w:t>
            </w:r>
          </w:p>
        </w:tc>
        <w:tc>
          <w:tcPr>
            <w:tcW w:w="1940" w:type="dxa"/>
          </w:tcPr>
          <w:p w14:paraId="0855BFDC"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14,87</w:t>
            </w:r>
          </w:p>
        </w:tc>
        <w:tc>
          <w:tcPr>
            <w:tcW w:w="1655" w:type="dxa"/>
          </w:tcPr>
          <w:p w14:paraId="5CAE12E4"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13,03</w:t>
            </w:r>
          </w:p>
        </w:tc>
        <w:tc>
          <w:tcPr>
            <w:tcW w:w="1673" w:type="dxa"/>
          </w:tcPr>
          <w:p w14:paraId="1D17A8F8"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16,72</w:t>
            </w:r>
          </w:p>
        </w:tc>
        <w:tc>
          <w:tcPr>
            <w:tcW w:w="1647" w:type="dxa"/>
          </w:tcPr>
          <w:p w14:paraId="2FB9FA67"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2,61</w:t>
            </w:r>
          </w:p>
        </w:tc>
        <w:tc>
          <w:tcPr>
            <w:tcW w:w="482" w:type="dxa"/>
          </w:tcPr>
          <w:p w14:paraId="0CC7FFC3"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2</w:t>
            </w:r>
          </w:p>
        </w:tc>
      </w:tr>
      <w:tr w:rsidR="001A5F98" w:rsidRPr="00540C5D" w14:paraId="6A74BA67" w14:textId="77777777" w:rsidTr="004C40DA">
        <w:trPr>
          <w:trHeight w:val="283"/>
        </w:trPr>
        <w:tc>
          <w:tcPr>
            <w:tcW w:w="1511" w:type="dxa"/>
          </w:tcPr>
          <w:p w14:paraId="245DDFD3"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0,29703</w:t>
            </w:r>
          </w:p>
        </w:tc>
        <w:tc>
          <w:tcPr>
            <w:tcW w:w="1940" w:type="dxa"/>
          </w:tcPr>
          <w:p w14:paraId="406059A0"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4,15</w:t>
            </w:r>
          </w:p>
        </w:tc>
        <w:tc>
          <w:tcPr>
            <w:tcW w:w="1655" w:type="dxa"/>
          </w:tcPr>
          <w:p w14:paraId="4B5B1CE6"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3,40</w:t>
            </w:r>
          </w:p>
        </w:tc>
        <w:tc>
          <w:tcPr>
            <w:tcW w:w="1673" w:type="dxa"/>
          </w:tcPr>
          <w:p w14:paraId="0170923A"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4,91</w:t>
            </w:r>
          </w:p>
        </w:tc>
        <w:tc>
          <w:tcPr>
            <w:tcW w:w="1647" w:type="dxa"/>
          </w:tcPr>
          <w:p w14:paraId="56A67969"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1,07</w:t>
            </w:r>
          </w:p>
        </w:tc>
        <w:tc>
          <w:tcPr>
            <w:tcW w:w="482" w:type="dxa"/>
          </w:tcPr>
          <w:p w14:paraId="4B8C8FC8"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2</w:t>
            </w:r>
          </w:p>
        </w:tc>
      </w:tr>
      <w:tr w:rsidR="001A5F98" w:rsidRPr="00540C5D" w14:paraId="3E2D0318" w14:textId="77777777" w:rsidTr="004C40DA">
        <w:trPr>
          <w:trHeight w:val="283"/>
        </w:trPr>
        <w:tc>
          <w:tcPr>
            <w:tcW w:w="1511" w:type="dxa"/>
          </w:tcPr>
          <w:p w14:paraId="1B1FFDF4"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lastRenderedPageBreak/>
              <w:t>0,33663</w:t>
            </w:r>
          </w:p>
        </w:tc>
        <w:tc>
          <w:tcPr>
            <w:tcW w:w="1940" w:type="dxa"/>
          </w:tcPr>
          <w:p w14:paraId="355E28C6"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3,69</w:t>
            </w:r>
          </w:p>
        </w:tc>
        <w:tc>
          <w:tcPr>
            <w:tcW w:w="1655" w:type="dxa"/>
          </w:tcPr>
          <w:p w14:paraId="784EF111"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0,14</w:t>
            </w:r>
          </w:p>
        </w:tc>
        <w:tc>
          <w:tcPr>
            <w:tcW w:w="1673" w:type="dxa"/>
          </w:tcPr>
          <w:p w14:paraId="078321C6"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6,87</w:t>
            </w:r>
          </w:p>
        </w:tc>
        <w:tc>
          <w:tcPr>
            <w:tcW w:w="1647" w:type="dxa"/>
          </w:tcPr>
          <w:p w14:paraId="4CB36180"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3,37</w:t>
            </w:r>
          </w:p>
        </w:tc>
        <w:tc>
          <w:tcPr>
            <w:tcW w:w="482" w:type="dxa"/>
          </w:tcPr>
          <w:p w14:paraId="18B04AA9"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3</w:t>
            </w:r>
          </w:p>
        </w:tc>
      </w:tr>
    </w:tbl>
    <w:p w14:paraId="5FDC976B" w14:textId="3EAF950B" w:rsidR="001A5F98" w:rsidRPr="00540C5D" w:rsidRDefault="001A5F98" w:rsidP="001A5F98">
      <w:pPr>
        <w:pStyle w:val="NormalWeb"/>
        <w:jc w:val="both"/>
        <w:rPr>
          <w:rFonts w:ascii="Arial" w:hAnsi="Arial" w:cs="Arial"/>
          <w:sz w:val="20"/>
          <w:szCs w:val="20"/>
        </w:rPr>
      </w:pPr>
      <w:r w:rsidRPr="00540C5D">
        <w:rPr>
          <w:rFonts w:ascii="Arial" w:hAnsi="Arial" w:cs="Arial"/>
          <w:sz w:val="20"/>
          <w:szCs w:val="20"/>
        </w:rPr>
        <w:t xml:space="preserve">The moderation analysis, in which the interaction variable (ESG Score × Digital Transformation) shows a negative coefficient of -1612.144 with a significance of 0.621 (&gt; 0.05). These results indicate that digital transformation not only fails to strengthen the relationship between ESG Score and financial performance, but actually tends to weaken it, although this effect is not statistically significant. Thus, the second hypothesis (H2) is also rejected. This condition differs from theoretical expectations, which state that digitization can strengthen the impact of ESG through increased transparency, accountability, and efficiency in sustainability data management </w:t>
      </w:r>
      <w:r w:rsidR="007169B8">
        <w:rPr>
          <w:rFonts w:ascii="Arial" w:hAnsi="Arial" w:cs="Arial"/>
          <w:sz w:val="20"/>
          <w:szCs w:val="20"/>
        </w:rPr>
        <w:fldChar w:fldCharType="begin" w:fldLock="1"/>
      </w:r>
      <w:r w:rsidR="00626AAA">
        <w:rPr>
          <w:rFonts w:ascii="Arial" w:hAnsi="Arial" w:cs="Arial"/>
          <w:sz w:val="20"/>
          <w:szCs w:val="20"/>
        </w:rPr>
        <w:instrText>ADDIN CSL_CITATION {"citationItems":[{"id":"ITEM-1","itemData":{"DOI":"10.52859/jba.v8i2.173","ISSN":"2338-1132","abstract":"This study aims to examine the effect of ESG disclosure on financial performance within firm. By using sample of 80 firms in finance sector, listed in Indonesia Stock Exchange for 2017-2019, sample selected using purposive sampling technique.Financial performance measured by Return on Asset, Tobin’s Q, and Sales Growth, the analysis method used is multiple regression analysis. The result showed that ESG disclosure only affect Return on Asset simultaneously, furtheranalysis showed that none of the economic performance variables affected by ESG disclosure partially, instead control variable produce mixed result that affect financial performance variable itself.","author":[{"dropping-particle":"","family":"Husada","given":"Era Vivianti","non-dropping-particle":"","parse-names":false,"suffix":""},{"dropping-particle":"","family":"Handayani","given":"Susi","non-dropping-particle":"","parse-names":false,"suffix":""}],"container-title":"Jurnal Bina Akuntansi","id":"ITEM-1","issue":"2","issued":{"date-parts":[["2021"]]},"page":"122-144","title":"Pengaruh Pengungkapan Esg Terhadap Kinerja Keuangan Perusahaan (Studi Empiris Pada Perusahaan Sektor Keuangan Yang Terdaftar Di Bei Periode 2017-2019)","type":"article-journal","volume":"8"},"uris":["http://www.mendeley.com/documents/?uuid=97b0a109-8cc4-45a4-bc48-dfcce70e1e90"]}],"mendeley":{"formattedCitation":"(Husada &amp; Handayani, 2021)","plainTextFormattedCitation":"(Husada &amp; Handayani, 2021)","previouslyFormattedCitation":"(Husada &amp; Handayani, 2021)"},"properties":{"noteIndex":0},"schema":"https://github.com/citation-style-language/schema/raw/master/csl-citation.json"}</w:instrText>
      </w:r>
      <w:r w:rsidR="007169B8">
        <w:rPr>
          <w:rFonts w:ascii="Arial" w:hAnsi="Arial" w:cs="Arial"/>
          <w:sz w:val="20"/>
          <w:szCs w:val="20"/>
        </w:rPr>
        <w:fldChar w:fldCharType="separate"/>
      </w:r>
      <w:r w:rsidR="00626AAA" w:rsidRPr="00626AAA">
        <w:rPr>
          <w:rFonts w:ascii="Arial" w:hAnsi="Arial" w:cs="Arial"/>
          <w:noProof/>
          <w:sz w:val="20"/>
          <w:szCs w:val="20"/>
        </w:rPr>
        <w:t>(Husada &amp; Handayani, 2021)</w:t>
      </w:r>
      <w:r w:rsidR="007169B8">
        <w:rPr>
          <w:rFonts w:ascii="Arial" w:hAnsi="Arial" w:cs="Arial"/>
          <w:sz w:val="20"/>
          <w:szCs w:val="20"/>
        </w:rPr>
        <w:fldChar w:fldCharType="end"/>
      </w:r>
      <w:r w:rsidR="007169B8">
        <w:rPr>
          <w:rFonts w:ascii="Arial" w:hAnsi="Arial" w:cs="Arial"/>
          <w:sz w:val="20"/>
          <w:szCs w:val="20"/>
        </w:rPr>
        <w:t xml:space="preserve">. </w:t>
      </w:r>
      <w:r w:rsidRPr="00540C5D">
        <w:rPr>
          <w:rFonts w:ascii="Arial" w:hAnsi="Arial" w:cs="Arial"/>
          <w:sz w:val="20"/>
          <w:szCs w:val="20"/>
        </w:rPr>
        <w:t>These findings indicate that the integration of ESG practices and digital transformation in Indonesian energy companies is still not optimal, possibly because the implementation of both is carried out separately without clear strategic synergy.</w:t>
      </w:r>
    </w:p>
    <w:p w14:paraId="2CA9CCB3" w14:textId="77777777" w:rsidR="001A5F98" w:rsidRPr="00540C5D" w:rsidRDefault="001A5F98" w:rsidP="001A5F98">
      <w:pPr>
        <w:pStyle w:val="NormalWeb"/>
        <w:jc w:val="both"/>
        <w:rPr>
          <w:rFonts w:ascii="Arial" w:hAnsi="Arial" w:cs="Arial"/>
          <w:sz w:val="20"/>
          <w:szCs w:val="20"/>
        </w:rPr>
      </w:pPr>
      <w:r w:rsidRPr="00540C5D">
        <w:rPr>
          <w:rFonts w:ascii="Arial" w:hAnsi="Arial" w:cs="Arial"/>
          <w:sz w:val="20"/>
          <w:szCs w:val="20"/>
        </w:rPr>
        <w:t>From the perspective of Stakeholder Theory (Freeman, 1984), the results of this study indicate that although energy companies have made efforts to meet the expectations of various stakeholders through ESG practices, their implementation has not been able to create measurable financial value. This indicates that ESG practices are still viewed as a cost center or social obligation, rather than a strategic asset that can increase competitive advantage. Meanwhile, within the Resource-Based View (RBV) framework, digitalization should be a strategic resource that creates competitive advantage, but the results of this study show that digital resources have not been optimally utilized to create significant differentiation or efficiency. These findings indicate the need for a paradigm shift in ESG and digitalization management, from a partial and compliance-oriented approach to an integrated strategy oriented towards long-term value creation.</w:t>
      </w:r>
    </w:p>
    <w:p w14:paraId="091EA6ED" w14:textId="77777777" w:rsidR="001A5F98" w:rsidRDefault="001A5F98" w:rsidP="001A5F98">
      <w:pPr>
        <w:pStyle w:val="Body"/>
        <w:spacing w:after="0"/>
        <w:rPr>
          <w:rFonts w:ascii="Arial" w:hAnsi="Arial" w:cs="Arial"/>
        </w:rPr>
      </w:pPr>
      <w:r w:rsidRPr="00540C5D">
        <w:rPr>
          <w:rFonts w:ascii="Arial" w:hAnsi="Arial" w:cs="Arial"/>
        </w:rPr>
        <w:t>The F-test results show a value of 0.333 with a significance of 0.801 (&gt; 0.05), indicating that the model as a whole cannot explain the variation in the company's financial performance. The low coefficient of determination (R²) value indicates that most of the variation in the Return on Assets (ROA) of energy companies is influenced by factors other than those included in the research model. External factors such as fluctuations in energy commodity prices, government policies related to subsidies and tariffs, macroeconomic conditions, and global energy supply-demand dynamics are likely to have a more dominant influence on the profitability of energy companies than ESG practices and digital transformation. Additionally, the capital-intensive nature of the energy industry and its long investment cycles may also explain why the impact of ESG and digitalization has not yet been evident in the relatively short observation period (2021-2023).</w:t>
      </w:r>
    </w:p>
    <w:p w14:paraId="77F698E7" w14:textId="77777777" w:rsidR="00E053D0" w:rsidRDefault="00E053D0" w:rsidP="00441B6F">
      <w:pPr>
        <w:pStyle w:val="Body"/>
        <w:spacing w:after="0"/>
        <w:rPr>
          <w:rFonts w:ascii="Arial" w:hAnsi="Arial" w:cs="Arial"/>
        </w:rPr>
      </w:pPr>
    </w:p>
    <w:p w14:paraId="4A54C8B5" w14:textId="77777777" w:rsidR="00790ADA" w:rsidRPr="00FB3A86" w:rsidRDefault="00790ADA" w:rsidP="00441B6F">
      <w:pPr>
        <w:pStyle w:val="Body"/>
        <w:spacing w:after="0"/>
        <w:rPr>
          <w:rFonts w:ascii="Arial" w:hAnsi="Arial" w:cs="Arial"/>
        </w:rPr>
      </w:pPr>
    </w:p>
    <w:p w14:paraId="31A4AC1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56A83CA" w14:textId="77777777" w:rsidR="00790ADA" w:rsidRPr="00FB3A86" w:rsidRDefault="00790ADA" w:rsidP="00441B6F">
      <w:pPr>
        <w:pStyle w:val="ConcHead"/>
        <w:spacing w:after="0"/>
        <w:jc w:val="both"/>
        <w:rPr>
          <w:rFonts w:ascii="Arial" w:hAnsi="Arial" w:cs="Arial"/>
        </w:rPr>
      </w:pPr>
    </w:p>
    <w:p w14:paraId="324E8DE9" w14:textId="77777777" w:rsidR="00B01FCD" w:rsidRDefault="001A5F98" w:rsidP="00441B6F">
      <w:pPr>
        <w:pStyle w:val="Body"/>
        <w:spacing w:after="0"/>
        <w:rPr>
          <w:rFonts w:ascii="Arial" w:hAnsi="Arial" w:cs="Arial"/>
        </w:rPr>
      </w:pPr>
      <w:r w:rsidRPr="00540C5D">
        <w:rPr>
          <w:rFonts w:ascii="Arial" w:hAnsi="Arial" w:cs="Arial"/>
        </w:rPr>
        <w:t>ESG Score does not have a significant effect on the financial performance of energy sector companies in Indonesia, with a significance value of 0.810 (&gt; 0.05) indicating that the implementation of Environmental, Social, and Governance practices is still compliance-oriented rather than a value creation strategy. Digital transformation has also not been proven to strengthen the relationship between ESG Score and financial performance, even showing a negative interaction coefficient of -1612.144 with a significance of 0.621 (&gt; 0.05), indicating that the integration of ESG and digitalization in the energy sector is not yet optimal and tends to be carried out separately without strategic synergy. This finding differs from theoretical expectations that digitalization can strengthen the impact of ESG through increased transparency and efficiency. The low coefficient of determination (R²) value and insignificant F-test results (0.333; sig. 0.801) indicate that the financial performance of energy companies is more dominantly influenced by external factors such as commodity price fluctuations, government policies, and macroeconomic dynamics than by ESG practices and digital transformation in the 2021-2023 observation period.</w:t>
      </w:r>
    </w:p>
    <w:p w14:paraId="0AA6FFF6" w14:textId="77777777" w:rsidR="00790ADA" w:rsidRPr="00FB3A86" w:rsidRDefault="00790ADA" w:rsidP="00441B6F">
      <w:pPr>
        <w:pStyle w:val="Body"/>
        <w:spacing w:after="0"/>
        <w:rPr>
          <w:rFonts w:ascii="Arial" w:hAnsi="Arial" w:cs="Arial"/>
        </w:rPr>
      </w:pPr>
    </w:p>
    <w:p w14:paraId="53E25B64" w14:textId="77777777" w:rsidR="00860000" w:rsidRDefault="00860000" w:rsidP="00441B6F">
      <w:pPr>
        <w:pStyle w:val="ReferHead"/>
        <w:spacing w:after="0"/>
        <w:jc w:val="both"/>
        <w:rPr>
          <w:rFonts w:ascii="Arial" w:hAnsi="Arial" w:cs="Arial"/>
        </w:rPr>
      </w:pPr>
    </w:p>
    <w:p w14:paraId="2DD8DFA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9AB4E43" w14:textId="77777777" w:rsidR="00E80FAF" w:rsidRPr="00E80FAF" w:rsidRDefault="00E80FAF" w:rsidP="00E80FAF">
      <w:pPr>
        <w:pStyle w:val="Appendix"/>
        <w:jc w:val="both"/>
        <w:rPr>
          <w:rFonts w:ascii="Arial" w:hAnsi="Arial" w:cs="Arial"/>
          <w:b w:val="0"/>
          <w:caps w:val="0"/>
          <w:sz w:val="20"/>
        </w:rPr>
      </w:pPr>
      <w:r w:rsidRPr="00E80FAF">
        <w:rPr>
          <w:rFonts w:ascii="Arial" w:hAnsi="Arial" w:cs="Arial"/>
          <w:b w:val="0"/>
          <w:caps w:val="0"/>
          <w:sz w:val="20"/>
        </w:rPr>
        <w:t xml:space="preserve">Era </w:t>
      </w:r>
      <w:proofErr w:type="spellStart"/>
      <w:r w:rsidRPr="00E80FAF">
        <w:rPr>
          <w:rFonts w:ascii="Arial" w:hAnsi="Arial" w:cs="Arial"/>
          <w:b w:val="0"/>
          <w:caps w:val="0"/>
          <w:sz w:val="20"/>
        </w:rPr>
        <w:t>Vivianti</w:t>
      </w:r>
      <w:proofErr w:type="spellEnd"/>
      <w:r w:rsidRPr="00E80FAF">
        <w:rPr>
          <w:rFonts w:ascii="Arial" w:hAnsi="Arial" w:cs="Arial"/>
          <w:b w:val="0"/>
          <w:caps w:val="0"/>
          <w:sz w:val="20"/>
        </w:rPr>
        <w:t xml:space="preserve"> </w:t>
      </w:r>
      <w:proofErr w:type="spellStart"/>
      <w:r w:rsidRPr="00E80FAF">
        <w:rPr>
          <w:rFonts w:ascii="Arial" w:hAnsi="Arial" w:cs="Arial"/>
          <w:b w:val="0"/>
          <w:caps w:val="0"/>
          <w:sz w:val="20"/>
        </w:rPr>
        <w:t>Husada</w:t>
      </w:r>
      <w:proofErr w:type="spellEnd"/>
      <w:r w:rsidRPr="00E80FAF">
        <w:rPr>
          <w:rFonts w:ascii="Arial" w:hAnsi="Arial" w:cs="Arial"/>
          <w:b w:val="0"/>
          <w:caps w:val="0"/>
          <w:sz w:val="20"/>
        </w:rPr>
        <w:t xml:space="preserve">, S. H. (2021). 445668-None-45738a32. </w:t>
      </w:r>
      <w:proofErr w:type="spellStart"/>
      <w:r w:rsidRPr="00E80FAF">
        <w:rPr>
          <w:rFonts w:ascii="Arial" w:hAnsi="Arial" w:cs="Arial"/>
          <w:b w:val="0"/>
          <w:caps w:val="0"/>
          <w:sz w:val="20"/>
        </w:rPr>
        <w:t>Jurnal</w:t>
      </w:r>
      <w:proofErr w:type="spellEnd"/>
      <w:r w:rsidRPr="00E80FAF">
        <w:rPr>
          <w:rFonts w:ascii="Arial" w:hAnsi="Arial" w:cs="Arial"/>
          <w:b w:val="0"/>
          <w:caps w:val="0"/>
          <w:sz w:val="20"/>
        </w:rPr>
        <w:t xml:space="preserve"> Bina </w:t>
      </w:r>
      <w:proofErr w:type="spellStart"/>
      <w:r w:rsidRPr="00E80FAF">
        <w:rPr>
          <w:rFonts w:ascii="Arial" w:hAnsi="Arial" w:cs="Arial"/>
          <w:b w:val="0"/>
          <w:caps w:val="0"/>
          <w:sz w:val="20"/>
        </w:rPr>
        <w:t>Akuntansi</w:t>
      </w:r>
      <w:proofErr w:type="spellEnd"/>
      <w:r w:rsidRPr="00E80FAF">
        <w:rPr>
          <w:rFonts w:ascii="Arial" w:hAnsi="Arial" w:cs="Arial"/>
          <w:b w:val="0"/>
          <w:caps w:val="0"/>
          <w:sz w:val="20"/>
        </w:rPr>
        <w:t>, 8(2), 122–144.</w:t>
      </w:r>
    </w:p>
    <w:p w14:paraId="4BE631B6" w14:textId="77777777" w:rsidR="00E80FAF" w:rsidRPr="00E80FAF" w:rsidRDefault="00E80FAF" w:rsidP="00E80FAF">
      <w:pPr>
        <w:pStyle w:val="Appendix"/>
        <w:jc w:val="both"/>
        <w:rPr>
          <w:rFonts w:ascii="Arial" w:hAnsi="Arial" w:cs="Arial"/>
          <w:b w:val="0"/>
          <w:caps w:val="0"/>
          <w:sz w:val="20"/>
        </w:rPr>
      </w:pPr>
      <w:proofErr w:type="spellStart"/>
      <w:r w:rsidRPr="00E80FAF">
        <w:rPr>
          <w:rFonts w:ascii="Arial" w:hAnsi="Arial" w:cs="Arial"/>
          <w:b w:val="0"/>
          <w:caps w:val="0"/>
          <w:sz w:val="20"/>
        </w:rPr>
        <w:t>Heryana</w:t>
      </w:r>
      <w:proofErr w:type="spellEnd"/>
      <w:r w:rsidRPr="00E80FAF">
        <w:rPr>
          <w:rFonts w:ascii="Arial" w:hAnsi="Arial" w:cs="Arial"/>
          <w:b w:val="0"/>
          <w:caps w:val="0"/>
          <w:sz w:val="20"/>
        </w:rPr>
        <w:t xml:space="preserve">, R. P., &amp; </w:t>
      </w:r>
      <w:proofErr w:type="spellStart"/>
      <w:r w:rsidRPr="00E80FAF">
        <w:rPr>
          <w:rFonts w:ascii="Arial" w:hAnsi="Arial" w:cs="Arial"/>
          <w:b w:val="0"/>
          <w:caps w:val="0"/>
          <w:sz w:val="20"/>
        </w:rPr>
        <w:t>Soeratin</w:t>
      </w:r>
      <w:proofErr w:type="spellEnd"/>
      <w:r w:rsidRPr="00E80FAF">
        <w:rPr>
          <w:rFonts w:ascii="Arial" w:hAnsi="Arial" w:cs="Arial"/>
          <w:b w:val="0"/>
          <w:caps w:val="0"/>
          <w:sz w:val="20"/>
        </w:rPr>
        <w:t>, H. Z. (2025). Analysis of the Effect of ESG on Corporate Financial Performance with Digital Transformation as a Moderating Variable. Journal of Business Economics and Management, 01(03), 373–380.</w:t>
      </w:r>
    </w:p>
    <w:p w14:paraId="590DF6FF" w14:textId="77777777" w:rsidR="00E80FAF" w:rsidRPr="00E80FAF" w:rsidRDefault="00E80FAF" w:rsidP="00E80FAF">
      <w:pPr>
        <w:pStyle w:val="Appendix"/>
        <w:jc w:val="both"/>
        <w:rPr>
          <w:rFonts w:ascii="Arial" w:hAnsi="Arial" w:cs="Arial"/>
          <w:b w:val="0"/>
          <w:caps w:val="0"/>
          <w:sz w:val="20"/>
        </w:rPr>
      </w:pPr>
      <w:proofErr w:type="spellStart"/>
      <w:r w:rsidRPr="00E80FAF">
        <w:rPr>
          <w:rFonts w:ascii="Arial" w:hAnsi="Arial" w:cs="Arial"/>
          <w:b w:val="0"/>
          <w:caps w:val="0"/>
          <w:sz w:val="20"/>
        </w:rPr>
        <w:t>Husada</w:t>
      </w:r>
      <w:proofErr w:type="spellEnd"/>
      <w:r w:rsidRPr="00E80FAF">
        <w:rPr>
          <w:rFonts w:ascii="Arial" w:hAnsi="Arial" w:cs="Arial"/>
          <w:b w:val="0"/>
          <w:caps w:val="0"/>
          <w:sz w:val="20"/>
        </w:rPr>
        <w:t xml:space="preserve">, E. V., &amp; </w:t>
      </w:r>
      <w:proofErr w:type="spellStart"/>
      <w:r w:rsidRPr="00E80FAF">
        <w:rPr>
          <w:rFonts w:ascii="Arial" w:hAnsi="Arial" w:cs="Arial"/>
          <w:b w:val="0"/>
          <w:caps w:val="0"/>
          <w:sz w:val="20"/>
        </w:rPr>
        <w:t>Handayani</w:t>
      </w:r>
      <w:proofErr w:type="spellEnd"/>
      <w:r w:rsidRPr="00E80FAF">
        <w:rPr>
          <w:rFonts w:ascii="Arial" w:hAnsi="Arial" w:cs="Arial"/>
          <w:b w:val="0"/>
          <w:caps w:val="0"/>
          <w:sz w:val="20"/>
        </w:rPr>
        <w:t xml:space="preserve">, S. (2021). The Effect of ESG Disclosure on Corporate Financial Performance (Empirical Study of Financial Sector Companies Listed on the Indonesian Stock Exchange (IDX) for the 2017-2019 Period). </w:t>
      </w:r>
      <w:proofErr w:type="spellStart"/>
      <w:r w:rsidRPr="00E80FAF">
        <w:rPr>
          <w:rFonts w:ascii="Arial" w:hAnsi="Arial" w:cs="Arial"/>
          <w:b w:val="0"/>
          <w:caps w:val="0"/>
          <w:sz w:val="20"/>
        </w:rPr>
        <w:t>Jurnal</w:t>
      </w:r>
      <w:proofErr w:type="spellEnd"/>
      <w:r w:rsidRPr="00E80FAF">
        <w:rPr>
          <w:rFonts w:ascii="Arial" w:hAnsi="Arial" w:cs="Arial"/>
          <w:b w:val="0"/>
          <w:caps w:val="0"/>
          <w:sz w:val="20"/>
        </w:rPr>
        <w:t xml:space="preserve"> Bina </w:t>
      </w:r>
      <w:proofErr w:type="spellStart"/>
      <w:r w:rsidRPr="00E80FAF">
        <w:rPr>
          <w:rFonts w:ascii="Arial" w:hAnsi="Arial" w:cs="Arial"/>
          <w:b w:val="0"/>
          <w:caps w:val="0"/>
          <w:sz w:val="20"/>
        </w:rPr>
        <w:t>Akuntansi</w:t>
      </w:r>
      <w:proofErr w:type="spellEnd"/>
      <w:r w:rsidRPr="00E80FAF">
        <w:rPr>
          <w:rFonts w:ascii="Arial" w:hAnsi="Arial" w:cs="Arial"/>
          <w:b w:val="0"/>
          <w:caps w:val="0"/>
          <w:sz w:val="20"/>
        </w:rPr>
        <w:t>, 8(2), 122–144. https://doi.org/10.52859/jba.v8i2.173</w:t>
      </w:r>
    </w:p>
    <w:p w14:paraId="07C9735A" w14:textId="77777777" w:rsidR="00E80FAF" w:rsidRPr="00E80FAF" w:rsidRDefault="00E80FAF" w:rsidP="00E80FAF">
      <w:pPr>
        <w:pStyle w:val="Appendix"/>
        <w:jc w:val="both"/>
        <w:rPr>
          <w:rFonts w:ascii="Arial" w:hAnsi="Arial" w:cs="Arial"/>
          <w:b w:val="0"/>
          <w:caps w:val="0"/>
          <w:sz w:val="20"/>
        </w:rPr>
      </w:pPr>
      <w:proofErr w:type="spellStart"/>
      <w:r w:rsidRPr="00E80FAF">
        <w:rPr>
          <w:rFonts w:ascii="Arial" w:hAnsi="Arial" w:cs="Arial"/>
          <w:b w:val="0"/>
          <w:caps w:val="0"/>
          <w:sz w:val="20"/>
        </w:rPr>
        <w:t>Inawati</w:t>
      </w:r>
      <w:proofErr w:type="spellEnd"/>
      <w:r w:rsidRPr="00E80FAF">
        <w:rPr>
          <w:rFonts w:ascii="Arial" w:hAnsi="Arial" w:cs="Arial"/>
          <w:b w:val="0"/>
          <w:caps w:val="0"/>
          <w:sz w:val="20"/>
        </w:rPr>
        <w:t xml:space="preserve">, W. A., &amp; Rahmawati, R. (2023). The Impact of Environmental, Social, and Governance (ESG) on Financial Performance. </w:t>
      </w:r>
      <w:proofErr w:type="spellStart"/>
      <w:r w:rsidRPr="00E80FAF">
        <w:rPr>
          <w:rFonts w:ascii="Arial" w:hAnsi="Arial" w:cs="Arial"/>
          <w:b w:val="0"/>
          <w:caps w:val="0"/>
          <w:sz w:val="20"/>
        </w:rPr>
        <w:t>Jurnal</w:t>
      </w:r>
      <w:proofErr w:type="spellEnd"/>
      <w:r w:rsidRPr="00E80FAF">
        <w:rPr>
          <w:rFonts w:ascii="Arial" w:hAnsi="Arial" w:cs="Arial"/>
          <w:b w:val="0"/>
          <w:caps w:val="0"/>
          <w:sz w:val="20"/>
        </w:rPr>
        <w:t xml:space="preserve"> </w:t>
      </w:r>
      <w:proofErr w:type="spellStart"/>
      <w:r w:rsidRPr="00E80FAF">
        <w:rPr>
          <w:rFonts w:ascii="Arial" w:hAnsi="Arial" w:cs="Arial"/>
          <w:b w:val="0"/>
          <w:caps w:val="0"/>
          <w:sz w:val="20"/>
        </w:rPr>
        <w:t>Akademi</w:t>
      </w:r>
      <w:proofErr w:type="spellEnd"/>
      <w:r w:rsidRPr="00E80FAF">
        <w:rPr>
          <w:rFonts w:ascii="Arial" w:hAnsi="Arial" w:cs="Arial"/>
          <w:b w:val="0"/>
          <w:caps w:val="0"/>
          <w:sz w:val="20"/>
        </w:rPr>
        <w:t xml:space="preserve"> </w:t>
      </w:r>
      <w:proofErr w:type="spellStart"/>
      <w:r w:rsidRPr="00E80FAF">
        <w:rPr>
          <w:rFonts w:ascii="Arial" w:hAnsi="Arial" w:cs="Arial"/>
          <w:b w:val="0"/>
          <w:caps w:val="0"/>
          <w:sz w:val="20"/>
        </w:rPr>
        <w:t>Akuntansi</w:t>
      </w:r>
      <w:proofErr w:type="spellEnd"/>
      <w:r w:rsidRPr="00E80FAF">
        <w:rPr>
          <w:rFonts w:ascii="Arial" w:hAnsi="Arial" w:cs="Arial"/>
          <w:b w:val="0"/>
          <w:caps w:val="0"/>
          <w:sz w:val="20"/>
        </w:rPr>
        <w:t>, 6(2), 225–241. https://doi.org/10.22219/jaa.v6i2.26674</w:t>
      </w:r>
    </w:p>
    <w:p w14:paraId="565AE796" w14:textId="77777777" w:rsidR="00E80FAF" w:rsidRPr="00E80FAF" w:rsidRDefault="00E80FAF" w:rsidP="00E80FAF">
      <w:pPr>
        <w:pStyle w:val="Appendix"/>
        <w:jc w:val="both"/>
        <w:rPr>
          <w:rFonts w:ascii="Arial" w:hAnsi="Arial" w:cs="Arial"/>
          <w:b w:val="0"/>
          <w:caps w:val="0"/>
          <w:sz w:val="20"/>
        </w:rPr>
      </w:pPr>
      <w:proofErr w:type="spellStart"/>
      <w:r w:rsidRPr="00E80FAF">
        <w:rPr>
          <w:rFonts w:ascii="Arial" w:hAnsi="Arial" w:cs="Arial"/>
          <w:b w:val="0"/>
          <w:caps w:val="0"/>
          <w:sz w:val="20"/>
        </w:rPr>
        <w:t>Khairunnisa</w:t>
      </w:r>
      <w:proofErr w:type="spellEnd"/>
      <w:r w:rsidRPr="00E80FAF">
        <w:rPr>
          <w:rFonts w:ascii="Arial" w:hAnsi="Arial" w:cs="Arial"/>
          <w:b w:val="0"/>
          <w:caps w:val="0"/>
          <w:sz w:val="20"/>
        </w:rPr>
        <w:t xml:space="preserve">, </w:t>
      </w:r>
      <w:proofErr w:type="spellStart"/>
      <w:r w:rsidRPr="00E80FAF">
        <w:rPr>
          <w:rFonts w:ascii="Arial" w:hAnsi="Arial" w:cs="Arial"/>
          <w:b w:val="0"/>
          <w:caps w:val="0"/>
          <w:sz w:val="20"/>
        </w:rPr>
        <w:t>Pramitya</w:t>
      </w:r>
      <w:proofErr w:type="spellEnd"/>
      <w:r w:rsidRPr="00E80FAF">
        <w:rPr>
          <w:rFonts w:ascii="Arial" w:hAnsi="Arial" w:cs="Arial"/>
          <w:b w:val="0"/>
          <w:caps w:val="0"/>
          <w:sz w:val="20"/>
        </w:rPr>
        <w:t xml:space="preserve">, D., &amp; W, E. (2023). The Effect of ESG Performance on Corporate Financial Performance. </w:t>
      </w:r>
      <w:proofErr w:type="spellStart"/>
      <w:r w:rsidRPr="00E80FAF">
        <w:rPr>
          <w:rFonts w:ascii="Arial" w:hAnsi="Arial" w:cs="Arial"/>
          <w:b w:val="0"/>
          <w:caps w:val="0"/>
          <w:sz w:val="20"/>
        </w:rPr>
        <w:t>Jurnal</w:t>
      </w:r>
      <w:proofErr w:type="spellEnd"/>
      <w:r w:rsidRPr="00E80FAF">
        <w:rPr>
          <w:rFonts w:ascii="Arial" w:hAnsi="Arial" w:cs="Arial"/>
          <w:b w:val="0"/>
          <w:caps w:val="0"/>
          <w:sz w:val="20"/>
        </w:rPr>
        <w:t xml:space="preserve"> </w:t>
      </w:r>
      <w:proofErr w:type="spellStart"/>
      <w:r w:rsidRPr="00E80FAF">
        <w:rPr>
          <w:rFonts w:ascii="Arial" w:hAnsi="Arial" w:cs="Arial"/>
          <w:b w:val="0"/>
          <w:caps w:val="0"/>
          <w:sz w:val="20"/>
        </w:rPr>
        <w:t>Penelitian</w:t>
      </w:r>
      <w:proofErr w:type="spellEnd"/>
      <w:r w:rsidRPr="00E80FAF">
        <w:rPr>
          <w:rFonts w:ascii="Arial" w:hAnsi="Arial" w:cs="Arial"/>
          <w:b w:val="0"/>
          <w:caps w:val="0"/>
          <w:sz w:val="20"/>
        </w:rPr>
        <w:t xml:space="preserve"> </w:t>
      </w:r>
      <w:proofErr w:type="spellStart"/>
      <w:r w:rsidRPr="00E80FAF">
        <w:rPr>
          <w:rFonts w:ascii="Arial" w:hAnsi="Arial" w:cs="Arial"/>
          <w:b w:val="0"/>
          <w:caps w:val="0"/>
          <w:sz w:val="20"/>
        </w:rPr>
        <w:t>Akuntansi</w:t>
      </w:r>
      <w:proofErr w:type="spellEnd"/>
      <w:r w:rsidRPr="00E80FAF">
        <w:rPr>
          <w:rFonts w:ascii="Arial" w:hAnsi="Arial" w:cs="Arial"/>
          <w:b w:val="0"/>
          <w:caps w:val="0"/>
          <w:sz w:val="20"/>
        </w:rPr>
        <w:t xml:space="preserve"> </w:t>
      </w:r>
      <w:proofErr w:type="spellStart"/>
      <w:r w:rsidRPr="00E80FAF">
        <w:rPr>
          <w:rFonts w:ascii="Arial" w:hAnsi="Arial" w:cs="Arial"/>
          <w:b w:val="0"/>
          <w:caps w:val="0"/>
          <w:sz w:val="20"/>
        </w:rPr>
        <w:t>Aksioma</w:t>
      </w:r>
      <w:proofErr w:type="spellEnd"/>
      <w:r w:rsidRPr="00E80FAF">
        <w:rPr>
          <w:rFonts w:ascii="Arial" w:hAnsi="Arial" w:cs="Arial"/>
          <w:b w:val="0"/>
          <w:caps w:val="0"/>
          <w:sz w:val="20"/>
        </w:rPr>
        <w:t>, 22(2), 167–186.</w:t>
      </w:r>
    </w:p>
    <w:p w14:paraId="78733F8E" w14:textId="77777777" w:rsidR="00E80FAF" w:rsidRPr="00E80FAF" w:rsidRDefault="00E80FAF" w:rsidP="00E80FAF">
      <w:pPr>
        <w:pStyle w:val="Appendix"/>
        <w:jc w:val="both"/>
        <w:rPr>
          <w:rFonts w:ascii="Arial" w:hAnsi="Arial" w:cs="Arial"/>
          <w:b w:val="0"/>
          <w:caps w:val="0"/>
          <w:sz w:val="20"/>
        </w:rPr>
      </w:pPr>
      <w:proofErr w:type="spellStart"/>
      <w:r w:rsidRPr="00E80FAF">
        <w:rPr>
          <w:rFonts w:ascii="Arial" w:hAnsi="Arial" w:cs="Arial"/>
          <w:b w:val="0"/>
          <w:caps w:val="0"/>
          <w:sz w:val="20"/>
        </w:rPr>
        <w:t>Linawati</w:t>
      </w:r>
      <w:proofErr w:type="spellEnd"/>
      <w:r w:rsidRPr="00E80FAF">
        <w:rPr>
          <w:rFonts w:ascii="Arial" w:hAnsi="Arial" w:cs="Arial"/>
          <w:b w:val="0"/>
          <w:caps w:val="0"/>
          <w:sz w:val="20"/>
        </w:rPr>
        <w:t xml:space="preserve">, L., </w:t>
      </w:r>
      <w:proofErr w:type="spellStart"/>
      <w:r w:rsidRPr="00E80FAF">
        <w:rPr>
          <w:rFonts w:ascii="Arial" w:hAnsi="Arial" w:cs="Arial"/>
          <w:b w:val="0"/>
          <w:caps w:val="0"/>
          <w:sz w:val="20"/>
        </w:rPr>
        <w:t>Syailendra</w:t>
      </w:r>
      <w:proofErr w:type="spellEnd"/>
      <w:r w:rsidRPr="00E80FAF">
        <w:rPr>
          <w:rFonts w:ascii="Arial" w:hAnsi="Arial" w:cs="Arial"/>
          <w:b w:val="0"/>
          <w:caps w:val="0"/>
          <w:sz w:val="20"/>
        </w:rPr>
        <w:t xml:space="preserve">, S., &amp; </w:t>
      </w:r>
      <w:proofErr w:type="spellStart"/>
      <w:r w:rsidRPr="00E80FAF">
        <w:rPr>
          <w:rFonts w:ascii="Arial" w:hAnsi="Arial" w:cs="Arial"/>
          <w:b w:val="0"/>
          <w:caps w:val="0"/>
          <w:sz w:val="20"/>
        </w:rPr>
        <w:t>Darmansyah</w:t>
      </w:r>
      <w:proofErr w:type="spellEnd"/>
      <w:r w:rsidRPr="00E80FAF">
        <w:rPr>
          <w:rFonts w:ascii="Arial" w:hAnsi="Arial" w:cs="Arial"/>
          <w:b w:val="0"/>
          <w:caps w:val="0"/>
          <w:sz w:val="20"/>
        </w:rPr>
        <w:t>, D. (2024). The Effect of Digital Intellectual Capital and Sustainable Innovation on Financial Performance: The Mediating Role of Corporate Reputation and Moderating Digital Transformation. Indonesian Journal of Accounting and Business (JABISI), 5(2), 159–170. https://doi.org/10.55122/jabisi.v5i2.1564</w:t>
      </w:r>
    </w:p>
    <w:p w14:paraId="785A1129" w14:textId="77777777" w:rsidR="00E80FAF" w:rsidRPr="00E80FAF" w:rsidRDefault="00E80FAF" w:rsidP="00E80FAF">
      <w:pPr>
        <w:pStyle w:val="Appendix"/>
        <w:jc w:val="both"/>
        <w:rPr>
          <w:rFonts w:ascii="Arial" w:hAnsi="Arial" w:cs="Arial"/>
          <w:b w:val="0"/>
          <w:caps w:val="0"/>
          <w:sz w:val="20"/>
        </w:rPr>
      </w:pPr>
      <w:r w:rsidRPr="00E80FAF">
        <w:rPr>
          <w:rFonts w:ascii="Arial" w:hAnsi="Arial" w:cs="Arial"/>
          <w:b w:val="0"/>
          <w:caps w:val="0"/>
          <w:sz w:val="20"/>
        </w:rPr>
        <w:t xml:space="preserve">Ningsih, S. S., </w:t>
      </w:r>
      <w:proofErr w:type="spellStart"/>
      <w:r w:rsidRPr="00E80FAF">
        <w:rPr>
          <w:rFonts w:ascii="Arial" w:hAnsi="Arial" w:cs="Arial"/>
          <w:b w:val="0"/>
          <w:caps w:val="0"/>
          <w:sz w:val="20"/>
        </w:rPr>
        <w:t>Zaitul</w:t>
      </w:r>
      <w:proofErr w:type="spellEnd"/>
      <w:r w:rsidRPr="00E80FAF">
        <w:rPr>
          <w:rFonts w:ascii="Arial" w:hAnsi="Arial" w:cs="Arial"/>
          <w:b w:val="0"/>
          <w:caps w:val="0"/>
          <w:sz w:val="20"/>
        </w:rPr>
        <w:t>, Z., &amp; Ilona, ​​D. (2024). ESG Disclosure and Investment Efficiency: An Investigation of the Role of Audit Quality and Digital Transformation as Moderating Variables. Journal of Accounting, Management, and Economics, 05, 2723–8121.</w:t>
      </w:r>
    </w:p>
    <w:p w14:paraId="3251455C" w14:textId="77777777" w:rsidR="00E80FAF" w:rsidRPr="00E80FAF" w:rsidRDefault="00E80FAF" w:rsidP="00E80FAF">
      <w:pPr>
        <w:pStyle w:val="Appendix"/>
        <w:jc w:val="both"/>
        <w:rPr>
          <w:rFonts w:ascii="Arial" w:hAnsi="Arial" w:cs="Arial"/>
          <w:b w:val="0"/>
          <w:caps w:val="0"/>
          <w:sz w:val="20"/>
        </w:rPr>
      </w:pPr>
      <w:r w:rsidRPr="00E80FAF">
        <w:rPr>
          <w:rFonts w:ascii="Arial" w:hAnsi="Arial" w:cs="Arial"/>
          <w:b w:val="0"/>
          <w:caps w:val="0"/>
          <w:sz w:val="20"/>
        </w:rPr>
        <w:t xml:space="preserve">Nugroho, N. A., &amp; </w:t>
      </w:r>
      <w:proofErr w:type="spellStart"/>
      <w:r w:rsidRPr="00E80FAF">
        <w:rPr>
          <w:rFonts w:ascii="Arial" w:hAnsi="Arial" w:cs="Arial"/>
          <w:b w:val="0"/>
          <w:caps w:val="0"/>
          <w:sz w:val="20"/>
        </w:rPr>
        <w:t>Hersugondo</w:t>
      </w:r>
      <w:proofErr w:type="spellEnd"/>
      <w:r w:rsidRPr="00E80FAF">
        <w:rPr>
          <w:rFonts w:ascii="Arial" w:hAnsi="Arial" w:cs="Arial"/>
          <w:b w:val="0"/>
          <w:caps w:val="0"/>
          <w:sz w:val="20"/>
        </w:rPr>
        <w:t xml:space="preserve"> </w:t>
      </w:r>
      <w:proofErr w:type="spellStart"/>
      <w:r w:rsidRPr="00E80FAF">
        <w:rPr>
          <w:rFonts w:ascii="Arial" w:hAnsi="Arial" w:cs="Arial"/>
          <w:b w:val="0"/>
          <w:caps w:val="0"/>
          <w:sz w:val="20"/>
        </w:rPr>
        <w:t>Hersugondo</w:t>
      </w:r>
      <w:proofErr w:type="spellEnd"/>
      <w:r w:rsidRPr="00E80FAF">
        <w:rPr>
          <w:rFonts w:ascii="Arial" w:hAnsi="Arial" w:cs="Arial"/>
          <w:b w:val="0"/>
          <w:caps w:val="0"/>
          <w:sz w:val="20"/>
        </w:rPr>
        <w:t>. (2022). Analysis of the Effect of Environmental, Social, Governance (ESG) Disclosure on Company Financial Performance. E-Business: Scientific Journal of Economics and Business, 15(2), 233–243. https://doi.org/10.51903/e-bisnis.v15i2.810</w:t>
      </w:r>
    </w:p>
    <w:p w14:paraId="72DEB0D0" w14:textId="77777777" w:rsidR="00E80FAF" w:rsidRPr="00E80FAF" w:rsidRDefault="00E80FAF" w:rsidP="00E80FAF">
      <w:pPr>
        <w:pStyle w:val="Appendix"/>
        <w:jc w:val="both"/>
        <w:rPr>
          <w:rFonts w:ascii="Arial" w:hAnsi="Arial" w:cs="Arial"/>
          <w:b w:val="0"/>
          <w:caps w:val="0"/>
          <w:sz w:val="20"/>
        </w:rPr>
      </w:pPr>
      <w:r w:rsidRPr="00E80FAF">
        <w:rPr>
          <w:rFonts w:ascii="Arial" w:hAnsi="Arial" w:cs="Arial"/>
          <w:b w:val="0"/>
          <w:caps w:val="0"/>
          <w:sz w:val="20"/>
        </w:rPr>
        <w:t xml:space="preserve">Pertiwi, S. N., Muslim, A., &amp; </w:t>
      </w:r>
      <w:proofErr w:type="spellStart"/>
      <w:r w:rsidRPr="00E80FAF">
        <w:rPr>
          <w:rFonts w:ascii="Arial" w:hAnsi="Arial" w:cs="Arial"/>
          <w:b w:val="0"/>
          <w:caps w:val="0"/>
          <w:sz w:val="20"/>
        </w:rPr>
        <w:t>Widiastuti</w:t>
      </w:r>
      <w:proofErr w:type="spellEnd"/>
      <w:r w:rsidRPr="00E80FAF">
        <w:rPr>
          <w:rFonts w:ascii="Arial" w:hAnsi="Arial" w:cs="Arial"/>
          <w:b w:val="0"/>
          <w:caps w:val="0"/>
          <w:sz w:val="20"/>
        </w:rPr>
        <w:t>, M. C. (2024). Analysis of the Effect of ESG Performance and Corporate Governance on Financial Performance with Digital Transformation as a Moderating Variable in Lq45 Companies. Scientific Journal of Management, Economics, &amp; Accounting (MEA), 8(2), 1777–1796. https://doi.org/10.31955/mea.v8i2.4245</w:t>
      </w:r>
    </w:p>
    <w:p w14:paraId="643205F5" w14:textId="77777777" w:rsidR="00E80FAF" w:rsidRPr="00E80FAF" w:rsidRDefault="00E80FAF" w:rsidP="00E80FAF">
      <w:pPr>
        <w:pStyle w:val="Appendix"/>
        <w:jc w:val="both"/>
        <w:rPr>
          <w:rFonts w:ascii="Arial" w:hAnsi="Arial" w:cs="Arial"/>
          <w:b w:val="0"/>
          <w:caps w:val="0"/>
          <w:sz w:val="20"/>
        </w:rPr>
      </w:pPr>
      <w:proofErr w:type="spellStart"/>
      <w:r w:rsidRPr="00E80FAF">
        <w:rPr>
          <w:rFonts w:ascii="Arial" w:hAnsi="Arial" w:cs="Arial"/>
          <w:b w:val="0"/>
          <w:caps w:val="0"/>
          <w:sz w:val="20"/>
        </w:rPr>
        <w:t>Rahmansyah</w:t>
      </w:r>
      <w:proofErr w:type="spellEnd"/>
      <w:r w:rsidRPr="00E80FAF">
        <w:rPr>
          <w:rFonts w:ascii="Arial" w:hAnsi="Arial" w:cs="Arial"/>
          <w:b w:val="0"/>
          <w:caps w:val="0"/>
          <w:sz w:val="20"/>
        </w:rPr>
        <w:t xml:space="preserve">, M. F., &amp; </w:t>
      </w:r>
      <w:proofErr w:type="spellStart"/>
      <w:r w:rsidRPr="00E80FAF">
        <w:rPr>
          <w:rFonts w:ascii="Arial" w:hAnsi="Arial" w:cs="Arial"/>
          <w:b w:val="0"/>
          <w:caps w:val="0"/>
          <w:sz w:val="20"/>
        </w:rPr>
        <w:t>Mutmainah</w:t>
      </w:r>
      <w:proofErr w:type="spellEnd"/>
      <w:r w:rsidRPr="00E80FAF">
        <w:rPr>
          <w:rFonts w:ascii="Arial" w:hAnsi="Arial" w:cs="Arial"/>
          <w:b w:val="0"/>
          <w:caps w:val="0"/>
          <w:sz w:val="20"/>
        </w:rPr>
        <w:t xml:space="preserve">, S. (2024). The Effect of ESG Disclosure on Financial Performance as a Moderating Variable. </w:t>
      </w:r>
      <w:proofErr w:type="spellStart"/>
      <w:r w:rsidRPr="00E80FAF">
        <w:rPr>
          <w:rFonts w:ascii="Arial" w:hAnsi="Arial" w:cs="Arial"/>
          <w:b w:val="0"/>
          <w:caps w:val="0"/>
          <w:sz w:val="20"/>
        </w:rPr>
        <w:t>Diponegoro</w:t>
      </w:r>
      <w:proofErr w:type="spellEnd"/>
      <w:r w:rsidRPr="00E80FAF">
        <w:rPr>
          <w:rFonts w:ascii="Arial" w:hAnsi="Arial" w:cs="Arial"/>
          <w:b w:val="0"/>
          <w:caps w:val="0"/>
          <w:sz w:val="20"/>
        </w:rPr>
        <w:t xml:space="preserve"> Journal of Accounting, 13(3), 1–15. https://ejournal3.undip.ac.id/index.php/accounting/article/view/46161</w:t>
      </w:r>
    </w:p>
    <w:p w14:paraId="6E1B8582" w14:textId="77777777" w:rsidR="00E80FAF" w:rsidRPr="00E80FAF" w:rsidRDefault="00E80FAF" w:rsidP="00E80FAF">
      <w:pPr>
        <w:pStyle w:val="Appendix"/>
        <w:jc w:val="both"/>
        <w:rPr>
          <w:rFonts w:ascii="Arial" w:hAnsi="Arial" w:cs="Arial"/>
          <w:b w:val="0"/>
          <w:caps w:val="0"/>
          <w:sz w:val="20"/>
        </w:rPr>
      </w:pPr>
      <w:r w:rsidRPr="00E80FAF">
        <w:rPr>
          <w:rFonts w:ascii="Arial" w:hAnsi="Arial" w:cs="Arial"/>
          <w:b w:val="0"/>
          <w:caps w:val="0"/>
          <w:sz w:val="20"/>
        </w:rPr>
        <w:t xml:space="preserve">Sekar Sari, P., </w:t>
      </w:r>
      <w:proofErr w:type="spellStart"/>
      <w:r w:rsidRPr="00E80FAF">
        <w:rPr>
          <w:rFonts w:ascii="Arial" w:hAnsi="Arial" w:cs="Arial"/>
          <w:b w:val="0"/>
          <w:caps w:val="0"/>
          <w:sz w:val="20"/>
        </w:rPr>
        <w:t>Widiatmoko</w:t>
      </w:r>
      <w:proofErr w:type="spellEnd"/>
      <w:r w:rsidRPr="00E80FAF">
        <w:rPr>
          <w:rFonts w:ascii="Arial" w:hAnsi="Arial" w:cs="Arial"/>
          <w:b w:val="0"/>
          <w:caps w:val="0"/>
          <w:sz w:val="20"/>
        </w:rPr>
        <w:t xml:space="preserve">, J., &amp; </w:t>
      </w:r>
      <w:proofErr w:type="spellStart"/>
      <w:r w:rsidRPr="00E80FAF">
        <w:rPr>
          <w:rFonts w:ascii="Arial" w:hAnsi="Arial" w:cs="Arial"/>
          <w:b w:val="0"/>
          <w:caps w:val="0"/>
          <w:sz w:val="20"/>
        </w:rPr>
        <w:t>Kunci</w:t>
      </w:r>
      <w:proofErr w:type="spellEnd"/>
      <w:r w:rsidRPr="00E80FAF">
        <w:rPr>
          <w:rFonts w:ascii="Arial" w:hAnsi="Arial" w:cs="Arial"/>
          <w:b w:val="0"/>
          <w:caps w:val="0"/>
          <w:sz w:val="20"/>
        </w:rPr>
        <w:t>, K. (2023). The Effect of Environmental, Social, and Governance (ESG) Disclosure on Financial Performance with Gender Diversity as a Moderating Variable. Scientific Journal of Accounting and Finance, 5(9), 2023. https://journal.ikopin.ac.id/index.php/fairvalue</w:t>
      </w:r>
    </w:p>
    <w:p w14:paraId="3CEC976D" w14:textId="30DDAF95" w:rsidR="00B01FCD" w:rsidRPr="00FB3A86" w:rsidRDefault="00E80FAF" w:rsidP="00E80FAF">
      <w:pPr>
        <w:pStyle w:val="Appendix"/>
        <w:spacing w:after="0"/>
        <w:jc w:val="both"/>
        <w:rPr>
          <w:rFonts w:ascii="Arial" w:hAnsi="Arial" w:cs="Arial"/>
          <w:b w:val="0"/>
        </w:rPr>
      </w:pPr>
      <w:proofErr w:type="spellStart"/>
      <w:r w:rsidRPr="00E80FAF">
        <w:rPr>
          <w:rFonts w:ascii="Arial" w:hAnsi="Arial" w:cs="Arial"/>
          <w:b w:val="0"/>
          <w:caps w:val="0"/>
          <w:sz w:val="20"/>
        </w:rPr>
        <w:t>Waskito</w:t>
      </w:r>
      <w:proofErr w:type="spellEnd"/>
      <w:r w:rsidRPr="00E80FAF">
        <w:rPr>
          <w:rFonts w:ascii="Arial" w:hAnsi="Arial" w:cs="Arial"/>
          <w:b w:val="0"/>
          <w:caps w:val="0"/>
          <w:sz w:val="20"/>
        </w:rPr>
        <w:t>, S. K., &amp; Rahayu, M. (2025). The Effect of Logistics Business Strategy on the Performance of Bandung Carpet Distributor Company (DKB) with Digital Transformation as a Moderating Variable. YUME: Journal of Management, 8(1), 421–436.</w:t>
      </w:r>
    </w:p>
    <w:sectPr w:rsidR="00B01FCD" w:rsidRPr="00FB3A86" w:rsidSect="00EF5AB6">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7B8C3" w14:textId="77777777" w:rsidR="00D846C0" w:rsidRDefault="00D846C0" w:rsidP="00C37E61">
      <w:r>
        <w:separator/>
      </w:r>
    </w:p>
  </w:endnote>
  <w:endnote w:type="continuationSeparator" w:id="0">
    <w:p w14:paraId="24CBADC1" w14:textId="77777777" w:rsidR="00D846C0" w:rsidRDefault="00D846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FF2D9" w14:textId="77777777" w:rsidR="00EF5AB6" w:rsidRDefault="00EF5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1BB3A" w14:textId="77777777" w:rsidR="00EF5AB6" w:rsidRDefault="00EF5A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C4E1A" w14:textId="1EF4144A" w:rsidR="00754C9A" w:rsidRPr="00EF5AB6" w:rsidRDefault="00754C9A" w:rsidP="00EF5AB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CAFD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E8300" w14:textId="77777777" w:rsidR="00D846C0" w:rsidRDefault="00D846C0" w:rsidP="00C37E61">
      <w:r>
        <w:separator/>
      </w:r>
    </w:p>
  </w:footnote>
  <w:footnote w:type="continuationSeparator" w:id="0">
    <w:p w14:paraId="56CED7C8" w14:textId="77777777" w:rsidR="00D846C0" w:rsidRDefault="00D846C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0BF7" w14:textId="70A78147" w:rsidR="00EF5AB6" w:rsidRDefault="00EF5AB6">
    <w:pPr>
      <w:pStyle w:val="Header"/>
    </w:pPr>
    <w:r>
      <w:rPr>
        <w:noProof/>
      </w:rPr>
      <w:pict w14:anchorId="5235A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01188"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C10B" w14:textId="0A35E92A" w:rsidR="00EF5AB6" w:rsidRDefault="00EF5AB6">
    <w:pPr>
      <w:pStyle w:val="Header"/>
    </w:pPr>
    <w:r>
      <w:rPr>
        <w:noProof/>
      </w:rPr>
      <w:pict w14:anchorId="0E3E6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01189"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56D6" w14:textId="51224E30" w:rsidR="00296529" w:rsidRPr="00296529" w:rsidRDefault="00EF5AB6" w:rsidP="00296529">
    <w:pPr>
      <w:ind w:left="2160"/>
      <w:jc w:val="center"/>
      <w:rPr>
        <w:rFonts w:ascii="Times New Roman" w:eastAsia="Calibri" w:hAnsi="Times New Roman"/>
        <w:i/>
        <w:sz w:val="18"/>
        <w:szCs w:val="22"/>
      </w:rPr>
    </w:pPr>
    <w:r>
      <w:rPr>
        <w:noProof/>
      </w:rPr>
      <w:pict w14:anchorId="0548B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01187"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97E149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E92F0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BD627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77BAB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43A50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1EB22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820B" w14:textId="59BA587D" w:rsidR="00EF5AB6" w:rsidRDefault="00EF5AB6">
    <w:pPr>
      <w:pStyle w:val="Header"/>
    </w:pPr>
    <w:r>
      <w:rPr>
        <w:noProof/>
      </w:rPr>
      <w:pict w14:anchorId="4EC0E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01191"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CD9F6" w14:textId="017E2BC7" w:rsidR="00EF5AB6" w:rsidRDefault="00EF5AB6">
    <w:pPr>
      <w:pStyle w:val="Header"/>
    </w:pPr>
    <w:r>
      <w:rPr>
        <w:noProof/>
      </w:rPr>
      <w:pict w14:anchorId="58BA6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01192"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7F4C4" w14:textId="5C598D10" w:rsidR="00EF5AB6" w:rsidRDefault="00EF5AB6">
    <w:pPr>
      <w:pStyle w:val="Header"/>
    </w:pPr>
    <w:r>
      <w:rPr>
        <w:noProof/>
      </w:rPr>
      <w:pict w14:anchorId="5ABB3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01190"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73782"/>
    <w:multiLevelType w:val="hybridMultilevel"/>
    <w:tmpl w:val="5B5A20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024CB7"/>
    <w:multiLevelType w:val="multilevel"/>
    <w:tmpl w:val="679AEF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6A4C00"/>
    <w:multiLevelType w:val="hybridMultilevel"/>
    <w:tmpl w:val="56C427CA"/>
    <w:lvl w:ilvl="0" w:tplc="A30460F0">
      <w:start w:val="1"/>
      <w:numFmt w:val="lowerLetter"/>
      <w:lvlText w:val="%1."/>
      <w:lvlJc w:val="left"/>
      <w:pPr>
        <w:ind w:left="720" w:hanging="360"/>
      </w:pPr>
      <w:rPr>
        <w:rFonts w:asciiTheme="minorHAnsi"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1DC6140"/>
    <w:multiLevelType w:val="multilevel"/>
    <w:tmpl w:val="5A90CA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DD60B0"/>
    <w:multiLevelType w:val="hybridMultilevel"/>
    <w:tmpl w:val="40CC6730"/>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3CD02D6"/>
    <w:multiLevelType w:val="multilevel"/>
    <w:tmpl w:val="F3083B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5"/>
  </w:num>
  <w:num w:numId="9">
    <w:abstractNumId w:val="31"/>
  </w:num>
  <w:num w:numId="10">
    <w:abstractNumId w:val="2"/>
  </w:num>
  <w:num w:numId="11">
    <w:abstractNumId w:val="24"/>
  </w:num>
  <w:num w:numId="12">
    <w:abstractNumId w:val="3"/>
  </w:num>
  <w:num w:numId="13">
    <w:abstractNumId w:val="22"/>
  </w:num>
  <w:num w:numId="14">
    <w:abstractNumId w:val="11"/>
  </w:num>
  <w:num w:numId="15">
    <w:abstractNumId w:val="27"/>
  </w:num>
  <w:num w:numId="16">
    <w:abstractNumId w:val="6"/>
  </w:num>
  <w:num w:numId="17">
    <w:abstractNumId w:val="28"/>
  </w:num>
  <w:num w:numId="18">
    <w:abstractNumId w:val="17"/>
  </w:num>
  <w:num w:numId="19">
    <w:abstractNumId w:val="34"/>
  </w:num>
  <w:num w:numId="20">
    <w:abstractNumId w:val="14"/>
  </w:num>
  <w:num w:numId="21">
    <w:abstractNumId w:val="12"/>
  </w:num>
  <w:num w:numId="22">
    <w:abstractNumId w:val="16"/>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3"/>
  </w:num>
  <w:num w:numId="31">
    <w:abstractNumId w:val="7"/>
  </w:num>
  <w:num w:numId="32">
    <w:abstractNumId w:val="18"/>
  </w:num>
  <w:num w:numId="33">
    <w:abstractNumId w:val="10"/>
  </w:num>
  <w:num w:numId="34">
    <w:abstractNumId w:val="19"/>
  </w:num>
  <w:num w:numId="35">
    <w:abstractNumId w:val="23"/>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066E"/>
    <w:rsid w:val="000761F9"/>
    <w:rsid w:val="000A47FA"/>
    <w:rsid w:val="000A65D3"/>
    <w:rsid w:val="000B1E33"/>
    <w:rsid w:val="000D689F"/>
    <w:rsid w:val="000E0A70"/>
    <w:rsid w:val="000E4701"/>
    <w:rsid w:val="000E7B7B"/>
    <w:rsid w:val="000E7D62"/>
    <w:rsid w:val="00103357"/>
    <w:rsid w:val="00123C9F"/>
    <w:rsid w:val="00126190"/>
    <w:rsid w:val="00130F17"/>
    <w:rsid w:val="001320BF"/>
    <w:rsid w:val="00163BC4"/>
    <w:rsid w:val="00191062"/>
    <w:rsid w:val="00192B72"/>
    <w:rsid w:val="001A29D8"/>
    <w:rsid w:val="001A5CAA"/>
    <w:rsid w:val="001A5F98"/>
    <w:rsid w:val="001B0427"/>
    <w:rsid w:val="001D3A51"/>
    <w:rsid w:val="001E10D2"/>
    <w:rsid w:val="001E25B4"/>
    <w:rsid w:val="001E44FE"/>
    <w:rsid w:val="00200595"/>
    <w:rsid w:val="00204835"/>
    <w:rsid w:val="002129F1"/>
    <w:rsid w:val="00231920"/>
    <w:rsid w:val="0023195C"/>
    <w:rsid w:val="0024282C"/>
    <w:rsid w:val="002460DC"/>
    <w:rsid w:val="00250985"/>
    <w:rsid w:val="002556F6"/>
    <w:rsid w:val="00283105"/>
    <w:rsid w:val="00284C4C"/>
    <w:rsid w:val="00287E68"/>
    <w:rsid w:val="00296529"/>
    <w:rsid w:val="002B27FB"/>
    <w:rsid w:val="002B685A"/>
    <w:rsid w:val="002C37E5"/>
    <w:rsid w:val="002C57D2"/>
    <w:rsid w:val="002E0D56"/>
    <w:rsid w:val="002E44DE"/>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A6990"/>
    <w:rsid w:val="005C784C"/>
    <w:rsid w:val="005D17F6"/>
    <w:rsid w:val="005E5539"/>
    <w:rsid w:val="00602BF5"/>
    <w:rsid w:val="00617FDD"/>
    <w:rsid w:val="00626AAA"/>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11D"/>
    <w:rsid w:val="0070082C"/>
    <w:rsid w:val="007169B8"/>
    <w:rsid w:val="00726CE2"/>
    <w:rsid w:val="007369E6"/>
    <w:rsid w:val="00746E59"/>
    <w:rsid w:val="00754C9A"/>
    <w:rsid w:val="0075599A"/>
    <w:rsid w:val="00761D52"/>
    <w:rsid w:val="0077749E"/>
    <w:rsid w:val="00790ADA"/>
    <w:rsid w:val="007B7317"/>
    <w:rsid w:val="007D2288"/>
    <w:rsid w:val="007E088F"/>
    <w:rsid w:val="007F7B32"/>
    <w:rsid w:val="00804BC2"/>
    <w:rsid w:val="00813D84"/>
    <w:rsid w:val="0081431A"/>
    <w:rsid w:val="0083216F"/>
    <w:rsid w:val="00860000"/>
    <w:rsid w:val="00863380"/>
    <w:rsid w:val="00863BD3"/>
    <w:rsid w:val="008641ED"/>
    <w:rsid w:val="00865742"/>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4392"/>
    <w:rsid w:val="009B3FB9"/>
    <w:rsid w:val="009C2465"/>
    <w:rsid w:val="009D35A0"/>
    <w:rsid w:val="009D7EB7"/>
    <w:rsid w:val="009E048A"/>
    <w:rsid w:val="009E08E9"/>
    <w:rsid w:val="009E3DB9"/>
    <w:rsid w:val="009E6E35"/>
    <w:rsid w:val="009F0EDA"/>
    <w:rsid w:val="00A03B96"/>
    <w:rsid w:val="00A05B19"/>
    <w:rsid w:val="00A1134E"/>
    <w:rsid w:val="00A24A7C"/>
    <w:rsid w:val="00A24E7E"/>
    <w:rsid w:val="00A258C3"/>
    <w:rsid w:val="00A347C0"/>
    <w:rsid w:val="00A51431"/>
    <w:rsid w:val="00A539AD"/>
    <w:rsid w:val="00A94063"/>
    <w:rsid w:val="00AA6219"/>
    <w:rsid w:val="00AA74E0"/>
    <w:rsid w:val="00AB703F"/>
    <w:rsid w:val="00AC6BB8"/>
    <w:rsid w:val="00AE008F"/>
    <w:rsid w:val="00B01FCD"/>
    <w:rsid w:val="00B13E60"/>
    <w:rsid w:val="00B1776C"/>
    <w:rsid w:val="00B52583"/>
    <w:rsid w:val="00B52896"/>
    <w:rsid w:val="00B8125F"/>
    <w:rsid w:val="00B95236"/>
    <w:rsid w:val="00B96BD9"/>
    <w:rsid w:val="00BA1B01"/>
    <w:rsid w:val="00BA2641"/>
    <w:rsid w:val="00BB37AA"/>
    <w:rsid w:val="00BC53A0"/>
    <w:rsid w:val="00BE62AD"/>
    <w:rsid w:val="00BF121F"/>
    <w:rsid w:val="00BF1F80"/>
    <w:rsid w:val="00C166EF"/>
    <w:rsid w:val="00C17EB0"/>
    <w:rsid w:val="00C26064"/>
    <w:rsid w:val="00C27F5F"/>
    <w:rsid w:val="00C30A0F"/>
    <w:rsid w:val="00C37E61"/>
    <w:rsid w:val="00C70F1B"/>
    <w:rsid w:val="00C71A47"/>
    <w:rsid w:val="00C7464C"/>
    <w:rsid w:val="00C85588"/>
    <w:rsid w:val="00CD6755"/>
    <w:rsid w:val="00CD6856"/>
    <w:rsid w:val="00CE0089"/>
    <w:rsid w:val="00CE793C"/>
    <w:rsid w:val="00CF193C"/>
    <w:rsid w:val="00CF4F7C"/>
    <w:rsid w:val="00D173F1"/>
    <w:rsid w:val="00D74CB0"/>
    <w:rsid w:val="00D8295D"/>
    <w:rsid w:val="00D846C0"/>
    <w:rsid w:val="00DC2A65"/>
    <w:rsid w:val="00DE15F0"/>
    <w:rsid w:val="00DE5663"/>
    <w:rsid w:val="00DE78AA"/>
    <w:rsid w:val="00E053D0"/>
    <w:rsid w:val="00E1423F"/>
    <w:rsid w:val="00E15994"/>
    <w:rsid w:val="00E3114E"/>
    <w:rsid w:val="00E31A70"/>
    <w:rsid w:val="00E35B02"/>
    <w:rsid w:val="00E66496"/>
    <w:rsid w:val="00E66B35"/>
    <w:rsid w:val="00E66E10"/>
    <w:rsid w:val="00E769F6"/>
    <w:rsid w:val="00E80FAF"/>
    <w:rsid w:val="00E8407C"/>
    <w:rsid w:val="00E84F3C"/>
    <w:rsid w:val="00EA012C"/>
    <w:rsid w:val="00EC6A55"/>
    <w:rsid w:val="00ED0288"/>
    <w:rsid w:val="00EE52CB"/>
    <w:rsid w:val="00EF581D"/>
    <w:rsid w:val="00EF5AB6"/>
    <w:rsid w:val="00EF7FD8"/>
    <w:rsid w:val="00F06F59"/>
    <w:rsid w:val="00F17988"/>
    <w:rsid w:val="00F30B45"/>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D82A8C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A5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B7317"/>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semiHidden/>
    <w:rsid w:val="001A5F9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A5F98"/>
    <w:pPr>
      <w:spacing w:after="160" w:line="259" w:lineRule="auto"/>
      <w:ind w:left="720"/>
      <w:contextualSpacing/>
    </w:pPr>
    <w:rPr>
      <w:rFonts w:asciiTheme="minorHAnsi" w:eastAsiaTheme="minorHAnsi" w:hAnsiTheme="minorHAnsi" w:cstheme="minorBidi"/>
      <w:kern w:val="2"/>
      <w:sz w:val="22"/>
      <w:szCs w:val="22"/>
      <w:lang w:val="en-ID"/>
    </w:rPr>
  </w:style>
  <w:style w:type="character" w:styleId="Strong">
    <w:name w:val="Strong"/>
    <w:basedOn w:val="DefaultParagraphFont"/>
    <w:uiPriority w:val="22"/>
    <w:qFormat/>
    <w:rsid w:val="001A5F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C6488-24D7-415D-B24B-9233E2B2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8</Pages>
  <Words>9316</Words>
  <Characters>53105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62297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2025-09-27T04:50:00Z</dcterms:created>
  <dcterms:modified xsi:type="dcterms:W3CDTF">2025-09-27T11:53:00Z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2d5f5f98-c4f4-39ea-9858-2d510f3381e3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6th/7th edition</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http://www.zotero.org/styles/university-of-gothenburg-apa-swedish-legislations</vt:lpwstr>
  </property>
  <property fmtid="{D5CDD505-2E9C-101B-9397-08002B2CF9AE}" pid="24" name="Mendeley Recent Style Name 9_1">
    <vt:lpwstr>University of Gothenburg - APA 6th edition (Swedish legislations)</vt:lpwstr>
  </property>
</Properties>
</file>