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F5C47" w14:textId="25420527" w:rsidR="009614A2" w:rsidRDefault="009614A2" w:rsidP="00441B6F">
      <w:pPr>
        <w:pStyle w:val="Title"/>
        <w:spacing w:after="0"/>
        <w:jc w:val="both"/>
        <w:rPr>
          <w:rFonts w:ascii="Arial" w:hAnsi="Arial" w:cs="Arial"/>
        </w:rPr>
      </w:pPr>
      <w:r w:rsidRPr="009614A2">
        <w:rPr>
          <w:rFonts w:ascii="Arial" w:hAnsi="Arial" w:cs="Arial"/>
        </w:rPr>
        <w:t>Original Research Article</w:t>
      </w:r>
    </w:p>
    <w:p w14:paraId="575EA4B1" w14:textId="77777777" w:rsidR="009614A2" w:rsidRDefault="009614A2" w:rsidP="00441B6F">
      <w:pPr>
        <w:pStyle w:val="Title"/>
        <w:spacing w:after="0"/>
        <w:jc w:val="both"/>
        <w:rPr>
          <w:rFonts w:ascii="Arial" w:hAnsi="Arial" w:cs="Arial"/>
        </w:rPr>
      </w:pPr>
    </w:p>
    <w:p w14:paraId="2719B9F9" w14:textId="77777777" w:rsidR="00163BC4" w:rsidRPr="00163BC4" w:rsidRDefault="00003376" w:rsidP="00441B6F">
      <w:pPr>
        <w:pStyle w:val="Author"/>
        <w:spacing w:line="240" w:lineRule="auto"/>
        <w:rPr>
          <w:rFonts w:ascii="Arial" w:hAnsi="Arial" w:cs="Arial"/>
          <w:bCs/>
          <w:iCs/>
          <w:kern w:val="28"/>
          <w:sz w:val="36"/>
        </w:rPr>
      </w:pPr>
      <w:r w:rsidRPr="00884F8B">
        <w:rPr>
          <w:rFonts w:ascii="Arial" w:hAnsi="Arial" w:cs="Arial"/>
          <w:bCs/>
          <w:iCs/>
          <w:kern w:val="28"/>
          <w:sz w:val="36"/>
        </w:rPr>
        <w:t>UNRAVELING STOCK VOLATILITY: THE ROLE OF DIVIDEND PAYOUT RATIO, PROFITABILITY, AND ENTERPRISE RESOURCE PLANNING IN INDONESIAN LISTED COMPANIES (2022–2024)</w:t>
      </w:r>
    </w:p>
    <w:p w14:paraId="210053D6" w14:textId="77777777" w:rsidR="00A258C3" w:rsidRPr="00790ADA" w:rsidRDefault="00A258C3" w:rsidP="00441B6F">
      <w:pPr>
        <w:pStyle w:val="Author"/>
        <w:spacing w:line="240" w:lineRule="auto"/>
        <w:jc w:val="both"/>
        <w:rPr>
          <w:rFonts w:ascii="Arial" w:hAnsi="Arial" w:cs="Arial"/>
          <w:sz w:val="36"/>
        </w:rPr>
      </w:pPr>
    </w:p>
    <w:p w14:paraId="459C7AA4" w14:textId="77777777" w:rsidR="002C57D2" w:rsidRPr="00FB3A86" w:rsidRDefault="002C57D2" w:rsidP="00441B6F">
      <w:pPr>
        <w:pStyle w:val="Affiliation"/>
        <w:spacing w:after="0" w:line="240" w:lineRule="auto"/>
        <w:jc w:val="both"/>
        <w:rPr>
          <w:rFonts w:ascii="Arial" w:hAnsi="Arial" w:cs="Arial"/>
        </w:rPr>
      </w:pPr>
    </w:p>
    <w:p w14:paraId="1F19BE12" w14:textId="77777777" w:rsidR="00B01FCD" w:rsidRPr="00FB3A86" w:rsidRDefault="007C73D5" w:rsidP="00441B6F">
      <w:pPr>
        <w:pStyle w:val="Copyright"/>
        <w:spacing w:after="0" w:line="240" w:lineRule="auto"/>
        <w:jc w:val="both"/>
        <w:rPr>
          <w:rFonts w:ascii="Arial" w:hAnsi="Arial" w:cs="Arial"/>
        </w:rPr>
        <w:sectPr w:rsidR="00B01FCD" w:rsidRPr="00FB3A86" w:rsidSect="003D52D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E2E6C4A">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99D7FD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A3F64D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EBCF35D" w14:textId="77777777" w:rsidTr="001E44FE">
        <w:tc>
          <w:tcPr>
            <w:tcW w:w="9576" w:type="dxa"/>
            <w:shd w:val="clear" w:color="auto" w:fill="F2F2F2"/>
          </w:tcPr>
          <w:p w14:paraId="1D0CED0B" w14:textId="77777777" w:rsidR="00003376" w:rsidRDefault="00003376" w:rsidP="00003376">
            <w:pPr>
              <w:pStyle w:val="Body"/>
              <w:spacing w:after="0"/>
            </w:pPr>
            <w:r w:rsidRPr="00BA1B01">
              <w:rPr>
                <w:rFonts w:ascii="Arial" w:eastAsia="Calibri" w:hAnsi="Arial" w:cs="Arial"/>
                <w:b/>
                <w:szCs w:val="22"/>
              </w:rPr>
              <w:t xml:space="preserve">Aims: </w:t>
            </w:r>
            <w:r>
              <w:t>This study aims to analyze the effect of Enterprise Resource Planning (ERP) implementation, profitability measured by Return on Assets (ROA), and Dividend Payout Ratio (DPR) on stock price volatility in companies listed on the Indonesia Stock Exchange (IDX).</w:t>
            </w:r>
          </w:p>
          <w:p w14:paraId="13EE7D6A" w14:textId="77777777" w:rsidR="00003376" w:rsidRPr="00E83497" w:rsidRDefault="00003376" w:rsidP="00003376">
            <w:pPr>
              <w:pStyle w:val="NormalWeb"/>
              <w:spacing w:before="0" w:beforeAutospacing="0" w:after="0" w:afterAutospacing="0"/>
              <w:jc w:val="both"/>
              <w:rPr>
                <w:rFonts w:ascii="Arial" w:hAnsi="Arial" w:cs="Arial"/>
                <w:sz w:val="20"/>
                <w:szCs w:val="20"/>
              </w:rPr>
            </w:pPr>
            <w:r w:rsidRPr="00E83497">
              <w:rPr>
                <w:rFonts w:ascii="Arial" w:eastAsia="Calibri" w:hAnsi="Arial" w:cs="Arial"/>
                <w:b/>
                <w:sz w:val="20"/>
                <w:szCs w:val="20"/>
              </w:rPr>
              <w:t>Study design:</w:t>
            </w:r>
            <w:r w:rsidRPr="00E83497">
              <w:rPr>
                <w:rFonts w:ascii="Arial" w:hAnsi="Arial" w:cs="Arial"/>
                <w:sz w:val="20"/>
                <w:szCs w:val="20"/>
              </w:rPr>
              <w:t xml:space="preserve"> This research employs a quantitative approach with panel data regression analysis.</w:t>
            </w:r>
          </w:p>
          <w:p w14:paraId="3F4E0ABF" w14:textId="77777777" w:rsidR="00003376" w:rsidRPr="00E83497" w:rsidRDefault="00003376" w:rsidP="00003376">
            <w:pPr>
              <w:pStyle w:val="NormalWeb"/>
              <w:spacing w:before="0" w:beforeAutospacing="0" w:after="0" w:afterAutospacing="0"/>
              <w:jc w:val="both"/>
              <w:rPr>
                <w:rFonts w:ascii="Arial" w:hAnsi="Arial" w:cs="Arial"/>
                <w:sz w:val="20"/>
                <w:szCs w:val="20"/>
              </w:rPr>
            </w:pPr>
            <w:r w:rsidRPr="00E83497">
              <w:rPr>
                <w:rFonts w:ascii="Arial" w:eastAsia="Calibri" w:hAnsi="Arial" w:cs="Arial"/>
                <w:b/>
                <w:sz w:val="20"/>
                <w:szCs w:val="20"/>
              </w:rPr>
              <w:t>Place and Duration of Study:</w:t>
            </w:r>
            <w:r w:rsidRPr="00E83497">
              <w:rPr>
                <w:rFonts w:ascii="Arial" w:eastAsia="Calibri" w:hAnsi="Arial" w:cs="Arial"/>
                <w:sz w:val="20"/>
                <w:szCs w:val="20"/>
              </w:rPr>
              <w:t xml:space="preserve"> Sample: </w:t>
            </w:r>
            <w:r w:rsidRPr="003C4F55">
              <w:rPr>
                <w:rFonts w:ascii="Arial" w:hAnsi="Arial" w:cs="Arial"/>
                <w:sz w:val="20"/>
                <w:szCs w:val="20"/>
              </w:rPr>
              <w:t>The study was conducted on IDX-listed companies across all sectors during the 2022–2024 observation period</w:t>
            </w:r>
            <w:r w:rsidRPr="00E83497">
              <w:rPr>
                <w:rFonts w:ascii="Arial" w:hAnsi="Arial" w:cs="Arial"/>
                <w:sz w:val="20"/>
                <w:szCs w:val="20"/>
              </w:rPr>
              <w:t>.</w:t>
            </w:r>
          </w:p>
          <w:p w14:paraId="2FFF26EA" w14:textId="77777777" w:rsidR="00003376" w:rsidRDefault="00003376" w:rsidP="00003376">
            <w:pPr>
              <w:pStyle w:val="NormalWeb"/>
              <w:spacing w:before="0" w:beforeAutospacing="0" w:after="0" w:afterAutospacing="0"/>
              <w:jc w:val="both"/>
              <w:rPr>
                <w:rFonts w:ascii="Arial" w:hAnsi="Arial" w:cs="Arial"/>
                <w:sz w:val="20"/>
                <w:szCs w:val="20"/>
              </w:rPr>
            </w:pPr>
            <w:r w:rsidRPr="00E83497">
              <w:rPr>
                <w:rFonts w:ascii="Arial" w:eastAsia="Calibri" w:hAnsi="Arial" w:cs="Arial"/>
                <w:b/>
                <w:bCs/>
                <w:sz w:val="20"/>
                <w:szCs w:val="20"/>
              </w:rPr>
              <w:t>Methodology:</w:t>
            </w:r>
            <w:r w:rsidRPr="00E83497">
              <w:rPr>
                <w:rFonts w:ascii="Arial" w:eastAsia="Calibri" w:hAnsi="Arial" w:cs="Arial"/>
                <w:sz w:val="20"/>
                <w:szCs w:val="20"/>
              </w:rPr>
              <w:t xml:space="preserve"> </w:t>
            </w:r>
            <w:r>
              <w:rPr>
                <w:rFonts w:ascii="Arial" w:eastAsia="Calibri" w:hAnsi="Arial" w:cs="Arial"/>
                <w:sz w:val="20"/>
                <w:szCs w:val="20"/>
              </w:rPr>
              <w:t>t</w:t>
            </w:r>
            <w:r w:rsidRPr="003C4F55">
              <w:rPr>
                <w:rFonts w:ascii="Arial" w:hAnsi="Arial" w:cs="Arial"/>
                <w:sz w:val="20"/>
                <w:szCs w:val="20"/>
              </w:rPr>
              <w:t>he sample consists of firms with available secondary data on ERP, ROA, DPR, and stock volatility. Data analysis was performed using descriptive statistics, classical assumption tests, and panel regression with E</w:t>
            </w:r>
            <w:r>
              <w:rPr>
                <w:rFonts w:ascii="Arial" w:hAnsi="Arial" w:cs="Arial"/>
                <w:sz w:val="20"/>
                <w:szCs w:val="20"/>
              </w:rPr>
              <w:t>-</w:t>
            </w:r>
            <w:r w:rsidRPr="003C4F55">
              <w:rPr>
                <w:rFonts w:ascii="Arial" w:hAnsi="Arial" w:cs="Arial"/>
                <w:sz w:val="20"/>
                <w:szCs w:val="20"/>
              </w:rPr>
              <w:t>views 12.</w:t>
            </w:r>
          </w:p>
          <w:p w14:paraId="6A84BD91" w14:textId="77777777" w:rsidR="00003376" w:rsidRDefault="00003376" w:rsidP="00003376">
            <w:pPr>
              <w:pStyle w:val="Body"/>
              <w:spacing w:after="0"/>
              <w:rPr>
                <w:rFonts w:ascii="Arial" w:hAnsi="Arial" w:cs="Arial"/>
                <w:lang w:val="en-ID" w:eastAsia="en-ID"/>
              </w:rPr>
            </w:pPr>
            <w:r w:rsidRPr="00E83497">
              <w:rPr>
                <w:rFonts w:ascii="Arial" w:eastAsia="Calibri" w:hAnsi="Arial" w:cs="Arial"/>
                <w:b/>
                <w:bCs/>
              </w:rPr>
              <w:t>Results:</w:t>
            </w:r>
            <w:r w:rsidRPr="00E83497">
              <w:rPr>
                <w:rFonts w:ascii="Arial" w:eastAsia="Calibri" w:hAnsi="Arial" w:cs="Arial"/>
              </w:rPr>
              <w:t xml:space="preserve"> </w:t>
            </w:r>
            <w:r w:rsidRPr="003C4F55">
              <w:rPr>
                <w:rFonts w:ascii="Arial" w:hAnsi="Arial" w:cs="Arial"/>
                <w:lang w:val="en-ID" w:eastAsia="en-ID"/>
              </w:rPr>
              <w:t>The analysis includes 166 companies with 498 firm-year observations. The average stock volatility is 0.245286. Regression results show that DPR has a</w:t>
            </w:r>
            <w:r>
              <w:rPr>
                <w:rFonts w:ascii="Arial" w:hAnsi="Arial" w:cs="Arial"/>
                <w:lang w:val="en-ID" w:eastAsia="en-ID"/>
              </w:rPr>
              <w:t xml:space="preserve"> negative effect on volatility, </w:t>
            </w:r>
            <w:r w:rsidRPr="003C4F55">
              <w:rPr>
                <w:rFonts w:ascii="Arial" w:hAnsi="Arial" w:cs="Arial"/>
                <w:lang w:val="en-ID" w:eastAsia="en-ID"/>
              </w:rPr>
              <w:t xml:space="preserve">indicating that higher dividend </w:t>
            </w:r>
            <w:proofErr w:type="spellStart"/>
            <w:r>
              <w:rPr>
                <w:rFonts w:ascii="Arial" w:hAnsi="Arial" w:cs="Arial"/>
                <w:lang w:val="en-ID" w:eastAsia="en-ID"/>
              </w:rPr>
              <w:t>payout</w:t>
            </w:r>
            <w:proofErr w:type="spellEnd"/>
            <w:r>
              <w:rPr>
                <w:rFonts w:ascii="Arial" w:hAnsi="Arial" w:cs="Arial"/>
                <w:lang w:val="en-ID" w:eastAsia="en-ID"/>
              </w:rPr>
              <w:t xml:space="preserve"> </w:t>
            </w:r>
            <w:r w:rsidRPr="003C4F55">
              <w:rPr>
                <w:rFonts w:ascii="Arial" w:hAnsi="Arial" w:cs="Arial"/>
                <w:lang w:val="en-ID" w:eastAsia="en-ID"/>
              </w:rPr>
              <w:t>reduce volatility, though the effect is marginally significant. ERP implementation has a positive but insignificant impact suggesting limited investor consideration. ROA also shows a negative but ins</w:t>
            </w:r>
            <w:r>
              <w:rPr>
                <w:rFonts w:ascii="Arial" w:hAnsi="Arial" w:cs="Arial"/>
                <w:lang w:val="en-ID" w:eastAsia="en-ID"/>
              </w:rPr>
              <w:t xml:space="preserve">ignificant effect. </w:t>
            </w:r>
            <w:r w:rsidRPr="003C4F55">
              <w:rPr>
                <w:rFonts w:ascii="Arial" w:hAnsi="Arial" w:cs="Arial"/>
                <w:lang w:val="en-ID" w:eastAsia="en-ID"/>
              </w:rPr>
              <w:t>The mo</w:t>
            </w:r>
            <w:r>
              <w:rPr>
                <w:rFonts w:ascii="Arial" w:hAnsi="Arial" w:cs="Arial"/>
                <w:lang w:val="en-ID" w:eastAsia="en-ID"/>
              </w:rPr>
              <w:t>del’s explanatory power is low</w:t>
            </w:r>
            <w:r w:rsidRPr="003C4F55">
              <w:rPr>
                <w:rFonts w:ascii="Arial" w:hAnsi="Arial" w:cs="Arial"/>
                <w:lang w:val="en-ID" w:eastAsia="en-ID"/>
              </w:rPr>
              <w:t>, indicating other external factors strongly influence stock volatility.</w:t>
            </w:r>
          </w:p>
          <w:p w14:paraId="0169465C" w14:textId="77777777" w:rsidR="00505F06" w:rsidRPr="00BA1B01" w:rsidRDefault="00003376"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t>ERP, DPR, and ROA contribute differently to stock volatility in the Indonesian capital market. While dividend policy plays the strongest role in reducing volatility, ERP adoption enhances transparency and investor confidence, thereby mitigating excessive price fluctuations. These findings provide practical insights for managers in formulating strategies and for investors in making rational decisions.</w:t>
            </w:r>
          </w:p>
        </w:tc>
      </w:tr>
    </w:tbl>
    <w:p w14:paraId="71D11C9C" w14:textId="77777777" w:rsidR="00636EB2" w:rsidRDefault="00636EB2" w:rsidP="00441B6F">
      <w:pPr>
        <w:pStyle w:val="Body"/>
        <w:spacing w:after="0"/>
        <w:rPr>
          <w:rFonts w:ascii="Arial" w:hAnsi="Arial" w:cs="Arial"/>
          <w:i/>
        </w:rPr>
      </w:pPr>
    </w:p>
    <w:p w14:paraId="7E439291" w14:textId="77777777" w:rsidR="00003376" w:rsidRDefault="00003376" w:rsidP="00003376">
      <w:pPr>
        <w:pStyle w:val="Body"/>
        <w:spacing w:after="0"/>
        <w:rPr>
          <w:rFonts w:ascii="Arial" w:hAnsi="Arial" w:cs="Arial"/>
          <w:i/>
        </w:rPr>
      </w:pPr>
      <w:r>
        <w:rPr>
          <w:rFonts w:ascii="Arial" w:hAnsi="Arial" w:cs="Arial"/>
          <w:i/>
        </w:rPr>
        <w:t xml:space="preserve">Keywords: </w:t>
      </w:r>
      <w:r w:rsidRPr="00E83497">
        <w:rPr>
          <w:rFonts w:ascii="Arial" w:hAnsi="Arial" w:cs="Arial"/>
          <w:i/>
        </w:rPr>
        <w:t>Enterprise Resource P</w:t>
      </w:r>
      <w:r>
        <w:rPr>
          <w:rFonts w:ascii="Arial" w:hAnsi="Arial" w:cs="Arial"/>
          <w:i/>
        </w:rPr>
        <w:t xml:space="preserve">lanning, Dividend Payout Ratio, </w:t>
      </w:r>
      <w:r w:rsidRPr="00E83497">
        <w:rPr>
          <w:rFonts w:ascii="Arial" w:hAnsi="Arial" w:cs="Arial"/>
          <w:i/>
        </w:rPr>
        <w:t>Profitability, Return on Assets, Stock Price Volatility, Indonesia Stock Exchange.</w:t>
      </w:r>
    </w:p>
    <w:p w14:paraId="015AB54C" w14:textId="77777777" w:rsidR="003D52D6" w:rsidRDefault="003D52D6" w:rsidP="00441B6F">
      <w:pPr>
        <w:pStyle w:val="Body"/>
        <w:spacing w:after="0"/>
        <w:rPr>
          <w:rFonts w:ascii="Arial" w:hAnsi="Arial" w:cs="Arial"/>
          <w:i/>
          <w:sz w:val="18"/>
        </w:rPr>
        <w:sectPr w:rsidR="003D52D6" w:rsidSect="003D52D6">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FE9D863" w14:textId="77777777" w:rsidR="0024282C" w:rsidRDefault="0024282C" w:rsidP="00441B6F">
      <w:pPr>
        <w:pStyle w:val="Body"/>
        <w:spacing w:after="0"/>
        <w:rPr>
          <w:rFonts w:ascii="Arial" w:hAnsi="Arial" w:cs="Arial"/>
          <w:i/>
          <w:sz w:val="18"/>
        </w:rPr>
      </w:pPr>
    </w:p>
    <w:p w14:paraId="191F1527" w14:textId="77777777" w:rsidR="00505F06" w:rsidRPr="00A24E7E" w:rsidRDefault="00505F06" w:rsidP="00441B6F">
      <w:pPr>
        <w:pStyle w:val="Body"/>
        <w:spacing w:after="0"/>
        <w:rPr>
          <w:rFonts w:ascii="Arial" w:hAnsi="Arial" w:cs="Arial"/>
          <w:i/>
        </w:rPr>
      </w:pPr>
    </w:p>
    <w:p w14:paraId="587B273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79C20FE" w14:textId="77777777" w:rsidR="00790ADA" w:rsidRPr="00FB3A86" w:rsidRDefault="00790ADA" w:rsidP="00441B6F">
      <w:pPr>
        <w:pStyle w:val="AbstHead"/>
        <w:spacing w:after="0"/>
        <w:jc w:val="both"/>
        <w:rPr>
          <w:rFonts w:ascii="Arial" w:hAnsi="Arial" w:cs="Arial"/>
        </w:rPr>
      </w:pPr>
    </w:p>
    <w:p w14:paraId="0BAA6E51" w14:textId="77777777" w:rsidR="006A3837" w:rsidRPr="006A3837" w:rsidRDefault="006A3837" w:rsidP="006A3837">
      <w:pPr>
        <w:pStyle w:val="Body"/>
        <w:spacing w:after="0"/>
        <w:rPr>
          <w:rFonts w:ascii="Arial" w:hAnsi="Arial" w:cs="Arial"/>
          <w:lang w:val="en-ID"/>
        </w:rPr>
      </w:pPr>
      <w:r w:rsidRPr="006A3837">
        <w:rPr>
          <w:rFonts w:ascii="Arial" w:hAnsi="Arial" w:cs="Arial"/>
          <w:lang w:val="en-ID"/>
        </w:rPr>
        <w:t xml:space="preserve">capital market has shown high fluctuations. Bloomberg and IDX data (2024) recorded the average annual volatility of the JCI at 23.65% in 2022, fell to 20.8% in 2023, but rose again to around 21-22% in mid-2024. This </w:t>
      </w:r>
      <w:r w:rsidRPr="006A3837">
        <w:rPr>
          <w:rFonts w:ascii="Arial" w:hAnsi="Arial" w:cs="Arial"/>
          <w:lang w:val="en-ID"/>
        </w:rPr>
        <w:t xml:space="preserve">condition indicates that the Indonesian stock market is still unstable and vulnerable to economic and geopolitical factors. Such uncertainty increases systemic risk for issuers, while stock price fluctuations increase investors' hesitation in making decisions, although some see it as an opportunity to gain capital gains </w:t>
      </w:r>
      <w:r w:rsidRPr="006A3837">
        <w:rPr>
          <w:rFonts w:ascii="Arial" w:hAnsi="Arial" w:cs="Arial"/>
          <w:lang w:val="en-ID"/>
        </w:rPr>
        <w:fldChar w:fldCharType="begin" w:fldLock="1"/>
      </w:r>
      <w:r w:rsidRPr="006A3837">
        <w:rPr>
          <w:rFonts w:ascii="Arial" w:hAnsi="Arial" w:cs="Arial"/>
          <w:lang w:val="en-ID"/>
        </w:rPr>
        <w:instrText>ADDIN CSL_CITATION {"citationItems":[{"id":"ITEM-1","itemData":{"DOI":"10.1080/15427560.2018.1506787","ISSN":"15427579","abstract":"We propose a novel approach to model investors' uncertainty using the conditional volatility of investors' sentiment. Working with weekly data on investor sentiment, six major U.S. stock indices, and alternative measures of uncertainty, we run various tests to validate our proposed measure. The estimates show that investors' uncertainty is greater during economic downturns, and it is linked with lower investors' sentiment. In addition, the results support the existence of a positive conditional correlation between sentiment and returns. This positive spillover between sentiment and returns is interpreted as a positive link between investors' uncertainty and market risk. We also find that investors’ uncertainty and market risk are strongly driven by their lagged values. Our measure consistently captures periods of high uncertainty as shown by a positive and highly statistically significant correlation with other existing measures of uncertainty.","author":[{"dropping-particle":"","family":"Escobari","given":"Diego","non-dropping-particle":"","parse-names":false,"suffix":""},{"dropping-particle":"","family":"Jafarinejad","given":"Mohammad","non-dropping-particle":"","parse-names":false,"suffix":""}],"container-title":"Journal of Behavioral Finance","id":"ITEM-1","issue":"3","issued":{"date-parts":[["2019"]]},"page":"304-315","title":"Investors’ Uncertainty and Stock Market Risk","type":"article-journal","volume":"20"},"uris":["http://www.mendeley.com/documents/?uuid=d80b7caf-dcfb-411d-b4f4-563c5ffa4ba3"]},{"id":"ITEM-2","itemData":{"DOI":"10.21632/irjbs.11.3.179-193","ISSN":"20896271","abstract":"This study aimed to analyze the influence of return on equity, debt to equity ratio, sales growth, firm size, cash ratio, and dividend payout ratio to stock price volatility companies listed on the Indonesia Stock Exchange in the period 2011-2015. The populations of this study are all manufacturing companies listed in Indonesia Stock Exchange (IDX) in the period 2011 to 2015. It obtained eight companies samples with technique purposive sampling method. The data analysis technique used is the regression model panel then be adjusted again by using GARCH (Generalized Autoregressive Conditional Heteroscedasticity). The results showed that the volatility of the stock price only affect without any effect ARCH-GARCH therein. Determining the best models of each prediction is based on estimated volatility GARCH (p, q). The determination of whether there is influence of the factors believed to be the determinants of stock price volatility was done by using panel data regression analysis. The results of panel data regression analysis showed that the company’s stock price volatility in the research samples can be explained by 4.84% by ROE, CR, DER, DPR, company size and sales growth while the remaining 95.16% explained by other variables outside the research. Only sales growth has significant positive effect on stock price volatility","author":[{"dropping-particle":"","family":"Handayani","given":"Heny","non-dropping-particle":"","parse-names":false,"suffix":""},{"dropping-particle":"","family":"Muharam","given":"Harjum","non-dropping-particle":"","parse-names":false,"suffix":""},{"dropping-particle":"","family":"Mawardi","given":"Wisnu","non-dropping-particle":"","parse-names":false,"suffix":""},{"dropping-particle":"","family":"Robiyanto","given":"Robiyanto","non-dropping-particle":"","parse-names":false,"suffix":""}],"container-title":"International Research Journal of Business Studies","id":"ITEM-2","issue":"3","issued":{"date-parts":[["2018"]]},"page":"179-193","title":"Determinants of the Stock Price Volatility in the Indonesian Manufacturing Sector","type":"article-journal","volume":"11"},"uris":["http://www.mendeley.com/documents/?uuid=37954615-5b05-494e-8b2b-6202c3b8034a"]}],"mendeley":{"formattedCitation":"(Escobari &amp; Jafarinejad, 2019; Handayani et al., 2018)","plainTextFormattedCitation":"(Escobari &amp; Jafarinejad, 2019; Handayani et al., 2018)","previouslyFormattedCitation":"(Escobari &amp; Jafarinejad, 2019; Handayani et al., 2018)"},"properties":{"noteIndex":0},"schema":"https://github.com/citation-style-language/schema/raw/master/csl-citation.json"}</w:instrText>
      </w:r>
      <w:r w:rsidRPr="006A3837">
        <w:rPr>
          <w:rFonts w:ascii="Arial" w:hAnsi="Arial" w:cs="Arial"/>
          <w:lang w:val="en-ID"/>
        </w:rPr>
        <w:fldChar w:fldCharType="separate"/>
      </w:r>
      <w:r w:rsidRPr="006A3837">
        <w:rPr>
          <w:rFonts w:ascii="Arial" w:hAnsi="Arial" w:cs="Arial"/>
          <w:lang w:val="en-ID"/>
        </w:rPr>
        <w:t>(Escobari &amp; Jafarinejad, 2019; Handayani et al., 2018)</w:t>
      </w:r>
      <w:r w:rsidRPr="006A3837">
        <w:rPr>
          <w:rFonts w:ascii="Arial" w:hAnsi="Arial" w:cs="Arial"/>
        </w:rPr>
        <w:fldChar w:fldCharType="end"/>
      </w:r>
      <w:r w:rsidRPr="006A3837">
        <w:rPr>
          <w:rFonts w:ascii="Arial" w:hAnsi="Arial" w:cs="Arial"/>
          <w:lang w:val="en-ID"/>
        </w:rPr>
        <w:t>.</w:t>
      </w:r>
    </w:p>
    <w:p w14:paraId="2456DC30" w14:textId="0108A3BD" w:rsidR="00B01FCD" w:rsidRDefault="006A3837" w:rsidP="006A3837">
      <w:pPr>
        <w:pStyle w:val="Body"/>
        <w:spacing w:after="0"/>
        <w:rPr>
          <w:rFonts w:ascii="Arial" w:hAnsi="Arial" w:cs="Arial"/>
        </w:rPr>
      </w:pPr>
      <w:r w:rsidRPr="006A3837">
        <w:rPr>
          <w:rFonts w:ascii="Arial" w:hAnsi="Arial" w:cs="Arial"/>
        </w:rPr>
        <w:lastRenderedPageBreak/>
        <w:t>The technology sector is the most volatile on the IDX. The IDXTECHNO index showed the highest volatility compared to other sectors, reaching 30.2% in 2022 and staying above 27% in 2023-2024 (IDX, 2024). Price movements from 2021 to mid-2025 show extreme dynamics, reflecting the high instability in the sector</w:t>
      </w:r>
      <w:r>
        <w:rPr>
          <w:rFonts w:ascii="Arial" w:hAnsi="Arial" w:cs="Arial"/>
        </w:rPr>
        <w:t>.</w:t>
      </w:r>
    </w:p>
    <w:p w14:paraId="5E04AD7D" w14:textId="6E6C4EB6" w:rsidR="005900A4" w:rsidRDefault="005900A4" w:rsidP="006A3837">
      <w:pPr>
        <w:pStyle w:val="Body"/>
        <w:spacing w:after="0"/>
        <w:rPr>
          <w:rFonts w:ascii="Arial" w:hAnsi="Arial" w:cs="Arial"/>
        </w:rPr>
      </w:pPr>
      <w:r w:rsidRPr="006A3837">
        <w:rPr>
          <w:rFonts w:ascii="Arial" w:hAnsi="Arial" w:cs="Arial"/>
          <w:noProof/>
        </w:rPr>
        <w:drawing>
          <wp:inline distT="0" distB="0" distL="0" distR="0" wp14:anchorId="4C149F77" wp14:editId="491BE414">
            <wp:extent cx="2377440" cy="982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77440" cy="982317"/>
                    </a:xfrm>
                    <a:prstGeom prst="rect">
                      <a:avLst/>
                    </a:prstGeom>
                  </pic:spPr>
                </pic:pic>
              </a:graphicData>
            </a:graphic>
          </wp:inline>
        </w:drawing>
      </w:r>
    </w:p>
    <w:p w14:paraId="3349F135" w14:textId="77777777" w:rsidR="006A3837" w:rsidRDefault="007C73D5" w:rsidP="006A3837">
      <w:pPr>
        <w:pStyle w:val="NormalWeb"/>
        <w:ind w:firstLine="720"/>
        <w:jc w:val="both"/>
        <w:rPr>
          <w:rFonts w:ascii="Arial" w:hAnsi="Arial" w:cs="Arial"/>
          <w:sz w:val="20"/>
          <w:szCs w:val="20"/>
        </w:rPr>
      </w:pPr>
      <w:r>
        <w:rPr>
          <w:noProof/>
        </w:rPr>
        <w:pict w14:anchorId="4E4AE7CE">
          <v:shapetype id="_x0000_t202" coordsize="21600,21600" o:spt="202" path="m,l,21600r21600,l21600,xe">
            <v:stroke joinstyle="miter"/>
            <v:path gradientshapeok="t" o:connecttype="rect"/>
          </v:shapetype>
          <v:shape id="_x0000_s1027" type="#_x0000_t202" style="position:absolute;left:0;text-align:left;margin-left:-18.85pt;margin-top:2.7pt;width:226pt;height:19.2pt;z-index:251661312;mso-position-horizontal-relative:text;mso-position-vertical-relative:text" stroked="f">
            <v:textbox style="mso-next-textbox:#_x0000_s1027" inset="0,0,0,0">
              <w:txbxContent>
                <w:p w14:paraId="32114DF3" w14:textId="77777777" w:rsidR="006A3837" w:rsidRPr="001B2CED" w:rsidRDefault="006A3837" w:rsidP="006A3837">
                  <w:pPr>
                    <w:pStyle w:val="Caption"/>
                    <w:spacing w:after="0"/>
                    <w:jc w:val="center"/>
                    <w:rPr>
                      <w:rFonts w:ascii="Arial" w:hAnsi="Arial" w:cs="Arial"/>
                      <w:b/>
                      <w:i w:val="0"/>
                      <w:color w:val="auto"/>
                    </w:rPr>
                  </w:pPr>
                  <w:r w:rsidRPr="001B2CED">
                    <w:rPr>
                      <w:rFonts w:ascii="Arial" w:hAnsi="Arial" w:cs="Arial"/>
                      <w:b/>
                      <w:i w:val="0"/>
                      <w:color w:val="auto"/>
                    </w:rPr>
                    <w:t xml:space="preserve">Fig. 1 </w:t>
                  </w:r>
                  <w:r>
                    <w:rPr>
                      <w:rFonts w:ascii="Arial" w:hAnsi="Arial" w:cs="Arial"/>
                      <w:b/>
                      <w:i w:val="0"/>
                      <w:color w:val="auto"/>
                    </w:rPr>
                    <w:t>S</w:t>
                  </w:r>
                  <w:r w:rsidRPr="001B2CED">
                    <w:rPr>
                      <w:rFonts w:ascii="Arial" w:hAnsi="Arial" w:cs="Arial"/>
                      <w:b/>
                      <w:i w:val="0"/>
                      <w:color w:val="auto"/>
                    </w:rPr>
                    <w:t>hare price movement from 2021-2025</w:t>
                  </w:r>
                </w:p>
              </w:txbxContent>
            </v:textbox>
            <w10:wrap type="topAndBottom"/>
          </v:shape>
        </w:pict>
      </w:r>
      <w:r w:rsidR="006A3837">
        <w:rPr>
          <w:rFonts w:ascii="Arial" w:hAnsi="Arial" w:cs="Arial"/>
          <w:sz w:val="20"/>
          <w:szCs w:val="20"/>
        </w:rPr>
        <w:t>Fig. 1</w:t>
      </w:r>
      <w:r w:rsidR="006A3837" w:rsidRPr="008F3746">
        <w:rPr>
          <w:rFonts w:ascii="Arial" w:hAnsi="Arial" w:cs="Arial"/>
          <w:sz w:val="20"/>
          <w:szCs w:val="20"/>
        </w:rPr>
        <w:t xml:space="preserve"> shows the movement of the IDXTECHNO index over the period 2021-2025 with significant fluctuations. The index surged in early 2021 due to post-pandemic optimism, but fell consistently throughout 2022-2023 due to weakening investor confidence. In 2024 the index entered a consolidation phase, then rose sharply again in mid-2025 as market confidence recovered, fundamentals improved, and positive sentiment supported the digital economy. This dynamic reflects the high sensitivity of the technology sector to external changes. These conditions emphasize the need to </w:t>
      </w:r>
      <w:proofErr w:type="spellStart"/>
      <w:r w:rsidR="006A3837" w:rsidRPr="008F3746">
        <w:rPr>
          <w:rFonts w:ascii="Arial" w:hAnsi="Arial" w:cs="Arial"/>
          <w:sz w:val="20"/>
          <w:szCs w:val="20"/>
        </w:rPr>
        <w:t>analyze</w:t>
      </w:r>
      <w:proofErr w:type="spellEnd"/>
      <w:r w:rsidR="006A3837" w:rsidRPr="008F3746">
        <w:rPr>
          <w:rFonts w:ascii="Arial" w:hAnsi="Arial" w:cs="Arial"/>
          <w:sz w:val="20"/>
          <w:szCs w:val="20"/>
        </w:rPr>
        <w:t xml:space="preserve"> the company's internal factors in reducing stock price volatility.</w:t>
      </w:r>
    </w:p>
    <w:p w14:paraId="36B75AF1" w14:textId="77777777" w:rsidR="006A3837" w:rsidRDefault="006A3837" w:rsidP="006A3837">
      <w:pPr>
        <w:pStyle w:val="NormalWeb"/>
        <w:jc w:val="both"/>
        <w:rPr>
          <w:rFonts w:ascii="Arial" w:hAnsi="Arial" w:cs="Arial"/>
          <w:sz w:val="20"/>
          <w:szCs w:val="20"/>
        </w:rPr>
      </w:pPr>
      <w:r w:rsidRPr="008F3746">
        <w:rPr>
          <w:rFonts w:ascii="Arial" w:hAnsi="Arial" w:cs="Arial"/>
          <w:sz w:val="20"/>
          <w:szCs w:val="20"/>
        </w:rPr>
        <w:t xml:space="preserve">The sharp movements that occur in the technology sector reflect the high level of volatility that is strongly influenced by external factors such as global macroeconomic dynamics, regulations, and rapidly changing market expectations. This condition indicates that investors' perception of the value of technology companies tends to be unstable and vulnerable to temporary changes in information. The high volatility of stock prices also reflects the non-optimal internal information and financial management system of the company, </w:t>
      </w:r>
      <w:r>
        <w:rPr>
          <w:rFonts w:ascii="Arial" w:hAnsi="Arial" w:cs="Arial"/>
          <w:sz w:val="20"/>
          <w:szCs w:val="20"/>
        </w:rPr>
        <w:t>therefore</w:t>
      </w:r>
      <w:r w:rsidRPr="008F3746">
        <w:rPr>
          <w:rFonts w:ascii="Arial" w:hAnsi="Arial" w:cs="Arial"/>
          <w:sz w:val="20"/>
          <w:szCs w:val="20"/>
        </w:rPr>
        <w:t xml:space="preserve"> increasing uncertainty for investors in decision making</w:t>
      </w:r>
      <w:r>
        <w:rPr>
          <w:rFonts w:ascii="Arial" w:hAnsi="Arial" w:cs="Arial"/>
          <w:sz w:val="20"/>
          <w:szCs w:val="20"/>
        </w:rPr>
        <w:fldChar w:fldCharType="begin" w:fldLock="1"/>
      </w:r>
      <w:r>
        <w:rPr>
          <w:rFonts w:ascii="Arial" w:hAnsi="Arial" w:cs="Arial"/>
          <w:sz w:val="20"/>
          <w:szCs w:val="20"/>
        </w:rPr>
        <w:instrText>ADDIN CSL_CITATION {"citationItems":[{"id":"ITEM-1","itemData":{"ISBN":"2525-3654","author":[{"dropping-particle":"","family":"Shaker","given":"Ameer Saheb","non-dropping-particle":"","parse-names":false,"suffix":""},{"dropping-particle":"","family":"Al-Shiblawi","given":"Ghazwan Ayad Khalil","non-dropping-particle":"","parse-names":false,"suffix":""},{"dropping-particle":"","family":"Union","given":"Ali Hilal","non-dropping-particle":"","parse-names":false,"suffix":""},{"dropping-particle":"","family":"Hameed","given":"Karrar Saleem","non-dropping-particle":"","parse-names":false,"suffix":""}],"container-title":"International Journal of Professional Busniess Review","id":"ITEM-1","issued":{"date-parts":[["2023"]]},"page":"1-23","title":"THE ROLE OF INFORMATION TECHNOLOGY GOVERNANCE ON ENHANCING CYBERSECURITY AND ITS REFLECTION ON INVESTOR CONFIDENCE Article history : Keywords : Cyber Security ; IT Governance ; Executive Education ; Shaker , A . S ., Al-Shiblawi , G . A . K ., Union , A .","type":"article-journal"},"uris":["http://www.mendeley.com/documents/?uuid=7797cf8b-579c-4908-8fb0-eacd51f1033d"]}],"mendeley":{"formattedCitation":"(Shaker et al., 2023)","plainTextFormattedCitation":"(Shaker et al., 2023)","previouslyFormattedCitation":"(Shaker et al., 2023)"},"properties":{"noteIndex":0},"schema":"https://github.com/citation-style-language/schema/raw/master/csl-citation.json"}</w:instrText>
      </w:r>
      <w:r>
        <w:rPr>
          <w:rFonts w:ascii="Arial" w:hAnsi="Arial" w:cs="Arial"/>
          <w:sz w:val="20"/>
          <w:szCs w:val="20"/>
        </w:rPr>
        <w:fldChar w:fldCharType="separate"/>
      </w:r>
      <w:r w:rsidRPr="008F3746">
        <w:rPr>
          <w:rFonts w:ascii="Arial" w:hAnsi="Arial" w:cs="Arial"/>
          <w:noProof/>
          <w:sz w:val="20"/>
          <w:szCs w:val="20"/>
        </w:rPr>
        <w:t>(Shaker et al., 2023)</w:t>
      </w:r>
      <w:r>
        <w:rPr>
          <w:rFonts w:ascii="Arial" w:hAnsi="Arial" w:cs="Arial"/>
          <w:sz w:val="20"/>
          <w:szCs w:val="20"/>
        </w:rPr>
        <w:fldChar w:fldCharType="end"/>
      </w:r>
      <w:r>
        <w:rPr>
          <w:rFonts w:ascii="Arial" w:hAnsi="Arial" w:cs="Arial"/>
          <w:sz w:val="20"/>
          <w:szCs w:val="20"/>
        </w:rPr>
        <w:t xml:space="preserve">. </w:t>
      </w:r>
      <w:r w:rsidRPr="008F3746">
        <w:rPr>
          <w:rFonts w:ascii="Arial" w:hAnsi="Arial" w:cs="Arial"/>
          <w:sz w:val="20"/>
          <w:szCs w:val="20"/>
        </w:rPr>
        <w:t xml:space="preserve">Therefore, it is important to </w:t>
      </w:r>
      <w:proofErr w:type="spellStart"/>
      <w:r w:rsidRPr="008F3746">
        <w:rPr>
          <w:rFonts w:ascii="Arial" w:hAnsi="Arial" w:cs="Arial"/>
          <w:sz w:val="20"/>
          <w:szCs w:val="20"/>
        </w:rPr>
        <w:t>analyz</w:t>
      </w:r>
      <w:r>
        <w:rPr>
          <w:rFonts w:ascii="Arial" w:hAnsi="Arial" w:cs="Arial"/>
          <w:sz w:val="20"/>
          <w:szCs w:val="20"/>
        </w:rPr>
        <w:t>e</w:t>
      </w:r>
      <w:proofErr w:type="spellEnd"/>
      <w:r>
        <w:rPr>
          <w:rFonts w:ascii="Arial" w:hAnsi="Arial" w:cs="Arial"/>
          <w:sz w:val="20"/>
          <w:szCs w:val="20"/>
        </w:rPr>
        <w:t xml:space="preserve"> </w:t>
      </w:r>
      <w:r w:rsidRPr="008F3746">
        <w:rPr>
          <w:rFonts w:ascii="Arial" w:hAnsi="Arial" w:cs="Arial"/>
          <w:sz w:val="20"/>
          <w:szCs w:val="20"/>
        </w:rPr>
        <w:t xml:space="preserve">the factors that influence corporate policies, such as dividend policy, profitability, and the implementation of the latest systems, to understand their influence on market perceptions and stock price stability. The relevance of this study is even stronger considering that the technology sector has a strategic role as the main driver of Indonesia's digital economic growth in the post-pandemic era </w:t>
      </w:r>
      <w:r>
        <w:rPr>
          <w:rFonts w:ascii="Arial" w:hAnsi="Arial" w:cs="Arial"/>
          <w:sz w:val="20"/>
          <w:szCs w:val="20"/>
        </w:rPr>
        <w:fldChar w:fldCharType="begin" w:fldLock="1"/>
      </w:r>
      <w:r>
        <w:rPr>
          <w:rFonts w:ascii="Arial" w:hAnsi="Arial" w:cs="Arial"/>
          <w:sz w:val="20"/>
          <w:szCs w:val="20"/>
        </w:rPr>
        <w:instrText>ADDIN CSL_CITATION {"citationItems":[{"id":"ITEM-1","itemData":{"ISSN":"2580-5800","abstract":"Perkembangan ekonomi digital di Indonesia telah menjadi pendorong utama \npertumbuhan ekonomi nasional dalam beberapa tahun terakhir. Dengan populasi \nyang besar dan penetrasi internet yang terus meningkat, Indonesia memiliki potensi \nbesar untuk menjadi kekuatan ekonomi digital di kawasan Asia Tenggara. Ekonomi \ndigital mencakup berbagai sektor, seperti e-commerce, layanan keuangan digital, \nteknologi pendidikan, transportasi berbasis aplikasi, hingga teknologi finansial \n(fintech). Digitalisasi telah memberikan kontribusi signifikan terhadap peningkatan \nproduktivitas, penciptaan lapangan kerja, dan perluasan inklusi keuangan, terutama \nbagi Usaha Mikro, Kecil, dan Menengah (UMKM). Namun, tantangan seperti \nkesenjangan digital, rendahnya literasi digital, serta infrastruktur yang belum merata \ndi berbagai daerah masih menjadi hambatan utama. Penelitian ini menggunakan \nmetode kualitatif deskriptif berbasis studi literatur untuk menganalisis perkembangan \nekonomi digital di Indonesia dan dampaknya terhadap pertumbuhan ekonomi. Hasil \nanalisis menunjukkan bahwa ekonomi digital tidak hanya meningkatkan efisiensi \nekonomi tetapi juga mendorong munculnya model bisnis baru yang lebih adaptif \nterhadap perubahan teknologi. Dukungan pemerintah melalui kebijakan pro\ndigitalisasi, peningkatan literasi digital, dan pembangunan infrastruktur menjadi faktor \nkunci dalam menciptakan ekosistem ekonomi digital yang inklusif dan berkelanjutan. \nSecara keseluruhan, ekonomi digital berperan penting dalam transformasi ekonomi \nIndonesia menuju era industri 4.0. Dengan kolaborasi antara pemerintah, sektor \nswasta, dan masyarakat, ekonomi digital diharapkan dapat terus menjadi pendorong \nutama pertumbuhan ekonomi, menciptakan lapangan kerja baru, dan memperkuat \ndaya saing Indonesia di tingkat global.","author":[{"dropping-particle":"","family":"Purba","given":"Devia Syahfitri","non-dropping-particle":"","parse-names":false,"suffix":""},{"dropping-particle":"","family":"Dwi Permatasari","given":"Putri","non-dropping-particle":"","parse-names":false,"suffix":""},{"dropping-particle":"","family":"Tanjung","given":"Nurbaiti","non-dropping-particle":"","parse-names":false,"suffix":""},{"dropping-particle":"","family":"Rahayu","given":"Putri","non-dropping-particle":"","parse-names":false,"suffix":""},{"dropping-particle":"","family":"Fitriani","given":"Rewi","non-dropping-particle":"","parse-names":false,"suffix":""},{"dropping-particle":"","family":"Wulandari","given":"Sari","non-dropping-particle":"","parse-names":false,"suffix":""},{"dropping-particle":"","family":"Universitas","given":")","non-dropping-particle":"","parse-names":false,"suffix":""},{"dropping-particle":"","family":"Negeri","given":"Islam","non-dropping-particle":"","parse-names":false,"suffix":""},{"dropping-particle":"","family":"Utara","given":"Sumatera","non-dropping-particle":"","parse-names":false,"suffix":""},{"dropping-particle":"","family":"Muslim","given":"Universitas","non-dropping-particle":"","parse-names":false,"suffix":""},{"dropping-particle":"","family":"Washliyah","given":"Nusantara","non-dropping-particle":"Al","parse-names":false,"suffix":""}],"container-title":"Jurnal Masharif al-Syariah: Jurnal Ekonomi dan Perbankan Syariah","id":"ITEM-1","issue":"1","issued":{"date-parts":[["2025"]]},"page":"126-139","title":"Analisis Perkembangan Ekonomi Digital Dalam Meningkatkan Pertumbuhan Ekonomi Di Indonesia","type":"article-journal","volume":"10"},"uris":["http://www.mendeley.com/documents/?uuid=425f41ac-73d0-4eee-a73d-85606ebb364b"]}],"mendeley":{"formattedCitation":"(Purba et al., 2025)","plainTextFormattedCitation":"(Purba et al., 2025)","previouslyFormattedCitation":"(Purba et al., 2025)"},"properties":{"noteIndex":0},"schema":"https://github.com/citation-style-language/schema/raw/master/csl-citation.json"}</w:instrText>
      </w:r>
      <w:r>
        <w:rPr>
          <w:rFonts w:ascii="Arial" w:hAnsi="Arial" w:cs="Arial"/>
          <w:sz w:val="20"/>
          <w:szCs w:val="20"/>
        </w:rPr>
        <w:fldChar w:fldCharType="separate"/>
      </w:r>
      <w:r w:rsidRPr="008F3746">
        <w:rPr>
          <w:rFonts w:ascii="Arial" w:hAnsi="Arial" w:cs="Arial"/>
          <w:noProof/>
          <w:sz w:val="20"/>
          <w:szCs w:val="20"/>
        </w:rPr>
        <w:t>(Purba et al., 2025)</w:t>
      </w:r>
      <w:r>
        <w:rPr>
          <w:rFonts w:ascii="Arial" w:hAnsi="Arial" w:cs="Arial"/>
          <w:sz w:val="20"/>
          <w:szCs w:val="20"/>
        </w:rPr>
        <w:fldChar w:fldCharType="end"/>
      </w:r>
      <w:r>
        <w:rPr>
          <w:rFonts w:ascii="Arial" w:hAnsi="Arial" w:cs="Arial"/>
          <w:sz w:val="20"/>
          <w:szCs w:val="20"/>
        </w:rPr>
        <w:t xml:space="preserve">. </w:t>
      </w:r>
    </w:p>
    <w:p w14:paraId="33289D7A" w14:textId="77777777" w:rsidR="006A3837" w:rsidRPr="00522362" w:rsidRDefault="006A3837" w:rsidP="006A3837">
      <w:pPr>
        <w:pStyle w:val="NormalWeb"/>
        <w:jc w:val="both"/>
        <w:rPr>
          <w:rFonts w:ascii="Arial" w:hAnsi="Arial" w:cs="Arial"/>
          <w:sz w:val="20"/>
          <w:szCs w:val="20"/>
        </w:rPr>
      </w:pPr>
      <w:r w:rsidRPr="008B7FA3">
        <w:rPr>
          <w:rFonts w:ascii="Arial" w:hAnsi="Arial" w:cs="Arial"/>
          <w:sz w:val="20"/>
          <w:szCs w:val="20"/>
        </w:rPr>
        <w:t xml:space="preserve">In line with these developments, advances in information technology play an important role in improving the effectiveness of fund management and company operational activities. One of the main innovations is the implementation of Enterprise Resource Planning (ERP), which is a software-based integrated management system that covers various core business functions, ranging from finance, production, marketing, to supporting functions such as procurement, distribution, cash flow management, human resources, quality control, and electronic services </w:t>
      </w:r>
      <w:r>
        <w:rPr>
          <w:rFonts w:ascii="Arial" w:hAnsi="Arial" w:cs="Arial"/>
          <w:sz w:val="20"/>
          <w:szCs w:val="20"/>
        </w:rPr>
        <w:fldChar w:fldCharType="begin" w:fldLock="1"/>
      </w:r>
      <w:r>
        <w:rPr>
          <w:rFonts w:ascii="Arial" w:hAnsi="Arial" w:cs="Arial"/>
          <w:sz w:val="20"/>
          <w:szCs w:val="20"/>
        </w:rPr>
        <w:instrText>ADDIN CSL_CITATION {"citationItems":[{"id":"ITEM-1","itemData":{"DOI":"10.51505/ijebmr.2023.71108","abstract":"This study explores the association between ERP adoption and stock price volatility (SPV). An ERP software reshapes information collected, processed, and disseminated. We examine whether ERP usage influences the stock price volatility of Egyptian firms. Our investigation is among the first to examine how ERP usage affects SPV, an overall outcome measure of a firm’s information environment. The Findings document that ERP has a significant and negative association with SPV. Stock price volatility (SPV) relationships have expanded the literature on ERP facts. ERP is essential for both strategic and operational logistics decisions. This study also gives strong evidence that ERP-adopted firms help to reduce the risk of stock price volatility and build a good relationship with the shareholders. Overall, it showed the financial effect of ERP in the emerging economy context of Egypt. OLS Regression Analysis 115 organizations in Egypt were edited in 1150 observations registered from 2011 to 2020 on the Egyptian Stock Exchange (ESE). The main results of tests are robust after analysis with a cluster of the standard errors by companies' change of critical variables.","author":[{"dropping-particle":"","family":"Abdelall","given":"Mohamed Attia Ali","non-dropping-particle":"","parse-names":false,"suffix":""},{"dropping-particle":"","family":"Wu","given":"Dejun","non-dropping-particle":"","parse-names":false,"suffix":""}],"container-title":"International Journal of Economics, Business and Management Research","id":"ITEM-1","issue":"11","issued":{"date-parts":[["2023"]]},"page":"104-124","title":"Does ERP Adoption Affect Stock Price Volatility? Evidence from Egypt","type":"article-journal","volume":"07"},"uris":["http://www.mendeley.com/documents/?uuid=7893d2c6-2666-48e7-88ba-7d87534f89b6"]}],"mendeley":{"formattedCitation":"(Abdelall &amp; Wu, 2023)","plainTextFormattedCitation":"(Abdelall &amp; Wu, 2023)","previouslyFormattedCitation":"(Abdelall &amp; Wu, 2023)"},"properties":{"noteIndex":0},"schema":"https://github.com/citation-style-language/schema/raw/master/csl-citation.json"}</w:instrText>
      </w:r>
      <w:r>
        <w:rPr>
          <w:rFonts w:ascii="Arial" w:hAnsi="Arial" w:cs="Arial"/>
          <w:sz w:val="20"/>
          <w:szCs w:val="20"/>
        </w:rPr>
        <w:fldChar w:fldCharType="separate"/>
      </w:r>
      <w:r w:rsidRPr="008B7FA3">
        <w:rPr>
          <w:rFonts w:ascii="Arial" w:hAnsi="Arial" w:cs="Arial"/>
          <w:noProof/>
          <w:sz w:val="20"/>
          <w:szCs w:val="20"/>
        </w:rPr>
        <w:t>(Abdelall &amp; Wu, 2023)</w:t>
      </w:r>
      <w:r>
        <w:rPr>
          <w:rFonts w:ascii="Arial" w:hAnsi="Arial" w:cs="Arial"/>
          <w:sz w:val="20"/>
          <w:szCs w:val="20"/>
        </w:rPr>
        <w:fldChar w:fldCharType="end"/>
      </w:r>
      <w:r>
        <w:rPr>
          <w:rFonts w:ascii="Arial" w:hAnsi="Arial" w:cs="Arial"/>
          <w:sz w:val="20"/>
          <w:szCs w:val="20"/>
        </w:rPr>
        <w:t xml:space="preserve">. </w:t>
      </w:r>
      <w:r w:rsidRPr="008B7FA3">
        <w:rPr>
          <w:rFonts w:ascii="Arial" w:hAnsi="Arial" w:cs="Arial"/>
          <w:sz w:val="20"/>
          <w:szCs w:val="20"/>
        </w:rPr>
        <w:t>ERP implementation has the potential to reduce stock price volatility because it can improve the quality, transparency, and speed of providing financial information, thereby reducing information asymmetry and uncertainty in the market</w:t>
      </w:r>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{"citationItems":[{"id":"ITEM-1","itemData":{"DOI":"10.1080/09638180.2022.2130954","ISSN":"14684497","abstract":"We examine whether Enterprise Resource Planning system (ERP) usage affects the stock price crash risk of Chinese firms, and whether the effect differs between state-owned enterprises (SOEs) and non-SOEs. We find that ERP usage is associated with lower stock price crash risk, but this pattern is largely concentrated in non-SOEs, consistent with our arguments that more acute shareholder-manager agency problem and more organizational rigidity can inhibit the successful assimilation of ERP. The results are further confirmed by a difference-in-differences analysis exploiting the privatization of SOEs as a negative shock to their shareholder-manager agency problem and organizational rigidity. Three channels help explain why ERP usage helps lower stock price crash risk: it improves the quality of internal control, reduces the chance of financial restatements, and mitigates information asymmetry, and all effects are concentrated in non-SOEs. Our study is among the first to examine how ERP usage affects stock price crash risk–an overall outcome measure of a firm's information environment. Using SOEs vs. non-SOEs as a powerful measure of the shareholder-manager agency problem and organizational rigidity, it also represents the first test of the moderating effect of agency problem and organizational rigidity on the effectiveness of ERP usage.","author":[{"dropping-particle":"","family":"Cao","given":"Feng","non-dropping-particle":"","parse-names":false,"suffix":""},{"dropping-particle":"","family":"Sun","given":"Jian","non-dropping-particle":"","parse-names":false,"suffix":""},{"dropping-particle":"","family":"Yuan","given":"Rongli","non-dropping-particle":"","parse-names":false,"suffix":""},{"dropping-particle":"","family":"Zou","given":"Hong","non-dropping-particle":"","parse-names":false,"suffix":""}],"container-title":"European Accounting Review","id":"ITEM-1","issue":"3","issued":{"date-parts":[["2024"]]},"page":"929-963","title":"Enterprise Resource Planning System Usage and Stock Price Crash Risk","type":"article-journal","volume":"33"},"uris":["http://www.mendeley.com/documents/?uuid=c98b9927-015b-4877-a16d-778770a0c957"]}],"mendeley":{"formattedCitation":"(Cao et al., 2024)","plainTextFormattedCitation":"(Cao et al., 2024)","previouslyFormattedCitation":"(Cao et al., 2024)"},"properties":{"noteIndex":0},"schema":"https://github.com/citation-style-language/schema/raw/master/csl-citation.json"}</w:instrText>
      </w:r>
      <w:r>
        <w:rPr>
          <w:rFonts w:ascii="Arial" w:hAnsi="Arial" w:cs="Arial"/>
          <w:sz w:val="20"/>
          <w:szCs w:val="20"/>
        </w:rPr>
        <w:fldChar w:fldCharType="separate"/>
      </w:r>
      <w:r w:rsidRPr="008B7FA3">
        <w:rPr>
          <w:rFonts w:ascii="Arial" w:hAnsi="Arial" w:cs="Arial"/>
          <w:noProof/>
          <w:sz w:val="20"/>
          <w:szCs w:val="20"/>
        </w:rPr>
        <w:t>(Cao et al., 2024)</w:t>
      </w:r>
      <w:r>
        <w:rPr>
          <w:rFonts w:ascii="Arial" w:hAnsi="Arial" w:cs="Arial"/>
          <w:sz w:val="20"/>
          <w:szCs w:val="20"/>
        </w:rPr>
        <w:fldChar w:fldCharType="end"/>
      </w:r>
      <w:r w:rsidRPr="008B7FA3">
        <w:rPr>
          <w:rFonts w:ascii="Arial" w:hAnsi="Arial" w:cs="Arial"/>
          <w:sz w:val="20"/>
          <w:szCs w:val="20"/>
        </w:rPr>
        <w:t xml:space="preserve">. With more reliable and transparent financial reports, investor confidence will be stronger, which in turn suppresses the risk of excessive speculation and market reactions to unclear </w:t>
      </w:r>
      <w:proofErr w:type="spellStart"/>
      <w:r w:rsidRPr="008B7FA3">
        <w:rPr>
          <w:rFonts w:ascii="Arial" w:hAnsi="Arial" w:cs="Arial"/>
          <w:sz w:val="20"/>
          <w:szCs w:val="20"/>
        </w:rPr>
        <w:t>rumors</w:t>
      </w:r>
      <w:proofErr w:type="spellEnd"/>
      <w:r w:rsidRPr="008B7FA3">
        <w:rPr>
          <w:rFonts w:ascii="Arial" w:hAnsi="Arial" w:cs="Arial"/>
          <w:sz w:val="20"/>
          <w:szCs w:val="20"/>
        </w:rPr>
        <w:t xml:space="preserve"> and promotes stock price stability.</w:t>
      </w:r>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{"citationItems":[{"id":"ITEM-1","itemData":{"DOI":"10.51505/ijebmr.2023.71108","abstract":"This study explores the association between ERP adoption and stock price volatility (SPV). An ERP software reshapes information collected, processed, and disseminated. We examine whether ERP usage influences the stock price volatility of Egyptian firms. Our investigation is among the first to examine how ERP usage affects SPV, an overall outcome measure of a firm’s information environment. The Findings document that ERP has a significant and negative association with SPV. Stock price volatility (SPV) relationships have expanded the literature on ERP facts. ERP is essential for both strategic and operational logistics decisions. This study also gives strong evidence that ERP-adopted firms help to reduce the risk of stock price volatility and build a good relationship with the shareholders. Overall, it showed the financial effect of ERP in the emerging economy context of Egypt. OLS Regression Analysis 115 organizations in Egypt were edited in 1150 observations registered from 2011 to 2020 on the Egyptian Stock Exchange (ESE). The main results of tests are robust after analysis with a cluster of the standard errors by companies' change of critical variables.","author":[{"dropping-particle":"","family":"Abdelall","given":"Mohamed Attia Ali","non-dropping-particle":"","parse-names":false,"suffix":""},{"dropping-particle":"","family":"Wu","given":"Dejun","non-dropping-particle":"","parse-names":false,"suffix":""}],"container-title":"International Journal of Economics, Business and Management Research","id":"ITEM-1","issue":"11","issued":{"date-parts":[["2023"]]},"page":"104-124","title":"Does ERP Adoption Affect Stock Price Volatility? Evidence from Egypt","type":"article-journal","volume":"07"},"uris":["http://www.mendeley.com/documents/?uuid=7893d2c6-2666-48e7-88ba-7d87534f89b6"]}],"mendeley":{"formattedCitation":"(Abdelall &amp; Wu, 2023)","manualFormatting":"Abdelall &amp; Wu, (2023)","plainTextFormattedCitation":"(Abdelall &amp; Wu, 2023)","previouslyFormattedCitation":"(Abdelall &amp; Wu, 2023)"},"properties":{"noteIndex":0},"schema":"https://github.com/citation-style-language/schema/raw/master/csl-citation.json"}</w:instrText>
      </w:r>
      <w:r>
        <w:rPr>
          <w:rFonts w:ascii="Arial" w:hAnsi="Arial" w:cs="Arial"/>
          <w:sz w:val="20"/>
          <w:szCs w:val="20"/>
        </w:rPr>
        <w:fldChar w:fldCharType="separate"/>
      </w:r>
      <w:r w:rsidRPr="008B7FA3">
        <w:rPr>
          <w:rFonts w:ascii="Arial" w:hAnsi="Arial" w:cs="Arial"/>
          <w:noProof/>
          <w:sz w:val="20"/>
          <w:szCs w:val="20"/>
        </w:rPr>
        <w:t xml:space="preserve">Abdelall &amp; Wu, </w:t>
      </w:r>
      <w:r>
        <w:rPr>
          <w:rFonts w:ascii="Arial" w:hAnsi="Arial" w:cs="Arial"/>
          <w:noProof/>
          <w:sz w:val="20"/>
          <w:szCs w:val="20"/>
        </w:rPr>
        <w:t>(</w:t>
      </w:r>
      <w:r w:rsidRPr="008B7FA3">
        <w:rPr>
          <w:rFonts w:ascii="Arial" w:hAnsi="Arial" w:cs="Arial"/>
          <w:noProof/>
          <w:sz w:val="20"/>
          <w:szCs w:val="20"/>
        </w:rPr>
        <w:t>2023)</w:t>
      </w:r>
      <w:r>
        <w:rPr>
          <w:rFonts w:ascii="Arial" w:hAnsi="Arial" w:cs="Arial"/>
          <w:sz w:val="20"/>
          <w:szCs w:val="20"/>
        </w:rPr>
        <w:fldChar w:fldCharType="end"/>
      </w:r>
      <w:r w:rsidRPr="008B7FA3">
        <w:rPr>
          <w:rFonts w:ascii="Arial" w:hAnsi="Arial" w:cs="Arial"/>
          <w:sz w:val="20"/>
          <w:szCs w:val="20"/>
        </w:rPr>
        <w:t xml:space="preserve"> research in Egypt also proves that ERP adoption significantly lowers stock price volatility through improved information quality, transparency, and operational efficiency that reduces uncertainty in the eyes of investors.</w:t>
      </w:r>
      <w:r>
        <w:rPr>
          <w:rFonts w:ascii="Arial" w:hAnsi="Arial" w:cs="Arial"/>
          <w:sz w:val="20"/>
          <w:szCs w:val="20"/>
        </w:rPr>
        <w:t xml:space="preserve"> </w:t>
      </w:r>
    </w:p>
    <w:p w14:paraId="382E2790" w14:textId="77777777" w:rsidR="006A3837" w:rsidRDefault="006A3837" w:rsidP="006A3837">
      <w:pPr>
        <w:pStyle w:val="NormalWeb"/>
        <w:jc w:val="both"/>
        <w:rPr>
          <w:rFonts w:ascii="Arial" w:hAnsi="Arial" w:cs="Arial"/>
          <w:sz w:val="20"/>
          <w:szCs w:val="20"/>
        </w:rPr>
      </w:pPr>
      <w:r w:rsidRPr="005D47BD">
        <w:rPr>
          <w:rFonts w:ascii="Arial" w:hAnsi="Arial" w:cs="Arial"/>
          <w:sz w:val="20"/>
          <w:szCs w:val="20"/>
        </w:rPr>
        <w:t xml:space="preserve">The company's financial performance represented through Return on Assets (ROA) plays an important role in shaping investors' perceptions of the company's risk and stability </w:t>
      </w:r>
      <w:r>
        <w:rPr>
          <w:rFonts w:ascii="Arial" w:hAnsi="Arial" w:cs="Arial"/>
          <w:sz w:val="20"/>
          <w:szCs w:val="20"/>
        </w:rPr>
        <w:fldChar w:fldCharType="begin" w:fldLock="1"/>
      </w:r>
      <w:r>
        <w:rPr>
          <w:rFonts w:ascii="Arial" w:hAnsi="Arial" w:cs="Arial"/>
          <w:sz w:val="20"/>
          <w:szCs w:val="20"/>
        </w:rPr>
        <w:instrText>ADDIN CSL_CITATION {"citationItems":[{"id":"ITEM-1","itemData":{"DOI":"10.2991/gcbme-16.2016.8","abstract":"This study aims to determine how the \"Effect of return on assets and return on equity to the stock price on PT.Indocement Tunggal Prakarsa Tbk\". This study uses descriptive-quantitative analysis using classical assumption test. Collecting data using secondary data in the financial statements. The statistical technique used is multiple linear regression analysis, multiple correlation, determination, t test and f. Results of reseach variation return on Asset at PT Indocement Tbk. able to explain the variation on stock prices, while ROA increases, stock prices also tend to rise, Variation Return On Equity in PT Indocement Tbk. Vaariasi able to explain the stock price , which when ROE increases, the resulting share price decline. Variations ROA and ROE are jointly able to explain the variation on share prices.","author":[{"dropping-particle":"","family":"Sukmawati","given":"Fitri","non-dropping-particle":"","parse-names":false,"suffix":""},{"dropping-particle":"","family":"Garsela","given":"Innes","non-dropping-particle":"","parse-names":false,"suffix":""}],"container-title":"Advances in Economics, Business and Management Research","id":"ITEM-1","issued":{"date-parts":[["2016"]]},"page":"53-57","title":"The Effect of Return on Assets and Return on Equity to the Stock Price","type":"article-journal","volume":"15"},"uris":["http://www.mendeley.com/documents/?uuid=07443fa5-52ab-475d-9b6b-80c56f82d91b"]}],"mendeley":{"formattedCitation":"(Sukmawati &amp; Garsela, 2016)","plainTextFormattedCitation":"(Sukmawati &amp; Garsela, 2016)","previouslyFormattedCitation":"(Sukmawati &amp; Garsela, 2016)"},"properties":{"noteIndex":0},"schema":"https://github.com/citation-style-language/schema/raw/master/csl-citation.json"}</w:instrText>
      </w:r>
      <w:r>
        <w:rPr>
          <w:rFonts w:ascii="Arial" w:hAnsi="Arial" w:cs="Arial"/>
          <w:sz w:val="20"/>
          <w:szCs w:val="20"/>
        </w:rPr>
        <w:fldChar w:fldCharType="separate"/>
      </w:r>
      <w:r w:rsidRPr="005D47BD">
        <w:rPr>
          <w:rFonts w:ascii="Arial" w:hAnsi="Arial" w:cs="Arial"/>
          <w:noProof/>
          <w:sz w:val="20"/>
          <w:szCs w:val="20"/>
        </w:rPr>
        <w:t>(Sukmawati &amp; Garsela, 2016)</w:t>
      </w:r>
      <w:r>
        <w:rPr>
          <w:rFonts w:ascii="Arial" w:hAnsi="Arial" w:cs="Arial"/>
          <w:sz w:val="20"/>
          <w:szCs w:val="20"/>
        </w:rPr>
        <w:fldChar w:fldCharType="end"/>
      </w:r>
      <w:r w:rsidRPr="005D47BD">
        <w:rPr>
          <w:rFonts w:ascii="Arial" w:hAnsi="Arial" w:cs="Arial"/>
          <w:sz w:val="20"/>
          <w:szCs w:val="20"/>
        </w:rPr>
        <w:t xml:space="preserve">. A high ROA indicates </w:t>
      </w:r>
      <w:r w:rsidRPr="005D47BD">
        <w:rPr>
          <w:rFonts w:ascii="Arial" w:hAnsi="Arial" w:cs="Arial"/>
          <w:sz w:val="20"/>
          <w:szCs w:val="20"/>
        </w:rPr>
        <w:lastRenderedPageBreak/>
        <w:t xml:space="preserve">management's ability to optimize assets to generate profits, so the company is considered healthy and has a positive outlook, which in turn increases investor confidence and suppresses stock price volatility. Conversely, a decline in ROA raises concerns over the effectiveness of asset management and triggers market uncertainty </w:t>
      </w:r>
      <w:r>
        <w:rPr>
          <w:rFonts w:ascii="Arial" w:hAnsi="Arial" w:cs="Arial"/>
          <w:sz w:val="20"/>
          <w:szCs w:val="20"/>
        </w:rPr>
        <w:fldChar w:fldCharType="begin" w:fldLock="1"/>
      </w:r>
      <w:r>
        <w:rPr>
          <w:rFonts w:ascii="Arial" w:hAnsi="Arial" w:cs="Arial"/>
          <w:sz w:val="20"/>
          <w:szCs w:val="20"/>
        </w:rPr>
        <w:instrText>ADDIN CSL_CITATION {"citationItems":[{"id":"ITEM-1","itemData":{"DOI":"10.33545/26175754.2024.v7.i1c.310","ISSN":"26175754","author":[{"dropping-particle":"","family":"Garg","given":"Dr. Rohit","non-dropping-particle":"","parse-names":false,"suffix":""},{"dropping-particle":"","family":"Gupta","given":"Dr. Pooja","non-dropping-particle":"","parse-names":false,"suffix":""}],"container-title":"International Journal of Research in Finance and Management","id":"ITEM-1","issue":"1","issued":{"date-parts":[["2024"]]},"page":"276-282","title":"Review on return and volatility of the stock market concerning foreign institutional investors","type":"article-journal","volume":"7"},"uris":["http://www.mendeley.com/documents/?uuid=d3ca6603-a3e9-4d73-a36c-9499b82175e4"]}],"mendeley":{"formattedCitation":"(Garg &amp; Gupta, 2024)","plainTextFormattedCitation":"(Garg &amp; Gupta, 2024)","previouslyFormattedCitation":"(Garg &amp; Gupta, 2024)"},"properties":{"noteIndex":0},"schema":"https://github.com/citation-style-language/schema/raw/master/csl-citation.json"}</w:instrText>
      </w:r>
      <w:r>
        <w:rPr>
          <w:rFonts w:ascii="Arial" w:hAnsi="Arial" w:cs="Arial"/>
          <w:sz w:val="20"/>
          <w:szCs w:val="20"/>
        </w:rPr>
        <w:fldChar w:fldCharType="separate"/>
      </w:r>
      <w:r w:rsidRPr="005D47BD">
        <w:rPr>
          <w:rFonts w:ascii="Arial" w:hAnsi="Arial" w:cs="Arial"/>
          <w:noProof/>
          <w:sz w:val="20"/>
          <w:szCs w:val="20"/>
        </w:rPr>
        <w:t>(Garg &amp; Gupta, 2024)</w:t>
      </w:r>
      <w:r>
        <w:rPr>
          <w:rFonts w:ascii="Arial" w:hAnsi="Arial" w:cs="Arial"/>
          <w:sz w:val="20"/>
          <w:szCs w:val="20"/>
        </w:rPr>
        <w:fldChar w:fldCharType="end"/>
      </w:r>
      <w:r>
        <w:rPr>
          <w:rFonts w:ascii="Arial" w:hAnsi="Arial" w:cs="Arial"/>
          <w:sz w:val="20"/>
          <w:szCs w:val="20"/>
        </w:rPr>
        <w:t xml:space="preserve">. </w:t>
      </w:r>
      <w:r w:rsidRPr="005D47BD">
        <w:rPr>
          <w:rFonts w:ascii="Arial" w:hAnsi="Arial" w:cs="Arial"/>
          <w:sz w:val="20"/>
          <w:szCs w:val="20"/>
        </w:rPr>
        <w:t>However, the relationship between ROA and volatility is not always consistent as it is influenced by external factors and investor sentiment</w:t>
      </w:r>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{"citationItems":[{"id":"ITEM-1","itemData":{"DOI":"10.1016/j.iref.2018.08.016","ISSN":"10590560","abstract":"This paper analyzes whether we can predict stock return and its volatility of Hong Kong, Malaysia and South Korea based on measures of domestic and global (China, the European Area, Japan, and the US) economic policy uncertainties (EPU). While, linear Granger causality tests fail to find evidence of predictability, barring the case of South Korean EPU predicting its own stock returns, when we use a nonparametric causality-in-quantiles test, strong evidence of causality is detected from the EPUs for stock return volatility of Malaysia, and both returns and volatility at certain parts of the conditional distributions for South Korea. There is no evidence of predictability from domestic and global EPUs for return and volatility of the Hong Kong stock market. Given the statistical evidence of nonlinearity in our data set, we consider the results from the nonparametric test as more robust relative to the standard linear causality test.","author":[{"dropping-particle":"","family":"Balcilar","given":"Mehmet","non-dropping-particle":"","parse-names":false,"suffix":""},{"dropping-particle":"","family":"Gupta","given":"Rangan","non-dropping-particle":"","parse-names":false,"suffix":""},{"dropping-particle":"","family":"Kim","given":"Won Joong","non-dropping-particle":"","parse-names":false,"suffix":""},{"dropping-particle":"","family":"Kyei","given":"Clement","non-dropping-particle":"","parse-names":false,"suffix":""}],"container-title":"International Review of Economics and Finance","id":"ITEM-1","issued":{"date-parts":[["2019"]]},"page":"150-163","publisher":"Elsevier Inc.","title":"The role of economic policy uncertainties in predicting stock returns and their volatility for Hong Kong, Malaysia and South Korea","type":"article-journal","volume":"59"},"uris":["http://www.mendeley.com/documents/?uuid=881dab96-d185-4b3c-a480-0e0a22485751"]}],"mendeley":{"formattedCitation":"(Balcilar et al., 2019)","plainTextFormattedCitation":"(Balcilar et al., 2019)","previouslyFormattedCitation":"(Balcilar et al., 2019)"},"properties":{"noteIndex":0},"schema":"https://github.com/citation-style-language/schema/raw/master/csl-citation.json"}</w:instrText>
      </w:r>
      <w:r>
        <w:rPr>
          <w:rFonts w:ascii="Arial" w:hAnsi="Arial" w:cs="Arial"/>
          <w:sz w:val="20"/>
          <w:szCs w:val="20"/>
        </w:rPr>
        <w:fldChar w:fldCharType="separate"/>
      </w:r>
      <w:r w:rsidRPr="005D47BD">
        <w:rPr>
          <w:rFonts w:ascii="Arial" w:hAnsi="Arial" w:cs="Arial"/>
          <w:noProof/>
          <w:sz w:val="20"/>
          <w:szCs w:val="20"/>
        </w:rPr>
        <w:t>(Balcilar et al., 2019)</w:t>
      </w:r>
      <w:r>
        <w:rPr>
          <w:rFonts w:ascii="Arial" w:hAnsi="Arial" w:cs="Arial"/>
          <w:sz w:val="20"/>
          <w:szCs w:val="20"/>
        </w:rPr>
        <w:fldChar w:fldCharType="end"/>
      </w:r>
      <w:r>
        <w:rPr>
          <w:rFonts w:ascii="Arial" w:hAnsi="Arial" w:cs="Arial"/>
          <w:sz w:val="20"/>
          <w:szCs w:val="20"/>
        </w:rPr>
        <w:t>.</w:t>
      </w:r>
      <w:r w:rsidRPr="005D47BD">
        <w:rPr>
          <w:rFonts w:ascii="Arial" w:hAnsi="Arial" w:cs="Arial"/>
          <w:sz w:val="20"/>
          <w:szCs w:val="20"/>
        </w:rPr>
        <w:t xml:space="preserve"> Meanwhile, dividend policy also serves as an important signal to investors. Dividend </w:t>
      </w:r>
      <w:proofErr w:type="spellStart"/>
      <w:r w:rsidRPr="005D47BD">
        <w:rPr>
          <w:rFonts w:ascii="Arial" w:hAnsi="Arial" w:cs="Arial"/>
          <w:sz w:val="20"/>
          <w:szCs w:val="20"/>
        </w:rPr>
        <w:t>Payout</w:t>
      </w:r>
      <w:proofErr w:type="spellEnd"/>
      <w:r w:rsidRPr="005D47BD">
        <w:rPr>
          <w:rFonts w:ascii="Arial" w:hAnsi="Arial" w:cs="Arial"/>
          <w:sz w:val="20"/>
          <w:szCs w:val="20"/>
        </w:rPr>
        <w:t xml:space="preserve"> Ratio (DPR) is often used to assess the stability of the company; the higher the DPR, the lower the stock volatility because dividends provide certainty and reduce investor uncertainty </w:t>
      </w:r>
      <w:r>
        <w:rPr>
          <w:rFonts w:ascii="Arial" w:hAnsi="Arial" w:cs="Arial"/>
          <w:sz w:val="20"/>
          <w:szCs w:val="20"/>
        </w:rPr>
        <w:fldChar w:fldCharType="begin" w:fldLock="1"/>
      </w:r>
      <w:r>
        <w:rPr>
          <w:rFonts w:ascii="Arial" w:hAnsi="Arial" w:cs="Arial"/>
          <w:sz w:val="20"/>
          <w:szCs w:val="20"/>
        </w:rPr>
        <w:instrText>ADDIN CSL_CITATION {"citationItems":[{"id":"ITEM-1","itemData":{"DOI":"10.1108/15265941111100076","ISSN":"09657967","abstract":"Purpose – The purpose of this paper is to examine the relation between dividend policy and share price changes in the UK stock market. Design/methodology/approach – Multiple regression analyses are used to explore the association between share price changes and both dividend yield and dividend payout ratio. Findings – A positive relation is found between dividend yield and stock price changes, and a negative relation between dividend payout ratio and stock price changes. In addition, it is shown that a firm's growth rate, debt level, size and earnings explain stock price changes. Practical implications – The paper supports the fact that dividend policy is relevant in determining share price changes for a sample of firms listed in the London Stock Exchange. Originality/value – To the best of the authors' knowledge, this paper is the first to show that corporate dividend policy is a key driver of stock price changes in the UK.","author":[{"dropping-particle":"","family":"Hussainey","given":"Khaled","non-dropping-particle":"","parse-names":false,"suffix":""},{"dropping-particle":"","family":"Oscar Mgbame","given":"Chijoke","non-dropping-particle":"","parse-names":false,"suffix":""},{"dropping-particle":"","family":"Chijoke-Mgbame","given":"Aruoriwo M.","non-dropping-particle":"","parse-names":false,"suffix":""}],"container-title":"Journal of Risk Finance","id":"ITEM-1","issue":"1","issued":{"date-parts":[["2011"]]},"page":"57-68","title":"Dividend policy and share price volatility: UK evidence","type":"article-journal","volume":"12"},"uris":["http://www.mendeley.com/documents/?uuid=1f1a1d67-07aa-4832-a417-6132d980fb3f"]},{"id":"ITEM-2","itemData":{"DOI":"10.25105/mraai.v23i1.15498","ISSN":"1411-8831","abstract":"Abstract\r Stock price volatility is a risk that must be faced by shareholders when owning a share. High volatility indicates that a company’s stock price is move very quickly and the difference between the highest and the lowest price is very significant. Stock price volatility can be influenced by several factors, one of the factor is dividend policy which consists of dividend payout ratio and dividend yield. Dividends carry information that show company’s performance so dividend can cause a reaction in the market in which can affect the company’s stock price. This study aims to analyze whether dividend payout ratio and dividend yield can affect stock price volatility.  This study was carried out for all company that listed on the IDX during 2017-2021. The data used in this study is secondary data and using purposive sampling to determine the sample that will be used. The number of samples used in this study was 1867 and the analysis technique used wast multiple linear regression test. The results of this study indicate that dividend payout ratio and dividend yield have a significant effect and han an opposite relationship. This study shows that the higher dividend payout and dividend yield, the stock price volatility will be lower. In addition, the results of this study also show that firm size and earning per share also have a significant effect on stock price volatility. Future research can focus on other factors that can affect stock price volatility dividend policy and use other external factors that can affect stock price volatility.","author":[{"dropping-particle":"","family":"Angelina","given":"Chintia","non-dropping-particle":"","parse-names":false,"suffix":""},{"dropping-particle":"","family":"Eriandani","given":"Rizky","non-dropping-particle":"","parse-names":false,"suffix":""},{"dropping-particle":"","family":"Rudiawarni","given":"Felizia Arni","non-dropping-particle":"","parse-names":false,"suffix":""}],"container-title":"Media Riset Akuntansi, Auditing &amp; Informasi","id":"ITEM-2","issue":"1","issued":{"date-parts":[["2023"]]},"page":"151-168","title":"Kebijakan Dividen Dan Volatilitas Harga Saham: Periode Sebelum Dan Selama Pandemi Covid-19","type":"article-journal","volume":"23"},"uris":["http://www.mendeley.com/documents/?uuid=2834b50d-6261-4c57-a0ef-8b3122c6eb52"]}],"mendeley":{"formattedCitation":"(Angelina et al., 2023; Hussainey et al., 2011)","plainTextFormattedCitation":"(Angelina et al., 2023; Hussainey et al., 2011)","previouslyFormattedCitation":"(Angelina et al., 2023; Hussainey et al., 2011)"},"properties":{"noteIndex":0},"schema":"https://github.com/citation-style-language/schema/raw/master/csl-citation.json"}</w:instrText>
      </w:r>
      <w:r>
        <w:rPr>
          <w:rFonts w:ascii="Arial" w:hAnsi="Arial" w:cs="Arial"/>
          <w:sz w:val="20"/>
          <w:szCs w:val="20"/>
        </w:rPr>
        <w:fldChar w:fldCharType="separate"/>
      </w:r>
      <w:r w:rsidRPr="005D47BD">
        <w:rPr>
          <w:rFonts w:ascii="Arial" w:hAnsi="Arial" w:cs="Arial"/>
          <w:noProof/>
          <w:sz w:val="20"/>
          <w:szCs w:val="20"/>
        </w:rPr>
        <w:t>(Angelina et al., 2023; Hussainey et al., 2011)</w:t>
      </w:r>
      <w:r>
        <w:rPr>
          <w:rFonts w:ascii="Arial" w:hAnsi="Arial" w:cs="Arial"/>
          <w:sz w:val="20"/>
          <w:szCs w:val="20"/>
        </w:rPr>
        <w:fldChar w:fldCharType="end"/>
      </w:r>
      <w:r>
        <w:rPr>
          <w:rFonts w:ascii="Arial" w:hAnsi="Arial" w:cs="Arial"/>
          <w:sz w:val="20"/>
          <w:szCs w:val="20"/>
        </w:rPr>
        <w:t>.</w:t>
      </w:r>
    </w:p>
    <w:p w14:paraId="5DB09BC6" w14:textId="77777777" w:rsidR="006A3837" w:rsidRDefault="006A3837" w:rsidP="006A3837">
      <w:pPr>
        <w:pStyle w:val="Body"/>
        <w:spacing w:after="0"/>
        <w:rPr>
          <w:rFonts w:ascii="Arial" w:hAnsi="Arial" w:cs="Arial"/>
        </w:rPr>
      </w:pPr>
      <w:r w:rsidRPr="005D47BD">
        <w:rPr>
          <w:rFonts w:ascii="Arial" w:hAnsi="Arial" w:cs="Arial"/>
        </w:rPr>
        <w:t>Although the effect of ERP, ROA, and DPR on stock price volatility has been widely studied, there is still a research gap in the Indonesian capital market. Most previous studies focus on developed countries or specific sectors, so the results cannot be generalized to all sectors on the IDX. In addition, studies that integrate information technology factors (ERP) with financial indicators (ROA and DPR) are still rare, even though the combination has the potential to provide a more comprehensive understanding of the dynamics of stock volatility. The lack of studies in the post-pandemic period of COVID-19 with a high level of market fluctuations also strengthens the urgency of this research. Therefore, this study aims to analyze the effect of ERP, ROA, and DPR on stock price volatility in all sectors on the IDX, with the hope of making a theoretical contribution to emerging market literature as well as practical implications for company management and investors.</w:t>
      </w:r>
    </w:p>
    <w:p w14:paraId="5B54DA50" w14:textId="77777777" w:rsidR="006A3837" w:rsidRDefault="006A3837" w:rsidP="006A3837">
      <w:pPr>
        <w:pStyle w:val="Body"/>
        <w:spacing w:after="0"/>
        <w:rPr>
          <w:rFonts w:ascii="Arial" w:hAnsi="Arial" w:cs="Arial"/>
        </w:rPr>
      </w:pPr>
    </w:p>
    <w:p w14:paraId="614811AB" w14:textId="77777777" w:rsidR="00790ADA" w:rsidRPr="00FB3A86" w:rsidRDefault="00790ADA" w:rsidP="00441B6F">
      <w:pPr>
        <w:pStyle w:val="Body"/>
        <w:spacing w:after="0"/>
        <w:rPr>
          <w:rFonts w:ascii="Arial" w:hAnsi="Arial" w:cs="Arial"/>
        </w:rPr>
      </w:pPr>
    </w:p>
    <w:p w14:paraId="24DAA876"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A3837">
        <w:rPr>
          <w:rFonts w:ascii="Arial" w:hAnsi="Arial" w:cs="Arial"/>
        </w:rPr>
        <w:t>literature reviews</w:t>
      </w:r>
    </w:p>
    <w:p w14:paraId="737D7A73" w14:textId="77777777" w:rsidR="006A3837" w:rsidRDefault="006A3837" w:rsidP="006A3837">
      <w:pPr>
        <w:pStyle w:val="AbstHead"/>
        <w:spacing w:after="0"/>
        <w:jc w:val="both"/>
        <w:rPr>
          <w:rFonts w:ascii="Arial" w:hAnsi="Arial" w:cs="Arial"/>
        </w:rPr>
      </w:pPr>
      <w:r>
        <w:rPr>
          <w:rFonts w:ascii="Arial" w:hAnsi="Arial" w:cs="Arial"/>
        </w:rPr>
        <w:t>2.</w:t>
      </w:r>
      <w:r w:rsidRPr="00B54B4E">
        <w:rPr>
          <w:rFonts w:ascii="Arial" w:hAnsi="Arial" w:cs="Arial"/>
          <w:sz w:val="20"/>
        </w:rPr>
        <w:t xml:space="preserve">1 </w:t>
      </w:r>
      <w:r>
        <w:rPr>
          <w:rFonts w:ascii="Arial" w:hAnsi="Arial" w:cs="Arial"/>
          <w:bCs/>
          <w:caps w:val="0"/>
          <w:sz w:val="20"/>
        </w:rPr>
        <w:t>Agency T</w:t>
      </w:r>
      <w:r w:rsidRPr="00B54B4E">
        <w:rPr>
          <w:rFonts w:ascii="Arial" w:hAnsi="Arial" w:cs="Arial"/>
          <w:bCs/>
          <w:caps w:val="0"/>
          <w:sz w:val="20"/>
        </w:rPr>
        <w:t>heory</w:t>
      </w:r>
    </w:p>
    <w:p w14:paraId="2FCF87D6" w14:textId="77777777" w:rsidR="006A3837" w:rsidRDefault="006A3837" w:rsidP="006A3837">
      <w:pPr>
        <w:pStyle w:val="AbstHead"/>
        <w:spacing w:after="0"/>
        <w:jc w:val="both"/>
        <w:rPr>
          <w:rFonts w:ascii="Arial" w:hAnsi="Arial" w:cs="Arial"/>
          <w:b w:val="0"/>
          <w:bCs/>
          <w:caps w:val="0"/>
          <w:sz w:val="20"/>
        </w:rPr>
      </w:pPr>
      <w:r w:rsidRPr="000D3E11">
        <w:rPr>
          <w:rFonts w:ascii="Arial" w:hAnsi="Arial" w:cs="Arial"/>
          <w:b w:val="0"/>
          <w:bCs/>
          <w:caps w:val="0"/>
          <w:sz w:val="20"/>
        </w:rPr>
        <w:t>Agency theory explains the contractual relationship between shareholders as principals and management as agents, where management is authorized to make decisions in the interests of shareholders</w:t>
      </w:r>
      <w:r>
        <w:rPr>
          <w:rFonts w:ascii="Arial" w:hAnsi="Arial" w:cs="Arial"/>
          <w:b w:val="0"/>
          <w:bCs/>
          <w:caps w:val="0"/>
          <w:sz w:val="20"/>
        </w:rPr>
        <w:t xml:space="preserv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{"citationItems":[{"id":"ITEM-1","itemData":{"abstract":"Agency theory is an important, yet controversial, theory. This paper reviews agency theory, its contributions to organization theory, and the extant empirical work and develops testable propositions. The conclusions are that agency theory (a) offers unique insight into in- formation systems, outcome uncertainty, incentives, and risk and (b) is an empirically valid perspective, particularly when coupled with complementary perspectives. The principal recommendation is to in- corporate an agency perspective in studies of the many problems having a cooperative structure. One","author":[{"dropping-particle":"","family":"Eisenhardt","given":"Kathleen M.","non-dropping-particle":"","parse-names":false,"suffix":""}],"container-title":"Academy of Management","id":"ITEM-1","issue":"1","issued":{"date-parts":[["1989"]]},"page":"57–74","title":"Agency Theory : An Assessment and Review Linked references are available on JSTOR","type":"article-journal","volume":"14(1)"},"uris":["http://www.mendeley.com/documents/?uuid=d2ec6b27-238d-4238-b750-cb2e838f02c7"]},{"id":"ITEM-2","itemData":{"DOI":"10.1057/9781137341280.0038","abstract":"The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Economic","id":"ITEM-2","issued":{"date-parts":[["1976"]]},"page":"305-360","title":"Theory Of The Firm: Managerial Behavior, Agency Costs and Ownership Structure","type":"article-journal","volume":"3"},"uris":["http://www.mendeley.com/documents/?uuid=010cb277-90fd-4080-96e8-bc9fc806a782"]}],"mendeley":{"formattedCitation":"(Eisenhardt, 1989; Jensen &amp; Meckling, 1976)","plainTextFormattedCitation":"(Eisenhardt, 1989; Jensen &amp; Meckling, 1976)","previouslyFormattedCitation":"(Eisenhardt, 1989; Jensen &amp; Meckling, 1976)"},"properties":{"noteIndex":0},"schema":"https://github.com/citation-style-language/schema/raw/master/csl-citation.json"}</w:instrText>
      </w:r>
      <w:r>
        <w:rPr>
          <w:rFonts w:ascii="Arial" w:hAnsi="Arial" w:cs="Arial"/>
          <w:b w:val="0"/>
          <w:bCs/>
          <w:caps w:val="0"/>
          <w:sz w:val="20"/>
        </w:rPr>
        <w:fldChar w:fldCharType="separate"/>
      </w:r>
      <w:r w:rsidRPr="000D3E11">
        <w:rPr>
          <w:rFonts w:ascii="Arial" w:hAnsi="Arial" w:cs="Arial"/>
          <w:b w:val="0"/>
          <w:bCs/>
          <w:caps w:val="0"/>
          <w:noProof/>
          <w:sz w:val="20"/>
        </w:rPr>
        <w:t>(Eisenhardt, 1989; Jensen &amp; Meckling, 1976)</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Agency conflicts arise when the principal has difficulty ensuring that the agent acts to maximize his welfare, resulting in information asymmetry that provides opportunities for managers to behave opportunistically, for example through earnings manipulation</w:t>
      </w:r>
      <w:r>
        <w:rPr>
          <w:rFonts w:ascii="Arial" w:hAnsi="Arial" w:cs="Arial"/>
          <w:b w:val="0"/>
          <w:bCs/>
          <w:caps w:val="0"/>
          <w:sz w:val="20"/>
        </w:rPr>
        <w:t xml:space="preserv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{"citationItems":[{"id":"ITEM-1","itemData":{"DOI":"10.30574/ijsra.2024.11.1.0340","abstract":"The global food supply chain is a complex network of interconnected processes and actors that play a critical role in ensuring food security and stability. However, this intricate system is susceptible to various risks and challenges, including natural disasters, geopolitical tensions, market fluctuations, and regulatory changes. These risks often result in food price volatility, which can have profound implications for both consumers and producers worldwide. In this context, accounting emerges as a vital tool for mitigating risks and managing food price volatility within the supply chain. Accounting serves as a cornerstone in providing accurate, timely, and reliable financial information essential for decision-making at every stage of the food supply chain. Through effective financial reporting and analysis, accounting enables stakeholders to identify, assess, and respond to potential risks proactively. By employing risk management techniques such as scenario planning, sensitivity analysis, and hedging strategies, accounting professionals can help organizations anticipate and mitigate supply chain disruptions, thereby reducing the impact of food price volatility. Furthermore, accounting facilitates transparency and accountability within the food supply chain, enhancing trust and cooperation among stakeholders. Through comprehensive cost accounting and performance measurement systems, organizations can identify inefficiencies, optimize resource allocation, and enhance operational resilience. Moreover, accounting frameworks such as sustainability accounting enable businesses to assess and report the environmental and social impacts of their operations, fostering sustainable practices across the supply chain. In addition to its role in risk management and performance optimization, accounting contributes to regulatory compliance and governance within the food industry. By adhering to accounting standards and regulations, organizations can ensure integrity and accuracy in financial reporting, thereby enhancing investor confidence and mitigating legal and reputational risks. Moreover, accounting professionals play a crucial role in designing and implementing internal control systems to prevent fraud, errors, and misconduct, safeguarding the integrity of the supply chain. Accounting plays a multifaceted role in mitigating food supply chain risks and food price volatility. By providing financial insights, promoting transparency, and ensuring compliance, accoun…","author":[{"dropping-particle":"","family":"Oriekhoe","given":"Osato Itohan","non-dropping-particle":"","parse-names":false,"suffix":""},{"dropping-particle":"","family":"Addy","given":"Wilhelmina Afua","non-dropping-particle":"","parse-names":false,"suffix":""},{"dropping-particle":"","family":"Okoye","given":"Chinwe Chinazo","non-dropping-particle":"","parse-names":false,"suffix":""},{"dropping-particle":"","family":"Oyewole","given":"Adedoyin Tolulope","non-dropping-particle":"","parse-names":false,"suffix":""},{"dropping-particle":"","family":"Ofodile","given":"Onyeka Chrisanctus","non-dropping-particle":"","parse-names":false,"suffix":""},{"dropping-particle":"","family":"Ugochukwu","given":"Chinonye Esther","non-dropping-particle":"","parse-names":false,"suffix":""}],"container-title":"International Journal of Science and Research Archive","id":"ITEM-1","issue":"1","issued":{"date-parts":[["2024"]]},"page":"2557-2565","title":"The role of accounting in mitigating food supply chain risks and food price volatility","type":"article-journal","volume":"11"},"uris":["http://www.mendeley.com/documents/?uuid=d5bd2990-276f-4a4e-9001-82af54f3b468"]},{"id":"ITEM-2","itemData":{"DOI":"10.54254/2754-1169/34/20231678","ISSN":"2754-1169","abstract":"Progressively stricter requirements of labor division have led to the blossom of the principal-agent model, where differences in objective functions between the principal and the agent, as well as information asymmetry, often hinder the principal from maximizing their utility and can result in potential harm to both parties and social welfare. This paper aims to analyze the endogenous causes and issues resulting from the principal-agent model and proposes solutions. Additionally, the shareholder-CEO relationship in finance is applied as a specific case of the principal-agent model for further analysis. Through the construct of a simple model and a signaling mechanism pondering more realistic elements, the negative effect of information asymmetry can be weakened. Lastly, based on the findings of this paper and existing empirical research, the article proposes specific schemes for the above-mentioned mechanism and discusses their implementation and implications. The investigation of principal-agent issues and the proposal of appropriate countermeasures are of great significance and are always frontier concerns for both academia and society.","author":[{"dropping-particle":"","family":"Zhou","given":"Xinyi","non-dropping-particle":"","parse-names":false,"suffix":""}],"container-title":"Advances in Economics, Management and Political Sciences","id":"ITEM-2","issue":"1","issued":{"date-parts":[["2023"]]},"page":"74-82","title":"Principal-agent Relationship and Agency Problem","type":"article-journal","volume":"34"},"uris":["http://www.mendeley.com/documents/?uuid=de4d30aa-1948-4098-b4f5-f1f9cbd9e95a"]}],"mendeley":{"formattedCitation":"(Oriekhoe et al., 2024; Zhou, 2023)","plainTextFormattedCitation":"(Oriekhoe et al., 2024; Zhou, 2023)","previouslyFormattedCitation":"(Oriekhoe et al., 2024; Zhou, 2023)"},"properties":{"noteIndex":0},"schema":"https://github.com/citation-style-language/schema/raw/master/csl-citation.json"}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(Oriekhoe et al., 2024; Zhou, 2023)</w:t>
      </w:r>
      <w:r>
        <w:rPr>
          <w:rFonts w:ascii="Arial" w:hAnsi="Arial" w:cs="Arial"/>
          <w:b w:val="0"/>
          <w:bCs/>
          <w:caps w:val="0"/>
          <w:sz w:val="20"/>
        </w:rPr>
        <w:fldChar w:fldCharType="end"/>
      </w:r>
      <w:r>
        <w:rPr>
          <w:rFonts w:ascii="Arial" w:hAnsi="Arial" w:cs="Arial"/>
          <w:b w:val="0"/>
          <w:bCs/>
          <w:caps w:val="0"/>
          <w:sz w:val="20"/>
        </w:rPr>
        <w:t>.</w:t>
      </w:r>
      <w:r w:rsidRPr="000D3E11">
        <w:rPr>
          <w:rFonts w:ascii="Arial" w:hAnsi="Arial" w:cs="Arial"/>
          <w:b w:val="0"/>
          <w:bCs/>
          <w:caps w:val="0"/>
          <w:sz w:val="20"/>
        </w:rPr>
        <w:t xml:space="preserve"> In this context, Enterprise Resource Planning (ERP) systems play an important role because they improve internal control, data integration, and transparency so as to reduce agency costs and potential report manipulation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{"citationItems":[{"id":"ITEM-1","itemData":{"DOI":"10.24914/jeb.v27i1.8759","ISSN":"2528-0147","abstract":"This research examines the moderating effect of the Independent Board of Commissioners on the relationship between implementing an enterprise resource planning system (ERP) and earnings management in non-financial companies in the Indonesia Stock Exchange. The earnings management variable is proxied through discretionary accruals, which refer to the calculation of the modified Jones model. This research used panel data from 85 companies from 2017 – 2020 to obtain a sample of 340. Employed the moderated regression analysis, the research finds that ERP implementation significantly influences the decline in earnings management. At the same time, the Independent Board of Commissioners can strengthen the relationship between the implementation of ERP systems and earnings management. This study contributes to expanding literature related to company information systems by providing evidence of the influence of ERP implementation on earnings management and how the Independent Board of Commissioner contributes to the relationship.","author":[{"dropping-particle":"","family":"Devi","given":"Suci Purnama","non-dropping-particle":"","parse-names":false,"suffix":""},{"dropping-particle":"","family":"Aryani","given":"Y Anni","non-dropping-particle":"","parse-names":false,"suffix":""}],"container-title":"Jurnal Ekonomi dan Bisnis","id":"ITEM-1","issue":"1","issued":{"date-parts":[["2024","4","25"]]},"page":"163-182","title":"ERP Implementation and Earnings Management: The Moderating Effect of an Independent Board of Commissioners","type":"article-journal","volume":"27"},"uris":["http://www.mendeley.com/documents/?uuid=f7127f18-1e2a-4371-91bf-35aafedb0c60"]}],"mendeley":{"formattedCitation":"(Devi &amp; Aryani, 2024)","plainTextFormattedCitation":"(Devi &amp; Aryani, 2024)","previouslyFormattedCitation":"(Devi &amp; Aryani, 2024)"},"properties":{"noteIndex":0},"schema":"https://github.com/citation-style-language/schema/raw/master/csl-citation.json"}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(Devi &amp; Aryani, 2024)</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Opportunistic managerial practices and low information quality can increase stock price volatility and market risk, while the implementation of ERP and consistent dividend policies, such as Dividend Payout Ratio (DPR), are believed to reduce uncertainty and align the interests of agents and principals.</w:t>
      </w:r>
    </w:p>
    <w:p w14:paraId="479AF289" w14:textId="77777777" w:rsidR="006A3837" w:rsidRDefault="006A3837" w:rsidP="006A3837">
      <w:pPr>
        <w:pStyle w:val="AbstHead"/>
        <w:spacing w:after="0"/>
        <w:jc w:val="both"/>
        <w:rPr>
          <w:rFonts w:ascii="Arial" w:hAnsi="Arial" w:cs="Arial"/>
          <w:b w:val="0"/>
          <w:bCs/>
          <w:caps w:val="0"/>
          <w:sz w:val="20"/>
        </w:rPr>
      </w:pPr>
    </w:p>
    <w:p w14:paraId="1E574AC9" w14:textId="77777777" w:rsidR="006A3837" w:rsidRPr="00B54B4E" w:rsidRDefault="006A3837" w:rsidP="006A3837">
      <w:pPr>
        <w:pStyle w:val="AbstHead"/>
        <w:spacing w:after="0"/>
        <w:jc w:val="both"/>
        <w:rPr>
          <w:rFonts w:ascii="Arial" w:hAnsi="Arial" w:cs="Arial"/>
          <w:bCs/>
          <w:caps w:val="0"/>
          <w:szCs w:val="22"/>
        </w:rPr>
      </w:pPr>
      <w:r w:rsidRPr="00B54B4E">
        <w:rPr>
          <w:rFonts w:ascii="Arial" w:hAnsi="Arial" w:cs="Arial"/>
          <w:bCs/>
          <w:caps w:val="0"/>
          <w:szCs w:val="22"/>
        </w:rPr>
        <w:t>2.2 Signaling Theory</w:t>
      </w:r>
    </w:p>
    <w:p w14:paraId="15DCD2C5" w14:textId="77777777" w:rsidR="006A3837" w:rsidRDefault="006A3837" w:rsidP="006A3837">
      <w:pPr>
        <w:pStyle w:val="AbstHead"/>
        <w:spacing w:after="0"/>
        <w:ind w:firstLine="720"/>
        <w:jc w:val="both"/>
        <w:rPr>
          <w:rFonts w:ascii="Arial" w:hAnsi="Arial" w:cs="Arial"/>
          <w:b w:val="0"/>
          <w:bCs/>
          <w:caps w:val="0"/>
          <w:sz w:val="20"/>
        </w:rPr>
      </w:pPr>
    </w:p>
    <w:p w14:paraId="538E898F" w14:textId="77777777" w:rsidR="006A3837" w:rsidRDefault="006A3837" w:rsidP="006A3837">
      <w:pPr>
        <w:pStyle w:val="AbstHead"/>
        <w:spacing w:after="0"/>
        <w:jc w:val="both"/>
        <w:rPr>
          <w:rFonts w:ascii="Arial" w:hAnsi="Arial" w:cs="Arial"/>
          <w:b w:val="0"/>
          <w:bCs/>
          <w:caps w:val="0"/>
          <w:sz w:val="20"/>
        </w:rPr>
      </w:pPr>
      <w:r w:rsidRPr="000D3E11">
        <w:rPr>
          <w:rFonts w:ascii="Arial" w:hAnsi="Arial" w:cs="Arial"/>
          <w:b w:val="0"/>
          <w:bCs/>
          <w:caps w:val="0"/>
          <w:sz w:val="20"/>
        </w:rPr>
        <w:t xml:space="preserve">Correspondingly, signaling theory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{"citationItems":[{"id":"ITEM-1","itemData":{"DOI":"10.2307/1882010","ISSN":"00335533","author":[{"dropping-particle":"","family":"Spence","given":"Michael","non-dropping-particle":"","parse-names":false,"suffix":""}],"container-title":"The Quarterly Journal of Economics","id":"ITEM-1","issue":"3","issued":{"date-parts":[["1973","8"]]},"page":"355","title":"Job Market Signaling","type":"article-journal","volume":"87"},"uris":["http://www.mendeley.com/documents/?uuid=5e8f9b2b-5f06-4a5b-a19a-d1de5fd0772c"]}],"mendeley":{"formattedCitation":"(Spence, 1973)","plainTextFormattedCitation":"(Spence, 1973)","previouslyFormattedCitation":"(Spence, 1973)"},"properties":{"noteIndex":0},"schema":"https://github.com/citation-style-language/schema/raw/master/csl-citation.json"}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(Spence, 1973)</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 xml:space="preserve">states that companies disclose information as a signal to investors regarding the company's performance and condition, where financial statements serve as a signal that can affect the value of shares and assist investors in making decisions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ISBN":"978-623-5382-20-3","author":[{"dropping-particle":"","family":"Marundha","given":"Amor","non-dropping-particle":"","parse-names":false,"suffix":""},{"dropping-particle":"","family":"Suryani","given":"Arna","non-dropping-particle":"","parse-names":false,"suffix":""},{"dropping-particle":"","family":"Herianti","given":"Eva","non-dropping-particle":"","parse-names":false,"suffix":""}],"container-title":"Penerbit Cv.Eureka Media Aksara","id":"ITEM-1","issued":{"date-parts":[["2022"]]},"page":"1-157","title":"Determinan Sensitivitas Laba Dan Implikasinya Terhadap Nilai Perusahaan","type":"article-journal"},"uris":["http://www.mendeley.com/documents/?uuid=0f364a23-fa5d-4e29-acbb-b96043f24393"]}],"mendeley":{"formattedCitation":"(Marundha et al., 2022)","plainTextFormattedCitation":"(Marundha et al., 2022)","previouslyFormattedCitation":"(Marundha et al., 2022)"},"properties":{"noteIndex":0},"schema":"https://github.com/citation-style-language/schema/raw/master/csl-citation.json"}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(Marundha et al., 2022)</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 xml:space="preserve">In the context of dividend policy, signaling theory explains that a company's prospects are reflected through dividend announcements.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{"citationItems":[{"id":"ITEM-1","itemData":{"DOI":"10.2307/3003485","ISSN":"0361915X","author":[{"dropping-particle":"","family":"Ross","given":"Stephen A.","non-dropping-particle":"","parse-names":false,"suffix":""}],"container-title":"The Bell Journal of Economics","id":"ITEM-1","issue":"1","issued":{"date-parts":[["1977"]]},"page":"23","title":"The Determination of Financial Structure: The Incentive-Signalling Approach","type":"article-journal","volume":"8"},"uris":["http://www.mendeley.com/documents/?uuid=f052a3fc-bbab-4cc2-a793-f403ef6c43ab"]}],"mendeley":{"formattedCitation":"(Ross, 1977)","manualFormatting":"Ross, (1977)","plainTextFormattedCitation":"(Ross, 1977)","previouslyFormattedCitation":"(Ross, 1977)"},"properties":{"noteIndex":0},"schema":"https://github.com/citation-style-language/schema/raw/master/csl-citation.json"}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 xml:space="preserve">Ross, </w:t>
      </w:r>
      <w:r>
        <w:rPr>
          <w:rFonts w:ascii="Arial" w:hAnsi="Arial" w:cs="Arial"/>
          <w:b w:val="0"/>
          <w:bCs/>
          <w:caps w:val="0"/>
          <w:noProof/>
          <w:sz w:val="20"/>
        </w:rPr>
        <w:t>(</w:t>
      </w:r>
      <w:r w:rsidRPr="008923EB">
        <w:rPr>
          <w:rFonts w:ascii="Arial" w:hAnsi="Arial" w:cs="Arial"/>
          <w:b w:val="0"/>
          <w:bCs/>
          <w:caps w:val="0"/>
          <w:noProof/>
          <w:sz w:val="20"/>
        </w:rPr>
        <w:t>1977)</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asserts that an increase in dividend payments will increase investor valuations, while a cessation or cut in dividends will decrease these valuations. T</w:t>
      </w:r>
      <w:r>
        <w:rPr>
          <w:rFonts w:ascii="Arial" w:hAnsi="Arial" w:cs="Arial"/>
          <w:b w:val="0"/>
          <w:bCs/>
          <w:caps w:val="0"/>
          <w:sz w:val="20"/>
        </w:rPr>
        <w:t>herefore</w:t>
      </w:r>
      <w:r w:rsidRPr="000D3E11">
        <w:rPr>
          <w:rFonts w:ascii="Arial" w:hAnsi="Arial" w:cs="Arial"/>
          <w:b w:val="0"/>
          <w:bCs/>
          <w:caps w:val="0"/>
          <w:sz w:val="20"/>
        </w:rPr>
        <w:t xml:space="preserve">, the market responds to dividend announcements as financial signals, where the dividend payout ratio </w:t>
      </w:r>
      <w:r w:rsidRPr="000D3E11">
        <w:rPr>
          <w:rFonts w:ascii="Arial" w:hAnsi="Arial" w:cs="Arial"/>
          <w:b w:val="0"/>
          <w:bCs/>
          <w:caps w:val="0"/>
          <w:sz w:val="20"/>
        </w:rPr>
        <w:lastRenderedPageBreak/>
        <w:t>represents managers' predictions of the firm's future cash flows.</w:t>
      </w:r>
    </w:p>
    <w:p w14:paraId="1E40236B" w14:textId="77777777" w:rsidR="006A3837" w:rsidRDefault="006A3837" w:rsidP="006A3837">
      <w:pPr>
        <w:pStyle w:val="AbstHead"/>
        <w:spacing w:after="0"/>
        <w:jc w:val="both"/>
        <w:rPr>
          <w:rFonts w:ascii="Arial" w:hAnsi="Arial" w:cs="Arial"/>
          <w:b w:val="0"/>
          <w:bCs/>
          <w:caps w:val="0"/>
          <w:sz w:val="20"/>
        </w:rPr>
      </w:pPr>
    </w:p>
    <w:p w14:paraId="1D9B8C00" w14:textId="77777777" w:rsidR="006A3837" w:rsidRPr="00F51864" w:rsidRDefault="006A3837" w:rsidP="006A3837">
      <w:pPr>
        <w:pStyle w:val="AbstHead"/>
        <w:spacing w:after="0"/>
        <w:jc w:val="both"/>
        <w:rPr>
          <w:rFonts w:ascii="Arial" w:hAnsi="Arial" w:cs="Arial"/>
          <w:bCs/>
          <w:caps w:val="0"/>
          <w:szCs w:val="22"/>
        </w:rPr>
      </w:pPr>
      <w:r>
        <w:rPr>
          <w:rFonts w:ascii="Arial" w:hAnsi="Arial" w:cs="Arial"/>
          <w:bCs/>
          <w:caps w:val="0"/>
          <w:szCs w:val="22"/>
        </w:rPr>
        <w:t>2.3</w:t>
      </w:r>
      <w:r w:rsidRPr="00B54B4E">
        <w:rPr>
          <w:rFonts w:ascii="Arial" w:hAnsi="Arial" w:cs="Arial"/>
          <w:bCs/>
          <w:caps w:val="0"/>
          <w:szCs w:val="22"/>
        </w:rPr>
        <w:t xml:space="preserve"> </w:t>
      </w:r>
      <w:r w:rsidRPr="00F51864">
        <w:rPr>
          <w:rFonts w:ascii="Arial" w:hAnsi="Arial" w:cs="Arial"/>
          <w:bCs/>
          <w:caps w:val="0"/>
          <w:szCs w:val="22"/>
        </w:rPr>
        <w:t>Perception of Dividend Payout Ratio</w:t>
      </w:r>
    </w:p>
    <w:p w14:paraId="7356A474" w14:textId="77777777" w:rsidR="006A3837" w:rsidRDefault="006A3837" w:rsidP="006A3837">
      <w:pPr>
        <w:pStyle w:val="AbstHead"/>
        <w:spacing w:after="0"/>
        <w:jc w:val="both"/>
        <w:rPr>
          <w:rFonts w:ascii="Arial" w:hAnsi="Arial" w:cs="Arial"/>
          <w:b w:val="0"/>
          <w:bCs/>
          <w:caps w:val="0"/>
          <w:sz w:val="20"/>
        </w:rPr>
      </w:pPr>
    </w:p>
    <w:p w14:paraId="5DEFE8C8" w14:textId="77777777" w:rsidR="006A3837" w:rsidRDefault="006A3837" w:rsidP="006A3837">
      <w:pPr>
        <w:pStyle w:val="AbstHead"/>
        <w:spacing w:after="0"/>
        <w:jc w:val="both"/>
        <w:rPr>
          <w:rFonts w:ascii="Arial" w:hAnsi="Arial" w:cs="Arial"/>
          <w:b w:val="0"/>
          <w:bCs/>
          <w:caps w:val="0"/>
          <w:sz w:val="20"/>
        </w:rPr>
      </w:pPr>
      <w:r w:rsidRPr="0073548D">
        <w:rPr>
          <w:rFonts w:ascii="Arial" w:hAnsi="Arial" w:cs="Arial"/>
          <w:b w:val="0"/>
          <w:bCs/>
          <w:caps w:val="0"/>
          <w:sz w:val="20"/>
        </w:rPr>
        <w:t xml:space="preserve">Dividend Payout Ratio (DPR) is the ratio of net income distributed as cash dividends and according to signaling theory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{"citationItems":[{"id":"ITEM-1","itemData":{"DOI":"10.2307/1882010","ISSN":"00335533","author":[{"dropping-particle":"","family":"Spence","given":"Michael","non-dropping-particle":"","parse-names":false,"suffix":""}],"container-title":"The Quarterly Journal of Economics","id":"ITEM-1","issue":"3","issued":{"date-parts":[["1973","8"]]},"page":"355","title":"Job Market Signaling","type":"article-journal","volume":"87"},"uris":["http://www.mendeley.com/documents/?uuid=5e8f9b2b-5f06-4a5b-a19a-d1de5fd0772c"]}],"mendeley":{"formattedCitation":"(Spence, 1973)","manualFormatting":"Spence, (1973)","plainTextFormattedCitation":"(Spence, 1973)","previouslyFormattedCitation":"(Spence, 1973)"},"properties":{"noteIndex":0},"schema":"https://github.com/citation-style-language/schema/raw/master/csl-citation.json"}</w:instrText>
      </w:r>
      <w:r>
        <w:rPr>
          <w:rFonts w:ascii="Arial" w:hAnsi="Arial" w:cs="Arial"/>
          <w:b w:val="0"/>
          <w:bCs/>
          <w:caps w:val="0"/>
          <w:sz w:val="20"/>
        </w:rPr>
        <w:fldChar w:fldCharType="separate"/>
      </w:r>
      <w:r w:rsidRPr="0073548D">
        <w:rPr>
          <w:rFonts w:ascii="Arial" w:hAnsi="Arial" w:cs="Arial"/>
          <w:b w:val="0"/>
          <w:bCs/>
          <w:caps w:val="0"/>
          <w:noProof/>
          <w:sz w:val="20"/>
        </w:rPr>
        <w:t xml:space="preserve">Spence, </w:t>
      </w:r>
      <w:r>
        <w:rPr>
          <w:rFonts w:ascii="Arial" w:hAnsi="Arial" w:cs="Arial"/>
          <w:b w:val="0"/>
          <w:bCs/>
          <w:caps w:val="0"/>
          <w:noProof/>
          <w:sz w:val="20"/>
        </w:rPr>
        <w:t>(</w:t>
      </w:r>
      <w:r w:rsidRPr="0073548D">
        <w:rPr>
          <w:rFonts w:ascii="Arial" w:hAnsi="Arial" w:cs="Arial"/>
          <w:b w:val="0"/>
          <w:bCs/>
          <w:caps w:val="0"/>
          <w:noProof/>
          <w:sz w:val="20"/>
        </w:rPr>
        <w:t>1973)</w:t>
      </w:r>
      <w:r>
        <w:rPr>
          <w:rFonts w:ascii="Arial" w:hAnsi="Arial" w:cs="Arial"/>
          <w:b w:val="0"/>
          <w:bCs/>
          <w:caps w:val="0"/>
          <w:sz w:val="20"/>
        </w:rPr>
        <w:fldChar w:fldCharType="end"/>
      </w:r>
      <w:r>
        <w:rPr>
          <w:rFonts w:ascii="Arial" w:hAnsi="Arial" w:cs="Arial"/>
          <w:b w:val="0"/>
          <w:bCs/>
          <w:caps w:val="0"/>
          <w:sz w:val="20"/>
        </w:rPr>
        <w:t xml:space="preserve"> </w:t>
      </w:r>
      <w:r w:rsidRPr="0073548D">
        <w:rPr>
          <w:rFonts w:ascii="Arial" w:hAnsi="Arial" w:cs="Arial"/>
          <w:b w:val="0"/>
          <w:bCs/>
          <w:caps w:val="0"/>
          <w:sz w:val="20"/>
        </w:rPr>
        <w:t>serves as a signal of the company's financial stability. A high DPR reflects stable performance and cash flow so that it can reduce market uncertainty and reduce stock volatility. Empirical research supports this, such as</w:t>
      </w:r>
      <w:r>
        <w:rPr>
          <w:rFonts w:ascii="Arial" w:hAnsi="Arial" w:cs="Arial"/>
          <w:b w:val="0"/>
          <w:bCs/>
          <w:caps w:val="0"/>
          <w:sz w:val="20"/>
        </w:rPr>
        <w:t xml:space="preserv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{"citationItems":[{"id":"ITEM-1","itemData":{"DOI":"10.25105/mraai.v23i1.15498","ISSN":"1411-8831","abstract":"Abstract\r Stock price volatility is a risk that must be faced by shareholders when owning a share. High volatility indicates that a company’s stock price is move very quickly and the difference between the highest and the lowest price is very significant. Stock price volatility can be influenced by several factors, one of the factor is dividend policy which consists of dividend payout ratio and dividend yield. Dividends carry information that show company’s performance so dividend can cause a reaction in the market in which can affect the company’s stock price. This study aims to analyze whether dividend payout ratio and dividend yield can affect stock price volatility.  This study was carried out for all company that listed on the IDX during 2017-2021. The data used in this study is secondary data and using purposive sampling to determine the sample that will be used. The number of samples used in this study was 1867 and the analysis technique used wast multiple linear regression test. The results of this study indicate that dividend payout ratio and dividend yield have a significant effect and han an opposite relationship. This study shows that the higher dividend payout and dividend yield, the stock price volatility will be lower. In addition, the results of this study also show that firm size and earning per share also have a significant effect on stock price volatility. Future research can focus on other factors that can affect stock price volatility dividend policy and use other external factors that can affect stock price volatility.","author":[{"dropping-particle":"","family":"Angelina","given":"Chintia","non-dropping-particle":"","parse-names":false,"suffix":""},{"dropping-particle":"","family":"Eriandani","given":"Rizky","non-dropping-particle":"","parse-names":false,"suffix":""},{"dropping-particle":"","family":"Rudiawarni","given":"Felizia Arni","non-dropping-particle":"","parse-names":false,"suffix":""}],"container-title":"Media Riset Akuntansi, Auditing &amp; Informasi","id":"ITEM-1","issue":"1","issued":{"date-parts":[["2023"]]},"page":"151-168","title":"Kebijakan Dividen Dan Volatilitas Harga Saham: Periode Sebelum Dan Selama Pandemi Covid-19","type":"article-journal","volume":"23"},"uris":["http://www.mendeley.com/documents/?uuid=2834b50d-6261-4c57-a0ef-8b3122c6eb52"]},{"id":"ITEM-2","itemData":{"DOI":"10.37641/jimkes.v13i2.3159","ISSN":"2337-7860","abstract":"The capital market is an increasingly popular investment alternative among the public. One of the factors that can affect stock price volatility is a company's financial statements, which serve as the primary basis for analyzing its performance. This study aims to determine the effect of leverage, dividend policy, and profitability on stock price volatility. This study employs a quantitative method with data analysis conducted using multiple linear regression analysis. The variables used in this study include leverage, dividend policy, and profitability as independent variables, while stock price volatility serves as the dependent variable. Leverage is measured by the Debt-to-Equity Ratio, dividend policy is measured by the Dividend Payout Ratio, and profitability is measured by Return on Assets. The study focuses on companies listed in the IDX30 index on the Indonesia Stock Exchange for the period 2019–2023, using a sample of 63 companies. The results indicate that leverage and dividend policy do not have a significant effect on stock price volatility, while profitability has a negative effect on stock price volatility. Furthermore, leverage, dividend policy, and profitability, when analyzed simultaneously, do not have a significant effect on stock price volatility in the IDX30 index during the 2019–2023 period.","author":[{"dropping-particle":"","family":"Siti Maysaroh","given":"","non-dropping-particle":"","parse-names":false,"suffix":""},{"dropping-particle":"","family":"Handayani","given":"Anita","non-dropping-particle":"","parse-names":false,"suffix":""}],"container-title":"Jurnal Ilmiah Manajemen Kesatuan","id":"ITEM-2","issue":"2","issued":{"date-parts":[["2025"]]},"page":"1051-1060","title":"Leverage, Dividend Policy, and Profitability Effects on IDX30 Stock Price Volatility During 2019–2023","type":"article-journal","volume":"13"},"uris":["http://www.mendeley.com/documents/?uuid=0855e698-29f4-43ca-9f58-ada8518cbe9a"]}],"mendeley":{"formattedCitation":"(Angelina et al., 2023; Siti Maysaroh &amp; Handayani, 2025)","manualFormatting":"(Angelina et al., (2023); Siti Maysaroh &amp; Handayani, (2025)","plainTextFormattedCitation":"(Angelina et al., 2023; Siti Maysaroh &amp; Handayani, 2025)","previouslyFormattedCitation":"(Angelina et al., 2023; Siti Maysaroh &amp; Handayani, 2025)"},"properties":{"noteIndex":0},"schema":"https://github.com/citation-style-language/schema/raw/master/csl-citation.json"}</w:instrText>
      </w:r>
      <w:r>
        <w:rPr>
          <w:rFonts w:ascii="Arial" w:hAnsi="Arial" w:cs="Arial"/>
          <w:b w:val="0"/>
          <w:bCs/>
          <w:caps w:val="0"/>
          <w:sz w:val="20"/>
        </w:rPr>
        <w:fldChar w:fldCharType="separate"/>
      </w:r>
      <w:r w:rsidRPr="0073548D">
        <w:rPr>
          <w:rFonts w:ascii="Arial" w:hAnsi="Arial" w:cs="Arial"/>
          <w:b w:val="0"/>
          <w:bCs/>
          <w:caps w:val="0"/>
          <w:noProof/>
          <w:sz w:val="20"/>
        </w:rPr>
        <w:t xml:space="preserve">(Angelina et al., </w:t>
      </w:r>
      <w:r>
        <w:rPr>
          <w:rFonts w:ascii="Arial" w:hAnsi="Arial" w:cs="Arial"/>
          <w:b w:val="0"/>
          <w:bCs/>
          <w:caps w:val="0"/>
          <w:noProof/>
          <w:sz w:val="20"/>
        </w:rPr>
        <w:t>(</w:t>
      </w:r>
      <w:r w:rsidRPr="0073548D">
        <w:rPr>
          <w:rFonts w:ascii="Arial" w:hAnsi="Arial" w:cs="Arial"/>
          <w:b w:val="0"/>
          <w:bCs/>
          <w:caps w:val="0"/>
          <w:noProof/>
          <w:sz w:val="20"/>
        </w:rPr>
        <w:t>2023</w:t>
      </w:r>
      <w:r>
        <w:rPr>
          <w:rFonts w:ascii="Arial" w:hAnsi="Arial" w:cs="Arial"/>
          <w:b w:val="0"/>
          <w:bCs/>
          <w:caps w:val="0"/>
          <w:noProof/>
          <w:sz w:val="20"/>
        </w:rPr>
        <w:t>)</w:t>
      </w:r>
      <w:r w:rsidRPr="0073548D">
        <w:rPr>
          <w:rFonts w:ascii="Arial" w:hAnsi="Arial" w:cs="Arial"/>
          <w:b w:val="0"/>
          <w:bCs/>
          <w:caps w:val="0"/>
          <w:noProof/>
          <w:sz w:val="20"/>
        </w:rPr>
        <w:t xml:space="preserve">; Siti Maysaroh &amp; Handayani, </w:t>
      </w:r>
      <w:r>
        <w:rPr>
          <w:rFonts w:ascii="Arial" w:hAnsi="Arial" w:cs="Arial"/>
          <w:b w:val="0"/>
          <w:bCs/>
          <w:caps w:val="0"/>
          <w:noProof/>
          <w:sz w:val="20"/>
        </w:rPr>
        <w:t>(</w:t>
      </w:r>
      <w:r w:rsidRPr="0073548D">
        <w:rPr>
          <w:rFonts w:ascii="Arial" w:hAnsi="Arial" w:cs="Arial"/>
          <w:b w:val="0"/>
          <w:bCs/>
          <w:caps w:val="0"/>
          <w:noProof/>
          <w:sz w:val="20"/>
        </w:rPr>
        <w:t>2025)</w:t>
      </w:r>
      <w:r>
        <w:rPr>
          <w:rFonts w:ascii="Arial" w:hAnsi="Arial" w:cs="Arial"/>
          <w:b w:val="0"/>
          <w:bCs/>
          <w:caps w:val="0"/>
          <w:sz w:val="20"/>
        </w:rPr>
        <w:fldChar w:fldCharType="end"/>
      </w:r>
      <w:r w:rsidRPr="0073548D">
        <w:rPr>
          <w:rFonts w:ascii="Arial" w:hAnsi="Arial" w:cs="Arial"/>
          <w:b w:val="0"/>
          <w:bCs/>
          <w:caps w:val="0"/>
          <w:sz w:val="20"/>
        </w:rPr>
        <w:t xml:space="preserve"> who found a significant negative relationship between DPR and volatility, while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{"citationItems":[{"id":"ITEM-1","itemData":{"ISSN":"2987-9078","abstract":"This study aims to determine the simultaneous and partial effect of the Dividend Payout Ratio, Return On Assets and Inflation on Stock Price Volatility in Property, Real Estate, And Building Construction sector companies listed on the Jakarta Islamic Index (JII) for the 2012-2021 period. The objects of this research are all property, real estate, and building construction companies listed on the Jakarta Islamic Index (JII) for the 2012-2021 period. The sampling method used purposive sampling with a total of 5 companies in the Property, Real Estate and Building Construction sector. The data analysis method used is the classical assumption test, panel data regression analysis, analysis of the correlation coefficient and determination, hypothesis testing using the t test (partial) and f test (simultaneous). The results using the t (partial) test show that the Dividend Payout Ratio variable has a significant effect on Stock Price Volatility, while the Return On Assets and Inflation variables have no significant effect on Stock Price Volatility. Then the f (simultaneous) test shows that the variables Dividend Payout Ratio, Return On Assets and Inflation have a significant effect on stock price volatility.","author":[{"dropping-particle":"","family":"Trihadiyanti","given":"Ratu Andhita","non-dropping-particle":"","parse-names":false,"suffix":""},{"dropping-particle":"","family":"Nurhayati","given":"Immas","non-dropping-particle":"","parse-names":false,"suffix":""},{"dropping-particle":"","family":"Aminda","given":"Renea Shinta","non-dropping-particle":"","parse-names":false,"suffix":""}],"container-title":"Jurnal Akuntansi Keuangan dan Bisnis","id":"ITEM-1","issue":"2","issued":{"date-parts":[["2023"]]},"page":"44-49","title":"Pengaruh DPR, ROA Dan Inflasi Terhadap Volatilitas Harga Saham","type":"article-journal","volume":"1"},"uris":["http://www.mendeley.com/documents/?uuid=244063df-2f55-4af7-b1c9-ad629b189d65"]}],"mendeley":{"formattedCitation":"(Trihadiyanti et al., 2023)","manualFormatting":"Trihadiyanti et al., (2023)","plainTextFormattedCitation":"(Trihadiyanti et al., 2023)","previouslyFormattedCitation":"(Trihadiyanti et al., 2023)"},"properties":{"noteIndex":0},"schema":"https://github.com/citation-style-language/schema/raw/master/csl-citation.json"}</w:instrText>
      </w:r>
      <w:r>
        <w:rPr>
          <w:rFonts w:ascii="Arial" w:hAnsi="Arial" w:cs="Arial"/>
          <w:b w:val="0"/>
          <w:bCs/>
          <w:caps w:val="0"/>
          <w:sz w:val="20"/>
        </w:rPr>
        <w:fldChar w:fldCharType="separate"/>
      </w:r>
      <w:r w:rsidRPr="0073548D">
        <w:rPr>
          <w:rFonts w:ascii="Arial" w:hAnsi="Arial" w:cs="Arial"/>
          <w:b w:val="0"/>
          <w:bCs/>
          <w:caps w:val="0"/>
          <w:noProof/>
          <w:sz w:val="20"/>
        </w:rPr>
        <w:t xml:space="preserve">Trihadiyanti et al., </w:t>
      </w:r>
      <w:r>
        <w:rPr>
          <w:rFonts w:ascii="Arial" w:hAnsi="Arial" w:cs="Arial"/>
          <w:b w:val="0"/>
          <w:bCs/>
          <w:caps w:val="0"/>
          <w:noProof/>
          <w:sz w:val="20"/>
        </w:rPr>
        <w:t>(</w:t>
      </w:r>
      <w:r w:rsidRPr="0073548D">
        <w:rPr>
          <w:rFonts w:ascii="Arial" w:hAnsi="Arial" w:cs="Arial"/>
          <w:b w:val="0"/>
          <w:bCs/>
          <w:caps w:val="0"/>
          <w:noProof/>
          <w:sz w:val="20"/>
        </w:rPr>
        <w:t>2023)</w:t>
      </w:r>
      <w:r>
        <w:rPr>
          <w:rFonts w:ascii="Arial" w:hAnsi="Arial" w:cs="Arial"/>
          <w:b w:val="0"/>
          <w:bCs/>
          <w:caps w:val="0"/>
          <w:sz w:val="20"/>
        </w:rPr>
        <w:fldChar w:fldCharType="end"/>
      </w:r>
      <w:r w:rsidRPr="0073548D">
        <w:rPr>
          <w:rFonts w:ascii="Arial" w:hAnsi="Arial" w:cs="Arial"/>
          <w:b w:val="0"/>
          <w:bCs/>
          <w:caps w:val="0"/>
          <w:sz w:val="20"/>
        </w:rPr>
        <w:t xml:space="preserve"> showed that low DPR actually increases volatility. T</w:t>
      </w:r>
      <w:r>
        <w:rPr>
          <w:rFonts w:ascii="Arial" w:hAnsi="Arial" w:cs="Arial"/>
          <w:b w:val="0"/>
          <w:bCs/>
          <w:caps w:val="0"/>
          <w:sz w:val="20"/>
        </w:rPr>
        <w:t>herefore</w:t>
      </w:r>
      <w:r w:rsidRPr="0073548D">
        <w:rPr>
          <w:rFonts w:ascii="Arial" w:hAnsi="Arial" w:cs="Arial"/>
          <w:b w:val="0"/>
          <w:bCs/>
          <w:caps w:val="0"/>
          <w:sz w:val="20"/>
        </w:rPr>
        <w:t xml:space="preserve">, a high DPR gives a positive signal, lowers risk, and suppresses stock price volatility. </w:t>
      </w:r>
      <w:r w:rsidRPr="00EA2A33">
        <w:rPr>
          <w:rFonts w:ascii="Arial" w:hAnsi="Arial" w:cs="Arial"/>
          <w:b w:val="0"/>
          <w:bCs/>
          <w:caps w:val="0"/>
          <w:sz w:val="20"/>
        </w:rPr>
        <w:t>Based on these arguments, the hypothesis is formulated as follows:</w:t>
      </w:r>
    </w:p>
    <w:p w14:paraId="57C21733" w14:textId="77777777" w:rsidR="006A3837" w:rsidRDefault="006A3837" w:rsidP="006A3837">
      <w:pPr>
        <w:pStyle w:val="AbstHead"/>
        <w:spacing w:after="0"/>
        <w:ind w:left="284"/>
        <w:jc w:val="both"/>
        <w:rPr>
          <w:rFonts w:ascii="Arial" w:hAnsi="Arial" w:cs="Arial"/>
          <w:b w:val="0"/>
          <w:bCs/>
          <w:caps w:val="0"/>
          <w:sz w:val="20"/>
        </w:rPr>
      </w:pPr>
      <w:r>
        <w:rPr>
          <w:rFonts w:ascii="Arial" w:hAnsi="Arial" w:cs="Arial"/>
          <w:b w:val="0"/>
          <w:bCs/>
          <w:caps w:val="0"/>
          <w:sz w:val="20"/>
        </w:rPr>
        <w:t xml:space="preserve">H </w:t>
      </w:r>
      <w:r>
        <w:rPr>
          <w:rFonts w:ascii="Arial" w:hAnsi="Arial" w:cs="Arial"/>
          <w:b w:val="0"/>
          <w:bCs/>
          <w:caps w:val="0"/>
          <w:sz w:val="20"/>
          <w:vertAlign w:val="subscript"/>
        </w:rPr>
        <w:t>1</w:t>
      </w:r>
      <w:r w:rsidRPr="0073548D">
        <w:rPr>
          <w:rFonts w:ascii="Arial" w:hAnsi="Arial" w:cs="Arial"/>
          <w:b w:val="0"/>
          <w:bCs/>
          <w:caps w:val="0"/>
          <w:sz w:val="20"/>
        </w:rPr>
        <w:t>: Dividend payout ratio affects stock price volatility.</w:t>
      </w:r>
    </w:p>
    <w:p w14:paraId="4C00D180" w14:textId="77777777" w:rsidR="006A3837" w:rsidRDefault="006A3837" w:rsidP="006A3837">
      <w:pPr>
        <w:pStyle w:val="AbstHead"/>
        <w:spacing w:after="0"/>
        <w:jc w:val="both"/>
        <w:rPr>
          <w:rFonts w:ascii="Arial" w:hAnsi="Arial" w:cs="Arial"/>
          <w:b w:val="0"/>
          <w:bCs/>
          <w:caps w:val="0"/>
          <w:sz w:val="20"/>
        </w:rPr>
      </w:pPr>
    </w:p>
    <w:p w14:paraId="5671EA66" w14:textId="77777777" w:rsidR="006A3837" w:rsidRPr="00F51864" w:rsidRDefault="006A3837" w:rsidP="006A3837">
      <w:pPr>
        <w:pStyle w:val="AbstHead"/>
        <w:spacing w:after="0"/>
        <w:jc w:val="both"/>
        <w:rPr>
          <w:rFonts w:ascii="Arial" w:hAnsi="Arial" w:cs="Arial"/>
          <w:bCs/>
          <w:caps w:val="0"/>
          <w:szCs w:val="22"/>
        </w:rPr>
      </w:pPr>
      <w:r>
        <w:rPr>
          <w:rFonts w:ascii="Arial" w:hAnsi="Arial" w:cs="Arial"/>
          <w:bCs/>
          <w:caps w:val="0"/>
          <w:szCs w:val="22"/>
        </w:rPr>
        <w:t>2.4</w:t>
      </w:r>
      <w:r w:rsidRPr="00B54B4E">
        <w:rPr>
          <w:rFonts w:ascii="Arial" w:hAnsi="Arial" w:cs="Arial"/>
          <w:bCs/>
          <w:caps w:val="0"/>
          <w:szCs w:val="22"/>
        </w:rPr>
        <w:t xml:space="preserve"> </w:t>
      </w:r>
      <w:r w:rsidRPr="00F51864">
        <w:rPr>
          <w:rFonts w:ascii="Arial" w:hAnsi="Arial" w:cs="Arial"/>
          <w:bCs/>
          <w:caps w:val="0"/>
          <w:szCs w:val="22"/>
        </w:rPr>
        <w:t>Perception of Return on Assets</w:t>
      </w:r>
    </w:p>
    <w:p w14:paraId="6B3A2F28" w14:textId="77777777" w:rsidR="006A3837" w:rsidRDefault="006A3837" w:rsidP="006A3837">
      <w:pPr>
        <w:pStyle w:val="AbstHead"/>
        <w:spacing w:after="0"/>
        <w:jc w:val="both"/>
        <w:rPr>
          <w:rFonts w:ascii="Arial" w:hAnsi="Arial" w:cs="Arial"/>
          <w:b w:val="0"/>
          <w:bCs/>
          <w:caps w:val="0"/>
          <w:sz w:val="20"/>
        </w:rPr>
      </w:pPr>
    </w:p>
    <w:p w14:paraId="32300526" w14:textId="77777777" w:rsidR="006A3837" w:rsidRDefault="006A3837" w:rsidP="006A3837">
      <w:pPr>
        <w:pStyle w:val="AbstHead"/>
        <w:spacing w:after="0"/>
        <w:jc w:val="both"/>
        <w:rPr>
          <w:rFonts w:ascii="Arial" w:hAnsi="Arial" w:cs="Arial"/>
          <w:b w:val="0"/>
          <w:bCs/>
          <w:caps w:val="0"/>
          <w:sz w:val="20"/>
        </w:rPr>
      </w:pPr>
      <w:r w:rsidRPr="00EA2A33">
        <w:rPr>
          <w:rFonts w:ascii="Arial" w:hAnsi="Arial" w:cs="Arial"/>
          <w:b w:val="0"/>
          <w:bCs/>
          <w:caps w:val="0"/>
          <w:sz w:val="20"/>
        </w:rPr>
        <w:t xml:space="preserve">According to Signaling Theory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{"citationItems":[{"id":"ITEM-1","itemData":{"DOI":"10.2307/1882010","ISSN":"00335533","author":[{"dropping-particle":"","family":"Spence","given":"Michael","non-dropping-particle":"","parse-names":false,"suffix":""}],"container-title":"The Quarterly Journal of Economics","id":"ITEM-1","issue":"3","issued":{"date-parts":[["1973","8"]]},"page":"355","title":"Job Market Signaling","type":"article-journal","volume":"87"},"uris":["http://www.mendeley.com/documents/?uuid=5e8f9b2b-5f06-4a5b-a19a-d1de5fd0772c"]}],"mendeley":{"formattedCitation":"(Spence, 1973)","manualFormatting":"Spence, (1973)","plainTextFormattedCitation":"(Spence, 1973)","previouslyFormattedCitation":"(Spence, 1973)"},"properties":{"noteIndex":0},"schema":"https://github.com/citation-style-language/schema/raw/master/csl-citation.json"}</w:instrText>
      </w:r>
      <w:r>
        <w:rPr>
          <w:rFonts w:ascii="Arial" w:hAnsi="Arial" w:cs="Arial"/>
          <w:b w:val="0"/>
          <w:bCs/>
          <w:caps w:val="0"/>
          <w:sz w:val="20"/>
        </w:rPr>
        <w:fldChar w:fldCharType="separate"/>
      </w:r>
      <w:r w:rsidRPr="00EA2A33">
        <w:rPr>
          <w:rFonts w:ascii="Arial" w:hAnsi="Arial" w:cs="Arial"/>
          <w:b w:val="0"/>
          <w:bCs/>
          <w:caps w:val="0"/>
          <w:noProof/>
          <w:sz w:val="20"/>
        </w:rPr>
        <w:t xml:space="preserve">Spence, </w:t>
      </w:r>
      <w:r>
        <w:rPr>
          <w:rFonts w:ascii="Arial" w:hAnsi="Arial" w:cs="Arial"/>
          <w:b w:val="0"/>
          <w:bCs/>
          <w:caps w:val="0"/>
          <w:noProof/>
          <w:sz w:val="20"/>
        </w:rPr>
        <w:t>(</w:t>
      </w:r>
      <w:r w:rsidRPr="00EA2A33">
        <w:rPr>
          <w:rFonts w:ascii="Arial" w:hAnsi="Arial" w:cs="Arial"/>
          <w:b w:val="0"/>
          <w:bCs/>
          <w:caps w:val="0"/>
          <w:noProof/>
          <w:sz w:val="20"/>
        </w:rPr>
        <w:t>1973)</w:t>
      </w:r>
      <w:r>
        <w:rPr>
          <w:rFonts w:ascii="Arial" w:hAnsi="Arial" w:cs="Arial"/>
          <w:b w:val="0"/>
          <w:bCs/>
          <w:caps w:val="0"/>
          <w:sz w:val="20"/>
        </w:rPr>
        <w:fldChar w:fldCharType="end"/>
      </w:r>
      <w:r>
        <w:rPr>
          <w:rFonts w:ascii="Arial" w:hAnsi="Arial" w:cs="Arial"/>
          <w:b w:val="0"/>
          <w:bCs/>
          <w:caps w:val="0"/>
          <w:sz w:val="20"/>
        </w:rPr>
        <w:t xml:space="preserve"> </w:t>
      </w:r>
      <w:r w:rsidRPr="00EA2A33">
        <w:rPr>
          <w:rFonts w:ascii="Arial" w:hAnsi="Arial" w:cs="Arial"/>
          <w:b w:val="0"/>
          <w:bCs/>
          <w:caps w:val="0"/>
          <w:sz w:val="20"/>
        </w:rPr>
        <w:t>Return on Assets (ROA) signals profitability which reflects the efficiency of the company in generating profits. High ROA provides a positive signal to investors about the company's prospects and stability, which can affect stock price volatility. Empirical findings are mixed, with some studies showing a significant effect and others not. In the context of this study, ROA is expected to influence investor perceptions and impact stock price volatility. Based on these arguments, the hypothesis is formulated as follows:</w:t>
      </w:r>
    </w:p>
    <w:p w14:paraId="774240C4" w14:textId="77777777" w:rsidR="006A3837" w:rsidRDefault="006A3837" w:rsidP="006A3837">
      <w:pPr>
        <w:pStyle w:val="AbstHead"/>
        <w:spacing w:after="0"/>
        <w:ind w:left="284"/>
        <w:jc w:val="both"/>
        <w:rPr>
          <w:rFonts w:ascii="Arial" w:hAnsi="Arial" w:cs="Arial"/>
          <w:b w:val="0"/>
          <w:bCs/>
          <w:caps w:val="0"/>
          <w:sz w:val="20"/>
        </w:rPr>
      </w:pPr>
      <w:r>
        <w:rPr>
          <w:rFonts w:ascii="Arial" w:hAnsi="Arial" w:cs="Arial"/>
          <w:b w:val="0"/>
          <w:bCs/>
          <w:caps w:val="0"/>
          <w:sz w:val="20"/>
        </w:rPr>
        <w:t xml:space="preserve">H </w:t>
      </w:r>
      <w:r>
        <w:rPr>
          <w:rFonts w:ascii="Arial" w:hAnsi="Arial" w:cs="Arial"/>
          <w:b w:val="0"/>
          <w:bCs/>
          <w:caps w:val="0"/>
          <w:sz w:val="20"/>
          <w:vertAlign w:val="subscript"/>
        </w:rPr>
        <w:t>2</w:t>
      </w:r>
      <w:r w:rsidRPr="00EA2A33">
        <w:rPr>
          <w:rFonts w:ascii="Arial" w:hAnsi="Arial" w:cs="Arial"/>
          <w:b w:val="0"/>
          <w:bCs/>
          <w:caps w:val="0"/>
          <w:sz w:val="20"/>
        </w:rPr>
        <w:t xml:space="preserve">: </w:t>
      </w:r>
      <w:r>
        <w:rPr>
          <w:rFonts w:ascii="Arial" w:hAnsi="Arial" w:cs="Arial"/>
          <w:b w:val="0"/>
          <w:bCs/>
          <w:caps w:val="0"/>
          <w:sz w:val="20"/>
        </w:rPr>
        <w:t>P</w:t>
      </w:r>
      <w:r w:rsidRPr="00EA2A33">
        <w:rPr>
          <w:rFonts w:ascii="Arial" w:hAnsi="Arial" w:cs="Arial"/>
          <w:b w:val="0"/>
          <w:bCs/>
          <w:caps w:val="0"/>
          <w:sz w:val="20"/>
        </w:rPr>
        <w:t>rofitability as measured by return on assets affects stock price volatility.</w:t>
      </w:r>
    </w:p>
    <w:p w14:paraId="43BBA7B9" w14:textId="77777777" w:rsidR="006A3837" w:rsidRDefault="006A3837" w:rsidP="006A3837">
      <w:pPr>
        <w:pStyle w:val="AbstHead"/>
        <w:spacing w:after="0"/>
        <w:ind w:left="284"/>
        <w:jc w:val="both"/>
        <w:rPr>
          <w:rFonts w:ascii="Arial" w:hAnsi="Arial" w:cs="Arial"/>
          <w:b w:val="0"/>
          <w:bCs/>
          <w:caps w:val="0"/>
          <w:sz w:val="20"/>
        </w:rPr>
      </w:pPr>
    </w:p>
    <w:p w14:paraId="111E3C40" w14:textId="77777777" w:rsidR="006A3837" w:rsidRDefault="006A3837" w:rsidP="006A3837">
      <w:pPr>
        <w:pStyle w:val="AbstHead"/>
        <w:spacing w:after="0"/>
        <w:jc w:val="both"/>
        <w:rPr>
          <w:rFonts w:ascii="Arial" w:hAnsi="Arial" w:cs="Arial"/>
          <w:bCs/>
          <w:caps w:val="0"/>
          <w:szCs w:val="22"/>
        </w:rPr>
      </w:pPr>
      <w:r>
        <w:rPr>
          <w:rFonts w:ascii="Arial" w:hAnsi="Arial" w:cs="Arial"/>
          <w:bCs/>
          <w:caps w:val="0"/>
          <w:szCs w:val="22"/>
        </w:rPr>
        <w:t>2.5</w:t>
      </w:r>
      <w:r w:rsidRPr="00B54B4E">
        <w:rPr>
          <w:rFonts w:ascii="Arial" w:hAnsi="Arial" w:cs="Arial"/>
          <w:bCs/>
          <w:caps w:val="0"/>
          <w:szCs w:val="22"/>
        </w:rPr>
        <w:t xml:space="preserve"> </w:t>
      </w:r>
      <w:r w:rsidRPr="00F51864">
        <w:rPr>
          <w:rFonts w:ascii="Arial" w:hAnsi="Arial" w:cs="Arial"/>
          <w:bCs/>
          <w:caps w:val="0"/>
          <w:szCs w:val="22"/>
        </w:rPr>
        <w:t xml:space="preserve">Perception of </w:t>
      </w:r>
      <w:r>
        <w:rPr>
          <w:rFonts w:ascii="Arial" w:hAnsi="Arial" w:cs="Arial"/>
          <w:bCs/>
          <w:caps w:val="0"/>
          <w:szCs w:val="22"/>
        </w:rPr>
        <w:t>Enterprise Resource P</w:t>
      </w:r>
      <w:r w:rsidRPr="00F51864">
        <w:rPr>
          <w:rFonts w:ascii="Arial" w:hAnsi="Arial" w:cs="Arial"/>
          <w:bCs/>
          <w:caps w:val="0"/>
          <w:szCs w:val="22"/>
        </w:rPr>
        <w:t>lanning</w:t>
      </w:r>
    </w:p>
    <w:p w14:paraId="4FFA2722" w14:textId="77777777" w:rsidR="006A3837" w:rsidRDefault="006A3837" w:rsidP="006A3837">
      <w:pPr>
        <w:pStyle w:val="AbstHead"/>
        <w:spacing w:after="0"/>
        <w:jc w:val="both"/>
        <w:rPr>
          <w:rFonts w:ascii="Arial" w:hAnsi="Arial" w:cs="Arial"/>
        </w:rPr>
      </w:pPr>
    </w:p>
    <w:p w14:paraId="4ABC32EB" w14:textId="77777777" w:rsidR="006A3837" w:rsidRPr="006A3837" w:rsidRDefault="006A3837" w:rsidP="006A3837">
      <w:pPr>
        <w:pStyle w:val="AbstHead"/>
        <w:spacing w:after="0"/>
        <w:jc w:val="both"/>
        <w:rPr>
          <w:rFonts w:ascii="Arial" w:hAnsi="Arial" w:cs="Arial"/>
          <w:b w:val="0"/>
          <w:bCs/>
          <w:caps w:val="0"/>
          <w:sz w:val="20"/>
        </w:rPr>
      </w:pPr>
      <w:r w:rsidRPr="00EA2A33">
        <w:rPr>
          <w:rFonts w:ascii="Arial" w:hAnsi="Arial" w:cs="Arial"/>
          <w:b w:val="0"/>
          <w:bCs/>
          <w:caps w:val="0"/>
          <w:sz w:val="20"/>
        </w:rPr>
        <w:t xml:space="preserve">According to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Economic","id":"ITEM-1","issued":{"date-parts":[["1976"]]},"page":"305-360","title":"Theory Of The Firm: Managerial Behavior, Agency Costs and Ownership Structure","type":"article-journal","volume":"3"},"uris":["http://www.mendeley.com/documents/?uuid=010cb277-90fd-4080-96e8-bc9fc806a782"]}],"mendeley":{"formattedCitation":"(Jensen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Pr>
          <w:rFonts w:ascii="Arial" w:hAnsi="Arial" w:cs="Arial"/>
          <w:b w:val="0"/>
          <w:bCs/>
          <w:caps w:val="0"/>
          <w:sz w:val="20"/>
        </w:rPr>
        <w:fldChar w:fldCharType="separate"/>
      </w:r>
      <w:r w:rsidRPr="00EA2A33">
        <w:rPr>
          <w:rFonts w:ascii="Arial" w:hAnsi="Arial" w:cs="Arial"/>
          <w:b w:val="0"/>
          <w:bCs/>
          <w:caps w:val="0"/>
          <w:noProof/>
          <w:sz w:val="20"/>
        </w:rPr>
        <w:t xml:space="preserve">Jensen &amp; Meckling, </w:t>
      </w:r>
      <w:r>
        <w:rPr>
          <w:rFonts w:ascii="Arial" w:hAnsi="Arial" w:cs="Arial"/>
          <w:b w:val="0"/>
          <w:bCs/>
          <w:caps w:val="0"/>
          <w:noProof/>
          <w:sz w:val="20"/>
        </w:rPr>
        <w:t>(</w:t>
      </w:r>
      <w:r w:rsidRPr="00EA2A33">
        <w:rPr>
          <w:rFonts w:ascii="Arial" w:hAnsi="Arial" w:cs="Arial"/>
          <w:b w:val="0"/>
          <w:bCs/>
          <w:caps w:val="0"/>
          <w:noProof/>
          <w:sz w:val="20"/>
        </w:rPr>
        <w:t>1976)</w:t>
      </w:r>
      <w:r>
        <w:rPr>
          <w:rFonts w:ascii="Arial" w:hAnsi="Arial" w:cs="Arial"/>
          <w:b w:val="0"/>
          <w:bCs/>
          <w:caps w:val="0"/>
          <w:sz w:val="20"/>
        </w:rPr>
        <w:fldChar w:fldCharType="end"/>
      </w:r>
      <w:r>
        <w:rPr>
          <w:rFonts w:ascii="Arial" w:hAnsi="Arial" w:cs="Arial"/>
          <w:b w:val="0"/>
          <w:bCs/>
          <w:caps w:val="0"/>
          <w:sz w:val="20"/>
        </w:rPr>
        <w:t xml:space="preserve"> </w:t>
      </w:r>
      <w:r w:rsidRPr="00EA2A33">
        <w:rPr>
          <w:rFonts w:ascii="Arial" w:hAnsi="Arial" w:cs="Arial"/>
          <w:b w:val="0"/>
          <w:bCs/>
          <w:caps w:val="0"/>
          <w:sz w:val="20"/>
        </w:rPr>
        <w:t xml:space="preserve">agency theory explains the relationship </w:t>
      </w:r>
      <w:r w:rsidRPr="00EA2A33">
        <w:rPr>
          <w:rFonts w:ascii="Arial" w:hAnsi="Arial" w:cs="Arial"/>
          <w:b w:val="0"/>
          <w:bCs/>
          <w:caps w:val="0"/>
          <w:sz w:val="20"/>
        </w:rPr>
        <w:t>between shareholders (principal) and management (agent) which often creates information asymmetry, because management has more control over internal information than shareholders. This condition can lead to agency problems and supervisory costs (agency costs). The implementation of enterprise resource planning (</w:t>
      </w:r>
      <w:r>
        <w:rPr>
          <w:rFonts w:ascii="Arial" w:hAnsi="Arial" w:cs="Arial"/>
          <w:b w:val="0"/>
          <w:bCs/>
          <w:caps w:val="0"/>
          <w:sz w:val="20"/>
        </w:rPr>
        <w:t>ERP</w:t>
      </w:r>
      <w:r w:rsidRPr="00EA2A33">
        <w:rPr>
          <w:rFonts w:ascii="Arial" w:hAnsi="Arial" w:cs="Arial"/>
          <w:b w:val="0"/>
          <w:bCs/>
          <w:caps w:val="0"/>
          <w:sz w:val="20"/>
        </w:rPr>
        <w:t xml:space="preserve">) is an important instrument to reduce information asymmetry by presenting integrated, accurate, and timely financial and operational data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{"citationItems":[{"id":"ITEM-1","itemData":{"DOI":"10.47392/irjaem.2024.0216","abstract":"Enterprise Resource Planning systems have evolved as pivotal tools for organizations seeking to streamline and integrate their diverse business processes. The integration of ERP in business facilitates a seamless flow of information across various departments. This study presents a comprehensive analysis of the impact of integrated ERP on business processes, focusing on the manifold ways in which ERP system contributes to organizational efficiency and competitions. This study investigates the barriers to effective ERP implementation, the need for enhanced utilization strategies, and the scope for overcoming challenges to maximize ERP benefits. Through a systematic literature review and empirical analysis, the study aims to identify key factors influencing ERP adoption, analyze the impact of user training on system utilization, and explore strategies for aligning ERP functionalities with organizational processes. In conclusion, this project aims to be a comprehensive guide for ERP vendors, consultants and organizations undergoing the integration process, offering strategic considerations and practical recommendations for optimizing their business processes through an integrated ERP approach.","author":[{"dropping-particle":"","family":"Sri","given":"M. Teja","non-dropping-particle":"","parse-names":false,"suffix":""},{"dropping-particle":"","family":"Suresh","given":"Nunna","non-dropping-particle":"","parse-names":false,"suffix":""},{"dropping-particle":"","family":"Varalakshmi","given":"T.","non-dropping-particle":"","parse-names":false,"suffix":""}],"container-title":"International Research Journal on Advanced Engineering and Management (IRJAEM)","id":"ITEM-1","issue":"05","issued":{"date-parts":[["2024"]]},"page":"1584-1587","title":"Integration of Erp in Optimizing Business Process","type":"article-journal","volume":"2"},"uris":["http://www.mendeley.com/documents/?uuid=2eb421b1-e1a9-490a-a731-6ac1135d348c"]}],"mendeley":{"formattedCitation":"(Sri et al., 2024)","plainTextFormattedCitation":"(Sri et al., 2024)","previouslyFormattedCitation":"(Sri et al., 2024)"},"properties":{"noteIndex":0},"schema":"https://github.com/citation-style-language/schema/raw/master/csl-citation.json"}</w:instrText>
      </w:r>
      <w:r>
        <w:rPr>
          <w:rFonts w:ascii="Arial" w:hAnsi="Arial" w:cs="Arial"/>
          <w:b w:val="0"/>
          <w:bCs/>
          <w:caps w:val="0"/>
          <w:sz w:val="20"/>
        </w:rPr>
        <w:fldChar w:fldCharType="separate"/>
      </w:r>
      <w:r w:rsidRPr="00EA2A33">
        <w:rPr>
          <w:rFonts w:ascii="Arial" w:hAnsi="Arial" w:cs="Arial"/>
          <w:b w:val="0"/>
          <w:bCs/>
          <w:caps w:val="0"/>
          <w:noProof/>
          <w:sz w:val="20"/>
        </w:rPr>
        <w:t>(Sri et al., 2024)</w:t>
      </w:r>
      <w:r>
        <w:rPr>
          <w:rFonts w:ascii="Arial" w:hAnsi="Arial" w:cs="Arial"/>
          <w:b w:val="0"/>
          <w:bCs/>
          <w:caps w:val="0"/>
          <w:sz w:val="20"/>
        </w:rPr>
        <w:fldChar w:fldCharType="end"/>
      </w:r>
      <w:r>
        <w:rPr>
          <w:rFonts w:ascii="Arial" w:hAnsi="Arial" w:cs="Arial"/>
          <w:b w:val="0"/>
          <w:bCs/>
          <w:caps w:val="0"/>
          <w:sz w:val="20"/>
        </w:rPr>
        <w:t>.</w:t>
      </w:r>
      <w:r w:rsidRPr="00EA2A33">
        <w:rPr>
          <w:rFonts w:ascii="Arial" w:hAnsi="Arial" w:cs="Arial"/>
          <w:b w:val="0"/>
          <w:bCs/>
          <w:caps w:val="0"/>
          <w:sz w:val="20"/>
        </w:rPr>
        <w:t xml:space="preserve"> More transparent and reliable information will reduce investor uncertainty, thereby reducing the potential for overreaction to new information that often triggers stock price volatility</w:t>
      </w:r>
      <w:r>
        <w:rPr>
          <w:rFonts w:ascii="Arial" w:hAnsi="Arial" w:cs="Arial"/>
          <w:b w:val="0"/>
          <w:bCs/>
          <w:caps w:val="0"/>
          <w:sz w:val="20"/>
        </w:rPr>
        <w:t xml:space="preserv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{"citationItems":[{"id":"ITEM-1","itemData":{"DOI":"10.1080/15140326.2019.1692509","ISSN":"16676726","abstract":"This paper explores the frequency of price overreactions in the US stock market by focusing on the Dow Jones Industrial Index over the period 1990–2017. It uses two different methods (static and dynamic) to detect overreactions and then carries out various statistical tests (both parametric and non-parametric) including correlation analysis, augmented Dickey–Fuller tests (ADF), Phillips-Perron (PP) tests, Granger causality tests, and regression analysis with dummy variables. The following hypotheses are tested: whether or not the frequency of overreactions varies over time (H1), is informative about crises (H2) and/or price movements (H3), and exhibits seasonality (H4). The null cannot be rejected except for H4, i.e., no seasonality is found. On the whole, it appears that the frequency of overreactions can provide useful information about market developments. A sharp increase in the number of overreactions occurs in crisis periods. The frequency of overreactions is linked to the VIX index and therefore could be used as an alternative measure of market sentiment and market fear, and it also affects stock returns. Further, our findings provide evidence supporting market inefficiency since price predictability can allow investors to design profitable trading strategies; in addition, the fact that the frequency of overreactions varies over time is consistent with the Adaptive Expectations Hypothesis.","author":[{"dropping-particle":"","family":"Caporale","given":"Guglielmo Maria","non-dropping-particle":"","parse-names":false,"suffix":""},{"dropping-particle":"","family":"Plastun","given":"Alex","non-dropping-particle":"","parse-names":false,"suffix":""}],"container-title":"Journal of Applied Economics","id":"ITEM-1","issue":"1","issued":{"date-parts":[["2019"]]},"page":"602-621","publisher":"Routledge","title":"On stock price overreactions: frequency, seasonality and information content","type":"article-journal","volume":"22"},"uris":["http://www.mendeley.com/documents/?uuid=f59082ea-8eee-41d8-9343-076eb876934a"]}],"mendeley":{"formattedCitation":"(Caporale &amp; Plastun, 2019)","plainTextFormattedCitation":"(Caporale &amp; Plastun, 2019)","previouslyFormattedCitation":"(Caporale &amp; Plastun, 2019)"},"properties":{"noteIndex":0},"schema":"https://github.com/citation-style-language/schema/raw/master/csl-citation.json"}</w:instrText>
      </w:r>
      <w:r>
        <w:rPr>
          <w:rFonts w:ascii="Arial" w:hAnsi="Arial" w:cs="Arial"/>
          <w:b w:val="0"/>
          <w:bCs/>
          <w:caps w:val="0"/>
          <w:sz w:val="20"/>
        </w:rPr>
        <w:fldChar w:fldCharType="separate"/>
      </w:r>
      <w:r w:rsidRPr="00EA2A33">
        <w:rPr>
          <w:rFonts w:ascii="Arial" w:hAnsi="Arial" w:cs="Arial"/>
          <w:b w:val="0"/>
          <w:bCs/>
          <w:caps w:val="0"/>
          <w:noProof/>
          <w:sz w:val="20"/>
        </w:rPr>
        <w:t>(Caporale &amp; Plastun, 2019)</w:t>
      </w:r>
      <w:r>
        <w:rPr>
          <w:rFonts w:ascii="Arial" w:hAnsi="Arial" w:cs="Arial"/>
          <w:b w:val="0"/>
          <w:bCs/>
          <w:caps w:val="0"/>
          <w:sz w:val="20"/>
        </w:rPr>
        <w:fldChar w:fldCharType="end"/>
      </w:r>
      <w:r>
        <w:rPr>
          <w:rFonts w:ascii="Arial" w:hAnsi="Arial" w:cs="Arial"/>
          <w:b w:val="0"/>
          <w:bCs/>
          <w:caps w:val="0"/>
          <w:sz w:val="20"/>
        </w:rPr>
        <w:t xml:space="preserve">. </w:t>
      </w:r>
      <w:r w:rsidRPr="00EA2A33">
        <w:rPr>
          <w:rFonts w:ascii="Arial" w:hAnsi="Arial" w:cs="Arial"/>
          <w:b w:val="0"/>
          <w:bCs/>
          <w:caps w:val="0"/>
          <w:sz w:val="20"/>
        </w:rPr>
        <w:t>This is reinforced by research by</w:t>
      </w:r>
      <w:r>
        <w:rPr>
          <w:rFonts w:ascii="Arial" w:hAnsi="Arial" w:cs="Arial"/>
          <w:b w:val="0"/>
          <w:bCs/>
          <w:caps w:val="0"/>
          <w:sz w:val="20"/>
        </w:rPr>
        <w:t xml:space="preserv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{"citationItems":[{"id":"ITEM-1","itemData":{"DOI":"10.51505/ijebmr.2023.71108","abstract":"This study explores the association between ERP adoption and stock price volatility (SPV). An ERP software reshapes information collected, processed, and disseminated. We examine whether ERP usage influences the stock price volatility of Egyptian firms. Our investigation is among the first to examine how ERP usage affects SPV, an overall outcome measure of a firm’s information environment. The Findings document that ERP has a significant and negative association with SPV. Stock price volatility (SPV) relationships have expanded the literature on ERP facts. ERP is essential for both strategic and operational logistics decisions. This study also gives strong evidence that ERP-adopted firms help to reduce the risk of stock price volatility and build a good relationship with the shareholders. Overall, it showed the financial effect of ERP in the emerging economy context of Egypt. OLS Regression Analysis 115 organizations in Egypt were edited in 1150 observations registered from 2011 to 2020 on the Egyptian Stock Exchange (ESE). The main results of tests are robust after analysis with a cluster of the standard errors by companies' change of critical variables.","author":[{"dropping-particle":"","family":"Abdelall","given":"Mohamed Attia Ali","non-dropping-particle":"","parse-names":false,"suffix":""},{"dropping-particle":"","family":"Wu","given":"Dejun","non-dropping-particle":"","parse-names":false,"suffix":""}],"container-title":"International Journal of Economics, Business and Management Research","id":"ITEM-1","issue":"11","issued":{"date-parts":[["2023"]]},"page":"104-124","title":"Does ERP Adoption Affect Stock Price Volatility? Evidence from Egypt","type":"article-journal","volume":"07"},"uris":["http://www.mendeley.com/documents/?uuid=7893d2c6-2666-48e7-88ba-7d87534f89b6"]}],"mendeley":{"formattedCitation":"(Abdelall &amp; Wu, 2023)","manualFormatting":"Abdelall &amp; Wu, (2023)","plainTextFormattedCitation":"(Abdelall &amp; Wu, 2023)"},"properties":{"noteIndex":0},"schema":"https://github.com/citation-style-language/schema/raw/master/csl-citation.json"}</w:instrText>
      </w:r>
      <w:r>
        <w:rPr>
          <w:rFonts w:ascii="Arial" w:hAnsi="Arial" w:cs="Arial"/>
          <w:b w:val="0"/>
          <w:bCs/>
          <w:caps w:val="0"/>
          <w:sz w:val="20"/>
        </w:rPr>
        <w:fldChar w:fldCharType="separate"/>
      </w:r>
      <w:r w:rsidRPr="00EA2A33">
        <w:rPr>
          <w:rFonts w:ascii="Arial" w:hAnsi="Arial" w:cs="Arial"/>
          <w:b w:val="0"/>
          <w:bCs/>
          <w:caps w:val="0"/>
          <w:noProof/>
          <w:sz w:val="20"/>
        </w:rPr>
        <w:t xml:space="preserve">Abdelall &amp; Wu, </w:t>
      </w:r>
      <w:r>
        <w:rPr>
          <w:rFonts w:ascii="Arial" w:hAnsi="Arial" w:cs="Arial"/>
          <w:b w:val="0"/>
          <w:bCs/>
          <w:caps w:val="0"/>
          <w:noProof/>
          <w:sz w:val="20"/>
        </w:rPr>
        <w:t>(</w:t>
      </w:r>
      <w:r w:rsidRPr="00EA2A33">
        <w:rPr>
          <w:rFonts w:ascii="Arial" w:hAnsi="Arial" w:cs="Arial"/>
          <w:b w:val="0"/>
          <w:bCs/>
          <w:caps w:val="0"/>
          <w:noProof/>
          <w:sz w:val="20"/>
        </w:rPr>
        <w:t>2023)</w:t>
      </w:r>
      <w:r>
        <w:rPr>
          <w:rFonts w:ascii="Arial" w:hAnsi="Arial" w:cs="Arial"/>
          <w:b w:val="0"/>
          <w:bCs/>
          <w:caps w:val="0"/>
          <w:sz w:val="20"/>
        </w:rPr>
        <w:fldChar w:fldCharType="end"/>
      </w:r>
      <w:r w:rsidRPr="00EA2A33">
        <w:rPr>
          <w:rFonts w:ascii="Arial" w:hAnsi="Arial" w:cs="Arial"/>
          <w:b w:val="0"/>
          <w:bCs/>
          <w:caps w:val="0"/>
          <w:sz w:val="20"/>
        </w:rPr>
        <w:t xml:space="preserve"> which shows that </w:t>
      </w:r>
      <w:r>
        <w:rPr>
          <w:rFonts w:ascii="Arial" w:hAnsi="Arial" w:cs="Arial"/>
          <w:b w:val="0"/>
          <w:bCs/>
          <w:caps w:val="0"/>
          <w:sz w:val="20"/>
        </w:rPr>
        <w:t>ERP</w:t>
      </w:r>
      <w:r w:rsidRPr="00EA2A33">
        <w:rPr>
          <w:rFonts w:ascii="Arial" w:hAnsi="Arial" w:cs="Arial"/>
          <w:b w:val="0"/>
          <w:bCs/>
          <w:caps w:val="0"/>
          <w:sz w:val="20"/>
        </w:rPr>
        <w:t xml:space="preserve"> adoption in </w:t>
      </w:r>
      <w:r>
        <w:rPr>
          <w:rFonts w:ascii="Arial" w:hAnsi="Arial" w:cs="Arial"/>
          <w:b w:val="0"/>
          <w:bCs/>
          <w:caps w:val="0"/>
          <w:sz w:val="20"/>
        </w:rPr>
        <w:t>E</w:t>
      </w:r>
      <w:r w:rsidRPr="00EA2A33">
        <w:rPr>
          <w:rFonts w:ascii="Arial" w:hAnsi="Arial" w:cs="Arial"/>
          <w:b w:val="0"/>
          <w:bCs/>
          <w:caps w:val="0"/>
          <w:sz w:val="20"/>
        </w:rPr>
        <w:t xml:space="preserve">gypt significantly reduces stock price volatility, especially in companies with weak governance and high levels of </w:t>
      </w:r>
      <w:r w:rsidRPr="006A3837">
        <w:rPr>
          <w:rFonts w:ascii="Arial" w:hAnsi="Arial" w:cs="Arial"/>
          <w:b w:val="0"/>
          <w:bCs/>
          <w:caps w:val="0"/>
          <w:sz w:val="20"/>
        </w:rPr>
        <w:t>information asymmetry. Therefore, ERP implementation plays a role in improving information quality and suppressing market uncertainty, which in turn can reduce stock price volatility. Based on these arguments, the hypothesis is formulated as follows:</w:t>
      </w:r>
    </w:p>
    <w:p w14:paraId="30FA4CF8" w14:textId="77777777" w:rsidR="00790ADA" w:rsidRPr="006A3837" w:rsidRDefault="006A3837" w:rsidP="006A3837">
      <w:pPr>
        <w:pStyle w:val="Body"/>
        <w:spacing w:after="0"/>
        <w:ind w:left="284"/>
        <w:rPr>
          <w:rFonts w:ascii="Arial" w:hAnsi="Arial" w:cs="Arial"/>
          <w:bCs/>
          <w:caps/>
        </w:rPr>
      </w:pPr>
      <w:r w:rsidRPr="006A3837">
        <w:rPr>
          <w:rFonts w:ascii="Arial" w:hAnsi="Arial" w:cs="Arial"/>
          <w:bCs/>
          <w:caps/>
        </w:rPr>
        <w:t xml:space="preserve">H </w:t>
      </w:r>
      <w:r w:rsidRPr="006A3837">
        <w:rPr>
          <w:rFonts w:ascii="Arial" w:hAnsi="Arial" w:cs="Arial"/>
          <w:bCs/>
          <w:caps/>
          <w:vertAlign w:val="subscript"/>
        </w:rPr>
        <w:t>3</w:t>
      </w:r>
      <w:r w:rsidRPr="006A3837">
        <w:rPr>
          <w:rFonts w:ascii="Arial" w:hAnsi="Arial" w:cs="Arial"/>
          <w:bCs/>
          <w:caps/>
        </w:rPr>
        <w:t xml:space="preserve">: </w:t>
      </w:r>
      <w:r w:rsidRPr="006A3837">
        <w:rPr>
          <w:rFonts w:ascii="Arial" w:hAnsi="Arial" w:cs="Arial"/>
          <w:bCs/>
        </w:rPr>
        <w:t>Enterprise resource planning affects stock price volatility.</w:t>
      </w:r>
    </w:p>
    <w:p w14:paraId="0D6799A4" w14:textId="77777777" w:rsidR="006A3837" w:rsidRPr="00FB3A86" w:rsidRDefault="006A3837" w:rsidP="006A3837">
      <w:pPr>
        <w:pStyle w:val="Body"/>
        <w:spacing w:after="0"/>
        <w:rPr>
          <w:rFonts w:ascii="Arial" w:hAnsi="Arial" w:cs="Arial"/>
        </w:rPr>
      </w:pPr>
    </w:p>
    <w:p w14:paraId="5A7DF05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6A3837">
        <w:rPr>
          <w:rFonts w:ascii="Arial" w:hAnsi="Arial" w:cs="Arial"/>
        </w:rPr>
        <w:t>Metods</w:t>
      </w:r>
    </w:p>
    <w:p w14:paraId="2C7AD3B6" w14:textId="77777777" w:rsidR="00790ADA" w:rsidRPr="00FB3A86" w:rsidRDefault="00790ADA" w:rsidP="00441B6F">
      <w:pPr>
        <w:pStyle w:val="Head1"/>
        <w:spacing w:after="0"/>
        <w:jc w:val="both"/>
        <w:rPr>
          <w:rFonts w:ascii="Arial" w:hAnsi="Arial" w:cs="Arial"/>
        </w:rPr>
      </w:pPr>
    </w:p>
    <w:p w14:paraId="7F18C23B" w14:textId="77777777" w:rsidR="006A3837" w:rsidRDefault="006A3837" w:rsidP="006A3837">
      <w:pPr>
        <w:pStyle w:val="AbstHead"/>
        <w:spacing w:after="0"/>
        <w:jc w:val="both"/>
        <w:rPr>
          <w:rFonts w:ascii="Arial" w:hAnsi="Arial" w:cs="Arial"/>
          <w:b w:val="0"/>
          <w:bCs/>
          <w:caps w:val="0"/>
          <w:sz w:val="20"/>
        </w:rPr>
      </w:pPr>
      <w:r w:rsidRPr="00256A47">
        <w:rPr>
          <w:rFonts w:ascii="Arial" w:hAnsi="Arial" w:cs="Arial"/>
          <w:b w:val="0"/>
          <w:bCs/>
          <w:caps w:val="0"/>
          <w:sz w:val="20"/>
        </w:rPr>
        <w:t>The population of this study consists of companies listed on the Indonesia Stock Exchange (IDX) during 2022–2024. Using purposive sampling based on the availability of data related to Dividend Payout Ratio (DPR), Return on Assets (ROA), Enterprise Resource Planning (ERP) implementation, and stock price volatility, 166 firms were selected, resulting in 498 firm-year observations. Data were collected through documentation method, using secondary data from annua</w:t>
      </w:r>
      <w:r>
        <w:rPr>
          <w:rFonts w:ascii="Arial" w:hAnsi="Arial" w:cs="Arial"/>
          <w:b w:val="0"/>
          <w:bCs/>
          <w:caps w:val="0"/>
          <w:sz w:val="20"/>
        </w:rPr>
        <w:t xml:space="preserve">l reports and IDX publications. </w:t>
      </w:r>
    </w:p>
    <w:p w14:paraId="73E05ED2" w14:textId="77777777" w:rsidR="006A3837" w:rsidRDefault="006A3837" w:rsidP="006A3837">
      <w:pPr>
        <w:pStyle w:val="AbstHead"/>
        <w:spacing w:after="0"/>
        <w:jc w:val="both"/>
        <w:rPr>
          <w:rFonts w:ascii="Arial" w:hAnsi="Arial" w:cs="Arial"/>
          <w:b w:val="0"/>
          <w:bCs/>
          <w:caps w:val="0"/>
          <w:sz w:val="20"/>
        </w:rPr>
      </w:pPr>
    </w:p>
    <w:p w14:paraId="01A29534" w14:textId="77777777" w:rsidR="006A3837" w:rsidRPr="00256A47" w:rsidRDefault="006A3837" w:rsidP="006A3837">
      <w:pPr>
        <w:pStyle w:val="AbstHead"/>
        <w:spacing w:after="0"/>
        <w:jc w:val="both"/>
        <w:rPr>
          <w:rFonts w:ascii="Arial" w:hAnsi="Arial" w:cs="Arial"/>
          <w:bCs/>
          <w:caps w:val="0"/>
          <w:sz w:val="18"/>
        </w:rPr>
      </w:pPr>
      <w:r>
        <w:rPr>
          <w:rFonts w:ascii="Arial" w:hAnsi="Arial" w:cs="Arial"/>
          <w:bCs/>
          <w:caps w:val="0"/>
          <w:sz w:val="18"/>
        </w:rPr>
        <w:t>Table 1</w:t>
      </w:r>
      <w:r w:rsidRPr="00256A47">
        <w:rPr>
          <w:rFonts w:ascii="Arial" w:hAnsi="Arial" w:cs="Arial"/>
          <w:bCs/>
          <w:caps w:val="0"/>
          <w:sz w:val="18"/>
        </w:rPr>
        <w:t xml:space="preserve"> </w:t>
      </w:r>
      <w:r>
        <w:rPr>
          <w:rFonts w:ascii="Arial" w:hAnsi="Arial" w:cs="Arial"/>
          <w:bCs/>
          <w:caps w:val="0"/>
          <w:sz w:val="18"/>
        </w:rPr>
        <w:t>O</w:t>
      </w:r>
      <w:r w:rsidRPr="00256A47">
        <w:rPr>
          <w:rFonts w:ascii="Arial" w:hAnsi="Arial" w:cs="Arial"/>
          <w:bCs/>
          <w:caps w:val="0"/>
          <w:sz w:val="18"/>
        </w:rPr>
        <w:t>perational definitions and measurements</w:t>
      </w:r>
    </w:p>
    <w:tbl>
      <w:tblPr>
        <w:tblW w:w="3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52"/>
      </w:tblGrid>
      <w:tr w:rsidR="006A3837" w:rsidRPr="001B2CED" w14:paraId="49566046" w14:textId="77777777" w:rsidTr="00FC2A09">
        <w:trPr>
          <w:trHeight w:val="288"/>
        </w:trPr>
        <w:tc>
          <w:tcPr>
            <w:tcW w:w="1276" w:type="dxa"/>
            <w:noWrap/>
            <w:vAlign w:val="center"/>
            <w:hideMark/>
          </w:tcPr>
          <w:p w14:paraId="5542A98E" w14:textId="77777777" w:rsidR="006A3837" w:rsidRPr="001B2CED" w:rsidRDefault="006A3837" w:rsidP="00FC2A09">
            <w:pPr>
              <w:jc w:val="center"/>
              <w:rPr>
                <w:rFonts w:ascii="Arial" w:hAnsi="Arial" w:cs="Arial"/>
                <w:color w:val="000000"/>
              </w:rPr>
            </w:pPr>
            <w:r w:rsidRPr="001B2CED">
              <w:rPr>
                <w:rFonts w:ascii="Arial" w:hAnsi="Arial" w:cs="Arial"/>
                <w:color w:val="000000"/>
              </w:rPr>
              <w:t>Variable</w:t>
            </w:r>
          </w:p>
        </w:tc>
        <w:tc>
          <w:tcPr>
            <w:tcW w:w="2552" w:type="dxa"/>
            <w:noWrap/>
            <w:vAlign w:val="center"/>
            <w:hideMark/>
          </w:tcPr>
          <w:p w14:paraId="796F993B" w14:textId="77777777" w:rsidR="006A3837" w:rsidRPr="001B2CED" w:rsidRDefault="006A3837" w:rsidP="00FC2A09">
            <w:pPr>
              <w:jc w:val="center"/>
              <w:rPr>
                <w:rFonts w:ascii="Arial" w:hAnsi="Arial" w:cs="Arial"/>
                <w:color w:val="000000"/>
              </w:rPr>
            </w:pPr>
            <w:r w:rsidRPr="001B2CED">
              <w:rPr>
                <w:rFonts w:ascii="Arial" w:hAnsi="Arial" w:cs="Arial"/>
                <w:color w:val="000000"/>
              </w:rPr>
              <w:t>Description</w:t>
            </w:r>
          </w:p>
        </w:tc>
      </w:tr>
      <w:tr w:rsidR="006A3837" w:rsidRPr="001B2CED" w14:paraId="3472D51C" w14:textId="77777777" w:rsidTr="00FC2A09">
        <w:trPr>
          <w:trHeight w:val="288"/>
        </w:trPr>
        <w:tc>
          <w:tcPr>
            <w:tcW w:w="1276" w:type="dxa"/>
            <w:noWrap/>
            <w:vAlign w:val="center"/>
            <w:hideMark/>
          </w:tcPr>
          <w:p w14:paraId="11B83061" w14:textId="77777777" w:rsidR="006A3837" w:rsidRPr="001B2CED" w:rsidRDefault="006A3837" w:rsidP="00FC2A09">
            <w:pPr>
              <w:rPr>
                <w:rFonts w:ascii="Arial" w:hAnsi="Arial" w:cs="Arial"/>
                <w:iCs/>
                <w:color w:val="000000"/>
              </w:rPr>
            </w:pPr>
            <w:r w:rsidRPr="001B2CED">
              <w:rPr>
                <w:rFonts w:ascii="Arial" w:hAnsi="Arial" w:cs="Arial"/>
                <w:iCs/>
                <w:color w:val="000000"/>
              </w:rPr>
              <w:lastRenderedPageBreak/>
              <w:t>Dividend Payout Ratio</w:t>
            </w:r>
            <w:r w:rsidRPr="001B2CED">
              <w:rPr>
                <w:rFonts w:ascii="Arial" w:hAnsi="Arial" w:cs="Arial"/>
                <w:color w:val="000000"/>
              </w:rPr>
              <w:t xml:space="preserve"> (DPR)</w:t>
            </w:r>
          </w:p>
        </w:tc>
        <w:tc>
          <w:tcPr>
            <w:tcW w:w="2552" w:type="dxa"/>
            <w:noWrap/>
            <w:vAlign w:val="center"/>
            <w:hideMark/>
          </w:tcPr>
          <w:p w14:paraId="6224AFA2" w14:textId="77777777" w:rsidR="006A3837" w:rsidRPr="001B2CED" w:rsidRDefault="006A3837" w:rsidP="00FC2A09">
            <w:pPr>
              <w:rPr>
                <w:rFonts w:ascii="Arial" w:hAnsi="Arial" w:cs="Arial"/>
                <w:color w:val="000000"/>
              </w:rPr>
            </w:pPr>
            <w:r w:rsidRPr="001B2CED">
              <w:rPr>
                <w:rFonts w:ascii="Arial" w:hAnsi="Arial" w:cs="Arial"/>
                <w:color w:val="000000"/>
              </w:rPr>
              <w:t xml:space="preserve"> Percentage of net income distributed to shareholders in the form of cash dividends</w:t>
            </w:r>
            <w:r w:rsidRPr="00256A47">
              <w:rPr>
                <w:rFonts w:ascii="Arial" w:hAnsi="Arial" w:cs="Arial"/>
                <w:color w:val="000000"/>
              </w:rPr>
              <w:t xml:space="preserve"> (Ajao &amp; Robinson, 2022).</w:t>
            </w:r>
          </w:p>
        </w:tc>
      </w:tr>
      <w:tr w:rsidR="006A3837" w:rsidRPr="001B2CED" w14:paraId="1EA3C07E" w14:textId="77777777" w:rsidTr="00FC2A09">
        <w:trPr>
          <w:trHeight w:val="288"/>
        </w:trPr>
        <w:tc>
          <w:tcPr>
            <w:tcW w:w="1276" w:type="dxa"/>
            <w:noWrap/>
            <w:vAlign w:val="center"/>
            <w:hideMark/>
          </w:tcPr>
          <w:p w14:paraId="3466654B" w14:textId="77777777" w:rsidR="006A3837" w:rsidRPr="001B2CED" w:rsidRDefault="006A3837" w:rsidP="00FC2A09">
            <w:pPr>
              <w:rPr>
                <w:rFonts w:ascii="Arial" w:hAnsi="Arial" w:cs="Arial"/>
                <w:iCs/>
                <w:color w:val="000000"/>
              </w:rPr>
            </w:pPr>
            <w:r w:rsidRPr="001B2CED">
              <w:rPr>
                <w:rFonts w:ascii="Arial" w:hAnsi="Arial" w:cs="Arial"/>
                <w:iCs/>
                <w:color w:val="000000"/>
              </w:rPr>
              <w:t xml:space="preserve">Return on Assets </w:t>
            </w:r>
            <w:r w:rsidRPr="001B2CED">
              <w:rPr>
                <w:rFonts w:ascii="Arial" w:hAnsi="Arial" w:cs="Arial"/>
                <w:color w:val="000000"/>
              </w:rPr>
              <w:t>(ROA)</w:t>
            </w:r>
          </w:p>
        </w:tc>
        <w:tc>
          <w:tcPr>
            <w:tcW w:w="2552" w:type="dxa"/>
            <w:noWrap/>
            <w:vAlign w:val="center"/>
            <w:hideMark/>
          </w:tcPr>
          <w:p w14:paraId="5748CB15" w14:textId="77777777" w:rsidR="006A3837" w:rsidRPr="001B2CED" w:rsidRDefault="006A3837" w:rsidP="00FC2A09">
            <w:pPr>
              <w:rPr>
                <w:rFonts w:ascii="Arial" w:hAnsi="Arial" w:cs="Arial"/>
                <w:color w:val="000000"/>
              </w:rPr>
            </w:pPr>
            <w:r w:rsidRPr="001B2CED">
              <w:rPr>
                <w:rFonts w:ascii="Arial" w:hAnsi="Arial" w:cs="Arial"/>
                <w:color w:val="000000"/>
              </w:rPr>
              <w:t>A ratio that shows the company's ability to generate net income based on its total assets</w:t>
            </w:r>
            <w:r w:rsidRPr="00256A47">
              <w:rPr>
                <w:rFonts w:ascii="Arial" w:hAnsi="Arial" w:cs="Arial"/>
                <w:color w:val="000000"/>
              </w:rPr>
              <w:t xml:space="preserve"> (</w:t>
            </w:r>
            <w:proofErr w:type="spellStart"/>
            <w:r w:rsidRPr="00256A47">
              <w:rPr>
                <w:rFonts w:ascii="Arial" w:hAnsi="Arial" w:cs="Arial"/>
                <w:color w:val="000000"/>
              </w:rPr>
              <w:t>Trihadiyanti</w:t>
            </w:r>
            <w:proofErr w:type="spellEnd"/>
            <w:r w:rsidRPr="00256A47">
              <w:rPr>
                <w:rFonts w:ascii="Arial" w:hAnsi="Arial" w:cs="Arial"/>
                <w:color w:val="000000"/>
              </w:rPr>
              <w:t xml:space="preserve"> et al., 2023)</w:t>
            </w:r>
            <w:r w:rsidRPr="001B2CED">
              <w:rPr>
                <w:rFonts w:ascii="Arial" w:hAnsi="Arial" w:cs="Arial"/>
                <w:color w:val="000000"/>
              </w:rPr>
              <w:t>.</w:t>
            </w:r>
          </w:p>
        </w:tc>
      </w:tr>
      <w:tr w:rsidR="006A3837" w:rsidRPr="001B2CED" w14:paraId="5222296B" w14:textId="77777777" w:rsidTr="00FC2A09">
        <w:trPr>
          <w:trHeight w:val="288"/>
        </w:trPr>
        <w:tc>
          <w:tcPr>
            <w:tcW w:w="1276" w:type="dxa"/>
            <w:noWrap/>
            <w:vAlign w:val="center"/>
            <w:hideMark/>
          </w:tcPr>
          <w:p w14:paraId="0B1C6FC7" w14:textId="77777777" w:rsidR="006A3837" w:rsidRPr="001B2CED" w:rsidRDefault="006A3837" w:rsidP="00FC2A09">
            <w:pPr>
              <w:rPr>
                <w:rFonts w:ascii="Arial" w:hAnsi="Arial" w:cs="Arial"/>
                <w:iCs/>
                <w:color w:val="000000"/>
              </w:rPr>
            </w:pPr>
            <w:r w:rsidRPr="001B2CED">
              <w:rPr>
                <w:rFonts w:ascii="Arial" w:hAnsi="Arial" w:cs="Arial"/>
                <w:iCs/>
                <w:color w:val="000000"/>
              </w:rPr>
              <w:t>Enterprise Resource Planning</w:t>
            </w:r>
            <w:r w:rsidRPr="001B2CED">
              <w:rPr>
                <w:rFonts w:ascii="Arial" w:hAnsi="Arial" w:cs="Arial"/>
                <w:color w:val="000000"/>
              </w:rPr>
              <w:t xml:space="preserve"> (ERP)</w:t>
            </w:r>
          </w:p>
        </w:tc>
        <w:tc>
          <w:tcPr>
            <w:tcW w:w="2552" w:type="dxa"/>
            <w:noWrap/>
            <w:vAlign w:val="center"/>
            <w:hideMark/>
          </w:tcPr>
          <w:p w14:paraId="5CF8DC24" w14:textId="77777777" w:rsidR="006A3837" w:rsidRPr="001B2CED" w:rsidRDefault="006A3837" w:rsidP="00FC2A09">
            <w:pPr>
              <w:rPr>
                <w:rFonts w:ascii="Arial" w:hAnsi="Arial" w:cs="Arial"/>
                <w:color w:val="000000"/>
              </w:rPr>
            </w:pPr>
            <w:r w:rsidRPr="001B2CED">
              <w:rPr>
                <w:rFonts w:ascii="Arial" w:hAnsi="Arial" w:cs="Arial"/>
                <w:color w:val="000000"/>
              </w:rPr>
              <w:t>An integrated information system used by a company to manage and coordinate all resources, information, and business functions</w:t>
            </w:r>
            <w:r w:rsidRPr="00256A47">
              <w:rPr>
                <w:rFonts w:ascii="Arial" w:hAnsi="Arial" w:cs="Arial"/>
                <w:color w:val="000000"/>
              </w:rPr>
              <w:t xml:space="preserve"> (</w:t>
            </w:r>
            <w:proofErr w:type="spellStart"/>
            <w:r w:rsidRPr="00256A47">
              <w:rPr>
                <w:rFonts w:ascii="Arial" w:hAnsi="Arial" w:cs="Arial"/>
                <w:color w:val="000000"/>
              </w:rPr>
              <w:t>Abdelall</w:t>
            </w:r>
            <w:proofErr w:type="spellEnd"/>
            <w:r w:rsidRPr="00256A47">
              <w:rPr>
                <w:rFonts w:ascii="Arial" w:hAnsi="Arial" w:cs="Arial"/>
                <w:color w:val="000000"/>
              </w:rPr>
              <w:t xml:space="preserve"> &amp; Wu, 2023)</w:t>
            </w:r>
            <w:r w:rsidRPr="001B2CED">
              <w:rPr>
                <w:rFonts w:ascii="Arial" w:hAnsi="Arial" w:cs="Arial"/>
                <w:color w:val="000000"/>
              </w:rPr>
              <w:t>.</w:t>
            </w:r>
          </w:p>
        </w:tc>
      </w:tr>
      <w:tr w:rsidR="006A3837" w:rsidRPr="001B2CED" w14:paraId="441A6622" w14:textId="77777777" w:rsidTr="00FC2A09">
        <w:trPr>
          <w:trHeight w:val="288"/>
        </w:trPr>
        <w:tc>
          <w:tcPr>
            <w:tcW w:w="1276" w:type="dxa"/>
            <w:noWrap/>
            <w:vAlign w:val="center"/>
            <w:hideMark/>
          </w:tcPr>
          <w:p w14:paraId="039BCDA2" w14:textId="77777777" w:rsidR="006A3837" w:rsidRPr="001B2CED" w:rsidRDefault="006A3837" w:rsidP="00FC2A09">
            <w:pPr>
              <w:rPr>
                <w:rFonts w:ascii="Arial" w:hAnsi="Arial" w:cs="Arial"/>
                <w:color w:val="000000"/>
              </w:rPr>
            </w:pPr>
            <w:r w:rsidRPr="001B2CED">
              <w:rPr>
                <w:rFonts w:ascii="Arial" w:hAnsi="Arial" w:cs="Arial"/>
                <w:color w:val="000000"/>
              </w:rPr>
              <w:t>Stock Price Volatility (PV)</w:t>
            </w:r>
          </w:p>
        </w:tc>
        <w:tc>
          <w:tcPr>
            <w:tcW w:w="2552" w:type="dxa"/>
            <w:noWrap/>
            <w:vAlign w:val="center"/>
            <w:hideMark/>
          </w:tcPr>
          <w:p w14:paraId="0B2C7893" w14:textId="77777777" w:rsidR="006A3837" w:rsidRPr="001B2CED" w:rsidRDefault="006A3837" w:rsidP="00FC2A09">
            <w:pPr>
              <w:rPr>
                <w:rFonts w:ascii="Arial" w:hAnsi="Arial" w:cs="Arial"/>
                <w:color w:val="000000"/>
              </w:rPr>
            </w:pPr>
            <w:r w:rsidRPr="001B2CED">
              <w:rPr>
                <w:rFonts w:ascii="Arial" w:hAnsi="Arial" w:cs="Arial"/>
                <w:color w:val="000000"/>
              </w:rPr>
              <w:t>The level of stock price fluctuation, calculated by the standard deviation of daily stock price returns</w:t>
            </w:r>
            <w:r w:rsidRPr="00256A47">
              <w:rPr>
                <w:rFonts w:ascii="Arial" w:hAnsi="Arial" w:cs="Arial"/>
                <w:color w:val="000000"/>
              </w:rPr>
              <w:t xml:space="preserve"> (Hull, J. C. 2018)</w:t>
            </w:r>
            <w:r w:rsidRPr="001B2CED">
              <w:rPr>
                <w:rFonts w:ascii="Arial" w:hAnsi="Arial" w:cs="Arial"/>
                <w:color w:val="000000"/>
              </w:rPr>
              <w:t>.</w:t>
            </w:r>
          </w:p>
        </w:tc>
      </w:tr>
    </w:tbl>
    <w:p w14:paraId="43CD122C" w14:textId="77777777" w:rsidR="006A3837" w:rsidRDefault="006A3837" w:rsidP="006A3837">
      <w:pPr>
        <w:pStyle w:val="AbstHead"/>
        <w:spacing w:after="0"/>
        <w:jc w:val="both"/>
        <w:rPr>
          <w:rFonts w:ascii="Arial" w:hAnsi="Arial" w:cs="Arial"/>
          <w:b w:val="0"/>
          <w:bCs/>
          <w:caps w:val="0"/>
          <w:sz w:val="20"/>
        </w:rPr>
      </w:pPr>
    </w:p>
    <w:p w14:paraId="2D3F0A70" w14:textId="77777777" w:rsidR="00E053D0" w:rsidRPr="006A3837" w:rsidRDefault="006A3837" w:rsidP="006A3837">
      <w:pPr>
        <w:pStyle w:val="Body"/>
        <w:spacing w:after="0"/>
        <w:rPr>
          <w:rFonts w:ascii="Arial" w:hAnsi="Arial" w:cs="Arial"/>
        </w:rPr>
      </w:pPr>
      <w:r w:rsidRPr="006A3837">
        <w:rPr>
          <w:rFonts w:ascii="Arial" w:hAnsi="Arial" w:cs="Arial"/>
          <w:bCs/>
        </w:rPr>
        <w:t xml:space="preserve">The data were analyzed using panel data regression with </w:t>
      </w:r>
      <w:proofErr w:type="spellStart"/>
      <w:r w:rsidRPr="006A3837">
        <w:rPr>
          <w:rFonts w:ascii="Arial" w:hAnsi="Arial" w:cs="Arial"/>
          <w:bCs/>
        </w:rPr>
        <w:t>eviews</w:t>
      </w:r>
      <w:proofErr w:type="spellEnd"/>
      <w:r w:rsidRPr="006A3837">
        <w:rPr>
          <w:rFonts w:ascii="Arial" w:hAnsi="Arial" w:cs="Arial"/>
          <w:bCs/>
        </w:rPr>
        <w:t xml:space="preserve"> software. Model specification tests (Chow, Hausman, </w:t>
      </w:r>
      <w:proofErr w:type="spellStart"/>
      <w:r w:rsidRPr="006A3837">
        <w:rPr>
          <w:rFonts w:ascii="Arial" w:hAnsi="Arial" w:cs="Arial"/>
          <w:bCs/>
        </w:rPr>
        <w:t>Lm</w:t>
      </w:r>
      <w:proofErr w:type="spellEnd"/>
      <w:r w:rsidRPr="006A3837">
        <w:rPr>
          <w:rFonts w:ascii="Arial" w:hAnsi="Arial" w:cs="Arial"/>
          <w:bCs/>
        </w:rPr>
        <w:t>) were conducted to determine the appropriate model. Classical assumption tests (multicollinearity and heteroscedasticity) were also performed to ensure model validity</w:t>
      </w:r>
      <w:r w:rsidRPr="006A3837">
        <w:rPr>
          <w:rFonts w:ascii="Arial" w:hAnsi="Arial" w:cs="Arial"/>
          <w:bCs/>
          <w:caps/>
        </w:rPr>
        <w:t>.</w:t>
      </w:r>
    </w:p>
    <w:p w14:paraId="6680261B" w14:textId="77777777" w:rsidR="00790ADA" w:rsidRPr="00FB3A86" w:rsidRDefault="00790ADA" w:rsidP="00441B6F">
      <w:pPr>
        <w:pStyle w:val="Body"/>
        <w:spacing w:after="0"/>
        <w:rPr>
          <w:rFonts w:ascii="Arial" w:hAnsi="Arial" w:cs="Arial"/>
        </w:rPr>
      </w:pPr>
    </w:p>
    <w:p w14:paraId="5D42B538" w14:textId="77777777" w:rsidR="00B01FCD" w:rsidRPr="006A3837" w:rsidRDefault="00000F8F" w:rsidP="006A3837">
      <w:pPr>
        <w:pStyle w:val="AbstHead"/>
        <w:spacing w:after="0"/>
        <w:jc w:val="both"/>
        <w:rPr>
          <w:rFonts w:ascii="Arial" w:hAnsi="Arial" w:cs="Arial"/>
          <w:bCs/>
          <w:caps w:val="0"/>
          <w:szCs w:val="22"/>
        </w:rPr>
      </w:pPr>
      <w:r>
        <w:rPr>
          <w:rFonts w:ascii="Arial" w:hAnsi="Arial" w:cs="Arial"/>
        </w:rPr>
        <w:t xml:space="preserve">4. </w:t>
      </w:r>
      <w:r w:rsidR="006A3837">
        <w:rPr>
          <w:rFonts w:ascii="Arial" w:hAnsi="Arial" w:cs="Arial"/>
          <w:bCs/>
          <w:caps w:val="0"/>
          <w:szCs w:val="22"/>
        </w:rPr>
        <w:t>RESULTS AND DISCUSSION</w:t>
      </w:r>
    </w:p>
    <w:p w14:paraId="632F1642" w14:textId="77777777" w:rsidR="00790ADA" w:rsidRPr="00FB3A86" w:rsidRDefault="00790ADA" w:rsidP="00441B6F">
      <w:pPr>
        <w:pStyle w:val="ConcHead"/>
        <w:spacing w:after="0"/>
        <w:jc w:val="both"/>
        <w:rPr>
          <w:rFonts w:ascii="Arial" w:hAnsi="Arial" w:cs="Arial"/>
        </w:rPr>
      </w:pPr>
    </w:p>
    <w:p w14:paraId="2075D7EA" w14:textId="77777777" w:rsidR="006A3837" w:rsidRPr="006A3837" w:rsidRDefault="006A3837" w:rsidP="006A3837">
      <w:pPr>
        <w:pStyle w:val="Body"/>
        <w:rPr>
          <w:rFonts w:ascii="Arial" w:hAnsi="Arial" w:cs="Arial"/>
          <w:b/>
          <w:sz w:val="22"/>
          <w:szCs w:val="22"/>
        </w:rPr>
      </w:pPr>
      <w:r w:rsidRPr="006A3837">
        <w:rPr>
          <w:rFonts w:ascii="Arial" w:hAnsi="Arial" w:cs="Arial"/>
          <w:b/>
          <w:sz w:val="22"/>
          <w:szCs w:val="22"/>
        </w:rPr>
        <w:t>4.1 Descriptive Statistics</w:t>
      </w:r>
    </w:p>
    <w:p w14:paraId="63E90219" w14:textId="77777777" w:rsidR="006A3837" w:rsidRPr="006A3837" w:rsidRDefault="006A3837" w:rsidP="006A3837">
      <w:pPr>
        <w:pStyle w:val="Body"/>
        <w:rPr>
          <w:rFonts w:ascii="Arial" w:hAnsi="Arial" w:cs="Arial"/>
        </w:rPr>
      </w:pPr>
      <w:r w:rsidRPr="006A3837">
        <w:rPr>
          <w:rFonts w:ascii="Arial" w:hAnsi="Arial" w:cs="Arial"/>
        </w:rPr>
        <w:t>The descriptive statistics of the variables indicate that stock price volatility has an average of 0.245, suggesting a relatively low fluctuation in the sample firms. The dividend payout ratio averages 0.445 with a wide dispersion, reflecting that while most firms distribute moderate dividends, a few distribute exceptionally high or even negative payouts. Around 34.6% of the firms have implemented ERP systems, while the rest have not. return on assets shows a relatively low mean (0.077), indicating modest profitability. The high skewness and kurtosis values in stock price volatility and dividend payout ratio suggest the presence of outliers, implying heterogeneous firm characteristics.</w:t>
      </w:r>
    </w:p>
    <w:p w14:paraId="7D026DF7" w14:textId="77777777" w:rsidR="006A3837" w:rsidRPr="006A3837" w:rsidRDefault="006A3837" w:rsidP="006A3837">
      <w:pPr>
        <w:pStyle w:val="Body"/>
        <w:rPr>
          <w:rFonts w:ascii="Arial" w:hAnsi="Arial" w:cs="Arial"/>
          <w:b/>
          <w:sz w:val="22"/>
        </w:rPr>
      </w:pPr>
      <w:r w:rsidRPr="006A3837">
        <w:rPr>
          <w:rFonts w:ascii="Arial" w:hAnsi="Arial" w:cs="Arial"/>
          <w:b/>
          <w:sz w:val="22"/>
        </w:rPr>
        <w:t>4.2 Model Selection and Assumption Tests</w:t>
      </w:r>
    </w:p>
    <w:p w14:paraId="6141AAB8" w14:textId="77777777" w:rsidR="006A3837" w:rsidRPr="006A3837" w:rsidRDefault="006A3837" w:rsidP="006A3837">
      <w:pPr>
        <w:pStyle w:val="Body"/>
        <w:rPr>
          <w:rFonts w:ascii="Arial" w:hAnsi="Arial" w:cs="Arial"/>
        </w:rPr>
      </w:pPr>
      <w:r w:rsidRPr="006A3837">
        <w:rPr>
          <w:rFonts w:ascii="Arial" w:hAnsi="Arial" w:cs="Arial"/>
        </w:rPr>
        <w:t>Panel data specification tests (Chow, Hausman, and LM) consistently indicated that the Common Effect Model was the most appropriate. Furthermore, the model passed multicollinearity and heteroscedasticity tests, ensuring the robustness of the estimates.</w:t>
      </w:r>
    </w:p>
    <w:p w14:paraId="2F3F36C7" w14:textId="77777777" w:rsidR="006A3837" w:rsidRPr="006A3837" w:rsidRDefault="006A3837" w:rsidP="006A3837">
      <w:pPr>
        <w:pStyle w:val="Body"/>
        <w:rPr>
          <w:rFonts w:ascii="Arial" w:hAnsi="Arial" w:cs="Arial"/>
          <w:b/>
          <w:sz w:val="22"/>
        </w:rPr>
      </w:pPr>
      <w:r w:rsidRPr="006A3837">
        <w:rPr>
          <w:rFonts w:ascii="Arial" w:hAnsi="Arial" w:cs="Arial"/>
          <w:b/>
          <w:sz w:val="22"/>
        </w:rPr>
        <w:t>4.3 Regression Results</w:t>
      </w:r>
    </w:p>
    <w:p w14:paraId="27253348" w14:textId="77777777" w:rsidR="006A3837" w:rsidRPr="006A3837" w:rsidRDefault="006A3837" w:rsidP="006A3837">
      <w:pPr>
        <w:pStyle w:val="Body"/>
        <w:rPr>
          <w:rFonts w:ascii="Arial" w:hAnsi="Arial" w:cs="Arial"/>
        </w:rPr>
      </w:pPr>
      <w:r w:rsidRPr="006A3837">
        <w:rPr>
          <w:rFonts w:ascii="Arial" w:hAnsi="Arial" w:cs="Arial"/>
        </w:rPr>
        <w:t>The panel regression results are presented in Table 2. The coefficient of DPR is negative (-0.0239) and close to statistical significance (p = 0.055), indicating that higher dividend payouts may reduce stock volatility, although the evidence is not strong. ERP implementation shows a positive but insignificant effect (p = 0.324), suggesting that ERP adoption is not directly associated with market stability. ROA also has a negative but insignificant effect (p = 0.692), implying that profitability alone does not reduce stock price volatility. The model’s explanatory power is low (R² = 0.01), meaning that most variations in volatility are driven by other factors outside the model.</w:t>
      </w:r>
    </w:p>
    <w:p w14:paraId="592D1377" w14:textId="77777777" w:rsidR="006A3837" w:rsidRPr="006A3837" w:rsidRDefault="006A3837" w:rsidP="006A3837">
      <w:pPr>
        <w:pStyle w:val="Body"/>
        <w:rPr>
          <w:rFonts w:ascii="Arial" w:hAnsi="Arial" w:cs="Arial"/>
          <w:b/>
        </w:rPr>
      </w:pPr>
      <w:r w:rsidRPr="006A3837">
        <w:rPr>
          <w:rFonts w:ascii="Arial" w:hAnsi="Arial" w:cs="Arial"/>
          <w:b/>
        </w:rPr>
        <w:t xml:space="preserve">Table 2 The panel regression results </w:t>
      </w:r>
    </w:p>
    <w:tbl>
      <w:tblPr>
        <w:tblpPr w:leftFromText="180" w:rightFromText="180" w:vertAnchor="text" w:horzAnchor="margin" w:tblpXSpec="center" w:tblpY="-28"/>
        <w:tblW w:w="8156" w:type="dxa"/>
        <w:tblLayout w:type="fixed"/>
        <w:tblLook w:val="0000" w:firstRow="0" w:lastRow="0" w:firstColumn="0" w:lastColumn="0" w:noHBand="0" w:noVBand="0"/>
      </w:tblPr>
      <w:tblGrid>
        <w:gridCol w:w="2125"/>
        <w:gridCol w:w="1635"/>
        <w:gridCol w:w="1414"/>
        <w:gridCol w:w="1570"/>
        <w:gridCol w:w="1412"/>
      </w:tblGrid>
      <w:tr w:rsidR="006A3837" w:rsidRPr="006F54E9" w14:paraId="3638EAEA" w14:textId="77777777" w:rsidTr="006A3837">
        <w:trPr>
          <w:trHeight w:val="275"/>
        </w:trPr>
        <w:tc>
          <w:tcPr>
            <w:tcW w:w="6744" w:type="dxa"/>
            <w:gridSpan w:val="4"/>
            <w:tcBorders>
              <w:top w:val="single" w:sz="4" w:space="0" w:color="auto"/>
              <w:left w:val="single" w:sz="4" w:space="0" w:color="auto"/>
              <w:bottom w:val="nil"/>
              <w:right w:val="nil"/>
            </w:tcBorders>
            <w:tcMar>
              <w:top w:w="0" w:type="dxa"/>
              <w:bottom w:w="0" w:type="dxa"/>
            </w:tcMar>
            <w:vAlign w:val="bottom"/>
          </w:tcPr>
          <w:p w14:paraId="3150B2EB"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lastRenderedPageBreak/>
              <w:t>Dependent Variable: PV</w:t>
            </w:r>
          </w:p>
        </w:tc>
        <w:tc>
          <w:tcPr>
            <w:tcW w:w="1411" w:type="dxa"/>
            <w:tcBorders>
              <w:top w:val="single" w:sz="4" w:space="0" w:color="auto"/>
              <w:left w:val="nil"/>
              <w:bottom w:val="nil"/>
              <w:right w:val="single" w:sz="4" w:space="0" w:color="auto"/>
            </w:tcBorders>
            <w:tcMar>
              <w:top w:w="0" w:type="dxa"/>
              <w:bottom w:w="0" w:type="dxa"/>
            </w:tcMar>
            <w:vAlign w:val="bottom"/>
          </w:tcPr>
          <w:p w14:paraId="7FECB06B" w14:textId="77777777" w:rsidR="006A3837" w:rsidRPr="006F54E9" w:rsidRDefault="006A3837" w:rsidP="00FC2A09">
            <w:pPr>
              <w:jc w:val="center"/>
              <w:rPr>
                <w:rFonts w:eastAsia="Arial"/>
                <w:color w:val="000000"/>
                <w:sz w:val="18"/>
                <w:szCs w:val="18"/>
                <w:lang w:val="en-ID"/>
              </w:rPr>
            </w:pPr>
          </w:p>
        </w:tc>
      </w:tr>
      <w:tr w:rsidR="006A3837" w:rsidRPr="006F54E9" w14:paraId="03BF8E6F" w14:textId="77777777" w:rsidTr="006A3837">
        <w:trPr>
          <w:trHeight w:val="275"/>
        </w:trPr>
        <w:tc>
          <w:tcPr>
            <w:tcW w:w="6744" w:type="dxa"/>
            <w:gridSpan w:val="4"/>
            <w:tcBorders>
              <w:top w:val="nil"/>
              <w:left w:val="single" w:sz="4" w:space="0" w:color="auto"/>
              <w:bottom w:val="nil"/>
              <w:right w:val="nil"/>
            </w:tcBorders>
            <w:tcMar>
              <w:top w:w="0" w:type="dxa"/>
              <w:bottom w:w="0" w:type="dxa"/>
            </w:tcMar>
            <w:vAlign w:val="bottom"/>
          </w:tcPr>
          <w:p w14:paraId="4098D82B"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Method: Panel Least Squares</w:t>
            </w:r>
          </w:p>
        </w:tc>
        <w:tc>
          <w:tcPr>
            <w:tcW w:w="1411" w:type="dxa"/>
            <w:tcBorders>
              <w:top w:val="nil"/>
              <w:left w:val="nil"/>
              <w:bottom w:val="nil"/>
              <w:right w:val="single" w:sz="4" w:space="0" w:color="auto"/>
            </w:tcBorders>
            <w:tcMar>
              <w:top w:w="0" w:type="dxa"/>
              <w:bottom w:w="0" w:type="dxa"/>
            </w:tcMar>
            <w:vAlign w:val="bottom"/>
          </w:tcPr>
          <w:p w14:paraId="42A9B633" w14:textId="77777777" w:rsidR="006A3837" w:rsidRPr="006F54E9" w:rsidRDefault="006A3837" w:rsidP="00FC2A09">
            <w:pPr>
              <w:jc w:val="center"/>
              <w:rPr>
                <w:rFonts w:eastAsia="Arial"/>
                <w:color w:val="000000"/>
                <w:sz w:val="18"/>
                <w:szCs w:val="18"/>
                <w:lang w:val="en-ID"/>
              </w:rPr>
            </w:pPr>
          </w:p>
        </w:tc>
      </w:tr>
      <w:tr w:rsidR="006A3837" w:rsidRPr="006F54E9" w14:paraId="7F1C73B8" w14:textId="77777777" w:rsidTr="006A3837">
        <w:trPr>
          <w:trHeight w:val="275"/>
        </w:trPr>
        <w:tc>
          <w:tcPr>
            <w:tcW w:w="6744" w:type="dxa"/>
            <w:gridSpan w:val="4"/>
            <w:tcBorders>
              <w:top w:val="nil"/>
              <w:left w:val="single" w:sz="4" w:space="0" w:color="auto"/>
              <w:bottom w:val="nil"/>
              <w:right w:val="nil"/>
            </w:tcBorders>
            <w:tcMar>
              <w:top w:w="0" w:type="dxa"/>
              <w:bottom w:w="0" w:type="dxa"/>
            </w:tcMar>
            <w:vAlign w:val="bottom"/>
          </w:tcPr>
          <w:p w14:paraId="66C7EBDF"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Date: 08/09/25   Time: 10:14</w:t>
            </w:r>
          </w:p>
        </w:tc>
        <w:tc>
          <w:tcPr>
            <w:tcW w:w="1411" w:type="dxa"/>
            <w:tcBorders>
              <w:top w:val="nil"/>
              <w:left w:val="nil"/>
              <w:bottom w:val="nil"/>
              <w:right w:val="single" w:sz="4" w:space="0" w:color="auto"/>
            </w:tcBorders>
            <w:tcMar>
              <w:top w:w="0" w:type="dxa"/>
              <w:bottom w:w="0" w:type="dxa"/>
            </w:tcMar>
            <w:vAlign w:val="bottom"/>
          </w:tcPr>
          <w:p w14:paraId="1EB0C904" w14:textId="77777777" w:rsidR="006A3837" w:rsidRPr="006F54E9" w:rsidRDefault="006A3837" w:rsidP="00FC2A09">
            <w:pPr>
              <w:jc w:val="center"/>
              <w:rPr>
                <w:rFonts w:eastAsia="Arial"/>
                <w:color w:val="000000"/>
                <w:sz w:val="18"/>
                <w:szCs w:val="18"/>
                <w:lang w:val="en-ID"/>
              </w:rPr>
            </w:pPr>
          </w:p>
        </w:tc>
      </w:tr>
      <w:tr w:rsidR="006A3837" w:rsidRPr="006F54E9" w14:paraId="6BCBD4CF" w14:textId="77777777" w:rsidTr="006A3837">
        <w:trPr>
          <w:trHeight w:val="275"/>
        </w:trPr>
        <w:tc>
          <w:tcPr>
            <w:tcW w:w="5174" w:type="dxa"/>
            <w:gridSpan w:val="3"/>
            <w:tcBorders>
              <w:top w:val="nil"/>
              <w:left w:val="single" w:sz="4" w:space="0" w:color="auto"/>
              <w:bottom w:val="nil"/>
              <w:right w:val="nil"/>
            </w:tcBorders>
            <w:tcMar>
              <w:top w:w="0" w:type="dxa"/>
              <w:bottom w:w="0" w:type="dxa"/>
            </w:tcMar>
            <w:vAlign w:val="bottom"/>
          </w:tcPr>
          <w:p w14:paraId="01904ED0"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Sample: 2022 2024</w:t>
            </w:r>
          </w:p>
        </w:tc>
        <w:tc>
          <w:tcPr>
            <w:tcW w:w="1570" w:type="dxa"/>
            <w:tcBorders>
              <w:top w:val="nil"/>
              <w:left w:val="nil"/>
              <w:bottom w:val="nil"/>
              <w:right w:val="nil"/>
            </w:tcBorders>
            <w:tcMar>
              <w:top w:w="0" w:type="dxa"/>
              <w:bottom w:w="0" w:type="dxa"/>
            </w:tcMar>
            <w:vAlign w:val="bottom"/>
          </w:tcPr>
          <w:p w14:paraId="182C2382"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nil"/>
              <w:right w:val="single" w:sz="4" w:space="0" w:color="auto"/>
            </w:tcBorders>
            <w:tcMar>
              <w:top w:w="0" w:type="dxa"/>
              <w:bottom w:w="0" w:type="dxa"/>
            </w:tcMar>
            <w:vAlign w:val="bottom"/>
          </w:tcPr>
          <w:p w14:paraId="705AF091" w14:textId="77777777" w:rsidR="006A3837" w:rsidRPr="006F54E9" w:rsidRDefault="006A3837" w:rsidP="00FC2A09">
            <w:pPr>
              <w:jc w:val="center"/>
              <w:rPr>
                <w:rFonts w:eastAsia="Arial"/>
                <w:color w:val="000000"/>
                <w:sz w:val="18"/>
                <w:szCs w:val="18"/>
                <w:lang w:val="en-ID"/>
              </w:rPr>
            </w:pPr>
          </w:p>
        </w:tc>
      </w:tr>
      <w:tr w:rsidR="006A3837" w:rsidRPr="006F54E9" w14:paraId="2520B76B" w14:textId="77777777" w:rsidTr="006A3837">
        <w:trPr>
          <w:trHeight w:val="275"/>
        </w:trPr>
        <w:tc>
          <w:tcPr>
            <w:tcW w:w="5174" w:type="dxa"/>
            <w:gridSpan w:val="3"/>
            <w:tcBorders>
              <w:top w:val="nil"/>
              <w:left w:val="single" w:sz="4" w:space="0" w:color="auto"/>
              <w:bottom w:val="nil"/>
              <w:right w:val="nil"/>
            </w:tcBorders>
            <w:tcMar>
              <w:top w:w="0" w:type="dxa"/>
              <w:bottom w:w="0" w:type="dxa"/>
            </w:tcMar>
            <w:vAlign w:val="bottom"/>
          </w:tcPr>
          <w:p w14:paraId="05B0019D"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Periods included: 3</w:t>
            </w:r>
          </w:p>
        </w:tc>
        <w:tc>
          <w:tcPr>
            <w:tcW w:w="1570" w:type="dxa"/>
            <w:tcBorders>
              <w:top w:val="nil"/>
              <w:left w:val="nil"/>
              <w:bottom w:val="nil"/>
              <w:right w:val="nil"/>
            </w:tcBorders>
            <w:tcMar>
              <w:top w:w="0" w:type="dxa"/>
              <w:bottom w:w="0" w:type="dxa"/>
            </w:tcMar>
            <w:vAlign w:val="bottom"/>
          </w:tcPr>
          <w:p w14:paraId="4C3A939D"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nil"/>
              <w:right w:val="single" w:sz="4" w:space="0" w:color="auto"/>
            </w:tcBorders>
            <w:tcMar>
              <w:top w:w="0" w:type="dxa"/>
              <w:bottom w:w="0" w:type="dxa"/>
            </w:tcMar>
            <w:vAlign w:val="bottom"/>
          </w:tcPr>
          <w:p w14:paraId="7E3DD4FC" w14:textId="77777777" w:rsidR="006A3837" w:rsidRPr="006F54E9" w:rsidRDefault="006A3837" w:rsidP="00FC2A09">
            <w:pPr>
              <w:jc w:val="center"/>
              <w:rPr>
                <w:rFonts w:eastAsia="Arial"/>
                <w:color w:val="000000"/>
                <w:sz w:val="18"/>
                <w:szCs w:val="18"/>
                <w:lang w:val="en-ID"/>
              </w:rPr>
            </w:pPr>
          </w:p>
        </w:tc>
      </w:tr>
      <w:tr w:rsidR="006A3837" w:rsidRPr="006F54E9" w14:paraId="6E694009" w14:textId="77777777" w:rsidTr="006A3837">
        <w:trPr>
          <w:trHeight w:val="275"/>
        </w:trPr>
        <w:tc>
          <w:tcPr>
            <w:tcW w:w="6744" w:type="dxa"/>
            <w:gridSpan w:val="4"/>
            <w:tcBorders>
              <w:top w:val="nil"/>
              <w:left w:val="single" w:sz="4" w:space="0" w:color="auto"/>
              <w:bottom w:val="nil"/>
              <w:right w:val="nil"/>
            </w:tcBorders>
            <w:tcMar>
              <w:top w:w="0" w:type="dxa"/>
              <w:bottom w:w="0" w:type="dxa"/>
            </w:tcMar>
            <w:vAlign w:val="bottom"/>
          </w:tcPr>
          <w:p w14:paraId="73293EB0"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Cross-sections included: 166</w:t>
            </w:r>
          </w:p>
        </w:tc>
        <w:tc>
          <w:tcPr>
            <w:tcW w:w="1411" w:type="dxa"/>
            <w:tcBorders>
              <w:top w:val="nil"/>
              <w:left w:val="nil"/>
              <w:bottom w:val="nil"/>
              <w:right w:val="single" w:sz="4" w:space="0" w:color="auto"/>
            </w:tcBorders>
            <w:tcMar>
              <w:top w:w="0" w:type="dxa"/>
              <w:bottom w:w="0" w:type="dxa"/>
            </w:tcMar>
            <w:vAlign w:val="bottom"/>
          </w:tcPr>
          <w:p w14:paraId="1056D655" w14:textId="77777777" w:rsidR="006A3837" w:rsidRPr="006F54E9" w:rsidRDefault="006A3837" w:rsidP="00FC2A09">
            <w:pPr>
              <w:jc w:val="center"/>
              <w:rPr>
                <w:rFonts w:eastAsia="Arial"/>
                <w:color w:val="000000"/>
                <w:sz w:val="18"/>
                <w:szCs w:val="18"/>
                <w:lang w:val="en-ID"/>
              </w:rPr>
            </w:pPr>
          </w:p>
        </w:tc>
      </w:tr>
      <w:tr w:rsidR="006A3837" w:rsidRPr="006F54E9" w14:paraId="3371BFAC" w14:textId="77777777" w:rsidTr="006A3837">
        <w:trPr>
          <w:trHeight w:val="275"/>
        </w:trPr>
        <w:tc>
          <w:tcPr>
            <w:tcW w:w="8156" w:type="dxa"/>
            <w:gridSpan w:val="5"/>
            <w:tcBorders>
              <w:top w:val="nil"/>
              <w:left w:val="single" w:sz="4" w:space="0" w:color="auto"/>
              <w:bottom w:val="nil"/>
              <w:right w:val="single" w:sz="4" w:space="0" w:color="auto"/>
            </w:tcBorders>
            <w:tcMar>
              <w:top w:w="0" w:type="dxa"/>
              <w:bottom w:w="0" w:type="dxa"/>
            </w:tcMar>
            <w:vAlign w:val="bottom"/>
          </w:tcPr>
          <w:p w14:paraId="56CA8C35"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Total panel (unbalanced) observations: 496</w:t>
            </w:r>
          </w:p>
        </w:tc>
      </w:tr>
      <w:tr w:rsidR="006A3837" w:rsidRPr="006F54E9" w14:paraId="2BBE0C41" w14:textId="77777777" w:rsidTr="006A3837">
        <w:trPr>
          <w:trHeight w:val="110"/>
        </w:trPr>
        <w:tc>
          <w:tcPr>
            <w:tcW w:w="2125" w:type="dxa"/>
            <w:tcBorders>
              <w:top w:val="nil"/>
              <w:left w:val="single" w:sz="4" w:space="0" w:color="auto"/>
              <w:bottom w:val="single" w:sz="6" w:space="0" w:color="000000"/>
              <w:right w:val="nil"/>
            </w:tcBorders>
            <w:tcMar>
              <w:top w:w="0" w:type="dxa"/>
              <w:bottom w:w="0" w:type="dxa"/>
            </w:tcMar>
            <w:vAlign w:val="bottom"/>
          </w:tcPr>
          <w:p w14:paraId="2DD2EAF9" w14:textId="77777777" w:rsidR="006A3837" w:rsidRPr="006F54E9" w:rsidRDefault="006A3837" w:rsidP="00FC2A09">
            <w:pPr>
              <w:jc w:val="center"/>
              <w:rPr>
                <w:rFonts w:eastAsia="Arial"/>
                <w:color w:val="000000"/>
                <w:sz w:val="18"/>
                <w:szCs w:val="18"/>
                <w:lang w:val="en-ID"/>
              </w:rPr>
            </w:pPr>
          </w:p>
        </w:tc>
        <w:tc>
          <w:tcPr>
            <w:tcW w:w="1635" w:type="dxa"/>
            <w:tcBorders>
              <w:top w:val="nil"/>
              <w:left w:val="nil"/>
              <w:bottom w:val="single" w:sz="6" w:space="0" w:color="000000"/>
              <w:right w:val="nil"/>
            </w:tcBorders>
            <w:tcMar>
              <w:top w:w="0" w:type="dxa"/>
              <w:bottom w:w="0" w:type="dxa"/>
            </w:tcMar>
            <w:vAlign w:val="bottom"/>
          </w:tcPr>
          <w:p w14:paraId="0F8D22DC" w14:textId="77777777" w:rsidR="006A3837" w:rsidRPr="006F54E9" w:rsidRDefault="006A3837" w:rsidP="00FC2A09">
            <w:pPr>
              <w:jc w:val="center"/>
              <w:rPr>
                <w:rFonts w:eastAsia="Arial"/>
                <w:color w:val="000000"/>
                <w:sz w:val="18"/>
                <w:szCs w:val="18"/>
                <w:lang w:val="en-ID"/>
              </w:rPr>
            </w:pPr>
          </w:p>
        </w:tc>
        <w:tc>
          <w:tcPr>
            <w:tcW w:w="1412" w:type="dxa"/>
            <w:tcBorders>
              <w:top w:val="nil"/>
              <w:left w:val="nil"/>
              <w:bottom w:val="single" w:sz="6" w:space="0" w:color="000000"/>
              <w:right w:val="nil"/>
            </w:tcBorders>
            <w:tcMar>
              <w:top w:w="0" w:type="dxa"/>
              <w:bottom w:w="0" w:type="dxa"/>
            </w:tcMar>
            <w:vAlign w:val="bottom"/>
          </w:tcPr>
          <w:p w14:paraId="347F0194" w14:textId="77777777" w:rsidR="006A3837" w:rsidRPr="006F54E9" w:rsidRDefault="006A3837" w:rsidP="00FC2A09">
            <w:pPr>
              <w:jc w:val="center"/>
              <w:rPr>
                <w:rFonts w:eastAsia="Arial"/>
                <w:color w:val="000000"/>
                <w:sz w:val="18"/>
                <w:szCs w:val="18"/>
                <w:lang w:val="en-ID"/>
              </w:rPr>
            </w:pPr>
          </w:p>
        </w:tc>
        <w:tc>
          <w:tcPr>
            <w:tcW w:w="1570" w:type="dxa"/>
            <w:tcBorders>
              <w:top w:val="nil"/>
              <w:left w:val="nil"/>
              <w:bottom w:val="single" w:sz="6" w:space="0" w:color="000000"/>
              <w:right w:val="nil"/>
            </w:tcBorders>
            <w:tcMar>
              <w:top w:w="0" w:type="dxa"/>
              <w:bottom w:w="0" w:type="dxa"/>
            </w:tcMar>
            <w:vAlign w:val="bottom"/>
          </w:tcPr>
          <w:p w14:paraId="076C5253"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single" w:sz="6" w:space="0" w:color="000000"/>
              <w:right w:val="single" w:sz="4" w:space="0" w:color="auto"/>
            </w:tcBorders>
            <w:tcMar>
              <w:top w:w="0" w:type="dxa"/>
              <w:bottom w:w="0" w:type="dxa"/>
            </w:tcMar>
            <w:vAlign w:val="bottom"/>
          </w:tcPr>
          <w:p w14:paraId="619EFF89" w14:textId="77777777" w:rsidR="006A3837" w:rsidRPr="006F54E9" w:rsidRDefault="006A3837" w:rsidP="00FC2A09">
            <w:pPr>
              <w:jc w:val="center"/>
              <w:rPr>
                <w:rFonts w:eastAsia="Arial"/>
                <w:color w:val="000000"/>
                <w:sz w:val="18"/>
                <w:szCs w:val="18"/>
                <w:lang w:val="en-ID"/>
              </w:rPr>
            </w:pPr>
          </w:p>
        </w:tc>
      </w:tr>
      <w:tr w:rsidR="006A3837" w:rsidRPr="006F54E9" w14:paraId="1470CB3D" w14:textId="77777777" w:rsidTr="006A3837">
        <w:trPr>
          <w:trHeight w:val="165"/>
        </w:trPr>
        <w:tc>
          <w:tcPr>
            <w:tcW w:w="2125" w:type="dxa"/>
            <w:tcBorders>
              <w:top w:val="nil"/>
              <w:left w:val="single" w:sz="4" w:space="0" w:color="auto"/>
              <w:bottom w:val="nil"/>
              <w:right w:val="nil"/>
            </w:tcBorders>
            <w:tcMar>
              <w:top w:w="0" w:type="dxa"/>
              <w:bottom w:w="0" w:type="dxa"/>
            </w:tcMar>
            <w:vAlign w:val="bottom"/>
          </w:tcPr>
          <w:p w14:paraId="34E8D927" w14:textId="77777777" w:rsidR="006A3837" w:rsidRPr="006F54E9" w:rsidRDefault="006A3837" w:rsidP="00FC2A09">
            <w:pPr>
              <w:jc w:val="center"/>
              <w:rPr>
                <w:rFonts w:eastAsia="Arial"/>
                <w:color w:val="000000"/>
                <w:sz w:val="18"/>
                <w:szCs w:val="18"/>
                <w:lang w:val="en-ID"/>
              </w:rPr>
            </w:pPr>
          </w:p>
        </w:tc>
        <w:tc>
          <w:tcPr>
            <w:tcW w:w="1635" w:type="dxa"/>
            <w:tcBorders>
              <w:top w:val="nil"/>
              <w:left w:val="nil"/>
              <w:bottom w:val="nil"/>
              <w:right w:val="nil"/>
            </w:tcBorders>
            <w:tcMar>
              <w:top w:w="0" w:type="dxa"/>
              <w:bottom w:w="0" w:type="dxa"/>
            </w:tcMar>
            <w:vAlign w:val="bottom"/>
          </w:tcPr>
          <w:p w14:paraId="63DF8834" w14:textId="77777777" w:rsidR="006A3837" w:rsidRPr="006F54E9" w:rsidRDefault="006A3837" w:rsidP="00FC2A09">
            <w:pPr>
              <w:jc w:val="center"/>
              <w:rPr>
                <w:rFonts w:eastAsia="Arial"/>
                <w:color w:val="000000"/>
                <w:sz w:val="18"/>
                <w:szCs w:val="18"/>
                <w:lang w:val="en-ID"/>
              </w:rPr>
            </w:pPr>
          </w:p>
        </w:tc>
        <w:tc>
          <w:tcPr>
            <w:tcW w:w="1412" w:type="dxa"/>
            <w:tcBorders>
              <w:top w:val="nil"/>
              <w:left w:val="nil"/>
              <w:bottom w:val="nil"/>
              <w:right w:val="nil"/>
            </w:tcBorders>
            <w:tcMar>
              <w:top w:w="0" w:type="dxa"/>
              <w:bottom w:w="0" w:type="dxa"/>
            </w:tcMar>
            <w:vAlign w:val="bottom"/>
          </w:tcPr>
          <w:p w14:paraId="11792755" w14:textId="77777777" w:rsidR="006A3837" w:rsidRPr="006F54E9" w:rsidRDefault="006A3837" w:rsidP="00FC2A09">
            <w:pPr>
              <w:jc w:val="center"/>
              <w:rPr>
                <w:rFonts w:eastAsia="Arial"/>
                <w:color w:val="000000"/>
                <w:sz w:val="18"/>
                <w:szCs w:val="18"/>
                <w:lang w:val="en-ID"/>
              </w:rPr>
            </w:pPr>
          </w:p>
        </w:tc>
        <w:tc>
          <w:tcPr>
            <w:tcW w:w="1570" w:type="dxa"/>
            <w:tcBorders>
              <w:top w:val="nil"/>
              <w:left w:val="nil"/>
              <w:bottom w:val="nil"/>
              <w:right w:val="nil"/>
            </w:tcBorders>
            <w:tcMar>
              <w:top w:w="0" w:type="dxa"/>
              <w:bottom w:w="0" w:type="dxa"/>
            </w:tcMar>
            <w:vAlign w:val="bottom"/>
          </w:tcPr>
          <w:p w14:paraId="6FE6A5B1"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nil"/>
              <w:right w:val="single" w:sz="4" w:space="0" w:color="auto"/>
            </w:tcBorders>
            <w:tcMar>
              <w:top w:w="0" w:type="dxa"/>
              <w:bottom w:w="0" w:type="dxa"/>
            </w:tcMar>
            <w:vAlign w:val="bottom"/>
          </w:tcPr>
          <w:p w14:paraId="7E6F71E1" w14:textId="77777777" w:rsidR="006A3837" w:rsidRPr="006F54E9" w:rsidRDefault="006A3837" w:rsidP="00FC2A09">
            <w:pPr>
              <w:jc w:val="center"/>
              <w:rPr>
                <w:rFonts w:eastAsia="Arial"/>
                <w:color w:val="000000"/>
                <w:sz w:val="18"/>
                <w:szCs w:val="18"/>
                <w:lang w:val="en-ID"/>
              </w:rPr>
            </w:pPr>
          </w:p>
        </w:tc>
      </w:tr>
      <w:tr w:rsidR="006A3837" w:rsidRPr="006F54E9" w14:paraId="418DAD6C"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4631986F" w14:textId="77777777" w:rsidR="006A3837" w:rsidRPr="006F54E9" w:rsidRDefault="006A3837" w:rsidP="00FC2A09">
            <w:pPr>
              <w:jc w:val="center"/>
              <w:rPr>
                <w:rFonts w:eastAsia="Arial"/>
                <w:color w:val="000000"/>
                <w:sz w:val="18"/>
                <w:szCs w:val="18"/>
                <w:lang w:val="en-ID"/>
              </w:rPr>
            </w:pPr>
            <w:r w:rsidRPr="006F54E9">
              <w:rPr>
                <w:rFonts w:eastAsia="Arial"/>
                <w:color w:val="000000"/>
                <w:sz w:val="18"/>
                <w:szCs w:val="18"/>
                <w:lang w:val="en-ID"/>
              </w:rPr>
              <w:t>Variable</w:t>
            </w:r>
          </w:p>
        </w:tc>
        <w:tc>
          <w:tcPr>
            <w:tcW w:w="1635" w:type="dxa"/>
            <w:tcBorders>
              <w:top w:val="nil"/>
              <w:left w:val="nil"/>
              <w:bottom w:val="nil"/>
              <w:right w:val="nil"/>
            </w:tcBorders>
            <w:tcMar>
              <w:top w:w="0" w:type="dxa"/>
              <w:bottom w:w="0" w:type="dxa"/>
            </w:tcMar>
            <w:vAlign w:val="bottom"/>
          </w:tcPr>
          <w:p w14:paraId="77B1B9C8"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Coefficient</w:t>
            </w:r>
          </w:p>
        </w:tc>
        <w:tc>
          <w:tcPr>
            <w:tcW w:w="1412" w:type="dxa"/>
            <w:tcBorders>
              <w:top w:val="nil"/>
              <w:left w:val="nil"/>
              <w:bottom w:val="nil"/>
              <w:right w:val="nil"/>
            </w:tcBorders>
            <w:tcMar>
              <w:top w:w="0" w:type="dxa"/>
              <w:bottom w:w="0" w:type="dxa"/>
            </w:tcMar>
            <w:vAlign w:val="bottom"/>
          </w:tcPr>
          <w:p w14:paraId="7831173A"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Std. Error</w:t>
            </w:r>
          </w:p>
        </w:tc>
        <w:tc>
          <w:tcPr>
            <w:tcW w:w="1570" w:type="dxa"/>
            <w:tcBorders>
              <w:top w:val="nil"/>
              <w:left w:val="nil"/>
              <w:bottom w:val="nil"/>
              <w:right w:val="nil"/>
            </w:tcBorders>
            <w:tcMar>
              <w:top w:w="0" w:type="dxa"/>
              <w:bottom w:w="0" w:type="dxa"/>
            </w:tcMar>
            <w:vAlign w:val="bottom"/>
          </w:tcPr>
          <w:p w14:paraId="0E5509BA"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t-Statistic</w:t>
            </w:r>
          </w:p>
        </w:tc>
        <w:tc>
          <w:tcPr>
            <w:tcW w:w="1411" w:type="dxa"/>
            <w:tcBorders>
              <w:top w:val="nil"/>
              <w:left w:val="nil"/>
              <w:bottom w:val="nil"/>
              <w:right w:val="single" w:sz="4" w:space="0" w:color="auto"/>
            </w:tcBorders>
            <w:tcMar>
              <w:top w:w="0" w:type="dxa"/>
              <w:bottom w:w="0" w:type="dxa"/>
            </w:tcMar>
            <w:vAlign w:val="bottom"/>
          </w:tcPr>
          <w:p w14:paraId="6F62EF92"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Prob.  </w:t>
            </w:r>
          </w:p>
        </w:tc>
      </w:tr>
      <w:tr w:rsidR="006A3837" w:rsidRPr="006F54E9" w14:paraId="078A54A7" w14:textId="77777777" w:rsidTr="006A3837">
        <w:trPr>
          <w:trHeight w:val="110"/>
        </w:trPr>
        <w:tc>
          <w:tcPr>
            <w:tcW w:w="2125" w:type="dxa"/>
            <w:tcBorders>
              <w:top w:val="nil"/>
              <w:left w:val="single" w:sz="4" w:space="0" w:color="auto"/>
              <w:bottom w:val="single" w:sz="6" w:space="0" w:color="000000"/>
              <w:right w:val="nil"/>
            </w:tcBorders>
            <w:tcMar>
              <w:top w:w="0" w:type="dxa"/>
              <w:bottom w:w="0" w:type="dxa"/>
            </w:tcMar>
            <w:vAlign w:val="bottom"/>
          </w:tcPr>
          <w:p w14:paraId="7342EBF6" w14:textId="77777777" w:rsidR="006A3837" w:rsidRPr="006F54E9" w:rsidRDefault="006A3837" w:rsidP="00FC2A09">
            <w:pPr>
              <w:jc w:val="center"/>
              <w:rPr>
                <w:rFonts w:eastAsia="Arial"/>
                <w:color w:val="000000"/>
                <w:sz w:val="18"/>
                <w:szCs w:val="18"/>
                <w:lang w:val="en-ID"/>
              </w:rPr>
            </w:pPr>
          </w:p>
        </w:tc>
        <w:tc>
          <w:tcPr>
            <w:tcW w:w="1635" w:type="dxa"/>
            <w:tcBorders>
              <w:top w:val="nil"/>
              <w:left w:val="nil"/>
              <w:bottom w:val="single" w:sz="6" w:space="0" w:color="000000"/>
              <w:right w:val="nil"/>
            </w:tcBorders>
            <w:tcMar>
              <w:top w:w="0" w:type="dxa"/>
              <w:bottom w:w="0" w:type="dxa"/>
            </w:tcMar>
            <w:vAlign w:val="bottom"/>
          </w:tcPr>
          <w:p w14:paraId="69633380" w14:textId="77777777" w:rsidR="006A3837" w:rsidRPr="006F54E9" w:rsidRDefault="006A3837" w:rsidP="00FC2A09">
            <w:pPr>
              <w:jc w:val="center"/>
              <w:rPr>
                <w:rFonts w:eastAsia="Arial"/>
                <w:color w:val="000000"/>
                <w:sz w:val="18"/>
                <w:szCs w:val="18"/>
                <w:lang w:val="en-ID"/>
              </w:rPr>
            </w:pPr>
          </w:p>
        </w:tc>
        <w:tc>
          <w:tcPr>
            <w:tcW w:w="1412" w:type="dxa"/>
            <w:tcBorders>
              <w:top w:val="nil"/>
              <w:left w:val="nil"/>
              <w:bottom w:val="single" w:sz="6" w:space="0" w:color="000000"/>
              <w:right w:val="nil"/>
            </w:tcBorders>
            <w:tcMar>
              <w:top w:w="0" w:type="dxa"/>
              <w:bottom w:w="0" w:type="dxa"/>
            </w:tcMar>
            <w:vAlign w:val="bottom"/>
          </w:tcPr>
          <w:p w14:paraId="1DBBAE83" w14:textId="77777777" w:rsidR="006A3837" w:rsidRPr="006F54E9" w:rsidRDefault="006A3837" w:rsidP="00FC2A09">
            <w:pPr>
              <w:jc w:val="center"/>
              <w:rPr>
                <w:rFonts w:eastAsia="Arial"/>
                <w:color w:val="000000"/>
                <w:sz w:val="18"/>
                <w:szCs w:val="18"/>
                <w:lang w:val="en-ID"/>
              </w:rPr>
            </w:pPr>
          </w:p>
        </w:tc>
        <w:tc>
          <w:tcPr>
            <w:tcW w:w="1570" w:type="dxa"/>
            <w:tcBorders>
              <w:top w:val="nil"/>
              <w:left w:val="nil"/>
              <w:bottom w:val="single" w:sz="6" w:space="0" w:color="000000"/>
              <w:right w:val="nil"/>
            </w:tcBorders>
            <w:tcMar>
              <w:top w:w="0" w:type="dxa"/>
              <w:bottom w:w="0" w:type="dxa"/>
            </w:tcMar>
            <w:vAlign w:val="bottom"/>
          </w:tcPr>
          <w:p w14:paraId="4422987A"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single" w:sz="6" w:space="0" w:color="000000"/>
              <w:right w:val="single" w:sz="4" w:space="0" w:color="auto"/>
            </w:tcBorders>
            <w:tcMar>
              <w:top w:w="0" w:type="dxa"/>
              <w:bottom w:w="0" w:type="dxa"/>
            </w:tcMar>
            <w:vAlign w:val="bottom"/>
          </w:tcPr>
          <w:p w14:paraId="7E4065B2" w14:textId="77777777" w:rsidR="006A3837" w:rsidRPr="006F54E9" w:rsidRDefault="006A3837" w:rsidP="00FC2A09">
            <w:pPr>
              <w:jc w:val="center"/>
              <w:rPr>
                <w:rFonts w:eastAsia="Arial"/>
                <w:color w:val="000000"/>
                <w:sz w:val="18"/>
                <w:szCs w:val="18"/>
                <w:lang w:val="en-ID"/>
              </w:rPr>
            </w:pPr>
          </w:p>
        </w:tc>
      </w:tr>
      <w:tr w:rsidR="006A3837" w:rsidRPr="006F54E9" w14:paraId="5DF83FED" w14:textId="77777777" w:rsidTr="006A3837">
        <w:trPr>
          <w:trHeight w:val="165"/>
        </w:trPr>
        <w:tc>
          <w:tcPr>
            <w:tcW w:w="2125" w:type="dxa"/>
            <w:tcBorders>
              <w:top w:val="nil"/>
              <w:left w:val="single" w:sz="4" w:space="0" w:color="auto"/>
              <w:bottom w:val="nil"/>
              <w:right w:val="nil"/>
            </w:tcBorders>
            <w:tcMar>
              <w:top w:w="0" w:type="dxa"/>
              <w:bottom w:w="0" w:type="dxa"/>
            </w:tcMar>
            <w:vAlign w:val="bottom"/>
          </w:tcPr>
          <w:p w14:paraId="60DE4F3A" w14:textId="77777777" w:rsidR="006A3837" w:rsidRPr="006F54E9" w:rsidRDefault="006A3837" w:rsidP="00FC2A09">
            <w:pPr>
              <w:jc w:val="center"/>
              <w:rPr>
                <w:rFonts w:eastAsia="Arial"/>
                <w:color w:val="000000"/>
                <w:sz w:val="18"/>
                <w:szCs w:val="18"/>
                <w:lang w:val="en-ID"/>
              </w:rPr>
            </w:pPr>
          </w:p>
        </w:tc>
        <w:tc>
          <w:tcPr>
            <w:tcW w:w="1635" w:type="dxa"/>
            <w:tcBorders>
              <w:top w:val="nil"/>
              <w:left w:val="nil"/>
              <w:bottom w:val="nil"/>
              <w:right w:val="nil"/>
            </w:tcBorders>
            <w:tcMar>
              <w:top w:w="0" w:type="dxa"/>
              <w:bottom w:w="0" w:type="dxa"/>
            </w:tcMar>
            <w:vAlign w:val="bottom"/>
          </w:tcPr>
          <w:p w14:paraId="4B9245A0" w14:textId="77777777" w:rsidR="006A3837" w:rsidRPr="006F54E9" w:rsidRDefault="006A3837" w:rsidP="00FC2A09">
            <w:pPr>
              <w:jc w:val="center"/>
              <w:rPr>
                <w:rFonts w:eastAsia="Arial"/>
                <w:color w:val="000000"/>
                <w:sz w:val="18"/>
                <w:szCs w:val="18"/>
                <w:lang w:val="en-ID"/>
              </w:rPr>
            </w:pPr>
          </w:p>
        </w:tc>
        <w:tc>
          <w:tcPr>
            <w:tcW w:w="1412" w:type="dxa"/>
            <w:tcBorders>
              <w:top w:val="nil"/>
              <w:left w:val="nil"/>
              <w:bottom w:val="nil"/>
              <w:right w:val="nil"/>
            </w:tcBorders>
            <w:tcMar>
              <w:top w:w="0" w:type="dxa"/>
              <w:bottom w:w="0" w:type="dxa"/>
            </w:tcMar>
            <w:vAlign w:val="bottom"/>
          </w:tcPr>
          <w:p w14:paraId="4585F7FF" w14:textId="77777777" w:rsidR="006A3837" w:rsidRPr="006F54E9" w:rsidRDefault="006A3837" w:rsidP="00FC2A09">
            <w:pPr>
              <w:jc w:val="center"/>
              <w:rPr>
                <w:rFonts w:eastAsia="Arial"/>
                <w:color w:val="000000"/>
                <w:sz w:val="18"/>
                <w:szCs w:val="18"/>
                <w:lang w:val="en-ID"/>
              </w:rPr>
            </w:pPr>
          </w:p>
        </w:tc>
        <w:tc>
          <w:tcPr>
            <w:tcW w:w="1570" w:type="dxa"/>
            <w:tcBorders>
              <w:top w:val="nil"/>
              <w:left w:val="nil"/>
              <w:bottom w:val="nil"/>
              <w:right w:val="nil"/>
            </w:tcBorders>
            <w:tcMar>
              <w:top w:w="0" w:type="dxa"/>
              <w:bottom w:w="0" w:type="dxa"/>
            </w:tcMar>
            <w:vAlign w:val="bottom"/>
          </w:tcPr>
          <w:p w14:paraId="3F87C88E"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nil"/>
              <w:right w:val="single" w:sz="4" w:space="0" w:color="auto"/>
            </w:tcBorders>
            <w:tcMar>
              <w:top w:w="0" w:type="dxa"/>
              <w:bottom w:w="0" w:type="dxa"/>
            </w:tcMar>
            <w:vAlign w:val="bottom"/>
          </w:tcPr>
          <w:p w14:paraId="5725BE09" w14:textId="77777777" w:rsidR="006A3837" w:rsidRPr="006F54E9" w:rsidRDefault="006A3837" w:rsidP="00FC2A09">
            <w:pPr>
              <w:jc w:val="center"/>
              <w:rPr>
                <w:rFonts w:eastAsia="Arial"/>
                <w:color w:val="000000"/>
                <w:sz w:val="18"/>
                <w:szCs w:val="18"/>
                <w:lang w:val="en-ID"/>
              </w:rPr>
            </w:pPr>
          </w:p>
        </w:tc>
      </w:tr>
      <w:tr w:rsidR="006A3837" w:rsidRPr="006F54E9" w14:paraId="4363AA09"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17B94D14" w14:textId="77777777" w:rsidR="006A3837" w:rsidRPr="006F54E9" w:rsidRDefault="006A3837" w:rsidP="00FC2A09">
            <w:pPr>
              <w:jc w:val="center"/>
              <w:rPr>
                <w:rFonts w:eastAsia="Arial"/>
                <w:color w:val="000000"/>
                <w:sz w:val="18"/>
                <w:szCs w:val="18"/>
                <w:lang w:val="en-ID"/>
              </w:rPr>
            </w:pPr>
            <w:r w:rsidRPr="006F54E9">
              <w:rPr>
                <w:rFonts w:eastAsia="Arial"/>
                <w:color w:val="000000"/>
                <w:sz w:val="18"/>
                <w:szCs w:val="18"/>
                <w:lang w:val="en-ID"/>
              </w:rPr>
              <w:t>C</w:t>
            </w:r>
          </w:p>
        </w:tc>
        <w:tc>
          <w:tcPr>
            <w:tcW w:w="1635" w:type="dxa"/>
            <w:tcBorders>
              <w:top w:val="nil"/>
              <w:left w:val="nil"/>
              <w:bottom w:val="nil"/>
              <w:right w:val="nil"/>
            </w:tcBorders>
            <w:tcMar>
              <w:top w:w="0" w:type="dxa"/>
              <w:bottom w:w="0" w:type="dxa"/>
            </w:tcMar>
            <w:vAlign w:val="bottom"/>
          </w:tcPr>
          <w:p w14:paraId="3ACEB3E9"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0.254178</w:t>
            </w:r>
          </w:p>
        </w:tc>
        <w:tc>
          <w:tcPr>
            <w:tcW w:w="1412" w:type="dxa"/>
            <w:tcBorders>
              <w:top w:val="nil"/>
              <w:left w:val="nil"/>
              <w:bottom w:val="nil"/>
              <w:right w:val="nil"/>
            </w:tcBorders>
            <w:tcMar>
              <w:top w:w="0" w:type="dxa"/>
              <w:bottom w:w="0" w:type="dxa"/>
            </w:tcMar>
            <w:vAlign w:val="bottom"/>
          </w:tcPr>
          <w:p w14:paraId="26D8BB9A"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0.010194</w:t>
            </w:r>
          </w:p>
        </w:tc>
        <w:tc>
          <w:tcPr>
            <w:tcW w:w="1570" w:type="dxa"/>
            <w:tcBorders>
              <w:top w:val="nil"/>
              <w:left w:val="nil"/>
              <w:bottom w:val="nil"/>
              <w:right w:val="nil"/>
            </w:tcBorders>
            <w:tcMar>
              <w:top w:w="0" w:type="dxa"/>
              <w:bottom w:w="0" w:type="dxa"/>
            </w:tcMar>
            <w:vAlign w:val="bottom"/>
          </w:tcPr>
          <w:p w14:paraId="63A1C122"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24.93429</w:t>
            </w:r>
          </w:p>
        </w:tc>
        <w:tc>
          <w:tcPr>
            <w:tcW w:w="1411" w:type="dxa"/>
            <w:tcBorders>
              <w:top w:val="nil"/>
              <w:left w:val="nil"/>
              <w:bottom w:val="nil"/>
              <w:right w:val="single" w:sz="4" w:space="0" w:color="auto"/>
            </w:tcBorders>
            <w:tcMar>
              <w:top w:w="0" w:type="dxa"/>
              <w:bottom w:w="0" w:type="dxa"/>
            </w:tcMar>
            <w:vAlign w:val="bottom"/>
          </w:tcPr>
          <w:p w14:paraId="4F7B2C69"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0.0000</w:t>
            </w:r>
          </w:p>
        </w:tc>
      </w:tr>
      <w:tr w:rsidR="006A3837" w:rsidRPr="006F54E9" w14:paraId="2419FB70"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617EF8B4" w14:textId="77777777" w:rsidR="006A3837" w:rsidRPr="006F54E9" w:rsidRDefault="006A3837" w:rsidP="00FC2A09">
            <w:pPr>
              <w:jc w:val="center"/>
              <w:rPr>
                <w:rFonts w:eastAsia="Arial"/>
                <w:color w:val="000000"/>
                <w:sz w:val="18"/>
                <w:szCs w:val="18"/>
                <w:lang w:val="en-ID"/>
              </w:rPr>
            </w:pPr>
            <w:r w:rsidRPr="006F54E9">
              <w:rPr>
                <w:rFonts w:eastAsia="Arial"/>
                <w:color w:val="000000"/>
                <w:sz w:val="18"/>
                <w:szCs w:val="18"/>
                <w:lang w:val="en-ID"/>
              </w:rPr>
              <w:t>DPR</w:t>
            </w:r>
          </w:p>
        </w:tc>
        <w:tc>
          <w:tcPr>
            <w:tcW w:w="1635" w:type="dxa"/>
            <w:tcBorders>
              <w:top w:val="nil"/>
              <w:left w:val="nil"/>
              <w:bottom w:val="nil"/>
              <w:right w:val="nil"/>
            </w:tcBorders>
            <w:tcMar>
              <w:top w:w="0" w:type="dxa"/>
              <w:bottom w:w="0" w:type="dxa"/>
            </w:tcMar>
            <w:vAlign w:val="bottom"/>
          </w:tcPr>
          <w:p w14:paraId="5F17FEA2"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-0.023905</w:t>
            </w:r>
          </w:p>
        </w:tc>
        <w:tc>
          <w:tcPr>
            <w:tcW w:w="1412" w:type="dxa"/>
            <w:tcBorders>
              <w:top w:val="nil"/>
              <w:left w:val="nil"/>
              <w:bottom w:val="nil"/>
              <w:right w:val="nil"/>
            </w:tcBorders>
            <w:tcMar>
              <w:top w:w="0" w:type="dxa"/>
              <w:bottom w:w="0" w:type="dxa"/>
            </w:tcMar>
            <w:vAlign w:val="bottom"/>
          </w:tcPr>
          <w:p w14:paraId="3690869C"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0.012426</w:t>
            </w:r>
          </w:p>
        </w:tc>
        <w:tc>
          <w:tcPr>
            <w:tcW w:w="1570" w:type="dxa"/>
            <w:tcBorders>
              <w:top w:val="nil"/>
              <w:left w:val="nil"/>
              <w:bottom w:val="nil"/>
              <w:right w:val="nil"/>
            </w:tcBorders>
            <w:tcMar>
              <w:top w:w="0" w:type="dxa"/>
              <w:bottom w:w="0" w:type="dxa"/>
            </w:tcMar>
            <w:vAlign w:val="bottom"/>
          </w:tcPr>
          <w:p w14:paraId="6188EEE1"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-1.923703</w:t>
            </w:r>
          </w:p>
        </w:tc>
        <w:tc>
          <w:tcPr>
            <w:tcW w:w="1411" w:type="dxa"/>
            <w:tcBorders>
              <w:top w:val="nil"/>
              <w:left w:val="nil"/>
              <w:bottom w:val="nil"/>
              <w:right w:val="single" w:sz="4" w:space="0" w:color="auto"/>
            </w:tcBorders>
            <w:tcMar>
              <w:top w:w="0" w:type="dxa"/>
              <w:bottom w:w="0" w:type="dxa"/>
            </w:tcMar>
            <w:vAlign w:val="bottom"/>
          </w:tcPr>
          <w:p w14:paraId="5D411044"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0.0550</w:t>
            </w:r>
          </w:p>
        </w:tc>
      </w:tr>
      <w:tr w:rsidR="006A3837" w:rsidRPr="006F54E9" w14:paraId="12B6D3B4"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13CFBF66" w14:textId="77777777" w:rsidR="006A3837" w:rsidRPr="006F54E9" w:rsidRDefault="006A3837" w:rsidP="00FC2A09">
            <w:pPr>
              <w:jc w:val="center"/>
              <w:rPr>
                <w:rFonts w:eastAsia="Arial"/>
                <w:color w:val="000000"/>
                <w:sz w:val="18"/>
                <w:szCs w:val="18"/>
                <w:lang w:val="en-ID"/>
              </w:rPr>
            </w:pPr>
            <w:r w:rsidRPr="006F54E9">
              <w:rPr>
                <w:rFonts w:eastAsia="Arial"/>
                <w:color w:val="000000"/>
                <w:sz w:val="18"/>
                <w:szCs w:val="18"/>
                <w:lang w:val="en-ID"/>
              </w:rPr>
              <w:t>ERP</w:t>
            </w:r>
          </w:p>
        </w:tc>
        <w:tc>
          <w:tcPr>
            <w:tcW w:w="1635" w:type="dxa"/>
            <w:tcBorders>
              <w:top w:val="nil"/>
              <w:left w:val="nil"/>
              <w:bottom w:val="nil"/>
              <w:right w:val="nil"/>
            </w:tcBorders>
            <w:tcMar>
              <w:top w:w="0" w:type="dxa"/>
              <w:bottom w:w="0" w:type="dxa"/>
            </w:tcMar>
            <w:vAlign w:val="bottom"/>
          </w:tcPr>
          <w:p w14:paraId="23EE5904"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0.011924</w:t>
            </w:r>
          </w:p>
        </w:tc>
        <w:tc>
          <w:tcPr>
            <w:tcW w:w="1412" w:type="dxa"/>
            <w:tcBorders>
              <w:top w:val="nil"/>
              <w:left w:val="nil"/>
              <w:bottom w:val="nil"/>
              <w:right w:val="nil"/>
            </w:tcBorders>
            <w:tcMar>
              <w:top w:w="0" w:type="dxa"/>
              <w:bottom w:w="0" w:type="dxa"/>
            </w:tcMar>
            <w:vAlign w:val="bottom"/>
          </w:tcPr>
          <w:p w14:paraId="09D9A155"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0.012078</w:t>
            </w:r>
          </w:p>
        </w:tc>
        <w:tc>
          <w:tcPr>
            <w:tcW w:w="1570" w:type="dxa"/>
            <w:tcBorders>
              <w:top w:val="nil"/>
              <w:left w:val="nil"/>
              <w:bottom w:val="nil"/>
              <w:right w:val="nil"/>
            </w:tcBorders>
            <w:tcMar>
              <w:top w:w="0" w:type="dxa"/>
              <w:bottom w:w="0" w:type="dxa"/>
            </w:tcMar>
            <w:vAlign w:val="bottom"/>
          </w:tcPr>
          <w:p w14:paraId="7D0EFA2A"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0.987205</w:t>
            </w:r>
          </w:p>
        </w:tc>
        <w:tc>
          <w:tcPr>
            <w:tcW w:w="1411" w:type="dxa"/>
            <w:tcBorders>
              <w:top w:val="nil"/>
              <w:left w:val="nil"/>
              <w:bottom w:val="nil"/>
              <w:right w:val="single" w:sz="4" w:space="0" w:color="auto"/>
            </w:tcBorders>
            <w:tcMar>
              <w:top w:w="0" w:type="dxa"/>
              <w:bottom w:w="0" w:type="dxa"/>
            </w:tcMar>
            <w:vAlign w:val="bottom"/>
          </w:tcPr>
          <w:p w14:paraId="42A0179E"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0.3240</w:t>
            </w:r>
          </w:p>
        </w:tc>
      </w:tr>
      <w:tr w:rsidR="006A3837" w:rsidRPr="006F54E9" w14:paraId="5404E605"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0AE468ED" w14:textId="77777777" w:rsidR="006A3837" w:rsidRPr="006F54E9" w:rsidRDefault="006A3837" w:rsidP="00FC2A09">
            <w:pPr>
              <w:jc w:val="center"/>
              <w:rPr>
                <w:rFonts w:eastAsia="Arial"/>
                <w:color w:val="000000"/>
                <w:sz w:val="18"/>
                <w:szCs w:val="18"/>
                <w:lang w:val="en-ID"/>
              </w:rPr>
            </w:pPr>
            <w:r>
              <w:rPr>
                <w:rFonts w:eastAsia="Arial"/>
                <w:color w:val="000000"/>
                <w:sz w:val="18"/>
                <w:szCs w:val="18"/>
                <w:lang w:val="en-ID"/>
              </w:rPr>
              <w:t>ROA</w:t>
            </w:r>
          </w:p>
        </w:tc>
        <w:tc>
          <w:tcPr>
            <w:tcW w:w="1635" w:type="dxa"/>
            <w:tcBorders>
              <w:top w:val="nil"/>
              <w:left w:val="nil"/>
              <w:bottom w:val="nil"/>
              <w:right w:val="nil"/>
            </w:tcBorders>
            <w:tcMar>
              <w:top w:w="0" w:type="dxa"/>
              <w:bottom w:w="0" w:type="dxa"/>
            </w:tcMar>
            <w:vAlign w:val="bottom"/>
          </w:tcPr>
          <w:p w14:paraId="7799F8FA"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-0.031456</w:t>
            </w:r>
          </w:p>
        </w:tc>
        <w:tc>
          <w:tcPr>
            <w:tcW w:w="1412" w:type="dxa"/>
            <w:tcBorders>
              <w:top w:val="nil"/>
              <w:left w:val="nil"/>
              <w:bottom w:val="nil"/>
              <w:right w:val="nil"/>
            </w:tcBorders>
            <w:tcMar>
              <w:top w:w="0" w:type="dxa"/>
              <w:bottom w:w="0" w:type="dxa"/>
            </w:tcMar>
            <w:vAlign w:val="bottom"/>
          </w:tcPr>
          <w:p w14:paraId="68F18774"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0.079251</w:t>
            </w:r>
          </w:p>
        </w:tc>
        <w:tc>
          <w:tcPr>
            <w:tcW w:w="1570" w:type="dxa"/>
            <w:tcBorders>
              <w:top w:val="nil"/>
              <w:left w:val="nil"/>
              <w:bottom w:val="nil"/>
              <w:right w:val="nil"/>
            </w:tcBorders>
            <w:tcMar>
              <w:top w:w="0" w:type="dxa"/>
              <w:bottom w:w="0" w:type="dxa"/>
            </w:tcMar>
            <w:vAlign w:val="bottom"/>
          </w:tcPr>
          <w:p w14:paraId="14E65811"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-0.396913</w:t>
            </w:r>
          </w:p>
        </w:tc>
        <w:tc>
          <w:tcPr>
            <w:tcW w:w="1411" w:type="dxa"/>
            <w:tcBorders>
              <w:top w:val="nil"/>
              <w:left w:val="nil"/>
              <w:bottom w:val="nil"/>
              <w:right w:val="single" w:sz="4" w:space="0" w:color="auto"/>
            </w:tcBorders>
            <w:tcMar>
              <w:top w:w="0" w:type="dxa"/>
              <w:bottom w:w="0" w:type="dxa"/>
            </w:tcMar>
            <w:vAlign w:val="bottom"/>
          </w:tcPr>
          <w:p w14:paraId="63CD3F5E"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0.6916</w:t>
            </w:r>
          </w:p>
        </w:tc>
      </w:tr>
      <w:tr w:rsidR="006A3837" w:rsidRPr="006F54E9" w14:paraId="23C0DA30" w14:textId="77777777" w:rsidTr="006A3837">
        <w:trPr>
          <w:trHeight w:val="110"/>
        </w:trPr>
        <w:tc>
          <w:tcPr>
            <w:tcW w:w="2125" w:type="dxa"/>
            <w:tcBorders>
              <w:top w:val="nil"/>
              <w:left w:val="single" w:sz="4" w:space="0" w:color="auto"/>
              <w:bottom w:val="single" w:sz="6" w:space="0" w:color="000000"/>
              <w:right w:val="nil"/>
            </w:tcBorders>
            <w:tcMar>
              <w:top w:w="0" w:type="dxa"/>
              <w:bottom w:w="0" w:type="dxa"/>
            </w:tcMar>
            <w:vAlign w:val="bottom"/>
          </w:tcPr>
          <w:p w14:paraId="5AF924BB" w14:textId="77777777" w:rsidR="006A3837" w:rsidRPr="006F54E9" w:rsidRDefault="006A3837" w:rsidP="00FC2A09">
            <w:pPr>
              <w:jc w:val="center"/>
              <w:rPr>
                <w:rFonts w:eastAsia="Arial"/>
                <w:color w:val="000000"/>
                <w:sz w:val="18"/>
                <w:szCs w:val="18"/>
                <w:lang w:val="en-ID"/>
              </w:rPr>
            </w:pPr>
          </w:p>
        </w:tc>
        <w:tc>
          <w:tcPr>
            <w:tcW w:w="1635" w:type="dxa"/>
            <w:tcBorders>
              <w:top w:val="nil"/>
              <w:left w:val="nil"/>
              <w:bottom w:val="single" w:sz="6" w:space="0" w:color="000000"/>
              <w:right w:val="nil"/>
            </w:tcBorders>
            <w:tcMar>
              <w:top w:w="0" w:type="dxa"/>
              <w:bottom w:w="0" w:type="dxa"/>
            </w:tcMar>
            <w:vAlign w:val="bottom"/>
          </w:tcPr>
          <w:p w14:paraId="23030EC0" w14:textId="77777777" w:rsidR="006A3837" w:rsidRPr="006F54E9" w:rsidRDefault="006A3837" w:rsidP="00FC2A09">
            <w:pPr>
              <w:jc w:val="center"/>
              <w:rPr>
                <w:rFonts w:eastAsia="Arial"/>
                <w:color w:val="000000"/>
                <w:sz w:val="18"/>
                <w:szCs w:val="18"/>
                <w:lang w:val="en-ID"/>
              </w:rPr>
            </w:pPr>
          </w:p>
        </w:tc>
        <w:tc>
          <w:tcPr>
            <w:tcW w:w="1412" w:type="dxa"/>
            <w:tcBorders>
              <w:top w:val="nil"/>
              <w:left w:val="nil"/>
              <w:bottom w:val="single" w:sz="6" w:space="0" w:color="000000"/>
              <w:right w:val="nil"/>
            </w:tcBorders>
            <w:tcMar>
              <w:top w:w="0" w:type="dxa"/>
              <w:bottom w:w="0" w:type="dxa"/>
            </w:tcMar>
            <w:vAlign w:val="bottom"/>
          </w:tcPr>
          <w:p w14:paraId="4759960B" w14:textId="77777777" w:rsidR="006A3837" w:rsidRPr="006F54E9" w:rsidRDefault="006A3837" w:rsidP="00FC2A09">
            <w:pPr>
              <w:jc w:val="center"/>
              <w:rPr>
                <w:rFonts w:eastAsia="Arial"/>
                <w:color w:val="000000"/>
                <w:sz w:val="18"/>
                <w:szCs w:val="18"/>
                <w:lang w:val="en-ID"/>
              </w:rPr>
            </w:pPr>
          </w:p>
        </w:tc>
        <w:tc>
          <w:tcPr>
            <w:tcW w:w="1570" w:type="dxa"/>
            <w:tcBorders>
              <w:top w:val="nil"/>
              <w:left w:val="nil"/>
              <w:bottom w:val="single" w:sz="6" w:space="0" w:color="000000"/>
              <w:right w:val="nil"/>
            </w:tcBorders>
            <w:tcMar>
              <w:top w:w="0" w:type="dxa"/>
              <w:bottom w:w="0" w:type="dxa"/>
            </w:tcMar>
            <w:vAlign w:val="bottom"/>
          </w:tcPr>
          <w:p w14:paraId="52DE09F9"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single" w:sz="6" w:space="0" w:color="000000"/>
              <w:right w:val="single" w:sz="4" w:space="0" w:color="auto"/>
            </w:tcBorders>
            <w:tcMar>
              <w:top w:w="0" w:type="dxa"/>
              <w:bottom w:w="0" w:type="dxa"/>
            </w:tcMar>
            <w:vAlign w:val="bottom"/>
          </w:tcPr>
          <w:p w14:paraId="2B317777" w14:textId="77777777" w:rsidR="006A3837" w:rsidRPr="006F54E9" w:rsidRDefault="006A3837" w:rsidP="00FC2A09">
            <w:pPr>
              <w:jc w:val="center"/>
              <w:rPr>
                <w:rFonts w:eastAsia="Arial"/>
                <w:color w:val="000000"/>
                <w:sz w:val="18"/>
                <w:szCs w:val="18"/>
                <w:lang w:val="en-ID"/>
              </w:rPr>
            </w:pPr>
          </w:p>
        </w:tc>
      </w:tr>
      <w:tr w:rsidR="006A3837" w:rsidRPr="006F54E9" w14:paraId="702B4A93" w14:textId="77777777" w:rsidTr="006A3837">
        <w:trPr>
          <w:trHeight w:val="165"/>
        </w:trPr>
        <w:tc>
          <w:tcPr>
            <w:tcW w:w="2125" w:type="dxa"/>
            <w:tcBorders>
              <w:top w:val="nil"/>
              <w:left w:val="single" w:sz="4" w:space="0" w:color="auto"/>
              <w:bottom w:val="nil"/>
              <w:right w:val="nil"/>
            </w:tcBorders>
            <w:tcMar>
              <w:top w:w="0" w:type="dxa"/>
              <w:bottom w:w="0" w:type="dxa"/>
            </w:tcMar>
            <w:vAlign w:val="bottom"/>
          </w:tcPr>
          <w:p w14:paraId="387F21A1" w14:textId="77777777" w:rsidR="006A3837" w:rsidRPr="006F54E9" w:rsidRDefault="006A3837" w:rsidP="00FC2A09">
            <w:pPr>
              <w:jc w:val="center"/>
              <w:rPr>
                <w:rFonts w:eastAsia="Arial"/>
                <w:color w:val="000000"/>
                <w:sz w:val="18"/>
                <w:szCs w:val="18"/>
                <w:lang w:val="en-ID"/>
              </w:rPr>
            </w:pPr>
          </w:p>
        </w:tc>
        <w:tc>
          <w:tcPr>
            <w:tcW w:w="1635" w:type="dxa"/>
            <w:tcBorders>
              <w:top w:val="nil"/>
              <w:left w:val="nil"/>
              <w:bottom w:val="nil"/>
              <w:right w:val="nil"/>
            </w:tcBorders>
            <w:tcMar>
              <w:top w:w="0" w:type="dxa"/>
              <w:bottom w:w="0" w:type="dxa"/>
            </w:tcMar>
            <w:vAlign w:val="bottom"/>
          </w:tcPr>
          <w:p w14:paraId="0039EE31" w14:textId="77777777" w:rsidR="006A3837" w:rsidRPr="006F54E9" w:rsidRDefault="006A3837" w:rsidP="00FC2A09">
            <w:pPr>
              <w:jc w:val="center"/>
              <w:rPr>
                <w:rFonts w:eastAsia="Arial"/>
                <w:color w:val="000000"/>
                <w:sz w:val="18"/>
                <w:szCs w:val="18"/>
                <w:lang w:val="en-ID"/>
              </w:rPr>
            </w:pPr>
          </w:p>
        </w:tc>
        <w:tc>
          <w:tcPr>
            <w:tcW w:w="1412" w:type="dxa"/>
            <w:tcBorders>
              <w:top w:val="nil"/>
              <w:left w:val="nil"/>
              <w:bottom w:val="nil"/>
              <w:right w:val="nil"/>
            </w:tcBorders>
            <w:tcMar>
              <w:top w:w="0" w:type="dxa"/>
              <w:bottom w:w="0" w:type="dxa"/>
            </w:tcMar>
            <w:vAlign w:val="bottom"/>
          </w:tcPr>
          <w:p w14:paraId="497372F7" w14:textId="77777777" w:rsidR="006A3837" w:rsidRPr="006F54E9" w:rsidRDefault="006A3837" w:rsidP="00FC2A09">
            <w:pPr>
              <w:jc w:val="center"/>
              <w:rPr>
                <w:rFonts w:eastAsia="Arial"/>
                <w:color w:val="000000"/>
                <w:sz w:val="18"/>
                <w:szCs w:val="18"/>
                <w:lang w:val="en-ID"/>
              </w:rPr>
            </w:pPr>
          </w:p>
        </w:tc>
        <w:tc>
          <w:tcPr>
            <w:tcW w:w="1570" w:type="dxa"/>
            <w:tcBorders>
              <w:top w:val="nil"/>
              <w:left w:val="nil"/>
              <w:bottom w:val="nil"/>
              <w:right w:val="nil"/>
            </w:tcBorders>
            <w:tcMar>
              <w:top w:w="0" w:type="dxa"/>
              <w:bottom w:w="0" w:type="dxa"/>
            </w:tcMar>
            <w:vAlign w:val="bottom"/>
          </w:tcPr>
          <w:p w14:paraId="6D0E4B2A"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nil"/>
              <w:right w:val="single" w:sz="4" w:space="0" w:color="auto"/>
            </w:tcBorders>
            <w:tcMar>
              <w:top w:w="0" w:type="dxa"/>
              <w:bottom w:w="0" w:type="dxa"/>
            </w:tcMar>
            <w:vAlign w:val="bottom"/>
          </w:tcPr>
          <w:p w14:paraId="586685E3" w14:textId="77777777" w:rsidR="006A3837" w:rsidRPr="006F54E9" w:rsidRDefault="006A3837" w:rsidP="00FC2A09">
            <w:pPr>
              <w:jc w:val="center"/>
              <w:rPr>
                <w:rFonts w:eastAsia="Arial"/>
                <w:color w:val="000000"/>
                <w:sz w:val="18"/>
                <w:szCs w:val="18"/>
                <w:lang w:val="en-ID"/>
              </w:rPr>
            </w:pPr>
          </w:p>
        </w:tc>
      </w:tr>
      <w:tr w:rsidR="006A3837" w:rsidRPr="006F54E9" w14:paraId="5917CA90"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47D8E5EF"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R-squared</w:t>
            </w:r>
          </w:p>
        </w:tc>
        <w:tc>
          <w:tcPr>
            <w:tcW w:w="1635" w:type="dxa"/>
            <w:tcBorders>
              <w:top w:val="nil"/>
              <w:left w:val="nil"/>
              <w:bottom w:val="nil"/>
              <w:right w:val="nil"/>
            </w:tcBorders>
            <w:tcMar>
              <w:top w:w="0" w:type="dxa"/>
              <w:bottom w:w="0" w:type="dxa"/>
            </w:tcMar>
            <w:vAlign w:val="bottom"/>
          </w:tcPr>
          <w:p w14:paraId="66F9D777"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0.010082</w:t>
            </w:r>
          </w:p>
        </w:tc>
        <w:tc>
          <w:tcPr>
            <w:tcW w:w="2982" w:type="dxa"/>
            <w:gridSpan w:val="2"/>
            <w:tcBorders>
              <w:top w:val="nil"/>
              <w:left w:val="nil"/>
              <w:bottom w:val="nil"/>
              <w:right w:val="nil"/>
            </w:tcBorders>
            <w:tcMar>
              <w:top w:w="0" w:type="dxa"/>
              <w:bottom w:w="0" w:type="dxa"/>
            </w:tcMar>
            <w:vAlign w:val="bottom"/>
          </w:tcPr>
          <w:p w14:paraId="19CBE1AD" w14:textId="77777777" w:rsidR="006A3837" w:rsidRPr="006F54E9" w:rsidRDefault="006A3837" w:rsidP="00FC2A09">
            <w:pPr>
              <w:ind w:right="20"/>
              <w:rPr>
                <w:rFonts w:eastAsia="Arial"/>
                <w:color w:val="000000"/>
                <w:sz w:val="18"/>
                <w:szCs w:val="18"/>
                <w:lang w:val="en-ID"/>
              </w:rPr>
            </w:pPr>
            <w:r w:rsidRPr="006F54E9">
              <w:rPr>
                <w:rFonts w:eastAsia="Arial"/>
                <w:color w:val="000000"/>
                <w:sz w:val="18"/>
                <w:szCs w:val="18"/>
                <w:lang w:val="en-ID"/>
              </w:rPr>
              <w:t>    Mean dependent var</w:t>
            </w:r>
          </w:p>
        </w:tc>
        <w:tc>
          <w:tcPr>
            <w:tcW w:w="1411" w:type="dxa"/>
            <w:tcBorders>
              <w:top w:val="nil"/>
              <w:left w:val="nil"/>
              <w:bottom w:val="nil"/>
              <w:right w:val="single" w:sz="4" w:space="0" w:color="auto"/>
            </w:tcBorders>
            <w:tcMar>
              <w:top w:w="0" w:type="dxa"/>
              <w:bottom w:w="0" w:type="dxa"/>
            </w:tcMar>
            <w:vAlign w:val="bottom"/>
          </w:tcPr>
          <w:p w14:paraId="3D9D5D79"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0.245246</w:t>
            </w:r>
          </w:p>
        </w:tc>
      </w:tr>
      <w:tr w:rsidR="006A3837" w:rsidRPr="006F54E9" w14:paraId="2404E1E0"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00C2EDD4"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Adjusted R-squared</w:t>
            </w:r>
          </w:p>
        </w:tc>
        <w:tc>
          <w:tcPr>
            <w:tcW w:w="1635" w:type="dxa"/>
            <w:tcBorders>
              <w:top w:val="nil"/>
              <w:left w:val="nil"/>
              <w:bottom w:val="nil"/>
              <w:right w:val="nil"/>
            </w:tcBorders>
            <w:tcMar>
              <w:top w:w="0" w:type="dxa"/>
              <w:bottom w:w="0" w:type="dxa"/>
            </w:tcMar>
            <w:vAlign w:val="bottom"/>
          </w:tcPr>
          <w:p w14:paraId="512A86A0"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0.004045</w:t>
            </w:r>
          </w:p>
        </w:tc>
        <w:tc>
          <w:tcPr>
            <w:tcW w:w="2982" w:type="dxa"/>
            <w:gridSpan w:val="2"/>
            <w:tcBorders>
              <w:top w:val="nil"/>
              <w:left w:val="nil"/>
              <w:bottom w:val="nil"/>
              <w:right w:val="nil"/>
            </w:tcBorders>
            <w:tcMar>
              <w:top w:w="0" w:type="dxa"/>
              <w:bottom w:w="0" w:type="dxa"/>
            </w:tcMar>
            <w:vAlign w:val="bottom"/>
          </w:tcPr>
          <w:p w14:paraId="677B9332" w14:textId="77777777" w:rsidR="006A3837" w:rsidRPr="006F54E9" w:rsidRDefault="006A3837" w:rsidP="00FC2A09">
            <w:pPr>
              <w:ind w:right="20"/>
              <w:rPr>
                <w:rFonts w:eastAsia="Arial"/>
                <w:color w:val="000000"/>
                <w:sz w:val="18"/>
                <w:szCs w:val="18"/>
                <w:lang w:val="en-ID"/>
              </w:rPr>
            </w:pPr>
            <w:r w:rsidRPr="006F54E9">
              <w:rPr>
                <w:rFonts w:eastAsia="Arial"/>
                <w:color w:val="000000"/>
                <w:sz w:val="18"/>
                <w:szCs w:val="18"/>
                <w:lang w:val="en-ID"/>
              </w:rPr>
              <w:t>    S.D. dependent var</w:t>
            </w:r>
          </w:p>
        </w:tc>
        <w:tc>
          <w:tcPr>
            <w:tcW w:w="1411" w:type="dxa"/>
            <w:tcBorders>
              <w:top w:val="nil"/>
              <w:left w:val="nil"/>
              <w:bottom w:val="nil"/>
              <w:right w:val="single" w:sz="4" w:space="0" w:color="auto"/>
            </w:tcBorders>
            <w:tcMar>
              <w:top w:w="0" w:type="dxa"/>
              <w:bottom w:w="0" w:type="dxa"/>
            </w:tcMar>
            <w:vAlign w:val="bottom"/>
          </w:tcPr>
          <w:p w14:paraId="0ACAE020"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0.127953</w:t>
            </w:r>
          </w:p>
        </w:tc>
      </w:tr>
      <w:tr w:rsidR="006A3837" w:rsidRPr="006F54E9" w14:paraId="7E29439C"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6A5A1554"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S.E. of regression</w:t>
            </w:r>
          </w:p>
        </w:tc>
        <w:tc>
          <w:tcPr>
            <w:tcW w:w="1635" w:type="dxa"/>
            <w:tcBorders>
              <w:top w:val="nil"/>
              <w:left w:val="nil"/>
              <w:bottom w:val="nil"/>
              <w:right w:val="nil"/>
            </w:tcBorders>
            <w:tcMar>
              <w:top w:w="0" w:type="dxa"/>
              <w:bottom w:w="0" w:type="dxa"/>
            </w:tcMar>
            <w:vAlign w:val="bottom"/>
          </w:tcPr>
          <w:p w14:paraId="1CF1383F"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0.127694</w:t>
            </w:r>
          </w:p>
        </w:tc>
        <w:tc>
          <w:tcPr>
            <w:tcW w:w="2982" w:type="dxa"/>
            <w:gridSpan w:val="2"/>
            <w:tcBorders>
              <w:top w:val="nil"/>
              <w:left w:val="nil"/>
              <w:bottom w:val="nil"/>
              <w:right w:val="nil"/>
            </w:tcBorders>
            <w:tcMar>
              <w:top w:w="0" w:type="dxa"/>
              <w:bottom w:w="0" w:type="dxa"/>
            </w:tcMar>
            <w:vAlign w:val="bottom"/>
          </w:tcPr>
          <w:p w14:paraId="6D077E9C" w14:textId="77777777" w:rsidR="006A3837" w:rsidRPr="006F54E9" w:rsidRDefault="006A3837" w:rsidP="00FC2A09">
            <w:pPr>
              <w:ind w:right="20"/>
              <w:rPr>
                <w:rFonts w:eastAsia="Arial"/>
                <w:color w:val="000000"/>
                <w:sz w:val="18"/>
                <w:szCs w:val="18"/>
                <w:lang w:val="en-ID"/>
              </w:rPr>
            </w:pPr>
            <w:r w:rsidRPr="006F54E9">
              <w:rPr>
                <w:rFonts w:eastAsia="Arial"/>
                <w:color w:val="000000"/>
                <w:sz w:val="18"/>
                <w:szCs w:val="18"/>
                <w:lang w:val="en-ID"/>
              </w:rPr>
              <w:t>    Akaike info criterion</w:t>
            </w:r>
          </w:p>
        </w:tc>
        <w:tc>
          <w:tcPr>
            <w:tcW w:w="1411" w:type="dxa"/>
            <w:tcBorders>
              <w:top w:val="nil"/>
              <w:left w:val="nil"/>
              <w:bottom w:val="nil"/>
              <w:right w:val="single" w:sz="4" w:space="0" w:color="auto"/>
            </w:tcBorders>
            <w:tcMar>
              <w:top w:w="0" w:type="dxa"/>
              <w:bottom w:w="0" w:type="dxa"/>
            </w:tcMar>
            <w:vAlign w:val="bottom"/>
          </w:tcPr>
          <w:p w14:paraId="53910994"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-1.270332</w:t>
            </w:r>
          </w:p>
        </w:tc>
      </w:tr>
      <w:tr w:rsidR="006A3837" w:rsidRPr="006F54E9" w14:paraId="00DCF836"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1013B781"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 xml:space="preserve">Sum squared </w:t>
            </w:r>
            <w:proofErr w:type="spellStart"/>
            <w:r w:rsidRPr="006F54E9">
              <w:rPr>
                <w:rFonts w:eastAsia="Arial"/>
                <w:color w:val="000000"/>
                <w:sz w:val="18"/>
                <w:szCs w:val="18"/>
                <w:lang w:val="en-ID"/>
              </w:rPr>
              <w:t>resid</w:t>
            </w:r>
            <w:proofErr w:type="spellEnd"/>
          </w:p>
        </w:tc>
        <w:tc>
          <w:tcPr>
            <w:tcW w:w="1635" w:type="dxa"/>
            <w:tcBorders>
              <w:top w:val="nil"/>
              <w:left w:val="nil"/>
              <w:bottom w:val="nil"/>
              <w:right w:val="nil"/>
            </w:tcBorders>
            <w:tcMar>
              <w:top w:w="0" w:type="dxa"/>
              <w:bottom w:w="0" w:type="dxa"/>
            </w:tcMar>
            <w:vAlign w:val="bottom"/>
          </w:tcPr>
          <w:p w14:paraId="5F737ED7"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8.022399</w:t>
            </w:r>
          </w:p>
        </w:tc>
        <w:tc>
          <w:tcPr>
            <w:tcW w:w="2982" w:type="dxa"/>
            <w:gridSpan w:val="2"/>
            <w:tcBorders>
              <w:top w:val="nil"/>
              <w:left w:val="nil"/>
              <w:bottom w:val="nil"/>
              <w:right w:val="nil"/>
            </w:tcBorders>
            <w:tcMar>
              <w:top w:w="0" w:type="dxa"/>
              <w:bottom w:w="0" w:type="dxa"/>
            </w:tcMar>
            <w:vAlign w:val="bottom"/>
          </w:tcPr>
          <w:p w14:paraId="6CD5FA09" w14:textId="77777777" w:rsidR="006A3837" w:rsidRPr="006F54E9" w:rsidRDefault="006A3837" w:rsidP="00FC2A09">
            <w:pPr>
              <w:ind w:right="20"/>
              <w:rPr>
                <w:rFonts w:eastAsia="Arial"/>
                <w:color w:val="000000"/>
                <w:sz w:val="18"/>
                <w:szCs w:val="18"/>
                <w:lang w:val="en-ID"/>
              </w:rPr>
            </w:pPr>
            <w:r w:rsidRPr="006F54E9">
              <w:rPr>
                <w:rFonts w:eastAsia="Arial"/>
                <w:color w:val="000000"/>
                <w:sz w:val="18"/>
                <w:szCs w:val="18"/>
                <w:lang w:val="en-ID"/>
              </w:rPr>
              <w:t>    Schwarz criterion</w:t>
            </w:r>
          </w:p>
        </w:tc>
        <w:tc>
          <w:tcPr>
            <w:tcW w:w="1411" w:type="dxa"/>
            <w:tcBorders>
              <w:top w:val="nil"/>
              <w:left w:val="nil"/>
              <w:bottom w:val="nil"/>
              <w:right w:val="single" w:sz="4" w:space="0" w:color="auto"/>
            </w:tcBorders>
            <w:tcMar>
              <w:top w:w="0" w:type="dxa"/>
              <w:bottom w:w="0" w:type="dxa"/>
            </w:tcMar>
            <w:vAlign w:val="bottom"/>
          </w:tcPr>
          <w:p w14:paraId="67E615BE"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-1.236408</w:t>
            </w:r>
          </w:p>
        </w:tc>
      </w:tr>
      <w:tr w:rsidR="006A3837" w:rsidRPr="006F54E9" w14:paraId="19767673"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382AEF75"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Log likelihood</w:t>
            </w:r>
          </w:p>
        </w:tc>
        <w:tc>
          <w:tcPr>
            <w:tcW w:w="1635" w:type="dxa"/>
            <w:tcBorders>
              <w:top w:val="nil"/>
              <w:left w:val="nil"/>
              <w:bottom w:val="nil"/>
              <w:right w:val="nil"/>
            </w:tcBorders>
            <w:tcMar>
              <w:top w:w="0" w:type="dxa"/>
              <w:bottom w:w="0" w:type="dxa"/>
            </w:tcMar>
            <w:vAlign w:val="bottom"/>
          </w:tcPr>
          <w:p w14:paraId="62312C0D"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319.0424</w:t>
            </w:r>
          </w:p>
        </w:tc>
        <w:tc>
          <w:tcPr>
            <w:tcW w:w="2982" w:type="dxa"/>
            <w:gridSpan w:val="2"/>
            <w:tcBorders>
              <w:top w:val="nil"/>
              <w:left w:val="nil"/>
              <w:bottom w:val="nil"/>
              <w:right w:val="nil"/>
            </w:tcBorders>
            <w:tcMar>
              <w:top w:w="0" w:type="dxa"/>
              <w:bottom w:w="0" w:type="dxa"/>
            </w:tcMar>
            <w:vAlign w:val="bottom"/>
          </w:tcPr>
          <w:p w14:paraId="1373DE25" w14:textId="77777777" w:rsidR="006A3837" w:rsidRPr="006F54E9" w:rsidRDefault="006A3837" w:rsidP="00FC2A09">
            <w:pPr>
              <w:ind w:right="20"/>
              <w:rPr>
                <w:rFonts w:eastAsia="Arial"/>
                <w:color w:val="000000"/>
                <w:sz w:val="18"/>
                <w:szCs w:val="18"/>
                <w:lang w:val="en-ID"/>
              </w:rPr>
            </w:pPr>
            <w:r w:rsidRPr="006F54E9">
              <w:rPr>
                <w:rFonts w:eastAsia="Arial"/>
                <w:color w:val="000000"/>
                <w:sz w:val="18"/>
                <w:szCs w:val="18"/>
                <w:lang w:val="en-ID"/>
              </w:rPr>
              <w:t xml:space="preserve">    Hannan-Quinn </w:t>
            </w:r>
            <w:proofErr w:type="spellStart"/>
            <w:r w:rsidRPr="006F54E9">
              <w:rPr>
                <w:rFonts w:eastAsia="Arial"/>
                <w:color w:val="000000"/>
                <w:sz w:val="18"/>
                <w:szCs w:val="18"/>
                <w:lang w:val="en-ID"/>
              </w:rPr>
              <w:t>criter</w:t>
            </w:r>
            <w:proofErr w:type="spellEnd"/>
            <w:r w:rsidRPr="006F54E9">
              <w:rPr>
                <w:rFonts w:eastAsia="Arial"/>
                <w:color w:val="000000"/>
                <w:sz w:val="18"/>
                <w:szCs w:val="18"/>
                <w:lang w:val="en-ID"/>
              </w:rPr>
              <w:t>.</w:t>
            </w:r>
          </w:p>
        </w:tc>
        <w:tc>
          <w:tcPr>
            <w:tcW w:w="1411" w:type="dxa"/>
            <w:tcBorders>
              <w:top w:val="nil"/>
              <w:left w:val="nil"/>
              <w:bottom w:val="nil"/>
              <w:right w:val="single" w:sz="4" w:space="0" w:color="auto"/>
            </w:tcBorders>
            <w:tcMar>
              <w:top w:w="0" w:type="dxa"/>
              <w:bottom w:w="0" w:type="dxa"/>
            </w:tcMar>
            <w:vAlign w:val="bottom"/>
          </w:tcPr>
          <w:p w14:paraId="5F1DE8BD"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-1.257016</w:t>
            </w:r>
          </w:p>
        </w:tc>
      </w:tr>
      <w:tr w:rsidR="006A3837" w:rsidRPr="006F54E9" w14:paraId="653D04F6"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70AAE0CF"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F-statistic</w:t>
            </w:r>
          </w:p>
        </w:tc>
        <w:tc>
          <w:tcPr>
            <w:tcW w:w="1635" w:type="dxa"/>
            <w:tcBorders>
              <w:top w:val="nil"/>
              <w:left w:val="nil"/>
              <w:bottom w:val="nil"/>
              <w:right w:val="nil"/>
            </w:tcBorders>
            <w:tcMar>
              <w:top w:w="0" w:type="dxa"/>
              <w:bottom w:w="0" w:type="dxa"/>
            </w:tcMar>
            <w:vAlign w:val="bottom"/>
          </w:tcPr>
          <w:p w14:paraId="667F4687"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1.670207</w:t>
            </w:r>
          </w:p>
        </w:tc>
        <w:tc>
          <w:tcPr>
            <w:tcW w:w="2982" w:type="dxa"/>
            <w:gridSpan w:val="2"/>
            <w:tcBorders>
              <w:top w:val="nil"/>
              <w:left w:val="nil"/>
              <w:bottom w:val="nil"/>
              <w:right w:val="nil"/>
            </w:tcBorders>
            <w:tcMar>
              <w:top w:w="0" w:type="dxa"/>
              <w:bottom w:w="0" w:type="dxa"/>
            </w:tcMar>
            <w:vAlign w:val="bottom"/>
          </w:tcPr>
          <w:p w14:paraId="3BC1A773" w14:textId="77777777" w:rsidR="006A3837" w:rsidRPr="006F54E9" w:rsidRDefault="006A3837" w:rsidP="00FC2A09">
            <w:pPr>
              <w:ind w:right="20"/>
              <w:rPr>
                <w:rFonts w:eastAsia="Arial"/>
                <w:color w:val="000000"/>
                <w:sz w:val="18"/>
                <w:szCs w:val="18"/>
                <w:lang w:val="en-ID"/>
              </w:rPr>
            </w:pPr>
            <w:r w:rsidRPr="006F54E9">
              <w:rPr>
                <w:rFonts w:eastAsia="Arial"/>
                <w:color w:val="000000"/>
                <w:sz w:val="18"/>
                <w:szCs w:val="18"/>
                <w:lang w:val="en-ID"/>
              </w:rPr>
              <w:t>    Durbin-Watson stat</w:t>
            </w:r>
          </w:p>
        </w:tc>
        <w:tc>
          <w:tcPr>
            <w:tcW w:w="1411" w:type="dxa"/>
            <w:tcBorders>
              <w:top w:val="nil"/>
              <w:left w:val="nil"/>
              <w:bottom w:val="nil"/>
              <w:right w:val="single" w:sz="4" w:space="0" w:color="auto"/>
            </w:tcBorders>
            <w:tcMar>
              <w:top w:w="0" w:type="dxa"/>
              <w:bottom w:w="0" w:type="dxa"/>
            </w:tcMar>
            <w:vAlign w:val="bottom"/>
          </w:tcPr>
          <w:p w14:paraId="0F41AAAA"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2.325258</w:t>
            </w:r>
          </w:p>
        </w:tc>
      </w:tr>
      <w:tr w:rsidR="006A3837" w:rsidRPr="006F54E9" w14:paraId="1C21222D"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70F43CF6"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Prob(F-statistic)</w:t>
            </w:r>
          </w:p>
        </w:tc>
        <w:tc>
          <w:tcPr>
            <w:tcW w:w="1635" w:type="dxa"/>
            <w:tcBorders>
              <w:top w:val="nil"/>
              <w:left w:val="nil"/>
              <w:bottom w:val="nil"/>
              <w:right w:val="nil"/>
            </w:tcBorders>
            <w:tcMar>
              <w:top w:w="0" w:type="dxa"/>
              <w:bottom w:w="0" w:type="dxa"/>
            </w:tcMar>
            <w:vAlign w:val="bottom"/>
          </w:tcPr>
          <w:p w14:paraId="64D3A346"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0.172506</w:t>
            </w:r>
          </w:p>
        </w:tc>
        <w:tc>
          <w:tcPr>
            <w:tcW w:w="1412" w:type="dxa"/>
            <w:tcBorders>
              <w:top w:val="nil"/>
              <w:left w:val="nil"/>
              <w:bottom w:val="nil"/>
              <w:right w:val="nil"/>
            </w:tcBorders>
            <w:tcMar>
              <w:top w:w="0" w:type="dxa"/>
              <w:bottom w:w="0" w:type="dxa"/>
            </w:tcMar>
            <w:vAlign w:val="bottom"/>
          </w:tcPr>
          <w:p w14:paraId="262BA2A7" w14:textId="77777777" w:rsidR="006A3837" w:rsidRPr="006F54E9" w:rsidRDefault="006A3837" w:rsidP="00FC2A09">
            <w:pPr>
              <w:ind w:right="20"/>
              <w:jc w:val="center"/>
              <w:rPr>
                <w:rFonts w:eastAsia="Arial"/>
                <w:color w:val="000000"/>
                <w:sz w:val="18"/>
                <w:szCs w:val="18"/>
                <w:lang w:val="en-ID"/>
              </w:rPr>
            </w:pPr>
          </w:p>
        </w:tc>
        <w:tc>
          <w:tcPr>
            <w:tcW w:w="1570" w:type="dxa"/>
            <w:tcBorders>
              <w:top w:val="nil"/>
              <w:left w:val="nil"/>
              <w:bottom w:val="nil"/>
              <w:right w:val="nil"/>
            </w:tcBorders>
            <w:tcMar>
              <w:top w:w="0" w:type="dxa"/>
              <w:bottom w:w="0" w:type="dxa"/>
            </w:tcMar>
            <w:vAlign w:val="bottom"/>
          </w:tcPr>
          <w:p w14:paraId="730B9B8F" w14:textId="77777777" w:rsidR="006A3837" w:rsidRPr="006F54E9" w:rsidRDefault="006A3837" w:rsidP="00FC2A09">
            <w:pPr>
              <w:ind w:right="20"/>
              <w:jc w:val="center"/>
              <w:rPr>
                <w:rFonts w:eastAsia="Arial"/>
                <w:color w:val="000000"/>
                <w:sz w:val="18"/>
                <w:szCs w:val="18"/>
                <w:lang w:val="en-ID"/>
              </w:rPr>
            </w:pPr>
          </w:p>
        </w:tc>
        <w:tc>
          <w:tcPr>
            <w:tcW w:w="1411" w:type="dxa"/>
            <w:tcBorders>
              <w:top w:val="nil"/>
              <w:left w:val="nil"/>
              <w:bottom w:val="nil"/>
              <w:right w:val="single" w:sz="4" w:space="0" w:color="auto"/>
            </w:tcBorders>
            <w:tcMar>
              <w:top w:w="0" w:type="dxa"/>
              <w:bottom w:w="0" w:type="dxa"/>
            </w:tcMar>
            <w:vAlign w:val="bottom"/>
          </w:tcPr>
          <w:p w14:paraId="1F5BB450" w14:textId="77777777" w:rsidR="006A3837" w:rsidRPr="006F54E9" w:rsidRDefault="006A3837" w:rsidP="00FC2A09">
            <w:pPr>
              <w:ind w:right="20"/>
              <w:jc w:val="center"/>
              <w:rPr>
                <w:rFonts w:eastAsia="Arial"/>
                <w:color w:val="000000"/>
                <w:sz w:val="18"/>
                <w:szCs w:val="18"/>
                <w:lang w:val="en-ID"/>
              </w:rPr>
            </w:pPr>
          </w:p>
        </w:tc>
      </w:tr>
      <w:tr w:rsidR="006A3837" w:rsidRPr="006F54E9" w14:paraId="7033A5B4" w14:textId="77777777" w:rsidTr="006A3837">
        <w:trPr>
          <w:trHeight w:val="110"/>
        </w:trPr>
        <w:tc>
          <w:tcPr>
            <w:tcW w:w="2125" w:type="dxa"/>
            <w:tcBorders>
              <w:top w:val="nil"/>
              <w:left w:val="single" w:sz="4" w:space="0" w:color="auto"/>
              <w:bottom w:val="single" w:sz="6" w:space="0" w:color="000000"/>
              <w:right w:val="nil"/>
            </w:tcBorders>
            <w:tcMar>
              <w:top w:w="0" w:type="dxa"/>
              <w:bottom w:w="0" w:type="dxa"/>
            </w:tcMar>
            <w:vAlign w:val="bottom"/>
          </w:tcPr>
          <w:p w14:paraId="3E28EC45" w14:textId="77777777" w:rsidR="006A3837" w:rsidRPr="006F54E9" w:rsidRDefault="006A3837" w:rsidP="00FC2A09">
            <w:pPr>
              <w:jc w:val="center"/>
              <w:rPr>
                <w:rFonts w:eastAsia="Arial"/>
                <w:color w:val="000000"/>
                <w:sz w:val="18"/>
                <w:szCs w:val="18"/>
                <w:lang w:val="en-ID"/>
              </w:rPr>
            </w:pPr>
          </w:p>
        </w:tc>
        <w:tc>
          <w:tcPr>
            <w:tcW w:w="1635" w:type="dxa"/>
            <w:tcBorders>
              <w:top w:val="nil"/>
              <w:left w:val="nil"/>
              <w:bottom w:val="single" w:sz="6" w:space="0" w:color="000000"/>
              <w:right w:val="nil"/>
            </w:tcBorders>
            <w:tcMar>
              <w:top w:w="0" w:type="dxa"/>
              <w:bottom w:w="0" w:type="dxa"/>
            </w:tcMar>
            <w:vAlign w:val="bottom"/>
          </w:tcPr>
          <w:p w14:paraId="42FCD754" w14:textId="77777777" w:rsidR="006A3837" w:rsidRPr="006F54E9" w:rsidRDefault="006A3837" w:rsidP="00FC2A09">
            <w:pPr>
              <w:jc w:val="center"/>
              <w:rPr>
                <w:rFonts w:eastAsia="Arial"/>
                <w:color w:val="000000"/>
                <w:sz w:val="18"/>
                <w:szCs w:val="18"/>
                <w:lang w:val="en-ID"/>
              </w:rPr>
            </w:pPr>
          </w:p>
        </w:tc>
        <w:tc>
          <w:tcPr>
            <w:tcW w:w="1412" w:type="dxa"/>
            <w:tcBorders>
              <w:top w:val="nil"/>
              <w:left w:val="nil"/>
              <w:bottom w:val="single" w:sz="6" w:space="0" w:color="000000"/>
              <w:right w:val="nil"/>
            </w:tcBorders>
            <w:tcMar>
              <w:top w:w="0" w:type="dxa"/>
              <w:bottom w:w="0" w:type="dxa"/>
            </w:tcMar>
            <w:vAlign w:val="bottom"/>
          </w:tcPr>
          <w:p w14:paraId="78DD7732" w14:textId="77777777" w:rsidR="006A3837" w:rsidRPr="006F54E9" w:rsidRDefault="006A3837" w:rsidP="00FC2A09">
            <w:pPr>
              <w:jc w:val="center"/>
              <w:rPr>
                <w:rFonts w:eastAsia="Arial"/>
                <w:color w:val="000000"/>
                <w:sz w:val="18"/>
                <w:szCs w:val="18"/>
                <w:lang w:val="en-ID"/>
              </w:rPr>
            </w:pPr>
          </w:p>
        </w:tc>
        <w:tc>
          <w:tcPr>
            <w:tcW w:w="1570" w:type="dxa"/>
            <w:tcBorders>
              <w:top w:val="nil"/>
              <w:left w:val="nil"/>
              <w:bottom w:val="single" w:sz="6" w:space="0" w:color="000000"/>
              <w:right w:val="nil"/>
            </w:tcBorders>
            <w:tcMar>
              <w:top w:w="0" w:type="dxa"/>
              <w:bottom w:w="0" w:type="dxa"/>
            </w:tcMar>
            <w:vAlign w:val="bottom"/>
          </w:tcPr>
          <w:p w14:paraId="6332B684"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single" w:sz="6" w:space="0" w:color="000000"/>
              <w:right w:val="single" w:sz="4" w:space="0" w:color="auto"/>
            </w:tcBorders>
            <w:tcMar>
              <w:top w:w="0" w:type="dxa"/>
              <w:bottom w:w="0" w:type="dxa"/>
            </w:tcMar>
            <w:vAlign w:val="bottom"/>
          </w:tcPr>
          <w:p w14:paraId="2B90E1D0" w14:textId="77777777" w:rsidR="006A3837" w:rsidRPr="006F54E9" w:rsidRDefault="006A3837" w:rsidP="00FC2A09">
            <w:pPr>
              <w:jc w:val="center"/>
              <w:rPr>
                <w:rFonts w:eastAsia="Arial"/>
                <w:color w:val="000000"/>
                <w:sz w:val="18"/>
                <w:szCs w:val="18"/>
                <w:lang w:val="en-ID"/>
              </w:rPr>
            </w:pPr>
          </w:p>
        </w:tc>
      </w:tr>
    </w:tbl>
    <w:p w14:paraId="0868CCA0" w14:textId="77777777" w:rsidR="006A3837" w:rsidRPr="006A3837" w:rsidRDefault="006A3837" w:rsidP="006A3837">
      <w:pPr>
        <w:pStyle w:val="Body"/>
        <w:rPr>
          <w:rFonts w:ascii="Arial" w:hAnsi="Arial" w:cs="Arial"/>
          <w:b/>
          <w:sz w:val="22"/>
        </w:rPr>
      </w:pPr>
      <w:r w:rsidRPr="006A3837">
        <w:rPr>
          <w:rFonts w:ascii="Arial" w:hAnsi="Arial" w:cs="Arial"/>
          <w:b/>
          <w:sz w:val="22"/>
        </w:rPr>
        <w:tab/>
      </w:r>
      <w:r w:rsidRPr="006A3837">
        <w:rPr>
          <w:rFonts w:ascii="Arial" w:hAnsi="Arial" w:cs="Arial"/>
          <w:b/>
          <w:sz w:val="22"/>
        </w:rPr>
        <w:tab/>
        <w:t xml:space="preserve"> </w:t>
      </w:r>
    </w:p>
    <w:p w14:paraId="377ECEB2" w14:textId="77777777" w:rsidR="006A3837" w:rsidRPr="006A3837" w:rsidRDefault="006A3837" w:rsidP="006A3837">
      <w:pPr>
        <w:pStyle w:val="Body"/>
        <w:rPr>
          <w:rFonts w:ascii="Arial" w:hAnsi="Arial" w:cs="Arial"/>
          <w:b/>
          <w:sz w:val="22"/>
        </w:rPr>
      </w:pPr>
      <w:r w:rsidRPr="006A3837">
        <w:rPr>
          <w:rFonts w:ascii="Arial" w:hAnsi="Arial" w:cs="Arial"/>
          <w:b/>
          <w:sz w:val="22"/>
        </w:rPr>
        <w:t>4.4 Discussion</w:t>
      </w:r>
    </w:p>
    <w:p w14:paraId="16CC61D3" w14:textId="77777777" w:rsidR="006A3837" w:rsidRPr="006A3837" w:rsidRDefault="006A3837" w:rsidP="006A3837">
      <w:pPr>
        <w:pStyle w:val="Body"/>
        <w:rPr>
          <w:rFonts w:ascii="Arial" w:hAnsi="Arial" w:cs="Arial"/>
        </w:rPr>
      </w:pPr>
      <w:r w:rsidRPr="006A3837">
        <w:rPr>
          <w:rFonts w:ascii="Arial" w:hAnsi="Arial" w:cs="Arial"/>
        </w:rPr>
        <w:t xml:space="preserve">Profitability, as measured by Return on Assets (ROA), shows a significant positive relationship with stock price volatility. This suggests that firms with higher profitability attract more investor attention, leading to greater fluctuations in stock prices. The result is consistent with the notion that profitability not only signals financial health but also increases trading activity, thereby amplifying volatility. </w:t>
      </w:r>
    </w:p>
    <w:p w14:paraId="39D1A95B" w14:textId="77777777" w:rsidR="00B01FCD" w:rsidRDefault="006A3837" w:rsidP="006A3837">
      <w:pPr>
        <w:pStyle w:val="Body"/>
        <w:spacing w:after="0"/>
        <w:rPr>
          <w:rFonts w:ascii="Arial" w:hAnsi="Arial" w:cs="Arial"/>
        </w:rPr>
      </w:pPr>
      <w:r w:rsidRPr="006A3837">
        <w:rPr>
          <w:rFonts w:ascii="Arial" w:hAnsi="Arial" w:cs="Arial"/>
        </w:rPr>
        <w:t>In contrast, ERP implementation does not demonstrate a significant effect on stock price volatility. This may occur because ERP adoption is considered a long-term strategic investment whose benefits are not immediately perceived by investors. Consequently, ERP implementation fails to influence short-term price dynamics in the stock market.</w:t>
      </w:r>
    </w:p>
    <w:p w14:paraId="3B5AC966" w14:textId="77777777" w:rsidR="006A3837" w:rsidRDefault="006A3837" w:rsidP="006A3837">
      <w:pPr>
        <w:pStyle w:val="Body"/>
        <w:spacing w:after="0"/>
        <w:rPr>
          <w:rFonts w:ascii="Arial" w:hAnsi="Arial" w:cs="Arial"/>
        </w:rPr>
      </w:pPr>
    </w:p>
    <w:p w14:paraId="24ED1085" w14:textId="77777777" w:rsidR="006A3837" w:rsidRPr="006A3837" w:rsidRDefault="006A3837" w:rsidP="006A3837">
      <w:pPr>
        <w:pStyle w:val="Body"/>
        <w:rPr>
          <w:rFonts w:ascii="Arial" w:hAnsi="Arial" w:cs="Arial"/>
          <w:b/>
          <w:sz w:val="22"/>
        </w:rPr>
      </w:pPr>
      <w:r w:rsidRPr="006A3837">
        <w:rPr>
          <w:rFonts w:ascii="Arial" w:hAnsi="Arial" w:cs="Arial"/>
          <w:b/>
          <w:sz w:val="22"/>
        </w:rPr>
        <w:t>5. CONCLUSION</w:t>
      </w:r>
    </w:p>
    <w:p w14:paraId="359F7637" w14:textId="77777777" w:rsidR="003D52D6" w:rsidRDefault="006A3837" w:rsidP="006A3837">
      <w:pPr>
        <w:pStyle w:val="Body"/>
        <w:rPr>
          <w:rFonts w:ascii="Arial" w:hAnsi="Arial" w:cs="Arial"/>
        </w:rPr>
      </w:pPr>
      <w:r w:rsidRPr="006A3837">
        <w:rPr>
          <w:rFonts w:ascii="Arial" w:hAnsi="Arial" w:cs="Arial"/>
        </w:rPr>
        <w:t>The results show that the Dividend Payout Ratio (DPR) has a negative effect on stock price volatility, although the effect is relatively weak. This suggests that higher dividend distribution reduces uncertainty in stock prices, co</w:t>
      </w:r>
      <w:r>
        <w:rPr>
          <w:rFonts w:ascii="Arial" w:hAnsi="Arial" w:cs="Arial"/>
        </w:rPr>
        <w:t xml:space="preserve">nsistent with signaling theory </w:t>
      </w:r>
      <w:r w:rsidRPr="006A3837">
        <w:rPr>
          <w:rFonts w:ascii="Arial" w:hAnsi="Arial" w:cs="Arial"/>
        </w:rPr>
        <w:t>which posits that dividends provide positive signals about a firm’s stability and future prospects. In contrast, ERP implementation does not significantly affect stock price volatility, indicating that investors may not yet fully consider ERP adoption in their decision-making due to limited transparency and disclosure of its outcomes. Furthermore, Return on Assets (ROA) also shows no significant influence, implying that profitability information may already be reflected in stock prices.</w:t>
      </w:r>
    </w:p>
    <w:p w14:paraId="4186E2CA" w14:textId="77777777" w:rsidR="003D52D6" w:rsidRDefault="006A3837" w:rsidP="006A3837">
      <w:pPr>
        <w:pStyle w:val="Body"/>
        <w:rPr>
          <w:rFonts w:ascii="Arial" w:hAnsi="Arial" w:cs="Arial"/>
        </w:rPr>
      </w:pPr>
      <w:r w:rsidRPr="006A3837">
        <w:rPr>
          <w:rFonts w:ascii="Arial" w:hAnsi="Arial" w:cs="Arial"/>
        </w:rPr>
        <w:lastRenderedPageBreak/>
        <w:t>These findings highlight the role of dividend policy as a more relevant factor for investors in mitigating volatility in the Indonesian technology sector. Companies are encouraged to maintain a consistent and transparent dividend payout to strengthen investor confidence. In addition, firms should improve disclosure related to ERP implementation, for example through annual reports or public exposures, so that its potential benefits are more visible to the market. Investors, on the other hand, should prioritize DPR in investment analysis while also considering broader fundamental and external factors implementation, for example through annual reports or public exposures, so that its potential benefits are more visible to the market. Investors, on the other hand, should prioritize DPR in investment analysis while also considering broader fundamental and external factors.</w:t>
      </w:r>
    </w:p>
    <w:p w14:paraId="6EB72BCF" w14:textId="77777777" w:rsidR="006A3837" w:rsidRPr="006A3837" w:rsidRDefault="006A3837" w:rsidP="006A3837">
      <w:pPr>
        <w:pStyle w:val="Body"/>
        <w:rPr>
          <w:rFonts w:ascii="Arial" w:hAnsi="Arial" w:cs="Arial"/>
        </w:rPr>
      </w:pPr>
      <w:r w:rsidRPr="006A3837">
        <w:rPr>
          <w:rFonts w:ascii="Arial" w:hAnsi="Arial" w:cs="Arial"/>
        </w:rPr>
        <w:t>This study is limited by its focus on a narrow set of variables and a relatively short observation period. Future research could extend the analysis by incorporating macroeconomic variables such as interest rates, exchange rates, and market sentiment, as well as applying longer observation periods to capture long-term dynamics. Comparative studies across different industrial sectors would also be valuable in assessing the generalizability of the results within the Indonesian capital market.</w:t>
      </w:r>
    </w:p>
    <w:p w14:paraId="04188888" w14:textId="77777777" w:rsidR="003D52D6" w:rsidRDefault="006A3837" w:rsidP="003D52D6">
      <w:pPr>
        <w:pStyle w:val="Body"/>
        <w:rPr>
          <w:rFonts w:ascii="Arial" w:hAnsi="Arial" w:cs="Arial"/>
          <w:b/>
          <w:sz w:val="22"/>
        </w:rPr>
      </w:pPr>
      <w:r w:rsidRPr="003D52D6">
        <w:rPr>
          <w:rFonts w:ascii="Arial" w:hAnsi="Arial" w:cs="Arial"/>
          <w:b/>
          <w:sz w:val="22"/>
        </w:rPr>
        <w:t>COMPETING INTERESTS</w:t>
      </w:r>
    </w:p>
    <w:p w14:paraId="3C3A8546" w14:textId="77777777" w:rsidR="00860000" w:rsidRPr="003D52D6" w:rsidRDefault="006A3837" w:rsidP="003D52D6">
      <w:pPr>
        <w:pStyle w:val="Body"/>
        <w:rPr>
          <w:rFonts w:ascii="Arial" w:hAnsi="Arial" w:cs="Arial"/>
          <w:b/>
          <w:sz w:val="22"/>
        </w:rPr>
      </w:pPr>
      <w:r w:rsidRPr="006A3837">
        <w:rPr>
          <w:rFonts w:ascii="Arial" w:hAnsi="Arial" w:cs="Arial"/>
        </w:rPr>
        <w:t>Authors have declared that no competing interests exist</w:t>
      </w:r>
    </w:p>
    <w:p w14:paraId="2C17AD4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5FC813"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Abdelall, M. A. A., &amp; Wu, D. (2023). Does</w:t>
      </w:r>
    </w:p>
    <w:p w14:paraId="2C8B52BA"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ERP Adoption Affect Stock Price Volatility? Evidence from Egypt. </w:t>
      </w:r>
      <w:r w:rsidRPr="00951064">
        <w:rPr>
          <w:rFonts w:ascii="Arial" w:hAnsi="Arial" w:cs="Arial"/>
          <w:i/>
          <w:iCs/>
          <w:noProof/>
        </w:rPr>
        <w:t>International Journal of Economics, Business and Management Research</w:t>
      </w:r>
      <w:r w:rsidRPr="00951064">
        <w:rPr>
          <w:rFonts w:ascii="Arial" w:hAnsi="Arial" w:cs="Arial"/>
          <w:noProof/>
        </w:rPr>
        <w:t xml:space="preserve">, </w:t>
      </w:r>
      <w:r w:rsidRPr="00951064">
        <w:rPr>
          <w:rFonts w:ascii="Arial" w:hAnsi="Arial" w:cs="Arial"/>
          <w:i/>
          <w:iCs/>
          <w:noProof/>
        </w:rPr>
        <w:t>07</w:t>
      </w:r>
      <w:r w:rsidRPr="00951064">
        <w:rPr>
          <w:rFonts w:ascii="Arial" w:hAnsi="Arial" w:cs="Arial"/>
          <w:noProof/>
        </w:rPr>
        <w:t xml:space="preserve">(11), 104–124. </w:t>
      </w:r>
      <w:r w:rsidRPr="00951064">
        <w:rPr>
          <w:rFonts w:ascii="Arial" w:hAnsi="Arial" w:cs="Arial"/>
          <w:noProof/>
        </w:rPr>
        <w:t>https://doi.org/10.51505/ijebmr.2023.71108</w:t>
      </w:r>
    </w:p>
    <w:p w14:paraId="77F16A88"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Ajao, M. G., &amp; Robinson, F. E. (2022). Dividend Policy Determinants and Stock Price Volatility in Selected African Stock Markets. </w:t>
      </w:r>
      <w:r w:rsidRPr="00951064">
        <w:rPr>
          <w:rFonts w:ascii="Arial" w:hAnsi="Arial" w:cs="Arial"/>
          <w:i/>
          <w:iCs/>
          <w:noProof/>
        </w:rPr>
        <w:t>International Journal of Finance Research</w:t>
      </w:r>
      <w:r w:rsidRPr="00951064">
        <w:rPr>
          <w:rFonts w:ascii="Arial" w:hAnsi="Arial" w:cs="Arial"/>
          <w:noProof/>
        </w:rPr>
        <w:t xml:space="preserve">, </w:t>
      </w:r>
      <w:r w:rsidRPr="00951064">
        <w:rPr>
          <w:rFonts w:ascii="Arial" w:hAnsi="Arial" w:cs="Arial"/>
          <w:i/>
          <w:iCs/>
          <w:noProof/>
        </w:rPr>
        <w:t>3</w:t>
      </w:r>
      <w:r w:rsidRPr="00951064">
        <w:rPr>
          <w:rFonts w:ascii="Arial" w:hAnsi="Arial" w:cs="Arial"/>
          <w:noProof/>
        </w:rPr>
        <w:t>(1), 27–48. https://doi.org/10.47747/ijfr.v3i1.659</w:t>
      </w:r>
    </w:p>
    <w:p w14:paraId="0390CFC2"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Allen, D. E., &amp; Rachim, V. S. (1996). Dividend policy and stock price volatility: Australian evidence. </w:t>
      </w:r>
      <w:r w:rsidRPr="00951064">
        <w:rPr>
          <w:rFonts w:ascii="Arial" w:hAnsi="Arial" w:cs="Arial"/>
          <w:i/>
          <w:iCs/>
          <w:noProof/>
        </w:rPr>
        <w:t>Applied Financial Economics</w:t>
      </w:r>
      <w:r w:rsidRPr="00951064">
        <w:rPr>
          <w:rFonts w:ascii="Arial" w:hAnsi="Arial" w:cs="Arial"/>
          <w:noProof/>
        </w:rPr>
        <w:t xml:space="preserve">, </w:t>
      </w:r>
      <w:r w:rsidRPr="00951064">
        <w:rPr>
          <w:rFonts w:ascii="Arial" w:hAnsi="Arial" w:cs="Arial"/>
          <w:i/>
          <w:iCs/>
          <w:noProof/>
        </w:rPr>
        <w:t>6</w:t>
      </w:r>
      <w:r w:rsidRPr="00951064">
        <w:rPr>
          <w:rFonts w:ascii="Arial" w:hAnsi="Arial" w:cs="Arial"/>
          <w:noProof/>
        </w:rPr>
        <w:t>(2), 175–188. https://doi.org/10.1080/096031096334402</w:t>
      </w:r>
    </w:p>
    <w:p w14:paraId="657EEBC3"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Angelina, C., Eriandani, R., &amp; Rudiawarni, F. A. (2023). Kebijakan Dividen Dan Volatilitas Harga Saham: Periode Sebelum Dan Selama Pandemi Covid-19. </w:t>
      </w:r>
      <w:r w:rsidRPr="00951064">
        <w:rPr>
          <w:rFonts w:ascii="Arial" w:hAnsi="Arial" w:cs="Arial"/>
          <w:i/>
          <w:iCs/>
          <w:noProof/>
        </w:rPr>
        <w:t>Media Riset Akuntansi, Auditing &amp; Informasi</w:t>
      </w:r>
      <w:r w:rsidRPr="00951064">
        <w:rPr>
          <w:rFonts w:ascii="Arial" w:hAnsi="Arial" w:cs="Arial"/>
          <w:noProof/>
        </w:rPr>
        <w:t xml:space="preserve">, </w:t>
      </w:r>
      <w:r w:rsidRPr="00951064">
        <w:rPr>
          <w:rFonts w:ascii="Arial" w:hAnsi="Arial" w:cs="Arial"/>
          <w:i/>
          <w:iCs/>
          <w:noProof/>
        </w:rPr>
        <w:t>23</w:t>
      </w:r>
      <w:r w:rsidRPr="00951064">
        <w:rPr>
          <w:rFonts w:ascii="Arial" w:hAnsi="Arial" w:cs="Arial"/>
          <w:noProof/>
        </w:rPr>
        <w:t>(1), 151–168. https://doi.org/10.25105/mraai.v23i1.15498</w:t>
      </w:r>
    </w:p>
    <w:p w14:paraId="51279113"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Assous, H. F. (2022). Saudi Green Banks and Stock Return Volatility: GLE Algorithm and Neural Network Models. </w:t>
      </w:r>
      <w:r w:rsidRPr="00951064">
        <w:rPr>
          <w:rFonts w:ascii="Arial" w:hAnsi="Arial" w:cs="Arial"/>
          <w:i/>
          <w:iCs/>
          <w:noProof/>
        </w:rPr>
        <w:t>Economies</w:t>
      </w:r>
      <w:r w:rsidRPr="00951064">
        <w:rPr>
          <w:rFonts w:ascii="Arial" w:hAnsi="Arial" w:cs="Arial"/>
          <w:noProof/>
        </w:rPr>
        <w:t xml:space="preserve">, </w:t>
      </w:r>
      <w:r w:rsidRPr="00951064">
        <w:rPr>
          <w:rFonts w:ascii="Arial" w:hAnsi="Arial" w:cs="Arial"/>
          <w:i/>
          <w:iCs/>
          <w:noProof/>
        </w:rPr>
        <w:t>10</w:t>
      </w:r>
      <w:r w:rsidRPr="00951064">
        <w:rPr>
          <w:rFonts w:ascii="Arial" w:hAnsi="Arial" w:cs="Arial"/>
          <w:noProof/>
        </w:rPr>
        <w:t>(10). https://doi.org/10.3390/economies10100242</w:t>
      </w:r>
    </w:p>
    <w:p w14:paraId="75F55BB1"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Azhariyah, A., Witjaksono, A. D., &amp; Hartono, U. (2021). The Effect of Profitability, Leverage, Liquidity, Size, and Company Growth on the Dividend Payout Ratio in the Indonesian Capital Market 2013-2018. </w:t>
      </w:r>
      <w:r w:rsidRPr="00951064">
        <w:rPr>
          <w:rFonts w:ascii="Arial" w:hAnsi="Arial" w:cs="Arial"/>
          <w:i/>
          <w:iCs/>
          <w:noProof/>
        </w:rPr>
        <w:t>Budapest International Research and Critics Institute (BIRCI-Journal): Humanities and Social Sciences</w:t>
      </w:r>
      <w:r w:rsidRPr="00951064">
        <w:rPr>
          <w:rFonts w:ascii="Arial" w:hAnsi="Arial" w:cs="Arial"/>
          <w:noProof/>
        </w:rPr>
        <w:t xml:space="preserve">, </w:t>
      </w:r>
      <w:r w:rsidRPr="00951064">
        <w:rPr>
          <w:rFonts w:ascii="Arial" w:hAnsi="Arial" w:cs="Arial"/>
          <w:i/>
          <w:iCs/>
          <w:noProof/>
        </w:rPr>
        <w:t>4</w:t>
      </w:r>
      <w:r w:rsidRPr="00951064">
        <w:rPr>
          <w:rFonts w:ascii="Arial" w:hAnsi="Arial" w:cs="Arial"/>
          <w:noProof/>
        </w:rPr>
        <w:t>(1), 1351–1360. https://doi.org/10.33258/birci.v4i1.1761</w:t>
      </w:r>
    </w:p>
    <w:p w14:paraId="60CB94AD"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Baillie, R. T., &amp; DeGennaro, R. P. (1990). Stock Returns and Volatility Author ( s ): Business Administration. </w:t>
      </w:r>
      <w:r w:rsidRPr="00951064">
        <w:rPr>
          <w:rFonts w:ascii="Arial" w:hAnsi="Arial" w:cs="Arial"/>
          <w:i/>
          <w:iCs/>
          <w:noProof/>
        </w:rPr>
        <w:t>The Journal of Financial and Quantitative Analysis</w:t>
      </w:r>
      <w:r w:rsidRPr="00951064">
        <w:rPr>
          <w:rFonts w:ascii="Arial" w:hAnsi="Arial" w:cs="Arial"/>
          <w:noProof/>
        </w:rPr>
        <w:t xml:space="preserve">, </w:t>
      </w:r>
      <w:r w:rsidRPr="00951064">
        <w:rPr>
          <w:rFonts w:ascii="Arial" w:hAnsi="Arial" w:cs="Arial"/>
          <w:i/>
          <w:iCs/>
          <w:noProof/>
        </w:rPr>
        <w:t>25</w:t>
      </w:r>
      <w:r w:rsidRPr="00951064">
        <w:rPr>
          <w:rFonts w:ascii="Arial" w:hAnsi="Arial" w:cs="Arial"/>
          <w:noProof/>
        </w:rPr>
        <w:t>(2), 203–214.</w:t>
      </w:r>
    </w:p>
    <w:p w14:paraId="7D13A8F4"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lastRenderedPageBreak/>
        <w:t xml:space="preserve">Balcilar, M., Gupta, R., Kim, W. J., &amp; Kyei, C. (2019). The role of economic policy uncertainties in predicting stock returns and their volatility for Hong Kong, Malaysia and South Korea. </w:t>
      </w:r>
      <w:r w:rsidRPr="00951064">
        <w:rPr>
          <w:rFonts w:ascii="Arial" w:hAnsi="Arial" w:cs="Arial"/>
          <w:i/>
          <w:iCs/>
          <w:noProof/>
        </w:rPr>
        <w:t>International Review of Economics and Finance</w:t>
      </w:r>
      <w:r w:rsidRPr="00951064">
        <w:rPr>
          <w:rFonts w:ascii="Arial" w:hAnsi="Arial" w:cs="Arial"/>
          <w:noProof/>
        </w:rPr>
        <w:t xml:space="preserve">, </w:t>
      </w:r>
      <w:r w:rsidRPr="00951064">
        <w:rPr>
          <w:rFonts w:ascii="Arial" w:hAnsi="Arial" w:cs="Arial"/>
          <w:i/>
          <w:iCs/>
          <w:noProof/>
        </w:rPr>
        <w:t>59</w:t>
      </w:r>
      <w:r w:rsidRPr="00951064">
        <w:rPr>
          <w:rFonts w:ascii="Arial" w:hAnsi="Arial" w:cs="Arial"/>
          <w:noProof/>
        </w:rPr>
        <w:t>, 150–163. https://doi.org/10.1016/j.iref.2018.08.016</w:t>
      </w:r>
    </w:p>
    <w:p w14:paraId="76459F5C"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Bhatta, S., &amp; Duwal, B. R. (2021). A systematic review of dividend policy in relation to stock price volatility. </w:t>
      </w:r>
      <w:r w:rsidRPr="00951064">
        <w:rPr>
          <w:rFonts w:ascii="Arial" w:hAnsi="Arial" w:cs="Arial"/>
          <w:i/>
          <w:iCs/>
          <w:noProof/>
        </w:rPr>
        <w:t>International Research Journal of Management Science</w:t>
      </w:r>
      <w:r w:rsidRPr="00951064">
        <w:rPr>
          <w:rFonts w:ascii="Arial" w:hAnsi="Arial" w:cs="Arial"/>
          <w:noProof/>
        </w:rPr>
        <w:t xml:space="preserve">, </w:t>
      </w:r>
      <w:r w:rsidRPr="00951064">
        <w:rPr>
          <w:rFonts w:ascii="Arial" w:hAnsi="Arial" w:cs="Arial"/>
          <w:i/>
          <w:iCs/>
          <w:noProof/>
        </w:rPr>
        <w:t>6</w:t>
      </w:r>
      <w:r w:rsidRPr="00951064">
        <w:rPr>
          <w:rFonts w:ascii="Arial" w:hAnsi="Arial" w:cs="Arial"/>
          <w:noProof/>
        </w:rPr>
        <w:t>(1), 92–104. https://doi.org/10.3126/irjms.v6i1.42342</w:t>
      </w:r>
    </w:p>
    <w:p w14:paraId="67FF7D09"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Boshkoska, M. (2015). The Agency Problem: Measures for Its Overcoming. </w:t>
      </w:r>
      <w:r w:rsidRPr="00951064">
        <w:rPr>
          <w:rFonts w:ascii="Arial" w:hAnsi="Arial" w:cs="Arial"/>
          <w:i/>
          <w:iCs/>
          <w:noProof/>
        </w:rPr>
        <w:t>International Journal of Business and Management</w:t>
      </w:r>
      <w:r w:rsidRPr="00951064">
        <w:rPr>
          <w:rFonts w:ascii="Arial" w:hAnsi="Arial" w:cs="Arial"/>
          <w:noProof/>
        </w:rPr>
        <w:t xml:space="preserve">, </w:t>
      </w:r>
      <w:r w:rsidRPr="00951064">
        <w:rPr>
          <w:rFonts w:ascii="Arial" w:hAnsi="Arial" w:cs="Arial"/>
          <w:i/>
          <w:iCs/>
          <w:noProof/>
        </w:rPr>
        <w:t>10</w:t>
      </w:r>
      <w:r w:rsidRPr="00951064">
        <w:rPr>
          <w:rFonts w:ascii="Arial" w:hAnsi="Arial" w:cs="Arial"/>
          <w:noProof/>
        </w:rPr>
        <w:t>(1), 204–209. https://doi.org/10.5539/ijbm.v10n1p204</w:t>
      </w:r>
    </w:p>
    <w:p w14:paraId="4F6CC2C5"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Caporale, G. M., &amp; Plastun, A. (2019). On stock price overreactions: frequency, seasonality and information content. </w:t>
      </w:r>
      <w:r w:rsidRPr="00951064">
        <w:rPr>
          <w:rFonts w:ascii="Arial" w:hAnsi="Arial" w:cs="Arial"/>
          <w:i/>
          <w:iCs/>
          <w:noProof/>
        </w:rPr>
        <w:t>Journal of Applied Economics</w:t>
      </w:r>
      <w:r w:rsidRPr="00951064">
        <w:rPr>
          <w:rFonts w:ascii="Arial" w:hAnsi="Arial" w:cs="Arial"/>
          <w:noProof/>
        </w:rPr>
        <w:t xml:space="preserve">, </w:t>
      </w:r>
      <w:r w:rsidRPr="00951064">
        <w:rPr>
          <w:rFonts w:ascii="Arial" w:hAnsi="Arial" w:cs="Arial"/>
          <w:i/>
          <w:iCs/>
          <w:noProof/>
        </w:rPr>
        <w:t>22</w:t>
      </w:r>
      <w:r w:rsidRPr="00951064">
        <w:rPr>
          <w:rFonts w:ascii="Arial" w:hAnsi="Arial" w:cs="Arial"/>
          <w:noProof/>
        </w:rPr>
        <w:t>(1), 602–621. https://doi.org/10.1080/15140326.2019.1692509</w:t>
      </w:r>
    </w:p>
    <w:p w14:paraId="1A78ED1D"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Crisanti, S., Cahyani Nuswandari, &amp; Sunarto. (2024). The Effect of Financial Ratio on Stock Price Volatility. </w:t>
      </w:r>
      <w:r w:rsidRPr="00951064">
        <w:rPr>
          <w:rFonts w:ascii="Arial" w:hAnsi="Arial" w:cs="Arial"/>
          <w:i/>
          <w:iCs/>
          <w:noProof/>
        </w:rPr>
        <w:t>Jurnal Wacana Ekonomi</w:t>
      </w:r>
      <w:r w:rsidRPr="00951064">
        <w:rPr>
          <w:rFonts w:ascii="Arial" w:hAnsi="Arial" w:cs="Arial"/>
          <w:noProof/>
        </w:rPr>
        <w:t xml:space="preserve">, </w:t>
      </w:r>
      <w:r w:rsidRPr="00951064">
        <w:rPr>
          <w:rFonts w:ascii="Arial" w:hAnsi="Arial" w:cs="Arial"/>
          <w:i/>
          <w:iCs/>
          <w:noProof/>
        </w:rPr>
        <w:t>23</w:t>
      </w:r>
      <w:r w:rsidRPr="00951064">
        <w:rPr>
          <w:rFonts w:ascii="Arial" w:hAnsi="Arial" w:cs="Arial"/>
          <w:noProof/>
        </w:rPr>
        <w:t>(3), 072–083. https://doi.org/10.52434/jwe.v23i3.3506</w:t>
      </w:r>
    </w:p>
    <w:p w14:paraId="2C2D3A71"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Devi, S. P., &amp; Aryani, Y. A. (2024). ERP Implementation and Earnings Management: The Moderating Effect of an Independent Board of Commissioners. </w:t>
      </w:r>
      <w:r w:rsidRPr="00951064">
        <w:rPr>
          <w:rFonts w:ascii="Arial" w:hAnsi="Arial" w:cs="Arial"/>
          <w:i/>
          <w:iCs/>
          <w:noProof/>
        </w:rPr>
        <w:t>Jurnal Ekonomi Dan Bisnis</w:t>
      </w:r>
      <w:r w:rsidRPr="00951064">
        <w:rPr>
          <w:rFonts w:ascii="Arial" w:hAnsi="Arial" w:cs="Arial"/>
          <w:noProof/>
        </w:rPr>
        <w:t xml:space="preserve">, </w:t>
      </w:r>
      <w:r w:rsidRPr="00951064">
        <w:rPr>
          <w:rFonts w:ascii="Arial" w:hAnsi="Arial" w:cs="Arial"/>
          <w:i/>
          <w:iCs/>
          <w:noProof/>
        </w:rPr>
        <w:t>27</w:t>
      </w:r>
      <w:r w:rsidRPr="00951064">
        <w:rPr>
          <w:rFonts w:ascii="Arial" w:hAnsi="Arial" w:cs="Arial"/>
          <w:noProof/>
        </w:rPr>
        <w:t>(1), 163–182. https://doi.org/10.24914/jeb.v27i1.8759</w:t>
      </w:r>
    </w:p>
    <w:p w14:paraId="5E27D0C6"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Dina Sentika, Eko Sujadi, &amp; Elex Sramigi. (2024). Analysis of the Impact of BOPO, FDR, NOM and NPF on ROA of Indonesian </w:t>
      </w:r>
      <w:r w:rsidRPr="00951064">
        <w:rPr>
          <w:rFonts w:ascii="Arial" w:hAnsi="Arial" w:cs="Arial"/>
          <w:noProof/>
        </w:rPr>
        <w:t xml:space="preserve">Sharia Commercial Banks Registered with the OJK. </w:t>
      </w:r>
      <w:r w:rsidRPr="00951064">
        <w:rPr>
          <w:rFonts w:ascii="Arial" w:hAnsi="Arial" w:cs="Arial"/>
          <w:i/>
          <w:iCs/>
          <w:noProof/>
        </w:rPr>
        <w:t>El-Mal: Jurnal Kajian Ekonomi &amp; Bisnis Islam</w:t>
      </w:r>
      <w:r w:rsidRPr="00951064">
        <w:rPr>
          <w:rFonts w:ascii="Arial" w:hAnsi="Arial" w:cs="Arial"/>
          <w:noProof/>
        </w:rPr>
        <w:t xml:space="preserve">, </w:t>
      </w:r>
      <w:r w:rsidRPr="00951064">
        <w:rPr>
          <w:rFonts w:ascii="Arial" w:hAnsi="Arial" w:cs="Arial"/>
          <w:i/>
          <w:iCs/>
          <w:noProof/>
        </w:rPr>
        <w:t>5</w:t>
      </w:r>
      <w:r w:rsidRPr="00951064">
        <w:rPr>
          <w:rFonts w:ascii="Arial" w:hAnsi="Arial" w:cs="Arial"/>
          <w:noProof/>
        </w:rPr>
        <w:t>(4), 3230–3249. https://doi.org/10.47467/elmal.v5i4.1915</w:t>
      </w:r>
    </w:p>
    <w:p w14:paraId="38811FF6"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Dwi Tamam, M. R., &amp; Nahda, K. (2024). Pengaruh Kebijakan Dividen terhadap Volatilitas Harga Saham Emiten Bank yang Terdaftar di Bursa Efek Indonesia Tahun 2020-2022. </w:t>
      </w:r>
      <w:r w:rsidRPr="00951064">
        <w:rPr>
          <w:rFonts w:ascii="Arial" w:hAnsi="Arial" w:cs="Arial"/>
          <w:i/>
          <w:iCs/>
          <w:noProof/>
        </w:rPr>
        <w:t>Selekta Manajemen: Jurnal Mahasiswa Bisnis &amp; Manajemen</w:t>
      </w:r>
      <w:r w:rsidRPr="00951064">
        <w:rPr>
          <w:rFonts w:ascii="Arial" w:hAnsi="Arial" w:cs="Arial"/>
          <w:noProof/>
        </w:rPr>
        <w:t xml:space="preserve">, </w:t>
      </w:r>
      <w:r w:rsidRPr="00951064">
        <w:rPr>
          <w:rFonts w:ascii="Arial" w:hAnsi="Arial" w:cs="Arial"/>
          <w:i/>
          <w:iCs/>
          <w:noProof/>
        </w:rPr>
        <w:t>02</w:t>
      </w:r>
      <w:r w:rsidRPr="00951064">
        <w:rPr>
          <w:rFonts w:ascii="Arial" w:hAnsi="Arial" w:cs="Arial"/>
          <w:noProof/>
        </w:rPr>
        <w:t>(06), 213–223.</w:t>
      </w:r>
    </w:p>
    <w:p w14:paraId="4CB3E6A6"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Eisenhardt, K. M. (1989). Agency Theory : An Assessment and Review Linked references are available on JSTOR. </w:t>
      </w:r>
      <w:r w:rsidRPr="00951064">
        <w:rPr>
          <w:rFonts w:ascii="Arial" w:hAnsi="Arial" w:cs="Arial"/>
          <w:i/>
          <w:iCs/>
          <w:noProof/>
        </w:rPr>
        <w:t>Academy of Management</w:t>
      </w:r>
      <w:r w:rsidRPr="00951064">
        <w:rPr>
          <w:rFonts w:ascii="Arial" w:hAnsi="Arial" w:cs="Arial"/>
          <w:noProof/>
        </w:rPr>
        <w:t xml:space="preserve">, </w:t>
      </w:r>
      <w:r w:rsidRPr="00951064">
        <w:rPr>
          <w:rFonts w:ascii="Arial" w:hAnsi="Arial" w:cs="Arial"/>
          <w:i/>
          <w:iCs/>
          <w:noProof/>
        </w:rPr>
        <w:t>14(1)</w:t>
      </w:r>
      <w:r w:rsidRPr="00951064">
        <w:rPr>
          <w:rFonts w:ascii="Arial" w:hAnsi="Arial" w:cs="Arial"/>
          <w:noProof/>
        </w:rPr>
        <w:t>(1), 57–74. https://www.jstor.org/stable/258191</w:t>
      </w:r>
    </w:p>
    <w:p w14:paraId="2CA456AE"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Eka, P., Widiantari, P., &amp; Sukartha, I. M. (2021). The Effect of Dividend Payout Ratio, Leverage and Assets Growth on Stock Price Volatility (Empirical Study on LQ45 Company on the Indonesia Stock Exchange 2016-2019). </w:t>
      </w:r>
      <w:r w:rsidRPr="00951064">
        <w:rPr>
          <w:rFonts w:ascii="Arial" w:hAnsi="Arial" w:cs="Arial"/>
          <w:i/>
          <w:iCs/>
          <w:noProof/>
        </w:rPr>
        <w:t>American Journal of Humanities and Social Sciences Research</w:t>
      </w:r>
      <w:r w:rsidRPr="00951064">
        <w:rPr>
          <w:rFonts w:ascii="Arial" w:hAnsi="Arial" w:cs="Arial"/>
          <w:noProof/>
        </w:rPr>
        <w:t xml:space="preserve">, </w:t>
      </w:r>
      <w:r w:rsidRPr="00951064">
        <w:rPr>
          <w:rFonts w:ascii="Arial" w:hAnsi="Arial" w:cs="Arial"/>
          <w:i/>
          <w:iCs/>
          <w:noProof/>
        </w:rPr>
        <w:t>5</w:t>
      </w:r>
      <w:r w:rsidRPr="00951064">
        <w:rPr>
          <w:rFonts w:ascii="Arial" w:hAnsi="Arial" w:cs="Arial"/>
          <w:noProof/>
        </w:rPr>
        <w:t>, 180–186. www.ajhssr.com</w:t>
      </w:r>
    </w:p>
    <w:p w14:paraId="379E2C06"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Escobari, D., &amp; Jafarinejad, M. (2019). Investors’ Uncertainty and Stock Market Risk. </w:t>
      </w:r>
      <w:r w:rsidRPr="00951064">
        <w:rPr>
          <w:rFonts w:ascii="Arial" w:hAnsi="Arial" w:cs="Arial"/>
          <w:i/>
          <w:iCs/>
          <w:noProof/>
        </w:rPr>
        <w:t>Journal of Behavioral Finance</w:t>
      </w:r>
      <w:r w:rsidRPr="00951064">
        <w:rPr>
          <w:rFonts w:ascii="Arial" w:hAnsi="Arial" w:cs="Arial"/>
          <w:noProof/>
        </w:rPr>
        <w:t xml:space="preserve">, </w:t>
      </w:r>
      <w:r w:rsidRPr="00951064">
        <w:rPr>
          <w:rFonts w:ascii="Arial" w:hAnsi="Arial" w:cs="Arial"/>
          <w:i/>
          <w:iCs/>
          <w:noProof/>
        </w:rPr>
        <w:t>20</w:t>
      </w:r>
      <w:r w:rsidRPr="00951064">
        <w:rPr>
          <w:rFonts w:ascii="Arial" w:hAnsi="Arial" w:cs="Arial"/>
          <w:noProof/>
        </w:rPr>
        <w:t>(3), 304–315. https://doi.org/10.1080/15427560.2018.1506787</w:t>
      </w:r>
    </w:p>
    <w:p w14:paraId="4A0BC1B7"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Farida, F., Wahyuni, N., Firdaus, V. F., Wanialisa, M., Suryani, R. E., &amp; Nursina, N. (2024). Does Dividend Payment Generate a Market Signal to Investors? </w:t>
      </w:r>
      <w:r w:rsidRPr="00951064">
        <w:rPr>
          <w:rFonts w:ascii="Arial" w:hAnsi="Arial" w:cs="Arial"/>
          <w:i/>
          <w:iCs/>
          <w:noProof/>
        </w:rPr>
        <w:t>Proceeding of the International Conference on Multidisciplinary Research for Sustainable Innovation</w:t>
      </w:r>
      <w:r w:rsidRPr="00951064">
        <w:rPr>
          <w:rFonts w:ascii="Arial" w:hAnsi="Arial" w:cs="Arial"/>
          <w:noProof/>
        </w:rPr>
        <w:t xml:space="preserve">, </w:t>
      </w:r>
      <w:r w:rsidRPr="00951064">
        <w:rPr>
          <w:rFonts w:ascii="Arial" w:hAnsi="Arial" w:cs="Arial"/>
          <w:i/>
          <w:iCs/>
          <w:noProof/>
        </w:rPr>
        <w:t>1</w:t>
      </w:r>
      <w:r w:rsidRPr="00951064">
        <w:rPr>
          <w:rFonts w:ascii="Arial" w:hAnsi="Arial" w:cs="Arial"/>
          <w:noProof/>
        </w:rPr>
        <w:t>(1), 295–299. https://doi.org/10.31098/icmrsi.v1i.810</w:t>
      </w:r>
    </w:p>
    <w:p w14:paraId="401353A9"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Garg, D. R., &amp; Gupta, D. P. (2024). Review on return and </w:t>
      </w:r>
      <w:r w:rsidRPr="00951064">
        <w:rPr>
          <w:rFonts w:ascii="Arial" w:hAnsi="Arial" w:cs="Arial"/>
          <w:noProof/>
        </w:rPr>
        <w:lastRenderedPageBreak/>
        <w:t xml:space="preserve">volatility of the stock market concerning foreign institutional investors. </w:t>
      </w:r>
      <w:r w:rsidRPr="00951064">
        <w:rPr>
          <w:rFonts w:ascii="Arial" w:hAnsi="Arial" w:cs="Arial"/>
          <w:i/>
          <w:iCs/>
          <w:noProof/>
        </w:rPr>
        <w:t>International Journal of Research in Finance and Management</w:t>
      </w:r>
      <w:r w:rsidRPr="00951064">
        <w:rPr>
          <w:rFonts w:ascii="Arial" w:hAnsi="Arial" w:cs="Arial"/>
          <w:noProof/>
        </w:rPr>
        <w:t xml:space="preserve">, </w:t>
      </w:r>
      <w:r w:rsidRPr="00951064">
        <w:rPr>
          <w:rFonts w:ascii="Arial" w:hAnsi="Arial" w:cs="Arial"/>
          <w:i/>
          <w:iCs/>
          <w:noProof/>
        </w:rPr>
        <w:t>7</w:t>
      </w:r>
      <w:r w:rsidRPr="00951064">
        <w:rPr>
          <w:rFonts w:ascii="Arial" w:hAnsi="Arial" w:cs="Arial"/>
          <w:noProof/>
        </w:rPr>
        <w:t>(1), 276–282. https://doi.org/10.33545/26175754.2024.v7.i1c.310</w:t>
      </w:r>
    </w:p>
    <w:p w14:paraId="407D4D7E"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Ghozali, I. (2018). </w:t>
      </w:r>
      <w:r w:rsidRPr="00951064">
        <w:rPr>
          <w:rFonts w:ascii="Arial" w:hAnsi="Arial" w:cs="Arial"/>
          <w:i/>
          <w:iCs/>
          <w:noProof/>
        </w:rPr>
        <w:t>Aplikasi Analisis Multivariate dengan Program IBM SPSS 25</w:t>
      </w:r>
      <w:r w:rsidRPr="00951064">
        <w:rPr>
          <w:rFonts w:ascii="Arial" w:hAnsi="Arial" w:cs="Arial"/>
          <w:noProof/>
        </w:rPr>
        <w:t>. Semarang: Badan Penerbit Universitas Diponegoro.</w:t>
      </w:r>
    </w:p>
    <w:p w14:paraId="22129F1C"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Hanafi, M. (2008). </w:t>
      </w:r>
      <w:r w:rsidRPr="00951064">
        <w:rPr>
          <w:rFonts w:ascii="Arial" w:hAnsi="Arial" w:cs="Arial"/>
          <w:i/>
          <w:iCs/>
          <w:noProof/>
        </w:rPr>
        <w:t>Manajemen Keuangan Edisi Satu</w:t>
      </w:r>
      <w:r w:rsidRPr="00951064">
        <w:rPr>
          <w:rFonts w:ascii="Arial" w:hAnsi="Arial" w:cs="Arial"/>
          <w:noProof/>
        </w:rPr>
        <w:t>. BPFE. Yogyakarta.</w:t>
      </w:r>
    </w:p>
    <w:p w14:paraId="3F6EC1D3"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Handayani, H., Muharam, H., Mawardi, W., &amp; Robiyanto, R. (2018). Determinants of the Stock Price Volatility in the Indonesian Manufacturing Sector. </w:t>
      </w:r>
      <w:r w:rsidRPr="00951064">
        <w:rPr>
          <w:rFonts w:ascii="Arial" w:hAnsi="Arial" w:cs="Arial"/>
          <w:i/>
          <w:iCs/>
          <w:noProof/>
        </w:rPr>
        <w:t>International Research Journal of Business Studies</w:t>
      </w:r>
      <w:r w:rsidRPr="00951064">
        <w:rPr>
          <w:rFonts w:ascii="Arial" w:hAnsi="Arial" w:cs="Arial"/>
          <w:noProof/>
        </w:rPr>
        <w:t xml:space="preserve">, </w:t>
      </w:r>
      <w:r w:rsidRPr="00951064">
        <w:rPr>
          <w:rFonts w:ascii="Arial" w:hAnsi="Arial" w:cs="Arial"/>
          <w:i/>
          <w:iCs/>
          <w:noProof/>
        </w:rPr>
        <w:t>11</w:t>
      </w:r>
      <w:r w:rsidRPr="00951064">
        <w:rPr>
          <w:rFonts w:ascii="Arial" w:hAnsi="Arial" w:cs="Arial"/>
          <w:noProof/>
        </w:rPr>
        <w:t>(3), 179–193. https://doi.org/10.21632/irjbs.11.3.179-193</w:t>
      </w:r>
    </w:p>
    <w:p w14:paraId="170E8E87"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Hashemijoo, M., Mahdavi Ardekani, A., &amp; Younesi, N. (2012). The Impact of Dividend Policy on Share Price Volatility in the Malaysian Stock Market. </w:t>
      </w:r>
      <w:r w:rsidRPr="00951064">
        <w:rPr>
          <w:rFonts w:ascii="Arial" w:hAnsi="Arial" w:cs="Arial"/>
          <w:i/>
          <w:iCs/>
          <w:noProof/>
        </w:rPr>
        <w:t>Journal of Business Studies Quarterly</w:t>
      </w:r>
      <w:r w:rsidRPr="00951064">
        <w:rPr>
          <w:rFonts w:ascii="Arial" w:hAnsi="Arial" w:cs="Arial"/>
          <w:noProof/>
        </w:rPr>
        <w:t xml:space="preserve">, </w:t>
      </w:r>
      <w:r w:rsidRPr="00951064">
        <w:rPr>
          <w:rFonts w:ascii="Arial" w:hAnsi="Arial" w:cs="Arial"/>
          <w:i/>
          <w:iCs/>
          <w:noProof/>
        </w:rPr>
        <w:t>4</w:t>
      </w:r>
      <w:r w:rsidRPr="00951064">
        <w:rPr>
          <w:rFonts w:ascii="Arial" w:hAnsi="Arial" w:cs="Arial"/>
          <w:noProof/>
        </w:rPr>
        <w:t>(38), 111–129. http://ezproxy.lib.monash.edu.au/login?url=http://search.ebscohost.com/login.aspx?direct=true&amp;db=bth&amp;AN=91711854&amp;site=ehost-live&amp;scope=site</w:t>
      </w:r>
    </w:p>
    <w:p w14:paraId="247E8079"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Heliani, H., Mareta, F., Rina, E., Rahayu, M. S., &amp; Ramdaniansyah, M. R. (2021). Liquidity, Profitability and Asset Growth towards the Dividend Payout Ratio. </w:t>
      </w:r>
      <w:r w:rsidRPr="00951064">
        <w:rPr>
          <w:rFonts w:ascii="Arial" w:hAnsi="Arial" w:cs="Arial"/>
          <w:i/>
          <w:iCs/>
          <w:noProof/>
        </w:rPr>
        <w:t>AFRE (Accounting and Financial Review)</w:t>
      </w:r>
      <w:r w:rsidRPr="00951064">
        <w:rPr>
          <w:rFonts w:ascii="Arial" w:hAnsi="Arial" w:cs="Arial"/>
          <w:noProof/>
        </w:rPr>
        <w:t xml:space="preserve">, </w:t>
      </w:r>
      <w:r w:rsidRPr="00951064">
        <w:rPr>
          <w:rFonts w:ascii="Arial" w:hAnsi="Arial" w:cs="Arial"/>
          <w:i/>
          <w:iCs/>
          <w:noProof/>
        </w:rPr>
        <w:t>4</w:t>
      </w:r>
      <w:r w:rsidRPr="00951064">
        <w:rPr>
          <w:rFonts w:ascii="Arial" w:hAnsi="Arial" w:cs="Arial"/>
          <w:noProof/>
        </w:rPr>
        <w:t>(2), 225–232. https://doi.org/10.26905/afr.v4i2.6324</w:t>
      </w:r>
    </w:p>
    <w:p w14:paraId="24137AF9"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Hery. (2014). </w:t>
      </w:r>
      <w:r w:rsidRPr="00951064">
        <w:rPr>
          <w:rFonts w:ascii="Arial" w:hAnsi="Arial" w:cs="Arial"/>
          <w:i/>
          <w:iCs/>
          <w:noProof/>
        </w:rPr>
        <w:t>Akuntansi Dasar 1 dan 2</w:t>
      </w:r>
      <w:r w:rsidRPr="00951064">
        <w:rPr>
          <w:rFonts w:ascii="Arial" w:hAnsi="Arial" w:cs="Arial"/>
          <w:noProof/>
        </w:rPr>
        <w:t>. Jakarta: PT Gramedia Widiasarana Indonesia.</w:t>
      </w:r>
    </w:p>
    <w:p w14:paraId="1A617435"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Husna, A., &amp; Satria, I. (2019). Effects of Return on Asset, Debt To Asset Ratio, Current Ratio, </w:t>
      </w:r>
      <w:r w:rsidRPr="00951064">
        <w:rPr>
          <w:rFonts w:ascii="Arial" w:hAnsi="Arial" w:cs="Arial"/>
          <w:noProof/>
        </w:rPr>
        <w:t xml:space="preserve">Firm Size, and Dividend Payout Ratio on Firm Value. </w:t>
      </w:r>
      <w:r w:rsidRPr="00951064">
        <w:rPr>
          <w:rFonts w:ascii="Arial" w:hAnsi="Arial" w:cs="Arial"/>
          <w:i/>
          <w:iCs/>
          <w:noProof/>
        </w:rPr>
        <w:t>International Journal of Economics and Financial Issues</w:t>
      </w:r>
      <w:r w:rsidRPr="00951064">
        <w:rPr>
          <w:rFonts w:ascii="Arial" w:hAnsi="Arial" w:cs="Arial"/>
          <w:noProof/>
        </w:rPr>
        <w:t xml:space="preserve">, </w:t>
      </w:r>
      <w:r w:rsidRPr="00951064">
        <w:rPr>
          <w:rFonts w:ascii="Arial" w:hAnsi="Arial" w:cs="Arial"/>
          <w:i/>
          <w:iCs/>
          <w:noProof/>
        </w:rPr>
        <w:t>9</w:t>
      </w:r>
      <w:r w:rsidRPr="00951064">
        <w:rPr>
          <w:rFonts w:ascii="Arial" w:hAnsi="Arial" w:cs="Arial"/>
          <w:noProof/>
        </w:rPr>
        <w:t>(5), 50–54. https://doi.org/10.32479/ijefi.8595</w:t>
      </w:r>
    </w:p>
    <w:p w14:paraId="27B3CF40"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Hussainey, K., Oscar Mgbame, C., &amp; Chijoke-Mgbame, A. M. (2011). Dividend policy and share price volatility: UK evidence. </w:t>
      </w:r>
      <w:r w:rsidRPr="00951064">
        <w:rPr>
          <w:rFonts w:ascii="Arial" w:hAnsi="Arial" w:cs="Arial"/>
          <w:i/>
          <w:iCs/>
          <w:noProof/>
        </w:rPr>
        <w:t>Journal of Risk Finance</w:t>
      </w:r>
      <w:r w:rsidRPr="00951064">
        <w:rPr>
          <w:rFonts w:ascii="Arial" w:hAnsi="Arial" w:cs="Arial"/>
          <w:noProof/>
        </w:rPr>
        <w:t xml:space="preserve">, </w:t>
      </w:r>
      <w:r w:rsidRPr="00951064">
        <w:rPr>
          <w:rFonts w:ascii="Arial" w:hAnsi="Arial" w:cs="Arial"/>
          <w:i/>
          <w:iCs/>
          <w:noProof/>
        </w:rPr>
        <w:t>12</w:t>
      </w:r>
      <w:r w:rsidRPr="00951064">
        <w:rPr>
          <w:rFonts w:ascii="Arial" w:hAnsi="Arial" w:cs="Arial"/>
          <w:noProof/>
        </w:rPr>
        <w:t>(1), 57–68. https://doi.org/10.1108/15265941111100076</w:t>
      </w:r>
    </w:p>
    <w:p w14:paraId="3822945B"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Jensen, M. C., &amp; Meckling, W. H. (1976). Theory Of The Firm: Managerial Behavior, Agency Costs and Ownership Structure. </w:t>
      </w:r>
      <w:r w:rsidRPr="00951064">
        <w:rPr>
          <w:rFonts w:ascii="Arial" w:hAnsi="Arial" w:cs="Arial"/>
          <w:i/>
          <w:iCs/>
          <w:noProof/>
        </w:rPr>
        <w:t>Journal of Financial Economic</w:t>
      </w:r>
      <w:r w:rsidRPr="00951064">
        <w:rPr>
          <w:rFonts w:ascii="Arial" w:hAnsi="Arial" w:cs="Arial"/>
          <w:noProof/>
        </w:rPr>
        <w:t xml:space="preserve">, </w:t>
      </w:r>
      <w:r w:rsidRPr="00951064">
        <w:rPr>
          <w:rFonts w:ascii="Arial" w:hAnsi="Arial" w:cs="Arial"/>
          <w:i/>
          <w:iCs/>
          <w:noProof/>
        </w:rPr>
        <w:t>3</w:t>
      </w:r>
      <w:r w:rsidRPr="00951064">
        <w:rPr>
          <w:rFonts w:ascii="Arial" w:hAnsi="Arial" w:cs="Arial"/>
          <w:noProof/>
        </w:rPr>
        <w:t>, 305–360. https://doi.org/10.1057/9781137341280.0038</w:t>
      </w:r>
    </w:p>
    <w:p w14:paraId="21A23330"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Jonnius Jonnius, &amp; Marsudi Almatius. (2021). Profitability and the Firm’s Value. </w:t>
      </w:r>
      <w:r w:rsidRPr="00951064">
        <w:rPr>
          <w:rFonts w:ascii="Arial" w:hAnsi="Arial" w:cs="Arial"/>
          <w:i/>
          <w:iCs/>
          <w:noProof/>
        </w:rPr>
        <w:t>Dinasti International Journal of Management Science</w:t>
      </w:r>
      <w:r w:rsidRPr="00951064">
        <w:rPr>
          <w:rFonts w:ascii="Arial" w:hAnsi="Arial" w:cs="Arial"/>
          <w:noProof/>
        </w:rPr>
        <w:t xml:space="preserve">, </w:t>
      </w:r>
      <w:r w:rsidRPr="00951064">
        <w:rPr>
          <w:rFonts w:ascii="Arial" w:hAnsi="Arial" w:cs="Arial"/>
          <w:i/>
          <w:iCs/>
          <w:noProof/>
        </w:rPr>
        <w:t>3</w:t>
      </w:r>
      <w:r w:rsidRPr="00951064">
        <w:rPr>
          <w:rFonts w:ascii="Arial" w:hAnsi="Arial" w:cs="Arial"/>
          <w:noProof/>
        </w:rPr>
        <w:t>(1), 23–47.</w:t>
      </w:r>
    </w:p>
    <w:p w14:paraId="669280E4"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Josua Sirait, Unggul Purwohedi, &amp; Diena Noviarini. (2021). Pengaruh Volatilitas Laba, Leverage Keuangan, Kebijakan Dividen, dan Price to Book Value Terhadap Volatilitas Harga Saham. </w:t>
      </w:r>
      <w:r w:rsidRPr="00951064">
        <w:rPr>
          <w:rFonts w:ascii="Arial" w:hAnsi="Arial" w:cs="Arial"/>
          <w:i/>
          <w:iCs/>
          <w:noProof/>
        </w:rPr>
        <w:t>Jurnal Akuntansi, Perpajakan Dan Auditing</w:t>
      </w:r>
      <w:r w:rsidRPr="00951064">
        <w:rPr>
          <w:rFonts w:ascii="Arial" w:hAnsi="Arial" w:cs="Arial"/>
          <w:noProof/>
        </w:rPr>
        <w:t xml:space="preserve">, </w:t>
      </w:r>
      <w:r w:rsidRPr="00951064">
        <w:rPr>
          <w:rFonts w:ascii="Arial" w:hAnsi="Arial" w:cs="Arial"/>
          <w:i/>
          <w:iCs/>
          <w:noProof/>
        </w:rPr>
        <w:t>2</w:t>
      </w:r>
      <w:r w:rsidRPr="00951064">
        <w:rPr>
          <w:rFonts w:ascii="Arial" w:hAnsi="Arial" w:cs="Arial"/>
          <w:noProof/>
        </w:rPr>
        <w:t>(2), 397–415. https://doi.org/10.21009/japa.0202.12</w:t>
      </w:r>
    </w:p>
    <w:p w14:paraId="1D679D79"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Kasmir. (2012). </w:t>
      </w:r>
      <w:r w:rsidRPr="00951064">
        <w:rPr>
          <w:rFonts w:ascii="Arial" w:hAnsi="Arial" w:cs="Arial"/>
          <w:i/>
          <w:iCs/>
          <w:noProof/>
        </w:rPr>
        <w:t>Analisis Laporan Keuangan, edisi ketujuh</w:t>
      </w:r>
      <w:r w:rsidRPr="00951064">
        <w:rPr>
          <w:rFonts w:ascii="Arial" w:hAnsi="Arial" w:cs="Arial"/>
          <w:noProof/>
        </w:rPr>
        <w:t>. PT. Raja Grafindo Persada, Jakarta.</w:t>
      </w:r>
    </w:p>
    <w:p w14:paraId="2B10DAFD"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Khan, F. (2020). Does dividend policy determine stock price volatility? (a case study of Malaysian manufacturing sector). </w:t>
      </w:r>
      <w:r w:rsidRPr="00951064">
        <w:rPr>
          <w:rFonts w:ascii="Arial" w:hAnsi="Arial" w:cs="Arial"/>
          <w:i/>
          <w:iCs/>
          <w:noProof/>
        </w:rPr>
        <w:t>Journal Global Policy and Governance</w:t>
      </w:r>
      <w:r w:rsidRPr="00951064">
        <w:rPr>
          <w:rFonts w:ascii="Arial" w:hAnsi="Arial" w:cs="Arial"/>
          <w:noProof/>
        </w:rPr>
        <w:t xml:space="preserve">, </w:t>
      </w:r>
      <w:r w:rsidRPr="00951064">
        <w:rPr>
          <w:rFonts w:ascii="Arial" w:hAnsi="Arial" w:cs="Arial"/>
          <w:i/>
          <w:iCs/>
          <w:noProof/>
        </w:rPr>
        <w:t>9</w:t>
      </w:r>
      <w:r w:rsidRPr="00951064">
        <w:rPr>
          <w:rFonts w:ascii="Arial" w:hAnsi="Arial" w:cs="Arial"/>
          <w:noProof/>
        </w:rPr>
        <w:t>(1), 67–78. https://doi.org/10.14666/2194-7759-9-1-005</w:t>
      </w:r>
    </w:p>
    <w:p w14:paraId="40ADDFF2"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Marundha, A., Suryani, A., &amp; Herianti, E. (n.d.). </w:t>
      </w:r>
      <w:r w:rsidRPr="00951064">
        <w:rPr>
          <w:rFonts w:ascii="Arial" w:hAnsi="Arial" w:cs="Arial"/>
          <w:i/>
          <w:iCs/>
          <w:noProof/>
        </w:rPr>
        <w:t xml:space="preserve">Determinan Sensitivitas Laba dan Implikasinya terhadap Nilai </w:t>
      </w:r>
      <w:r w:rsidRPr="00951064">
        <w:rPr>
          <w:rFonts w:ascii="Arial" w:hAnsi="Arial" w:cs="Arial"/>
          <w:i/>
          <w:iCs/>
          <w:noProof/>
        </w:rPr>
        <w:lastRenderedPageBreak/>
        <w:t>Perusahaan (Studi Empiris pada Perusahaan Manufaktur yang Terdaftar di Bursa Efek Indonesia)</w:t>
      </w:r>
      <w:r w:rsidRPr="00951064">
        <w:rPr>
          <w:rFonts w:ascii="Arial" w:hAnsi="Arial" w:cs="Arial"/>
          <w:noProof/>
        </w:rPr>
        <w:t>.</w:t>
      </w:r>
    </w:p>
    <w:p w14:paraId="69751E0E"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Naz, M., &amp; Siddiqui, D. A. (2020). The Effect of Dividend Policy on Share Price Volatility in Pakistan. </w:t>
      </w:r>
      <w:r w:rsidRPr="00951064">
        <w:rPr>
          <w:rFonts w:ascii="Arial" w:hAnsi="Arial" w:cs="Arial"/>
          <w:i/>
          <w:iCs/>
          <w:noProof/>
        </w:rPr>
        <w:t>SSRN Electronic Journal</w:t>
      </w:r>
      <w:r w:rsidRPr="00951064">
        <w:rPr>
          <w:rFonts w:ascii="Arial" w:hAnsi="Arial" w:cs="Arial"/>
          <w:noProof/>
        </w:rPr>
        <w:t>. https://doi.org/10.2139/ssrn.3681292</w:t>
      </w:r>
    </w:p>
    <w:p w14:paraId="4D0EE271"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Purba, D. S., Dwi Permatasari, P., Tanjung, N., Rahayu, P., Fitriani, R., Wulandari, S., Universitas, ), Negeri, I., Utara, S., Muslim, U., &amp; Al Washliyah, N. (2025). Analisis Perkembangan Ekonomi Digital Dalam Meningkatkan Pertumbuhan Ekonomi Di Indonesia. </w:t>
      </w:r>
      <w:r w:rsidRPr="00951064">
        <w:rPr>
          <w:rFonts w:ascii="Arial" w:hAnsi="Arial" w:cs="Arial"/>
          <w:i/>
          <w:iCs/>
          <w:noProof/>
        </w:rPr>
        <w:t>Jurnal Masharif Al-Syariah: Jurnal Ekonomi Dan Perbankan Syariah</w:t>
      </w:r>
      <w:r w:rsidRPr="00951064">
        <w:rPr>
          <w:rFonts w:ascii="Arial" w:hAnsi="Arial" w:cs="Arial"/>
          <w:noProof/>
        </w:rPr>
        <w:t xml:space="preserve">, </w:t>
      </w:r>
      <w:r w:rsidRPr="00951064">
        <w:rPr>
          <w:rFonts w:ascii="Arial" w:hAnsi="Arial" w:cs="Arial"/>
          <w:i/>
          <w:iCs/>
          <w:noProof/>
        </w:rPr>
        <w:t>10</w:t>
      </w:r>
      <w:r w:rsidRPr="00951064">
        <w:rPr>
          <w:rFonts w:ascii="Arial" w:hAnsi="Arial" w:cs="Arial"/>
          <w:noProof/>
        </w:rPr>
        <w:t>(1), 126–139. https://doi.org/10.30651/jms.v10i1.25367</w:t>
      </w:r>
    </w:p>
    <w:p w14:paraId="4F11DD58"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Putri, C. O. B., &amp; Syaichu, M. (2023). Pengaruh Return On Asset , Risiko Sistematik , Volume Perdagangan Saham , Bid-Ask Spread , Dan Volatilitas Saham Terhadap Return Saham ( Studi Kasus Pada Perusahaan Jakarta Islamic Index Tahun 2015-2020 ). </w:t>
      </w:r>
      <w:r w:rsidRPr="00951064">
        <w:rPr>
          <w:rFonts w:ascii="Arial" w:hAnsi="Arial" w:cs="Arial"/>
          <w:i/>
          <w:iCs/>
          <w:noProof/>
        </w:rPr>
        <w:t>Diponegoro Journal Of Management</w:t>
      </w:r>
      <w:r w:rsidRPr="00951064">
        <w:rPr>
          <w:rFonts w:ascii="Arial" w:hAnsi="Arial" w:cs="Arial"/>
          <w:noProof/>
        </w:rPr>
        <w:t xml:space="preserve">, </w:t>
      </w:r>
      <w:r w:rsidRPr="00951064">
        <w:rPr>
          <w:rFonts w:ascii="Arial" w:hAnsi="Arial" w:cs="Arial"/>
          <w:i/>
          <w:iCs/>
          <w:noProof/>
        </w:rPr>
        <w:t>12</w:t>
      </w:r>
      <w:r w:rsidRPr="00951064">
        <w:rPr>
          <w:rFonts w:ascii="Arial" w:hAnsi="Arial" w:cs="Arial"/>
          <w:noProof/>
        </w:rPr>
        <w:t>(1), 1–15.</w:t>
      </w:r>
    </w:p>
    <w:p w14:paraId="7B656011"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Rompas, R. R. (2022). </w:t>
      </w:r>
      <w:r w:rsidRPr="00951064">
        <w:rPr>
          <w:rFonts w:ascii="Arial" w:hAnsi="Arial" w:cs="Arial"/>
          <w:i/>
          <w:iCs/>
          <w:noProof/>
        </w:rPr>
        <w:t>Pengaruh Return On Asset dan Return On Equity terhadap Harga Saham</w:t>
      </w:r>
      <w:r w:rsidRPr="00951064">
        <w:rPr>
          <w:rFonts w:ascii="Arial" w:hAnsi="Arial" w:cs="Arial"/>
          <w:noProof/>
        </w:rPr>
        <w:t>.</w:t>
      </w:r>
    </w:p>
    <w:p w14:paraId="7B2369FA"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Ross, S. A. (1977). The Determination of Financial Structure: The Incentive-Signalling AppROAch. </w:t>
      </w:r>
      <w:r w:rsidRPr="00951064">
        <w:rPr>
          <w:rFonts w:ascii="Arial" w:hAnsi="Arial" w:cs="Arial"/>
          <w:i/>
          <w:iCs/>
          <w:noProof/>
        </w:rPr>
        <w:t>The Bell Journal of Economics</w:t>
      </w:r>
      <w:r w:rsidRPr="00951064">
        <w:rPr>
          <w:rFonts w:ascii="Arial" w:hAnsi="Arial" w:cs="Arial"/>
          <w:noProof/>
        </w:rPr>
        <w:t xml:space="preserve">, </w:t>
      </w:r>
      <w:r w:rsidRPr="00951064">
        <w:rPr>
          <w:rFonts w:ascii="Arial" w:hAnsi="Arial" w:cs="Arial"/>
          <w:i/>
          <w:iCs/>
          <w:noProof/>
        </w:rPr>
        <w:t>8</w:t>
      </w:r>
      <w:r w:rsidRPr="00951064">
        <w:rPr>
          <w:rFonts w:ascii="Arial" w:hAnsi="Arial" w:cs="Arial"/>
          <w:noProof/>
        </w:rPr>
        <w:t>(1), 23. https://doi.org/10.2307/3003485</w:t>
      </w:r>
    </w:p>
    <w:p w14:paraId="18A59B20"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Roup, A., &amp; Purwanto, E. (2022). Dampak Implementasi Enterprise Resource Planning Terhadap Kualitas Informasi Keuangan, Manajemen Laba, Dan Return Of Equity. </w:t>
      </w:r>
      <w:r w:rsidRPr="00951064">
        <w:rPr>
          <w:rFonts w:ascii="Arial" w:hAnsi="Arial" w:cs="Arial"/>
          <w:i/>
          <w:iCs/>
          <w:noProof/>
        </w:rPr>
        <w:t>Jurnal Ilmiah Akuntansi Kesatuan</w:t>
      </w:r>
      <w:r w:rsidRPr="00951064">
        <w:rPr>
          <w:rFonts w:ascii="Arial" w:hAnsi="Arial" w:cs="Arial"/>
          <w:noProof/>
        </w:rPr>
        <w:t xml:space="preserve">, </w:t>
      </w:r>
      <w:r w:rsidRPr="00951064">
        <w:rPr>
          <w:rFonts w:ascii="Arial" w:hAnsi="Arial" w:cs="Arial"/>
          <w:i/>
          <w:iCs/>
          <w:noProof/>
        </w:rPr>
        <w:t>10</w:t>
      </w:r>
      <w:r w:rsidRPr="00951064">
        <w:rPr>
          <w:rFonts w:ascii="Arial" w:hAnsi="Arial" w:cs="Arial"/>
          <w:noProof/>
        </w:rPr>
        <w:t>(3), 533–540. https://doi.org/10.37641/jiakes.v10i3.1464</w:t>
      </w:r>
    </w:p>
    <w:p w14:paraId="243CE57B"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Shaker, A. S., Al-Shiblawi, G. A. K., Union, A. H., &amp; Hameed, K. S. (2023). THE ROLE OF INFORMATION TECHNOLOGY GOVERNANCE ON ENHANCING CYBERSECURITY AND ITS REFLECTION ON INVESTOR CONFIDENCE Article history : Keywords : Cyber Security ; IT Governance ; Executive Education ; Shaker , A . S ., Al-Shiblawi , G . A . K ., Union , A . </w:t>
      </w:r>
      <w:r w:rsidRPr="00951064">
        <w:rPr>
          <w:rFonts w:ascii="Arial" w:hAnsi="Arial" w:cs="Arial"/>
          <w:i/>
          <w:iCs/>
          <w:noProof/>
        </w:rPr>
        <w:t>International Journal of Professional Busniess Review</w:t>
      </w:r>
      <w:r w:rsidRPr="00951064">
        <w:rPr>
          <w:rFonts w:ascii="Arial" w:hAnsi="Arial" w:cs="Arial"/>
          <w:noProof/>
        </w:rPr>
        <w:t>, 1–23.</w:t>
      </w:r>
    </w:p>
    <w:p w14:paraId="4F3C64C4"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Siti Maysaroh, &amp; Handayani, A. (2025). Leverage, Dividend Policy, and Profitability Effects on IDX30 Stock Price Volatility During 2019–2023. </w:t>
      </w:r>
      <w:r w:rsidRPr="00951064">
        <w:rPr>
          <w:rFonts w:ascii="Arial" w:hAnsi="Arial" w:cs="Arial"/>
          <w:i/>
          <w:iCs/>
          <w:noProof/>
        </w:rPr>
        <w:t>Jurnal Ilmiah Manajemen Kesatuan</w:t>
      </w:r>
      <w:r w:rsidRPr="00951064">
        <w:rPr>
          <w:rFonts w:ascii="Arial" w:hAnsi="Arial" w:cs="Arial"/>
          <w:noProof/>
        </w:rPr>
        <w:t xml:space="preserve">, </w:t>
      </w:r>
      <w:r w:rsidRPr="00951064">
        <w:rPr>
          <w:rFonts w:ascii="Arial" w:hAnsi="Arial" w:cs="Arial"/>
          <w:i/>
          <w:iCs/>
          <w:noProof/>
        </w:rPr>
        <w:t>13</w:t>
      </w:r>
      <w:r w:rsidRPr="00951064">
        <w:rPr>
          <w:rFonts w:ascii="Arial" w:hAnsi="Arial" w:cs="Arial"/>
          <w:noProof/>
        </w:rPr>
        <w:t>(2), 1051–1060. https://doi.org/10.37641/jimkes.v13i2.3159</w:t>
      </w:r>
    </w:p>
    <w:p w14:paraId="5AF29F2C"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Smith, J. (1992). Taxation Reform and The Dividend Policyof Australian Banks. In </w:t>
      </w:r>
      <w:r w:rsidRPr="00951064">
        <w:rPr>
          <w:rFonts w:ascii="Arial" w:hAnsi="Arial" w:cs="Arial"/>
          <w:i/>
          <w:iCs/>
          <w:noProof/>
        </w:rPr>
        <w:t>Victoria Unnivesity of Technology</w:t>
      </w:r>
      <w:r w:rsidRPr="00951064">
        <w:rPr>
          <w:rFonts w:ascii="Arial" w:hAnsi="Arial" w:cs="Arial"/>
          <w:noProof/>
        </w:rPr>
        <w:t>. https://vuir.vu.edu.au/40742/1/SMITH Julie-thesis.pdf</w:t>
      </w:r>
    </w:p>
    <w:p w14:paraId="28D1515F"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Spence, M. (1973). Job Market Signaling. </w:t>
      </w:r>
      <w:r w:rsidRPr="00951064">
        <w:rPr>
          <w:rFonts w:ascii="Arial" w:hAnsi="Arial" w:cs="Arial"/>
          <w:i/>
          <w:iCs/>
          <w:noProof/>
        </w:rPr>
        <w:t>The Quarterly Journal of Economics</w:t>
      </w:r>
      <w:r w:rsidRPr="00951064">
        <w:rPr>
          <w:rFonts w:ascii="Arial" w:hAnsi="Arial" w:cs="Arial"/>
          <w:noProof/>
        </w:rPr>
        <w:t xml:space="preserve">, </w:t>
      </w:r>
      <w:r w:rsidRPr="00951064">
        <w:rPr>
          <w:rFonts w:ascii="Arial" w:hAnsi="Arial" w:cs="Arial"/>
          <w:i/>
          <w:iCs/>
          <w:noProof/>
        </w:rPr>
        <w:t>87</w:t>
      </w:r>
      <w:r w:rsidRPr="00951064">
        <w:rPr>
          <w:rFonts w:ascii="Arial" w:hAnsi="Arial" w:cs="Arial"/>
          <w:noProof/>
        </w:rPr>
        <w:t>(3), 355. https://doi.org/10.2307/1882010</w:t>
      </w:r>
    </w:p>
    <w:p w14:paraId="012B830E"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Subadriyah, Lu’luatuwwafiroh, &amp; Aliyah, S. (2022). Analisis Pengaruh Leverage, Profitabilitas Dan Dividen Terhadap Volatilitas Harga Saham. </w:t>
      </w:r>
      <w:r w:rsidRPr="00951064">
        <w:rPr>
          <w:rFonts w:ascii="Arial" w:hAnsi="Arial" w:cs="Arial"/>
          <w:i/>
          <w:iCs/>
          <w:noProof/>
        </w:rPr>
        <w:t>Indonesian Accounting Literacy Journal</w:t>
      </w:r>
      <w:r w:rsidRPr="00951064">
        <w:rPr>
          <w:rFonts w:ascii="Arial" w:hAnsi="Arial" w:cs="Arial"/>
          <w:noProof/>
        </w:rPr>
        <w:t xml:space="preserve">, </w:t>
      </w:r>
      <w:r w:rsidRPr="00951064">
        <w:rPr>
          <w:rFonts w:ascii="Arial" w:hAnsi="Arial" w:cs="Arial"/>
          <w:i/>
          <w:iCs/>
          <w:noProof/>
        </w:rPr>
        <w:t>3</w:t>
      </w:r>
      <w:r w:rsidRPr="00951064">
        <w:rPr>
          <w:rFonts w:ascii="Arial" w:hAnsi="Arial" w:cs="Arial"/>
          <w:noProof/>
        </w:rPr>
        <w:t>(01), 798–809. https://doi.org/10.35313/ialj.v2i04.4633</w:t>
      </w:r>
    </w:p>
    <w:p w14:paraId="7D4F65E2"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Sugiyono. (2018). </w:t>
      </w:r>
      <w:r w:rsidRPr="00951064">
        <w:rPr>
          <w:rFonts w:ascii="Arial" w:hAnsi="Arial" w:cs="Arial"/>
          <w:i/>
          <w:iCs/>
          <w:noProof/>
        </w:rPr>
        <w:t>Motode Penelitian Kuantitatif, Kualitatif &amp; R&amp;D</w:t>
      </w:r>
      <w:r w:rsidRPr="00951064">
        <w:rPr>
          <w:rFonts w:ascii="Arial" w:hAnsi="Arial" w:cs="Arial"/>
          <w:noProof/>
        </w:rPr>
        <w:t>. Bandung: Alfabeta.</w:t>
      </w:r>
    </w:p>
    <w:p w14:paraId="6A0478F9"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Sukmawati, F., &amp; Garsela, I. (2016). The Effect of </w:t>
      </w:r>
      <w:r w:rsidRPr="00951064">
        <w:rPr>
          <w:rFonts w:ascii="Arial" w:hAnsi="Arial" w:cs="Arial"/>
          <w:i/>
          <w:noProof/>
        </w:rPr>
        <w:t>Return on Assets</w:t>
      </w:r>
      <w:r w:rsidRPr="00951064">
        <w:rPr>
          <w:rFonts w:ascii="Arial" w:hAnsi="Arial" w:cs="Arial"/>
          <w:noProof/>
        </w:rPr>
        <w:t xml:space="preserve"> and Return on Equity to the Stock Price. </w:t>
      </w:r>
      <w:r w:rsidRPr="00951064">
        <w:rPr>
          <w:rFonts w:ascii="Arial" w:hAnsi="Arial" w:cs="Arial"/>
          <w:i/>
          <w:iCs/>
          <w:noProof/>
        </w:rPr>
        <w:t>Advances in Economics, Business and Management Research</w:t>
      </w:r>
      <w:r w:rsidRPr="00951064">
        <w:rPr>
          <w:rFonts w:ascii="Arial" w:hAnsi="Arial" w:cs="Arial"/>
          <w:noProof/>
        </w:rPr>
        <w:t xml:space="preserve">, </w:t>
      </w:r>
      <w:r w:rsidRPr="00951064">
        <w:rPr>
          <w:rFonts w:ascii="Arial" w:hAnsi="Arial" w:cs="Arial"/>
          <w:i/>
          <w:iCs/>
          <w:noProof/>
        </w:rPr>
        <w:t>15</w:t>
      </w:r>
      <w:r w:rsidRPr="00951064">
        <w:rPr>
          <w:rFonts w:ascii="Arial" w:hAnsi="Arial" w:cs="Arial"/>
          <w:noProof/>
        </w:rPr>
        <w:t xml:space="preserve">, 53–57. </w:t>
      </w:r>
      <w:r w:rsidRPr="00951064">
        <w:rPr>
          <w:rFonts w:ascii="Arial" w:hAnsi="Arial" w:cs="Arial"/>
          <w:noProof/>
        </w:rPr>
        <w:lastRenderedPageBreak/>
        <w:t>https://doi.org/10.2991/gcbme-16.2016.8</w:t>
      </w:r>
    </w:p>
    <w:p w14:paraId="48A1E729" w14:textId="77777777" w:rsidR="003D52D6"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Trihadiyanti, R. A., Nurhayati, I., &amp; Aminda, R. S. (2023). Pengaruh DPR, ROA Dan Inflasi Terhadap Volatilitas Harga Saham. </w:t>
      </w:r>
      <w:r w:rsidRPr="00951064">
        <w:rPr>
          <w:rFonts w:ascii="Arial" w:hAnsi="Arial" w:cs="Arial"/>
          <w:i/>
          <w:iCs/>
          <w:noProof/>
        </w:rPr>
        <w:t>Jurnal Akuntansi Keuangan Dan Bisnis</w:t>
      </w:r>
      <w:r w:rsidRPr="00951064">
        <w:rPr>
          <w:rFonts w:ascii="Arial" w:hAnsi="Arial" w:cs="Arial"/>
          <w:noProof/>
        </w:rPr>
        <w:t xml:space="preserve">, </w:t>
      </w:r>
      <w:r w:rsidRPr="00951064">
        <w:rPr>
          <w:rFonts w:ascii="Arial" w:hAnsi="Arial" w:cs="Arial"/>
          <w:i/>
          <w:iCs/>
          <w:noProof/>
        </w:rPr>
        <w:t>1</w:t>
      </w:r>
      <w:r w:rsidRPr="00951064">
        <w:rPr>
          <w:rFonts w:ascii="Arial" w:hAnsi="Arial" w:cs="Arial"/>
          <w:noProof/>
        </w:rPr>
        <w:t>(2), 44–49.</w:t>
      </w:r>
    </w:p>
    <w:p w14:paraId="062DEFA8" w14:textId="77777777" w:rsidR="004D4277" w:rsidRPr="003D52D6" w:rsidRDefault="003D52D6" w:rsidP="00441B6F">
      <w:pPr>
        <w:pStyle w:val="ListParagraph"/>
        <w:numPr>
          <w:ilvl w:val="0"/>
          <w:numId w:val="31"/>
        </w:numPr>
        <w:adjustRightInd w:val="0"/>
        <w:jc w:val="both"/>
        <w:rPr>
          <w:rFonts w:ascii="Arial" w:hAnsi="Arial" w:cs="Arial"/>
          <w:noProof/>
        </w:rPr>
        <w:sectPr w:rsidR="004D4277" w:rsidRPr="003D52D6" w:rsidSect="003D52D6">
          <w:type w:val="continuous"/>
          <w:pgSz w:w="12240" w:h="15840"/>
          <w:pgMar w:top="1440" w:right="2016" w:bottom="2016" w:left="2016" w:header="720" w:footer="1123" w:gutter="0"/>
          <w:cols w:num="2" w:space="720"/>
          <w:docGrid w:linePitch="272"/>
        </w:sectPr>
      </w:pPr>
      <w:r w:rsidRPr="003D52D6">
        <w:rPr>
          <w:rFonts w:ascii="Arial" w:hAnsi="Arial" w:cs="Arial"/>
          <w:noProof/>
        </w:rPr>
        <w:t xml:space="preserve">Yoro, M. (2024). Impact of Financial Reporting Transparency on Investor Decision-Making. </w:t>
      </w:r>
      <w:r w:rsidRPr="003D52D6">
        <w:rPr>
          <w:rFonts w:ascii="Arial" w:hAnsi="Arial" w:cs="Arial"/>
          <w:i/>
          <w:iCs/>
          <w:noProof/>
        </w:rPr>
        <w:t>American Journal of Accounting</w:t>
      </w:r>
      <w:r w:rsidRPr="003D52D6">
        <w:rPr>
          <w:rFonts w:ascii="Arial" w:hAnsi="Arial" w:cs="Arial"/>
          <w:noProof/>
        </w:rPr>
        <w:t xml:space="preserve">, </w:t>
      </w:r>
      <w:r w:rsidRPr="003D52D6">
        <w:rPr>
          <w:rFonts w:ascii="Arial" w:hAnsi="Arial" w:cs="Arial"/>
          <w:i/>
          <w:iCs/>
          <w:noProof/>
        </w:rPr>
        <w:t>6</w:t>
      </w:r>
      <w:r w:rsidRPr="003D52D6">
        <w:rPr>
          <w:rFonts w:ascii="Arial" w:hAnsi="Arial" w:cs="Arial"/>
          <w:noProof/>
        </w:rPr>
        <w:t>(1), 25–36. https://doi.org/10.47672/ajacc.1785</w:t>
      </w:r>
      <w:r>
        <w:rPr>
          <w:rFonts w:ascii="Arial" w:hAnsi="Arial" w:cs="Arial"/>
          <w:noProof/>
        </w:rPr>
        <w:t>.</w:t>
      </w:r>
    </w:p>
    <w:p w14:paraId="2B4FB8C1" w14:textId="77777777" w:rsidR="00B01FCD" w:rsidRPr="00FB3A86" w:rsidRDefault="00B01FCD" w:rsidP="00441B6F">
      <w:pPr>
        <w:pStyle w:val="Appendix"/>
        <w:spacing w:after="0"/>
        <w:jc w:val="both"/>
        <w:rPr>
          <w:rFonts w:ascii="Arial" w:hAnsi="Arial" w:cs="Arial"/>
          <w:b w:val="0"/>
        </w:rPr>
      </w:pPr>
    </w:p>
    <w:sectPr w:rsidR="00B01FCD" w:rsidRPr="00FB3A86" w:rsidSect="003D52D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88F65" w14:textId="77777777" w:rsidR="007C73D5" w:rsidRDefault="007C73D5" w:rsidP="00C37E61">
      <w:r>
        <w:separator/>
      </w:r>
    </w:p>
  </w:endnote>
  <w:endnote w:type="continuationSeparator" w:id="0">
    <w:p w14:paraId="6206ACEE" w14:textId="77777777" w:rsidR="007C73D5" w:rsidRDefault="007C73D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1FD4" w14:textId="77777777" w:rsidR="00DC5070" w:rsidRDefault="00DC50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AA177" w14:textId="77777777" w:rsidR="00DC5070" w:rsidRDefault="00DC5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430A4" w14:textId="066AC5FB" w:rsidR="00754C9A" w:rsidRPr="00DC5070" w:rsidRDefault="00754C9A" w:rsidP="00DC507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023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79E11" w14:textId="77777777" w:rsidR="007C73D5" w:rsidRDefault="007C73D5" w:rsidP="00C37E61">
      <w:r>
        <w:separator/>
      </w:r>
    </w:p>
  </w:footnote>
  <w:footnote w:type="continuationSeparator" w:id="0">
    <w:p w14:paraId="2CB429F9" w14:textId="77777777" w:rsidR="007C73D5" w:rsidRDefault="007C73D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1E003" w14:textId="533E0524" w:rsidR="00DC5070" w:rsidRDefault="00DC5070">
    <w:pPr>
      <w:pStyle w:val="Header"/>
    </w:pPr>
    <w:r>
      <w:rPr>
        <w:noProof/>
      </w:rPr>
      <w:pict w14:anchorId="05135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01748" w14:textId="159BEA20" w:rsidR="00DC5070" w:rsidRDefault="00DC5070">
    <w:pPr>
      <w:pStyle w:val="Header"/>
    </w:pPr>
    <w:r>
      <w:rPr>
        <w:noProof/>
      </w:rPr>
      <w:pict w14:anchorId="0D8DD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EDD6E" w14:textId="734F5E6D" w:rsidR="00296529" w:rsidRPr="00296529" w:rsidRDefault="00DC5070" w:rsidP="00296529">
    <w:pPr>
      <w:ind w:left="2160"/>
      <w:jc w:val="center"/>
      <w:rPr>
        <w:rFonts w:ascii="Times New Roman" w:eastAsia="Calibri" w:hAnsi="Times New Roman"/>
        <w:i/>
        <w:sz w:val="18"/>
        <w:szCs w:val="22"/>
      </w:rPr>
    </w:pPr>
    <w:r>
      <w:rPr>
        <w:noProof/>
      </w:rPr>
      <w:pict w14:anchorId="34D1E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518CA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8E4F7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8A7B4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8AC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EFD7C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35456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1B086" w14:textId="45F4DE9B" w:rsidR="00DC5070" w:rsidRDefault="00DC5070">
    <w:pPr>
      <w:pStyle w:val="Header"/>
    </w:pPr>
    <w:r>
      <w:rPr>
        <w:noProof/>
      </w:rPr>
      <w:pict w14:anchorId="5A533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90807" w14:textId="44EA6185" w:rsidR="00DC5070" w:rsidRDefault="00DC5070">
    <w:pPr>
      <w:pStyle w:val="Header"/>
    </w:pPr>
    <w:r>
      <w:rPr>
        <w:noProof/>
      </w:rPr>
      <w:pict w14:anchorId="014B6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6FDF5" w14:textId="5F7468A1" w:rsidR="00DC5070" w:rsidRDefault="00DC5070">
    <w:pPr>
      <w:pStyle w:val="Header"/>
    </w:pPr>
    <w:r>
      <w:rPr>
        <w:noProof/>
      </w:rPr>
      <w:pict w14:anchorId="12AF0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84618AE"/>
    <w:multiLevelType w:val="hybridMultilevel"/>
    <w:tmpl w:val="0336A1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E741A35"/>
    <w:multiLevelType w:val="hybridMultilevel"/>
    <w:tmpl w:val="3DEAC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2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376"/>
    <w:rsid w:val="00030174"/>
    <w:rsid w:val="0003283E"/>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52D6"/>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3612E"/>
    <w:rsid w:val="00554FDA"/>
    <w:rsid w:val="005900A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3837"/>
    <w:rsid w:val="006B21D3"/>
    <w:rsid w:val="006B57D0"/>
    <w:rsid w:val="006D30FF"/>
    <w:rsid w:val="006D6940"/>
    <w:rsid w:val="006F11EC"/>
    <w:rsid w:val="0070082C"/>
    <w:rsid w:val="007369E6"/>
    <w:rsid w:val="00746E59"/>
    <w:rsid w:val="00754C9A"/>
    <w:rsid w:val="0075599A"/>
    <w:rsid w:val="00761D52"/>
    <w:rsid w:val="0077749E"/>
    <w:rsid w:val="00790ADA"/>
    <w:rsid w:val="007C73D5"/>
    <w:rsid w:val="007D2288"/>
    <w:rsid w:val="007E088F"/>
    <w:rsid w:val="007F6571"/>
    <w:rsid w:val="007F7B32"/>
    <w:rsid w:val="00804BC2"/>
    <w:rsid w:val="0081431A"/>
    <w:rsid w:val="0083216F"/>
    <w:rsid w:val="00834B50"/>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14A2"/>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304E"/>
    <w:rsid w:val="00C7464C"/>
    <w:rsid w:val="00C85588"/>
    <w:rsid w:val="00CD6755"/>
    <w:rsid w:val="00CD6856"/>
    <w:rsid w:val="00CE0089"/>
    <w:rsid w:val="00CE793C"/>
    <w:rsid w:val="00CF193C"/>
    <w:rsid w:val="00D173F1"/>
    <w:rsid w:val="00D74CB0"/>
    <w:rsid w:val="00D8295D"/>
    <w:rsid w:val="00DC2A65"/>
    <w:rsid w:val="00DC5070"/>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27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111438B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03376"/>
    <w:pPr>
      <w:spacing w:before="100" w:beforeAutospacing="1" w:after="100" w:afterAutospacing="1"/>
    </w:pPr>
    <w:rPr>
      <w:rFonts w:ascii="Times New Roman" w:hAnsi="Times New Roman"/>
      <w:sz w:val="24"/>
      <w:szCs w:val="24"/>
      <w:lang w:val="en-ID" w:eastAsia="en-ID"/>
    </w:rPr>
  </w:style>
  <w:style w:type="paragraph" w:styleId="Caption">
    <w:name w:val="caption"/>
    <w:basedOn w:val="Normal"/>
    <w:next w:val="Normal"/>
    <w:unhideWhenUsed/>
    <w:qFormat/>
    <w:rsid w:val="006A3837"/>
    <w:pPr>
      <w:spacing w:after="200"/>
    </w:pPr>
    <w:rPr>
      <w:i/>
      <w:iCs/>
      <w:color w:val="1F497D" w:themeColor="text2"/>
      <w:sz w:val="18"/>
      <w:szCs w:val="18"/>
    </w:rPr>
  </w:style>
  <w:style w:type="paragraph" w:styleId="ListParagraph">
    <w:name w:val="List Paragraph"/>
    <w:basedOn w:val="Normal"/>
    <w:uiPriority w:val="34"/>
    <w:qFormat/>
    <w:rsid w:val="003D52D6"/>
    <w:pPr>
      <w:ind w:left="720"/>
      <w:contextualSpacing/>
    </w:pPr>
  </w:style>
  <w:style w:type="character" w:styleId="UnresolvedMention">
    <w:name w:val="Unresolved Mention"/>
    <w:basedOn w:val="DefaultParagraphFont"/>
    <w:uiPriority w:val="99"/>
    <w:semiHidden/>
    <w:unhideWhenUsed/>
    <w:rsid w:val="00032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56907-879F-414B-A330-CF5525F68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11</Pages>
  <Words>13362</Words>
  <Characters>76169</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89353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2025-09-23T10:12:00Z</dcterms:modified>
</cp:coreProperties>
</file>