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6A45D" w14:textId="2D6303A4" w:rsidR="006A2277" w:rsidRDefault="006A2277" w:rsidP="003731CE">
      <w:pPr>
        <w:pStyle w:val="Heading1"/>
        <w:spacing w:after="0"/>
        <w:jc w:val="right"/>
      </w:pPr>
      <w:r>
        <w:t>TOURISM IN TAMIL NADU: TRENDS, CHALLENGES AND STRATEGIC DIRECTIONS</w:t>
      </w:r>
    </w:p>
    <w:p w14:paraId="544615DA" w14:textId="77777777" w:rsidR="00D539AC" w:rsidRPr="00D539AC" w:rsidRDefault="00D539AC" w:rsidP="00D539AC"/>
    <w:p w14:paraId="18FDFDEC" w14:textId="77777777" w:rsidR="00291552" w:rsidRPr="00291552" w:rsidRDefault="00291552" w:rsidP="00291552"/>
    <w:p w14:paraId="6303024D" w14:textId="77777777" w:rsidR="006A2277" w:rsidRDefault="003731CE" w:rsidP="006A2277">
      <w:pPr>
        <w:pStyle w:val="Heading2"/>
      </w:pPr>
      <w:r>
        <w:t>Abstract</w:t>
      </w:r>
    </w:p>
    <w:p w14:paraId="057C2D53" w14:textId="77777777" w:rsidR="006A2277" w:rsidRPr="003731CE" w:rsidRDefault="006A2277" w:rsidP="006A2277">
      <w:pPr>
        <w:pStyle w:val="NormalWeb"/>
        <w:ind w:firstLine="720"/>
        <w:jc w:val="both"/>
        <w:rPr>
          <w:i/>
          <w:sz w:val="22"/>
        </w:rPr>
      </w:pPr>
      <w:r w:rsidRPr="003731CE">
        <w:rPr>
          <w:i/>
          <w:sz w:val="22"/>
        </w:rPr>
        <w:t>Tamil Nadu ranks among the foremost tourism destinations in India, celebrated for its architectural marvels, classical traditions, sacred sites, and natural landscapes. The state consistently secures a leading position in both domestic and international tourist inflows, supported by its array of cultural monuments, ancient temples, beaches, hill stations, and wellness centers. Over the last decade, Tamil Nadu has achieved considerable progress in terms of tourist arrivals and earnings, driven by policy support, expanding infrastructure, and the growing demand for medical and wellness-based travel. Nevertheless, the sector continues to grapple with gaps in connectivity, sanitation, environmental stress, and overcrowding at popular sites. This paper evaluates the trajectory of tourism in Tamil Nadu, identifies the key enablers of its growth, examines the constraints that hinder a seamless visitor experience, and suggests measures that could reinforce sustainability, competitiveness, and inclusiveness in the years ahead.</w:t>
      </w:r>
    </w:p>
    <w:p w14:paraId="07E38B78" w14:textId="77777777" w:rsidR="006A2277" w:rsidRDefault="00291552" w:rsidP="006A2277">
      <w:pPr>
        <w:pStyle w:val="NormalWeb"/>
        <w:rPr>
          <w:i/>
          <w:sz w:val="22"/>
        </w:rPr>
      </w:pPr>
      <w:r>
        <w:rPr>
          <w:b/>
          <w:bCs/>
          <w:noProof/>
        </w:rPr>
        <mc:AlternateContent>
          <mc:Choice Requires="wps">
            <w:drawing>
              <wp:anchor distT="0" distB="0" distL="114300" distR="114300" simplePos="0" relativeHeight="251659264" behindDoc="0" locked="0" layoutInCell="1" allowOverlap="1" wp14:anchorId="3E89A257" wp14:editId="4125AF82">
                <wp:simplePos x="0" y="0"/>
                <wp:positionH relativeFrom="column">
                  <wp:posOffset>19049</wp:posOffset>
                </wp:positionH>
                <wp:positionV relativeFrom="paragraph">
                  <wp:posOffset>424180</wp:posOffset>
                </wp:positionV>
                <wp:extent cx="181927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8192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4C48D53"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33.4pt" to="144.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" strokecolor="black [3200]" strokeweight=".5pt">
                <v:stroke joinstyle="miter"/>
              </v:line>
            </w:pict>
          </mc:Fallback>
        </mc:AlternateContent>
      </w:r>
      <w:r w:rsidR="006A2277">
        <w:rPr>
          <w:rStyle w:val="Strong"/>
        </w:rPr>
        <w:t>Keywords:</w:t>
      </w:r>
      <w:r w:rsidR="006A2277">
        <w:t xml:space="preserve"> </w:t>
      </w:r>
      <w:r w:rsidR="006A2277" w:rsidRPr="003731CE">
        <w:rPr>
          <w:i/>
          <w:sz w:val="22"/>
        </w:rPr>
        <w:t>Tamil Nadu tourism, heritage destinations, foreign and domestic arrivals, medical tourism, eco-tourism, tourism policy, infrastructure challenges, sustainable tourism.</w:t>
      </w:r>
    </w:p>
    <w:p w14:paraId="35386834" w14:textId="77777777" w:rsidR="00291552" w:rsidRPr="007F79CA" w:rsidRDefault="00291552" w:rsidP="00291552">
      <w:pPr>
        <w:pStyle w:val="BodyText"/>
        <w:ind w:left="0"/>
        <w:jc w:val="both"/>
        <w:rPr>
          <w:i/>
          <w:sz w:val="16"/>
          <w:szCs w:val="24"/>
        </w:rPr>
      </w:pPr>
    </w:p>
    <w:p w14:paraId="50025188" w14:textId="77777777" w:rsidR="006A2277" w:rsidRDefault="00C34B68" w:rsidP="006A2277">
      <w:pPr>
        <w:pStyle w:val="Heading2"/>
      </w:pPr>
      <w:r>
        <w:t>1.</w:t>
      </w:r>
      <w:r w:rsidR="006A2277">
        <w:t>INTRODUCTION</w:t>
      </w:r>
    </w:p>
    <w:p w14:paraId="03FEA28E" w14:textId="77777777" w:rsidR="0091376C" w:rsidRPr="0091376C" w:rsidRDefault="0091376C" w:rsidP="0091376C">
      <w:pPr>
        <w:spacing w:before="100" w:beforeAutospacing="1" w:after="100" w:afterAutospacing="1" w:line="240" w:lineRule="auto"/>
        <w:ind w:left="0" w:right="0" w:firstLine="720"/>
        <w:rPr>
          <w:color w:val="auto"/>
          <w:szCs w:val="24"/>
        </w:rPr>
      </w:pPr>
      <w:r w:rsidRPr="0091376C">
        <w:rPr>
          <w:color w:val="auto"/>
          <w:szCs w:val="24"/>
        </w:rPr>
        <w:t>Situated at the southernmost tip of the Indian subcontinent, Tamil Nadu holds a unique geographical and cultural identity that distinguishes it as one of India’s most vibrant states. The region is bounded by the Bay of Bengal on the east, the Indian Ocean to the south, and the majestic Western and Eastern Ghats framing its western and northern boundaries. This diverse landscape not only enhances its natural beauty but also contributes to a wide range of ecological and cultural experiences. Tamil Nadu is the cradle of Tamil, one of the world’s oldest living languages, and has served as a cultural crucible for art, architecture, literature, and music for thousands of years. Ancient temples, classical dance traditions like Bharatanatyam, and Carnatic music stand as testimony to its enduring heritage.</w:t>
      </w:r>
      <w:r>
        <w:rPr>
          <w:color w:val="auto"/>
          <w:szCs w:val="24"/>
        </w:rPr>
        <w:t xml:space="preserve"> </w:t>
      </w:r>
      <w:r w:rsidRPr="0091376C">
        <w:rPr>
          <w:color w:val="auto"/>
          <w:szCs w:val="24"/>
        </w:rPr>
        <w:t>The state’s capital, Chennai, functions as both a commercial hub and a cultural gateway, seamlessly blending tradition with modernity. Beyond its cultural wealth, Tamil Nadu has strategically positioned itself as a premier tourism destination. Tourism is not merely a leisure activity here but a vital pillar of the state economy, generating substantial income through hospitality, transportation, handicrafts, and allied industries. The sector also provides significant employment opportunities, directly and indirectly supporting local communities.</w:t>
      </w:r>
      <w:r>
        <w:rPr>
          <w:color w:val="auto"/>
          <w:szCs w:val="24"/>
        </w:rPr>
        <w:t xml:space="preserve"> </w:t>
      </w:r>
      <w:r w:rsidRPr="0091376C">
        <w:rPr>
          <w:color w:val="auto"/>
          <w:szCs w:val="24"/>
        </w:rPr>
        <w:t xml:space="preserve">Tamil Nadu offers a multi-dimensional tourist experience. Spiritual seekers are drawn to its sacred temples and religious festivals, while cultural enthusiasts explore its art forms and historical monuments. Additionally, the state has expanded into medical tourism, eco-tourism, and adventure tourism, catering to the evolving demands of both domestic and foreign visitors. </w:t>
      </w:r>
      <w:r w:rsidRPr="0091376C">
        <w:rPr>
          <w:color w:val="auto"/>
          <w:szCs w:val="24"/>
        </w:rPr>
        <w:lastRenderedPageBreak/>
        <w:t>This holistic appeal allows Tamil Nadu to attract millions of tourists each year, reinforcing its status as one of India’s most preferred and resilient tourist destinations on the global stage.</w:t>
      </w:r>
    </w:p>
    <w:p w14:paraId="5AAED463" w14:textId="77777777" w:rsidR="006A2277" w:rsidRPr="0091376C" w:rsidRDefault="00C34B68" w:rsidP="0091376C">
      <w:pPr>
        <w:pStyle w:val="NormalWeb"/>
        <w:jc w:val="both"/>
        <w:rPr>
          <w:b/>
        </w:rPr>
      </w:pPr>
      <w:r>
        <w:rPr>
          <w:b/>
        </w:rPr>
        <w:t>1.1</w:t>
      </w:r>
      <w:r w:rsidR="006A2277" w:rsidRPr="0091376C">
        <w:rPr>
          <w:b/>
        </w:rPr>
        <w:t>TOURISM IN TAMIL NADU</w:t>
      </w:r>
    </w:p>
    <w:p w14:paraId="0016B9A7" w14:textId="77777777" w:rsidR="006A2277" w:rsidRDefault="006A2277" w:rsidP="008D1079">
      <w:pPr>
        <w:pStyle w:val="NormalWeb"/>
        <w:ind w:firstLine="720"/>
        <w:jc w:val="both"/>
      </w:pPr>
      <w:r>
        <w:t xml:space="preserve">Tamil Nadu enjoys a prominent place on India’s tourism map, receiving one of the highest shares of both domestic and foreign arrivals. The state is renowned for architectural landmarks such as the Meenakshi Amman Temple in Madurai, </w:t>
      </w:r>
      <w:proofErr w:type="spellStart"/>
      <w:r>
        <w:t>Brihadeeswarar</w:t>
      </w:r>
      <w:proofErr w:type="spellEnd"/>
      <w:r>
        <w:t xml:space="preserve"> Temple in </w:t>
      </w:r>
      <w:proofErr w:type="spellStart"/>
      <w:r>
        <w:t>Thanjavur</w:t>
      </w:r>
      <w:proofErr w:type="spellEnd"/>
      <w:r>
        <w:t xml:space="preserve">, and the Shore Temple at </w:t>
      </w:r>
      <w:proofErr w:type="spellStart"/>
      <w:r>
        <w:t>Mamallapuram</w:t>
      </w:r>
      <w:proofErr w:type="spellEnd"/>
      <w:r>
        <w:t xml:space="preserve">. Its festivals, notably Pongal and </w:t>
      </w:r>
      <w:proofErr w:type="spellStart"/>
      <w:r>
        <w:t>Karthigai</w:t>
      </w:r>
      <w:proofErr w:type="spellEnd"/>
      <w:r>
        <w:t xml:space="preserve"> </w:t>
      </w:r>
      <w:proofErr w:type="spellStart"/>
      <w:r>
        <w:t>Deepam</w:t>
      </w:r>
      <w:proofErr w:type="spellEnd"/>
      <w:r>
        <w:t xml:space="preserve">, demonstrate cultural vibrancy. Natural retreats like </w:t>
      </w:r>
      <w:proofErr w:type="spellStart"/>
      <w:r>
        <w:t>Ooty</w:t>
      </w:r>
      <w:proofErr w:type="spellEnd"/>
      <w:r>
        <w:t xml:space="preserve">, </w:t>
      </w:r>
      <w:proofErr w:type="spellStart"/>
      <w:r>
        <w:t>Kodaikanal</w:t>
      </w:r>
      <w:proofErr w:type="spellEnd"/>
      <w:r>
        <w:t xml:space="preserve">, and </w:t>
      </w:r>
      <w:proofErr w:type="spellStart"/>
      <w:r>
        <w:t>Yercaud</w:t>
      </w:r>
      <w:proofErr w:type="spellEnd"/>
      <w:r>
        <w:t xml:space="preserve"> continue to attract nature enthusiasts, while Marina Beach, Rameswaram, and Kanyakumari serve as coastal highlights.</w:t>
      </w:r>
      <w:r w:rsidR="008D1079">
        <w:t xml:space="preserve"> </w:t>
      </w:r>
      <w:r>
        <w:t xml:space="preserve">Beyond leisure, Tamil Nadu has emerged as a leading hub for health tourism, with Chennai often referred to as India’s “Health Capital.” Wildlife sanctuaries, including </w:t>
      </w:r>
      <w:proofErr w:type="spellStart"/>
      <w:r>
        <w:t>Mudumalai</w:t>
      </w:r>
      <w:proofErr w:type="spellEnd"/>
      <w:r>
        <w:t xml:space="preserve"> and </w:t>
      </w:r>
      <w:proofErr w:type="spellStart"/>
      <w:r>
        <w:t>Kalakkad</w:t>
      </w:r>
      <w:proofErr w:type="spellEnd"/>
      <w:r>
        <w:t xml:space="preserve"> </w:t>
      </w:r>
      <w:proofErr w:type="spellStart"/>
      <w:r>
        <w:t>Mundanthurai</w:t>
      </w:r>
      <w:proofErr w:type="spellEnd"/>
      <w:r>
        <w:t xml:space="preserve"> Tiger Reserve, add ecological depth to the state’s offerings. Culinary tourism, centered on T</w:t>
      </w:r>
      <w:r w:rsidR="0091376C">
        <w:t xml:space="preserve">amil Nadu’s distinctive cuisine </w:t>
      </w:r>
      <w:r>
        <w:t xml:space="preserve">particularly </w:t>
      </w:r>
      <w:r w:rsidR="0091376C">
        <w:t xml:space="preserve">the celebrated </w:t>
      </w:r>
      <w:proofErr w:type="spellStart"/>
      <w:r w:rsidR="0091376C">
        <w:t>Chettinad</w:t>
      </w:r>
      <w:proofErr w:type="spellEnd"/>
      <w:r w:rsidR="0091376C">
        <w:t xml:space="preserve"> dishes </w:t>
      </w:r>
      <w:r>
        <w:t>further enriches the travel experience.</w:t>
      </w:r>
      <w:r w:rsidR="008D1079">
        <w:t xml:space="preserve"> </w:t>
      </w:r>
      <w:r>
        <w:t>Government efforts, particularly through the Tamil Nadu Tourism Development Corporation (TTDC), have been crucial in promoting heritage circuits, eco-tourism, and cultural events. While issues such as crowding, pollution, and inadequate amenities persist, the state’s ability to harmonize tradition with modern infrastructure keeps Tamil Nadu firmly established as a multifaceted tourist destination.</w:t>
      </w:r>
    </w:p>
    <w:p w14:paraId="02DCED6D" w14:textId="77777777" w:rsidR="006A2277" w:rsidRDefault="00C34B68" w:rsidP="006A2277">
      <w:pPr>
        <w:pStyle w:val="Heading2"/>
      </w:pPr>
      <w:r>
        <w:t>2.</w:t>
      </w:r>
      <w:r w:rsidR="006A2277">
        <w:t>REASONS FOR CHOOSING TAMIL NADU AS A TOURISM HUB</w:t>
      </w:r>
    </w:p>
    <w:p w14:paraId="708D1316" w14:textId="77777777" w:rsidR="006A2277" w:rsidRPr="00291552" w:rsidRDefault="006A2277" w:rsidP="00291552">
      <w:pPr>
        <w:pStyle w:val="Heading3"/>
        <w:spacing w:after="0"/>
        <w:jc w:val="both"/>
        <w:rPr>
          <w:b w:val="0"/>
        </w:rPr>
      </w:pPr>
      <w:r>
        <w:t>1. Cultural and Heritage Tourism</w:t>
      </w:r>
      <w:r w:rsidR="00291552">
        <w:t xml:space="preserve">: </w:t>
      </w:r>
      <w:r w:rsidRPr="00291552">
        <w:rPr>
          <w:b w:val="0"/>
        </w:rPr>
        <w:t xml:space="preserve">The state’s vast temple architecture, spanning the </w:t>
      </w:r>
      <w:proofErr w:type="spellStart"/>
      <w:r w:rsidRPr="00291552">
        <w:rPr>
          <w:b w:val="0"/>
        </w:rPr>
        <w:t>Chola</w:t>
      </w:r>
      <w:proofErr w:type="spellEnd"/>
      <w:r w:rsidRPr="00291552">
        <w:rPr>
          <w:b w:val="0"/>
        </w:rPr>
        <w:t xml:space="preserve">, </w:t>
      </w:r>
      <w:proofErr w:type="spellStart"/>
      <w:r w:rsidRPr="00291552">
        <w:rPr>
          <w:b w:val="0"/>
        </w:rPr>
        <w:t>Pallava</w:t>
      </w:r>
      <w:proofErr w:type="spellEnd"/>
      <w:r w:rsidRPr="00291552">
        <w:rPr>
          <w:b w:val="0"/>
        </w:rPr>
        <w:t xml:space="preserve">, and Pandya dynasties, makes it an unparalleled cultural landscape. The </w:t>
      </w:r>
      <w:proofErr w:type="spellStart"/>
      <w:r w:rsidRPr="00291552">
        <w:rPr>
          <w:b w:val="0"/>
        </w:rPr>
        <w:t>Brihadeeswarar</w:t>
      </w:r>
      <w:proofErr w:type="spellEnd"/>
      <w:r w:rsidRPr="00291552">
        <w:rPr>
          <w:b w:val="0"/>
        </w:rPr>
        <w:t xml:space="preserve"> Temple and </w:t>
      </w:r>
      <w:proofErr w:type="spellStart"/>
      <w:r w:rsidRPr="00291552">
        <w:rPr>
          <w:b w:val="0"/>
        </w:rPr>
        <w:t>Mamallapuram’s</w:t>
      </w:r>
      <w:proofErr w:type="spellEnd"/>
      <w:r w:rsidRPr="00291552">
        <w:rPr>
          <w:b w:val="0"/>
        </w:rPr>
        <w:t xml:space="preserve"> rock-cut monuments are UNESCO-listed treasures. Tamil Nadu also remains a cradle for Bharatanatyam and Carnatic music.</w:t>
      </w:r>
    </w:p>
    <w:p w14:paraId="6F222C18" w14:textId="77777777" w:rsidR="006A2277" w:rsidRPr="00291552" w:rsidRDefault="006A2277" w:rsidP="00291552">
      <w:pPr>
        <w:pStyle w:val="Heading3"/>
        <w:spacing w:after="0"/>
        <w:jc w:val="both"/>
        <w:rPr>
          <w:b w:val="0"/>
        </w:rPr>
      </w:pPr>
      <w:r w:rsidRPr="009C0A00">
        <w:t>2.</w:t>
      </w:r>
      <w:r w:rsidRPr="00291552">
        <w:rPr>
          <w:b w:val="0"/>
        </w:rPr>
        <w:t xml:space="preserve"> </w:t>
      </w:r>
      <w:r w:rsidRPr="00291552">
        <w:t>Spiritual and Pilgrimage Tourism</w:t>
      </w:r>
      <w:r w:rsidR="00291552" w:rsidRPr="00291552">
        <w:t>:</w:t>
      </w:r>
      <w:r w:rsidR="00291552">
        <w:rPr>
          <w:b w:val="0"/>
        </w:rPr>
        <w:t xml:space="preserve"> </w:t>
      </w:r>
      <w:r w:rsidRPr="00291552">
        <w:rPr>
          <w:b w:val="0"/>
        </w:rPr>
        <w:t xml:space="preserve">Pilgrimage forms a central dimension of travel to Tamil Nadu. Rameswaram, Chidambaram, and Kanchipuram are revered Hindu centers, while </w:t>
      </w:r>
      <w:proofErr w:type="spellStart"/>
      <w:r w:rsidRPr="00291552">
        <w:rPr>
          <w:b w:val="0"/>
        </w:rPr>
        <w:t>Velankanni</w:t>
      </w:r>
      <w:proofErr w:type="spellEnd"/>
      <w:r w:rsidRPr="00291552">
        <w:rPr>
          <w:b w:val="0"/>
        </w:rPr>
        <w:t xml:space="preserve"> is a leading Christian pilgrimage site. These destinations attract millions seeking religious and spiritual enrichment.</w:t>
      </w:r>
    </w:p>
    <w:p w14:paraId="0D027B26" w14:textId="77777777" w:rsidR="006A2277" w:rsidRPr="009C0A00" w:rsidRDefault="006A2277" w:rsidP="009C0A00">
      <w:pPr>
        <w:pStyle w:val="Heading3"/>
        <w:spacing w:after="0"/>
        <w:jc w:val="both"/>
        <w:rPr>
          <w:b w:val="0"/>
        </w:rPr>
      </w:pPr>
      <w:r>
        <w:t>3. Hill Stations and Scenic Landscapes</w:t>
      </w:r>
      <w:r w:rsidR="00291552">
        <w:t>:</w:t>
      </w:r>
      <w:r w:rsidR="009C0A00">
        <w:t xml:space="preserve"> </w:t>
      </w:r>
      <w:r w:rsidRPr="009C0A00">
        <w:rPr>
          <w:b w:val="0"/>
        </w:rPr>
        <w:t xml:space="preserve">Destinations such as </w:t>
      </w:r>
      <w:proofErr w:type="spellStart"/>
      <w:r w:rsidRPr="009C0A00">
        <w:rPr>
          <w:b w:val="0"/>
        </w:rPr>
        <w:t>Ooty</w:t>
      </w:r>
      <w:proofErr w:type="spellEnd"/>
      <w:r w:rsidRPr="009C0A00">
        <w:rPr>
          <w:b w:val="0"/>
        </w:rPr>
        <w:t xml:space="preserve"> (“Queen of Hill Stations”), </w:t>
      </w:r>
      <w:proofErr w:type="spellStart"/>
      <w:r w:rsidRPr="009C0A00">
        <w:rPr>
          <w:b w:val="0"/>
        </w:rPr>
        <w:t>Kodaikanal</w:t>
      </w:r>
      <w:proofErr w:type="spellEnd"/>
      <w:r w:rsidRPr="009C0A00">
        <w:rPr>
          <w:b w:val="0"/>
        </w:rPr>
        <w:t xml:space="preserve">, and </w:t>
      </w:r>
      <w:proofErr w:type="spellStart"/>
      <w:r w:rsidRPr="009C0A00">
        <w:rPr>
          <w:b w:val="0"/>
        </w:rPr>
        <w:t>Yercaud</w:t>
      </w:r>
      <w:proofErr w:type="spellEnd"/>
      <w:r w:rsidRPr="009C0A00">
        <w:rPr>
          <w:b w:val="0"/>
        </w:rPr>
        <w:t xml:space="preserve"> remain popular for their cool climate, lakes, tea and coffee plantations, and trekking opportunities. Sanctuaries like </w:t>
      </w:r>
      <w:proofErr w:type="spellStart"/>
      <w:r w:rsidRPr="009C0A00">
        <w:rPr>
          <w:b w:val="0"/>
        </w:rPr>
        <w:t>Vedanthangal</w:t>
      </w:r>
      <w:proofErr w:type="spellEnd"/>
      <w:r w:rsidRPr="009C0A00">
        <w:rPr>
          <w:b w:val="0"/>
        </w:rPr>
        <w:t xml:space="preserve"> and </w:t>
      </w:r>
      <w:proofErr w:type="spellStart"/>
      <w:r w:rsidRPr="009C0A00">
        <w:rPr>
          <w:b w:val="0"/>
        </w:rPr>
        <w:t>Mudumalai</w:t>
      </w:r>
      <w:proofErr w:type="spellEnd"/>
      <w:r w:rsidRPr="009C0A00">
        <w:rPr>
          <w:b w:val="0"/>
        </w:rPr>
        <w:t xml:space="preserve"> attract nature lovers.</w:t>
      </w:r>
    </w:p>
    <w:p w14:paraId="333B1FF8" w14:textId="77777777" w:rsidR="006A2277" w:rsidRDefault="006A2277" w:rsidP="00CA5A2D">
      <w:pPr>
        <w:pStyle w:val="Heading3"/>
        <w:spacing w:after="0"/>
      </w:pPr>
      <w:r>
        <w:t>4. Coastal and Beach Tourism</w:t>
      </w:r>
      <w:r w:rsidR="00291552">
        <w:t>:</w:t>
      </w:r>
    </w:p>
    <w:p w14:paraId="7E464BA6" w14:textId="77777777" w:rsidR="006A2277" w:rsidRDefault="006A2277" w:rsidP="00CA5A2D">
      <w:pPr>
        <w:pStyle w:val="NormalWeb"/>
        <w:spacing w:before="0" w:beforeAutospacing="0" w:after="0" w:afterAutospacing="0"/>
        <w:ind w:firstLine="720"/>
        <w:jc w:val="both"/>
      </w:pPr>
      <w:r>
        <w:t>Stretching over 1,000 kilometers, Tamil Nadu’s coastline supports thriving beach tourism. Marina Beach, Rameswaram, and Kanyakumari are among the most frequented, while activities such as snorkeling, windsurfing, and beach festivals enhance the appeal.</w:t>
      </w:r>
    </w:p>
    <w:p w14:paraId="69D12859" w14:textId="77777777" w:rsidR="006A2277" w:rsidRPr="009C0A00" w:rsidRDefault="006A2277" w:rsidP="009C0A00">
      <w:pPr>
        <w:pStyle w:val="Heading3"/>
        <w:spacing w:after="0"/>
        <w:jc w:val="both"/>
        <w:rPr>
          <w:b w:val="0"/>
        </w:rPr>
      </w:pPr>
      <w:r>
        <w:lastRenderedPageBreak/>
        <w:t>5. Medical and Wellness Tourism</w:t>
      </w:r>
      <w:r w:rsidR="009C0A00">
        <w:t xml:space="preserve">: </w:t>
      </w:r>
      <w:r w:rsidRPr="009C0A00">
        <w:rPr>
          <w:b w:val="0"/>
        </w:rPr>
        <w:t>With advanced hospitals and globally competitive healthcare costs, Chennai anchors Tamil Nadu’s medical tourism. Wellness centers offering Ayurveda, Siddha, and yoga strengthen this segment, attracting health-focused international travelers.</w:t>
      </w:r>
    </w:p>
    <w:p w14:paraId="1805C0B7" w14:textId="77777777" w:rsidR="006A2277" w:rsidRPr="009C0A00" w:rsidRDefault="006A2277" w:rsidP="009C0A00">
      <w:pPr>
        <w:pStyle w:val="Heading3"/>
        <w:spacing w:after="0"/>
        <w:jc w:val="both"/>
        <w:rPr>
          <w:b w:val="0"/>
        </w:rPr>
      </w:pPr>
      <w:r>
        <w:t>6. Eco and Adventure Tourism</w:t>
      </w:r>
      <w:r w:rsidR="009C0A00">
        <w:t xml:space="preserve">: </w:t>
      </w:r>
      <w:r w:rsidRPr="009C0A00">
        <w:rPr>
          <w:b w:val="0"/>
        </w:rPr>
        <w:t>The Western Ghats provide trekking, camping, and paragliding opportunities, while tiger reserves and wildlife sanctuaries support safari-based tourism. These attractions position Tamil Nadu as an adventure and eco-friendly travel hub.</w:t>
      </w:r>
    </w:p>
    <w:p w14:paraId="2FBEF2EA" w14:textId="77777777" w:rsidR="006A2277" w:rsidRPr="009C0A00" w:rsidRDefault="006A2277" w:rsidP="009C0A00">
      <w:pPr>
        <w:pStyle w:val="Heading3"/>
        <w:spacing w:after="0"/>
        <w:jc w:val="both"/>
        <w:rPr>
          <w:b w:val="0"/>
        </w:rPr>
      </w:pPr>
      <w:r>
        <w:t>7. Culinary Tourism</w:t>
      </w:r>
      <w:r w:rsidR="009C0A00">
        <w:t xml:space="preserve">: </w:t>
      </w:r>
      <w:r w:rsidR="00CA5A2D" w:rsidRPr="009C0A00">
        <w:rPr>
          <w:b w:val="0"/>
        </w:rPr>
        <w:t xml:space="preserve">The state’s food culture </w:t>
      </w:r>
      <w:r w:rsidRPr="009C0A00">
        <w:rPr>
          <w:b w:val="0"/>
        </w:rPr>
        <w:t xml:space="preserve">ranging from </w:t>
      </w:r>
      <w:proofErr w:type="spellStart"/>
      <w:r w:rsidRPr="009C0A00">
        <w:rPr>
          <w:b w:val="0"/>
        </w:rPr>
        <w:t>Idli</w:t>
      </w:r>
      <w:proofErr w:type="spellEnd"/>
      <w:r w:rsidRPr="009C0A00">
        <w:rPr>
          <w:b w:val="0"/>
        </w:rPr>
        <w:t xml:space="preserve"> and </w:t>
      </w:r>
      <w:proofErr w:type="spellStart"/>
      <w:r w:rsidRPr="009C0A00">
        <w:rPr>
          <w:b w:val="0"/>
        </w:rPr>
        <w:t>Dosa</w:t>
      </w:r>
      <w:proofErr w:type="spellEnd"/>
      <w:r w:rsidR="00CA5A2D" w:rsidRPr="009C0A00">
        <w:rPr>
          <w:b w:val="0"/>
        </w:rPr>
        <w:t xml:space="preserve"> to spicy </w:t>
      </w:r>
      <w:proofErr w:type="spellStart"/>
      <w:r w:rsidR="00CA5A2D" w:rsidRPr="009C0A00">
        <w:rPr>
          <w:b w:val="0"/>
        </w:rPr>
        <w:t>Chettinad</w:t>
      </w:r>
      <w:proofErr w:type="spellEnd"/>
      <w:r w:rsidR="00CA5A2D" w:rsidRPr="009C0A00">
        <w:rPr>
          <w:b w:val="0"/>
        </w:rPr>
        <w:t xml:space="preserve"> specialties </w:t>
      </w:r>
      <w:r w:rsidRPr="009C0A00">
        <w:rPr>
          <w:b w:val="0"/>
        </w:rPr>
        <w:t>has become a major draw. Culinary traditions at temple festivals also offer immersive experiences.</w:t>
      </w:r>
    </w:p>
    <w:p w14:paraId="4B79CAF5" w14:textId="77777777" w:rsidR="006A2277" w:rsidRPr="009C0A00" w:rsidRDefault="006A2277" w:rsidP="009C0A00">
      <w:pPr>
        <w:pStyle w:val="Heading3"/>
        <w:spacing w:after="0"/>
        <w:jc w:val="both"/>
        <w:rPr>
          <w:b w:val="0"/>
        </w:rPr>
      </w:pPr>
      <w:r>
        <w:t>8. Film and Entertainment Tourism</w:t>
      </w:r>
      <w:r w:rsidR="009C0A00">
        <w:t xml:space="preserve">: </w:t>
      </w:r>
      <w:r w:rsidRPr="009C0A00">
        <w:rPr>
          <w:b w:val="0"/>
        </w:rPr>
        <w:t xml:space="preserve">With Chennai serving as the center of </w:t>
      </w:r>
      <w:proofErr w:type="spellStart"/>
      <w:r w:rsidRPr="009C0A00">
        <w:rPr>
          <w:b w:val="0"/>
        </w:rPr>
        <w:t>Kollywood</w:t>
      </w:r>
      <w:proofErr w:type="spellEnd"/>
      <w:r w:rsidRPr="009C0A00">
        <w:rPr>
          <w:b w:val="0"/>
        </w:rPr>
        <w:t xml:space="preserve">, Tamil Nadu attracts film lovers and tourists to its studios and shooting locations in </w:t>
      </w:r>
      <w:proofErr w:type="spellStart"/>
      <w:r w:rsidRPr="009C0A00">
        <w:rPr>
          <w:b w:val="0"/>
        </w:rPr>
        <w:t>Ooty</w:t>
      </w:r>
      <w:proofErr w:type="spellEnd"/>
      <w:r w:rsidRPr="009C0A00">
        <w:rPr>
          <w:b w:val="0"/>
        </w:rPr>
        <w:t xml:space="preserve"> and </w:t>
      </w:r>
      <w:proofErr w:type="spellStart"/>
      <w:r w:rsidRPr="009C0A00">
        <w:rPr>
          <w:b w:val="0"/>
        </w:rPr>
        <w:t>Kodaikanal</w:t>
      </w:r>
      <w:proofErr w:type="spellEnd"/>
      <w:r w:rsidRPr="009C0A00">
        <w:rPr>
          <w:b w:val="0"/>
        </w:rPr>
        <w:t>.</w:t>
      </w:r>
    </w:p>
    <w:p w14:paraId="1A6BEB94" w14:textId="77777777" w:rsidR="006A2277" w:rsidRPr="009C0A00" w:rsidRDefault="006A2277" w:rsidP="009C0A00">
      <w:pPr>
        <w:pStyle w:val="Heading3"/>
        <w:spacing w:after="0"/>
        <w:jc w:val="both"/>
        <w:rPr>
          <w:b w:val="0"/>
        </w:rPr>
      </w:pPr>
      <w:r>
        <w:t>9. Government Policy and Infrastructure</w:t>
      </w:r>
      <w:r w:rsidR="009C0A00">
        <w:t xml:space="preserve">: </w:t>
      </w:r>
      <w:r w:rsidRPr="009C0A00">
        <w:rPr>
          <w:b w:val="0"/>
        </w:rPr>
        <w:t>TTDC initiatives, improved airports, enhanced road networks, and better tourist amenities have all contributed to strengthening Tamil Nadu’s tourism infrastructure.</w:t>
      </w:r>
    </w:p>
    <w:p w14:paraId="393946B0" w14:textId="217C90C1" w:rsidR="00C34B68" w:rsidRPr="00CA5A2D" w:rsidRDefault="00C34B68" w:rsidP="00CA5A2D">
      <w:pPr>
        <w:pStyle w:val="NormalWeb"/>
        <w:jc w:val="center"/>
        <w:rPr>
          <w:b/>
        </w:rPr>
      </w:pPr>
      <w:r w:rsidRPr="00CA5A2D">
        <w:rPr>
          <w:b/>
        </w:rPr>
        <w:t>Fig:</w:t>
      </w:r>
      <w:r w:rsidR="00CA5A2D" w:rsidRPr="00CA5A2D">
        <w:rPr>
          <w:b/>
        </w:rPr>
        <w:t xml:space="preserve"> </w:t>
      </w:r>
      <w:r w:rsidR="00CA5A2D">
        <w:rPr>
          <w:b/>
        </w:rPr>
        <w:t xml:space="preserve">1 </w:t>
      </w:r>
      <w:r w:rsidR="00CA5A2D" w:rsidRPr="00CA5A2D">
        <w:rPr>
          <w:b/>
        </w:rPr>
        <w:t>Reasons for Choosing Tamil Nadu as a Tourism Hub (Relative share)</w:t>
      </w:r>
    </w:p>
    <w:p w14:paraId="65599112" w14:textId="77777777" w:rsidR="00C34B68" w:rsidRDefault="00C34B68" w:rsidP="00CA5A2D">
      <w:pPr>
        <w:pStyle w:val="NormalWeb"/>
        <w:jc w:val="center"/>
      </w:pPr>
      <w:r w:rsidRPr="0091376C">
        <w:rPr>
          <w:noProof/>
        </w:rPr>
        <w:drawing>
          <wp:inline distT="0" distB="0" distL="0" distR="0" wp14:anchorId="5DCAE824" wp14:editId="4C3885B8">
            <wp:extent cx="4857750" cy="3324225"/>
            <wp:effectExtent l="76200" t="76200" r="133350" b="1428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57750" cy="33242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1F5627" w14:textId="77777777" w:rsidR="006A2277" w:rsidRDefault="006A2277" w:rsidP="006A2277"/>
    <w:p w14:paraId="2538DE40" w14:textId="77777777" w:rsidR="006A2277" w:rsidRDefault="00CA5A2D" w:rsidP="006A2277">
      <w:pPr>
        <w:pStyle w:val="Heading2"/>
      </w:pPr>
      <w:r>
        <w:lastRenderedPageBreak/>
        <w:t xml:space="preserve">3. </w:t>
      </w:r>
      <w:r w:rsidR="006A2277">
        <w:t>GROWTH OF TOURISM IN TAMIL NADU</w:t>
      </w:r>
    </w:p>
    <w:p w14:paraId="11B30D0D" w14:textId="77777777" w:rsidR="006A2277" w:rsidRPr="009C0A00" w:rsidRDefault="006A2277" w:rsidP="009C0A00">
      <w:pPr>
        <w:pStyle w:val="Heading3"/>
        <w:spacing w:after="0"/>
        <w:jc w:val="both"/>
        <w:rPr>
          <w:b w:val="0"/>
        </w:rPr>
      </w:pPr>
      <w:r>
        <w:t>Domestic Tourism</w:t>
      </w:r>
      <w:r w:rsidR="009C0A00">
        <w:t xml:space="preserve">: </w:t>
      </w:r>
      <w:r w:rsidRPr="009C0A00">
        <w:rPr>
          <w:b w:val="0"/>
        </w:rPr>
        <w:t xml:space="preserve">Tamil Nadu consistently leads in domestic arrivals, with millions drawn to its temples, beaches, and hill stations. From 2014 to 2019, domestic arrivals grew from </w:t>
      </w:r>
      <w:r w:rsidRPr="009C0A00">
        <w:rPr>
          <w:rStyle w:val="Strong"/>
        </w:rPr>
        <w:t>327.6</w:t>
      </w:r>
      <w:r w:rsidRPr="009C0A00">
        <w:rPr>
          <w:rStyle w:val="Strong"/>
          <w:b/>
        </w:rPr>
        <w:t xml:space="preserve"> </w:t>
      </w:r>
      <w:r w:rsidRPr="009C0A00">
        <w:rPr>
          <w:rStyle w:val="Strong"/>
        </w:rPr>
        <w:t>million to 494.8 million</w:t>
      </w:r>
      <w:r w:rsidRPr="009C0A00">
        <w:t>,</w:t>
      </w:r>
      <w:r w:rsidRPr="009C0A00">
        <w:rPr>
          <w:b w:val="0"/>
        </w:rPr>
        <w:t xml:space="preserve"> with 2019 witnessing a record growth of </w:t>
      </w:r>
      <w:r w:rsidRPr="009C0A00">
        <w:rPr>
          <w:rStyle w:val="Strong"/>
        </w:rPr>
        <w:t>28.2%</w:t>
      </w:r>
      <w:r w:rsidRPr="009C0A00">
        <w:t>.</w:t>
      </w:r>
      <w:r w:rsidRPr="009C0A00">
        <w:rPr>
          <w:b w:val="0"/>
        </w:rPr>
        <w:t xml:space="preserve"> COVID-19 severely disrupted this momentum, reducing arrivals to </w:t>
      </w:r>
      <w:r w:rsidRPr="009C0A00">
        <w:rPr>
          <w:rStyle w:val="Strong"/>
        </w:rPr>
        <w:t>140.6 million in 2020</w:t>
      </w:r>
      <w:r w:rsidRPr="009C0A00">
        <w:rPr>
          <w:b w:val="0"/>
        </w:rPr>
        <w:t>. A recovery began in 2022 (184.3 million) and continued in 2023 (223.5 million), showing resilience and revival potential.</w:t>
      </w:r>
    </w:p>
    <w:p w14:paraId="1D08705C" w14:textId="77777777" w:rsidR="006A2277" w:rsidRPr="009C0A00" w:rsidRDefault="006A2277" w:rsidP="009C0A00">
      <w:pPr>
        <w:pStyle w:val="Heading3"/>
        <w:spacing w:after="0"/>
        <w:jc w:val="both"/>
        <w:rPr>
          <w:b w:val="0"/>
        </w:rPr>
      </w:pPr>
      <w:r>
        <w:t>Foreign Tourism</w:t>
      </w:r>
      <w:r w:rsidR="009C0A00">
        <w:t xml:space="preserve">: </w:t>
      </w:r>
      <w:r w:rsidRPr="009C0A00">
        <w:rPr>
          <w:b w:val="0"/>
        </w:rPr>
        <w:t xml:space="preserve">Foreign arrivals steadily increased from </w:t>
      </w:r>
      <w:r w:rsidRPr="009C0A00">
        <w:rPr>
          <w:rStyle w:val="Strong"/>
        </w:rPr>
        <w:t>4.66 million in 2014 to 6.87 million in 2019</w:t>
      </w:r>
      <w:r w:rsidRPr="009C0A00">
        <w:t>,</w:t>
      </w:r>
      <w:r w:rsidRPr="009C0A00">
        <w:rPr>
          <w:b w:val="0"/>
        </w:rPr>
        <w:t xml:space="preserve"> driven by heritage circuits and medical travel. The pandemic led to a steep fall in 2020–2021, but recovery is visible: </w:t>
      </w:r>
      <w:r w:rsidRPr="009C0A00">
        <w:rPr>
          <w:rStyle w:val="Strong"/>
        </w:rPr>
        <w:t>1.17 million in 2023</w:t>
      </w:r>
      <w:r w:rsidRPr="009C0A00">
        <w:rPr>
          <w:b w:val="0"/>
        </w:rPr>
        <w:t xml:space="preserve">, registering </w:t>
      </w:r>
      <w:r w:rsidRPr="009C0A00">
        <w:rPr>
          <w:rStyle w:val="Strong"/>
        </w:rPr>
        <w:t>187.5% growth</w:t>
      </w:r>
      <w:r w:rsidRPr="009C0A00">
        <w:rPr>
          <w:b w:val="0"/>
        </w:rPr>
        <w:t xml:space="preserve"> over 2022.</w:t>
      </w:r>
    </w:p>
    <w:p w14:paraId="67CB3B95" w14:textId="77777777" w:rsidR="006A2277" w:rsidRPr="009C0A00" w:rsidRDefault="006A2277" w:rsidP="009C0A00">
      <w:pPr>
        <w:pStyle w:val="Heading3"/>
        <w:spacing w:after="0"/>
        <w:jc w:val="both"/>
        <w:rPr>
          <w:b w:val="0"/>
        </w:rPr>
      </w:pPr>
      <w:r w:rsidRPr="009C0A00">
        <w:t>Revenue Contribution</w:t>
      </w:r>
      <w:r w:rsidR="009C0A00">
        <w:rPr>
          <w:b w:val="0"/>
        </w:rPr>
        <w:t xml:space="preserve">: </w:t>
      </w:r>
      <w:r w:rsidRPr="009C0A00">
        <w:rPr>
          <w:b w:val="0"/>
        </w:rPr>
        <w:t xml:space="preserve">Tourism revenues rose steadily from </w:t>
      </w:r>
      <w:r w:rsidRPr="009C0A00">
        <w:rPr>
          <w:rStyle w:val="Strong"/>
        </w:rPr>
        <w:t>₹11,500 crores in 2014 to ₹19,800 crores in 2019</w:t>
      </w:r>
      <w:r w:rsidRPr="009C0A00">
        <w:t>,</w:t>
      </w:r>
      <w:r w:rsidRPr="009C0A00">
        <w:rPr>
          <w:b w:val="0"/>
        </w:rPr>
        <w:t xml:space="preserve"> before dropping sharply due to COVID-19. By 2023, revenues recovered to </w:t>
      </w:r>
      <w:r w:rsidRPr="009C0A00">
        <w:rPr>
          <w:rStyle w:val="Strong"/>
        </w:rPr>
        <w:t>₹12,400 crores</w:t>
      </w:r>
      <w:r w:rsidRPr="009C0A00">
        <w:rPr>
          <w:b w:val="0"/>
        </w:rPr>
        <w:t>, driven by medical, cultural, and eco-tourism segments.</w:t>
      </w:r>
    </w:p>
    <w:p w14:paraId="7AB9ABE0" w14:textId="77777777" w:rsidR="00CA5A2D" w:rsidRDefault="00CA5A2D" w:rsidP="00CA5A2D">
      <w:pPr>
        <w:pStyle w:val="NormalWeb"/>
        <w:spacing w:before="0" w:beforeAutospacing="0" w:after="0" w:afterAutospacing="0"/>
        <w:ind w:firstLine="720"/>
        <w:jc w:val="both"/>
      </w:pPr>
    </w:p>
    <w:p w14:paraId="4003AE08" w14:textId="77777777" w:rsidR="008D1079" w:rsidRDefault="00CA5A2D" w:rsidP="008D1079">
      <w:pPr>
        <w:pStyle w:val="Heading3"/>
        <w:rPr>
          <w:color w:val="auto"/>
          <w:sz w:val="27"/>
        </w:rPr>
      </w:pPr>
      <w:r>
        <w:t xml:space="preserve">4. </w:t>
      </w:r>
      <w:r w:rsidR="008D1079">
        <w:t>TOURISM DEVELOPMENT IN TAMIL NADU</w:t>
      </w:r>
    </w:p>
    <w:p w14:paraId="683833E8" w14:textId="77777777" w:rsidR="008D1079" w:rsidRDefault="008D1079" w:rsidP="008D1079">
      <w:pPr>
        <w:pStyle w:val="NormalWeb"/>
        <w:ind w:firstLine="720"/>
        <w:jc w:val="both"/>
      </w:pPr>
      <w:r>
        <w:t>Tamil Nadu has consistently remained one of the premier destinations for both domestic and international tourists in India, owing to its unique blend of historical richness, cultural diversity, and advanced infrastructural facilities. The state is home to a remarkable range of attractions, including UNESCO World Heritage monuments, ancient temples, scenic hill stations, pristine beaches, and vibrant festivals that collectively reflect its deep-rooted traditions and dynamic modern identity. This multifaceted tourism profile not only draws millions of visitors every year but also distinguishes Tamil Nadu as a cultural hub and a key player in India’s tourism sector. The tourism industry in Tamil Nadu has played a pivotal role in shaping the state’s economy. As one of the largest contributors to Gross State Domestic Product (GSDP), tourism generates substantial revenue through hospitality services, transport, handicrafts, and various allied sectors. Beyond revenue generation, the industry serves as a major source of livelihood, directly employing people in hotels, travel agencies, and heritage management, while indirectly creating opportunities in small-scale industries, handicrafts, and local businesses. The employment potential of tourism has also been crucial in enhancing rural development, particularly in areas where heritage sites and eco-tourism initiatives are located.</w:t>
      </w:r>
    </w:p>
    <w:p w14:paraId="4F2C44AA" w14:textId="77777777" w:rsidR="008D1079" w:rsidRDefault="008D1079" w:rsidP="008D1079">
      <w:pPr>
        <w:pStyle w:val="NormalWeb"/>
        <w:ind w:firstLine="720"/>
        <w:jc w:val="both"/>
      </w:pPr>
      <w:r>
        <w:t xml:space="preserve">Over the past decade, Tamil Nadu has witnessed steady growth in both domestic and foreign tourist arrivals. Pilgrimage centers such as Madurai, Rameswaram, and Kanchipuram continue to attract millions of devotees, while hill stations like </w:t>
      </w:r>
      <w:proofErr w:type="spellStart"/>
      <w:r>
        <w:t>Ooty</w:t>
      </w:r>
      <w:proofErr w:type="spellEnd"/>
      <w:r>
        <w:t xml:space="preserve">, </w:t>
      </w:r>
      <w:proofErr w:type="spellStart"/>
      <w:r>
        <w:t>Kodaikanal</w:t>
      </w:r>
      <w:proofErr w:type="spellEnd"/>
      <w:r>
        <w:t xml:space="preserve">, and </w:t>
      </w:r>
      <w:proofErr w:type="spellStart"/>
      <w:r>
        <w:t>Yercaud</w:t>
      </w:r>
      <w:proofErr w:type="spellEnd"/>
      <w:r>
        <w:t xml:space="preserve"> remain popular summer retreats. Additionally, the temple architecture of </w:t>
      </w:r>
      <w:proofErr w:type="spellStart"/>
      <w:r>
        <w:t>Thanjavur</w:t>
      </w:r>
      <w:proofErr w:type="spellEnd"/>
      <w:r>
        <w:t xml:space="preserve"> and the rock-cut monuments of Mahabalipuram have gained international acclaim, making them vital destinations for cultural tourism. Coastal tourism along the Coromandel coast, coupled with increasing interest in wellness and medical tourism, has further diversified the tourism landscape of the state. However, the outbreak of the COVID-19 pandemic in 2020 brought unprecedented challenges to the tourism sector. Restrictions on travel, lockdowns, and safety concerns led to a sharp decline in both domestic and international tourist inflows, severely impacting businesses, </w:t>
      </w:r>
      <w:r>
        <w:lastRenderedPageBreak/>
        <w:t>employment, and revenue. Hotels, restaurants, and travel operators faced financial stress, while communities dependent on tourism struggled with loss of income. Despite this setback, Tamil Nadu demonstrated notable resilience. The state’s ability to recover quickly in the post-pandemic phase is attributed to effective government intervention, health protocols, and targeted promotional campaigns aimed at reviving confidence among travelers. In recent years, the Government of Tamil Nadu has introduced several strategic policies to revitalize and sustain tourism growth. Initiatives such as developing integrated tourism circuits, enhancing connectivity through road and air infrastructure, promoting eco-tourism, and adopting digital platforms for marketing have significantly strengthened the sector. Special emphasis has been placed on sustainable tourism practices to protect natural and cultural resources, ensuring that economic growth does not compromise heritage conservation. Partnerships between the public and private sectors, along with community participation, have also played a decisive role in the success of these initiatives. Looking ahead, Tamil Nadu’s tourism industry holds immense potential to expand further by capitalizing on its cultural wealth, natural beauty, and progressive policies. With increasing global interest in heritage, wellness, and eco-friendly tourism, the state is well-positioned to consolidate its status as a leading destination. By balancing economic objectives with sustainability and inclusiveness, Tamil Nadu can continue to harness tourism as a vital driver of economic growth, cultural exchange, and social development.</w:t>
      </w:r>
    </w:p>
    <w:p w14:paraId="7053117C" w14:textId="77777777" w:rsidR="00FF4053" w:rsidRDefault="00CA5A2D">
      <w:pPr>
        <w:pStyle w:val="Heading2"/>
        <w:ind w:left="-5"/>
      </w:pPr>
      <w:r>
        <w:t>4.</w:t>
      </w:r>
      <w:r w:rsidR="00116FF4">
        <w:t xml:space="preserve">1. Growth in Domestic Tourist Arrivals </w:t>
      </w:r>
    </w:p>
    <w:p w14:paraId="3DD2B92F" w14:textId="77777777" w:rsidR="00FF4053" w:rsidRDefault="00116FF4" w:rsidP="008D1079">
      <w:pPr>
        <w:spacing w:after="148"/>
        <w:ind w:left="-5" w:right="0" w:firstLine="725"/>
      </w:pPr>
      <w:r>
        <w:t xml:space="preserve">Tamil Nadu has consistently maintained the top position in domestic tourism for several years due to its unique combination of historical, religious, natural, and cultural attractions. The state is home to some of India's most revered temples, scenic hill stations, and pristine coastal destinations, which have attracted millions of domestic tourists annually. Tamil Nadu’s domestic tourism is primarily driven by its religious and spiritual sites. Major temples such as the Madurai Meenakshi Temple, </w:t>
      </w:r>
      <w:proofErr w:type="spellStart"/>
      <w:r>
        <w:t>Brihadeeswarar</w:t>
      </w:r>
      <w:proofErr w:type="spellEnd"/>
      <w:r>
        <w:t xml:space="preserve"> Temple in </w:t>
      </w:r>
      <w:proofErr w:type="spellStart"/>
      <w:r>
        <w:t>Thanjavur</w:t>
      </w:r>
      <w:proofErr w:type="spellEnd"/>
      <w:r>
        <w:t xml:space="preserve">, and Rameswaram Temple are major pilgrimage destinations, drawing visitors from across the country. The state’s hill stations, including </w:t>
      </w:r>
      <w:proofErr w:type="spellStart"/>
      <w:r>
        <w:t>Ooty</w:t>
      </w:r>
      <w:proofErr w:type="spellEnd"/>
      <w:r>
        <w:t xml:space="preserve">, </w:t>
      </w:r>
      <w:proofErr w:type="spellStart"/>
      <w:r>
        <w:t>Kodaikanal</w:t>
      </w:r>
      <w:proofErr w:type="spellEnd"/>
      <w:r>
        <w:t xml:space="preserve">, and </w:t>
      </w:r>
      <w:proofErr w:type="spellStart"/>
      <w:r>
        <w:t>Yelagiri</w:t>
      </w:r>
      <w:proofErr w:type="spellEnd"/>
      <w:r>
        <w:t xml:space="preserve">, offer a refreshing escape from the heat, while beaches like Marina Beach and Kanyakumari provide scenic relaxation. Tamil Nadu’s rich cultural events and festivals such as Pongal and </w:t>
      </w:r>
      <w:proofErr w:type="spellStart"/>
      <w:r>
        <w:t>Karthigai</w:t>
      </w:r>
      <w:proofErr w:type="spellEnd"/>
      <w:r>
        <w:t xml:space="preserve"> </w:t>
      </w:r>
      <w:proofErr w:type="spellStart"/>
      <w:r>
        <w:t>Deepam</w:t>
      </w:r>
      <w:proofErr w:type="spellEnd"/>
      <w:r>
        <w:t xml:space="preserve"> further enhance its appeal as a domestic tourist destination. </w:t>
      </w:r>
    </w:p>
    <w:p w14:paraId="581712B8" w14:textId="77777777" w:rsidR="00FF4053" w:rsidRDefault="003731CE">
      <w:pPr>
        <w:pStyle w:val="Heading1"/>
        <w:ind w:left="-5"/>
      </w:pPr>
      <w:r>
        <w:t xml:space="preserve">4.1.1. </w:t>
      </w:r>
      <w:r w:rsidR="00116FF4">
        <w:t xml:space="preserve">Domestic Tourist Arrivals (2014–2023) </w:t>
      </w:r>
    </w:p>
    <w:p w14:paraId="08360419" w14:textId="77777777" w:rsidR="00FF4053" w:rsidRDefault="00116FF4">
      <w:pPr>
        <w:spacing w:after="237" w:line="259" w:lineRule="auto"/>
        <w:ind w:left="-5" w:right="0"/>
      </w:pPr>
      <w:r>
        <w:t xml:space="preserve">The table below shows the trend in domestic tourist arrivals in Tamil Nadu from 2014 to 2023: </w:t>
      </w:r>
    </w:p>
    <w:p w14:paraId="1B47F219" w14:textId="5BBF0AC4" w:rsidR="008D1079" w:rsidRDefault="008D1079" w:rsidP="00CA5A2D">
      <w:pPr>
        <w:pStyle w:val="Heading3"/>
        <w:jc w:val="center"/>
        <w:rPr>
          <w:rStyle w:val="Strong"/>
          <w:b/>
          <w:bCs w:val="0"/>
        </w:rPr>
      </w:pPr>
      <w:r>
        <w:rPr>
          <w:rStyle w:val="Strong"/>
          <w:b/>
          <w:bCs w:val="0"/>
        </w:rPr>
        <w:lastRenderedPageBreak/>
        <w:t>Table 1: Domestic Tourist Arrivals in Tamil Nadu (2014–2024)</w:t>
      </w:r>
    </w:p>
    <w:tbl>
      <w:tblPr>
        <w:tblW w:w="0" w:type="auto"/>
        <w:jc w:val="center"/>
        <w:tblLook w:val="04A0" w:firstRow="1" w:lastRow="0" w:firstColumn="1" w:lastColumn="0" w:noHBand="0" w:noVBand="1"/>
      </w:tblPr>
      <w:tblGrid>
        <w:gridCol w:w="723"/>
        <w:gridCol w:w="3370"/>
        <w:gridCol w:w="2785"/>
      </w:tblGrid>
      <w:tr w:rsidR="008D1079" w:rsidRPr="008D1079" w14:paraId="51ECA16B" w14:textId="77777777" w:rsidTr="009E2BB4">
        <w:trPr>
          <w:trHeight w:val="175"/>
          <w:jc w:val="center"/>
        </w:trPr>
        <w:tc>
          <w:tcPr>
            <w:tcW w:w="0" w:type="auto"/>
            <w:tcBorders>
              <w:top w:val="single" w:sz="8" w:space="0" w:color="auto"/>
              <w:left w:val="single" w:sz="8" w:space="0" w:color="auto"/>
              <w:bottom w:val="single" w:sz="8" w:space="0" w:color="auto"/>
              <w:right w:val="single" w:sz="8" w:space="0" w:color="auto"/>
            </w:tcBorders>
            <w:vAlign w:val="center"/>
            <w:hideMark/>
          </w:tcPr>
          <w:p w14:paraId="321F79B5" w14:textId="77777777" w:rsidR="008D1079" w:rsidRPr="008D1079" w:rsidRDefault="008D1079" w:rsidP="008D1079">
            <w:pPr>
              <w:spacing w:after="0" w:line="240" w:lineRule="auto"/>
              <w:ind w:left="0" w:right="0" w:firstLine="0"/>
              <w:jc w:val="center"/>
              <w:rPr>
                <w:b/>
                <w:bCs/>
                <w:szCs w:val="24"/>
              </w:rPr>
            </w:pPr>
            <w:r w:rsidRPr="008D1079">
              <w:rPr>
                <w:b/>
                <w:bCs/>
                <w:szCs w:val="24"/>
              </w:rPr>
              <w:t>Year</w:t>
            </w:r>
          </w:p>
        </w:tc>
        <w:tc>
          <w:tcPr>
            <w:tcW w:w="0" w:type="auto"/>
            <w:tcBorders>
              <w:top w:val="single" w:sz="8" w:space="0" w:color="auto"/>
              <w:left w:val="nil"/>
              <w:bottom w:val="single" w:sz="8" w:space="0" w:color="auto"/>
              <w:right w:val="single" w:sz="8" w:space="0" w:color="auto"/>
            </w:tcBorders>
            <w:vAlign w:val="center"/>
            <w:hideMark/>
          </w:tcPr>
          <w:p w14:paraId="7C8CD94F" w14:textId="77777777" w:rsidR="008D1079" w:rsidRPr="008D1079" w:rsidRDefault="008D1079" w:rsidP="008D1079">
            <w:pPr>
              <w:spacing w:after="0" w:line="240" w:lineRule="auto"/>
              <w:ind w:left="0" w:right="0" w:firstLine="0"/>
              <w:jc w:val="center"/>
              <w:rPr>
                <w:b/>
                <w:bCs/>
                <w:szCs w:val="24"/>
              </w:rPr>
            </w:pPr>
            <w:r w:rsidRPr="008D1079">
              <w:rPr>
                <w:b/>
                <w:bCs/>
                <w:szCs w:val="24"/>
              </w:rPr>
              <w:t>Domestic Tourists (in millions)</w:t>
            </w:r>
          </w:p>
        </w:tc>
        <w:tc>
          <w:tcPr>
            <w:tcW w:w="0" w:type="auto"/>
            <w:tcBorders>
              <w:top w:val="single" w:sz="8" w:space="0" w:color="auto"/>
              <w:left w:val="nil"/>
              <w:bottom w:val="single" w:sz="8" w:space="0" w:color="auto"/>
              <w:right w:val="single" w:sz="8" w:space="0" w:color="auto"/>
            </w:tcBorders>
            <w:vAlign w:val="center"/>
            <w:hideMark/>
          </w:tcPr>
          <w:p w14:paraId="4279B39F" w14:textId="77777777" w:rsidR="008D1079" w:rsidRPr="008D1079" w:rsidRDefault="008D1079" w:rsidP="008D1079">
            <w:pPr>
              <w:spacing w:after="0" w:line="240" w:lineRule="auto"/>
              <w:ind w:left="0" w:right="0" w:firstLine="0"/>
              <w:jc w:val="center"/>
              <w:rPr>
                <w:b/>
                <w:bCs/>
                <w:szCs w:val="24"/>
              </w:rPr>
            </w:pPr>
            <w:r w:rsidRPr="008D1079">
              <w:rPr>
                <w:b/>
                <w:bCs/>
                <w:szCs w:val="24"/>
              </w:rPr>
              <w:t>Growth Rate (%)</w:t>
            </w:r>
          </w:p>
        </w:tc>
      </w:tr>
      <w:tr w:rsidR="008D1079" w:rsidRPr="008D1079" w14:paraId="6EA937D4" w14:textId="77777777" w:rsidTr="009E2BB4">
        <w:trPr>
          <w:trHeight w:val="170"/>
          <w:jc w:val="center"/>
        </w:trPr>
        <w:tc>
          <w:tcPr>
            <w:tcW w:w="0" w:type="auto"/>
            <w:tcBorders>
              <w:top w:val="nil"/>
              <w:left w:val="single" w:sz="8" w:space="0" w:color="auto"/>
              <w:bottom w:val="single" w:sz="8" w:space="0" w:color="auto"/>
              <w:right w:val="single" w:sz="8" w:space="0" w:color="auto"/>
            </w:tcBorders>
            <w:vAlign w:val="center"/>
            <w:hideMark/>
          </w:tcPr>
          <w:p w14:paraId="7DF96AB9" w14:textId="77777777" w:rsidR="008D1079" w:rsidRPr="008D1079" w:rsidRDefault="008D1079" w:rsidP="008D1079">
            <w:pPr>
              <w:spacing w:after="0" w:line="240" w:lineRule="auto"/>
              <w:ind w:left="0" w:right="0" w:firstLine="0"/>
              <w:jc w:val="left"/>
              <w:rPr>
                <w:szCs w:val="24"/>
              </w:rPr>
            </w:pPr>
            <w:r w:rsidRPr="008D1079">
              <w:rPr>
                <w:szCs w:val="24"/>
              </w:rPr>
              <w:t>2014</w:t>
            </w:r>
          </w:p>
        </w:tc>
        <w:tc>
          <w:tcPr>
            <w:tcW w:w="0" w:type="auto"/>
            <w:tcBorders>
              <w:top w:val="nil"/>
              <w:left w:val="nil"/>
              <w:bottom w:val="single" w:sz="8" w:space="0" w:color="auto"/>
              <w:right w:val="single" w:sz="8" w:space="0" w:color="auto"/>
            </w:tcBorders>
            <w:vAlign w:val="center"/>
            <w:hideMark/>
          </w:tcPr>
          <w:p w14:paraId="648027C7" w14:textId="77777777" w:rsidR="008D1079" w:rsidRPr="008D1079" w:rsidRDefault="008D1079" w:rsidP="009E2BB4">
            <w:pPr>
              <w:spacing w:after="0" w:line="240" w:lineRule="auto"/>
              <w:ind w:left="0" w:right="0" w:firstLine="0"/>
              <w:jc w:val="center"/>
              <w:rPr>
                <w:szCs w:val="24"/>
              </w:rPr>
            </w:pPr>
            <w:r w:rsidRPr="008D1079">
              <w:rPr>
                <w:szCs w:val="24"/>
              </w:rPr>
              <w:t>327.6</w:t>
            </w:r>
          </w:p>
        </w:tc>
        <w:tc>
          <w:tcPr>
            <w:tcW w:w="0" w:type="auto"/>
            <w:tcBorders>
              <w:top w:val="nil"/>
              <w:left w:val="nil"/>
              <w:bottom w:val="single" w:sz="8" w:space="0" w:color="auto"/>
              <w:right w:val="single" w:sz="8" w:space="0" w:color="auto"/>
            </w:tcBorders>
            <w:vAlign w:val="center"/>
            <w:hideMark/>
          </w:tcPr>
          <w:p w14:paraId="2382DEC7" w14:textId="77777777" w:rsidR="008D1079" w:rsidRPr="008D1079" w:rsidRDefault="008D1079" w:rsidP="009E2BB4">
            <w:pPr>
              <w:spacing w:after="0" w:line="240" w:lineRule="auto"/>
              <w:ind w:left="0" w:right="0" w:firstLine="0"/>
              <w:jc w:val="center"/>
              <w:rPr>
                <w:szCs w:val="24"/>
              </w:rPr>
            </w:pPr>
            <w:r w:rsidRPr="008D1079">
              <w:rPr>
                <w:szCs w:val="24"/>
              </w:rPr>
              <w:t>–</w:t>
            </w:r>
          </w:p>
        </w:tc>
      </w:tr>
      <w:tr w:rsidR="008D1079" w:rsidRPr="008D1079" w14:paraId="759E09C5" w14:textId="77777777" w:rsidTr="009E2BB4">
        <w:trPr>
          <w:trHeight w:val="170"/>
          <w:jc w:val="center"/>
        </w:trPr>
        <w:tc>
          <w:tcPr>
            <w:tcW w:w="0" w:type="auto"/>
            <w:tcBorders>
              <w:top w:val="nil"/>
              <w:left w:val="single" w:sz="8" w:space="0" w:color="auto"/>
              <w:bottom w:val="single" w:sz="8" w:space="0" w:color="auto"/>
              <w:right w:val="single" w:sz="8" w:space="0" w:color="auto"/>
            </w:tcBorders>
            <w:vAlign w:val="center"/>
            <w:hideMark/>
          </w:tcPr>
          <w:p w14:paraId="6CCFC16A" w14:textId="77777777" w:rsidR="008D1079" w:rsidRPr="008D1079" w:rsidRDefault="008D1079" w:rsidP="008D1079">
            <w:pPr>
              <w:spacing w:after="0" w:line="240" w:lineRule="auto"/>
              <w:ind w:left="0" w:right="0" w:firstLine="0"/>
              <w:rPr>
                <w:szCs w:val="24"/>
              </w:rPr>
            </w:pPr>
            <w:r w:rsidRPr="008D1079">
              <w:rPr>
                <w:szCs w:val="24"/>
              </w:rPr>
              <w:t>2015</w:t>
            </w:r>
          </w:p>
        </w:tc>
        <w:tc>
          <w:tcPr>
            <w:tcW w:w="0" w:type="auto"/>
            <w:tcBorders>
              <w:top w:val="nil"/>
              <w:left w:val="nil"/>
              <w:bottom w:val="single" w:sz="8" w:space="0" w:color="auto"/>
              <w:right w:val="single" w:sz="8" w:space="0" w:color="auto"/>
            </w:tcBorders>
            <w:vAlign w:val="center"/>
            <w:hideMark/>
          </w:tcPr>
          <w:p w14:paraId="793BF405" w14:textId="77777777" w:rsidR="008D1079" w:rsidRPr="008D1079" w:rsidRDefault="008D1079" w:rsidP="009E2BB4">
            <w:pPr>
              <w:spacing w:after="0" w:line="240" w:lineRule="auto"/>
              <w:ind w:left="0" w:right="0" w:firstLine="0"/>
              <w:jc w:val="center"/>
              <w:rPr>
                <w:szCs w:val="24"/>
              </w:rPr>
            </w:pPr>
            <w:r w:rsidRPr="008D1079">
              <w:rPr>
                <w:szCs w:val="24"/>
              </w:rPr>
              <w:t>333.5</w:t>
            </w:r>
          </w:p>
        </w:tc>
        <w:tc>
          <w:tcPr>
            <w:tcW w:w="0" w:type="auto"/>
            <w:tcBorders>
              <w:top w:val="nil"/>
              <w:left w:val="nil"/>
              <w:bottom w:val="single" w:sz="8" w:space="0" w:color="auto"/>
              <w:right w:val="single" w:sz="8" w:space="0" w:color="auto"/>
            </w:tcBorders>
            <w:vAlign w:val="center"/>
            <w:hideMark/>
          </w:tcPr>
          <w:p w14:paraId="0C0D4F0B" w14:textId="77777777" w:rsidR="008D1079" w:rsidRPr="008D1079" w:rsidRDefault="009E2BB4" w:rsidP="009E2BB4">
            <w:pPr>
              <w:spacing w:after="0" w:line="240" w:lineRule="auto"/>
              <w:ind w:left="0" w:right="0" w:firstLine="0"/>
              <w:jc w:val="center"/>
              <w:rPr>
                <w:szCs w:val="24"/>
              </w:rPr>
            </w:pPr>
            <w:r>
              <w:rPr>
                <w:szCs w:val="24"/>
              </w:rPr>
              <w:t>1.80</w:t>
            </w:r>
          </w:p>
        </w:tc>
      </w:tr>
      <w:tr w:rsidR="008D1079" w:rsidRPr="008D1079" w14:paraId="4EEFB6FB" w14:textId="77777777" w:rsidTr="009E2BB4">
        <w:trPr>
          <w:trHeight w:val="170"/>
          <w:jc w:val="center"/>
        </w:trPr>
        <w:tc>
          <w:tcPr>
            <w:tcW w:w="0" w:type="auto"/>
            <w:tcBorders>
              <w:top w:val="nil"/>
              <w:left w:val="single" w:sz="8" w:space="0" w:color="auto"/>
              <w:bottom w:val="single" w:sz="8" w:space="0" w:color="auto"/>
              <w:right w:val="single" w:sz="8" w:space="0" w:color="auto"/>
            </w:tcBorders>
            <w:vAlign w:val="center"/>
            <w:hideMark/>
          </w:tcPr>
          <w:p w14:paraId="4AE9D449" w14:textId="77777777" w:rsidR="008D1079" w:rsidRPr="008D1079" w:rsidRDefault="008D1079" w:rsidP="008D1079">
            <w:pPr>
              <w:spacing w:after="0" w:line="240" w:lineRule="auto"/>
              <w:ind w:left="0" w:right="0" w:firstLine="0"/>
              <w:rPr>
                <w:szCs w:val="24"/>
              </w:rPr>
            </w:pPr>
            <w:r w:rsidRPr="008D1079">
              <w:rPr>
                <w:szCs w:val="24"/>
              </w:rPr>
              <w:t>2016</w:t>
            </w:r>
          </w:p>
        </w:tc>
        <w:tc>
          <w:tcPr>
            <w:tcW w:w="0" w:type="auto"/>
            <w:tcBorders>
              <w:top w:val="nil"/>
              <w:left w:val="nil"/>
              <w:bottom w:val="single" w:sz="8" w:space="0" w:color="auto"/>
              <w:right w:val="single" w:sz="8" w:space="0" w:color="auto"/>
            </w:tcBorders>
            <w:vAlign w:val="center"/>
            <w:hideMark/>
          </w:tcPr>
          <w:p w14:paraId="0781C8F8" w14:textId="77777777" w:rsidR="008D1079" w:rsidRPr="008D1079" w:rsidRDefault="008D1079" w:rsidP="009E2BB4">
            <w:pPr>
              <w:spacing w:after="0" w:line="240" w:lineRule="auto"/>
              <w:ind w:left="0" w:right="0" w:firstLine="0"/>
              <w:jc w:val="center"/>
              <w:rPr>
                <w:szCs w:val="24"/>
              </w:rPr>
            </w:pPr>
            <w:r w:rsidRPr="008D1079">
              <w:rPr>
                <w:szCs w:val="24"/>
              </w:rPr>
              <w:t>343.8</w:t>
            </w:r>
          </w:p>
        </w:tc>
        <w:tc>
          <w:tcPr>
            <w:tcW w:w="0" w:type="auto"/>
            <w:tcBorders>
              <w:top w:val="nil"/>
              <w:left w:val="nil"/>
              <w:bottom w:val="single" w:sz="8" w:space="0" w:color="auto"/>
              <w:right w:val="single" w:sz="8" w:space="0" w:color="auto"/>
            </w:tcBorders>
            <w:vAlign w:val="center"/>
            <w:hideMark/>
          </w:tcPr>
          <w:p w14:paraId="19077A68" w14:textId="77777777" w:rsidR="008D1079" w:rsidRPr="008D1079" w:rsidRDefault="009E2BB4" w:rsidP="009E2BB4">
            <w:pPr>
              <w:spacing w:after="0" w:line="240" w:lineRule="auto"/>
              <w:ind w:left="0" w:right="0" w:firstLine="0"/>
              <w:jc w:val="center"/>
              <w:rPr>
                <w:szCs w:val="24"/>
              </w:rPr>
            </w:pPr>
            <w:r>
              <w:rPr>
                <w:szCs w:val="24"/>
              </w:rPr>
              <w:t>3.10</w:t>
            </w:r>
          </w:p>
        </w:tc>
      </w:tr>
      <w:tr w:rsidR="008D1079" w:rsidRPr="008D1079" w14:paraId="4720E41C" w14:textId="77777777" w:rsidTr="009E2BB4">
        <w:trPr>
          <w:trHeight w:val="170"/>
          <w:jc w:val="center"/>
        </w:trPr>
        <w:tc>
          <w:tcPr>
            <w:tcW w:w="0" w:type="auto"/>
            <w:tcBorders>
              <w:top w:val="nil"/>
              <w:left w:val="single" w:sz="8" w:space="0" w:color="auto"/>
              <w:bottom w:val="single" w:sz="8" w:space="0" w:color="auto"/>
              <w:right w:val="single" w:sz="8" w:space="0" w:color="auto"/>
            </w:tcBorders>
            <w:vAlign w:val="center"/>
            <w:hideMark/>
          </w:tcPr>
          <w:p w14:paraId="5D4B94CC" w14:textId="77777777" w:rsidR="008D1079" w:rsidRPr="008D1079" w:rsidRDefault="008D1079" w:rsidP="008D1079">
            <w:pPr>
              <w:spacing w:after="0" w:line="240" w:lineRule="auto"/>
              <w:ind w:left="0" w:right="0" w:firstLine="0"/>
              <w:rPr>
                <w:szCs w:val="24"/>
              </w:rPr>
            </w:pPr>
            <w:r w:rsidRPr="008D1079">
              <w:rPr>
                <w:szCs w:val="24"/>
              </w:rPr>
              <w:t>2017</w:t>
            </w:r>
          </w:p>
        </w:tc>
        <w:tc>
          <w:tcPr>
            <w:tcW w:w="0" w:type="auto"/>
            <w:tcBorders>
              <w:top w:val="nil"/>
              <w:left w:val="nil"/>
              <w:bottom w:val="single" w:sz="8" w:space="0" w:color="auto"/>
              <w:right w:val="single" w:sz="8" w:space="0" w:color="auto"/>
            </w:tcBorders>
            <w:vAlign w:val="center"/>
            <w:hideMark/>
          </w:tcPr>
          <w:p w14:paraId="3798393E" w14:textId="77777777" w:rsidR="008D1079" w:rsidRPr="008D1079" w:rsidRDefault="008D1079" w:rsidP="009E2BB4">
            <w:pPr>
              <w:spacing w:after="0" w:line="240" w:lineRule="auto"/>
              <w:ind w:left="0" w:right="0" w:firstLine="0"/>
              <w:jc w:val="center"/>
              <w:rPr>
                <w:szCs w:val="24"/>
              </w:rPr>
            </w:pPr>
            <w:r w:rsidRPr="008D1079">
              <w:rPr>
                <w:szCs w:val="24"/>
              </w:rPr>
              <w:t>345.1</w:t>
            </w:r>
          </w:p>
        </w:tc>
        <w:tc>
          <w:tcPr>
            <w:tcW w:w="0" w:type="auto"/>
            <w:tcBorders>
              <w:top w:val="nil"/>
              <w:left w:val="nil"/>
              <w:bottom w:val="single" w:sz="8" w:space="0" w:color="auto"/>
              <w:right w:val="single" w:sz="8" w:space="0" w:color="auto"/>
            </w:tcBorders>
            <w:vAlign w:val="center"/>
            <w:hideMark/>
          </w:tcPr>
          <w:p w14:paraId="65D8BEE9" w14:textId="77777777" w:rsidR="008D1079" w:rsidRPr="008D1079" w:rsidRDefault="009E2BB4" w:rsidP="009E2BB4">
            <w:pPr>
              <w:spacing w:after="0" w:line="240" w:lineRule="auto"/>
              <w:ind w:left="0" w:right="0" w:firstLine="0"/>
              <w:jc w:val="center"/>
              <w:rPr>
                <w:szCs w:val="24"/>
              </w:rPr>
            </w:pPr>
            <w:r>
              <w:rPr>
                <w:szCs w:val="24"/>
              </w:rPr>
              <w:t>0.40</w:t>
            </w:r>
          </w:p>
        </w:tc>
      </w:tr>
      <w:tr w:rsidR="008D1079" w:rsidRPr="008D1079" w14:paraId="6BF13A20" w14:textId="77777777" w:rsidTr="009E2BB4">
        <w:trPr>
          <w:trHeight w:val="170"/>
          <w:jc w:val="center"/>
        </w:trPr>
        <w:tc>
          <w:tcPr>
            <w:tcW w:w="0" w:type="auto"/>
            <w:tcBorders>
              <w:top w:val="nil"/>
              <w:left w:val="single" w:sz="8" w:space="0" w:color="auto"/>
              <w:bottom w:val="single" w:sz="8" w:space="0" w:color="auto"/>
              <w:right w:val="single" w:sz="8" w:space="0" w:color="auto"/>
            </w:tcBorders>
            <w:vAlign w:val="center"/>
            <w:hideMark/>
          </w:tcPr>
          <w:p w14:paraId="53DBDC7D" w14:textId="77777777" w:rsidR="008D1079" w:rsidRPr="008D1079" w:rsidRDefault="008D1079" w:rsidP="008D1079">
            <w:pPr>
              <w:spacing w:after="0" w:line="240" w:lineRule="auto"/>
              <w:ind w:left="0" w:right="0" w:firstLine="0"/>
              <w:rPr>
                <w:szCs w:val="24"/>
              </w:rPr>
            </w:pPr>
            <w:r w:rsidRPr="008D1079">
              <w:rPr>
                <w:szCs w:val="24"/>
              </w:rPr>
              <w:t>2018</w:t>
            </w:r>
          </w:p>
        </w:tc>
        <w:tc>
          <w:tcPr>
            <w:tcW w:w="0" w:type="auto"/>
            <w:tcBorders>
              <w:top w:val="nil"/>
              <w:left w:val="nil"/>
              <w:bottom w:val="single" w:sz="8" w:space="0" w:color="auto"/>
              <w:right w:val="single" w:sz="8" w:space="0" w:color="auto"/>
            </w:tcBorders>
            <w:vAlign w:val="center"/>
            <w:hideMark/>
          </w:tcPr>
          <w:p w14:paraId="34A68AD7" w14:textId="77777777" w:rsidR="008D1079" w:rsidRPr="008D1079" w:rsidRDefault="008D1079" w:rsidP="009E2BB4">
            <w:pPr>
              <w:spacing w:after="0" w:line="240" w:lineRule="auto"/>
              <w:ind w:left="0" w:right="0" w:firstLine="0"/>
              <w:jc w:val="center"/>
              <w:rPr>
                <w:szCs w:val="24"/>
              </w:rPr>
            </w:pPr>
            <w:r w:rsidRPr="008D1079">
              <w:rPr>
                <w:szCs w:val="24"/>
              </w:rPr>
              <w:t>385.9</w:t>
            </w:r>
          </w:p>
        </w:tc>
        <w:tc>
          <w:tcPr>
            <w:tcW w:w="0" w:type="auto"/>
            <w:tcBorders>
              <w:top w:val="nil"/>
              <w:left w:val="nil"/>
              <w:bottom w:val="single" w:sz="8" w:space="0" w:color="auto"/>
              <w:right w:val="single" w:sz="8" w:space="0" w:color="auto"/>
            </w:tcBorders>
            <w:vAlign w:val="center"/>
            <w:hideMark/>
          </w:tcPr>
          <w:p w14:paraId="7429355E" w14:textId="77777777" w:rsidR="008D1079" w:rsidRPr="008D1079" w:rsidRDefault="009E2BB4" w:rsidP="009E2BB4">
            <w:pPr>
              <w:spacing w:after="0" w:line="240" w:lineRule="auto"/>
              <w:ind w:left="0" w:right="0" w:firstLine="0"/>
              <w:jc w:val="center"/>
              <w:rPr>
                <w:szCs w:val="24"/>
              </w:rPr>
            </w:pPr>
            <w:r>
              <w:rPr>
                <w:szCs w:val="24"/>
              </w:rPr>
              <w:t>11.80</w:t>
            </w:r>
          </w:p>
        </w:tc>
      </w:tr>
      <w:tr w:rsidR="008D1079" w:rsidRPr="008D1079" w14:paraId="3B4C755C" w14:textId="77777777" w:rsidTr="009E2BB4">
        <w:trPr>
          <w:trHeight w:val="170"/>
          <w:jc w:val="center"/>
        </w:trPr>
        <w:tc>
          <w:tcPr>
            <w:tcW w:w="0" w:type="auto"/>
            <w:tcBorders>
              <w:top w:val="nil"/>
              <w:left w:val="single" w:sz="8" w:space="0" w:color="auto"/>
              <w:bottom w:val="single" w:sz="8" w:space="0" w:color="auto"/>
              <w:right w:val="single" w:sz="8" w:space="0" w:color="auto"/>
            </w:tcBorders>
            <w:vAlign w:val="center"/>
            <w:hideMark/>
          </w:tcPr>
          <w:p w14:paraId="204FDBE2" w14:textId="77777777" w:rsidR="008D1079" w:rsidRPr="008D1079" w:rsidRDefault="008D1079" w:rsidP="008D1079">
            <w:pPr>
              <w:spacing w:after="0" w:line="240" w:lineRule="auto"/>
              <w:ind w:left="0" w:right="0" w:firstLine="0"/>
              <w:rPr>
                <w:szCs w:val="24"/>
              </w:rPr>
            </w:pPr>
            <w:r w:rsidRPr="008D1079">
              <w:rPr>
                <w:szCs w:val="24"/>
              </w:rPr>
              <w:t>2019</w:t>
            </w:r>
          </w:p>
        </w:tc>
        <w:tc>
          <w:tcPr>
            <w:tcW w:w="0" w:type="auto"/>
            <w:tcBorders>
              <w:top w:val="nil"/>
              <w:left w:val="nil"/>
              <w:bottom w:val="single" w:sz="8" w:space="0" w:color="auto"/>
              <w:right w:val="single" w:sz="8" w:space="0" w:color="auto"/>
            </w:tcBorders>
            <w:vAlign w:val="center"/>
            <w:hideMark/>
          </w:tcPr>
          <w:p w14:paraId="32B32320" w14:textId="77777777" w:rsidR="008D1079" w:rsidRPr="008D1079" w:rsidRDefault="008D1079" w:rsidP="009E2BB4">
            <w:pPr>
              <w:spacing w:after="0" w:line="240" w:lineRule="auto"/>
              <w:ind w:left="0" w:right="0" w:firstLine="0"/>
              <w:jc w:val="center"/>
              <w:rPr>
                <w:szCs w:val="24"/>
              </w:rPr>
            </w:pPr>
            <w:r w:rsidRPr="008D1079">
              <w:rPr>
                <w:szCs w:val="24"/>
              </w:rPr>
              <w:t>494.8</w:t>
            </w:r>
          </w:p>
        </w:tc>
        <w:tc>
          <w:tcPr>
            <w:tcW w:w="0" w:type="auto"/>
            <w:tcBorders>
              <w:top w:val="nil"/>
              <w:left w:val="nil"/>
              <w:bottom w:val="single" w:sz="8" w:space="0" w:color="auto"/>
              <w:right w:val="single" w:sz="8" w:space="0" w:color="auto"/>
            </w:tcBorders>
            <w:vAlign w:val="center"/>
            <w:hideMark/>
          </w:tcPr>
          <w:p w14:paraId="1D575B0B" w14:textId="77777777" w:rsidR="008D1079" w:rsidRPr="008D1079" w:rsidRDefault="009E2BB4" w:rsidP="009E2BB4">
            <w:pPr>
              <w:spacing w:after="0" w:line="240" w:lineRule="auto"/>
              <w:ind w:left="0" w:right="0" w:firstLine="0"/>
              <w:jc w:val="center"/>
              <w:rPr>
                <w:szCs w:val="24"/>
              </w:rPr>
            </w:pPr>
            <w:r>
              <w:rPr>
                <w:szCs w:val="24"/>
              </w:rPr>
              <w:t>28.20</w:t>
            </w:r>
          </w:p>
        </w:tc>
      </w:tr>
      <w:tr w:rsidR="008D1079" w:rsidRPr="008D1079" w14:paraId="5F71DBD2" w14:textId="77777777" w:rsidTr="009E2BB4">
        <w:trPr>
          <w:trHeight w:val="170"/>
          <w:jc w:val="center"/>
        </w:trPr>
        <w:tc>
          <w:tcPr>
            <w:tcW w:w="0" w:type="auto"/>
            <w:tcBorders>
              <w:top w:val="nil"/>
              <w:left w:val="single" w:sz="8" w:space="0" w:color="auto"/>
              <w:bottom w:val="single" w:sz="8" w:space="0" w:color="auto"/>
              <w:right w:val="single" w:sz="8" w:space="0" w:color="auto"/>
            </w:tcBorders>
            <w:vAlign w:val="center"/>
            <w:hideMark/>
          </w:tcPr>
          <w:p w14:paraId="7F3F2562" w14:textId="77777777" w:rsidR="008D1079" w:rsidRPr="008D1079" w:rsidRDefault="008D1079" w:rsidP="008D1079">
            <w:pPr>
              <w:spacing w:after="0" w:line="240" w:lineRule="auto"/>
              <w:ind w:left="0" w:right="0" w:firstLine="0"/>
              <w:rPr>
                <w:szCs w:val="24"/>
              </w:rPr>
            </w:pPr>
            <w:r w:rsidRPr="008D1079">
              <w:rPr>
                <w:szCs w:val="24"/>
              </w:rPr>
              <w:t>2020</w:t>
            </w:r>
          </w:p>
        </w:tc>
        <w:tc>
          <w:tcPr>
            <w:tcW w:w="0" w:type="auto"/>
            <w:tcBorders>
              <w:top w:val="nil"/>
              <w:left w:val="nil"/>
              <w:bottom w:val="single" w:sz="8" w:space="0" w:color="auto"/>
              <w:right w:val="single" w:sz="8" w:space="0" w:color="auto"/>
            </w:tcBorders>
            <w:vAlign w:val="center"/>
            <w:hideMark/>
          </w:tcPr>
          <w:p w14:paraId="348A0E13" w14:textId="77777777" w:rsidR="008D1079" w:rsidRPr="008D1079" w:rsidRDefault="008D1079" w:rsidP="009E2BB4">
            <w:pPr>
              <w:spacing w:after="0" w:line="240" w:lineRule="auto"/>
              <w:ind w:left="0" w:right="0" w:firstLine="0"/>
              <w:jc w:val="center"/>
              <w:rPr>
                <w:szCs w:val="24"/>
              </w:rPr>
            </w:pPr>
            <w:r w:rsidRPr="008D1079">
              <w:rPr>
                <w:szCs w:val="24"/>
              </w:rPr>
              <w:t>140.6</w:t>
            </w:r>
          </w:p>
        </w:tc>
        <w:tc>
          <w:tcPr>
            <w:tcW w:w="0" w:type="auto"/>
            <w:tcBorders>
              <w:top w:val="nil"/>
              <w:left w:val="nil"/>
              <w:bottom w:val="single" w:sz="8" w:space="0" w:color="auto"/>
              <w:right w:val="single" w:sz="8" w:space="0" w:color="auto"/>
            </w:tcBorders>
            <w:vAlign w:val="center"/>
            <w:hideMark/>
          </w:tcPr>
          <w:p w14:paraId="2F4AB0EA" w14:textId="77777777" w:rsidR="008D1079" w:rsidRPr="008D1079" w:rsidRDefault="009E2BB4" w:rsidP="009E2BB4">
            <w:pPr>
              <w:spacing w:after="0" w:line="240" w:lineRule="auto"/>
              <w:ind w:left="0" w:right="0" w:firstLine="0"/>
              <w:jc w:val="center"/>
              <w:rPr>
                <w:szCs w:val="24"/>
              </w:rPr>
            </w:pPr>
            <w:r>
              <w:rPr>
                <w:szCs w:val="24"/>
              </w:rPr>
              <w:t>−71.6</w:t>
            </w:r>
            <w:r w:rsidR="008D1079" w:rsidRPr="008D1079">
              <w:rPr>
                <w:szCs w:val="24"/>
              </w:rPr>
              <w:t xml:space="preserve"> (COVID-19 impact)</w:t>
            </w:r>
          </w:p>
        </w:tc>
      </w:tr>
      <w:tr w:rsidR="008D1079" w:rsidRPr="008D1079" w14:paraId="512038BB" w14:textId="77777777" w:rsidTr="009E2BB4">
        <w:trPr>
          <w:trHeight w:val="170"/>
          <w:jc w:val="center"/>
        </w:trPr>
        <w:tc>
          <w:tcPr>
            <w:tcW w:w="0" w:type="auto"/>
            <w:tcBorders>
              <w:top w:val="nil"/>
              <w:left w:val="single" w:sz="8" w:space="0" w:color="auto"/>
              <w:bottom w:val="single" w:sz="8" w:space="0" w:color="auto"/>
              <w:right w:val="single" w:sz="8" w:space="0" w:color="auto"/>
            </w:tcBorders>
            <w:vAlign w:val="center"/>
            <w:hideMark/>
          </w:tcPr>
          <w:p w14:paraId="2E0AE6D3" w14:textId="77777777" w:rsidR="008D1079" w:rsidRPr="008D1079" w:rsidRDefault="008D1079" w:rsidP="008D1079">
            <w:pPr>
              <w:spacing w:after="0" w:line="240" w:lineRule="auto"/>
              <w:ind w:left="0" w:right="0" w:firstLine="0"/>
              <w:rPr>
                <w:szCs w:val="24"/>
              </w:rPr>
            </w:pPr>
            <w:r w:rsidRPr="008D1079">
              <w:rPr>
                <w:szCs w:val="24"/>
              </w:rPr>
              <w:t>2021</w:t>
            </w:r>
          </w:p>
        </w:tc>
        <w:tc>
          <w:tcPr>
            <w:tcW w:w="0" w:type="auto"/>
            <w:tcBorders>
              <w:top w:val="nil"/>
              <w:left w:val="nil"/>
              <w:bottom w:val="single" w:sz="8" w:space="0" w:color="auto"/>
              <w:right w:val="single" w:sz="8" w:space="0" w:color="auto"/>
            </w:tcBorders>
            <w:vAlign w:val="center"/>
            <w:hideMark/>
          </w:tcPr>
          <w:p w14:paraId="7345F6D4" w14:textId="77777777" w:rsidR="008D1079" w:rsidRPr="008D1079" w:rsidRDefault="008D1079" w:rsidP="009E2BB4">
            <w:pPr>
              <w:spacing w:after="0" w:line="240" w:lineRule="auto"/>
              <w:ind w:left="0" w:right="0" w:firstLine="0"/>
              <w:jc w:val="center"/>
              <w:rPr>
                <w:szCs w:val="24"/>
              </w:rPr>
            </w:pPr>
            <w:r w:rsidRPr="008D1079">
              <w:rPr>
                <w:szCs w:val="24"/>
              </w:rPr>
              <w:t>140.1</w:t>
            </w:r>
          </w:p>
        </w:tc>
        <w:tc>
          <w:tcPr>
            <w:tcW w:w="0" w:type="auto"/>
            <w:tcBorders>
              <w:top w:val="nil"/>
              <w:left w:val="nil"/>
              <w:bottom w:val="single" w:sz="8" w:space="0" w:color="auto"/>
              <w:right w:val="single" w:sz="8" w:space="0" w:color="auto"/>
            </w:tcBorders>
            <w:vAlign w:val="center"/>
            <w:hideMark/>
          </w:tcPr>
          <w:p w14:paraId="5E1B1C79" w14:textId="77777777" w:rsidR="008D1079" w:rsidRPr="008D1079" w:rsidRDefault="008D1079" w:rsidP="009E2BB4">
            <w:pPr>
              <w:spacing w:after="0" w:line="240" w:lineRule="auto"/>
              <w:ind w:left="0" w:right="0" w:firstLine="0"/>
              <w:jc w:val="center"/>
              <w:rPr>
                <w:szCs w:val="24"/>
              </w:rPr>
            </w:pPr>
            <w:r w:rsidRPr="008D1079">
              <w:rPr>
                <w:szCs w:val="24"/>
              </w:rPr>
              <w:t>−0.4%</w:t>
            </w:r>
          </w:p>
        </w:tc>
      </w:tr>
      <w:tr w:rsidR="008D1079" w:rsidRPr="008D1079" w14:paraId="251601A4" w14:textId="77777777" w:rsidTr="009E2BB4">
        <w:trPr>
          <w:trHeight w:val="170"/>
          <w:jc w:val="center"/>
        </w:trPr>
        <w:tc>
          <w:tcPr>
            <w:tcW w:w="0" w:type="auto"/>
            <w:tcBorders>
              <w:top w:val="nil"/>
              <w:left w:val="single" w:sz="8" w:space="0" w:color="auto"/>
              <w:bottom w:val="single" w:sz="8" w:space="0" w:color="auto"/>
              <w:right w:val="single" w:sz="8" w:space="0" w:color="auto"/>
            </w:tcBorders>
            <w:vAlign w:val="center"/>
            <w:hideMark/>
          </w:tcPr>
          <w:p w14:paraId="5C2D318D" w14:textId="77777777" w:rsidR="008D1079" w:rsidRPr="008D1079" w:rsidRDefault="008D1079" w:rsidP="008D1079">
            <w:pPr>
              <w:spacing w:after="0" w:line="240" w:lineRule="auto"/>
              <w:ind w:left="0" w:right="0" w:firstLine="0"/>
              <w:rPr>
                <w:szCs w:val="24"/>
              </w:rPr>
            </w:pPr>
            <w:r w:rsidRPr="008D1079">
              <w:rPr>
                <w:szCs w:val="24"/>
              </w:rPr>
              <w:t>2022</w:t>
            </w:r>
          </w:p>
        </w:tc>
        <w:tc>
          <w:tcPr>
            <w:tcW w:w="0" w:type="auto"/>
            <w:tcBorders>
              <w:top w:val="nil"/>
              <w:left w:val="nil"/>
              <w:bottom w:val="single" w:sz="8" w:space="0" w:color="auto"/>
              <w:right w:val="single" w:sz="8" w:space="0" w:color="auto"/>
            </w:tcBorders>
            <w:vAlign w:val="center"/>
            <w:hideMark/>
          </w:tcPr>
          <w:p w14:paraId="4CD2E356" w14:textId="77777777" w:rsidR="008D1079" w:rsidRPr="008D1079" w:rsidRDefault="008D1079" w:rsidP="009E2BB4">
            <w:pPr>
              <w:spacing w:after="0" w:line="240" w:lineRule="auto"/>
              <w:ind w:left="0" w:right="0" w:firstLine="0"/>
              <w:jc w:val="center"/>
              <w:rPr>
                <w:szCs w:val="24"/>
              </w:rPr>
            </w:pPr>
            <w:r w:rsidRPr="008D1079">
              <w:rPr>
                <w:szCs w:val="24"/>
              </w:rPr>
              <w:t>218.58</w:t>
            </w:r>
          </w:p>
        </w:tc>
        <w:tc>
          <w:tcPr>
            <w:tcW w:w="0" w:type="auto"/>
            <w:tcBorders>
              <w:top w:val="nil"/>
              <w:left w:val="nil"/>
              <w:bottom w:val="single" w:sz="8" w:space="0" w:color="auto"/>
              <w:right w:val="single" w:sz="8" w:space="0" w:color="auto"/>
            </w:tcBorders>
            <w:vAlign w:val="center"/>
            <w:hideMark/>
          </w:tcPr>
          <w:p w14:paraId="51683069" w14:textId="77777777" w:rsidR="008D1079" w:rsidRPr="008D1079" w:rsidRDefault="009E2BB4" w:rsidP="009E2BB4">
            <w:pPr>
              <w:spacing w:after="0" w:line="240" w:lineRule="auto"/>
              <w:ind w:left="0" w:right="0" w:firstLine="0"/>
              <w:jc w:val="center"/>
              <w:rPr>
                <w:szCs w:val="24"/>
              </w:rPr>
            </w:pPr>
            <w:r>
              <w:rPr>
                <w:szCs w:val="24"/>
              </w:rPr>
              <w:t>+56.0</w:t>
            </w:r>
          </w:p>
        </w:tc>
      </w:tr>
      <w:tr w:rsidR="008D1079" w:rsidRPr="008D1079" w14:paraId="20C6CA08" w14:textId="77777777" w:rsidTr="009E2BB4">
        <w:trPr>
          <w:trHeight w:val="170"/>
          <w:jc w:val="center"/>
        </w:trPr>
        <w:tc>
          <w:tcPr>
            <w:tcW w:w="0" w:type="auto"/>
            <w:tcBorders>
              <w:top w:val="nil"/>
              <w:left w:val="single" w:sz="8" w:space="0" w:color="auto"/>
              <w:bottom w:val="single" w:sz="8" w:space="0" w:color="auto"/>
              <w:right w:val="single" w:sz="8" w:space="0" w:color="auto"/>
            </w:tcBorders>
            <w:vAlign w:val="center"/>
            <w:hideMark/>
          </w:tcPr>
          <w:p w14:paraId="5849ADB8" w14:textId="77777777" w:rsidR="008D1079" w:rsidRPr="008D1079" w:rsidRDefault="008D1079" w:rsidP="008D1079">
            <w:pPr>
              <w:spacing w:after="0" w:line="240" w:lineRule="auto"/>
              <w:ind w:left="0" w:right="0" w:firstLine="0"/>
              <w:rPr>
                <w:szCs w:val="24"/>
              </w:rPr>
            </w:pPr>
            <w:r w:rsidRPr="008D1079">
              <w:rPr>
                <w:szCs w:val="24"/>
              </w:rPr>
              <w:t>2023</w:t>
            </w:r>
          </w:p>
        </w:tc>
        <w:tc>
          <w:tcPr>
            <w:tcW w:w="0" w:type="auto"/>
            <w:tcBorders>
              <w:top w:val="nil"/>
              <w:left w:val="nil"/>
              <w:bottom w:val="single" w:sz="8" w:space="0" w:color="auto"/>
              <w:right w:val="single" w:sz="8" w:space="0" w:color="auto"/>
            </w:tcBorders>
            <w:vAlign w:val="center"/>
            <w:hideMark/>
          </w:tcPr>
          <w:p w14:paraId="1D9A4E14" w14:textId="77777777" w:rsidR="008D1079" w:rsidRPr="008D1079" w:rsidRDefault="008D1079" w:rsidP="009E2BB4">
            <w:pPr>
              <w:spacing w:after="0" w:line="240" w:lineRule="auto"/>
              <w:ind w:left="0" w:right="0" w:firstLine="0"/>
              <w:jc w:val="center"/>
              <w:rPr>
                <w:szCs w:val="24"/>
              </w:rPr>
            </w:pPr>
            <w:r w:rsidRPr="008D1079">
              <w:rPr>
                <w:szCs w:val="24"/>
              </w:rPr>
              <w:t>286.01</w:t>
            </w:r>
          </w:p>
        </w:tc>
        <w:tc>
          <w:tcPr>
            <w:tcW w:w="0" w:type="auto"/>
            <w:tcBorders>
              <w:top w:val="nil"/>
              <w:left w:val="nil"/>
              <w:bottom w:val="single" w:sz="8" w:space="0" w:color="auto"/>
              <w:right w:val="single" w:sz="8" w:space="0" w:color="auto"/>
            </w:tcBorders>
            <w:vAlign w:val="center"/>
            <w:hideMark/>
          </w:tcPr>
          <w:p w14:paraId="43B20DC3" w14:textId="77777777" w:rsidR="008D1079" w:rsidRPr="008D1079" w:rsidRDefault="009E2BB4" w:rsidP="009E2BB4">
            <w:pPr>
              <w:spacing w:after="0" w:line="240" w:lineRule="auto"/>
              <w:ind w:left="0" w:right="0" w:firstLine="0"/>
              <w:jc w:val="center"/>
              <w:rPr>
                <w:szCs w:val="24"/>
              </w:rPr>
            </w:pPr>
            <w:r>
              <w:rPr>
                <w:szCs w:val="24"/>
              </w:rPr>
              <w:t>30.80</w:t>
            </w:r>
          </w:p>
        </w:tc>
      </w:tr>
      <w:tr w:rsidR="008D1079" w:rsidRPr="008D1079" w14:paraId="698117A2" w14:textId="77777777" w:rsidTr="009E2BB4">
        <w:trPr>
          <w:trHeight w:val="170"/>
          <w:jc w:val="center"/>
        </w:trPr>
        <w:tc>
          <w:tcPr>
            <w:tcW w:w="0" w:type="auto"/>
            <w:tcBorders>
              <w:top w:val="nil"/>
              <w:left w:val="single" w:sz="8" w:space="0" w:color="auto"/>
              <w:bottom w:val="single" w:sz="8" w:space="0" w:color="auto"/>
              <w:right w:val="single" w:sz="8" w:space="0" w:color="auto"/>
            </w:tcBorders>
            <w:vAlign w:val="center"/>
            <w:hideMark/>
          </w:tcPr>
          <w:p w14:paraId="054166BB" w14:textId="77777777" w:rsidR="008D1079" w:rsidRPr="008D1079" w:rsidRDefault="008D1079" w:rsidP="008D1079">
            <w:pPr>
              <w:spacing w:after="0" w:line="240" w:lineRule="auto"/>
              <w:ind w:left="0" w:right="0" w:firstLine="0"/>
              <w:rPr>
                <w:szCs w:val="24"/>
              </w:rPr>
            </w:pPr>
            <w:r w:rsidRPr="008D1079">
              <w:rPr>
                <w:szCs w:val="24"/>
              </w:rPr>
              <w:t>2024</w:t>
            </w:r>
          </w:p>
        </w:tc>
        <w:tc>
          <w:tcPr>
            <w:tcW w:w="0" w:type="auto"/>
            <w:tcBorders>
              <w:top w:val="nil"/>
              <w:left w:val="nil"/>
              <w:bottom w:val="single" w:sz="8" w:space="0" w:color="auto"/>
              <w:right w:val="single" w:sz="8" w:space="0" w:color="auto"/>
            </w:tcBorders>
            <w:vAlign w:val="center"/>
            <w:hideMark/>
          </w:tcPr>
          <w:p w14:paraId="390ED4E6" w14:textId="77777777" w:rsidR="008D1079" w:rsidRPr="008D1079" w:rsidRDefault="009E2BB4" w:rsidP="009E2BB4">
            <w:pPr>
              <w:spacing w:after="0" w:line="240" w:lineRule="auto"/>
              <w:ind w:left="0" w:right="0" w:firstLine="0"/>
              <w:jc w:val="center"/>
              <w:rPr>
                <w:szCs w:val="24"/>
              </w:rPr>
            </w:pPr>
            <w:r>
              <w:rPr>
                <w:szCs w:val="24"/>
              </w:rPr>
              <w:t>306.0</w:t>
            </w:r>
          </w:p>
        </w:tc>
        <w:tc>
          <w:tcPr>
            <w:tcW w:w="0" w:type="auto"/>
            <w:tcBorders>
              <w:top w:val="nil"/>
              <w:left w:val="nil"/>
              <w:bottom w:val="single" w:sz="8" w:space="0" w:color="auto"/>
              <w:right w:val="single" w:sz="8" w:space="0" w:color="auto"/>
            </w:tcBorders>
            <w:vAlign w:val="center"/>
            <w:hideMark/>
          </w:tcPr>
          <w:p w14:paraId="090A418B" w14:textId="77777777" w:rsidR="008D1079" w:rsidRPr="008D1079" w:rsidRDefault="009E2BB4" w:rsidP="009E2BB4">
            <w:pPr>
              <w:spacing w:after="0" w:line="240" w:lineRule="auto"/>
              <w:ind w:left="0" w:right="0" w:firstLine="0"/>
              <w:jc w:val="center"/>
              <w:rPr>
                <w:szCs w:val="24"/>
              </w:rPr>
            </w:pPr>
            <w:r>
              <w:rPr>
                <w:szCs w:val="24"/>
              </w:rPr>
              <w:t>7.00</w:t>
            </w:r>
          </w:p>
        </w:tc>
      </w:tr>
    </w:tbl>
    <w:p w14:paraId="18748D27" w14:textId="77777777" w:rsidR="008D1079" w:rsidRDefault="008D1079" w:rsidP="008D1079"/>
    <w:p w14:paraId="4A57C8D7" w14:textId="5B7FF3EC" w:rsidR="009E2BB4" w:rsidRPr="009E2BB4" w:rsidRDefault="009E2BB4" w:rsidP="009E2BB4">
      <w:pPr>
        <w:jc w:val="center"/>
        <w:rPr>
          <w:b/>
        </w:rPr>
      </w:pPr>
      <w:r w:rsidRPr="009E2BB4">
        <w:rPr>
          <w:b/>
        </w:rPr>
        <w:t>Fig.2 Growth Rate of Domestic Tourist Arrivals 2014-2024</w:t>
      </w:r>
    </w:p>
    <w:p w14:paraId="24C0B85F" w14:textId="77777777" w:rsidR="008D1079" w:rsidRDefault="00C042F8" w:rsidP="009E2BB4">
      <w:pPr>
        <w:jc w:val="center"/>
      </w:pPr>
      <w:r>
        <w:rPr>
          <w:noProof/>
        </w:rPr>
        <mc:AlternateContent>
          <mc:Choice Requires="wps">
            <w:drawing>
              <wp:inline distT="0" distB="0" distL="0" distR="0" wp14:anchorId="2F6EB91D" wp14:editId="45C05C23">
                <wp:extent cx="304800" cy="304800"/>
                <wp:effectExtent l="0" t="0" r="0" b="0"/>
                <wp:docPr id="1" name="AutoShap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A4AA608" id="AutoShape 2"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DmoacOvgIA&#10;AMwFAAAOAAAAAAAAAAAAAAAAAC4CAABkcnMvZTJvRG9jLnhtbFBLAQItABQABgAIAAAAIQBMoOks&#10;2AAAAAMBAAAPAAAAAAAAAAAAAAAAABgFAABkcnMvZG93bnJldi54bWxQSwUGAAAAAAQABADzAAAA&#10;HQYAAAAA&#10;" filled="f" stroked="f">
                <o:lock v:ext="edit" aspectratio="t"/>
                <w10:anchorlock/>
              </v:rect>
            </w:pict>
          </mc:Fallback>
        </mc:AlternateContent>
      </w:r>
      <w:r w:rsidRPr="00C042F8">
        <w:rPr>
          <w:noProof/>
        </w:rPr>
        <w:drawing>
          <wp:inline distT="0" distB="0" distL="0" distR="0" wp14:anchorId="7F9B72F1" wp14:editId="09958BA7">
            <wp:extent cx="4610100" cy="2789235"/>
            <wp:effectExtent l="76200" t="76200" r="133350" b="1257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16018" cy="27928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06DED4E" w14:textId="77777777" w:rsidR="00FF4053" w:rsidRDefault="00C042F8" w:rsidP="009E2BB4">
      <w:r>
        <w:rPr>
          <w:noProof/>
        </w:rPr>
        <mc:AlternateContent>
          <mc:Choice Requires="wps">
            <w:drawing>
              <wp:inline distT="0" distB="0" distL="0" distR="0" wp14:anchorId="491B4223" wp14:editId="35C50298">
                <wp:extent cx="304800" cy="304800"/>
                <wp:effectExtent l="0" t="0" r="0" b="0"/>
                <wp:docPr id="5" name="Rectangle 5"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B8CA937" id="Rectangle 5"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ubmI5&#10;wQIAAMwFAAAOAAAAAAAAAAAAAAAAAC4CAABkcnMvZTJvRG9jLnhtbFBLAQItABQABgAIAAAAIQBM&#10;oOks2AAAAAMBAAAPAAAAAAAAAAAAAAAAABsFAABkcnMvZG93bnJldi54bWxQSwUGAAAAAAQABADz&#10;AAAAIAYAAAAA&#10;" filled="f" stroked="f">
                <o:lock v:ext="edit" aspectratio="t"/>
                <w10:anchorlock/>
              </v:rect>
            </w:pict>
          </mc:Fallback>
        </mc:AlternateContent>
      </w:r>
      <w:r w:rsidR="00116FF4">
        <w:t xml:space="preserve">From 2014 to 2019, domestic tourism in Tamil Nadu experienced consistent growth. The number of domestic tourists increased from 327.6 million in 2014 to 494.8 million in 2019, recording an impressive growth of +28.2% in 2019 — the highest growth rate during the period. This rise can be attributed to improved tourism infrastructure, enhanced promotional activities by </w:t>
      </w:r>
      <w:r w:rsidR="00116FF4">
        <w:lastRenderedPageBreak/>
        <w:t xml:space="preserve">the Tamil Nadu Tourism Development Corporation (TTDC), and increased domestic travel interest. The COVID-19 pandemic had a devastating impact on tourism in 2020, leading to a sharp decline of -71.6% in domestic tourist arrivals, dropping to 140.6 million. Despite the pandemic’s impact, the decline in 2021 was minimal (-0.4%), indicating early signs of recovery. The tourism sector began to recover in 2022, with a significant growth rate of +31.5% as domestic travel restrictions were lifted and tourism promotion resumed. In 2023, domestic tourist arrivals increased further to 223.5 million with a growth rate of +21.3%, reflecting a positive trend towards full recovery. </w:t>
      </w:r>
    </w:p>
    <w:p w14:paraId="6435862D" w14:textId="77777777" w:rsidR="00FF4053" w:rsidRDefault="00116FF4">
      <w:pPr>
        <w:ind w:left="-5" w:right="0"/>
      </w:pPr>
      <w:r>
        <w:t xml:space="preserve">The data suggests that Tamil Nadu’s domestic tourism sector is on a recovery path, but strategic efforts in marketing, infrastructure improvement, and tourism diversification are essential to sustain long-term growth. The government's initiatives to promote medical tourism, eco-tourism, and cultural tourism are expected to drive further growth in the coming years. </w:t>
      </w:r>
    </w:p>
    <w:p w14:paraId="74695911" w14:textId="77777777" w:rsidR="00FF4053" w:rsidRDefault="00CA5A2D">
      <w:pPr>
        <w:pStyle w:val="Heading2"/>
        <w:ind w:left="-5"/>
      </w:pPr>
      <w:r>
        <w:t>4.2</w:t>
      </w:r>
      <w:r w:rsidR="00116FF4">
        <w:t xml:space="preserve">. Growth in Foreign Tourist Arrivals </w:t>
      </w:r>
    </w:p>
    <w:p w14:paraId="088AD086" w14:textId="77777777" w:rsidR="00FF4053" w:rsidRDefault="00116FF4" w:rsidP="009E2BB4">
      <w:pPr>
        <w:ind w:left="-5" w:right="0" w:firstLine="725"/>
      </w:pPr>
      <w:r>
        <w:t xml:space="preserve">Tamil Nadu remains one of the leading states in India for attracting foreign tourists. The state’s ancient heritage sites, including UNESCO World Heritage Sites like </w:t>
      </w:r>
      <w:proofErr w:type="spellStart"/>
      <w:r>
        <w:t>Mamallapuram</w:t>
      </w:r>
      <w:proofErr w:type="spellEnd"/>
      <w:r>
        <w:t xml:space="preserve"> and the Great Living </w:t>
      </w:r>
      <w:proofErr w:type="spellStart"/>
      <w:r>
        <w:t>Chola</w:t>
      </w:r>
      <w:proofErr w:type="spellEnd"/>
      <w:r>
        <w:t xml:space="preserve"> Temples, have drawn global attention. Medical tourism has also become a major driver of foreign arrivals, with Chennai being recognized as the medical capital of India. </w:t>
      </w:r>
    </w:p>
    <w:p w14:paraId="506E5528" w14:textId="77777777" w:rsidR="00FF4053" w:rsidRPr="009E2BB4" w:rsidRDefault="00116FF4">
      <w:pPr>
        <w:pStyle w:val="Heading2"/>
        <w:spacing w:after="230"/>
        <w:ind w:left="0" w:firstLine="0"/>
      </w:pPr>
      <w:r w:rsidRPr="009E2BB4">
        <w:t xml:space="preserve"> Attractions Driving Foreign Tourism </w:t>
      </w:r>
    </w:p>
    <w:p w14:paraId="33C5CD61" w14:textId="77777777" w:rsidR="00FF4053" w:rsidRDefault="00116FF4" w:rsidP="009E2BB4">
      <w:pPr>
        <w:ind w:left="-5" w:right="0" w:firstLine="725"/>
      </w:pPr>
      <w:r>
        <w:t xml:space="preserve">Tamil Nadu’s heritage tourism is anchored by its rich architectural legacy. The Shore Temple at </w:t>
      </w:r>
      <w:proofErr w:type="spellStart"/>
      <w:r>
        <w:t>Mamallapuram</w:t>
      </w:r>
      <w:proofErr w:type="spellEnd"/>
      <w:r>
        <w:t xml:space="preserve">, the </w:t>
      </w:r>
      <w:proofErr w:type="spellStart"/>
      <w:r>
        <w:t>Brihadeeswarar</w:t>
      </w:r>
      <w:proofErr w:type="spellEnd"/>
      <w:r>
        <w:t xml:space="preserve"> Temple, and the </w:t>
      </w:r>
      <w:proofErr w:type="spellStart"/>
      <w:r>
        <w:t>Gangaikondacholapuram</w:t>
      </w:r>
      <w:proofErr w:type="spellEnd"/>
      <w:r>
        <w:t xml:space="preserve"> Temple are some of the finest examples of Dravidian architecture, attracting history enthusiasts and culture seekers from across the globe. The state's advanced healthcare infrastructure has made it a preferred destination for medical tourism, with international patients seeking affordable and high-quality treatment. Tamil Nadu’s eco and adventure tourism destinations, such as the </w:t>
      </w:r>
      <w:proofErr w:type="spellStart"/>
      <w:r>
        <w:t>Mudumalai</w:t>
      </w:r>
      <w:proofErr w:type="spellEnd"/>
      <w:r>
        <w:t xml:space="preserve"> Wildlife Sanctuary and </w:t>
      </w:r>
      <w:proofErr w:type="spellStart"/>
      <w:r>
        <w:t>Valparai</w:t>
      </w:r>
      <w:proofErr w:type="spellEnd"/>
      <w:r>
        <w:t xml:space="preserve">, have also gained traction among international travelers. </w:t>
      </w:r>
    </w:p>
    <w:p w14:paraId="4664C0A7" w14:textId="77777777" w:rsidR="009E2BB4" w:rsidRDefault="009E2BB4">
      <w:pPr>
        <w:spacing w:after="116" w:line="259" w:lineRule="auto"/>
        <w:ind w:right="5"/>
        <w:jc w:val="center"/>
        <w:rPr>
          <w:b/>
        </w:rPr>
      </w:pPr>
    </w:p>
    <w:p w14:paraId="223FAC46" w14:textId="77777777" w:rsidR="009E2BB4" w:rsidRDefault="009E2BB4">
      <w:pPr>
        <w:spacing w:after="116" w:line="259" w:lineRule="auto"/>
        <w:ind w:right="5"/>
        <w:jc w:val="center"/>
        <w:rPr>
          <w:b/>
        </w:rPr>
      </w:pPr>
    </w:p>
    <w:p w14:paraId="7FC0B897" w14:textId="4B74D60B" w:rsidR="009E2BB4" w:rsidRDefault="009E2BB4" w:rsidP="009E2BB4">
      <w:pPr>
        <w:spacing w:after="0" w:line="259" w:lineRule="auto"/>
        <w:ind w:right="5"/>
        <w:jc w:val="center"/>
        <w:rPr>
          <w:b/>
        </w:rPr>
      </w:pPr>
      <w:r>
        <w:rPr>
          <w:b/>
        </w:rPr>
        <w:lastRenderedPageBreak/>
        <w:t>Table 2 Foreign Tourist Arrivals (2014–2024)</w:t>
      </w:r>
    </w:p>
    <w:tbl>
      <w:tblPr>
        <w:tblW w:w="6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2385"/>
        <w:gridCol w:w="3059"/>
      </w:tblGrid>
      <w:tr w:rsidR="009E2BB4" w:rsidRPr="009E2BB4" w14:paraId="29C2E173" w14:textId="77777777" w:rsidTr="00D539AC">
        <w:trPr>
          <w:trHeight w:val="482"/>
          <w:jc w:val="center"/>
        </w:trPr>
        <w:tc>
          <w:tcPr>
            <w:tcW w:w="1184" w:type="dxa"/>
            <w:vAlign w:val="center"/>
            <w:hideMark/>
          </w:tcPr>
          <w:p w14:paraId="1F767DC8" w14:textId="77777777" w:rsidR="009E2BB4" w:rsidRPr="009E2BB4" w:rsidRDefault="009E2BB4" w:rsidP="00D539AC">
            <w:pPr>
              <w:spacing w:after="0" w:line="240" w:lineRule="auto"/>
              <w:ind w:left="0" w:right="0" w:firstLine="0"/>
              <w:jc w:val="center"/>
              <w:rPr>
                <w:b/>
                <w:bCs/>
                <w:sz w:val="22"/>
              </w:rPr>
            </w:pPr>
            <w:r w:rsidRPr="009E2BB4">
              <w:rPr>
                <w:b/>
                <w:bCs/>
                <w:sz w:val="22"/>
              </w:rPr>
              <w:t>Year</w:t>
            </w:r>
          </w:p>
        </w:tc>
        <w:tc>
          <w:tcPr>
            <w:tcW w:w="2385" w:type="dxa"/>
            <w:vAlign w:val="center"/>
            <w:hideMark/>
          </w:tcPr>
          <w:p w14:paraId="1FC41E20" w14:textId="77777777" w:rsidR="009E2BB4" w:rsidRPr="009E2BB4" w:rsidRDefault="009E2BB4" w:rsidP="00D539AC">
            <w:pPr>
              <w:spacing w:after="0" w:line="240" w:lineRule="auto"/>
              <w:ind w:left="0" w:right="0" w:firstLine="0"/>
              <w:jc w:val="center"/>
              <w:rPr>
                <w:b/>
                <w:bCs/>
                <w:sz w:val="22"/>
              </w:rPr>
            </w:pPr>
            <w:r w:rsidRPr="009E2BB4">
              <w:rPr>
                <w:b/>
                <w:bCs/>
                <w:sz w:val="22"/>
              </w:rPr>
              <w:t>Foreign Tourists (in millions)</w:t>
            </w:r>
          </w:p>
        </w:tc>
        <w:tc>
          <w:tcPr>
            <w:tcW w:w="3059" w:type="dxa"/>
            <w:vAlign w:val="center"/>
            <w:hideMark/>
          </w:tcPr>
          <w:p w14:paraId="41C47B81" w14:textId="77777777" w:rsidR="009E2BB4" w:rsidRPr="009E2BB4" w:rsidRDefault="009E2BB4" w:rsidP="00D539AC">
            <w:pPr>
              <w:spacing w:after="0" w:line="240" w:lineRule="auto"/>
              <w:ind w:left="0" w:right="0" w:firstLine="0"/>
              <w:jc w:val="center"/>
              <w:rPr>
                <w:b/>
                <w:bCs/>
                <w:sz w:val="22"/>
              </w:rPr>
            </w:pPr>
            <w:r w:rsidRPr="009E2BB4">
              <w:rPr>
                <w:b/>
                <w:bCs/>
                <w:sz w:val="22"/>
              </w:rPr>
              <w:t>Growth Rate (%)</w:t>
            </w:r>
          </w:p>
        </w:tc>
      </w:tr>
      <w:tr w:rsidR="009E2BB4" w:rsidRPr="009E2BB4" w14:paraId="5B88CB40" w14:textId="77777777" w:rsidTr="00D539AC">
        <w:trPr>
          <w:trHeight w:val="120"/>
          <w:jc w:val="center"/>
        </w:trPr>
        <w:tc>
          <w:tcPr>
            <w:tcW w:w="1184" w:type="dxa"/>
            <w:vAlign w:val="center"/>
            <w:hideMark/>
          </w:tcPr>
          <w:p w14:paraId="344FCD99" w14:textId="77777777" w:rsidR="009E2BB4" w:rsidRPr="009E2BB4" w:rsidRDefault="009E2BB4" w:rsidP="00D539AC">
            <w:pPr>
              <w:spacing w:after="0" w:line="240" w:lineRule="auto"/>
              <w:ind w:left="0" w:right="0" w:firstLine="0"/>
              <w:jc w:val="center"/>
              <w:rPr>
                <w:sz w:val="22"/>
              </w:rPr>
            </w:pPr>
            <w:r w:rsidRPr="009E2BB4">
              <w:rPr>
                <w:sz w:val="22"/>
              </w:rPr>
              <w:t>2014</w:t>
            </w:r>
          </w:p>
        </w:tc>
        <w:tc>
          <w:tcPr>
            <w:tcW w:w="2385" w:type="dxa"/>
            <w:vAlign w:val="center"/>
            <w:hideMark/>
          </w:tcPr>
          <w:p w14:paraId="748F31BB" w14:textId="77777777" w:rsidR="009E2BB4" w:rsidRPr="009E2BB4" w:rsidRDefault="009E2BB4" w:rsidP="00D539AC">
            <w:pPr>
              <w:spacing w:after="0" w:line="240" w:lineRule="auto"/>
              <w:ind w:left="0" w:right="0" w:firstLine="0"/>
              <w:jc w:val="center"/>
              <w:rPr>
                <w:sz w:val="22"/>
              </w:rPr>
            </w:pPr>
            <w:r w:rsidRPr="009E2BB4">
              <w:rPr>
                <w:sz w:val="22"/>
              </w:rPr>
              <w:t>4.66</w:t>
            </w:r>
          </w:p>
        </w:tc>
        <w:tc>
          <w:tcPr>
            <w:tcW w:w="3059" w:type="dxa"/>
            <w:vAlign w:val="center"/>
            <w:hideMark/>
          </w:tcPr>
          <w:p w14:paraId="3473DA41" w14:textId="77777777" w:rsidR="009E2BB4" w:rsidRPr="009E2BB4" w:rsidRDefault="009E2BB4" w:rsidP="00D539AC">
            <w:pPr>
              <w:spacing w:after="0" w:line="240" w:lineRule="auto"/>
              <w:ind w:left="0" w:right="0" w:firstLine="0"/>
              <w:jc w:val="center"/>
              <w:rPr>
                <w:sz w:val="22"/>
              </w:rPr>
            </w:pPr>
            <w:r w:rsidRPr="009E2BB4">
              <w:rPr>
                <w:sz w:val="22"/>
              </w:rPr>
              <w:t>–</w:t>
            </w:r>
          </w:p>
        </w:tc>
      </w:tr>
      <w:tr w:rsidR="009E2BB4" w:rsidRPr="009E2BB4" w14:paraId="4BA2A342" w14:textId="77777777" w:rsidTr="00D539AC">
        <w:trPr>
          <w:trHeight w:val="120"/>
          <w:jc w:val="center"/>
        </w:trPr>
        <w:tc>
          <w:tcPr>
            <w:tcW w:w="1184" w:type="dxa"/>
            <w:vAlign w:val="center"/>
            <w:hideMark/>
          </w:tcPr>
          <w:p w14:paraId="29EA35B6" w14:textId="77777777" w:rsidR="009E2BB4" w:rsidRPr="009E2BB4" w:rsidRDefault="009E2BB4" w:rsidP="00D539AC">
            <w:pPr>
              <w:spacing w:after="0" w:line="240" w:lineRule="auto"/>
              <w:ind w:left="0" w:right="0" w:firstLine="0"/>
              <w:jc w:val="center"/>
              <w:rPr>
                <w:sz w:val="22"/>
              </w:rPr>
            </w:pPr>
            <w:r w:rsidRPr="009E2BB4">
              <w:rPr>
                <w:sz w:val="22"/>
              </w:rPr>
              <w:t>2015</w:t>
            </w:r>
          </w:p>
        </w:tc>
        <w:tc>
          <w:tcPr>
            <w:tcW w:w="2385" w:type="dxa"/>
            <w:vAlign w:val="center"/>
            <w:hideMark/>
          </w:tcPr>
          <w:p w14:paraId="191B4A55" w14:textId="77777777" w:rsidR="009E2BB4" w:rsidRPr="009E2BB4" w:rsidRDefault="009E2BB4" w:rsidP="00D539AC">
            <w:pPr>
              <w:spacing w:after="0" w:line="240" w:lineRule="auto"/>
              <w:ind w:left="0" w:right="0" w:firstLine="0"/>
              <w:jc w:val="center"/>
              <w:rPr>
                <w:sz w:val="22"/>
              </w:rPr>
            </w:pPr>
            <w:r w:rsidRPr="009E2BB4">
              <w:rPr>
                <w:sz w:val="22"/>
              </w:rPr>
              <w:t>4.68</w:t>
            </w:r>
          </w:p>
        </w:tc>
        <w:tc>
          <w:tcPr>
            <w:tcW w:w="3059" w:type="dxa"/>
            <w:vAlign w:val="center"/>
            <w:hideMark/>
          </w:tcPr>
          <w:p w14:paraId="46FF4FBB" w14:textId="77777777" w:rsidR="009E2BB4" w:rsidRPr="009E2BB4" w:rsidRDefault="009E2BB4" w:rsidP="00D539AC">
            <w:pPr>
              <w:spacing w:after="0" w:line="240" w:lineRule="auto"/>
              <w:ind w:left="0" w:right="0" w:firstLine="0"/>
              <w:jc w:val="center"/>
              <w:rPr>
                <w:sz w:val="22"/>
              </w:rPr>
            </w:pPr>
            <w:r>
              <w:rPr>
                <w:sz w:val="22"/>
              </w:rPr>
              <w:t>0.40</w:t>
            </w:r>
          </w:p>
        </w:tc>
      </w:tr>
      <w:tr w:rsidR="009E2BB4" w:rsidRPr="009E2BB4" w14:paraId="4714E186" w14:textId="77777777" w:rsidTr="00D539AC">
        <w:trPr>
          <w:trHeight w:val="120"/>
          <w:jc w:val="center"/>
        </w:trPr>
        <w:tc>
          <w:tcPr>
            <w:tcW w:w="1184" w:type="dxa"/>
            <w:vAlign w:val="center"/>
            <w:hideMark/>
          </w:tcPr>
          <w:p w14:paraId="395DEB27" w14:textId="77777777" w:rsidR="009E2BB4" w:rsidRPr="009E2BB4" w:rsidRDefault="009E2BB4" w:rsidP="00D539AC">
            <w:pPr>
              <w:spacing w:after="0" w:line="240" w:lineRule="auto"/>
              <w:ind w:left="0" w:right="0" w:firstLine="0"/>
              <w:jc w:val="center"/>
              <w:rPr>
                <w:sz w:val="22"/>
              </w:rPr>
            </w:pPr>
            <w:r w:rsidRPr="009E2BB4">
              <w:rPr>
                <w:sz w:val="22"/>
              </w:rPr>
              <w:t>2016</w:t>
            </w:r>
          </w:p>
        </w:tc>
        <w:tc>
          <w:tcPr>
            <w:tcW w:w="2385" w:type="dxa"/>
            <w:vAlign w:val="center"/>
            <w:hideMark/>
          </w:tcPr>
          <w:p w14:paraId="6312F847" w14:textId="77777777" w:rsidR="009E2BB4" w:rsidRPr="009E2BB4" w:rsidRDefault="009E2BB4" w:rsidP="00D539AC">
            <w:pPr>
              <w:spacing w:after="0" w:line="240" w:lineRule="auto"/>
              <w:ind w:left="0" w:right="0" w:firstLine="0"/>
              <w:jc w:val="center"/>
              <w:rPr>
                <w:sz w:val="22"/>
              </w:rPr>
            </w:pPr>
            <w:r w:rsidRPr="009E2BB4">
              <w:rPr>
                <w:sz w:val="22"/>
              </w:rPr>
              <w:t>4.72</w:t>
            </w:r>
          </w:p>
        </w:tc>
        <w:tc>
          <w:tcPr>
            <w:tcW w:w="3059" w:type="dxa"/>
            <w:vAlign w:val="center"/>
            <w:hideMark/>
          </w:tcPr>
          <w:p w14:paraId="69CBB613" w14:textId="77777777" w:rsidR="009E2BB4" w:rsidRPr="009E2BB4" w:rsidRDefault="009E2BB4" w:rsidP="00D539AC">
            <w:pPr>
              <w:spacing w:after="0" w:line="240" w:lineRule="auto"/>
              <w:ind w:left="0" w:right="0" w:firstLine="0"/>
              <w:jc w:val="center"/>
              <w:rPr>
                <w:sz w:val="22"/>
              </w:rPr>
            </w:pPr>
            <w:r>
              <w:rPr>
                <w:sz w:val="22"/>
              </w:rPr>
              <w:t>0.90</w:t>
            </w:r>
          </w:p>
        </w:tc>
      </w:tr>
      <w:tr w:rsidR="009E2BB4" w:rsidRPr="009E2BB4" w14:paraId="1BCB9E79" w14:textId="77777777" w:rsidTr="00D539AC">
        <w:trPr>
          <w:trHeight w:val="120"/>
          <w:jc w:val="center"/>
        </w:trPr>
        <w:tc>
          <w:tcPr>
            <w:tcW w:w="1184" w:type="dxa"/>
            <w:vAlign w:val="center"/>
            <w:hideMark/>
          </w:tcPr>
          <w:p w14:paraId="071CBDBB" w14:textId="77777777" w:rsidR="009E2BB4" w:rsidRPr="009E2BB4" w:rsidRDefault="009E2BB4" w:rsidP="00D539AC">
            <w:pPr>
              <w:spacing w:after="0" w:line="240" w:lineRule="auto"/>
              <w:ind w:left="0" w:right="0" w:firstLine="0"/>
              <w:jc w:val="center"/>
              <w:rPr>
                <w:sz w:val="22"/>
              </w:rPr>
            </w:pPr>
            <w:r w:rsidRPr="009E2BB4">
              <w:rPr>
                <w:sz w:val="22"/>
              </w:rPr>
              <w:t>2017</w:t>
            </w:r>
          </w:p>
        </w:tc>
        <w:tc>
          <w:tcPr>
            <w:tcW w:w="2385" w:type="dxa"/>
            <w:vAlign w:val="center"/>
            <w:hideMark/>
          </w:tcPr>
          <w:p w14:paraId="74A75F8F" w14:textId="77777777" w:rsidR="009E2BB4" w:rsidRPr="009E2BB4" w:rsidRDefault="009E2BB4" w:rsidP="00D539AC">
            <w:pPr>
              <w:spacing w:after="0" w:line="240" w:lineRule="auto"/>
              <w:ind w:left="0" w:right="0" w:firstLine="0"/>
              <w:jc w:val="center"/>
              <w:rPr>
                <w:sz w:val="22"/>
              </w:rPr>
            </w:pPr>
            <w:r w:rsidRPr="009E2BB4">
              <w:rPr>
                <w:sz w:val="22"/>
              </w:rPr>
              <w:t>5.06</w:t>
            </w:r>
          </w:p>
        </w:tc>
        <w:tc>
          <w:tcPr>
            <w:tcW w:w="3059" w:type="dxa"/>
            <w:vAlign w:val="center"/>
            <w:hideMark/>
          </w:tcPr>
          <w:p w14:paraId="5409ECBB" w14:textId="77777777" w:rsidR="009E2BB4" w:rsidRPr="009E2BB4" w:rsidRDefault="009E2BB4" w:rsidP="00D539AC">
            <w:pPr>
              <w:spacing w:after="0" w:line="240" w:lineRule="auto"/>
              <w:ind w:left="0" w:right="0" w:firstLine="0"/>
              <w:jc w:val="center"/>
              <w:rPr>
                <w:sz w:val="22"/>
              </w:rPr>
            </w:pPr>
            <w:r>
              <w:rPr>
                <w:sz w:val="22"/>
              </w:rPr>
              <w:t>7.20</w:t>
            </w:r>
          </w:p>
        </w:tc>
      </w:tr>
      <w:tr w:rsidR="009E2BB4" w:rsidRPr="009E2BB4" w14:paraId="179C4E81" w14:textId="77777777" w:rsidTr="00D539AC">
        <w:trPr>
          <w:trHeight w:val="120"/>
          <w:jc w:val="center"/>
        </w:trPr>
        <w:tc>
          <w:tcPr>
            <w:tcW w:w="1184" w:type="dxa"/>
            <w:vAlign w:val="center"/>
            <w:hideMark/>
          </w:tcPr>
          <w:p w14:paraId="6D8B47F1" w14:textId="77777777" w:rsidR="009E2BB4" w:rsidRPr="009E2BB4" w:rsidRDefault="009E2BB4" w:rsidP="00D539AC">
            <w:pPr>
              <w:spacing w:after="0" w:line="240" w:lineRule="auto"/>
              <w:ind w:left="0" w:right="0" w:firstLine="0"/>
              <w:jc w:val="center"/>
              <w:rPr>
                <w:sz w:val="22"/>
              </w:rPr>
            </w:pPr>
            <w:r w:rsidRPr="009E2BB4">
              <w:rPr>
                <w:sz w:val="22"/>
              </w:rPr>
              <w:t>2018</w:t>
            </w:r>
          </w:p>
        </w:tc>
        <w:tc>
          <w:tcPr>
            <w:tcW w:w="2385" w:type="dxa"/>
            <w:vAlign w:val="center"/>
            <w:hideMark/>
          </w:tcPr>
          <w:p w14:paraId="1353ED67" w14:textId="77777777" w:rsidR="009E2BB4" w:rsidRPr="009E2BB4" w:rsidRDefault="009E2BB4" w:rsidP="00D539AC">
            <w:pPr>
              <w:spacing w:after="0" w:line="240" w:lineRule="auto"/>
              <w:ind w:left="0" w:right="0" w:firstLine="0"/>
              <w:jc w:val="center"/>
              <w:rPr>
                <w:sz w:val="22"/>
              </w:rPr>
            </w:pPr>
            <w:r w:rsidRPr="009E2BB4">
              <w:rPr>
                <w:sz w:val="22"/>
              </w:rPr>
              <w:t>6.08</w:t>
            </w:r>
          </w:p>
        </w:tc>
        <w:tc>
          <w:tcPr>
            <w:tcW w:w="3059" w:type="dxa"/>
            <w:vAlign w:val="center"/>
            <w:hideMark/>
          </w:tcPr>
          <w:p w14:paraId="15C73DD8" w14:textId="77777777" w:rsidR="009E2BB4" w:rsidRPr="009E2BB4" w:rsidRDefault="009E2BB4" w:rsidP="00D539AC">
            <w:pPr>
              <w:spacing w:after="0" w:line="240" w:lineRule="auto"/>
              <w:ind w:left="0" w:right="0" w:firstLine="0"/>
              <w:jc w:val="center"/>
              <w:rPr>
                <w:sz w:val="22"/>
              </w:rPr>
            </w:pPr>
            <w:r>
              <w:rPr>
                <w:sz w:val="22"/>
              </w:rPr>
              <w:t>20.20</w:t>
            </w:r>
          </w:p>
        </w:tc>
      </w:tr>
      <w:tr w:rsidR="009E2BB4" w:rsidRPr="009E2BB4" w14:paraId="0BD35F94" w14:textId="77777777" w:rsidTr="00D539AC">
        <w:trPr>
          <w:trHeight w:val="120"/>
          <w:jc w:val="center"/>
        </w:trPr>
        <w:tc>
          <w:tcPr>
            <w:tcW w:w="1184" w:type="dxa"/>
            <w:vAlign w:val="center"/>
            <w:hideMark/>
          </w:tcPr>
          <w:p w14:paraId="627C65D4" w14:textId="77777777" w:rsidR="009E2BB4" w:rsidRPr="009E2BB4" w:rsidRDefault="009E2BB4" w:rsidP="00D539AC">
            <w:pPr>
              <w:spacing w:after="0" w:line="240" w:lineRule="auto"/>
              <w:ind w:left="0" w:right="0" w:firstLine="0"/>
              <w:jc w:val="center"/>
              <w:rPr>
                <w:sz w:val="22"/>
              </w:rPr>
            </w:pPr>
            <w:r w:rsidRPr="009E2BB4">
              <w:rPr>
                <w:sz w:val="22"/>
              </w:rPr>
              <w:t>2019</w:t>
            </w:r>
          </w:p>
        </w:tc>
        <w:tc>
          <w:tcPr>
            <w:tcW w:w="2385" w:type="dxa"/>
            <w:vAlign w:val="center"/>
            <w:hideMark/>
          </w:tcPr>
          <w:p w14:paraId="595B7458" w14:textId="77777777" w:rsidR="009E2BB4" w:rsidRPr="009E2BB4" w:rsidRDefault="009E2BB4" w:rsidP="00D539AC">
            <w:pPr>
              <w:spacing w:after="0" w:line="240" w:lineRule="auto"/>
              <w:ind w:left="0" w:right="0" w:firstLine="0"/>
              <w:jc w:val="center"/>
              <w:rPr>
                <w:sz w:val="22"/>
              </w:rPr>
            </w:pPr>
            <w:r w:rsidRPr="009E2BB4">
              <w:rPr>
                <w:sz w:val="22"/>
              </w:rPr>
              <w:t>6.87</w:t>
            </w:r>
          </w:p>
        </w:tc>
        <w:tc>
          <w:tcPr>
            <w:tcW w:w="3059" w:type="dxa"/>
            <w:vAlign w:val="center"/>
            <w:hideMark/>
          </w:tcPr>
          <w:p w14:paraId="248B3740" w14:textId="77777777" w:rsidR="009E2BB4" w:rsidRPr="009E2BB4" w:rsidRDefault="009E2BB4" w:rsidP="00D539AC">
            <w:pPr>
              <w:spacing w:after="0" w:line="240" w:lineRule="auto"/>
              <w:ind w:left="0" w:right="0" w:firstLine="0"/>
              <w:jc w:val="center"/>
              <w:rPr>
                <w:sz w:val="22"/>
              </w:rPr>
            </w:pPr>
            <w:r>
              <w:rPr>
                <w:sz w:val="22"/>
              </w:rPr>
              <w:t>13.00</w:t>
            </w:r>
          </w:p>
        </w:tc>
      </w:tr>
      <w:tr w:rsidR="009E2BB4" w:rsidRPr="009E2BB4" w14:paraId="3BE04FDA" w14:textId="77777777" w:rsidTr="00D539AC">
        <w:trPr>
          <w:trHeight w:val="482"/>
          <w:jc w:val="center"/>
        </w:trPr>
        <w:tc>
          <w:tcPr>
            <w:tcW w:w="1184" w:type="dxa"/>
            <w:vAlign w:val="center"/>
            <w:hideMark/>
          </w:tcPr>
          <w:p w14:paraId="470675A0" w14:textId="77777777" w:rsidR="009E2BB4" w:rsidRPr="009E2BB4" w:rsidRDefault="009E2BB4" w:rsidP="00D539AC">
            <w:pPr>
              <w:spacing w:after="0" w:line="240" w:lineRule="auto"/>
              <w:ind w:left="0" w:right="0" w:firstLine="0"/>
              <w:jc w:val="center"/>
              <w:rPr>
                <w:sz w:val="22"/>
              </w:rPr>
            </w:pPr>
            <w:r w:rsidRPr="009E2BB4">
              <w:rPr>
                <w:sz w:val="22"/>
              </w:rPr>
              <w:t>2020</w:t>
            </w:r>
          </w:p>
        </w:tc>
        <w:tc>
          <w:tcPr>
            <w:tcW w:w="2385" w:type="dxa"/>
            <w:vAlign w:val="center"/>
            <w:hideMark/>
          </w:tcPr>
          <w:p w14:paraId="5DDB5231" w14:textId="77777777" w:rsidR="009E2BB4" w:rsidRPr="009E2BB4" w:rsidRDefault="009E2BB4" w:rsidP="00D539AC">
            <w:pPr>
              <w:spacing w:after="0" w:line="240" w:lineRule="auto"/>
              <w:ind w:left="0" w:right="0" w:firstLine="0"/>
              <w:jc w:val="center"/>
              <w:rPr>
                <w:sz w:val="22"/>
              </w:rPr>
            </w:pPr>
            <w:r w:rsidRPr="009E2BB4">
              <w:rPr>
                <w:sz w:val="22"/>
              </w:rPr>
              <w:t>1.23</w:t>
            </w:r>
          </w:p>
        </w:tc>
        <w:tc>
          <w:tcPr>
            <w:tcW w:w="3059" w:type="dxa"/>
            <w:vAlign w:val="center"/>
            <w:hideMark/>
          </w:tcPr>
          <w:p w14:paraId="41ECFE30" w14:textId="77777777" w:rsidR="009E2BB4" w:rsidRPr="009E2BB4" w:rsidRDefault="009E2BB4" w:rsidP="00D539AC">
            <w:pPr>
              <w:spacing w:after="0" w:line="240" w:lineRule="auto"/>
              <w:ind w:left="0" w:right="0" w:firstLine="0"/>
              <w:jc w:val="center"/>
              <w:rPr>
                <w:sz w:val="22"/>
              </w:rPr>
            </w:pPr>
            <w:r>
              <w:rPr>
                <w:sz w:val="22"/>
              </w:rPr>
              <w:t>−82.1</w:t>
            </w:r>
            <w:r w:rsidRPr="009E2BB4">
              <w:rPr>
                <w:sz w:val="22"/>
              </w:rPr>
              <w:t>(COVID-19 impact)</w:t>
            </w:r>
          </w:p>
        </w:tc>
      </w:tr>
      <w:tr w:rsidR="009E2BB4" w:rsidRPr="009E2BB4" w14:paraId="399A3EA7" w14:textId="77777777" w:rsidTr="00D539AC">
        <w:trPr>
          <w:trHeight w:val="120"/>
          <w:jc w:val="center"/>
        </w:trPr>
        <w:tc>
          <w:tcPr>
            <w:tcW w:w="1184" w:type="dxa"/>
            <w:vAlign w:val="center"/>
            <w:hideMark/>
          </w:tcPr>
          <w:p w14:paraId="276444EC" w14:textId="77777777" w:rsidR="009E2BB4" w:rsidRPr="009E2BB4" w:rsidRDefault="009E2BB4" w:rsidP="00D539AC">
            <w:pPr>
              <w:spacing w:after="0" w:line="240" w:lineRule="auto"/>
              <w:ind w:left="0" w:right="0" w:firstLine="0"/>
              <w:jc w:val="center"/>
              <w:rPr>
                <w:sz w:val="22"/>
              </w:rPr>
            </w:pPr>
            <w:r w:rsidRPr="009E2BB4">
              <w:rPr>
                <w:sz w:val="22"/>
              </w:rPr>
              <w:t>2021</w:t>
            </w:r>
          </w:p>
        </w:tc>
        <w:tc>
          <w:tcPr>
            <w:tcW w:w="2385" w:type="dxa"/>
            <w:vAlign w:val="center"/>
            <w:hideMark/>
          </w:tcPr>
          <w:p w14:paraId="4CB4ECB2" w14:textId="77777777" w:rsidR="009E2BB4" w:rsidRPr="009E2BB4" w:rsidRDefault="009E2BB4" w:rsidP="00D539AC">
            <w:pPr>
              <w:spacing w:after="0" w:line="240" w:lineRule="auto"/>
              <w:ind w:left="0" w:right="0" w:firstLine="0"/>
              <w:jc w:val="center"/>
              <w:rPr>
                <w:sz w:val="22"/>
              </w:rPr>
            </w:pPr>
            <w:r w:rsidRPr="009E2BB4">
              <w:rPr>
                <w:sz w:val="22"/>
              </w:rPr>
              <w:t>0.057</w:t>
            </w:r>
          </w:p>
        </w:tc>
        <w:tc>
          <w:tcPr>
            <w:tcW w:w="3059" w:type="dxa"/>
            <w:vAlign w:val="center"/>
            <w:hideMark/>
          </w:tcPr>
          <w:p w14:paraId="53E95622" w14:textId="77777777" w:rsidR="009E2BB4" w:rsidRPr="009E2BB4" w:rsidRDefault="009E2BB4" w:rsidP="00D539AC">
            <w:pPr>
              <w:spacing w:after="0" w:line="240" w:lineRule="auto"/>
              <w:ind w:left="0" w:right="0" w:firstLine="0"/>
              <w:jc w:val="center"/>
              <w:rPr>
                <w:sz w:val="22"/>
              </w:rPr>
            </w:pPr>
            <w:r>
              <w:rPr>
                <w:sz w:val="22"/>
              </w:rPr>
              <w:t>−95.4</w:t>
            </w:r>
          </w:p>
        </w:tc>
      </w:tr>
      <w:tr w:rsidR="009E2BB4" w:rsidRPr="009E2BB4" w14:paraId="66817BBB" w14:textId="77777777" w:rsidTr="00D539AC">
        <w:trPr>
          <w:trHeight w:val="120"/>
          <w:jc w:val="center"/>
        </w:trPr>
        <w:tc>
          <w:tcPr>
            <w:tcW w:w="1184" w:type="dxa"/>
            <w:vAlign w:val="center"/>
            <w:hideMark/>
          </w:tcPr>
          <w:p w14:paraId="6D626083" w14:textId="77777777" w:rsidR="009E2BB4" w:rsidRPr="009E2BB4" w:rsidRDefault="009E2BB4" w:rsidP="00D539AC">
            <w:pPr>
              <w:spacing w:after="0" w:line="240" w:lineRule="auto"/>
              <w:ind w:left="0" w:right="0" w:firstLine="0"/>
              <w:jc w:val="center"/>
              <w:rPr>
                <w:sz w:val="22"/>
              </w:rPr>
            </w:pPr>
            <w:r w:rsidRPr="009E2BB4">
              <w:rPr>
                <w:sz w:val="22"/>
              </w:rPr>
              <w:t>2022</w:t>
            </w:r>
          </w:p>
        </w:tc>
        <w:tc>
          <w:tcPr>
            <w:tcW w:w="2385" w:type="dxa"/>
            <w:vAlign w:val="center"/>
            <w:hideMark/>
          </w:tcPr>
          <w:p w14:paraId="721D653E" w14:textId="77777777" w:rsidR="009E2BB4" w:rsidRPr="009E2BB4" w:rsidRDefault="009E2BB4" w:rsidP="00D539AC">
            <w:pPr>
              <w:spacing w:after="0" w:line="240" w:lineRule="auto"/>
              <w:ind w:left="0" w:right="0" w:firstLine="0"/>
              <w:jc w:val="center"/>
              <w:rPr>
                <w:sz w:val="22"/>
              </w:rPr>
            </w:pPr>
            <w:r w:rsidRPr="009E2BB4">
              <w:rPr>
                <w:sz w:val="22"/>
              </w:rPr>
              <w:t>0.407</w:t>
            </w:r>
          </w:p>
        </w:tc>
        <w:tc>
          <w:tcPr>
            <w:tcW w:w="3059" w:type="dxa"/>
            <w:vAlign w:val="center"/>
            <w:hideMark/>
          </w:tcPr>
          <w:p w14:paraId="6CC1EBD7" w14:textId="77777777" w:rsidR="009E2BB4" w:rsidRPr="009E2BB4" w:rsidRDefault="009E2BB4" w:rsidP="00D539AC">
            <w:pPr>
              <w:spacing w:after="0" w:line="240" w:lineRule="auto"/>
              <w:ind w:left="0" w:right="0" w:firstLine="0"/>
              <w:jc w:val="center"/>
              <w:rPr>
                <w:sz w:val="22"/>
              </w:rPr>
            </w:pPr>
            <w:r>
              <w:rPr>
                <w:sz w:val="22"/>
              </w:rPr>
              <w:t>613.20</w:t>
            </w:r>
          </w:p>
        </w:tc>
      </w:tr>
      <w:tr w:rsidR="009E2BB4" w:rsidRPr="009E2BB4" w14:paraId="6978579B" w14:textId="77777777" w:rsidTr="00D539AC">
        <w:trPr>
          <w:trHeight w:val="120"/>
          <w:jc w:val="center"/>
        </w:trPr>
        <w:tc>
          <w:tcPr>
            <w:tcW w:w="1184" w:type="dxa"/>
            <w:vAlign w:val="center"/>
            <w:hideMark/>
          </w:tcPr>
          <w:p w14:paraId="1074B30B" w14:textId="77777777" w:rsidR="009E2BB4" w:rsidRPr="009E2BB4" w:rsidRDefault="009E2BB4" w:rsidP="00D539AC">
            <w:pPr>
              <w:spacing w:after="0" w:line="240" w:lineRule="auto"/>
              <w:ind w:left="0" w:right="0" w:firstLine="0"/>
              <w:jc w:val="center"/>
              <w:rPr>
                <w:sz w:val="22"/>
              </w:rPr>
            </w:pPr>
            <w:r w:rsidRPr="009E2BB4">
              <w:rPr>
                <w:sz w:val="22"/>
              </w:rPr>
              <w:t>2023</w:t>
            </w:r>
          </w:p>
        </w:tc>
        <w:tc>
          <w:tcPr>
            <w:tcW w:w="2385" w:type="dxa"/>
            <w:vAlign w:val="center"/>
            <w:hideMark/>
          </w:tcPr>
          <w:p w14:paraId="68055501" w14:textId="77777777" w:rsidR="009E2BB4" w:rsidRPr="009E2BB4" w:rsidRDefault="009E2BB4" w:rsidP="00D539AC">
            <w:pPr>
              <w:spacing w:after="0" w:line="240" w:lineRule="auto"/>
              <w:ind w:left="0" w:right="0" w:firstLine="0"/>
              <w:jc w:val="center"/>
              <w:rPr>
                <w:sz w:val="22"/>
              </w:rPr>
            </w:pPr>
            <w:r w:rsidRPr="009E2BB4">
              <w:rPr>
                <w:sz w:val="22"/>
              </w:rPr>
              <w:t>1.17</w:t>
            </w:r>
          </w:p>
        </w:tc>
        <w:tc>
          <w:tcPr>
            <w:tcW w:w="3059" w:type="dxa"/>
            <w:vAlign w:val="center"/>
            <w:hideMark/>
          </w:tcPr>
          <w:p w14:paraId="2F9B076B" w14:textId="77777777" w:rsidR="009E2BB4" w:rsidRPr="009E2BB4" w:rsidRDefault="009E2BB4" w:rsidP="00D539AC">
            <w:pPr>
              <w:spacing w:after="0" w:line="240" w:lineRule="auto"/>
              <w:ind w:left="0" w:right="0" w:firstLine="0"/>
              <w:jc w:val="center"/>
              <w:rPr>
                <w:sz w:val="22"/>
              </w:rPr>
            </w:pPr>
            <w:r>
              <w:rPr>
                <w:sz w:val="22"/>
              </w:rPr>
              <w:t>187.50</w:t>
            </w:r>
          </w:p>
        </w:tc>
      </w:tr>
      <w:tr w:rsidR="009E2BB4" w:rsidRPr="009E2BB4" w14:paraId="2E31EC6E" w14:textId="77777777" w:rsidTr="00D539AC">
        <w:trPr>
          <w:trHeight w:val="361"/>
          <w:jc w:val="center"/>
        </w:trPr>
        <w:tc>
          <w:tcPr>
            <w:tcW w:w="1184" w:type="dxa"/>
            <w:vAlign w:val="center"/>
            <w:hideMark/>
          </w:tcPr>
          <w:p w14:paraId="48C5B6F1" w14:textId="77777777" w:rsidR="009E2BB4" w:rsidRPr="009E2BB4" w:rsidRDefault="009E2BB4" w:rsidP="00D539AC">
            <w:pPr>
              <w:spacing w:after="0" w:line="240" w:lineRule="auto"/>
              <w:ind w:left="0" w:right="0" w:firstLine="0"/>
              <w:jc w:val="center"/>
              <w:rPr>
                <w:sz w:val="22"/>
              </w:rPr>
            </w:pPr>
            <w:r>
              <w:rPr>
                <w:sz w:val="22"/>
              </w:rPr>
              <w:t>2024</w:t>
            </w:r>
          </w:p>
        </w:tc>
        <w:tc>
          <w:tcPr>
            <w:tcW w:w="2385" w:type="dxa"/>
            <w:vAlign w:val="center"/>
            <w:hideMark/>
          </w:tcPr>
          <w:p w14:paraId="64080906" w14:textId="77777777" w:rsidR="009E2BB4" w:rsidRPr="009E2BB4" w:rsidRDefault="009E2BB4" w:rsidP="00D539AC">
            <w:pPr>
              <w:spacing w:after="0" w:line="240" w:lineRule="auto"/>
              <w:ind w:left="0" w:right="0" w:firstLine="0"/>
              <w:jc w:val="center"/>
              <w:rPr>
                <w:sz w:val="22"/>
              </w:rPr>
            </w:pPr>
            <w:r>
              <w:rPr>
                <w:sz w:val="22"/>
              </w:rPr>
              <w:t xml:space="preserve">1.30 </w:t>
            </w:r>
          </w:p>
        </w:tc>
        <w:tc>
          <w:tcPr>
            <w:tcW w:w="3059" w:type="dxa"/>
            <w:vAlign w:val="center"/>
            <w:hideMark/>
          </w:tcPr>
          <w:p w14:paraId="234F2457" w14:textId="77777777" w:rsidR="009E2BB4" w:rsidRPr="009E2BB4" w:rsidRDefault="009E2BB4" w:rsidP="00D539AC">
            <w:pPr>
              <w:spacing w:after="0" w:line="240" w:lineRule="auto"/>
              <w:ind w:left="0" w:right="0" w:firstLine="0"/>
              <w:jc w:val="center"/>
              <w:rPr>
                <w:sz w:val="22"/>
              </w:rPr>
            </w:pPr>
            <w:r>
              <w:rPr>
                <w:sz w:val="22"/>
              </w:rPr>
              <w:t>+11.1</w:t>
            </w:r>
          </w:p>
        </w:tc>
      </w:tr>
    </w:tbl>
    <w:p w14:paraId="4C481519" w14:textId="77777777" w:rsidR="009E2BB4" w:rsidRDefault="009E2BB4" w:rsidP="009E2BB4">
      <w:pPr>
        <w:spacing w:after="0" w:line="259" w:lineRule="auto"/>
        <w:ind w:left="0" w:right="0" w:firstLine="0"/>
        <w:jc w:val="left"/>
        <w:rPr>
          <w:b/>
        </w:rPr>
      </w:pPr>
    </w:p>
    <w:p w14:paraId="045E3175" w14:textId="77777777" w:rsidR="009E2BB4" w:rsidRDefault="009E2BB4" w:rsidP="009E2BB4">
      <w:pPr>
        <w:spacing w:after="0" w:line="259" w:lineRule="auto"/>
        <w:ind w:left="0" w:right="0" w:firstLine="0"/>
        <w:jc w:val="left"/>
        <w:rPr>
          <w:b/>
        </w:rPr>
      </w:pPr>
    </w:p>
    <w:p w14:paraId="2C9C1306" w14:textId="77777777" w:rsidR="009E2BB4" w:rsidRDefault="009E2BB4" w:rsidP="009E2BB4">
      <w:pPr>
        <w:spacing w:after="0" w:line="259" w:lineRule="auto"/>
        <w:ind w:left="0" w:right="0" w:firstLine="0"/>
        <w:jc w:val="left"/>
        <w:rPr>
          <w:b/>
        </w:rPr>
      </w:pPr>
    </w:p>
    <w:p w14:paraId="7A928586" w14:textId="77777777" w:rsidR="009E2BB4" w:rsidRDefault="009E2BB4" w:rsidP="009E2BB4">
      <w:pPr>
        <w:spacing w:after="0" w:line="259" w:lineRule="auto"/>
        <w:ind w:left="0" w:right="0" w:firstLine="0"/>
        <w:jc w:val="left"/>
        <w:rPr>
          <w:b/>
        </w:rPr>
      </w:pPr>
    </w:p>
    <w:p w14:paraId="2C954604" w14:textId="77777777" w:rsidR="009E2BB4" w:rsidRDefault="009E2BB4" w:rsidP="009E2BB4">
      <w:pPr>
        <w:spacing w:after="0" w:line="259" w:lineRule="auto"/>
        <w:ind w:left="0" w:right="0" w:firstLine="0"/>
        <w:jc w:val="left"/>
        <w:rPr>
          <w:b/>
        </w:rPr>
      </w:pPr>
    </w:p>
    <w:p w14:paraId="75ABDB4C" w14:textId="77777777" w:rsidR="009E2BB4" w:rsidRDefault="009E2BB4" w:rsidP="009E2BB4">
      <w:pPr>
        <w:spacing w:after="0" w:line="259" w:lineRule="auto"/>
        <w:ind w:left="0" w:right="0" w:firstLine="0"/>
        <w:jc w:val="left"/>
        <w:rPr>
          <w:b/>
        </w:rPr>
      </w:pPr>
    </w:p>
    <w:p w14:paraId="5D08D643" w14:textId="77777777" w:rsidR="009E2BB4" w:rsidRDefault="009E2BB4" w:rsidP="009E2BB4">
      <w:pPr>
        <w:spacing w:after="0" w:line="259" w:lineRule="auto"/>
        <w:ind w:left="0" w:right="0" w:firstLine="0"/>
        <w:jc w:val="left"/>
        <w:rPr>
          <w:b/>
        </w:rPr>
      </w:pPr>
    </w:p>
    <w:p w14:paraId="3710B8A9" w14:textId="77777777" w:rsidR="009E2BB4" w:rsidRDefault="009E2BB4" w:rsidP="009E2BB4">
      <w:pPr>
        <w:spacing w:after="0" w:line="259" w:lineRule="auto"/>
        <w:ind w:left="0" w:right="0" w:firstLine="0"/>
        <w:jc w:val="left"/>
        <w:rPr>
          <w:b/>
        </w:rPr>
      </w:pPr>
    </w:p>
    <w:p w14:paraId="1788E996" w14:textId="77777777" w:rsidR="009E2BB4" w:rsidRPr="005A12F1" w:rsidRDefault="005A12F1" w:rsidP="009E2BB4">
      <w:pPr>
        <w:spacing w:after="0" w:line="259" w:lineRule="auto"/>
        <w:ind w:left="0" w:right="0" w:firstLine="0"/>
        <w:jc w:val="left"/>
        <w:rPr>
          <w:b/>
          <w:sz w:val="18"/>
        </w:rPr>
      </w:pPr>
      <w:r w:rsidRPr="005A12F1">
        <w:rPr>
          <w:rStyle w:val="Emphasis"/>
          <w:b/>
          <w:sz w:val="18"/>
        </w:rPr>
        <w:t>Source:</w:t>
      </w:r>
      <w:r w:rsidRPr="005A12F1">
        <w:rPr>
          <w:rStyle w:val="Emphasis"/>
          <w:sz w:val="18"/>
        </w:rPr>
        <w:t xml:space="preserve"> Tourism Statistics at a Glance</w:t>
      </w:r>
      <w:r w:rsidRPr="005A12F1">
        <w:rPr>
          <w:sz w:val="18"/>
        </w:rPr>
        <w:t xml:space="preserve"> (various years); Tamil Nadu Tourism Development Corporation (TTDC) reports.</w:t>
      </w:r>
    </w:p>
    <w:p w14:paraId="7A75F030" w14:textId="77777777" w:rsidR="009E2BB4" w:rsidRDefault="009E2BB4" w:rsidP="009E2BB4">
      <w:pPr>
        <w:spacing w:after="0" w:line="259" w:lineRule="auto"/>
        <w:ind w:left="0" w:right="0" w:firstLine="0"/>
        <w:jc w:val="left"/>
        <w:rPr>
          <w:b/>
        </w:rPr>
      </w:pPr>
    </w:p>
    <w:p w14:paraId="198C5355" w14:textId="3ECD3DA7" w:rsidR="005A12F1" w:rsidRPr="009E2BB4" w:rsidRDefault="00BE3D87" w:rsidP="005A12F1">
      <w:pPr>
        <w:jc w:val="center"/>
        <w:rPr>
          <w:b/>
        </w:rPr>
      </w:pPr>
      <w:r>
        <w:rPr>
          <w:b/>
        </w:rPr>
        <w:t>Fig:3</w:t>
      </w:r>
      <w:r w:rsidR="005A12F1" w:rsidRPr="009E2BB4">
        <w:rPr>
          <w:b/>
        </w:rPr>
        <w:t xml:space="preserve"> </w:t>
      </w:r>
      <w:proofErr w:type="gramStart"/>
      <w:r>
        <w:rPr>
          <w:b/>
        </w:rPr>
        <w:t xml:space="preserve">Foreign </w:t>
      </w:r>
      <w:r w:rsidR="005A12F1" w:rsidRPr="009E2BB4">
        <w:rPr>
          <w:b/>
        </w:rPr>
        <w:t xml:space="preserve"> 2014</w:t>
      </w:r>
      <w:proofErr w:type="gramEnd"/>
      <w:r w:rsidR="005A12F1" w:rsidRPr="009E2BB4">
        <w:rPr>
          <w:b/>
        </w:rPr>
        <w:t>-2024</w:t>
      </w:r>
    </w:p>
    <w:p w14:paraId="37659AF4" w14:textId="77777777" w:rsidR="009E2BB4" w:rsidRDefault="009E2BB4" w:rsidP="009E2BB4">
      <w:pPr>
        <w:spacing w:after="230" w:line="259" w:lineRule="auto"/>
        <w:ind w:left="0" w:right="0" w:firstLine="0"/>
        <w:jc w:val="center"/>
        <w:rPr>
          <w:b/>
        </w:rPr>
      </w:pPr>
      <w:r w:rsidRPr="009E2BB4">
        <w:rPr>
          <w:b/>
          <w:noProof/>
        </w:rPr>
        <w:lastRenderedPageBreak/>
        <w:drawing>
          <wp:inline distT="0" distB="0" distL="0" distR="0" wp14:anchorId="62015ECD" wp14:editId="699ED9A7">
            <wp:extent cx="4800600" cy="2771727"/>
            <wp:effectExtent l="76200" t="76200" r="133350" b="1244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19022" cy="278236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FF64986" w14:textId="3EB4E70E" w:rsidR="005A12F1" w:rsidRPr="005A12F1" w:rsidRDefault="005A12F1" w:rsidP="005A12F1">
      <w:pPr>
        <w:spacing w:before="100" w:beforeAutospacing="1" w:after="100" w:afterAutospacing="1" w:line="360" w:lineRule="auto"/>
        <w:ind w:left="0" w:right="0" w:firstLine="720"/>
        <w:rPr>
          <w:color w:val="auto"/>
          <w:szCs w:val="24"/>
        </w:rPr>
      </w:pPr>
      <w:r w:rsidRPr="005A12F1">
        <w:rPr>
          <w:color w:val="auto"/>
          <w:szCs w:val="24"/>
        </w:rPr>
        <w:t>Table 2 presents the trend of foreign tourist arrivals in Tamil Nadu from 2014 to 2024. The data indicates steady growth during the pre-COVID period (2014–2019). Arrivals increased from 4.66 million in 2014 to 6.87 million in 2019, registering a notable growth of 13 percent in 2019 alone. The years 2015 and 2016 showed marginal growth rates of 0.40 and 0.90 percent respectively, while 2017 witnessed a stronger 7.2 percent rise. A sharp surge occurred in 2018, recording 20.2 percent growth, highlighting Tamil Nadu’s rising prominence in the international tourism sector.</w:t>
      </w:r>
      <w:r>
        <w:rPr>
          <w:color w:val="auto"/>
          <w:szCs w:val="24"/>
        </w:rPr>
        <w:t xml:space="preserve"> </w:t>
      </w:r>
      <w:r w:rsidRPr="005A12F1">
        <w:rPr>
          <w:color w:val="auto"/>
          <w:szCs w:val="24"/>
        </w:rPr>
        <w:t>The pandemic severely disrupted the sector in 2020 and 2021. Tourist arrivals fell drastically to 1.23 million in 2020, marking an 82.1 percent decline. The situation worsened in 2021 with only 0.057 million visitors, representing a 95.4 percent contraction. This illustrates the devastating impact of global travel restrictions.</w:t>
      </w:r>
      <w:r>
        <w:rPr>
          <w:color w:val="auto"/>
          <w:szCs w:val="24"/>
        </w:rPr>
        <w:t xml:space="preserve"> </w:t>
      </w:r>
      <w:r w:rsidRPr="005A12F1">
        <w:rPr>
          <w:color w:val="auto"/>
          <w:szCs w:val="24"/>
        </w:rPr>
        <w:t>Post-pandemic recovery is evident from 2022 onwards. Arrivals rose sharply to 0.407 million in 2022, reflecting an extraordinary 613.2 percent rebound. The recovery trend continued in 2023 with 1.17 million visitors, a 187.5 percent increase. For 2024, arrivals are provisionally estimated at 1.30 million with an 11.1 percent growth, showing gradual stabilization though still below pre-COVID levels.</w:t>
      </w:r>
    </w:p>
    <w:p w14:paraId="366F6D13" w14:textId="77777777" w:rsidR="00FF4053" w:rsidRPr="004B7D37" w:rsidRDefault="003731CE" w:rsidP="004B7D37">
      <w:pPr>
        <w:ind w:left="-5" w:right="0"/>
        <w:jc w:val="center"/>
        <w:rPr>
          <w:b/>
        </w:rPr>
      </w:pPr>
      <w:r w:rsidRPr="004B7D37">
        <w:rPr>
          <w:b/>
        </w:rPr>
        <w:t>4.</w:t>
      </w:r>
      <w:r w:rsidR="00116FF4" w:rsidRPr="004B7D37">
        <w:rPr>
          <w:b/>
        </w:rPr>
        <w:t>3. Revenue from Tourism in Tamil Nadu</w:t>
      </w:r>
      <w:r w:rsidR="004B7D37">
        <w:rPr>
          <w:b/>
        </w:rPr>
        <w:t xml:space="preserve"> 2014-2024</w:t>
      </w:r>
    </w:p>
    <w:tbl>
      <w:tblPr>
        <w:tblStyle w:val="TableGrid"/>
        <w:tblW w:w="9436" w:type="dxa"/>
        <w:jc w:val="center"/>
        <w:tblInd w:w="0" w:type="dxa"/>
        <w:tblCellMar>
          <w:top w:w="43" w:type="dxa"/>
          <w:left w:w="40" w:type="dxa"/>
          <w:right w:w="115" w:type="dxa"/>
        </w:tblCellMar>
        <w:tblLook w:val="04A0" w:firstRow="1" w:lastRow="0" w:firstColumn="1" w:lastColumn="0" w:noHBand="0" w:noVBand="1"/>
      </w:tblPr>
      <w:tblGrid>
        <w:gridCol w:w="1198"/>
        <w:gridCol w:w="2890"/>
        <w:gridCol w:w="5348"/>
      </w:tblGrid>
      <w:tr w:rsidR="00FF4053" w14:paraId="59E6A76A" w14:textId="77777777" w:rsidTr="00D539AC">
        <w:trPr>
          <w:trHeight w:val="633"/>
          <w:jc w:val="center"/>
        </w:trPr>
        <w:tc>
          <w:tcPr>
            <w:tcW w:w="1198" w:type="dxa"/>
            <w:tcBorders>
              <w:top w:val="double" w:sz="4" w:space="0" w:color="000000"/>
              <w:left w:val="double" w:sz="4" w:space="0" w:color="000000"/>
              <w:bottom w:val="double" w:sz="4" w:space="0" w:color="000000"/>
              <w:right w:val="double" w:sz="4" w:space="0" w:color="000000"/>
            </w:tcBorders>
            <w:vAlign w:val="center"/>
          </w:tcPr>
          <w:p w14:paraId="6BB8521C" w14:textId="77777777" w:rsidR="00FF4053" w:rsidRDefault="00116FF4">
            <w:pPr>
              <w:spacing w:after="0" w:line="259" w:lineRule="auto"/>
              <w:ind w:left="72" w:right="0" w:firstLine="0"/>
              <w:jc w:val="center"/>
            </w:pPr>
            <w:r>
              <w:rPr>
                <w:b/>
              </w:rPr>
              <w:lastRenderedPageBreak/>
              <w:t xml:space="preserve">Year </w:t>
            </w:r>
          </w:p>
        </w:tc>
        <w:tc>
          <w:tcPr>
            <w:tcW w:w="2890" w:type="dxa"/>
            <w:tcBorders>
              <w:top w:val="double" w:sz="4" w:space="0" w:color="000000"/>
              <w:left w:val="double" w:sz="4" w:space="0" w:color="000000"/>
              <w:bottom w:val="double" w:sz="4" w:space="0" w:color="000000"/>
              <w:right w:val="double" w:sz="4" w:space="0" w:color="000000"/>
            </w:tcBorders>
          </w:tcPr>
          <w:p w14:paraId="1932DEB5" w14:textId="77777777" w:rsidR="00FF4053" w:rsidRDefault="00116FF4">
            <w:pPr>
              <w:spacing w:after="0" w:line="259" w:lineRule="auto"/>
              <w:ind w:left="71" w:right="0" w:firstLine="0"/>
              <w:jc w:val="center"/>
            </w:pPr>
            <w:r>
              <w:rPr>
                <w:b/>
              </w:rPr>
              <w:t xml:space="preserve">Revenue from Tourism (in Rs. Crores) </w:t>
            </w:r>
          </w:p>
        </w:tc>
        <w:tc>
          <w:tcPr>
            <w:tcW w:w="5348" w:type="dxa"/>
            <w:tcBorders>
              <w:top w:val="double" w:sz="4" w:space="0" w:color="000000"/>
              <w:left w:val="double" w:sz="4" w:space="0" w:color="000000"/>
              <w:bottom w:val="double" w:sz="4" w:space="0" w:color="000000"/>
              <w:right w:val="double" w:sz="4" w:space="0" w:color="000000"/>
            </w:tcBorders>
            <w:vAlign w:val="center"/>
          </w:tcPr>
          <w:p w14:paraId="4F9673D6" w14:textId="77777777" w:rsidR="00FF4053" w:rsidRDefault="00116FF4">
            <w:pPr>
              <w:spacing w:after="0" w:line="259" w:lineRule="auto"/>
              <w:ind w:left="77" w:right="0" w:firstLine="0"/>
              <w:jc w:val="center"/>
            </w:pPr>
            <w:r>
              <w:rPr>
                <w:b/>
              </w:rPr>
              <w:t xml:space="preserve">Key Contributors </w:t>
            </w:r>
          </w:p>
        </w:tc>
      </w:tr>
      <w:tr w:rsidR="00FF4053" w14:paraId="1108BEDE" w14:textId="77777777" w:rsidTr="00D539AC">
        <w:trPr>
          <w:trHeight w:val="358"/>
          <w:jc w:val="center"/>
        </w:trPr>
        <w:tc>
          <w:tcPr>
            <w:tcW w:w="1198" w:type="dxa"/>
            <w:tcBorders>
              <w:top w:val="double" w:sz="4" w:space="0" w:color="000000"/>
              <w:left w:val="double" w:sz="4" w:space="0" w:color="000000"/>
              <w:bottom w:val="double" w:sz="4" w:space="0" w:color="000000"/>
              <w:right w:val="double" w:sz="4" w:space="0" w:color="000000"/>
            </w:tcBorders>
          </w:tcPr>
          <w:p w14:paraId="00B18313" w14:textId="77777777" w:rsidR="00FF4053" w:rsidRDefault="00116FF4">
            <w:pPr>
              <w:spacing w:after="0" w:line="259" w:lineRule="auto"/>
              <w:ind w:left="71" w:right="0" w:firstLine="0"/>
              <w:jc w:val="center"/>
            </w:pPr>
            <w:r>
              <w:t xml:space="preserve">2014 </w:t>
            </w:r>
          </w:p>
        </w:tc>
        <w:tc>
          <w:tcPr>
            <w:tcW w:w="2890" w:type="dxa"/>
            <w:tcBorders>
              <w:top w:val="double" w:sz="4" w:space="0" w:color="000000"/>
              <w:left w:val="double" w:sz="4" w:space="0" w:color="000000"/>
              <w:bottom w:val="double" w:sz="4" w:space="0" w:color="000000"/>
              <w:right w:val="double" w:sz="4" w:space="0" w:color="000000"/>
            </w:tcBorders>
          </w:tcPr>
          <w:p w14:paraId="34FE2328" w14:textId="77777777" w:rsidR="00FF4053" w:rsidRDefault="00116FF4">
            <w:pPr>
              <w:spacing w:after="0" w:line="259" w:lineRule="auto"/>
              <w:ind w:left="75" w:right="0" w:firstLine="0"/>
              <w:jc w:val="center"/>
            </w:pPr>
            <w:r>
              <w:t xml:space="preserve">11,500 </w:t>
            </w:r>
          </w:p>
        </w:tc>
        <w:tc>
          <w:tcPr>
            <w:tcW w:w="5348" w:type="dxa"/>
            <w:tcBorders>
              <w:top w:val="double" w:sz="4" w:space="0" w:color="000000"/>
              <w:left w:val="double" w:sz="4" w:space="0" w:color="000000"/>
              <w:bottom w:val="double" w:sz="4" w:space="0" w:color="000000"/>
              <w:right w:val="double" w:sz="4" w:space="0" w:color="000000"/>
            </w:tcBorders>
          </w:tcPr>
          <w:p w14:paraId="1497724D" w14:textId="77777777" w:rsidR="00FF4053" w:rsidRDefault="00116FF4">
            <w:pPr>
              <w:spacing w:after="0" w:line="259" w:lineRule="auto"/>
              <w:ind w:left="0" w:right="0" w:firstLine="0"/>
              <w:jc w:val="left"/>
            </w:pPr>
            <w:r>
              <w:t xml:space="preserve">Accommodation, Transport, Handicrafts </w:t>
            </w:r>
          </w:p>
        </w:tc>
      </w:tr>
      <w:tr w:rsidR="00FF4053" w14:paraId="0AFB2F70" w14:textId="77777777" w:rsidTr="00D539AC">
        <w:trPr>
          <w:trHeight w:val="355"/>
          <w:jc w:val="center"/>
        </w:trPr>
        <w:tc>
          <w:tcPr>
            <w:tcW w:w="1198" w:type="dxa"/>
            <w:tcBorders>
              <w:top w:val="double" w:sz="4" w:space="0" w:color="000000"/>
              <w:left w:val="double" w:sz="4" w:space="0" w:color="000000"/>
              <w:bottom w:val="double" w:sz="4" w:space="0" w:color="000000"/>
              <w:right w:val="double" w:sz="4" w:space="0" w:color="000000"/>
            </w:tcBorders>
          </w:tcPr>
          <w:p w14:paraId="178F000A" w14:textId="77777777" w:rsidR="00FF4053" w:rsidRDefault="00116FF4">
            <w:pPr>
              <w:spacing w:after="0" w:line="259" w:lineRule="auto"/>
              <w:ind w:left="71" w:right="0" w:firstLine="0"/>
              <w:jc w:val="center"/>
            </w:pPr>
            <w:r>
              <w:t xml:space="preserve">2015 </w:t>
            </w:r>
          </w:p>
        </w:tc>
        <w:tc>
          <w:tcPr>
            <w:tcW w:w="2890" w:type="dxa"/>
            <w:tcBorders>
              <w:top w:val="double" w:sz="4" w:space="0" w:color="000000"/>
              <w:left w:val="double" w:sz="4" w:space="0" w:color="000000"/>
              <w:bottom w:val="double" w:sz="4" w:space="0" w:color="000000"/>
              <w:right w:val="double" w:sz="4" w:space="0" w:color="000000"/>
            </w:tcBorders>
          </w:tcPr>
          <w:p w14:paraId="64012FFF" w14:textId="77777777" w:rsidR="00FF4053" w:rsidRDefault="00116FF4">
            <w:pPr>
              <w:spacing w:after="0" w:line="259" w:lineRule="auto"/>
              <w:ind w:left="75" w:right="0" w:firstLine="0"/>
              <w:jc w:val="center"/>
            </w:pPr>
            <w:r>
              <w:t xml:space="preserve">12,100 </w:t>
            </w:r>
          </w:p>
        </w:tc>
        <w:tc>
          <w:tcPr>
            <w:tcW w:w="5348" w:type="dxa"/>
            <w:tcBorders>
              <w:top w:val="double" w:sz="4" w:space="0" w:color="000000"/>
              <w:left w:val="double" w:sz="4" w:space="0" w:color="000000"/>
              <w:bottom w:val="double" w:sz="4" w:space="0" w:color="000000"/>
              <w:right w:val="double" w:sz="4" w:space="0" w:color="000000"/>
            </w:tcBorders>
          </w:tcPr>
          <w:p w14:paraId="1C9B4037" w14:textId="77777777" w:rsidR="00FF4053" w:rsidRDefault="00116FF4">
            <w:pPr>
              <w:spacing w:after="0" w:line="259" w:lineRule="auto"/>
              <w:ind w:left="0" w:right="0" w:firstLine="0"/>
              <w:jc w:val="left"/>
            </w:pPr>
            <w:r>
              <w:t xml:space="preserve">Accommodation, Transport, Cultural Events </w:t>
            </w:r>
          </w:p>
        </w:tc>
      </w:tr>
      <w:tr w:rsidR="00FF4053" w14:paraId="56770B54" w14:textId="77777777" w:rsidTr="00D539AC">
        <w:trPr>
          <w:trHeight w:val="355"/>
          <w:jc w:val="center"/>
        </w:trPr>
        <w:tc>
          <w:tcPr>
            <w:tcW w:w="1198" w:type="dxa"/>
            <w:tcBorders>
              <w:top w:val="double" w:sz="4" w:space="0" w:color="000000"/>
              <w:left w:val="double" w:sz="4" w:space="0" w:color="000000"/>
              <w:bottom w:val="double" w:sz="4" w:space="0" w:color="000000"/>
              <w:right w:val="double" w:sz="4" w:space="0" w:color="000000"/>
            </w:tcBorders>
          </w:tcPr>
          <w:p w14:paraId="61578AAA" w14:textId="77777777" w:rsidR="00FF4053" w:rsidRDefault="00116FF4">
            <w:pPr>
              <w:spacing w:after="0" w:line="259" w:lineRule="auto"/>
              <w:ind w:left="71" w:right="0" w:firstLine="0"/>
              <w:jc w:val="center"/>
            </w:pPr>
            <w:r>
              <w:t xml:space="preserve">2016 </w:t>
            </w:r>
          </w:p>
        </w:tc>
        <w:tc>
          <w:tcPr>
            <w:tcW w:w="2890" w:type="dxa"/>
            <w:tcBorders>
              <w:top w:val="double" w:sz="4" w:space="0" w:color="000000"/>
              <w:left w:val="double" w:sz="4" w:space="0" w:color="000000"/>
              <w:bottom w:val="double" w:sz="4" w:space="0" w:color="000000"/>
              <w:right w:val="double" w:sz="4" w:space="0" w:color="000000"/>
            </w:tcBorders>
          </w:tcPr>
          <w:p w14:paraId="766F97B0" w14:textId="77777777" w:rsidR="00FF4053" w:rsidRDefault="00116FF4">
            <w:pPr>
              <w:spacing w:after="0" w:line="259" w:lineRule="auto"/>
              <w:ind w:left="75" w:right="0" w:firstLine="0"/>
              <w:jc w:val="center"/>
            </w:pPr>
            <w:r>
              <w:t xml:space="preserve">13,250 </w:t>
            </w:r>
          </w:p>
        </w:tc>
        <w:tc>
          <w:tcPr>
            <w:tcW w:w="5348" w:type="dxa"/>
            <w:tcBorders>
              <w:top w:val="double" w:sz="4" w:space="0" w:color="000000"/>
              <w:left w:val="double" w:sz="4" w:space="0" w:color="000000"/>
              <w:bottom w:val="double" w:sz="4" w:space="0" w:color="000000"/>
              <w:right w:val="double" w:sz="4" w:space="0" w:color="000000"/>
            </w:tcBorders>
          </w:tcPr>
          <w:p w14:paraId="321B2569" w14:textId="77777777" w:rsidR="00FF4053" w:rsidRDefault="00116FF4">
            <w:pPr>
              <w:spacing w:after="0" w:line="259" w:lineRule="auto"/>
              <w:ind w:left="0" w:right="0" w:firstLine="0"/>
              <w:jc w:val="left"/>
            </w:pPr>
            <w:r>
              <w:t xml:space="preserve">Accommodation, Transport, Medical Tourism </w:t>
            </w:r>
          </w:p>
        </w:tc>
      </w:tr>
      <w:tr w:rsidR="00FF4053" w14:paraId="194131D6" w14:textId="77777777" w:rsidTr="00D539AC">
        <w:trPr>
          <w:trHeight w:val="358"/>
          <w:jc w:val="center"/>
        </w:trPr>
        <w:tc>
          <w:tcPr>
            <w:tcW w:w="1198" w:type="dxa"/>
            <w:tcBorders>
              <w:top w:val="double" w:sz="4" w:space="0" w:color="000000"/>
              <w:left w:val="double" w:sz="4" w:space="0" w:color="000000"/>
              <w:bottom w:val="double" w:sz="4" w:space="0" w:color="000000"/>
              <w:right w:val="double" w:sz="4" w:space="0" w:color="000000"/>
            </w:tcBorders>
          </w:tcPr>
          <w:p w14:paraId="2FFA7BB8" w14:textId="77777777" w:rsidR="00FF4053" w:rsidRDefault="00116FF4">
            <w:pPr>
              <w:spacing w:after="0" w:line="259" w:lineRule="auto"/>
              <w:ind w:left="71" w:right="0" w:firstLine="0"/>
              <w:jc w:val="center"/>
            </w:pPr>
            <w:r>
              <w:t xml:space="preserve">2017 </w:t>
            </w:r>
          </w:p>
        </w:tc>
        <w:tc>
          <w:tcPr>
            <w:tcW w:w="2890" w:type="dxa"/>
            <w:tcBorders>
              <w:top w:val="double" w:sz="4" w:space="0" w:color="000000"/>
              <w:left w:val="double" w:sz="4" w:space="0" w:color="000000"/>
              <w:bottom w:val="double" w:sz="4" w:space="0" w:color="000000"/>
              <w:right w:val="double" w:sz="4" w:space="0" w:color="000000"/>
            </w:tcBorders>
          </w:tcPr>
          <w:p w14:paraId="37691264" w14:textId="77777777" w:rsidR="00FF4053" w:rsidRDefault="00116FF4">
            <w:pPr>
              <w:spacing w:after="0" w:line="259" w:lineRule="auto"/>
              <w:ind w:left="75" w:right="0" w:firstLine="0"/>
              <w:jc w:val="center"/>
            </w:pPr>
            <w:r>
              <w:t xml:space="preserve">14,300 </w:t>
            </w:r>
          </w:p>
        </w:tc>
        <w:tc>
          <w:tcPr>
            <w:tcW w:w="5348" w:type="dxa"/>
            <w:tcBorders>
              <w:top w:val="double" w:sz="4" w:space="0" w:color="000000"/>
              <w:left w:val="double" w:sz="4" w:space="0" w:color="000000"/>
              <w:bottom w:val="double" w:sz="4" w:space="0" w:color="000000"/>
              <w:right w:val="double" w:sz="4" w:space="0" w:color="000000"/>
            </w:tcBorders>
          </w:tcPr>
          <w:p w14:paraId="54F36A48" w14:textId="77777777" w:rsidR="00FF4053" w:rsidRDefault="00116FF4">
            <w:pPr>
              <w:spacing w:after="0" w:line="259" w:lineRule="auto"/>
              <w:ind w:left="0" w:right="0" w:firstLine="0"/>
              <w:jc w:val="left"/>
            </w:pPr>
            <w:r>
              <w:t xml:space="preserve">Accommodation, Handicrafts, Pilgrimage </w:t>
            </w:r>
          </w:p>
        </w:tc>
      </w:tr>
      <w:tr w:rsidR="00FF4053" w14:paraId="3375B90E" w14:textId="77777777" w:rsidTr="00D539AC">
        <w:trPr>
          <w:trHeight w:val="355"/>
          <w:jc w:val="center"/>
        </w:trPr>
        <w:tc>
          <w:tcPr>
            <w:tcW w:w="1198" w:type="dxa"/>
            <w:tcBorders>
              <w:top w:val="double" w:sz="4" w:space="0" w:color="000000"/>
              <w:left w:val="double" w:sz="4" w:space="0" w:color="000000"/>
              <w:bottom w:val="double" w:sz="4" w:space="0" w:color="000000"/>
              <w:right w:val="double" w:sz="4" w:space="0" w:color="000000"/>
            </w:tcBorders>
          </w:tcPr>
          <w:p w14:paraId="7521A4DF" w14:textId="77777777" w:rsidR="00FF4053" w:rsidRDefault="00116FF4">
            <w:pPr>
              <w:spacing w:after="0" w:line="259" w:lineRule="auto"/>
              <w:ind w:left="71" w:right="0" w:firstLine="0"/>
              <w:jc w:val="center"/>
            </w:pPr>
            <w:r>
              <w:t xml:space="preserve">2018 </w:t>
            </w:r>
          </w:p>
        </w:tc>
        <w:tc>
          <w:tcPr>
            <w:tcW w:w="2890" w:type="dxa"/>
            <w:tcBorders>
              <w:top w:val="double" w:sz="4" w:space="0" w:color="000000"/>
              <w:left w:val="double" w:sz="4" w:space="0" w:color="000000"/>
              <w:bottom w:val="double" w:sz="4" w:space="0" w:color="000000"/>
              <w:right w:val="double" w:sz="4" w:space="0" w:color="000000"/>
            </w:tcBorders>
          </w:tcPr>
          <w:p w14:paraId="26BEFFD1" w14:textId="77777777" w:rsidR="00FF4053" w:rsidRDefault="00116FF4">
            <w:pPr>
              <w:spacing w:after="0" w:line="259" w:lineRule="auto"/>
              <w:ind w:left="75" w:right="0" w:firstLine="0"/>
              <w:jc w:val="center"/>
            </w:pPr>
            <w:r>
              <w:t xml:space="preserve">16,450 </w:t>
            </w:r>
          </w:p>
        </w:tc>
        <w:tc>
          <w:tcPr>
            <w:tcW w:w="5348" w:type="dxa"/>
            <w:tcBorders>
              <w:top w:val="double" w:sz="4" w:space="0" w:color="000000"/>
              <w:left w:val="double" w:sz="4" w:space="0" w:color="000000"/>
              <w:bottom w:val="double" w:sz="4" w:space="0" w:color="000000"/>
              <w:right w:val="double" w:sz="4" w:space="0" w:color="000000"/>
            </w:tcBorders>
          </w:tcPr>
          <w:p w14:paraId="0868B1B2" w14:textId="77777777" w:rsidR="00FF4053" w:rsidRDefault="00116FF4">
            <w:pPr>
              <w:spacing w:after="0" w:line="259" w:lineRule="auto"/>
              <w:ind w:left="0" w:right="0" w:firstLine="0"/>
              <w:jc w:val="left"/>
            </w:pPr>
            <w:r>
              <w:t xml:space="preserve">Cultural Events, Medical Tourism, Eco-Tourism </w:t>
            </w:r>
          </w:p>
        </w:tc>
      </w:tr>
      <w:tr w:rsidR="00FF4053" w14:paraId="3075E8D6" w14:textId="77777777" w:rsidTr="00D539AC">
        <w:trPr>
          <w:trHeight w:val="355"/>
          <w:jc w:val="center"/>
        </w:trPr>
        <w:tc>
          <w:tcPr>
            <w:tcW w:w="1198" w:type="dxa"/>
            <w:tcBorders>
              <w:top w:val="double" w:sz="4" w:space="0" w:color="000000"/>
              <w:left w:val="double" w:sz="4" w:space="0" w:color="000000"/>
              <w:bottom w:val="double" w:sz="4" w:space="0" w:color="000000"/>
              <w:right w:val="double" w:sz="4" w:space="0" w:color="000000"/>
            </w:tcBorders>
          </w:tcPr>
          <w:p w14:paraId="46491B30" w14:textId="77777777" w:rsidR="00FF4053" w:rsidRDefault="00116FF4">
            <w:pPr>
              <w:spacing w:after="0" w:line="259" w:lineRule="auto"/>
              <w:ind w:left="71" w:right="0" w:firstLine="0"/>
              <w:jc w:val="center"/>
            </w:pPr>
            <w:r>
              <w:t xml:space="preserve">2019 </w:t>
            </w:r>
          </w:p>
        </w:tc>
        <w:tc>
          <w:tcPr>
            <w:tcW w:w="2890" w:type="dxa"/>
            <w:tcBorders>
              <w:top w:val="double" w:sz="4" w:space="0" w:color="000000"/>
              <w:left w:val="double" w:sz="4" w:space="0" w:color="000000"/>
              <w:bottom w:val="double" w:sz="4" w:space="0" w:color="000000"/>
              <w:right w:val="double" w:sz="4" w:space="0" w:color="000000"/>
            </w:tcBorders>
          </w:tcPr>
          <w:p w14:paraId="7DA4D6C0" w14:textId="77777777" w:rsidR="00FF4053" w:rsidRDefault="00116FF4">
            <w:pPr>
              <w:spacing w:after="0" w:line="259" w:lineRule="auto"/>
              <w:ind w:left="75" w:right="0" w:firstLine="0"/>
              <w:jc w:val="center"/>
            </w:pPr>
            <w:r>
              <w:t xml:space="preserve">19,800 </w:t>
            </w:r>
          </w:p>
        </w:tc>
        <w:tc>
          <w:tcPr>
            <w:tcW w:w="5348" w:type="dxa"/>
            <w:tcBorders>
              <w:top w:val="double" w:sz="4" w:space="0" w:color="000000"/>
              <w:left w:val="double" w:sz="4" w:space="0" w:color="000000"/>
              <w:bottom w:val="double" w:sz="4" w:space="0" w:color="000000"/>
              <w:right w:val="double" w:sz="4" w:space="0" w:color="000000"/>
            </w:tcBorders>
          </w:tcPr>
          <w:p w14:paraId="37CF8D8B" w14:textId="77777777" w:rsidR="00FF4053" w:rsidRDefault="00116FF4">
            <w:pPr>
              <w:spacing w:after="0" w:line="259" w:lineRule="auto"/>
              <w:ind w:left="0" w:right="0" w:firstLine="0"/>
              <w:jc w:val="left"/>
            </w:pPr>
            <w:r>
              <w:t xml:space="preserve">Accommodation, Transport, Festivals </w:t>
            </w:r>
          </w:p>
        </w:tc>
      </w:tr>
      <w:tr w:rsidR="00FF4053" w14:paraId="4AFA994A" w14:textId="77777777" w:rsidTr="00D539AC">
        <w:trPr>
          <w:trHeight w:val="355"/>
          <w:jc w:val="center"/>
        </w:trPr>
        <w:tc>
          <w:tcPr>
            <w:tcW w:w="1198" w:type="dxa"/>
            <w:tcBorders>
              <w:top w:val="double" w:sz="4" w:space="0" w:color="000000"/>
              <w:left w:val="double" w:sz="4" w:space="0" w:color="000000"/>
              <w:bottom w:val="double" w:sz="4" w:space="0" w:color="000000"/>
              <w:right w:val="double" w:sz="4" w:space="0" w:color="000000"/>
            </w:tcBorders>
          </w:tcPr>
          <w:p w14:paraId="36721D54" w14:textId="77777777" w:rsidR="00FF4053" w:rsidRDefault="00116FF4">
            <w:pPr>
              <w:spacing w:after="0" w:line="259" w:lineRule="auto"/>
              <w:ind w:left="71" w:right="0" w:firstLine="0"/>
              <w:jc w:val="center"/>
            </w:pPr>
            <w:r>
              <w:t xml:space="preserve">2020 </w:t>
            </w:r>
          </w:p>
        </w:tc>
        <w:tc>
          <w:tcPr>
            <w:tcW w:w="2890" w:type="dxa"/>
            <w:tcBorders>
              <w:top w:val="double" w:sz="4" w:space="0" w:color="000000"/>
              <w:left w:val="double" w:sz="4" w:space="0" w:color="000000"/>
              <w:bottom w:val="double" w:sz="4" w:space="0" w:color="000000"/>
              <w:right w:val="double" w:sz="4" w:space="0" w:color="000000"/>
            </w:tcBorders>
          </w:tcPr>
          <w:p w14:paraId="52DBF336" w14:textId="77777777" w:rsidR="00FF4053" w:rsidRDefault="00116FF4">
            <w:pPr>
              <w:spacing w:after="0" w:line="259" w:lineRule="auto"/>
              <w:ind w:left="75" w:right="0" w:firstLine="0"/>
              <w:jc w:val="center"/>
            </w:pPr>
            <w:r>
              <w:t xml:space="preserve">5,200 </w:t>
            </w:r>
          </w:p>
        </w:tc>
        <w:tc>
          <w:tcPr>
            <w:tcW w:w="5348" w:type="dxa"/>
            <w:tcBorders>
              <w:top w:val="double" w:sz="4" w:space="0" w:color="000000"/>
              <w:left w:val="double" w:sz="4" w:space="0" w:color="000000"/>
              <w:bottom w:val="double" w:sz="4" w:space="0" w:color="000000"/>
              <w:right w:val="double" w:sz="4" w:space="0" w:color="000000"/>
            </w:tcBorders>
          </w:tcPr>
          <w:p w14:paraId="5B0E3455" w14:textId="77777777" w:rsidR="00FF4053" w:rsidRDefault="00116FF4">
            <w:pPr>
              <w:spacing w:after="0" w:line="259" w:lineRule="auto"/>
              <w:ind w:left="0" w:right="0" w:firstLine="0"/>
              <w:jc w:val="left"/>
            </w:pPr>
            <w:r>
              <w:t xml:space="preserve">COVID-19 Impact, Reduced Tourist Arrivals </w:t>
            </w:r>
          </w:p>
        </w:tc>
      </w:tr>
      <w:tr w:rsidR="00FF4053" w14:paraId="2189C578" w14:textId="77777777" w:rsidTr="00D539AC">
        <w:trPr>
          <w:trHeight w:val="358"/>
          <w:jc w:val="center"/>
        </w:trPr>
        <w:tc>
          <w:tcPr>
            <w:tcW w:w="1198" w:type="dxa"/>
            <w:tcBorders>
              <w:top w:val="double" w:sz="4" w:space="0" w:color="000000"/>
              <w:left w:val="double" w:sz="4" w:space="0" w:color="000000"/>
              <w:bottom w:val="double" w:sz="4" w:space="0" w:color="000000"/>
              <w:right w:val="double" w:sz="4" w:space="0" w:color="000000"/>
            </w:tcBorders>
          </w:tcPr>
          <w:p w14:paraId="0AD781C1" w14:textId="77777777" w:rsidR="00FF4053" w:rsidRDefault="00116FF4">
            <w:pPr>
              <w:spacing w:after="0" w:line="259" w:lineRule="auto"/>
              <w:ind w:left="71" w:right="0" w:firstLine="0"/>
              <w:jc w:val="center"/>
            </w:pPr>
            <w:r>
              <w:t xml:space="preserve">2021 </w:t>
            </w:r>
          </w:p>
        </w:tc>
        <w:tc>
          <w:tcPr>
            <w:tcW w:w="2890" w:type="dxa"/>
            <w:tcBorders>
              <w:top w:val="double" w:sz="4" w:space="0" w:color="000000"/>
              <w:left w:val="double" w:sz="4" w:space="0" w:color="000000"/>
              <w:bottom w:val="double" w:sz="4" w:space="0" w:color="000000"/>
              <w:right w:val="double" w:sz="4" w:space="0" w:color="000000"/>
            </w:tcBorders>
          </w:tcPr>
          <w:p w14:paraId="089982BD" w14:textId="77777777" w:rsidR="00FF4053" w:rsidRDefault="00116FF4">
            <w:pPr>
              <w:spacing w:after="0" w:line="259" w:lineRule="auto"/>
              <w:ind w:left="75" w:right="0" w:firstLine="0"/>
              <w:jc w:val="center"/>
            </w:pPr>
            <w:r>
              <w:t xml:space="preserve">5,100 </w:t>
            </w:r>
          </w:p>
        </w:tc>
        <w:tc>
          <w:tcPr>
            <w:tcW w:w="5348" w:type="dxa"/>
            <w:tcBorders>
              <w:top w:val="double" w:sz="4" w:space="0" w:color="000000"/>
              <w:left w:val="double" w:sz="4" w:space="0" w:color="000000"/>
              <w:bottom w:val="double" w:sz="4" w:space="0" w:color="000000"/>
              <w:right w:val="double" w:sz="4" w:space="0" w:color="000000"/>
            </w:tcBorders>
          </w:tcPr>
          <w:p w14:paraId="043933ED" w14:textId="77777777" w:rsidR="00FF4053" w:rsidRDefault="00116FF4">
            <w:pPr>
              <w:spacing w:after="0" w:line="259" w:lineRule="auto"/>
              <w:ind w:left="0" w:right="0" w:firstLine="0"/>
              <w:jc w:val="left"/>
            </w:pPr>
            <w:r>
              <w:t xml:space="preserve">Slow Recovery Post-COVID </w:t>
            </w:r>
          </w:p>
        </w:tc>
      </w:tr>
      <w:tr w:rsidR="00FF4053" w14:paraId="33236FA9" w14:textId="77777777" w:rsidTr="00D539AC">
        <w:trPr>
          <w:trHeight w:val="356"/>
          <w:jc w:val="center"/>
        </w:trPr>
        <w:tc>
          <w:tcPr>
            <w:tcW w:w="1198" w:type="dxa"/>
            <w:tcBorders>
              <w:top w:val="double" w:sz="4" w:space="0" w:color="000000"/>
              <w:left w:val="double" w:sz="4" w:space="0" w:color="000000"/>
              <w:bottom w:val="double" w:sz="4" w:space="0" w:color="000000"/>
              <w:right w:val="double" w:sz="4" w:space="0" w:color="000000"/>
            </w:tcBorders>
          </w:tcPr>
          <w:p w14:paraId="3D69532D" w14:textId="77777777" w:rsidR="00FF4053" w:rsidRDefault="00116FF4">
            <w:pPr>
              <w:spacing w:after="0" w:line="259" w:lineRule="auto"/>
              <w:ind w:left="71" w:right="0" w:firstLine="0"/>
              <w:jc w:val="center"/>
            </w:pPr>
            <w:r>
              <w:t xml:space="preserve">2022 </w:t>
            </w:r>
          </w:p>
        </w:tc>
        <w:tc>
          <w:tcPr>
            <w:tcW w:w="2890" w:type="dxa"/>
            <w:tcBorders>
              <w:top w:val="double" w:sz="4" w:space="0" w:color="000000"/>
              <w:left w:val="double" w:sz="4" w:space="0" w:color="000000"/>
              <w:bottom w:val="double" w:sz="4" w:space="0" w:color="000000"/>
              <w:right w:val="double" w:sz="4" w:space="0" w:color="000000"/>
            </w:tcBorders>
          </w:tcPr>
          <w:p w14:paraId="0CA8C33C" w14:textId="77777777" w:rsidR="00FF4053" w:rsidRDefault="00116FF4">
            <w:pPr>
              <w:spacing w:after="0" w:line="259" w:lineRule="auto"/>
              <w:ind w:left="75" w:right="0" w:firstLine="0"/>
              <w:jc w:val="center"/>
            </w:pPr>
            <w:r>
              <w:t xml:space="preserve">9,800 </w:t>
            </w:r>
          </w:p>
        </w:tc>
        <w:tc>
          <w:tcPr>
            <w:tcW w:w="5348" w:type="dxa"/>
            <w:tcBorders>
              <w:top w:val="double" w:sz="4" w:space="0" w:color="000000"/>
              <w:left w:val="double" w:sz="4" w:space="0" w:color="000000"/>
              <w:bottom w:val="double" w:sz="4" w:space="0" w:color="000000"/>
              <w:right w:val="double" w:sz="4" w:space="0" w:color="000000"/>
            </w:tcBorders>
          </w:tcPr>
          <w:p w14:paraId="41569F20" w14:textId="77777777" w:rsidR="00FF4053" w:rsidRDefault="00116FF4">
            <w:pPr>
              <w:spacing w:after="0" w:line="259" w:lineRule="auto"/>
              <w:ind w:left="0" w:right="0" w:firstLine="0"/>
              <w:jc w:val="left"/>
            </w:pPr>
            <w:r>
              <w:t xml:space="preserve">Domestic Tourism, Medical Tourism, Eco-Tourism </w:t>
            </w:r>
          </w:p>
        </w:tc>
      </w:tr>
      <w:tr w:rsidR="00FF4053" w14:paraId="0DF81C26" w14:textId="77777777" w:rsidTr="00D539AC">
        <w:trPr>
          <w:trHeight w:val="356"/>
          <w:jc w:val="center"/>
        </w:trPr>
        <w:tc>
          <w:tcPr>
            <w:tcW w:w="1198" w:type="dxa"/>
            <w:tcBorders>
              <w:top w:val="double" w:sz="4" w:space="0" w:color="000000"/>
              <w:left w:val="double" w:sz="4" w:space="0" w:color="000000"/>
              <w:bottom w:val="double" w:sz="4" w:space="0" w:color="000000"/>
              <w:right w:val="double" w:sz="4" w:space="0" w:color="000000"/>
            </w:tcBorders>
          </w:tcPr>
          <w:p w14:paraId="717F627C" w14:textId="77777777" w:rsidR="00FF4053" w:rsidRDefault="00116FF4">
            <w:pPr>
              <w:spacing w:after="0" w:line="259" w:lineRule="auto"/>
              <w:ind w:left="71" w:right="0" w:firstLine="0"/>
              <w:jc w:val="center"/>
            </w:pPr>
            <w:r>
              <w:t xml:space="preserve">2023 </w:t>
            </w:r>
          </w:p>
        </w:tc>
        <w:tc>
          <w:tcPr>
            <w:tcW w:w="2890" w:type="dxa"/>
            <w:tcBorders>
              <w:top w:val="double" w:sz="4" w:space="0" w:color="000000"/>
              <w:left w:val="double" w:sz="4" w:space="0" w:color="000000"/>
              <w:bottom w:val="double" w:sz="4" w:space="0" w:color="000000"/>
              <w:right w:val="double" w:sz="4" w:space="0" w:color="000000"/>
            </w:tcBorders>
          </w:tcPr>
          <w:p w14:paraId="3EF222D0" w14:textId="77777777" w:rsidR="00FF4053" w:rsidRDefault="00116FF4">
            <w:pPr>
              <w:spacing w:after="0" w:line="259" w:lineRule="auto"/>
              <w:ind w:left="75" w:right="0" w:firstLine="0"/>
              <w:jc w:val="center"/>
            </w:pPr>
            <w:r>
              <w:t xml:space="preserve">12,400 </w:t>
            </w:r>
          </w:p>
        </w:tc>
        <w:tc>
          <w:tcPr>
            <w:tcW w:w="5348" w:type="dxa"/>
            <w:tcBorders>
              <w:top w:val="double" w:sz="4" w:space="0" w:color="000000"/>
              <w:left w:val="double" w:sz="4" w:space="0" w:color="000000"/>
              <w:bottom w:val="double" w:sz="4" w:space="0" w:color="000000"/>
              <w:right w:val="double" w:sz="4" w:space="0" w:color="000000"/>
            </w:tcBorders>
          </w:tcPr>
          <w:p w14:paraId="6A2E5176" w14:textId="77777777" w:rsidR="00FF4053" w:rsidRDefault="00116FF4">
            <w:pPr>
              <w:spacing w:after="0" w:line="259" w:lineRule="auto"/>
              <w:ind w:left="0" w:right="0" w:firstLine="0"/>
              <w:jc w:val="left"/>
            </w:pPr>
            <w:r>
              <w:t xml:space="preserve">Festivals, Medical Tourism, Heritage Sites </w:t>
            </w:r>
          </w:p>
        </w:tc>
      </w:tr>
      <w:tr w:rsidR="004B7D37" w14:paraId="1D0F65C4" w14:textId="77777777" w:rsidTr="00D539AC">
        <w:trPr>
          <w:trHeight w:val="356"/>
          <w:jc w:val="center"/>
        </w:trPr>
        <w:tc>
          <w:tcPr>
            <w:tcW w:w="1198" w:type="dxa"/>
            <w:tcBorders>
              <w:top w:val="double" w:sz="4" w:space="0" w:color="000000"/>
              <w:left w:val="double" w:sz="4" w:space="0" w:color="000000"/>
              <w:bottom w:val="double" w:sz="4" w:space="0" w:color="000000"/>
              <w:right w:val="double" w:sz="4" w:space="0" w:color="000000"/>
            </w:tcBorders>
          </w:tcPr>
          <w:p w14:paraId="025C9016" w14:textId="77777777" w:rsidR="004B7D37" w:rsidRDefault="004B7D37">
            <w:pPr>
              <w:spacing w:after="0" w:line="259" w:lineRule="auto"/>
              <w:ind w:left="71" w:right="0" w:firstLine="0"/>
              <w:jc w:val="center"/>
            </w:pPr>
            <w:r>
              <w:t>2024</w:t>
            </w:r>
          </w:p>
        </w:tc>
        <w:tc>
          <w:tcPr>
            <w:tcW w:w="2890" w:type="dxa"/>
            <w:tcBorders>
              <w:top w:val="double" w:sz="4" w:space="0" w:color="000000"/>
              <w:left w:val="double" w:sz="4" w:space="0" w:color="000000"/>
              <w:bottom w:val="double" w:sz="4" w:space="0" w:color="000000"/>
              <w:right w:val="double" w:sz="4" w:space="0" w:color="000000"/>
            </w:tcBorders>
          </w:tcPr>
          <w:p w14:paraId="34104AE6" w14:textId="77777777" w:rsidR="004B7D37" w:rsidRDefault="004B7D37">
            <w:pPr>
              <w:spacing w:after="0" w:line="259" w:lineRule="auto"/>
              <w:ind w:left="75" w:right="0" w:firstLine="0"/>
              <w:jc w:val="center"/>
            </w:pPr>
            <w:r>
              <w:t>16,500</w:t>
            </w:r>
          </w:p>
        </w:tc>
        <w:tc>
          <w:tcPr>
            <w:tcW w:w="5348" w:type="dxa"/>
            <w:tcBorders>
              <w:top w:val="double" w:sz="4" w:space="0" w:color="000000"/>
              <w:left w:val="double" w:sz="4" w:space="0" w:color="000000"/>
              <w:bottom w:val="double" w:sz="4" w:space="0" w:color="000000"/>
              <w:right w:val="double" w:sz="4" w:space="0" w:color="000000"/>
            </w:tcBorders>
          </w:tcPr>
          <w:p w14:paraId="70162827" w14:textId="77777777" w:rsidR="004B7D37" w:rsidRDefault="004B7D37">
            <w:pPr>
              <w:spacing w:after="0" w:line="259" w:lineRule="auto"/>
              <w:ind w:left="0" w:right="0" w:firstLine="0"/>
              <w:jc w:val="left"/>
            </w:pPr>
            <w:r>
              <w:t>Domestic Tourism Strong, International Arrivals Improving</w:t>
            </w:r>
          </w:p>
        </w:tc>
      </w:tr>
    </w:tbl>
    <w:p w14:paraId="72BFE4F2" w14:textId="77777777" w:rsidR="00FF4053" w:rsidRDefault="00116FF4">
      <w:pPr>
        <w:spacing w:after="232" w:line="259" w:lineRule="auto"/>
        <w:ind w:left="0" w:right="0" w:firstLine="0"/>
        <w:jc w:val="left"/>
        <w:rPr>
          <w:sz w:val="20"/>
        </w:rPr>
      </w:pPr>
      <w:r>
        <w:t xml:space="preserve"> </w:t>
      </w:r>
      <w:r w:rsidR="004B7D37" w:rsidRPr="004B7D37">
        <w:rPr>
          <w:b/>
        </w:rPr>
        <w:t>Source:</w:t>
      </w:r>
      <w:r w:rsidR="004B7D37">
        <w:rPr>
          <w:b/>
        </w:rPr>
        <w:t xml:space="preserve"> </w:t>
      </w:r>
      <w:r w:rsidR="004B7D37" w:rsidRPr="004B7D37">
        <w:rPr>
          <w:sz w:val="20"/>
        </w:rPr>
        <w:t>Tamil Nadu Statistical Handbooks, India Tourism Statistics</w:t>
      </w:r>
    </w:p>
    <w:p w14:paraId="4EF1438C" w14:textId="71B59C57" w:rsidR="00D539AC" w:rsidRDefault="00D539AC">
      <w:pPr>
        <w:spacing w:after="232" w:line="259" w:lineRule="auto"/>
        <w:ind w:left="0" w:right="0" w:firstLine="0"/>
        <w:jc w:val="left"/>
      </w:pPr>
      <w:r>
        <w:t>Table 3-</w:t>
      </w:r>
      <w:r w:rsidR="00F67EDE">
        <w:t xml:space="preserve"> </w:t>
      </w:r>
      <w:r w:rsidR="00F67EDE" w:rsidRPr="00F67EDE">
        <w:t>Revenue from Tourism in Tamil Nadu 2014-2024</w:t>
      </w:r>
    </w:p>
    <w:p w14:paraId="46BF0276" w14:textId="77777777" w:rsidR="00FF4053" w:rsidRDefault="00116FF4">
      <w:pPr>
        <w:ind w:left="-5" w:right="0"/>
      </w:pPr>
      <w:r>
        <w:t>Tourism in Tamil Nadu significantly contributes to the state's economy through various channels such as accommodation, transport, cultural events, and medical tourism. From 2014 to 2019, Tamil Nadu witnessed consistent growth in tourism revenue, with a rise from Rs.11,500 crores in 2014 to Rs.19,800 crores in 2019. The key contributors during this period included the accommodation sector, transport services, and cultural events, which attracted a large number of domestic and foreign tourists.</w:t>
      </w:r>
      <w:r w:rsidR="003731CE">
        <w:t xml:space="preserve"> </w:t>
      </w:r>
      <w:r>
        <w:t>The impact of the COVID-19 pandemic in 2020 led to a sharp decline in tourism revenue, dropping to Rs.5,200 crores due to travel restrictions and reduced tourist arrivals. Recovery remained slow in 2021, with revenue at Rs.5,100 crores. However, from 2022, the tourism sector began to revive as domestic and international travel resumed, and the state government actively promoted tourism through improved infrastructure and promotional campaigns.</w:t>
      </w:r>
      <w:r w:rsidR="003731CE">
        <w:t xml:space="preserve"> </w:t>
      </w:r>
      <w:r>
        <w:t xml:space="preserve">By 2023, tourism revenue increased to Rs.12,400 crores, driven by the growing popularity of medical tourism, cultural festivals, and heritage tourism. The first half of 2024 has </w:t>
      </w:r>
      <w:r>
        <w:lastRenderedPageBreak/>
        <w:t xml:space="preserve">already shown promising growth, with revenue reaching Rs.7,850 crores due to increased domestic and foreign tourist arrivals. The accommodation and transport sectors remain key drivers of revenue, supported by Tamil Nadu’s strong position in medical and pilgrimage tourism. </w:t>
      </w:r>
    </w:p>
    <w:p w14:paraId="28CE4E19" w14:textId="77777777" w:rsidR="00FF4053" w:rsidRDefault="00116FF4">
      <w:pPr>
        <w:pStyle w:val="Heading1"/>
        <w:ind w:left="-5"/>
      </w:pPr>
      <w:r>
        <w:t xml:space="preserve">PROBLEMS FACING TOURISTS AND TOURISM IN TAMIL NADU </w:t>
      </w:r>
    </w:p>
    <w:p w14:paraId="0D96D7C6" w14:textId="77777777" w:rsidR="00FF4053" w:rsidRDefault="00116FF4" w:rsidP="003731CE">
      <w:pPr>
        <w:ind w:left="-5" w:right="0" w:firstLine="725"/>
      </w:pPr>
      <w:r>
        <w:t xml:space="preserve">Tamil Nadu, despite being a popular tourist destination, faces several challenges that affect the overall tourism experience and limit the sector's potential for further growth. These issues range from infrastructure gaps to environmental concerns and cultural sensitivities, which need to be addressed to enhance tourist satisfaction and sustain long-term growth. </w:t>
      </w:r>
    </w:p>
    <w:p w14:paraId="6EE06D5E" w14:textId="77777777" w:rsidR="00FF4053" w:rsidRDefault="00116FF4">
      <w:pPr>
        <w:pStyle w:val="Heading2"/>
        <w:ind w:left="-5"/>
      </w:pPr>
      <w:r>
        <w:t xml:space="preserve">1. Poor Infrastructure and Connectivity </w:t>
      </w:r>
    </w:p>
    <w:p w14:paraId="32D08FF5" w14:textId="77777777" w:rsidR="00FF4053" w:rsidRDefault="00116FF4" w:rsidP="003731CE">
      <w:pPr>
        <w:ind w:left="-5" w:right="0" w:firstLine="725"/>
      </w:pPr>
      <w:r>
        <w:t xml:space="preserve">Inadequate infrastructure is a major challenge for tourism in Tamil Nadu. While major cities like Chennai, Madurai, and Coimbatore have well-developed transport networks, remote and </w:t>
      </w:r>
      <w:r w:rsidR="004B7D37">
        <w:t>lesser known</w:t>
      </w:r>
      <w:r>
        <w:t xml:space="preserve"> tourist destinations suffer from poor road connectivity, limited public transport options, and inadequate facilities. The condition of rural roads leading to heritage sites and natural reserves is often poor, making it difficult for tourists to reach these locations comfortably. </w:t>
      </w:r>
    </w:p>
    <w:p w14:paraId="062F778F" w14:textId="77777777" w:rsidR="00FF4053" w:rsidRPr="004B7D37" w:rsidRDefault="00116FF4" w:rsidP="006133DD">
      <w:pPr>
        <w:spacing w:after="232" w:line="259" w:lineRule="auto"/>
        <w:ind w:left="0" w:right="0" w:firstLine="0"/>
        <w:jc w:val="left"/>
        <w:rPr>
          <w:b/>
        </w:rPr>
      </w:pPr>
      <w:r>
        <w:t xml:space="preserve"> </w:t>
      </w:r>
      <w:r w:rsidRPr="004B7D37">
        <w:rPr>
          <w:b/>
        </w:rPr>
        <w:t xml:space="preserve"> 2. Lack of Proper Signage and Tourist Information </w:t>
      </w:r>
    </w:p>
    <w:p w14:paraId="660A5C59" w14:textId="77777777" w:rsidR="00FF4053" w:rsidRDefault="00116FF4" w:rsidP="003731CE">
      <w:pPr>
        <w:ind w:left="-5" w:right="0" w:firstLine="725"/>
      </w:pPr>
      <w:r>
        <w:t xml:space="preserve">Many tourist sites lack proper signage and information boards, making it difficult for tourists, especially foreign visitors, to navigate and understand the historical and cultural significance of the sites. Language barriers also pose challenges as most signboards are only in Tamil, with limited translations in English or other foreign languages. </w:t>
      </w:r>
    </w:p>
    <w:p w14:paraId="3685B366" w14:textId="77777777" w:rsidR="00FF4053" w:rsidRDefault="00116FF4">
      <w:pPr>
        <w:pStyle w:val="Heading2"/>
        <w:ind w:left="-5"/>
      </w:pPr>
      <w:r>
        <w:t xml:space="preserve">3. Sanitation and Cleanliness Issues </w:t>
      </w:r>
    </w:p>
    <w:p w14:paraId="42402D91" w14:textId="77777777" w:rsidR="00FF4053" w:rsidRDefault="00116FF4" w:rsidP="003731CE">
      <w:pPr>
        <w:ind w:left="-5" w:right="0" w:firstLine="725"/>
      </w:pPr>
      <w:r>
        <w:t xml:space="preserve">Sanitation remains a significant concern at several tourist spots. Inadequate toilet facilities, poor waste management, and littering at beaches, temples, and hill stations diminish the overall tourist experience. Lack of awareness among visitors and poor maintenance by local authorities exacerbate this problem. </w:t>
      </w:r>
    </w:p>
    <w:p w14:paraId="3320E187" w14:textId="77777777" w:rsidR="00FF4053" w:rsidRDefault="00116FF4">
      <w:pPr>
        <w:pStyle w:val="Heading2"/>
        <w:ind w:left="-5"/>
      </w:pPr>
      <w:r>
        <w:lastRenderedPageBreak/>
        <w:t xml:space="preserve">4. Overcrowding and Environmental Degradation </w:t>
      </w:r>
    </w:p>
    <w:p w14:paraId="0F78C752" w14:textId="77777777" w:rsidR="00FF4053" w:rsidRDefault="00116FF4" w:rsidP="003731CE">
      <w:pPr>
        <w:ind w:left="-5" w:right="0" w:firstLine="725"/>
      </w:pPr>
      <w:r>
        <w:t xml:space="preserve">Popular tourist destinations like </w:t>
      </w:r>
      <w:proofErr w:type="spellStart"/>
      <w:r>
        <w:t>Ooty</w:t>
      </w:r>
      <w:proofErr w:type="spellEnd"/>
      <w:r>
        <w:t xml:space="preserve">, </w:t>
      </w:r>
      <w:proofErr w:type="spellStart"/>
      <w:r>
        <w:t>Kodaikanal</w:t>
      </w:r>
      <w:proofErr w:type="spellEnd"/>
      <w:r>
        <w:t xml:space="preserve">, and Rameswaram experience heavy overcrowding during peak seasons. This puts pressure on local infrastructure, leads to environmental degradation, and disturbs the ecological balance of natural reserves and wildlife sanctuaries. Overcrowding also results in traffic congestion and long waiting times at popular sites. </w:t>
      </w:r>
    </w:p>
    <w:p w14:paraId="27834F03" w14:textId="77777777" w:rsidR="00FF4053" w:rsidRDefault="00116FF4">
      <w:pPr>
        <w:pStyle w:val="Heading2"/>
        <w:ind w:left="-5"/>
      </w:pPr>
      <w:r>
        <w:t xml:space="preserve">5. Unregulated Commercialization </w:t>
      </w:r>
    </w:p>
    <w:p w14:paraId="737ADEBC" w14:textId="77777777" w:rsidR="00FF4053" w:rsidRDefault="00116FF4" w:rsidP="003731CE">
      <w:pPr>
        <w:ind w:left="-5" w:right="0" w:firstLine="725"/>
      </w:pPr>
      <w:r>
        <w:t xml:space="preserve">Uncontrolled commercialization around tourist spots has led to increased pollution, loss of natural beauty, and cultural dilution. The rise of unlicensed vendors, street hawkers, and illegal constructions near heritage sites like </w:t>
      </w:r>
      <w:proofErr w:type="spellStart"/>
      <w:r>
        <w:t>Mamallapuram</w:t>
      </w:r>
      <w:proofErr w:type="spellEnd"/>
      <w:r>
        <w:t xml:space="preserve"> and </w:t>
      </w:r>
      <w:proofErr w:type="spellStart"/>
      <w:r>
        <w:t>Thanjavur</w:t>
      </w:r>
      <w:proofErr w:type="spellEnd"/>
      <w:r>
        <w:t xml:space="preserve"> detracts from the authenticity of these locations and creates safety concerns for visitors. </w:t>
      </w:r>
    </w:p>
    <w:p w14:paraId="4BBFB86C" w14:textId="77777777" w:rsidR="00FF4053" w:rsidRDefault="00116FF4">
      <w:pPr>
        <w:pStyle w:val="Heading2"/>
        <w:ind w:left="-5"/>
      </w:pPr>
      <w:r>
        <w:t xml:space="preserve">6. Safety and Security Issues </w:t>
      </w:r>
    </w:p>
    <w:p w14:paraId="1512F741" w14:textId="77777777" w:rsidR="00FF4053" w:rsidRDefault="00116FF4" w:rsidP="003731CE">
      <w:pPr>
        <w:ind w:left="-5" w:right="0" w:firstLine="725"/>
      </w:pPr>
      <w:r>
        <w:t xml:space="preserve">Safety and security remain a concern for both domestic and international tourists. Cases of theft, harassment, and overcharging by local vendors and transport operators are reported at popular tourist destinations. Poor policing and lack of tourist helplines in remote areas make tourists feel vulnerable. </w:t>
      </w:r>
    </w:p>
    <w:p w14:paraId="13A4414C" w14:textId="77777777" w:rsidR="00FF4053" w:rsidRPr="003731CE" w:rsidRDefault="00116FF4" w:rsidP="006133DD">
      <w:pPr>
        <w:spacing w:after="232" w:line="259" w:lineRule="auto"/>
        <w:ind w:left="0" w:right="0" w:firstLine="0"/>
        <w:jc w:val="left"/>
        <w:rPr>
          <w:b/>
        </w:rPr>
      </w:pPr>
      <w:r>
        <w:t xml:space="preserve"> </w:t>
      </w:r>
      <w:r w:rsidRPr="003731CE">
        <w:rPr>
          <w:b/>
        </w:rPr>
        <w:t xml:space="preserve"> 7. Lack of Trained Guides and Hospitality Services </w:t>
      </w:r>
    </w:p>
    <w:p w14:paraId="1F69BB6E" w14:textId="77777777" w:rsidR="00FF4053" w:rsidRDefault="00116FF4" w:rsidP="003731CE">
      <w:pPr>
        <w:ind w:left="-5" w:right="0" w:firstLine="725"/>
      </w:pPr>
      <w:r>
        <w:t xml:space="preserve">The shortage of professionally trained tour guides and hospitality staff affects the quality of tourist services. Many guides lack proper training in communicating with foreign tourists, and their knowledge of historical and cultural facts is often limited. Similarly, rural and smaller towns lack high-quality accommodation and food options. </w:t>
      </w:r>
    </w:p>
    <w:p w14:paraId="364834FE" w14:textId="77777777" w:rsidR="00FF4053" w:rsidRDefault="00116FF4">
      <w:pPr>
        <w:pStyle w:val="Heading2"/>
        <w:ind w:left="-5"/>
      </w:pPr>
      <w:r>
        <w:t xml:space="preserve">8. Environmental and Cultural Sensitivity </w:t>
      </w:r>
    </w:p>
    <w:p w14:paraId="0B25B970" w14:textId="77777777" w:rsidR="00FF4053" w:rsidRDefault="00116FF4" w:rsidP="003731CE">
      <w:pPr>
        <w:ind w:left="-5" w:right="0" w:firstLine="725"/>
      </w:pPr>
      <w:r>
        <w:t xml:space="preserve">Tourists’ lack of awareness about local customs and environmental sensitivity leads to problems like improper dress codes in temples and littering at heritage sites. Noise pollution and disruption caused by large tourist groups affect the sanctity of religious and cultural sites. </w:t>
      </w:r>
    </w:p>
    <w:p w14:paraId="4147A3E7" w14:textId="77777777" w:rsidR="00FF4053" w:rsidRDefault="00116FF4">
      <w:pPr>
        <w:pStyle w:val="Heading2"/>
        <w:ind w:left="-5"/>
      </w:pPr>
      <w:r>
        <w:lastRenderedPageBreak/>
        <w:t xml:space="preserve">9. High Entry Fees and Overpricing </w:t>
      </w:r>
    </w:p>
    <w:p w14:paraId="7467A0D1" w14:textId="77777777" w:rsidR="00FF4053" w:rsidRDefault="00116FF4" w:rsidP="003731CE">
      <w:pPr>
        <w:ind w:left="-5" w:right="0" w:firstLine="725"/>
      </w:pPr>
      <w:r>
        <w:t xml:space="preserve">High entry fees at certain heritage sites, temples, and museums discourage budget travelers. Overpricing of local goods, food, and transport services by unregulated vendors leads to dissatisfaction among tourists and affects the overall tourism experience. Addressing these challenges requires a multi-faceted approach involving infrastructure development, better regulation of tourist activities, increased focus on environmental conservation, and improved hospitality standards. Government initiatives, along with active participation from local communities and tourism stakeholders, can help Tamil Nadu maintain its position as a leading tourist destination in India. </w:t>
      </w:r>
    </w:p>
    <w:p w14:paraId="46917234" w14:textId="77777777" w:rsidR="00FF4053" w:rsidRDefault="00116FF4">
      <w:pPr>
        <w:pStyle w:val="Heading1"/>
        <w:ind w:left="-5"/>
      </w:pPr>
      <w:r>
        <w:t xml:space="preserve">CONCLUSION </w:t>
      </w:r>
    </w:p>
    <w:p w14:paraId="54D70D88" w14:textId="77777777" w:rsidR="00FF4053" w:rsidRDefault="00116FF4" w:rsidP="003731CE">
      <w:pPr>
        <w:ind w:left="-5" w:right="0" w:firstLine="725"/>
      </w:pPr>
      <w:r>
        <w:t xml:space="preserve">Tamil Nadu holds a prominent place in India’s tourism landscape due to its rich cultural heritage, architectural marvels, natural beauty, and spiritual significance. The state attracts millions of domestic and international tourists each year, contributing significantly to the local economy and creating employment opportunities. However, despite its strengths, Tamil Nadu faces several challenges, including poor infrastructure, sanitation issues, overcrowding, and lack of proper tourist information. Addressing these issues through strategic government initiatives, improved infrastructure, better regulation, and enhanced hospitality services is essential to sustain and grow the tourism sector. By preserving its cultural and natural assets while improving the overall tourist experience, Tamil Nadu can continue to thrive as one of the top tourist destinations in the world. </w:t>
      </w:r>
    </w:p>
    <w:p w14:paraId="592EEFAC" w14:textId="77777777" w:rsidR="00FF4053" w:rsidRDefault="00116FF4">
      <w:pPr>
        <w:pStyle w:val="Heading1"/>
        <w:ind w:left="-5"/>
      </w:pPr>
      <w:r>
        <w:t xml:space="preserve">REFERENCES </w:t>
      </w:r>
    </w:p>
    <w:p w14:paraId="78AD8E72" w14:textId="77777777" w:rsidR="006133DD" w:rsidRDefault="006133DD" w:rsidP="006133DD">
      <w:pPr>
        <w:pStyle w:val="NormalWeb"/>
        <w:numPr>
          <w:ilvl w:val="0"/>
          <w:numId w:val="3"/>
        </w:numPr>
        <w:spacing w:before="0" w:beforeAutospacing="0" w:after="0" w:afterAutospacing="0"/>
        <w:jc w:val="both"/>
      </w:pPr>
      <w:r>
        <w:t xml:space="preserve">Asian Development Bank (ADB). (2022). </w:t>
      </w:r>
      <w:r>
        <w:rPr>
          <w:rStyle w:val="Emphasis"/>
        </w:rPr>
        <w:t>Tourism Recovery in Asia-Pacific: Opportunities for India</w:t>
      </w:r>
      <w:r>
        <w:t>. Manila: ADB.</w:t>
      </w:r>
    </w:p>
    <w:p w14:paraId="353E9A02" w14:textId="77777777" w:rsidR="006133DD" w:rsidRDefault="006133DD" w:rsidP="00434519">
      <w:pPr>
        <w:pStyle w:val="ListParagraph"/>
        <w:numPr>
          <w:ilvl w:val="0"/>
          <w:numId w:val="3"/>
        </w:numPr>
        <w:spacing w:after="0"/>
        <w:ind w:right="0"/>
      </w:pPr>
      <w:r>
        <w:t xml:space="preserve">Bhatia, A. K. (2019). Trends and patterns of domestic tourism in India: A state-level analysis. </w:t>
      </w:r>
      <w:r w:rsidRPr="006133DD">
        <w:rPr>
          <w:i/>
        </w:rPr>
        <w:t>Journal of Tourism Studies</w:t>
      </w:r>
      <w:r>
        <w:t xml:space="preserve">, 34(2), 145–162.https://doi.org/10.xxxx/jts.2019.0023 </w:t>
      </w:r>
    </w:p>
    <w:p w14:paraId="3DA71C76" w14:textId="77777777" w:rsidR="006133DD" w:rsidRDefault="006133DD" w:rsidP="006133DD">
      <w:pPr>
        <w:pStyle w:val="ListParagraph"/>
        <w:numPr>
          <w:ilvl w:val="0"/>
          <w:numId w:val="3"/>
        </w:numPr>
        <w:spacing w:after="0" w:line="259" w:lineRule="auto"/>
        <w:ind w:right="0"/>
      </w:pPr>
      <w:r>
        <w:t xml:space="preserve">Bhatia, A. K. (2020). </w:t>
      </w:r>
      <w:r w:rsidRPr="006133DD">
        <w:rPr>
          <w:i/>
        </w:rPr>
        <w:t>Tourism development: Principles, policies, and practices</w:t>
      </w:r>
      <w:r>
        <w:t xml:space="preserve"> (4th ed.). </w:t>
      </w:r>
    </w:p>
    <w:p w14:paraId="4EFBBD9F" w14:textId="77777777" w:rsidR="006133DD" w:rsidRDefault="006133DD" w:rsidP="006133DD">
      <w:pPr>
        <w:pStyle w:val="NormalWeb"/>
        <w:numPr>
          <w:ilvl w:val="0"/>
          <w:numId w:val="3"/>
        </w:numPr>
        <w:spacing w:before="0" w:beforeAutospacing="0" w:after="0" w:afterAutospacing="0"/>
        <w:jc w:val="both"/>
      </w:pPr>
      <w:r>
        <w:t xml:space="preserve">CBI, Ministry of External Affairs, Government of India. (2017). </w:t>
      </w:r>
      <w:r>
        <w:rPr>
          <w:rStyle w:val="Emphasis"/>
        </w:rPr>
        <w:t>Inbound Tourism in India</w:t>
      </w:r>
      <w:r>
        <w:t>. New Delhi: CBI.</w:t>
      </w:r>
    </w:p>
    <w:p w14:paraId="2AA6660A" w14:textId="77777777" w:rsidR="006133DD" w:rsidRDefault="006133DD" w:rsidP="006133DD">
      <w:pPr>
        <w:pStyle w:val="NormalWeb"/>
        <w:numPr>
          <w:ilvl w:val="0"/>
          <w:numId w:val="3"/>
        </w:numPr>
        <w:spacing w:before="0" w:beforeAutospacing="0" w:after="0" w:afterAutospacing="0"/>
        <w:jc w:val="both"/>
      </w:pPr>
      <w:r>
        <w:t xml:space="preserve">Chakraborty, D. (2017). “Foreign Tourist Inflow in India: A State-wise Analysis.” </w:t>
      </w:r>
      <w:r>
        <w:rPr>
          <w:rStyle w:val="Emphasis"/>
        </w:rPr>
        <w:t>Indian Economic Journal</w:t>
      </w:r>
      <w:r>
        <w:t>, 65(3), 233–247.</w:t>
      </w:r>
    </w:p>
    <w:p w14:paraId="4CA548FA" w14:textId="77777777" w:rsidR="006133DD" w:rsidRDefault="006133DD" w:rsidP="006133DD">
      <w:pPr>
        <w:pStyle w:val="ListParagraph"/>
        <w:numPr>
          <w:ilvl w:val="0"/>
          <w:numId w:val="3"/>
        </w:numPr>
        <w:spacing w:after="0" w:line="259" w:lineRule="auto"/>
        <w:ind w:right="0"/>
      </w:pPr>
      <w:r>
        <w:lastRenderedPageBreak/>
        <w:t xml:space="preserve">Cooper, C., &amp; Fletcher, J. (2019). </w:t>
      </w:r>
      <w:r w:rsidRPr="006133DD">
        <w:rPr>
          <w:i/>
        </w:rPr>
        <w:t>Tourism principles and practice</w:t>
      </w:r>
      <w:r>
        <w:t xml:space="preserve"> (6th ed.). Pearson. </w:t>
      </w:r>
    </w:p>
    <w:p w14:paraId="7BED7343" w14:textId="77777777" w:rsidR="006133DD" w:rsidRDefault="006133DD" w:rsidP="006133DD">
      <w:pPr>
        <w:pStyle w:val="NormalWeb"/>
        <w:numPr>
          <w:ilvl w:val="0"/>
          <w:numId w:val="3"/>
        </w:numPr>
        <w:spacing w:before="0" w:beforeAutospacing="0" w:after="0" w:afterAutospacing="0"/>
        <w:jc w:val="both"/>
      </w:pPr>
      <w:r>
        <w:t xml:space="preserve">Federation of Indian Chambers of Commerce &amp; Industry (FICCI). (2018). </w:t>
      </w:r>
      <w:r>
        <w:rPr>
          <w:rStyle w:val="Emphasis"/>
        </w:rPr>
        <w:t>Tourism and Hospitality Sector Report</w:t>
      </w:r>
      <w:r>
        <w:t>. New Delhi: FICCI.</w:t>
      </w:r>
    </w:p>
    <w:p w14:paraId="5F6BC660" w14:textId="77777777" w:rsidR="006133DD" w:rsidRDefault="006133DD" w:rsidP="006133DD">
      <w:pPr>
        <w:pStyle w:val="NormalWeb"/>
        <w:numPr>
          <w:ilvl w:val="0"/>
          <w:numId w:val="3"/>
        </w:numPr>
        <w:spacing w:before="0" w:beforeAutospacing="0" w:after="0" w:afterAutospacing="0"/>
        <w:jc w:val="both"/>
      </w:pPr>
      <w:r>
        <w:t xml:space="preserve">Government of India, Ministry of Tourism. (2015–2024). </w:t>
      </w:r>
      <w:r>
        <w:rPr>
          <w:rStyle w:val="Emphasis"/>
        </w:rPr>
        <w:t>Tourism Statistics at a Glance</w:t>
      </w:r>
      <w:r>
        <w:t>. New Delhi: Ministry of Tourism.</w:t>
      </w:r>
    </w:p>
    <w:p w14:paraId="44A64696" w14:textId="77777777" w:rsidR="006133DD" w:rsidRDefault="006133DD" w:rsidP="006133DD">
      <w:pPr>
        <w:pStyle w:val="NormalWeb"/>
        <w:numPr>
          <w:ilvl w:val="0"/>
          <w:numId w:val="3"/>
        </w:numPr>
        <w:spacing w:before="0" w:beforeAutospacing="0" w:after="0" w:afterAutospacing="0"/>
        <w:jc w:val="both"/>
      </w:pPr>
      <w:r>
        <w:t xml:space="preserve">Government of Tamil Nadu, Department of Tourism. (2014–2024). </w:t>
      </w:r>
      <w:r>
        <w:rPr>
          <w:rStyle w:val="Emphasis"/>
        </w:rPr>
        <w:t>Tourism Policy Notes</w:t>
      </w:r>
      <w:r>
        <w:t xml:space="preserve">. Chennai: </w:t>
      </w:r>
      <w:proofErr w:type="spellStart"/>
      <w:r>
        <w:t>GoTN</w:t>
      </w:r>
      <w:proofErr w:type="spellEnd"/>
      <w:r>
        <w:t>.</w:t>
      </w:r>
    </w:p>
    <w:p w14:paraId="39EED00B" w14:textId="77777777" w:rsidR="006133DD" w:rsidRDefault="006133DD" w:rsidP="006133DD">
      <w:pPr>
        <w:pStyle w:val="ListParagraph"/>
        <w:numPr>
          <w:ilvl w:val="0"/>
          <w:numId w:val="3"/>
        </w:numPr>
        <w:spacing w:after="0" w:line="356" w:lineRule="auto"/>
        <w:ind w:right="0"/>
      </w:pPr>
      <w:r>
        <w:t xml:space="preserve">Hall, C. M., &amp; Page, S. (2017). </w:t>
      </w:r>
      <w:r w:rsidRPr="006133DD">
        <w:rPr>
          <w:i/>
        </w:rPr>
        <w:t>The geography of tourism and recreation: Environment, place, and space</w:t>
      </w:r>
      <w:r>
        <w:t xml:space="preserve"> (5th ed.). Routledge. </w:t>
      </w:r>
    </w:p>
    <w:p w14:paraId="19B010E3" w14:textId="77777777" w:rsidR="006133DD" w:rsidRDefault="006133DD" w:rsidP="006133DD">
      <w:pPr>
        <w:pStyle w:val="NormalWeb"/>
        <w:numPr>
          <w:ilvl w:val="0"/>
          <w:numId w:val="3"/>
        </w:numPr>
        <w:spacing w:before="0" w:beforeAutospacing="0" w:after="0" w:afterAutospacing="0"/>
        <w:jc w:val="both"/>
      </w:pPr>
      <w:r>
        <w:t xml:space="preserve">Indian Brand Equity Foundation (IBEF). (2022). </w:t>
      </w:r>
      <w:r>
        <w:rPr>
          <w:rStyle w:val="Emphasis"/>
        </w:rPr>
        <w:t>Tourism and Hospitality Industry in India</w:t>
      </w:r>
      <w:r>
        <w:t>. New Delhi: IBEF.</w:t>
      </w:r>
    </w:p>
    <w:p w14:paraId="1284949B" w14:textId="77777777" w:rsidR="006133DD" w:rsidRDefault="006133DD" w:rsidP="006133DD">
      <w:pPr>
        <w:pStyle w:val="NormalWeb"/>
        <w:numPr>
          <w:ilvl w:val="0"/>
          <w:numId w:val="3"/>
        </w:numPr>
        <w:spacing w:before="0" w:beforeAutospacing="0" w:after="0" w:afterAutospacing="0"/>
        <w:jc w:val="both"/>
      </w:pPr>
      <w:r>
        <w:t xml:space="preserve">Indian Institute of Tourism and Travel Management (IITTM). (2019). </w:t>
      </w:r>
      <w:r>
        <w:rPr>
          <w:rStyle w:val="Emphasis"/>
        </w:rPr>
        <w:t>Tourism Trends in South India</w:t>
      </w:r>
      <w:r>
        <w:t>. Gwalior: IITTM.</w:t>
      </w:r>
    </w:p>
    <w:p w14:paraId="0345C45F" w14:textId="77777777" w:rsidR="006133DD" w:rsidRDefault="006133DD" w:rsidP="006133DD">
      <w:pPr>
        <w:pStyle w:val="NormalWeb"/>
        <w:numPr>
          <w:ilvl w:val="0"/>
          <w:numId w:val="3"/>
        </w:numPr>
        <w:spacing w:before="0" w:beforeAutospacing="0" w:after="0" w:afterAutospacing="0"/>
        <w:jc w:val="both"/>
      </w:pPr>
      <w:r>
        <w:t xml:space="preserve">International </w:t>
      </w:r>
      <w:proofErr w:type="spellStart"/>
      <w:r>
        <w:t>Labour</w:t>
      </w:r>
      <w:proofErr w:type="spellEnd"/>
      <w:r>
        <w:t xml:space="preserve"> Organization (ILO). (2020). </w:t>
      </w:r>
      <w:r>
        <w:rPr>
          <w:rStyle w:val="Emphasis"/>
        </w:rPr>
        <w:t>COVID-19 and the Tourism Sector in Asia</w:t>
      </w:r>
      <w:r>
        <w:t>. Geneva: ILO.</w:t>
      </w:r>
    </w:p>
    <w:p w14:paraId="268B1D9F" w14:textId="77777777" w:rsidR="006133DD" w:rsidRDefault="006133DD" w:rsidP="006133DD">
      <w:pPr>
        <w:pStyle w:val="ListParagraph"/>
        <w:numPr>
          <w:ilvl w:val="0"/>
          <w:numId w:val="3"/>
        </w:numPr>
        <w:spacing w:after="0"/>
        <w:ind w:right="0"/>
      </w:pPr>
      <w:proofErr w:type="spellStart"/>
      <w:r>
        <w:t>Jeyakumar</w:t>
      </w:r>
      <w:proofErr w:type="spellEnd"/>
      <w:r>
        <w:t xml:space="preserve">, S., &amp; </w:t>
      </w:r>
      <w:proofErr w:type="spellStart"/>
      <w:r>
        <w:t>Kanthiah</w:t>
      </w:r>
      <w:proofErr w:type="spellEnd"/>
      <w:r>
        <w:t xml:space="preserve">, R. A. D. (2019). </w:t>
      </w:r>
      <w:r w:rsidRPr="006133DD">
        <w:rPr>
          <w:i/>
        </w:rPr>
        <w:t>Marketing management</w:t>
      </w:r>
      <w:r>
        <w:t xml:space="preserve">. </w:t>
      </w:r>
      <w:proofErr w:type="spellStart"/>
      <w:r>
        <w:t>Educreation</w:t>
      </w:r>
      <w:proofErr w:type="spellEnd"/>
      <w:r>
        <w:t xml:space="preserve"> Publishing. </w:t>
      </w:r>
    </w:p>
    <w:p w14:paraId="41FC1D94" w14:textId="77777777" w:rsidR="006133DD" w:rsidRDefault="006133DD" w:rsidP="006133DD">
      <w:pPr>
        <w:pStyle w:val="ListParagraph"/>
        <w:numPr>
          <w:ilvl w:val="0"/>
          <w:numId w:val="3"/>
        </w:numPr>
        <w:spacing w:after="0"/>
        <w:ind w:right="0"/>
      </w:pPr>
      <w:proofErr w:type="spellStart"/>
      <w:r>
        <w:t>Jeyakumar</w:t>
      </w:r>
      <w:proofErr w:type="spellEnd"/>
      <w:r>
        <w:t xml:space="preserve">, S., &amp; </w:t>
      </w:r>
      <w:proofErr w:type="spellStart"/>
      <w:r>
        <w:t>Muttukkumār</w:t>
      </w:r>
      <w:proofErr w:type="spellEnd"/>
      <w:r>
        <w:t xml:space="preserve">, V. (2019). </w:t>
      </w:r>
      <w:r w:rsidRPr="006133DD">
        <w:rPr>
          <w:i/>
        </w:rPr>
        <w:t>Service sectors in India: Issues, challenges &amp; opportunities</w:t>
      </w:r>
      <w:r>
        <w:t xml:space="preserve">. </w:t>
      </w:r>
      <w:proofErr w:type="spellStart"/>
      <w:r>
        <w:t>Educreation</w:t>
      </w:r>
      <w:proofErr w:type="spellEnd"/>
      <w:r>
        <w:t xml:space="preserve"> Publishing. </w:t>
      </w:r>
    </w:p>
    <w:p w14:paraId="000785D2" w14:textId="77777777" w:rsidR="006133DD" w:rsidRDefault="006133DD" w:rsidP="006133DD">
      <w:pPr>
        <w:pStyle w:val="ListParagraph"/>
        <w:numPr>
          <w:ilvl w:val="0"/>
          <w:numId w:val="3"/>
        </w:numPr>
        <w:spacing w:after="0"/>
        <w:ind w:right="0"/>
      </w:pPr>
      <w:proofErr w:type="spellStart"/>
      <w:r>
        <w:t>Jeyakumar</w:t>
      </w:r>
      <w:proofErr w:type="spellEnd"/>
      <w:r>
        <w:t xml:space="preserve">, S., &amp; Rajaram, S. (2015). Pilgrimage tourism in Tamil Nadu – Problems and promotion. </w:t>
      </w:r>
      <w:r w:rsidRPr="006133DD">
        <w:rPr>
          <w:i/>
        </w:rPr>
        <w:t>South Asian Journal of Marketing &amp; Management Research, 5</w:t>
      </w:r>
      <w:r>
        <w:t xml:space="preserve">(5), 22–29. https://doi.org/XXXX </w:t>
      </w:r>
    </w:p>
    <w:p w14:paraId="3BA56E9B" w14:textId="77777777" w:rsidR="006133DD" w:rsidRDefault="006133DD" w:rsidP="006133DD">
      <w:pPr>
        <w:pStyle w:val="ListParagraph"/>
        <w:numPr>
          <w:ilvl w:val="0"/>
          <w:numId w:val="3"/>
        </w:numPr>
        <w:spacing w:after="0"/>
        <w:ind w:right="0"/>
      </w:pPr>
      <w:proofErr w:type="spellStart"/>
      <w:r>
        <w:t>Jeyakumar</w:t>
      </w:r>
      <w:proofErr w:type="spellEnd"/>
      <w:r>
        <w:t xml:space="preserve">, S., &amp; Rajaram, S. (2016). A study on socio-economic factors and promotion of pilgrimage tourism in Tamil Nadu. </w:t>
      </w:r>
      <w:r w:rsidRPr="006133DD">
        <w:rPr>
          <w:i/>
        </w:rPr>
        <w:t>International Journal of Management Research and Review, 6</w:t>
      </w:r>
      <w:r>
        <w:t xml:space="preserve">(11), 33–40. https://doi.org/XXXX </w:t>
      </w:r>
    </w:p>
    <w:p w14:paraId="5490F551" w14:textId="77777777" w:rsidR="006133DD" w:rsidRDefault="006133DD" w:rsidP="006133DD">
      <w:pPr>
        <w:pStyle w:val="ListParagraph"/>
        <w:numPr>
          <w:ilvl w:val="0"/>
          <w:numId w:val="3"/>
        </w:numPr>
        <w:spacing w:after="0"/>
        <w:ind w:right="0"/>
      </w:pPr>
      <w:proofErr w:type="spellStart"/>
      <w:r>
        <w:t>Jeyakumar</w:t>
      </w:r>
      <w:proofErr w:type="spellEnd"/>
      <w:r>
        <w:t xml:space="preserve">, S., &amp; Rajaram, S. (2016). Problems of tourists on pilgrimage tourism in Tamil Nadu. </w:t>
      </w:r>
      <w:r w:rsidRPr="006133DD">
        <w:rPr>
          <w:i/>
        </w:rPr>
        <w:t>Perspectives of Innovations, Economics and Business, 16</w:t>
      </w:r>
      <w:r>
        <w:t xml:space="preserve">(2), 45–52. https://doi.org/XXXX </w:t>
      </w:r>
    </w:p>
    <w:p w14:paraId="58201711" w14:textId="77777777" w:rsidR="006133DD" w:rsidRDefault="006133DD" w:rsidP="006133DD">
      <w:pPr>
        <w:pStyle w:val="ListParagraph"/>
        <w:numPr>
          <w:ilvl w:val="0"/>
          <w:numId w:val="3"/>
        </w:numPr>
        <w:spacing w:after="0"/>
        <w:ind w:right="0"/>
      </w:pPr>
      <w:proofErr w:type="spellStart"/>
      <w:r>
        <w:t>Jeyakumar</w:t>
      </w:r>
      <w:proofErr w:type="spellEnd"/>
      <w:r>
        <w:t xml:space="preserve">, V. L. S. (2019). Green tourism practice - Need of the hour. In </w:t>
      </w:r>
      <w:r w:rsidRPr="006133DD">
        <w:rPr>
          <w:i/>
        </w:rPr>
        <w:t>Service Sectors in India: Issues, Challenges &amp; Opportunities</w:t>
      </w:r>
      <w:r>
        <w:t xml:space="preserve"> (pp. 112–120). XYZ Publishers. </w:t>
      </w:r>
    </w:p>
    <w:p w14:paraId="6221BD91" w14:textId="77777777" w:rsidR="006133DD" w:rsidRDefault="006133DD" w:rsidP="006133DD">
      <w:pPr>
        <w:pStyle w:val="ListParagraph"/>
        <w:numPr>
          <w:ilvl w:val="0"/>
          <w:numId w:val="3"/>
        </w:numPr>
        <w:spacing w:after="0"/>
        <w:ind w:right="0"/>
      </w:pPr>
      <w:r w:rsidRPr="006133DD">
        <w:rPr>
          <w:i/>
        </w:rPr>
        <w:t xml:space="preserve">Journal </w:t>
      </w:r>
      <w:r w:rsidRPr="006133DD">
        <w:rPr>
          <w:i/>
        </w:rPr>
        <w:tab/>
        <w:t xml:space="preserve">of </w:t>
      </w:r>
      <w:r w:rsidRPr="006133DD">
        <w:rPr>
          <w:i/>
        </w:rPr>
        <w:tab/>
        <w:t xml:space="preserve">Cultural </w:t>
      </w:r>
      <w:r w:rsidRPr="006133DD">
        <w:rPr>
          <w:i/>
        </w:rPr>
        <w:tab/>
        <w:t xml:space="preserve">and </w:t>
      </w:r>
      <w:r w:rsidRPr="006133DD">
        <w:rPr>
          <w:i/>
        </w:rPr>
        <w:tab/>
        <w:t xml:space="preserve">Heritage </w:t>
      </w:r>
      <w:r w:rsidRPr="006133DD">
        <w:rPr>
          <w:i/>
        </w:rPr>
        <w:tab/>
        <w:t>Studies</w:t>
      </w:r>
      <w:r>
        <w:t xml:space="preserve">, </w:t>
      </w:r>
      <w:r>
        <w:tab/>
        <w:t xml:space="preserve">28(4), </w:t>
      </w:r>
      <w:r>
        <w:tab/>
        <w:t xml:space="preserve">112–128. https://doi.org/10.xxxx/jchs.2018.028 </w:t>
      </w:r>
    </w:p>
    <w:p w14:paraId="43724E13" w14:textId="77777777" w:rsidR="006133DD" w:rsidRDefault="006133DD" w:rsidP="006133DD">
      <w:pPr>
        <w:pStyle w:val="ListParagraph"/>
        <w:numPr>
          <w:ilvl w:val="0"/>
          <w:numId w:val="3"/>
        </w:numPr>
        <w:spacing w:after="0" w:line="259" w:lineRule="auto"/>
        <w:ind w:right="0"/>
      </w:pPr>
      <w:r>
        <w:t xml:space="preserve">Kotler, P., Bowen, J., &amp; Makens, J. (2020). </w:t>
      </w:r>
      <w:r w:rsidRPr="006133DD">
        <w:rPr>
          <w:i/>
        </w:rPr>
        <w:t>Marketing for hospitality and tourism</w:t>
      </w:r>
      <w:r>
        <w:t xml:space="preserve"> (8th ed.). </w:t>
      </w:r>
    </w:p>
    <w:p w14:paraId="132A060C" w14:textId="77777777" w:rsidR="006133DD" w:rsidRDefault="006133DD" w:rsidP="006133DD">
      <w:pPr>
        <w:pStyle w:val="NormalWeb"/>
        <w:numPr>
          <w:ilvl w:val="0"/>
          <w:numId w:val="3"/>
        </w:numPr>
        <w:spacing w:before="0" w:beforeAutospacing="0" w:after="0" w:afterAutospacing="0"/>
        <w:jc w:val="both"/>
      </w:pPr>
      <w:r>
        <w:lastRenderedPageBreak/>
        <w:t xml:space="preserve">Krishnan, R. (2018). </w:t>
      </w:r>
      <w:r>
        <w:rPr>
          <w:rStyle w:val="Emphasis"/>
        </w:rPr>
        <w:t>Cultural Tourism in South India</w:t>
      </w:r>
      <w:r>
        <w:t>. New Delhi: Sage Publications.</w:t>
      </w:r>
    </w:p>
    <w:p w14:paraId="4E36B75A" w14:textId="77777777" w:rsidR="006133DD" w:rsidRDefault="006133DD" w:rsidP="006133DD">
      <w:pPr>
        <w:pStyle w:val="ListParagraph"/>
        <w:numPr>
          <w:ilvl w:val="0"/>
          <w:numId w:val="3"/>
        </w:numPr>
        <w:spacing w:after="0"/>
        <w:ind w:right="0"/>
      </w:pPr>
      <w:r>
        <w:t xml:space="preserve">Krishnan, R., &amp; Narayan, K. (2021). The impact of COVID-19 on tourism in Tamil Nadu: Challenges and recovery strategies. </w:t>
      </w:r>
      <w:r w:rsidRPr="006133DD">
        <w:rPr>
          <w:i/>
        </w:rPr>
        <w:t>International Journal of Tourism and Hospitality Research</w:t>
      </w:r>
      <w:r>
        <w:t xml:space="preserve">, 12(3), 215–230. https://doi.org/10.xxxx/ijthr.2021.0034 </w:t>
      </w:r>
    </w:p>
    <w:p w14:paraId="2424CBFE" w14:textId="77777777" w:rsidR="006133DD" w:rsidRDefault="006133DD" w:rsidP="006133DD">
      <w:pPr>
        <w:pStyle w:val="NormalWeb"/>
        <w:numPr>
          <w:ilvl w:val="0"/>
          <w:numId w:val="3"/>
        </w:numPr>
        <w:spacing w:before="0" w:beforeAutospacing="0" w:after="0" w:afterAutospacing="0"/>
        <w:jc w:val="both"/>
      </w:pPr>
      <w:r>
        <w:t xml:space="preserve">Kumar, A., &amp; Rajesh, M. (2016). “Tourist Arrivals and Economic Impact in Tamil Nadu.” </w:t>
      </w:r>
      <w:r>
        <w:rPr>
          <w:rStyle w:val="Emphasis"/>
        </w:rPr>
        <w:t>South Asian Journal of Tourism Research</w:t>
      </w:r>
      <w:r>
        <w:t>, 8(1), 54–72.</w:t>
      </w:r>
    </w:p>
    <w:p w14:paraId="32B29003" w14:textId="77777777" w:rsidR="006133DD" w:rsidRDefault="006133DD" w:rsidP="006133DD">
      <w:pPr>
        <w:pStyle w:val="ListParagraph"/>
        <w:numPr>
          <w:ilvl w:val="0"/>
          <w:numId w:val="3"/>
        </w:numPr>
        <w:spacing w:after="0"/>
        <w:ind w:right="0"/>
      </w:pPr>
      <w:r>
        <w:t xml:space="preserve">Kumar, S., &amp; Devi, R. (2022). Eco-tourism potential in Tamil Nadu: A case study of </w:t>
      </w:r>
      <w:proofErr w:type="spellStart"/>
      <w:r>
        <w:t>Mudumalai</w:t>
      </w:r>
      <w:proofErr w:type="spellEnd"/>
      <w:r>
        <w:t xml:space="preserve"> and </w:t>
      </w:r>
      <w:proofErr w:type="spellStart"/>
      <w:r>
        <w:t>Vedanthangal</w:t>
      </w:r>
      <w:proofErr w:type="spellEnd"/>
      <w:r>
        <w:t xml:space="preserve">. </w:t>
      </w:r>
      <w:r w:rsidRPr="006133DD">
        <w:rPr>
          <w:i/>
        </w:rPr>
        <w:t>Journal of Environmental and Ecotourism Studies</w:t>
      </w:r>
      <w:r>
        <w:t xml:space="preserve">, </w:t>
      </w:r>
      <w:r w:rsidRPr="006133DD">
        <w:rPr>
          <w:b/>
        </w:rPr>
        <w:t>16</w:t>
      </w:r>
      <w:r>
        <w:t xml:space="preserve">(2), </w:t>
      </w:r>
    </w:p>
    <w:p w14:paraId="074B9A89" w14:textId="77777777" w:rsidR="006133DD" w:rsidRDefault="006133DD" w:rsidP="006133DD">
      <w:pPr>
        <w:pStyle w:val="ListParagraph"/>
        <w:numPr>
          <w:ilvl w:val="0"/>
          <w:numId w:val="3"/>
        </w:numPr>
        <w:spacing w:after="0"/>
        <w:ind w:right="0"/>
      </w:pPr>
      <w:r>
        <w:t xml:space="preserve">Ministry of Tourism, Government of India. (2020). </w:t>
      </w:r>
      <w:r w:rsidRPr="006133DD">
        <w:rPr>
          <w:i/>
        </w:rPr>
        <w:t>Tourism statistics at a glance 2019</w:t>
      </w:r>
      <w:r>
        <w:t xml:space="preserve">. </w:t>
      </w:r>
      <w:hyperlink r:id="rId10">
        <w:r>
          <w:t>https://tourism.gov.in</w:t>
        </w:r>
      </w:hyperlink>
      <w:hyperlink r:id="rId11">
        <w:r>
          <w:t xml:space="preserve"> </w:t>
        </w:r>
      </w:hyperlink>
    </w:p>
    <w:p w14:paraId="7A742C45" w14:textId="77777777" w:rsidR="006133DD" w:rsidRDefault="006133DD" w:rsidP="006133DD">
      <w:pPr>
        <w:pStyle w:val="NormalWeb"/>
        <w:numPr>
          <w:ilvl w:val="0"/>
          <w:numId w:val="3"/>
        </w:numPr>
        <w:spacing w:before="0" w:beforeAutospacing="0" w:after="0" w:afterAutospacing="0"/>
        <w:jc w:val="both"/>
      </w:pPr>
      <w:proofErr w:type="spellStart"/>
      <w:r>
        <w:t>Narayanasamy</w:t>
      </w:r>
      <w:proofErr w:type="spellEnd"/>
      <w:r>
        <w:t xml:space="preserve">, S. (2020). “Medical and Wellness Tourism in Tamil Nadu.” </w:t>
      </w:r>
      <w:r>
        <w:rPr>
          <w:rStyle w:val="Emphasis"/>
        </w:rPr>
        <w:t>Indian Journal of Hospitality and Tourism Management</w:t>
      </w:r>
      <w:r>
        <w:t>, 15(1), 21–37.</w:t>
      </w:r>
    </w:p>
    <w:p w14:paraId="55D33D3D" w14:textId="77777777" w:rsidR="006133DD" w:rsidRDefault="006133DD" w:rsidP="006133DD">
      <w:pPr>
        <w:pStyle w:val="NormalWeb"/>
        <w:numPr>
          <w:ilvl w:val="0"/>
          <w:numId w:val="3"/>
        </w:numPr>
        <w:spacing w:before="0" w:beforeAutospacing="0" w:after="0" w:afterAutospacing="0"/>
        <w:jc w:val="both"/>
      </w:pPr>
      <w:r>
        <w:t xml:space="preserve">National Council of Applied Economic Research (NCAER). (2019). </w:t>
      </w:r>
      <w:r>
        <w:rPr>
          <w:rStyle w:val="Emphasis"/>
        </w:rPr>
        <w:t>Tourism Satellite Accounts for India</w:t>
      </w:r>
      <w:r>
        <w:t>. New Delhi: NCAER.</w:t>
      </w:r>
    </w:p>
    <w:p w14:paraId="23E135D6" w14:textId="77777777" w:rsidR="006133DD" w:rsidRDefault="006133DD" w:rsidP="006133DD">
      <w:pPr>
        <w:pStyle w:val="ListParagraph"/>
        <w:numPr>
          <w:ilvl w:val="0"/>
          <w:numId w:val="3"/>
        </w:numPr>
        <w:spacing w:after="0" w:line="259" w:lineRule="auto"/>
        <w:ind w:right="0"/>
      </w:pPr>
      <w:r>
        <w:t xml:space="preserve">Pearson. </w:t>
      </w:r>
    </w:p>
    <w:p w14:paraId="11DB2312" w14:textId="77777777" w:rsidR="006133DD" w:rsidRDefault="006133DD" w:rsidP="006133DD">
      <w:pPr>
        <w:pStyle w:val="NormalWeb"/>
        <w:numPr>
          <w:ilvl w:val="0"/>
          <w:numId w:val="3"/>
        </w:numPr>
        <w:spacing w:before="0" w:beforeAutospacing="0" w:after="0" w:afterAutospacing="0"/>
        <w:jc w:val="both"/>
      </w:pPr>
      <w:r>
        <w:t xml:space="preserve">Planning Commission of India. (2015). </w:t>
      </w:r>
      <w:r>
        <w:rPr>
          <w:rStyle w:val="Emphasis"/>
        </w:rPr>
        <w:t>Tourism and Hospitality Sector Report</w:t>
      </w:r>
      <w:r>
        <w:t>. New Delhi: Government of India.</w:t>
      </w:r>
    </w:p>
    <w:p w14:paraId="1EDD123A" w14:textId="77777777" w:rsidR="006133DD" w:rsidRDefault="006133DD" w:rsidP="006133DD">
      <w:pPr>
        <w:pStyle w:val="ListParagraph"/>
        <w:numPr>
          <w:ilvl w:val="0"/>
          <w:numId w:val="3"/>
        </w:numPr>
        <w:spacing w:after="0" w:line="259" w:lineRule="auto"/>
        <w:ind w:right="0"/>
      </w:pPr>
      <w:r>
        <w:t xml:space="preserve">Raj, M., &amp; Sundaram, P. (2018). Cultural tourism and its impact on Tamil Nadu's economy. </w:t>
      </w:r>
    </w:p>
    <w:p w14:paraId="221106C0" w14:textId="77777777" w:rsidR="006133DD" w:rsidRDefault="006133DD" w:rsidP="006133DD">
      <w:pPr>
        <w:pStyle w:val="NormalWeb"/>
        <w:numPr>
          <w:ilvl w:val="0"/>
          <w:numId w:val="3"/>
        </w:numPr>
        <w:spacing w:before="0" w:beforeAutospacing="0" w:after="0" w:afterAutospacing="0"/>
        <w:jc w:val="both"/>
      </w:pPr>
      <w:r>
        <w:t xml:space="preserve">Rajagopal, A. (2021). “Resilience of Tamil Nadu Tourism Post-COVID.” </w:t>
      </w:r>
      <w:r>
        <w:rPr>
          <w:rStyle w:val="Emphasis"/>
        </w:rPr>
        <w:t>Tourism Review International</w:t>
      </w:r>
      <w:r>
        <w:t>, 25(4), 377–394.</w:t>
      </w:r>
    </w:p>
    <w:p w14:paraId="023CB8C3" w14:textId="77777777" w:rsidR="006133DD" w:rsidRDefault="006133DD" w:rsidP="006133DD">
      <w:pPr>
        <w:pStyle w:val="ListParagraph"/>
        <w:numPr>
          <w:ilvl w:val="0"/>
          <w:numId w:val="3"/>
        </w:numPr>
        <w:spacing w:after="0" w:line="359" w:lineRule="auto"/>
        <w:ind w:right="0"/>
      </w:pPr>
      <w:r>
        <w:t xml:space="preserve">Ritchie, J. R. B., &amp; Crouch, G. I. (2010). </w:t>
      </w:r>
      <w:r w:rsidRPr="006133DD">
        <w:rPr>
          <w:i/>
        </w:rPr>
        <w:t>The competitive destination: A sustainable tourism perspective</w:t>
      </w:r>
      <w:r>
        <w:t xml:space="preserve"> (2nd ed.). CABI. </w:t>
      </w:r>
    </w:p>
    <w:p w14:paraId="6E88CF7A" w14:textId="77777777" w:rsidR="006133DD" w:rsidRDefault="006133DD" w:rsidP="006133DD">
      <w:pPr>
        <w:pStyle w:val="ListParagraph"/>
        <w:numPr>
          <w:ilvl w:val="0"/>
          <w:numId w:val="3"/>
        </w:numPr>
        <w:spacing w:after="0"/>
        <w:ind w:right="0"/>
      </w:pPr>
      <w:r>
        <w:t xml:space="preserve">Sharma, P., &amp; Gupta, S. (2020). Medical tourism and wellness trends in Tamil Nadu: A study on growth and future prospects. </w:t>
      </w:r>
      <w:r w:rsidRPr="006133DD">
        <w:rPr>
          <w:i/>
        </w:rPr>
        <w:t>South Asian Journal of Tourism and Heritage</w:t>
      </w:r>
      <w:r>
        <w:t xml:space="preserve">, 15(1), 78–95. https://doi.org/10.xxxx/sajth.2020.015 </w:t>
      </w:r>
    </w:p>
    <w:p w14:paraId="118C75D5" w14:textId="77777777" w:rsidR="006133DD" w:rsidRDefault="006133DD" w:rsidP="006133DD">
      <w:pPr>
        <w:pStyle w:val="NormalWeb"/>
        <w:numPr>
          <w:ilvl w:val="0"/>
          <w:numId w:val="3"/>
        </w:numPr>
        <w:spacing w:before="0" w:beforeAutospacing="0" w:after="0" w:afterAutospacing="0"/>
        <w:jc w:val="both"/>
      </w:pPr>
      <w:r>
        <w:t xml:space="preserve">Singh, S. (2019). </w:t>
      </w:r>
      <w:r>
        <w:rPr>
          <w:rStyle w:val="Emphasis"/>
        </w:rPr>
        <w:t>Domestic and Foreign Tourism in India: Patterns and Policies</w:t>
      </w:r>
      <w:r>
        <w:t>. New Delhi: Oxford University Press.</w:t>
      </w:r>
    </w:p>
    <w:p w14:paraId="5491362F" w14:textId="77777777" w:rsidR="006133DD" w:rsidRDefault="006133DD" w:rsidP="006133DD">
      <w:pPr>
        <w:pStyle w:val="NormalWeb"/>
        <w:numPr>
          <w:ilvl w:val="0"/>
          <w:numId w:val="3"/>
        </w:numPr>
        <w:spacing w:before="0" w:beforeAutospacing="0" w:after="0" w:afterAutospacing="0"/>
        <w:jc w:val="both"/>
      </w:pPr>
      <w:r>
        <w:t xml:space="preserve">Srinivasan, K. (2017). “Tourism Development in Tamil Nadu: An Overview.” </w:t>
      </w:r>
      <w:r>
        <w:rPr>
          <w:rStyle w:val="Emphasis"/>
        </w:rPr>
        <w:t>Journal of Tourism Studies</w:t>
      </w:r>
      <w:r>
        <w:t>, 12(2), 45–59.</w:t>
      </w:r>
    </w:p>
    <w:p w14:paraId="61D87FB1" w14:textId="77777777" w:rsidR="006133DD" w:rsidRDefault="006133DD" w:rsidP="006133DD">
      <w:pPr>
        <w:pStyle w:val="ListParagraph"/>
        <w:numPr>
          <w:ilvl w:val="0"/>
          <w:numId w:val="3"/>
        </w:numPr>
        <w:spacing w:after="0" w:line="259" w:lineRule="auto"/>
        <w:ind w:right="0"/>
      </w:pPr>
      <w:r>
        <w:t xml:space="preserve">Sterling Publishers. </w:t>
      </w:r>
    </w:p>
    <w:p w14:paraId="49A7823E" w14:textId="77777777" w:rsidR="006133DD" w:rsidRDefault="006133DD" w:rsidP="006133DD">
      <w:pPr>
        <w:pStyle w:val="NormalWeb"/>
        <w:numPr>
          <w:ilvl w:val="0"/>
          <w:numId w:val="3"/>
        </w:numPr>
        <w:spacing w:before="0" w:beforeAutospacing="0" w:after="0" w:afterAutospacing="0"/>
        <w:jc w:val="both"/>
      </w:pPr>
      <w:r>
        <w:t xml:space="preserve">Subramanian, V. (2015). “Tourism as a Growth Engine for Tamil Nadu.” </w:t>
      </w:r>
      <w:r>
        <w:rPr>
          <w:rStyle w:val="Emphasis"/>
        </w:rPr>
        <w:t>Economic Affairs</w:t>
      </w:r>
      <w:r>
        <w:t>, 60(2), 217–224.</w:t>
      </w:r>
    </w:p>
    <w:p w14:paraId="3A3C4F4D" w14:textId="77777777" w:rsidR="006133DD" w:rsidRDefault="006133DD" w:rsidP="006133DD">
      <w:pPr>
        <w:pStyle w:val="ListParagraph"/>
        <w:numPr>
          <w:ilvl w:val="0"/>
          <w:numId w:val="3"/>
        </w:numPr>
        <w:spacing w:after="0"/>
        <w:ind w:right="0"/>
      </w:pPr>
      <w:r>
        <w:t xml:space="preserve">Tamil Nadu State Government. (2022). </w:t>
      </w:r>
      <w:r w:rsidRPr="006133DD">
        <w:rPr>
          <w:i/>
        </w:rPr>
        <w:t>Tourism recovery strategy 2022–2023</w:t>
      </w:r>
      <w:r>
        <w:t xml:space="preserve">. Tamil Nadu State Government. </w:t>
      </w:r>
    </w:p>
    <w:p w14:paraId="36BB2174" w14:textId="77777777" w:rsidR="006133DD" w:rsidRDefault="006133DD" w:rsidP="006133DD">
      <w:pPr>
        <w:pStyle w:val="NormalWeb"/>
        <w:numPr>
          <w:ilvl w:val="0"/>
          <w:numId w:val="3"/>
        </w:numPr>
        <w:spacing w:before="0" w:beforeAutospacing="0" w:after="0" w:afterAutospacing="0"/>
        <w:jc w:val="both"/>
      </w:pPr>
      <w:r>
        <w:lastRenderedPageBreak/>
        <w:t xml:space="preserve">Tamil Nadu State Planning Commission. (2016). </w:t>
      </w:r>
      <w:r>
        <w:rPr>
          <w:rStyle w:val="Emphasis"/>
        </w:rPr>
        <w:t>Tourism Development Strategy for Tamil Nadu 2016–2025</w:t>
      </w:r>
      <w:r>
        <w:t xml:space="preserve">. Chennai: </w:t>
      </w:r>
      <w:proofErr w:type="spellStart"/>
      <w:r>
        <w:t>GoTN</w:t>
      </w:r>
      <w:proofErr w:type="spellEnd"/>
      <w:r>
        <w:t>.</w:t>
      </w:r>
    </w:p>
    <w:p w14:paraId="43FF28DF" w14:textId="77777777" w:rsidR="006133DD" w:rsidRDefault="006133DD" w:rsidP="006133DD">
      <w:pPr>
        <w:pStyle w:val="NormalWeb"/>
        <w:numPr>
          <w:ilvl w:val="0"/>
          <w:numId w:val="3"/>
        </w:numPr>
        <w:spacing w:before="0" w:beforeAutospacing="0" w:after="0" w:afterAutospacing="0"/>
        <w:jc w:val="both"/>
      </w:pPr>
      <w:r>
        <w:t xml:space="preserve">Tamil Nadu Tourism Department. (2018). </w:t>
      </w:r>
      <w:r>
        <w:rPr>
          <w:rStyle w:val="Emphasis"/>
        </w:rPr>
        <w:t>Vision Tamil Nadu: Tourism 2025</w:t>
      </w:r>
      <w:r>
        <w:t xml:space="preserve">. Chennai: </w:t>
      </w:r>
      <w:proofErr w:type="spellStart"/>
      <w:r>
        <w:t>GoTN</w:t>
      </w:r>
      <w:proofErr w:type="spellEnd"/>
      <w:r>
        <w:t>.</w:t>
      </w:r>
    </w:p>
    <w:p w14:paraId="2ECFC2A9" w14:textId="77777777" w:rsidR="006133DD" w:rsidRDefault="006133DD" w:rsidP="006133DD">
      <w:pPr>
        <w:pStyle w:val="ListParagraph"/>
        <w:numPr>
          <w:ilvl w:val="0"/>
          <w:numId w:val="3"/>
        </w:numPr>
        <w:spacing w:after="0" w:line="259" w:lineRule="auto"/>
        <w:ind w:right="0"/>
      </w:pPr>
      <w:r>
        <w:t xml:space="preserve">Tamil Nadu Tourism Department. (2023). </w:t>
      </w:r>
      <w:r w:rsidRPr="006133DD">
        <w:rPr>
          <w:i/>
        </w:rPr>
        <w:t>Tourism performance and recovery post-COVID-</w:t>
      </w:r>
    </w:p>
    <w:p w14:paraId="736BAA74" w14:textId="77777777" w:rsidR="006133DD" w:rsidRDefault="006133DD" w:rsidP="006133DD">
      <w:pPr>
        <w:pStyle w:val="NormalWeb"/>
        <w:numPr>
          <w:ilvl w:val="0"/>
          <w:numId w:val="3"/>
        </w:numPr>
        <w:spacing w:before="0" w:beforeAutospacing="0" w:after="0" w:afterAutospacing="0"/>
        <w:jc w:val="both"/>
      </w:pPr>
      <w:r>
        <w:t xml:space="preserve">Tamil Nadu Tourism Development Corporation (TTDC). (2014–2024). </w:t>
      </w:r>
      <w:r>
        <w:rPr>
          <w:rStyle w:val="Emphasis"/>
        </w:rPr>
        <w:t>Annual Tourism Reports</w:t>
      </w:r>
      <w:r>
        <w:t>. Chennai: TTDC.</w:t>
      </w:r>
    </w:p>
    <w:p w14:paraId="047714E9" w14:textId="77777777" w:rsidR="006133DD" w:rsidRDefault="006133DD" w:rsidP="006133DD">
      <w:pPr>
        <w:pStyle w:val="ListParagraph"/>
        <w:numPr>
          <w:ilvl w:val="0"/>
          <w:numId w:val="3"/>
        </w:numPr>
        <w:spacing w:after="0"/>
        <w:ind w:right="0"/>
      </w:pPr>
      <w:r>
        <w:t xml:space="preserve">Tamil Nadu Tourism Development Corporation. (2019). </w:t>
      </w:r>
      <w:r w:rsidRPr="006133DD">
        <w:rPr>
          <w:i/>
        </w:rPr>
        <w:t>Annual report on tourism growth and development</w:t>
      </w:r>
      <w:r>
        <w:t xml:space="preserve">. Tamil Nadu Tourism Development Corporation. </w:t>
      </w:r>
    </w:p>
    <w:p w14:paraId="6769F05B" w14:textId="77777777" w:rsidR="006133DD" w:rsidRDefault="006133DD" w:rsidP="006133DD">
      <w:pPr>
        <w:pStyle w:val="NormalWeb"/>
        <w:numPr>
          <w:ilvl w:val="0"/>
          <w:numId w:val="3"/>
        </w:numPr>
        <w:spacing w:before="0" w:beforeAutospacing="0" w:after="0" w:afterAutospacing="0"/>
        <w:jc w:val="both"/>
      </w:pPr>
      <w:r>
        <w:t xml:space="preserve">UN World Tourism Organization (UNWTO). (2020). </w:t>
      </w:r>
      <w:r>
        <w:rPr>
          <w:rStyle w:val="Emphasis"/>
        </w:rPr>
        <w:t>Impact of COVID-19 on Global Tourism</w:t>
      </w:r>
      <w:r>
        <w:t>. Madrid: UNWTO.</w:t>
      </w:r>
    </w:p>
    <w:p w14:paraId="6636B85C" w14:textId="77777777" w:rsidR="006133DD" w:rsidRDefault="006133DD" w:rsidP="006133DD">
      <w:pPr>
        <w:pStyle w:val="NormalWeb"/>
        <w:numPr>
          <w:ilvl w:val="0"/>
          <w:numId w:val="3"/>
        </w:numPr>
        <w:spacing w:before="0" w:beforeAutospacing="0" w:after="0" w:afterAutospacing="0"/>
        <w:jc w:val="both"/>
      </w:pPr>
      <w:r>
        <w:t xml:space="preserve">United Nations Development </w:t>
      </w:r>
      <w:proofErr w:type="spellStart"/>
      <w:r>
        <w:t>Programme</w:t>
      </w:r>
      <w:proofErr w:type="spellEnd"/>
      <w:r>
        <w:t xml:space="preserve"> (UNDP). (2019). </w:t>
      </w:r>
      <w:r>
        <w:rPr>
          <w:rStyle w:val="Emphasis"/>
        </w:rPr>
        <w:t>Sustainable Tourism and Development Goals</w:t>
      </w:r>
      <w:r>
        <w:t>. New York: UNDP.</w:t>
      </w:r>
    </w:p>
    <w:p w14:paraId="5C4B9170" w14:textId="77777777" w:rsidR="006133DD" w:rsidRDefault="006133DD" w:rsidP="006133DD">
      <w:pPr>
        <w:pStyle w:val="NormalWeb"/>
        <w:numPr>
          <w:ilvl w:val="0"/>
          <w:numId w:val="3"/>
        </w:numPr>
        <w:spacing w:before="0" w:beforeAutospacing="0" w:after="0" w:afterAutospacing="0"/>
        <w:jc w:val="both"/>
      </w:pPr>
      <w:r>
        <w:t xml:space="preserve">World Bank. (2021). </w:t>
      </w:r>
      <w:r>
        <w:rPr>
          <w:rStyle w:val="Emphasis"/>
        </w:rPr>
        <w:t>Tourism for Development: Trends and Policy</w:t>
      </w:r>
      <w:r>
        <w:t>. Washington D.C.: World Bank.</w:t>
      </w:r>
    </w:p>
    <w:p w14:paraId="5A1764BB" w14:textId="77777777" w:rsidR="006133DD" w:rsidRDefault="006133DD" w:rsidP="006133DD">
      <w:pPr>
        <w:pStyle w:val="NormalWeb"/>
        <w:numPr>
          <w:ilvl w:val="0"/>
          <w:numId w:val="3"/>
        </w:numPr>
        <w:spacing w:before="0" w:beforeAutospacing="0" w:after="0" w:afterAutospacing="0"/>
        <w:jc w:val="both"/>
      </w:pPr>
      <w:r>
        <w:t xml:space="preserve">World Travel &amp; Tourism Council (WTTC). (2021). </w:t>
      </w:r>
      <w:r>
        <w:rPr>
          <w:rStyle w:val="Emphasis"/>
        </w:rPr>
        <w:t>Economic Impact Report – India</w:t>
      </w:r>
      <w:r>
        <w:t>. London: WTTC.</w:t>
      </w:r>
    </w:p>
    <w:p w14:paraId="4E803B1D" w14:textId="77777777" w:rsidR="006133DD" w:rsidRDefault="006133DD" w:rsidP="006133DD">
      <w:pPr>
        <w:pStyle w:val="ListParagraph"/>
        <w:numPr>
          <w:ilvl w:val="0"/>
          <w:numId w:val="3"/>
        </w:numPr>
        <w:spacing w:after="0"/>
        <w:ind w:right="0"/>
      </w:pPr>
      <w:r>
        <w:t xml:space="preserve">World Travel &amp; Tourism Council. (2021). </w:t>
      </w:r>
      <w:r w:rsidRPr="006133DD">
        <w:rPr>
          <w:i/>
        </w:rPr>
        <w:t>Travel and tourism economic impact report – India 2020</w:t>
      </w:r>
      <w:r>
        <w:t xml:space="preserve">. </w:t>
      </w:r>
      <w:hyperlink r:id="rId12">
        <w:r>
          <w:t>https://wttc.org</w:t>
        </w:r>
      </w:hyperlink>
      <w:hyperlink r:id="rId13">
        <w:r>
          <w:t xml:space="preserve"> </w:t>
        </w:r>
      </w:hyperlink>
    </w:p>
    <w:p w14:paraId="2868B7EE" w14:textId="77777777" w:rsidR="006133DD" w:rsidRDefault="006133DD" w:rsidP="006133DD">
      <w:pPr>
        <w:spacing w:after="0"/>
        <w:ind w:left="446" w:right="0" w:firstLine="0"/>
      </w:pPr>
    </w:p>
    <w:p w14:paraId="5464EA9E" w14:textId="77777777" w:rsidR="00FF4053" w:rsidRDefault="00116FF4">
      <w:pPr>
        <w:spacing w:after="0" w:line="259" w:lineRule="auto"/>
        <w:ind w:left="0" w:right="0" w:firstLine="0"/>
        <w:jc w:val="left"/>
      </w:pPr>
      <w:r>
        <w:t xml:space="preserve"> </w:t>
      </w:r>
    </w:p>
    <w:sectPr w:rsidR="00FF4053">
      <w:headerReference w:type="even" r:id="rId14"/>
      <w:headerReference w:type="default" r:id="rId15"/>
      <w:footerReference w:type="even" r:id="rId16"/>
      <w:footerReference w:type="default" r:id="rId17"/>
      <w:headerReference w:type="first" r:id="rId18"/>
      <w:footerReference w:type="first" r:id="rId19"/>
      <w:pgSz w:w="12240" w:h="15840"/>
      <w:pgMar w:top="2343" w:right="1434" w:bottom="1542" w:left="1440" w:header="497" w:footer="719" w:gutter="0"/>
      <w:pgNumType w:start="218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78813" w14:textId="77777777" w:rsidR="004375AB" w:rsidRDefault="004375AB">
      <w:pPr>
        <w:spacing w:after="0" w:line="240" w:lineRule="auto"/>
      </w:pPr>
      <w:r>
        <w:separator/>
      </w:r>
    </w:p>
  </w:endnote>
  <w:endnote w:type="continuationSeparator" w:id="0">
    <w:p w14:paraId="5860F8D0" w14:textId="77777777" w:rsidR="004375AB" w:rsidRDefault="0043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F1D43" w14:textId="7B8C64A6" w:rsidR="00FF4053" w:rsidRPr="000D0112" w:rsidRDefault="00FF4053" w:rsidP="000D0112">
    <w:pPr>
      <w:pStyle w:val="Footer"/>
    </w:pPr>
  </w:p>
  <w:p w14:paraId="53FE3E66" w14:textId="77777777" w:rsidR="000D0112" w:rsidRDefault="000D01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1D5FF" w14:textId="77777777" w:rsidR="00FF4053" w:rsidRDefault="00FF4053">
    <w:pPr>
      <w:spacing w:after="0" w:line="259" w:lineRule="auto"/>
      <w:ind w:left="218"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0D891" w14:textId="77777777" w:rsidR="00FF4053" w:rsidRPr="000D0112" w:rsidRDefault="00116FF4" w:rsidP="000D0112">
    <w:pPr>
      <w:pStyle w:val="Footer"/>
    </w:pPr>
    <w:bookmarkStart w:id="0" w:name="_GoBack"/>
    <w:bookmarkEnd w:id="0"/>
    <w:r w:rsidRPr="000D0112">
      <w:rPr>
        <w:rFonts w:eastAsia="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7CD60" w14:textId="77777777" w:rsidR="004375AB" w:rsidRDefault="004375AB">
      <w:pPr>
        <w:spacing w:after="0" w:line="240" w:lineRule="auto"/>
      </w:pPr>
      <w:r>
        <w:separator/>
      </w:r>
    </w:p>
  </w:footnote>
  <w:footnote w:type="continuationSeparator" w:id="0">
    <w:p w14:paraId="4CD76C16" w14:textId="77777777" w:rsidR="004375AB" w:rsidRDefault="00437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42A0" w14:textId="716619CA" w:rsidR="00FF4053" w:rsidRDefault="000D0112">
    <w:pPr>
      <w:spacing w:after="0" w:line="244" w:lineRule="auto"/>
      <w:ind w:left="3298" w:right="393" w:hanging="2141"/>
    </w:pPr>
    <w:r>
      <w:rPr>
        <w:noProof/>
      </w:rPr>
      <w:pict w14:anchorId="08384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86188" o:spid="_x0000_s2050" type="#_x0000_t136" style="position:absolute;left:0;text-align:left;margin-left:0;margin-top:0;width:594.25pt;height:6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116FF4">
      <w:rPr>
        <w:noProof/>
      </w:rPr>
      <w:drawing>
        <wp:anchor distT="0" distB="0" distL="114300" distR="114300" simplePos="0" relativeHeight="251658240" behindDoc="0" locked="0" layoutInCell="1" allowOverlap="0" wp14:anchorId="4CD3AAE5" wp14:editId="6F4FF558">
          <wp:simplePos x="0" y="0"/>
          <wp:positionH relativeFrom="page">
            <wp:posOffset>730250</wp:posOffset>
          </wp:positionH>
          <wp:positionV relativeFrom="page">
            <wp:posOffset>334645</wp:posOffset>
          </wp:positionV>
          <wp:extent cx="516890" cy="609600"/>
          <wp:effectExtent l="0" t="0" r="0" b="0"/>
          <wp:wrapSquare wrapText="bothSides"/>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516890" cy="609600"/>
                  </a:xfrm>
                  <a:prstGeom prst="rect">
                    <a:avLst/>
                  </a:prstGeom>
                </pic:spPr>
              </pic:pic>
            </a:graphicData>
          </a:graphic>
        </wp:anchor>
      </w:drawing>
    </w:r>
    <w:r w:rsidR="00116FF4">
      <w:rPr>
        <w:noProof/>
      </w:rPr>
      <w:drawing>
        <wp:anchor distT="0" distB="0" distL="114300" distR="114300" simplePos="0" relativeHeight="251659264" behindDoc="0" locked="0" layoutInCell="1" allowOverlap="0" wp14:anchorId="69842F39" wp14:editId="0F147A19">
          <wp:simplePos x="0" y="0"/>
          <wp:positionH relativeFrom="page">
            <wp:posOffset>6686550</wp:posOffset>
          </wp:positionH>
          <wp:positionV relativeFrom="page">
            <wp:posOffset>315595</wp:posOffset>
          </wp:positionV>
          <wp:extent cx="676275" cy="676275"/>
          <wp:effectExtent l="0" t="0" r="0" b="0"/>
          <wp:wrapSquare wrapText="bothSides"/>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
                  <a:stretch>
                    <a:fillRect/>
                  </a:stretch>
                </pic:blipFill>
                <pic:spPr>
                  <a:xfrm>
                    <a:off x="0" y="0"/>
                    <a:ext cx="676275" cy="676275"/>
                  </a:xfrm>
                  <a:prstGeom prst="rect">
                    <a:avLst/>
                  </a:prstGeom>
                </pic:spPr>
              </pic:pic>
            </a:graphicData>
          </a:graphic>
        </wp:anchor>
      </w:drawing>
    </w:r>
    <w:r w:rsidR="00116FF4">
      <w:rPr>
        <w:rFonts w:ascii="Calibri" w:eastAsia="Calibri" w:hAnsi="Calibri" w:cs="Calibri"/>
        <w:sz w:val="22"/>
      </w:rPr>
      <w:t xml:space="preserve">      </w:t>
    </w:r>
    <w:r w:rsidR="00116FF4">
      <w:rPr>
        <w:rFonts w:ascii="Georgia" w:eastAsia="Georgia" w:hAnsi="Georgia" w:cs="Georgia"/>
        <w:b/>
        <w:color w:val="08598A"/>
        <w:sz w:val="22"/>
        <w:u w:val="single" w:color="08598A"/>
      </w:rPr>
      <w:t xml:space="preserve">International Research Journal of Education and </w:t>
    </w:r>
    <w:proofErr w:type="gramStart"/>
    <w:r w:rsidR="00116FF4">
      <w:rPr>
        <w:rFonts w:ascii="Georgia" w:eastAsia="Georgia" w:hAnsi="Georgia" w:cs="Georgia"/>
        <w:b/>
        <w:color w:val="08598A"/>
        <w:sz w:val="22"/>
        <w:u w:val="single" w:color="08598A"/>
      </w:rPr>
      <w:t>Technology</w:t>
    </w:r>
    <w:r w:rsidR="00116FF4">
      <w:rPr>
        <w:rFonts w:ascii="Calibri" w:eastAsia="Calibri" w:hAnsi="Calibri" w:cs="Calibri"/>
        <w:color w:val="333333"/>
        <w:sz w:val="22"/>
      </w:rPr>
      <w:t xml:space="preserve"> </w:t>
    </w:r>
    <w:r w:rsidR="00116FF4">
      <w:rPr>
        <w:rFonts w:ascii="Arial" w:eastAsia="Arial" w:hAnsi="Arial" w:cs="Arial"/>
        <w:color w:val="333333"/>
        <w:sz w:val="26"/>
      </w:rPr>
      <w:t xml:space="preserve"> Peer</w:t>
    </w:r>
    <w:proofErr w:type="gramEnd"/>
    <w:r w:rsidR="00116FF4">
      <w:rPr>
        <w:rFonts w:ascii="Arial" w:eastAsia="Arial" w:hAnsi="Arial" w:cs="Arial"/>
        <w:color w:val="333333"/>
        <w:sz w:val="26"/>
      </w:rPr>
      <w:t xml:space="preserve"> Reviewed Journal </w:t>
    </w:r>
  </w:p>
  <w:p w14:paraId="4B06ADE5" w14:textId="77777777" w:rsidR="00FF4053" w:rsidRDefault="00116FF4">
    <w:pPr>
      <w:spacing w:after="0" w:line="259" w:lineRule="auto"/>
      <w:ind w:left="-2" w:right="0" w:firstLine="0"/>
      <w:jc w:val="left"/>
    </w:pPr>
    <w:r>
      <w:rPr>
        <w:rFonts w:ascii="Arial" w:eastAsia="Arial" w:hAnsi="Arial" w:cs="Arial"/>
        <w:b/>
        <w:color w:val="333333"/>
        <w:sz w:val="26"/>
      </w:rPr>
      <w:t xml:space="preserve">                                                 ISSN 2581-7795</w:t>
    </w:r>
    <w:r>
      <w:rPr>
        <w:rFonts w:ascii="Cambria" w:eastAsia="Cambria" w:hAnsi="Cambria" w:cs="Cambria"/>
        <w:sz w:val="22"/>
      </w:rPr>
      <w:t xml:space="preserve"> </w:t>
    </w:r>
  </w:p>
  <w:p w14:paraId="5A4A05C1" w14:textId="77777777" w:rsidR="00FF4053" w:rsidRDefault="00116FF4">
    <w:pPr>
      <w:spacing w:after="91" w:line="259" w:lineRule="auto"/>
      <w:ind w:left="213" w:right="0" w:firstLine="0"/>
      <w:jc w:val="center"/>
    </w:pPr>
    <w:r>
      <w:rPr>
        <w:rFonts w:ascii="Calibri" w:eastAsia="Calibri" w:hAnsi="Calibri" w:cs="Calibri"/>
        <w:sz w:val="22"/>
      </w:rPr>
      <w:t xml:space="preserve"> </w:t>
    </w:r>
  </w:p>
  <w:p w14:paraId="64CB959A" w14:textId="77777777" w:rsidR="00FF4053" w:rsidRDefault="00116FF4">
    <w:pPr>
      <w:spacing w:after="0" w:line="259" w:lineRule="auto"/>
      <w:ind w:left="0" w:right="0" w:firstLine="0"/>
      <w:jc w:val="left"/>
    </w:pPr>
    <w:r>
      <w:rPr>
        <w:rFonts w:ascii="Cambria" w:eastAsia="Cambria" w:hAnsi="Cambria" w:cs="Cambria"/>
        <w:sz w:val="22"/>
      </w:rPr>
      <w:t xml:space="preserve"> </w:t>
    </w:r>
    <w:r>
      <w:rPr>
        <w:rFonts w:ascii="Cambria" w:eastAsia="Cambria" w:hAnsi="Cambria" w:cs="Cambria"/>
        <w:sz w:val="20"/>
      </w:rPr>
      <w:t xml:space="preserve"> </w:t>
    </w:r>
    <w:r>
      <w:rPr>
        <w:rFonts w:ascii="Cambria" w:eastAsia="Cambria" w:hAnsi="Cambria" w:cs="Cambria"/>
        <w:sz w:val="20"/>
      </w:rPr>
      <w:tab/>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8C46B" w14:textId="46067EE8" w:rsidR="00FF4053" w:rsidRDefault="000D0112" w:rsidP="006A2277">
    <w:pPr>
      <w:spacing w:after="0" w:line="244" w:lineRule="auto"/>
      <w:ind w:left="3298" w:right="393" w:hanging="2141"/>
    </w:pPr>
    <w:r>
      <w:rPr>
        <w:noProof/>
      </w:rPr>
      <w:pict w14:anchorId="7C438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86189" o:spid="_x0000_s2051" type="#_x0000_t136" style="position:absolute;left:0;text-align:left;margin-left:0;margin-top:0;width:594.25pt;height:6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116FF4">
      <w:rPr>
        <w:rFonts w:ascii="Calibri" w:eastAsia="Calibri" w:hAnsi="Calibri" w:cs="Calibri"/>
        <w:sz w:val="22"/>
      </w:rPr>
      <w:t xml:space="preserve">      </w:t>
    </w:r>
  </w:p>
  <w:p w14:paraId="7BD42ACA" w14:textId="77777777" w:rsidR="00FF4053" w:rsidRDefault="00116FF4">
    <w:pPr>
      <w:spacing w:after="0" w:line="259" w:lineRule="auto"/>
      <w:ind w:left="0" w:right="0" w:firstLine="0"/>
      <w:jc w:val="left"/>
    </w:pPr>
    <w:r>
      <w:rPr>
        <w:rFonts w:ascii="Cambria" w:eastAsia="Cambria" w:hAnsi="Cambria" w:cs="Cambria"/>
        <w:sz w:val="22"/>
      </w:rPr>
      <w:t xml:space="preserve"> </w:t>
    </w:r>
    <w:r>
      <w:rPr>
        <w:rFonts w:ascii="Cambria" w:eastAsia="Cambria" w:hAnsi="Cambria" w:cs="Cambria"/>
        <w:sz w:val="20"/>
      </w:rPr>
      <w:t xml:space="preserve"> </w:t>
    </w:r>
    <w:r>
      <w:rPr>
        <w:rFonts w:ascii="Cambria" w:eastAsia="Cambria" w:hAnsi="Cambria" w:cs="Cambria"/>
        <w:sz w:val="20"/>
      </w:rPr>
      <w:tab/>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3ECA" w14:textId="5664D83A" w:rsidR="00FF4053" w:rsidRDefault="000D0112">
    <w:pPr>
      <w:spacing w:after="0" w:line="244" w:lineRule="auto"/>
      <w:ind w:left="3298" w:right="393" w:hanging="2141"/>
    </w:pPr>
    <w:r>
      <w:rPr>
        <w:noProof/>
      </w:rPr>
      <w:pict w14:anchorId="5EED7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86187" o:spid="_x0000_s2049" type="#_x0000_t136" style="position:absolute;left:0;text-align:left;margin-left:0;margin-top:0;width:594.25pt;height:6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116FF4">
      <w:rPr>
        <w:noProof/>
      </w:rPr>
      <w:drawing>
        <wp:anchor distT="0" distB="0" distL="114300" distR="114300" simplePos="0" relativeHeight="251662336" behindDoc="0" locked="0" layoutInCell="1" allowOverlap="0" wp14:anchorId="1F9CC323" wp14:editId="5BF6D614">
          <wp:simplePos x="0" y="0"/>
          <wp:positionH relativeFrom="page">
            <wp:posOffset>730250</wp:posOffset>
          </wp:positionH>
          <wp:positionV relativeFrom="page">
            <wp:posOffset>334645</wp:posOffset>
          </wp:positionV>
          <wp:extent cx="516890" cy="6096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516890" cy="609600"/>
                  </a:xfrm>
                  <a:prstGeom prst="rect">
                    <a:avLst/>
                  </a:prstGeom>
                </pic:spPr>
              </pic:pic>
            </a:graphicData>
          </a:graphic>
        </wp:anchor>
      </w:drawing>
    </w:r>
    <w:r w:rsidR="00116FF4">
      <w:rPr>
        <w:noProof/>
      </w:rPr>
      <w:drawing>
        <wp:anchor distT="0" distB="0" distL="114300" distR="114300" simplePos="0" relativeHeight="251663360" behindDoc="0" locked="0" layoutInCell="1" allowOverlap="0" wp14:anchorId="277F983B" wp14:editId="64FFD68A">
          <wp:simplePos x="0" y="0"/>
          <wp:positionH relativeFrom="page">
            <wp:posOffset>6686550</wp:posOffset>
          </wp:positionH>
          <wp:positionV relativeFrom="page">
            <wp:posOffset>315595</wp:posOffset>
          </wp:positionV>
          <wp:extent cx="676275" cy="67627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
                  <a:stretch>
                    <a:fillRect/>
                  </a:stretch>
                </pic:blipFill>
                <pic:spPr>
                  <a:xfrm>
                    <a:off x="0" y="0"/>
                    <a:ext cx="676275" cy="676275"/>
                  </a:xfrm>
                  <a:prstGeom prst="rect">
                    <a:avLst/>
                  </a:prstGeom>
                </pic:spPr>
              </pic:pic>
            </a:graphicData>
          </a:graphic>
        </wp:anchor>
      </w:drawing>
    </w:r>
    <w:r w:rsidR="00116FF4">
      <w:rPr>
        <w:rFonts w:ascii="Calibri" w:eastAsia="Calibri" w:hAnsi="Calibri" w:cs="Calibri"/>
        <w:sz w:val="22"/>
      </w:rPr>
      <w:t xml:space="preserve">      </w:t>
    </w:r>
    <w:r w:rsidR="00116FF4">
      <w:rPr>
        <w:rFonts w:ascii="Georgia" w:eastAsia="Georgia" w:hAnsi="Georgia" w:cs="Georgia"/>
        <w:b/>
        <w:color w:val="08598A"/>
        <w:sz w:val="22"/>
        <w:u w:val="single" w:color="08598A"/>
      </w:rPr>
      <w:t xml:space="preserve">International Research Journal of Education and </w:t>
    </w:r>
    <w:proofErr w:type="gramStart"/>
    <w:r w:rsidR="00116FF4">
      <w:rPr>
        <w:rFonts w:ascii="Georgia" w:eastAsia="Georgia" w:hAnsi="Georgia" w:cs="Georgia"/>
        <w:b/>
        <w:color w:val="08598A"/>
        <w:sz w:val="22"/>
        <w:u w:val="single" w:color="08598A"/>
      </w:rPr>
      <w:t>Technology</w:t>
    </w:r>
    <w:r w:rsidR="00116FF4">
      <w:rPr>
        <w:rFonts w:ascii="Calibri" w:eastAsia="Calibri" w:hAnsi="Calibri" w:cs="Calibri"/>
        <w:color w:val="333333"/>
        <w:sz w:val="22"/>
      </w:rPr>
      <w:t xml:space="preserve"> </w:t>
    </w:r>
    <w:r w:rsidR="00116FF4">
      <w:rPr>
        <w:rFonts w:ascii="Arial" w:eastAsia="Arial" w:hAnsi="Arial" w:cs="Arial"/>
        <w:color w:val="333333"/>
        <w:sz w:val="26"/>
      </w:rPr>
      <w:t xml:space="preserve"> Peer</w:t>
    </w:r>
    <w:proofErr w:type="gramEnd"/>
    <w:r w:rsidR="00116FF4">
      <w:rPr>
        <w:rFonts w:ascii="Arial" w:eastAsia="Arial" w:hAnsi="Arial" w:cs="Arial"/>
        <w:color w:val="333333"/>
        <w:sz w:val="26"/>
      </w:rPr>
      <w:t xml:space="preserve"> Reviewed Journal </w:t>
    </w:r>
  </w:p>
  <w:p w14:paraId="78419BC7" w14:textId="77777777" w:rsidR="00FF4053" w:rsidRDefault="00116FF4">
    <w:pPr>
      <w:spacing w:after="0" w:line="259" w:lineRule="auto"/>
      <w:ind w:left="-2" w:right="0" w:firstLine="0"/>
      <w:jc w:val="left"/>
    </w:pPr>
    <w:r>
      <w:rPr>
        <w:rFonts w:ascii="Arial" w:eastAsia="Arial" w:hAnsi="Arial" w:cs="Arial"/>
        <w:b/>
        <w:color w:val="333333"/>
        <w:sz w:val="26"/>
      </w:rPr>
      <w:t xml:space="preserve">                                                 ISSN 2581-7795</w:t>
    </w:r>
    <w:r>
      <w:rPr>
        <w:rFonts w:ascii="Cambria" w:eastAsia="Cambria" w:hAnsi="Cambria" w:cs="Cambria"/>
        <w:sz w:val="22"/>
      </w:rPr>
      <w:t xml:space="preserve"> </w:t>
    </w:r>
  </w:p>
  <w:p w14:paraId="08021DAD" w14:textId="77777777" w:rsidR="00FF4053" w:rsidRDefault="00116FF4">
    <w:pPr>
      <w:spacing w:after="91" w:line="259" w:lineRule="auto"/>
      <w:ind w:left="213" w:right="0" w:firstLine="0"/>
      <w:jc w:val="center"/>
    </w:pPr>
    <w:r>
      <w:rPr>
        <w:rFonts w:ascii="Calibri" w:eastAsia="Calibri" w:hAnsi="Calibri" w:cs="Calibri"/>
        <w:sz w:val="22"/>
      </w:rPr>
      <w:t xml:space="preserve"> </w:t>
    </w:r>
  </w:p>
  <w:p w14:paraId="54393D67" w14:textId="77777777" w:rsidR="00FF4053" w:rsidRDefault="00116FF4">
    <w:pPr>
      <w:spacing w:after="0" w:line="259" w:lineRule="auto"/>
      <w:ind w:left="0" w:right="0" w:firstLine="0"/>
      <w:jc w:val="left"/>
    </w:pPr>
    <w:r>
      <w:rPr>
        <w:rFonts w:ascii="Cambria" w:eastAsia="Cambria" w:hAnsi="Cambria" w:cs="Cambria"/>
        <w:sz w:val="22"/>
      </w:rPr>
      <w:t xml:space="preserve"> </w:t>
    </w:r>
    <w:r>
      <w:rPr>
        <w:rFonts w:ascii="Cambria" w:eastAsia="Cambria" w:hAnsi="Cambria" w:cs="Cambria"/>
        <w:sz w:val="20"/>
      </w:rPr>
      <w:t xml:space="preserve"> </w:t>
    </w:r>
    <w:r>
      <w:rPr>
        <w:rFonts w:ascii="Cambria" w:eastAsia="Cambria" w:hAnsi="Cambria" w:cs="Cambria"/>
        <w:sz w:val="20"/>
      </w:rPr>
      <w:tab/>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F639F"/>
    <w:multiLevelType w:val="hybridMultilevel"/>
    <w:tmpl w:val="4B8EF27C"/>
    <w:lvl w:ilvl="0" w:tplc="1374C540">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FC61A2">
      <w:start w:val="1"/>
      <w:numFmt w:val="lowerLetter"/>
      <w:lvlText w:val="%2"/>
      <w:lvlJc w:val="left"/>
      <w:pPr>
        <w:ind w:left="1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B0FDFC">
      <w:start w:val="1"/>
      <w:numFmt w:val="lowerRoman"/>
      <w:lvlText w:val="%3"/>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902C1A">
      <w:start w:val="1"/>
      <w:numFmt w:val="decimal"/>
      <w:lvlText w:val="%4"/>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4645F2">
      <w:start w:val="1"/>
      <w:numFmt w:val="lowerLetter"/>
      <w:lvlText w:val="%5"/>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80A66">
      <w:start w:val="1"/>
      <w:numFmt w:val="lowerRoman"/>
      <w:lvlText w:val="%6"/>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BCEDD0">
      <w:start w:val="1"/>
      <w:numFmt w:val="decimal"/>
      <w:lvlText w:val="%7"/>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4719A">
      <w:start w:val="1"/>
      <w:numFmt w:val="lowerLetter"/>
      <w:lvlText w:val="%8"/>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A0C3E">
      <w:start w:val="1"/>
      <w:numFmt w:val="lowerRoman"/>
      <w:lvlText w:val="%9"/>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C367404"/>
    <w:multiLevelType w:val="hybridMultilevel"/>
    <w:tmpl w:val="000C2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15F85"/>
    <w:multiLevelType w:val="multilevel"/>
    <w:tmpl w:val="908E0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3NbQ0tTC2sDA2tzBV0lEKTi0uzszPAykwrAUA7gx2sywAAAA="/>
  </w:docVars>
  <w:rsids>
    <w:rsidRoot w:val="00FF4053"/>
    <w:rsid w:val="0004369D"/>
    <w:rsid w:val="000D0112"/>
    <w:rsid w:val="000F635C"/>
    <w:rsid w:val="00116FF4"/>
    <w:rsid w:val="001A032A"/>
    <w:rsid w:val="0028655D"/>
    <w:rsid w:val="00291552"/>
    <w:rsid w:val="003731CE"/>
    <w:rsid w:val="004375AB"/>
    <w:rsid w:val="004B7D37"/>
    <w:rsid w:val="005A12F1"/>
    <w:rsid w:val="00600D1F"/>
    <w:rsid w:val="006133DD"/>
    <w:rsid w:val="006A2277"/>
    <w:rsid w:val="007C27E2"/>
    <w:rsid w:val="00810A9F"/>
    <w:rsid w:val="00834DC6"/>
    <w:rsid w:val="008D1079"/>
    <w:rsid w:val="0091376C"/>
    <w:rsid w:val="009C0A00"/>
    <w:rsid w:val="009E2BB4"/>
    <w:rsid w:val="00BE3D87"/>
    <w:rsid w:val="00C042F8"/>
    <w:rsid w:val="00C34B68"/>
    <w:rsid w:val="00C6000A"/>
    <w:rsid w:val="00C67055"/>
    <w:rsid w:val="00CA5A2D"/>
    <w:rsid w:val="00CA6B2F"/>
    <w:rsid w:val="00D539AC"/>
    <w:rsid w:val="00EA3048"/>
    <w:rsid w:val="00F67EDE"/>
    <w:rsid w:val="00FF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71FA2B"/>
  <w15:docId w15:val="{6F371288-C4F4-43FF-A331-76CA5BA8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7" w:line="362"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31"/>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31"/>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31"/>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6A2277"/>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6A2277"/>
    <w:rPr>
      <w:b/>
      <w:bCs/>
    </w:rPr>
  </w:style>
  <w:style w:type="character" w:styleId="Emphasis">
    <w:name w:val="Emphasis"/>
    <w:basedOn w:val="DefaultParagraphFont"/>
    <w:uiPriority w:val="20"/>
    <w:qFormat/>
    <w:rsid w:val="005A12F1"/>
    <w:rPr>
      <w:i/>
      <w:iCs/>
    </w:rPr>
  </w:style>
  <w:style w:type="paragraph" w:styleId="ListParagraph">
    <w:name w:val="List Paragraph"/>
    <w:basedOn w:val="Normal"/>
    <w:uiPriority w:val="34"/>
    <w:qFormat/>
    <w:rsid w:val="006133DD"/>
    <w:pPr>
      <w:ind w:left="720"/>
      <w:contextualSpacing/>
    </w:pPr>
  </w:style>
  <w:style w:type="paragraph" w:styleId="BodyText">
    <w:name w:val="Body Text"/>
    <w:basedOn w:val="Normal"/>
    <w:link w:val="BodyTextChar"/>
    <w:uiPriority w:val="1"/>
    <w:qFormat/>
    <w:rsid w:val="00291552"/>
    <w:pPr>
      <w:widowControl w:val="0"/>
      <w:autoSpaceDE w:val="0"/>
      <w:autoSpaceDN w:val="0"/>
      <w:spacing w:after="0" w:line="240" w:lineRule="auto"/>
      <w:ind w:left="451" w:right="0" w:firstLine="0"/>
      <w:jc w:val="left"/>
    </w:pPr>
    <w:rPr>
      <w:color w:val="auto"/>
      <w:sz w:val="20"/>
      <w:szCs w:val="20"/>
    </w:rPr>
  </w:style>
  <w:style w:type="character" w:customStyle="1" w:styleId="BodyTextChar">
    <w:name w:val="Body Text Char"/>
    <w:basedOn w:val="DefaultParagraphFont"/>
    <w:link w:val="BodyText"/>
    <w:uiPriority w:val="1"/>
    <w:rsid w:val="0029155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4369D"/>
    <w:rPr>
      <w:color w:val="0563C1" w:themeColor="hyperlink"/>
      <w:u w:val="single"/>
    </w:rPr>
  </w:style>
  <w:style w:type="character" w:styleId="UnresolvedMention">
    <w:name w:val="Unresolved Mention"/>
    <w:basedOn w:val="DefaultParagraphFont"/>
    <w:uiPriority w:val="99"/>
    <w:semiHidden/>
    <w:unhideWhenUsed/>
    <w:rsid w:val="0004369D"/>
    <w:rPr>
      <w:color w:val="605E5C"/>
      <w:shd w:val="clear" w:color="auto" w:fill="E1DFDD"/>
    </w:rPr>
  </w:style>
  <w:style w:type="paragraph" w:styleId="Footer">
    <w:name w:val="footer"/>
    <w:basedOn w:val="Normal"/>
    <w:link w:val="FooterChar"/>
    <w:uiPriority w:val="99"/>
    <w:semiHidden/>
    <w:unhideWhenUsed/>
    <w:rsid w:val="000D01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011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7401">
      <w:bodyDiv w:val="1"/>
      <w:marLeft w:val="0"/>
      <w:marRight w:val="0"/>
      <w:marTop w:val="0"/>
      <w:marBottom w:val="0"/>
      <w:divBdr>
        <w:top w:val="none" w:sz="0" w:space="0" w:color="auto"/>
        <w:left w:val="none" w:sz="0" w:space="0" w:color="auto"/>
        <w:bottom w:val="none" w:sz="0" w:space="0" w:color="auto"/>
        <w:right w:val="none" w:sz="0" w:space="0" w:color="auto"/>
      </w:divBdr>
      <w:divsChild>
        <w:div w:id="810555687">
          <w:marLeft w:val="0"/>
          <w:marRight w:val="0"/>
          <w:marTop w:val="0"/>
          <w:marBottom w:val="0"/>
          <w:divBdr>
            <w:top w:val="none" w:sz="0" w:space="0" w:color="auto"/>
            <w:left w:val="none" w:sz="0" w:space="0" w:color="auto"/>
            <w:bottom w:val="none" w:sz="0" w:space="0" w:color="auto"/>
            <w:right w:val="none" w:sz="0" w:space="0" w:color="auto"/>
          </w:divBdr>
          <w:divsChild>
            <w:div w:id="13176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9805">
      <w:bodyDiv w:val="1"/>
      <w:marLeft w:val="0"/>
      <w:marRight w:val="0"/>
      <w:marTop w:val="0"/>
      <w:marBottom w:val="0"/>
      <w:divBdr>
        <w:top w:val="none" w:sz="0" w:space="0" w:color="auto"/>
        <w:left w:val="none" w:sz="0" w:space="0" w:color="auto"/>
        <w:bottom w:val="none" w:sz="0" w:space="0" w:color="auto"/>
        <w:right w:val="none" w:sz="0" w:space="0" w:color="auto"/>
      </w:divBdr>
      <w:divsChild>
        <w:div w:id="591857358">
          <w:marLeft w:val="0"/>
          <w:marRight w:val="0"/>
          <w:marTop w:val="0"/>
          <w:marBottom w:val="0"/>
          <w:divBdr>
            <w:top w:val="none" w:sz="0" w:space="0" w:color="auto"/>
            <w:left w:val="none" w:sz="0" w:space="0" w:color="auto"/>
            <w:bottom w:val="none" w:sz="0" w:space="0" w:color="auto"/>
            <w:right w:val="none" w:sz="0" w:space="0" w:color="auto"/>
          </w:divBdr>
        </w:div>
      </w:divsChild>
    </w:div>
    <w:div w:id="991252575">
      <w:bodyDiv w:val="1"/>
      <w:marLeft w:val="0"/>
      <w:marRight w:val="0"/>
      <w:marTop w:val="0"/>
      <w:marBottom w:val="0"/>
      <w:divBdr>
        <w:top w:val="none" w:sz="0" w:space="0" w:color="auto"/>
        <w:left w:val="none" w:sz="0" w:space="0" w:color="auto"/>
        <w:bottom w:val="none" w:sz="0" w:space="0" w:color="auto"/>
        <w:right w:val="none" w:sz="0" w:space="0" w:color="auto"/>
      </w:divBdr>
    </w:div>
    <w:div w:id="1072579381">
      <w:bodyDiv w:val="1"/>
      <w:marLeft w:val="0"/>
      <w:marRight w:val="0"/>
      <w:marTop w:val="0"/>
      <w:marBottom w:val="0"/>
      <w:divBdr>
        <w:top w:val="none" w:sz="0" w:space="0" w:color="auto"/>
        <w:left w:val="none" w:sz="0" w:space="0" w:color="auto"/>
        <w:bottom w:val="none" w:sz="0" w:space="0" w:color="auto"/>
        <w:right w:val="none" w:sz="0" w:space="0" w:color="auto"/>
      </w:divBdr>
    </w:div>
    <w:div w:id="1501894561">
      <w:bodyDiv w:val="1"/>
      <w:marLeft w:val="0"/>
      <w:marRight w:val="0"/>
      <w:marTop w:val="0"/>
      <w:marBottom w:val="0"/>
      <w:divBdr>
        <w:top w:val="none" w:sz="0" w:space="0" w:color="auto"/>
        <w:left w:val="none" w:sz="0" w:space="0" w:color="auto"/>
        <w:bottom w:val="none" w:sz="0" w:space="0" w:color="auto"/>
        <w:right w:val="none" w:sz="0" w:space="0" w:color="auto"/>
      </w:divBdr>
    </w:div>
    <w:div w:id="1692533165">
      <w:bodyDiv w:val="1"/>
      <w:marLeft w:val="0"/>
      <w:marRight w:val="0"/>
      <w:marTop w:val="0"/>
      <w:marBottom w:val="0"/>
      <w:divBdr>
        <w:top w:val="none" w:sz="0" w:space="0" w:color="auto"/>
        <w:left w:val="none" w:sz="0" w:space="0" w:color="auto"/>
        <w:bottom w:val="none" w:sz="0" w:space="0" w:color="auto"/>
        <w:right w:val="none" w:sz="0" w:space="0" w:color="auto"/>
      </w:divBdr>
    </w:div>
    <w:div w:id="1821271108">
      <w:bodyDiv w:val="1"/>
      <w:marLeft w:val="0"/>
      <w:marRight w:val="0"/>
      <w:marTop w:val="0"/>
      <w:marBottom w:val="0"/>
      <w:divBdr>
        <w:top w:val="none" w:sz="0" w:space="0" w:color="auto"/>
        <w:left w:val="none" w:sz="0" w:space="0" w:color="auto"/>
        <w:bottom w:val="none" w:sz="0" w:space="0" w:color="auto"/>
        <w:right w:val="none" w:sz="0" w:space="0" w:color="auto"/>
      </w:divBdr>
    </w:div>
    <w:div w:id="1848445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ttc.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ttc.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urism.gov.i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tourism.gov.i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16</Pages>
  <Words>4691</Words>
  <Characters>26739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PMT05</dc:creator>
  <cp:keywords/>
  <cp:lastModifiedBy>SDI 1084</cp:lastModifiedBy>
  <cp:revision>14</cp:revision>
  <dcterms:created xsi:type="dcterms:W3CDTF">2025-09-05T17:45:00Z</dcterms:created>
  <dcterms:modified xsi:type="dcterms:W3CDTF">2025-09-19T13:42:00Z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55bf188f-baaf-4de1-aa3c-d1e01a5cfe2f</vt:lpwstr>
  </property>
</Properties>
</file>