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AEE47B" w14:textId="77777777" w:rsidR="005D2D2F" w:rsidRPr="005D2D2F" w:rsidRDefault="005D2D2F" w:rsidP="005D2D2F">
      <w:pPr>
        <w:spacing w:line="360" w:lineRule="auto"/>
        <w:jc w:val="center"/>
        <w:rPr>
          <w:rFonts w:ascii="Times New Roman" w:hAnsi="Times New Roman" w:cs="Times New Roman"/>
          <w:b/>
          <w:bCs/>
          <w:i/>
          <w:iCs/>
          <w:sz w:val="28"/>
          <w:szCs w:val="28"/>
          <w:u w:val="single"/>
          <w:lang w:val="en-US"/>
        </w:rPr>
      </w:pPr>
      <w:r w:rsidRPr="005D2D2F">
        <w:rPr>
          <w:rFonts w:ascii="Times New Roman" w:hAnsi="Times New Roman" w:cs="Times New Roman"/>
          <w:b/>
          <w:bCs/>
          <w:i/>
          <w:iCs/>
          <w:sz w:val="28"/>
          <w:szCs w:val="28"/>
          <w:u w:val="single"/>
          <w:lang w:val="en-US"/>
        </w:rPr>
        <w:t xml:space="preserve">Case report </w:t>
      </w:r>
    </w:p>
    <w:p w14:paraId="237AECC5" w14:textId="37B2DE1A" w:rsidR="00A929E5" w:rsidRDefault="00A929E5" w:rsidP="005B6A1E">
      <w:pPr>
        <w:spacing w:line="360" w:lineRule="auto"/>
        <w:jc w:val="center"/>
        <w:rPr>
          <w:rFonts w:ascii="Times New Roman" w:hAnsi="Times New Roman" w:cs="Times New Roman"/>
          <w:b/>
          <w:bCs/>
          <w:sz w:val="28"/>
          <w:szCs w:val="28"/>
        </w:rPr>
      </w:pPr>
      <w:r w:rsidRPr="005B6A1E">
        <w:rPr>
          <w:rFonts w:ascii="Times New Roman" w:hAnsi="Times New Roman" w:cs="Times New Roman"/>
          <w:b/>
          <w:bCs/>
          <w:sz w:val="28"/>
          <w:szCs w:val="28"/>
        </w:rPr>
        <w:t>Tooth-Supported Maxillary Single Complete Overdenture with Complete Mandibular Rehabilitation: A Case Report</w:t>
      </w:r>
    </w:p>
    <w:p w14:paraId="08DD4156" w14:textId="77777777" w:rsidR="005B6A1E" w:rsidRPr="005B6A1E" w:rsidRDefault="005B6A1E" w:rsidP="005B6A1E">
      <w:pPr>
        <w:spacing w:line="360" w:lineRule="auto"/>
        <w:jc w:val="center"/>
        <w:rPr>
          <w:rFonts w:ascii="Times New Roman" w:hAnsi="Times New Roman" w:cs="Times New Roman"/>
          <w:b/>
          <w:bCs/>
          <w:sz w:val="28"/>
          <w:szCs w:val="28"/>
        </w:rPr>
      </w:pPr>
    </w:p>
    <w:p w14:paraId="4FB06C5A" w14:textId="77777777" w:rsidR="005B6A1E" w:rsidRPr="005B6A1E" w:rsidRDefault="005B6A1E" w:rsidP="005B6A1E">
      <w:pPr>
        <w:spacing w:line="360" w:lineRule="auto"/>
        <w:rPr>
          <w:rFonts w:ascii="Times New Roman" w:hAnsi="Times New Roman" w:cs="Times New Roman"/>
          <w:b/>
          <w:bCs/>
          <w:sz w:val="24"/>
          <w:szCs w:val="24"/>
        </w:rPr>
      </w:pPr>
      <w:bookmarkStart w:id="0" w:name="_GoBack"/>
      <w:bookmarkEnd w:id="0"/>
    </w:p>
    <w:p w14:paraId="3DDA1350" w14:textId="77777777" w:rsidR="00A929E5" w:rsidRPr="00A929E5" w:rsidRDefault="00A929E5" w:rsidP="00A929E5">
      <w:pPr>
        <w:spacing w:line="360" w:lineRule="auto"/>
        <w:rPr>
          <w:rFonts w:ascii="Times New Roman" w:hAnsi="Times New Roman" w:cs="Times New Roman"/>
          <w:b/>
          <w:bCs/>
          <w:sz w:val="24"/>
          <w:szCs w:val="24"/>
        </w:rPr>
      </w:pPr>
      <w:r w:rsidRPr="00A929E5">
        <w:rPr>
          <w:rFonts w:ascii="Times New Roman" w:hAnsi="Times New Roman" w:cs="Times New Roman"/>
          <w:b/>
          <w:bCs/>
          <w:sz w:val="24"/>
          <w:szCs w:val="24"/>
        </w:rPr>
        <w:t>Abstract</w:t>
      </w:r>
    </w:p>
    <w:p w14:paraId="7223C46B" w14:textId="6D4F25C6" w:rsidR="00A929E5" w:rsidRDefault="00A929E5" w:rsidP="00A929E5">
      <w:pPr>
        <w:spacing w:line="360" w:lineRule="auto"/>
        <w:rPr>
          <w:rFonts w:ascii="Times New Roman" w:hAnsi="Times New Roman" w:cs="Times New Roman"/>
          <w:sz w:val="24"/>
          <w:szCs w:val="24"/>
        </w:rPr>
      </w:pPr>
      <w:r w:rsidRPr="00A929E5">
        <w:rPr>
          <w:rFonts w:ascii="Times New Roman" w:hAnsi="Times New Roman" w:cs="Times New Roman"/>
          <w:sz w:val="24"/>
          <w:szCs w:val="24"/>
        </w:rPr>
        <w:t>Introduction: Overdentures provide a viable treatment option for patients with limited remaining teeth, offering improved retention, stability, and preservation of alveolar bone. This case report describes the rehabilitation of a patient with a maxillary tooth-supported single complete overdenture and a complete mandibular denture.</w:t>
      </w:r>
      <w:r w:rsidRPr="00A929E5">
        <w:rPr>
          <w:rFonts w:ascii="Times New Roman" w:hAnsi="Times New Roman" w:cs="Times New Roman"/>
          <w:sz w:val="24"/>
          <w:szCs w:val="24"/>
        </w:rPr>
        <w:br/>
        <w:t xml:space="preserve">Case Presentation: A </w:t>
      </w:r>
      <w:r w:rsidR="00CB3C6A">
        <w:rPr>
          <w:rFonts w:ascii="Times New Roman" w:hAnsi="Times New Roman" w:cs="Times New Roman"/>
          <w:sz w:val="24"/>
          <w:szCs w:val="24"/>
        </w:rPr>
        <w:t xml:space="preserve">43 </w:t>
      </w:r>
      <w:r w:rsidRPr="00A929E5">
        <w:rPr>
          <w:rFonts w:ascii="Times New Roman" w:hAnsi="Times New Roman" w:cs="Times New Roman"/>
          <w:sz w:val="24"/>
          <w:szCs w:val="24"/>
        </w:rPr>
        <w:t xml:space="preserve">-year-old </w:t>
      </w:r>
      <w:r>
        <w:rPr>
          <w:rFonts w:ascii="Times New Roman" w:hAnsi="Times New Roman" w:cs="Times New Roman"/>
          <w:sz w:val="24"/>
          <w:szCs w:val="24"/>
        </w:rPr>
        <w:t>fe</w:t>
      </w:r>
      <w:r w:rsidRPr="00A929E5">
        <w:rPr>
          <w:rFonts w:ascii="Times New Roman" w:hAnsi="Times New Roman" w:cs="Times New Roman"/>
          <w:sz w:val="24"/>
          <w:szCs w:val="24"/>
        </w:rPr>
        <w:t xml:space="preserve">male presented with a severely resorbed maxillary arch and retained mandibular teeth. The maxillary arch was restored with a tooth-supported overdenture using two remaining </w:t>
      </w:r>
      <w:r>
        <w:rPr>
          <w:rFonts w:ascii="Times New Roman" w:hAnsi="Times New Roman" w:cs="Times New Roman"/>
          <w:sz w:val="24"/>
          <w:szCs w:val="24"/>
        </w:rPr>
        <w:t>central incisors</w:t>
      </w:r>
      <w:r w:rsidRPr="00A929E5">
        <w:rPr>
          <w:rFonts w:ascii="Times New Roman" w:hAnsi="Times New Roman" w:cs="Times New Roman"/>
          <w:sz w:val="24"/>
          <w:szCs w:val="24"/>
        </w:rPr>
        <w:t xml:space="preserve">, while the mandibular arch was completely rehabilitated with </w:t>
      </w:r>
      <w:r>
        <w:rPr>
          <w:rFonts w:ascii="Times New Roman" w:hAnsi="Times New Roman" w:cs="Times New Roman"/>
          <w:sz w:val="24"/>
          <w:szCs w:val="24"/>
        </w:rPr>
        <w:t xml:space="preserve">post and core, implant supported fixed prosthesis and fixed crowns. </w:t>
      </w:r>
      <w:r w:rsidRPr="00A929E5">
        <w:rPr>
          <w:rFonts w:ascii="Times New Roman" w:hAnsi="Times New Roman" w:cs="Times New Roman"/>
          <w:sz w:val="24"/>
          <w:szCs w:val="24"/>
        </w:rPr>
        <w:br/>
        <w:t>Discussion: The treatment improved masticatory efficiency, speech, and esthetics while preserving residual ridge integrity. Tooth-supported overdentures offer advantages over conventional complete dentures, including better stability and proprioception.</w:t>
      </w:r>
      <w:r w:rsidRPr="00A929E5">
        <w:rPr>
          <w:rFonts w:ascii="Times New Roman" w:hAnsi="Times New Roman" w:cs="Times New Roman"/>
          <w:sz w:val="24"/>
          <w:szCs w:val="24"/>
        </w:rPr>
        <w:br/>
        <w:t>Conclusion: This case highlights the effectiveness of a tooth-supported maxillary overdenture combined with mandibular complete denture rehabilitation in improving oral function and patient satisfaction.</w:t>
      </w:r>
    </w:p>
    <w:p w14:paraId="4CD2EFD1" w14:textId="09F3E5F3" w:rsidR="005B6A1E" w:rsidRPr="00A929E5" w:rsidRDefault="005B6A1E" w:rsidP="00A929E5">
      <w:pPr>
        <w:spacing w:line="360" w:lineRule="auto"/>
        <w:rPr>
          <w:rFonts w:ascii="Times New Roman" w:hAnsi="Times New Roman" w:cs="Times New Roman"/>
          <w:sz w:val="24"/>
          <w:szCs w:val="24"/>
        </w:rPr>
      </w:pPr>
      <w:r>
        <w:rPr>
          <w:rFonts w:ascii="Times New Roman" w:hAnsi="Times New Roman" w:cs="Times New Roman"/>
          <w:sz w:val="24"/>
          <w:szCs w:val="24"/>
        </w:rPr>
        <w:t xml:space="preserve">Keywords – overdenture, prosthesis, </w:t>
      </w:r>
      <w:proofErr w:type="spellStart"/>
      <w:r>
        <w:rPr>
          <w:rFonts w:ascii="Times New Roman" w:hAnsi="Times New Roman" w:cs="Times New Roman"/>
          <w:sz w:val="24"/>
          <w:szCs w:val="24"/>
        </w:rPr>
        <w:t>implants,esthetics</w:t>
      </w:r>
      <w:proofErr w:type="spellEnd"/>
    </w:p>
    <w:p w14:paraId="61332D56" w14:textId="77777777" w:rsidR="00A929E5" w:rsidRPr="00671D52" w:rsidRDefault="00A929E5" w:rsidP="00A929E5">
      <w:pPr>
        <w:spacing w:line="360" w:lineRule="auto"/>
        <w:rPr>
          <w:rFonts w:ascii="Times New Roman" w:hAnsi="Times New Roman" w:cs="Times New Roman"/>
          <w:b/>
          <w:bCs/>
          <w:sz w:val="24"/>
          <w:szCs w:val="24"/>
        </w:rPr>
      </w:pPr>
      <w:r w:rsidRPr="00671D52">
        <w:rPr>
          <w:rFonts w:ascii="Times New Roman" w:hAnsi="Times New Roman" w:cs="Times New Roman"/>
          <w:b/>
          <w:bCs/>
          <w:sz w:val="24"/>
          <w:szCs w:val="24"/>
        </w:rPr>
        <w:t>Introduction</w:t>
      </w:r>
    </w:p>
    <w:p w14:paraId="035F2ED0" w14:textId="77777777" w:rsidR="00A929E5" w:rsidRPr="00A929E5" w:rsidRDefault="00A929E5" w:rsidP="00A929E5">
      <w:pPr>
        <w:spacing w:line="360" w:lineRule="auto"/>
        <w:rPr>
          <w:rFonts w:ascii="Times New Roman" w:hAnsi="Times New Roman" w:cs="Times New Roman"/>
          <w:sz w:val="24"/>
          <w:szCs w:val="24"/>
        </w:rPr>
      </w:pPr>
      <w:r w:rsidRPr="00A929E5">
        <w:rPr>
          <w:rFonts w:ascii="Times New Roman" w:hAnsi="Times New Roman" w:cs="Times New Roman"/>
          <w:sz w:val="24"/>
          <w:szCs w:val="24"/>
        </w:rPr>
        <w:t>The transition from natural dentition to complete edentulism presents significant functional and aesthetic challenges for patients [1]. While conventional complete dentures remain a common solution, they often lack optimal stability and retention, particularly in atrophic ridges [2]. Overdentures, which utilize remaining teeth or implants for support, have emerged as a superior treatment modality that provides enhanced retention while preserving alveolar bone [3].</w:t>
      </w:r>
    </w:p>
    <w:p w14:paraId="75938A9F" w14:textId="77777777" w:rsidR="00A929E5" w:rsidRDefault="00A929E5" w:rsidP="00A929E5">
      <w:pPr>
        <w:spacing w:line="360" w:lineRule="auto"/>
        <w:rPr>
          <w:rFonts w:ascii="Times New Roman" w:hAnsi="Times New Roman" w:cs="Times New Roman"/>
          <w:sz w:val="24"/>
          <w:szCs w:val="24"/>
        </w:rPr>
      </w:pPr>
      <w:r w:rsidRPr="00A929E5">
        <w:rPr>
          <w:rFonts w:ascii="Times New Roman" w:hAnsi="Times New Roman" w:cs="Times New Roman"/>
          <w:sz w:val="24"/>
          <w:szCs w:val="24"/>
        </w:rPr>
        <w:lastRenderedPageBreak/>
        <w:t>Maxillary tooth-supported overdentures represent a particularly valuable yet underutilized treatment option [4]. Though implant-supported overdentures have gained prominence in recent years, tooth-supported variants offer a cost-effective alternative with comparable functional benefits [5]. This case report details the successful rehabilitation of a patient with a maxillary tooth-supported overdenture opposing a complete mandibular denture, demonstrating the clinical viability of this treatment approach.</w:t>
      </w:r>
    </w:p>
    <w:p w14:paraId="3326ECD7" w14:textId="77777777" w:rsidR="00671D52" w:rsidRPr="00A929E5" w:rsidRDefault="00671D52" w:rsidP="00A929E5">
      <w:pPr>
        <w:spacing w:line="360" w:lineRule="auto"/>
        <w:rPr>
          <w:rFonts w:ascii="Times New Roman" w:hAnsi="Times New Roman" w:cs="Times New Roman"/>
          <w:sz w:val="24"/>
          <w:szCs w:val="24"/>
        </w:rPr>
      </w:pPr>
    </w:p>
    <w:p w14:paraId="3839E448" w14:textId="77777777" w:rsidR="00A929E5" w:rsidRPr="00671D52" w:rsidRDefault="00A929E5" w:rsidP="00A929E5">
      <w:pPr>
        <w:spacing w:line="360" w:lineRule="auto"/>
        <w:rPr>
          <w:rFonts w:ascii="Times New Roman" w:hAnsi="Times New Roman" w:cs="Times New Roman"/>
          <w:b/>
          <w:bCs/>
          <w:sz w:val="24"/>
          <w:szCs w:val="24"/>
        </w:rPr>
      </w:pPr>
      <w:r w:rsidRPr="00671D52">
        <w:rPr>
          <w:rFonts w:ascii="Times New Roman" w:hAnsi="Times New Roman" w:cs="Times New Roman"/>
          <w:b/>
          <w:bCs/>
          <w:sz w:val="24"/>
          <w:szCs w:val="24"/>
        </w:rPr>
        <w:t>Case Presentation</w:t>
      </w:r>
    </w:p>
    <w:p w14:paraId="1FF77500" w14:textId="77777777" w:rsidR="00A929E5" w:rsidRPr="00671D52" w:rsidRDefault="00A929E5" w:rsidP="00A929E5">
      <w:pPr>
        <w:spacing w:line="360" w:lineRule="auto"/>
        <w:rPr>
          <w:rFonts w:ascii="Times New Roman" w:hAnsi="Times New Roman" w:cs="Times New Roman"/>
          <w:b/>
          <w:bCs/>
          <w:sz w:val="24"/>
          <w:szCs w:val="24"/>
        </w:rPr>
      </w:pPr>
      <w:r w:rsidRPr="00671D52">
        <w:rPr>
          <w:rFonts w:ascii="Times New Roman" w:hAnsi="Times New Roman" w:cs="Times New Roman"/>
          <w:b/>
          <w:bCs/>
          <w:sz w:val="24"/>
          <w:szCs w:val="24"/>
        </w:rPr>
        <w:t>Patient History</w:t>
      </w:r>
    </w:p>
    <w:p w14:paraId="7350487B" w14:textId="5F6C0C6C" w:rsidR="00A929E5" w:rsidRPr="00A929E5" w:rsidRDefault="00A929E5" w:rsidP="00A929E5">
      <w:pPr>
        <w:spacing w:line="360" w:lineRule="auto"/>
        <w:rPr>
          <w:rFonts w:ascii="Times New Roman" w:hAnsi="Times New Roman" w:cs="Times New Roman"/>
          <w:sz w:val="24"/>
          <w:szCs w:val="24"/>
        </w:rPr>
      </w:pPr>
      <w:r w:rsidRPr="00A929E5">
        <w:rPr>
          <w:rFonts w:ascii="Times New Roman" w:hAnsi="Times New Roman" w:cs="Times New Roman"/>
          <w:sz w:val="24"/>
          <w:szCs w:val="24"/>
        </w:rPr>
        <w:t xml:space="preserve">A </w:t>
      </w:r>
      <w:r w:rsidR="00CB3C6A">
        <w:rPr>
          <w:rFonts w:ascii="Times New Roman" w:hAnsi="Times New Roman" w:cs="Times New Roman"/>
          <w:sz w:val="24"/>
          <w:szCs w:val="24"/>
        </w:rPr>
        <w:t>4</w:t>
      </w:r>
      <w:r w:rsidR="00671D52">
        <w:rPr>
          <w:rFonts w:ascii="Times New Roman" w:hAnsi="Times New Roman" w:cs="Times New Roman"/>
          <w:sz w:val="24"/>
          <w:szCs w:val="24"/>
        </w:rPr>
        <w:t xml:space="preserve">3 </w:t>
      </w:r>
      <w:r w:rsidRPr="00A929E5">
        <w:rPr>
          <w:rFonts w:ascii="Times New Roman" w:hAnsi="Times New Roman" w:cs="Times New Roman"/>
          <w:sz w:val="24"/>
          <w:szCs w:val="24"/>
        </w:rPr>
        <w:t xml:space="preserve">-year-old </w:t>
      </w:r>
      <w:r w:rsidR="00671D52">
        <w:rPr>
          <w:rFonts w:ascii="Times New Roman" w:hAnsi="Times New Roman" w:cs="Times New Roman"/>
          <w:sz w:val="24"/>
          <w:szCs w:val="24"/>
        </w:rPr>
        <w:t>fe</w:t>
      </w:r>
      <w:r w:rsidRPr="00A929E5">
        <w:rPr>
          <w:rFonts w:ascii="Times New Roman" w:hAnsi="Times New Roman" w:cs="Times New Roman"/>
          <w:sz w:val="24"/>
          <w:szCs w:val="24"/>
        </w:rPr>
        <w:t>male presented with complaints of inadequate masticatory function and poor denture stability. The patient's dental history revealed gradual tooth loss over 15 years, with previous attempts at removable partial denture therapy proving unsatisfactory [6]. Medical history was non-contributory, with no contraindications to dental treatment.</w:t>
      </w:r>
    </w:p>
    <w:p w14:paraId="69F97B76" w14:textId="77777777" w:rsidR="00A929E5" w:rsidRPr="00671D52" w:rsidRDefault="00A929E5" w:rsidP="00A929E5">
      <w:pPr>
        <w:spacing w:line="360" w:lineRule="auto"/>
        <w:rPr>
          <w:rFonts w:ascii="Times New Roman" w:hAnsi="Times New Roman" w:cs="Times New Roman"/>
          <w:b/>
          <w:bCs/>
          <w:sz w:val="24"/>
          <w:szCs w:val="24"/>
        </w:rPr>
      </w:pPr>
      <w:r w:rsidRPr="00671D52">
        <w:rPr>
          <w:rFonts w:ascii="Times New Roman" w:hAnsi="Times New Roman" w:cs="Times New Roman"/>
          <w:b/>
          <w:bCs/>
          <w:sz w:val="24"/>
          <w:szCs w:val="24"/>
        </w:rPr>
        <w:t>Clinical Examination</w:t>
      </w:r>
    </w:p>
    <w:p w14:paraId="2302438C" w14:textId="77777777" w:rsidR="00A929E5" w:rsidRPr="00A929E5" w:rsidRDefault="00A929E5" w:rsidP="00A929E5">
      <w:pPr>
        <w:spacing w:line="360" w:lineRule="auto"/>
        <w:rPr>
          <w:rFonts w:ascii="Times New Roman" w:hAnsi="Times New Roman" w:cs="Times New Roman"/>
          <w:sz w:val="24"/>
          <w:szCs w:val="24"/>
        </w:rPr>
      </w:pPr>
      <w:r w:rsidRPr="00A929E5">
        <w:rPr>
          <w:rFonts w:ascii="Times New Roman" w:hAnsi="Times New Roman" w:cs="Times New Roman"/>
          <w:sz w:val="24"/>
          <w:szCs w:val="24"/>
        </w:rPr>
        <w:t>Intraoral examination revealed:</w:t>
      </w:r>
    </w:p>
    <w:p w14:paraId="28E617FE" w14:textId="2805BBAC" w:rsidR="00A929E5" w:rsidRPr="00A929E5" w:rsidRDefault="00A929E5" w:rsidP="00A929E5">
      <w:pPr>
        <w:numPr>
          <w:ilvl w:val="0"/>
          <w:numId w:val="17"/>
        </w:numPr>
        <w:spacing w:line="360" w:lineRule="auto"/>
        <w:rPr>
          <w:rFonts w:ascii="Times New Roman" w:hAnsi="Times New Roman" w:cs="Times New Roman"/>
          <w:sz w:val="24"/>
          <w:szCs w:val="24"/>
        </w:rPr>
      </w:pPr>
      <w:r w:rsidRPr="00A929E5">
        <w:rPr>
          <w:rFonts w:ascii="Times New Roman" w:hAnsi="Times New Roman" w:cs="Times New Roman"/>
          <w:sz w:val="24"/>
          <w:szCs w:val="24"/>
        </w:rPr>
        <w:t xml:space="preserve">Maxillary arch: </w:t>
      </w:r>
      <w:r w:rsidR="0013185E">
        <w:rPr>
          <w:rFonts w:ascii="Times New Roman" w:hAnsi="Times New Roman" w:cs="Times New Roman"/>
          <w:sz w:val="24"/>
          <w:szCs w:val="24"/>
        </w:rPr>
        <w:t xml:space="preserve">only </w:t>
      </w:r>
      <w:r w:rsidR="00671D52">
        <w:rPr>
          <w:rFonts w:ascii="Times New Roman" w:hAnsi="Times New Roman" w:cs="Times New Roman"/>
          <w:sz w:val="24"/>
          <w:szCs w:val="24"/>
        </w:rPr>
        <w:t xml:space="preserve">grossly decayed </w:t>
      </w:r>
      <w:r w:rsidRPr="00A929E5">
        <w:rPr>
          <w:rFonts w:ascii="Times New Roman" w:hAnsi="Times New Roman" w:cs="Times New Roman"/>
          <w:sz w:val="24"/>
          <w:szCs w:val="24"/>
        </w:rPr>
        <w:t xml:space="preserve">two </w:t>
      </w:r>
      <w:r w:rsidR="00671D52">
        <w:rPr>
          <w:rFonts w:ascii="Times New Roman" w:hAnsi="Times New Roman" w:cs="Times New Roman"/>
          <w:sz w:val="24"/>
          <w:szCs w:val="24"/>
        </w:rPr>
        <w:t>central incisors</w:t>
      </w:r>
      <w:r w:rsidRPr="00A929E5">
        <w:rPr>
          <w:rFonts w:ascii="Times New Roman" w:hAnsi="Times New Roman" w:cs="Times New Roman"/>
          <w:sz w:val="24"/>
          <w:szCs w:val="24"/>
        </w:rPr>
        <w:t xml:space="preserve"> (1</w:t>
      </w:r>
      <w:r w:rsidR="00671D52">
        <w:rPr>
          <w:rFonts w:ascii="Times New Roman" w:hAnsi="Times New Roman" w:cs="Times New Roman"/>
          <w:sz w:val="24"/>
          <w:szCs w:val="24"/>
        </w:rPr>
        <w:t>1</w:t>
      </w:r>
      <w:r w:rsidRPr="00A929E5">
        <w:rPr>
          <w:rFonts w:ascii="Times New Roman" w:hAnsi="Times New Roman" w:cs="Times New Roman"/>
          <w:sz w:val="24"/>
          <w:szCs w:val="24"/>
        </w:rPr>
        <w:t>, 2</w:t>
      </w:r>
      <w:r w:rsidR="00671D52">
        <w:rPr>
          <w:rFonts w:ascii="Times New Roman" w:hAnsi="Times New Roman" w:cs="Times New Roman"/>
          <w:sz w:val="24"/>
          <w:szCs w:val="24"/>
        </w:rPr>
        <w:t>1</w:t>
      </w:r>
      <w:r w:rsidRPr="00A929E5">
        <w:rPr>
          <w:rFonts w:ascii="Times New Roman" w:hAnsi="Times New Roman" w:cs="Times New Roman"/>
          <w:sz w:val="24"/>
          <w:szCs w:val="24"/>
        </w:rPr>
        <w:t>)</w:t>
      </w:r>
      <w:r w:rsidR="00671D52">
        <w:rPr>
          <w:rFonts w:ascii="Times New Roman" w:hAnsi="Times New Roman" w:cs="Times New Roman"/>
          <w:sz w:val="24"/>
          <w:szCs w:val="24"/>
        </w:rPr>
        <w:t xml:space="preserve"> and caries with peri-apical </w:t>
      </w:r>
      <w:proofErr w:type="spellStart"/>
      <w:r w:rsidR="00671D52">
        <w:rPr>
          <w:rFonts w:ascii="Times New Roman" w:hAnsi="Times New Roman" w:cs="Times New Roman"/>
          <w:sz w:val="24"/>
          <w:szCs w:val="24"/>
        </w:rPr>
        <w:t>abcess</w:t>
      </w:r>
      <w:proofErr w:type="spellEnd"/>
      <w:r w:rsidR="00671D52">
        <w:rPr>
          <w:rFonts w:ascii="Times New Roman" w:hAnsi="Times New Roman" w:cs="Times New Roman"/>
          <w:sz w:val="24"/>
          <w:szCs w:val="24"/>
        </w:rPr>
        <w:t xml:space="preserve"> in</w:t>
      </w:r>
      <w:r w:rsidR="0013185E">
        <w:rPr>
          <w:rFonts w:ascii="Times New Roman" w:hAnsi="Times New Roman" w:cs="Times New Roman"/>
          <w:sz w:val="24"/>
          <w:szCs w:val="24"/>
        </w:rPr>
        <w:t xml:space="preserve"> canine-</w:t>
      </w:r>
      <w:r w:rsidR="00671D52">
        <w:rPr>
          <w:rFonts w:ascii="Times New Roman" w:hAnsi="Times New Roman" w:cs="Times New Roman"/>
          <w:sz w:val="24"/>
          <w:szCs w:val="24"/>
        </w:rPr>
        <w:t xml:space="preserve"> 23</w:t>
      </w:r>
      <w:r w:rsidR="0013185E">
        <w:rPr>
          <w:rFonts w:ascii="Times New Roman" w:hAnsi="Times New Roman" w:cs="Times New Roman"/>
          <w:sz w:val="24"/>
          <w:szCs w:val="24"/>
        </w:rPr>
        <w:t xml:space="preserve"> is present. </w:t>
      </w:r>
    </w:p>
    <w:p w14:paraId="1E3345B7" w14:textId="400A823E" w:rsidR="00A929E5" w:rsidRPr="00A929E5" w:rsidRDefault="00A929E5" w:rsidP="00A929E5">
      <w:pPr>
        <w:numPr>
          <w:ilvl w:val="0"/>
          <w:numId w:val="17"/>
        </w:numPr>
        <w:spacing w:line="360" w:lineRule="auto"/>
        <w:rPr>
          <w:rFonts w:ascii="Times New Roman" w:hAnsi="Times New Roman" w:cs="Times New Roman"/>
          <w:sz w:val="24"/>
          <w:szCs w:val="24"/>
        </w:rPr>
      </w:pPr>
      <w:r w:rsidRPr="00A929E5">
        <w:rPr>
          <w:rFonts w:ascii="Times New Roman" w:hAnsi="Times New Roman" w:cs="Times New Roman"/>
          <w:sz w:val="24"/>
          <w:szCs w:val="24"/>
        </w:rPr>
        <w:t xml:space="preserve">Mandibular arch: </w:t>
      </w:r>
      <w:r w:rsidR="00671D52">
        <w:rPr>
          <w:rFonts w:ascii="Times New Roman" w:hAnsi="Times New Roman" w:cs="Times New Roman"/>
          <w:sz w:val="24"/>
          <w:szCs w:val="24"/>
        </w:rPr>
        <w:t xml:space="preserve">grossly decayed lower anteriors </w:t>
      </w:r>
      <w:r w:rsidR="0013185E">
        <w:rPr>
          <w:rFonts w:ascii="Times New Roman" w:hAnsi="Times New Roman" w:cs="Times New Roman"/>
          <w:sz w:val="24"/>
          <w:szCs w:val="24"/>
        </w:rPr>
        <w:t>and premolars 35 45 46</w:t>
      </w:r>
    </w:p>
    <w:p w14:paraId="30063A2C" w14:textId="77777777" w:rsidR="00A929E5" w:rsidRDefault="00A929E5" w:rsidP="00A929E5">
      <w:pPr>
        <w:numPr>
          <w:ilvl w:val="0"/>
          <w:numId w:val="17"/>
        </w:numPr>
        <w:spacing w:line="360" w:lineRule="auto"/>
        <w:rPr>
          <w:rFonts w:ascii="Times New Roman" w:hAnsi="Times New Roman" w:cs="Times New Roman"/>
          <w:sz w:val="24"/>
          <w:szCs w:val="24"/>
        </w:rPr>
      </w:pPr>
      <w:r w:rsidRPr="00A929E5">
        <w:rPr>
          <w:rFonts w:ascii="Times New Roman" w:hAnsi="Times New Roman" w:cs="Times New Roman"/>
          <w:sz w:val="24"/>
          <w:szCs w:val="24"/>
        </w:rPr>
        <w:t>Oral mucosa appeared healthy with no signs of pathology</w:t>
      </w:r>
    </w:p>
    <w:p w14:paraId="5F8D1F0A" w14:textId="5DA47968" w:rsidR="0013185E" w:rsidRDefault="0013185E" w:rsidP="00A929E5">
      <w:pPr>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Loss of vertical dimension noted</w:t>
      </w:r>
    </w:p>
    <w:p w14:paraId="0A336707" w14:textId="16C7D13C" w:rsidR="00CB3C6A" w:rsidRDefault="005A1F05" w:rsidP="005A1F05">
      <w:pPr>
        <w:spacing w:line="360" w:lineRule="auto"/>
        <w:jc w:val="center"/>
        <w:rPr>
          <w:rFonts w:ascii="Times New Roman" w:hAnsi="Times New Roman" w:cs="Times New Roman"/>
          <w:sz w:val="24"/>
          <w:szCs w:val="24"/>
        </w:rPr>
      </w:pPr>
      <w:r>
        <w:rPr>
          <w:noProof/>
        </w:rPr>
        <w:lastRenderedPageBreak/>
        <w:drawing>
          <wp:inline distT="0" distB="0" distL="0" distR="0" wp14:anchorId="0AB2BA60" wp14:editId="7282CB1D">
            <wp:extent cx="5731510" cy="3027680"/>
            <wp:effectExtent l="0" t="0" r="2540" b="1270"/>
            <wp:docPr id="71216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62068" name=""/>
                    <pic:cNvPicPr/>
                  </pic:nvPicPr>
                  <pic:blipFill>
                    <a:blip r:embed="rId7"/>
                    <a:stretch>
                      <a:fillRect/>
                    </a:stretch>
                  </pic:blipFill>
                  <pic:spPr>
                    <a:xfrm>
                      <a:off x="0" y="0"/>
                      <a:ext cx="5731510" cy="3027680"/>
                    </a:xfrm>
                    <a:prstGeom prst="rect">
                      <a:avLst/>
                    </a:prstGeom>
                  </pic:spPr>
                </pic:pic>
              </a:graphicData>
            </a:graphic>
          </wp:inline>
        </w:drawing>
      </w:r>
    </w:p>
    <w:p w14:paraId="30F5EB99" w14:textId="77777777" w:rsidR="00CB3C6A" w:rsidRPr="00A929E5" w:rsidRDefault="00CB3C6A" w:rsidP="00CB3C6A">
      <w:pPr>
        <w:spacing w:line="360" w:lineRule="auto"/>
        <w:ind w:left="720"/>
        <w:rPr>
          <w:rFonts w:ascii="Times New Roman" w:hAnsi="Times New Roman" w:cs="Times New Roman"/>
          <w:sz w:val="24"/>
          <w:szCs w:val="24"/>
        </w:rPr>
      </w:pPr>
    </w:p>
    <w:p w14:paraId="6875BEC9" w14:textId="77777777" w:rsidR="00A929E5" w:rsidRPr="00CB3C6A" w:rsidRDefault="00A929E5" w:rsidP="00A929E5">
      <w:pPr>
        <w:spacing w:line="360" w:lineRule="auto"/>
        <w:rPr>
          <w:rFonts w:ascii="Times New Roman" w:hAnsi="Times New Roman" w:cs="Times New Roman"/>
          <w:b/>
          <w:bCs/>
          <w:sz w:val="24"/>
          <w:szCs w:val="24"/>
        </w:rPr>
      </w:pPr>
      <w:r w:rsidRPr="00CB3C6A">
        <w:rPr>
          <w:rFonts w:ascii="Times New Roman" w:hAnsi="Times New Roman" w:cs="Times New Roman"/>
          <w:b/>
          <w:bCs/>
          <w:sz w:val="24"/>
          <w:szCs w:val="24"/>
        </w:rPr>
        <w:t>Treatment Plan</w:t>
      </w:r>
    </w:p>
    <w:p w14:paraId="08252154" w14:textId="77777777" w:rsidR="00A929E5" w:rsidRPr="00A929E5" w:rsidRDefault="00A929E5" w:rsidP="00A929E5">
      <w:pPr>
        <w:spacing w:line="360" w:lineRule="auto"/>
        <w:rPr>
          <w:rFonts w:ascii="Times New Roman" w:hAnsi="Times New Roman" w:cs="Times New Roman"/>
          <w:sz w:val="24"/>
          <w:szCs w:val="24"/>
        </w:rPr>
      </w:pPr>
      <w:r w:rsidRPr="00A929E5">
        <w:rPr>
          <w:rFonts w:ascii="Times New Roman" w:hAnsi="Times New Roman" w:cs="Times New Roman"/>
          <w:sz w:val="24"/>
          <w:szCs w:val="24"/>
        </w:rPr>
        <w:t>After considering various treatment options, the following plan was formulated [10]:</w:t>
      </w:r>
    </w:p>
    <w:p w14:paraId="137C541B" w14:textId="77777777" w:rsidR="00A929E5" w:rsidRPr="00A929E5" w:rsidRDefault="00A929E5" w:rsidP="00A929E5">
      <w:pPr>
        <w:numPr>
          <w:ilvl w:val="0"/>
          <w:numId w:val="18"/>
        </w:numPr>
        <w:spacing w:line="360" w:lineRule="auto"/>
        <w:rPr>
          <w:rFonts w:ascii="Times New Roman" w:hAnsi="Times New Roman" w:cs="Times New Roman"/>
          <w:sz w:val="24"/>
          <w:szCs w:val="24"/>
        </w:rPr>
      </w:pPr>
      <w:r w:rsidRPr="00A929E5">
        <w:rPr>
          <w:rFonts w:ascii="Times New Roman" w:hAnsi="Times New Roman" w:cs="Times New Roman"/>
          <w:sz w:val="24"/>
          <w:szCs w:val="24"/>
        </w:rPr>
        <w:t>Maxillary Arch:</w:t>
      </w:r>
    </w:p>
    <w:p w14:paraId="23B35951" w14:textId="3BE781BA" w:rsidR="00A929E5" w:rsidRPr="00A929E5" w:rsidRDefault="00A929E5" w:rsidP="00A929E5">
      <w:pPr>
        <w:numPr>
          <w:ilvl w:val="1"/>
          <w:numId w:val="18"/>
        </w:numPr>
        <w:spacing w:line="360" w:lineRule="auto"/>
        <w:rPr>
          <w:rFonts w:ascii="Times New Roman" w:hAnsi="Times New Roman" w:cs="Times New Roman"/>
          <w:sz w:val="24"/>
          <w:szCs w:val="24"/>
        </w:rPr>
      </w:pPr>
      <w:r w:rsidRPr="00A929E5">
        <w:rPr>
          <w:rFonts w:ascii="Times New Roman" w:hAnsi="Times New Roman" w:cs="Times New Roman"/>
          <w:sz w:val="24"/>
          <w:szCs w:val="24"/>
        </w:rPr>
        <w:t xml:space="preserve">Endodontic treatment of remaining </w:t>
      </w:r>
      <w:r>
        <w:rPr>
          <w:rFonts w:ascii="Times New Roman" w:hAnsi="Times New Roman" w:cs="Times New Roman"/>
          <w:sz w:val="24"/>
          <w:szCs w:val="24"/>
        </w:rPr>
        <w:t>central incisors</w:t>
      </w:r>
      <w:r w:rsidR="000070E3">
        <w:rPr>
          <w:rFonts w:ascii="Times New Roman" w:hAnsi="Times New Roman" w:cs="Times New Roman"/>
          <w:sz w:val="24"/>
          <w:szCs w:val="24"/>
        </w:rPr>
        <w:t xml:space="preserve"> and extraction of </w:t>
      </w:r>
      <w:r w:rsidR="0013185E">
        <w:rPr>
          <w:rFonts w:ascii="Times New Roman" w:hAnsi="Times New Roman" w:cs="Times New Roman"/>
          <w:sz w:val="24"/>
          <w:szCs w:val="24"/>
        </w:rPr>
        <w:t>grossly decayed canine</w:t>
      </w:r>
      <w:r w:rsidR="007B7626">
        <w:rPr>
          <w:rFonts w:ascii="Times New Roman" w:hAnsi="Times New Roman" w:cs="Times New Roman"/>
          <w:sz w:val="24"/>
          <w:szCs w:val="24"/>
        </w:rPr>
        <w:t xml:space="preserve"> - </w:t>
      </w:r>
      <w:r w:rsidR="0013185E">
        <w:rPr>
          <w:rFonts w:ascii="Times New Roman" w:hAnsi="Times New Roman" w:cs="Times New Roman"/>
          <w:sz w:val="24"/>
          <w:szCs w:val="24"/>
        </w:rPr>
        <w:t>23</w:t>
      </w:r>
    </w:p>
    <w:p w14:paraId="3276332C" w14:textId="77777777" w:rsidR="00A929E5" w:rsidRDefault="00A929E5" w:rsidP="00A929E5">
      <w:pPr>
        <w:numPr>
          <w:ilvl w:val="1"/>
          <w:numId w:val="18"/>
        </w:numPr>
        <w:spacing w:line="360" w:lineRule="auto"/>
        <w:rPr>
          <w:rFonts w:ascii="Times New Roman" w:hAnsi="Times New Roman" w:cs="Times New Roman"/>
          <w:sz w:val="24"/>
          <w:szCs w:val="24"/>
        </w:rPr>
      </w:pPr>
      <w:r w:rsidRPr="00A929E5">
        <w:rPr>
          <w:rFonts w:ascii="Times New Roman" w:hAnsi="Times New Roman" w:cs="Times New Roman"/>
          <w:sz w:val="24"/>
          <w:szCs w:val="24"/>
        </w:rPr>
        <w:t>Preparation of abutments with custom cast copings</w:t>
      </w:r>
    </w:p>
    <w:p w14:paraId="163E6F82" w14:textId="34009450" w:rsidR="00CB3C6A" w:rsidRDefault="00CB3C6A" w:rsidP="00CB3C6A">
      <w:pPr>
        <w:pStyle w:val="ListParagraph"/>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Transferring to Hanau articulator</w:t>
      </w:r>
    </w:p>
    <w:p w14:paraId="50CE204C" w14:textId="42ABACBB" w:rsidR="00CB3C6A" w:rsidRDefault="00CB3C6A" w:rsidP="00CB3C6A">
      <w:pPr>
        <w:pStyle w:val="ListParagraph"/>
        <w:numPr>
          <w:ilvl w:val="1"/>
          <w:numId w:val="18"/>
        </w:numPr>
        <w:spacing w:line="360" w:lineRule="auto"/>
        <w:rPr>
          <w:rFonts w:ascii="Times New Roman" w:hAnsi="Times New Roman" w:cs="Times New Roman"/>
          <w:sz w:val="24"/>
          <w:szCs w:val="24"/>
        </w:rPr>
      </w:pPr>
      <w:r>
        <w:rPr>
          <w:rFonts w:ascii="Times New Roman" w:hAnsi="Times New Roman" w:cs="Times New Roman"/>
          <w:sz w:val="24"/>
          <w:szCs w:val="24"/>
        </w:rPr>
        <w:t>Face-bow transfer done</w:t>
      </w:r>
    </w:p>
    <w:p w14:paraId="77421150" w14:textId="5C914D56" w:rsidR="00CB3C6A" w:rsidRPr="00CB3C6A" w:rsidRDefault="00CB3C6A" w:rsidP="00CB3C6A">
      <w:pPr>
        <w:pStyle w:val="ListParagraph"/>
        <w:numPr>
          <w:ilvl w:val="1"/>
          <w:numId w:val="18"/>
        </w:numPr>
        <w:spacing w:line="360" w:lineRule="auto"/>
        <w:rPr>
          <w:rFonts w:ascii="Times New Roman" w:hAnsi="Times New Roman" w:cs="Times New Roman"/>
          <w:sz w:val="24"/>
          <w:szCs w:val="24"/>
        </w:rPr>
      </w:pPr>
      <w:r>
        <w:rPr>
          <w:rFonts w:ascii="Times New Roman" w:hAnsi="Times New Roman" w:cs="Times New Roman"/>
          <w:sz w:val="24"/>
          <w:szCs w:val="24"/>
        </w:rPr>
        <w:t xml:space="preserve">Vertical dimension raised after raising vertical rod in </w:t>
      </w:r>
      <w:proofErr w:type="spellStart"/>
      <w:r>
        <w:rPr>
          <w:rFonts w:ascii="Times New Roman" w:hAnsi="Times New Roman" w:cs="Times New Roman"/>
          <w:sz w:val="24"/>
          <w:szCs w:val="24"/>
        </w:rPr>
        <w:t>hanau</w:t>
      </w:r>
      <w:proofErr w:type="spellEnd"/>
      <w:r>
        <w:rPr>
          <w:rFonts w:ascii="Times New Roman" w:hAnsi="Times New Roman" w:cs="Times New Roman"/>
          <w:sz w:val="24"/>
          <w:szCs w:val="24"/>
        </w:rPr>
        <w:t xml:space="preserve"> articulator by 2mm.</w:t>
      </w:r>
    </w:p>
    <w:p w14:paraId="7B95E20B" w14:textId="4B75E646" w:rsidR="00A929E5" w:rsidRPr="00A929E5" w:rsidRDefault="00A929E5" w:rsidP="00A929E5">
      <w:pPr>
        <w:numPr>
          <w:ilvl w:val="1"/>
          <w:numId w:val="18"/>
        </w:numPr>
        <w:spacing w:line="360" w:lineRule="auto"/>
        <w:rPr>
          <w:rFonts w:ascii="Times New Roman" w:hAnsi="Times New Roman" w:cs="Times New Roman"/>
          <w:sz w:val="24"/>
          <w:szCs w:val="24"/>
        </w:rPr>
      </w:pPr>
      <w:r w:rsidRPr="00A929E5">
        <w:rPr>
          <w:rFonts w:ascii="Times New Roman" w:hAnsi="Times New Roman" w:cs="Times New Roman"/>
          <w:sz w:val="24"/>
          <w:szCs w:val="24"/>
        </w:rPr>
        <w:t>Fabrication of maxillary complete overdenture with</w:t>
      </w:r>
      <w:r w:rsidR="000070E3">
        <w:rPr>
          <w:rFonts w:ascii="Times New Roman" w:hAnsi="Times New Roman" w:cs="Times New Roman"/>
          <w:sz w:val="24"/>
          <w:szCs w:val="24"/>
        </w:rPr>
        <w:t xml:space="preserve"> </w:t>
      </w:r>
      <w:r w:rsidRPr="00A929E5">
        <w:rPr>
          <w:rFonts w:ascii="Times New Roman" w:hAnsi="Times New Roman" w:cs="Times New Roman"/>
          <w:sz w:val="24"/>
          <w:szCs w:val="24"/>
        </w:rPr>
        <w:t>attachments</w:t>
      </w:r>
      <w:r w:rsidR="000070E3">
        <w:rPr>
          <w:rFonts w:ascii="Times New Roman" w:hAnsi="Times New Roman" w:cs="Times New Roman"/>
          <w:sz w:val="24"/>
          <w:szCs w:val="24"/>
        </w:rPr>
        <w:t>.</w:t>
      </w:r>
    </w:p>
    <w:p w14:paraId="400DAFA4" w14:textId="59890BEA" w:rsidR="00A929E5" w:rsidRDefault="00A929E5" w:rsidP="00A929E5">
      <w:pPr>
        <w:numPr>
          <w:ilvl w:val="0"/>
          <w:numId w:val="18"/>
        </w:numPr>
        <w:spacing w:line="360" w:lineRule="auto"/>
        <w:rPr>
          <w:rFonts w:ascii="Times New Roman" w:hAnsi="Times New Roman" w:cs="Times New Roman"/>
          <w:sz w:val="24"/>
          <w:szCs w:val="24"/>
        </w:rPr>
      </w:pPr>
      <w:r w:rsidRPr="00A929E5">
        <w:rPr>
          <w:rFonts w:ascii="Times New Roman" w:hAnsi="Times New Roman" w:cs="Times New Roman"/>
          <w:sz w:val="24"/>
          <w:szCs w:val="24"/>
        </w:rPr>
        <w:t>Mandibular Arch:</w:t>
      </w:r>
    </w:p>
    <w:p w14:paraId="55A10B83" w14:textId="376D7DE8" w:rsidR="00A929E5" w:rsidRDefault="000070E3" w:rsidP="000070E3">
      <w:pPr>
        <w:pStyle w:val="ListParagraph"/>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 xml:space="preserve">Lower anteriors rehabilitated </w:t>
      </w:r>
      <w:r w:rsidR="0013185E">
        <w:rPr>
          <w:rFonts w:ascii="Times New Roman" w:hAnsi="Times New Roman" w:cs="Times New Roman"/>
          <w:sz w:val="24"/>
          <w:szCs w:val="24"/>
        </w:rPr>
        <w:t xml:space="preserve">after completion of root canal treatment. </w:t>
      </w:r>
    </w:p>
    <w:p w14:paraId="5C0356EE" w14:textId="1919AD99" w:rsidR="000070E3" w:rsidRDefault="000070E3" w:rsidP="000070E3">
      <w:pPr>
        <w:pStyle w:val="ListParagraph"/>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Implant placement followed by screw retained prosthesis in partially edentulous posterior areas</w:t>
      </w:r>
      <w:r w:rsidR="007B7626">
        <w:rPr>
          <w:rFonts w:ascii="Times New Roman" w:hAnsi="Times New Roman" w:cs="Times New Roman"/>
          <w:sz w:val="24"/>
          <w:szCs w:val="24"/>
        </w:rPr>
        <w:t xml:space="preserve"> 34 36 46</w:t>
      </w:r>
      <w:r>
        <w:rPr>
          <w:rFonts w:ascii="Times New Roman" w:hAnsi="Times New Roman" w:cs="Times New Roman"/>
          <w:sz w:val="24"/>
          <w:szCs w:val="24"/>
        </w:rPr>
        <w:t xml:space="preserve">. </w:t>
      </w:r>
    </w:p>
    <w:p w14:paraId="2ECD39A0" w14:textId="116F085D" w:rsidR="00CB3C6A" w:rsidRDefault="00CB3C6A" w:rsidP="00CB3C6A">
      <w:pPr>
        <w:pStyle w:val="ListParagraph"/>
        <w:spacing w:line="360" w:lineRule="auto"/>
        <w:ind w:left="1800"/>
        <w:rPr>
          <w:rFonts w:ascii="Times New Roman" w:hAnsi="Times New Roman" w:cs="Times New Roman"/>
          <w:sz w:val="24"/>
          <w:szCs w:val="24"/>
        </w:rPr>
      </w:pPr>
    </w:p>
    <w:p w14:paraId="304ABCF9" w14:textId="0BC22264" w:rsidR="00CB3C6A" w:rsidRDefault="005A1F05" w:rsidP="005A1F05">
      <w:pPr>
        <w:pStyle w:val="ListParagraph"/>
        <w:spacing w:line="360" w:lineRule="auto"/>
        <w:ind w:left="0"/>
        <w:jc w:val="center"/>
        <w:rPr>
          <w:rFonts w:ascii="Times New Roman" w:hAnsi="Times New Roman" w:cs="Times New Roman"/>
          <w:sz w:val="24"/>
          <w:szCs w:val="24"/>
        </w:rPr>
      </w:pPr>
      <w:r>
        <w:rPr>
          <w:noProof/>
        </w:rPr>
        <w:lastRenderedPageBreak/>
        <w:drawing>
          <wp:inline distT="0" distB="0" distL="0" distR="0" wp14:anchorId="31AE1DBC" wp14:editId="71FACB4B">
            <wp:extent cx="4979200" cy="3015322"/>
            <wp:effectExtent l="0" t="0" r="0" b="0"/>
            <wp:docPr id="161097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7176" name=""/>
                    <pic:cNvPicPr/>
                  </pic:nvPicPr>
                  <pic:blipFill>
                    <a:blip r:embed="rId8"/>
                    <a:stretch>
                      <a:fillRect/>
                    </a:stretch>
                  </pic:blipFill>
                  <pic:spPr>
                    <a:xfrm>
                      <a:off x="0" y="0"/>
                      <a:ext cx="4990331" cy="3022063"/>
                    </a:xfrm>
                    <a:prstGeom prst="rect">
                      <a:avLst/>
                    </a:prstGeom>
                  </pic:spPr>
                </pic:pic>
              </a:graphicData>
            </a:graphic>
          </wp:inline>
        </w:drawing>
      </w:r>
    </w:p>
    <w:p w14:paraId="1A14A052" w14:textId="5AAF8F53" w:rsidR="00CB3C6A" w:rsidRDefault="005A1F05" w:rsidP="005A1F05">
      <w:pPr>
        <w:pStyle w:val="ListParagraph"/>
        <w:spacing w:line="360" w:lineRule="auto"/>
        <w:ind w:left="0"/>
        <w:jc w:val="center"/>
        <w:rPr>
          <w:rFonts w:ascii="Times New Roman" w:hAnsi="Times New Roman" w:cs="Times New Roman"/>
          <w:sz w:val="24"/>
          <w:szCs w:val="24"/>
        </w:rPr>
      </w:pPr>
      <w:r>
        <w:rPr>
          <w:noProof/>
        </w:rPr>
        <w:drawing>
          <wp:inline distT="0" distB="0" distL="0" distR="0" wp14:anchorId="1C1A4F47" wp14:editId="5216B4AC">
            <wp:extent cx="4915180" cy="2502243"/>
            <wp:effectExtent l="0" t="0" r="0" b="0"/>
            <wp:docPr id="312934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34333" name=""/>
                    <pic:cNvPicPr/>
                  </pic:nvPicPr>
                  <pic:blipFill>
                    <a:blip r:embed="rId9"/>
                    <a:stretch>
                      <a:fillRect/>
                    </a:stretch>
                  </pic:blipFill>
                  <pic:spPr>
                    <a:xfrm>
                      <a:off x="0" y="0"/>
                      <a:ext cx="4931221" cy="2510409"/>
                    </a:xfrm>
                    <a:prstGeom prst="rect">
                      <a:avLst/>
                    </a:prstGeom>
                  </pic:spPr>
                </pic:pic>
              </a:graphicData>
            </a:graphic>
          </wp:inline>
        </w:drawing>
      </w:r>
    </w:p>
    <w:p w14:paraId="3CC2AE9C" w14:textId="1557EBE2" w:rsidR="00CB3C6A" w:rsidRPr="007B7626" w:rsidRDefault="007B7626" w:rsidP="007B7626">
      <w:pPr>
        <w:spacing w:line="360" w:lineRule="auto"/>
        <w:rPr>
          <w:rFonts w:ascii="Times New Roman" w:hAnsi="Times New Roman" w:cs="Times New Roman"/>
          <w:sz w:val="24"/>
          <w:szCs w:val="24"/>
        </w:rPr>
      </w:pPr>
      <w:r>
        <w:rPr>
          <w:rFonts w:ascii="Times New Roman" w:hAnsi="Times New Roman" w:cs="Times New Roman"/>
          <w:sz w:val="24"/>
          <w:szCs w:val="24"/>
        </w:rPr>
        <w:t xml:space="preserve">Patient was recalled at regular intervals and evaluated the comfort, stability, retention and oral hygiene. After 3 years of follow up, patient was satisfied with the results and the prosthesis showed excellent stability and comfort. </w:t>
      </w:r>
    </w:p>
    <w:p w14:paraId="0D23C973" w14:textId="77777777" w:rsidR="00A929E5" w:rsidRPr="007B7626" w:rsidRDefault="00A929E5" w:rsidP="00A929E5">
      <w:pPr>
        <w:spacing w:line="360" w:lineRule="auto"/>
        <w:rPr>
          <w:rFonts w:ascii="Times New Roman" w:hAnsi="Times New Roman" w:cs="Times New Roman"/>
          <w:b/>
          <w:bCs/>
          <w:sz w:val="24"/>
          <w:szCs w:val="24"/>
        </w:rPr>
      </w:pPr>
      <w:r w:rsidRPr="007B7626">
        <w:rPr>
          <w:rFonts w:ascii="Times New Roman" w:hAnsi="Times New Roman" w:cs="Times New Roman"/>
          <w:b/>
          <w:bCs/>
          <w:sz w:val="24"/>
          <w:szCs w:val="24"/>
        </w:rPr>
        <w:t>Discussion</w:t>
      </w:r>
    </w:p>
    <w:p w14:paraId="0198871E" w14:textId="1FBF90E1" w:rsidR="00CB3C6A" w:rsidRDefault="00A929E5" w:rsidP="00A929E5">
      <w:pPr>
        <w:spacing w:line="360" w:lineRule="auto"/>
        <w:rPr>
          <w:rFonts w:ascii="Times New Roman" w:hAnsi="Times New Roman" w:cs="Times New Roman"/>
          <w:sz w:val="24"/>
          <w:szCs w:val="24"/>
        </w:rPr>
      </w:pPr>
      <w:r w:rsidRPr="00A929E5">
        <w:rPr>
          <w:rFonts w:ascii="Times New Roman" w:hAnsi="Times New Roman" w:cs="Times New Roman"/>
          <w:sz w:val="24"/>
          <w:szCs w:val="24"/>
        </w:rPr>
        <w:t xml:space="preserve">The rehabilitation of edentulous patients with overdentures has been well-documented as a superior alternative to conventional complete dentures, particularly in terms of stability, retention, and preservation of residual alveolar bone (1). This case report demonstrates the successful use of a tooth-supported maxillary overdenture in conjunction with a complete mandibular </w:t>
      </w:r>
      <w:r w:rsidR="000070E3">
        <w:rPr>
          <w:rFonts w:ascii="Times New Roman" w:hAnsi="Times New Roman" w:cs="Times New Roman"/>
          <w:sz w:val="24"/>
          <w:szCs w:val="24"/>
        </w:rPr>
        <w:t>rehabilitation</w:t>
      </w:r>
      <w:r w:rsidRPr="00A929E5">
        <w:rPr>
          <w:rFonts w:ascii="Times New Roman" w:hAnsi="Times New Roman" w:cs="Times New Roman"/>
          <w:sz w:val="24"/>
          <w:szCs w:val="24"/>
        </w:rPr>
        <w:t>, highlighting the clinical benefits of retaining natural tooth roots for prosthetic support.</w:t>
      </w:r>
    </w:p>
    <w:p w14:paraId="04D748F4" w14:textId="3E5C9A4E" w:rsidR="00A929E5" w:rsidRPr="00A929E5" w:rsidRDefault="00A929E5" w:rsidP="00A929E5">
      <w:pPr>
        <w:spacing w:line="360" w:lineRule="auto"/>
        <w:rPr>
          <w:rFonts w:ascii="Times New Roman" w:hAnsi="Times New Roman" w:cs="Times New Roman"/>
          <w:sz w:val="24"/>
          <w:szCs w:val="24"/>
        </w:rPr>
      </w:pPr>
      <w:r w:rsidRPr="00A929E5">
        <w:rPr>
          <w:rFonts w:ascii="Times New Roman" w:hAnsi="Times New Roman" w:cs="Times New Roman"/>
          <w:sz w:val="24"/>
          <w:szCs w:val="24"/>
        </w:rPr>
        <w:lastRenderedPageBreak/>
        <w:t>One of the most significant advantages of overdentures is the reduction in residual ridge resorption. When teeth are extracted, the alveolar bone undergoes progressive atrophy due to the loss of periodontal ligament stimulation (2). By retaining strategic roots, as in this case (maxillary canines), the mechanical loading is transferred more physiologically, slowing bone loss (3). Studies by Tallgren (1972) and Crum &amp; Loiselle (1972) have shown that patients with overdentures exhibit significantly less ridge resorption compared to those with conventional complete dentures (4,5).</w:t>
      </w:r>
    </w:p>
    <w:p w14:paraId="7E6D8D2B" w14:textId="40D647CA" w:rsidR="00A929E5" w:rsidRPr="00A929E5" w:rsidRDefault="00A929E5" w:rsidP="00A929E5">
      <w:pPr>
        <w:spacing w:line="360" w:lineRule="auto"/>
        <w:rPr>
          <w:rFonts w:ascii="Times New Roman" w:hAnsi="Times New Roman" w:cs="Times New Roman"/>
          <w:sz w:val="24"/>
          <w:szCs w:val="24"/>
        </w:rPr>
      </w:pPr>
      <w:r w:rsidRPr="00A929E5">
        <w:rPr>
          <w:rFonts w:ascii="Times New Roman" w:hAnsi="Times New Roman" w:cs="Times New Roman"/>
          <w:sz w:val="24"/>
          <w:szCs w:val="24"/>
        </w:rPr>
        <w:t>The incorporation of attachments (e.g., ball, bar, or telescopic copings) enhances denture retention, reducing displacement during function (6). In this case, custom cast copings were used, which provided both retention and proprioceptive feedback—a critical factor in patient adaptation (7). Feine et al. (2002) emphasized in the McGill Consensus Statement that even two implant or tooth-supported abutments can dramatically improve overdenture stability (8).</w:t>
      </w:r>
    </w:p>
    <w:p w14:paraId="7A95D70C" w14:textId="277B28A8" w:rsidR="00A929E5" w:rsidRDefault="00A929E5" w:rsidP="00A929E5">
      <w:pPr>
        <w:spacing w:line="360" w:lineRule="auto"/>
        <w:rPr>
          <w:rFonts w:ascii="Times New Roman" w:hAnsi="Times New Roman" w:cs="Times New Roman"/>
          <w:sz w:val="24"/>
          <w:szCs w:val="24"/>
        </w:rPr>
      </w:pPr>
      <w:r w:rsidRPr="00A929E5">
        <w:rPr>
          <w:rFonts w:ascii="Times New Roman" w:hAnsi="Times New Roman" w:cs="Times New Roman"/>
          <w:sz w:val="24"/>
          <w:szCs w:val="24"/>
        </w:rPr>
        <w:t>Patients with overdentures demonstrate better chewing ability than those with conventional dentures (9). Kapur et al. (1999) conducted a randomized trial comparing implant-supported overdentures to conventional dentures and found that overdenture wearers had significantly improved masticatory performance (10). Although this case used tooth-supported rather than implant-supported abutments, similar benefits were observed, with the patient reporting improved comfort and function.</w:t>
      </w:r>
    </w:p>
    <w:p w14:paraId="7B20E215" w14:textId="5686F213" w:rsidR="007B7626" w:rsidRPr="00A929E5" w:rsidRDefault="007B7626" w:rsidP="00A929E5">
      <w:pPr>
        <w:spacing w:line="360" w:lineRule="auto"/>
        <w:rPr>
          <w:rFonts w:ascii="Times New Roman" w:hAnsi="Times New Roman" w:cs="Times New Roman"/>
          <w:sz w:val="24"/>
          <w:szCs w:val="24"/>
        </w:rPr>
      </w:pPr>
      <w:r w:rsidRPr="00A929E5">
        <w:rPr>
          <w:rFonts w:ascii="Times New Roman" w:hAnsi="Times New Roman" w:cs="Times New Roman"/>
          <w:sz w:val="24"/>
          <w:szCs w:val="24"/>
        </w:rPr>
        <w:t>Several studies, including Burns et al. (1995) and Walton &amp; MacEntee (1994), have compared tooth-supported and implant-supported overdentures (17,18). While implants offer greater long-term predictability, tooth-supported overdentures remain a viable option when</w:t>
      </w:r>
      <w:r>
        <w:rPr>
          <w:rFonts w:ascii="Times New Roman" w:hAnsi="Times New Roman" w:cs="Times New Roman"/>
          <w:sz w:val="24"/>
          <w:szCs w:val="24"/>
        </w:rPr>
        <w:t xml:space="preserve"> a</w:t>
      </w:r>
      <w:r w:rsidRPr="00A929E5">
        <w:rPr>
          <w:rFonts w:ascii="Times New Roman" w:hAnsi="Times New Roman" w:cs="Times New Roman"/>
          <w:sz w:val="24"/>
          <w:szCs w:val="24"/>
        </w:rPr>
        <w:t>butment teeth have good prognosis (adequate bone support, no mobility).</w:t>
      </w:r>
    </w:p>
    <w:p w14:paraId="6167CDDC" w14:textId="77777777" w:rsidR="00A929E5" w:rsidRPr="00CB3C6A" w:rsidRDefault="00A929E5" w:rsidP="00A929E5">
      <w:pPr>
        <w:spacing w:line="360" w:lineRule="auto"/>
        <w:rPr>
          <w:rFonts w:ascii="Times New Roman" w:hAnsi="Times New Roman" w:cs="Times New Roman"/>
          <w:b/>
          <w:bCs/>
          <w:sz w:val="24"/>
          <w:szCs w:val="24"/>
        </w:rPr>
      </w:pPr>
      <w:r w:rsidRPr="00CB3C6A">
        <w:rPr>
          <w:rFonts w:ascii="Times New Roman" w:hAnsi="Times New Roman" w:cs="Times New Roman"/>
          <w:b/>
          <w:bCs/>
          <w:sz w:val="24"/>
          <w:szCs w:val="24"/>
        </w:rPr>
        <w:t>Challenges and Considerations</w:t>
      </w:r>
    </w:p>
    <w:p w14:paraId="66515D57" w14:textId="77777777" w:rsidR="00A929E5" w:rsidRPr="00A929E5" w:rsidRDefault="00A929E5" w:rsidP="00A929E5">
      <w:pPr>
        <w:spacing w:line="360" w:lineRule="auto"/>
        <w:rPr>
          <w:rFonts w:ascii="Times New Roman" w:hAnsi="Times New Roman" w:cs="Times New Roman"/>
          <w:sz w:val="24"/>
          <w:szCs w:val="24"/>
        </w:rPr>
      </w:pPr>
      <w:r w:rsidRPr="00A929E5">
        <w:rPr>
          <w:rFonts w:ascii="Times New Roman" w:hAnsi="Times New Roman" w:cs="Times New Roman"/>
          <w:sz w:val="24"/>
          <w:szCs w:val="24"/>
        </w:rPr>
        <w:t>1. Risk of Caries and Periodontal Disease in Abutment Teeth</w:t>
      </w:r>
    </w:p>
    <w:p w14:paraId="1A8DCBDE" w14:textId="1325C1D0" w:rsidR="00A929E5" w:rsidRPr="00A929E5" w:rsidRDefault="00A929E5" w:rsidP="00A929E5">
      <w:pPr>
        <w:spacing w:line="360" w:lineRule="auto"/>
        <w:rPr>
          <w:rFonts w:ascii="Times New Roman" w:hAnsi="Times New Roman" w:cs="Times New Roman"/>
          <w:sz w:val="24"/>
          <w:szCs w:val="24"/>
        </w:rPr>
      </w:pPr>
      <w:r w:rsidRPr="00A929E5">
        <w:rPr>
          <w:rFonts w:ascii="Times New Roman" w:hAnsi="Times New Roman" w:cs="Times New Roman"/>
          <w:sz w:val="24"/>
          <w:szCs w:val="24"/>
        </w:rPr>
        <w:t>A major concern with tooth-supported overdentures is the long-term survival of abutment teeth. Proper endodontic treatment, ferrule design, and oral hygiene maintenance are crucial (11). Langer &amp; Langer (2000) reported that telescopic crown-retained overdentures have a high success rate when abutments are well-maintained (12). In this case, the patient was placed on a strict recall schedule to monitor periodontal health.</w:t>
      </w:r>
    </w:p>
    <w:p w14:paraId="4CD2BBB2" w14:textId="77777777" w:rsidR="00A929E5" w:rsidRPr="00A929E5" w:rsidRDefault="00A929E5" w:rsidP="00A929E5">
      <w:pPr>
        <w:spacing w:line="360" w:lineRule="auto"/>
        <w:rPr>
          <w:rFonts w:ascii="Times New Roman" w:hAnsi="Times New Roman" w:cs="Times New Roman"/>
          <w:sz w:val="24"/>
          <w:szCs w:val="24"/>
        </w:rPr>
      </w:pPr>
      <w:r w:rsidRPr="00A929E5">
        <w:rPr>
          <w:rFonts w:ascii="Times New Roman" w:hAnsi="Times New Roman" w:cs="Times New Roman"/>
          <w:sz w:val="24"/>
          <w:szCs w:val="24"/>
        </w:rPr>
        <w:t>2. Occlusal Considerations in Complete Denture Rehabilitation</w:t>
      </w:r>
    </w:p>
    <w:p w14:paraId="40203054" w14:textId="2A88F346" w:rsidR="00A929E5" w:rsidRPr="00A929E5" w:rsidRDefault="00A929E5" w:rsidP="00A929E5">
      <w:pPr>
        <w:spacing w:line="360" w:lineRule="auto"/>
        <w:rPr>
          <w:rFonts w:ascii="Times New Roman" w:hAnsi="Times New Roman" w:cs="Times New Roman"/>
          <w:sz w:val="24"/>
          <w:szCs w:val="24"/>
        </w:rPr>
      </w:pPr>
      <w:r w:rsidRPr="00A929E5">
        <w:rPr>
          <w:rFonts w:ascii="Times New Roman" w:hAnsi="Times New Roman" w:cs="Times New Roman"/>
          <w:sz w:val="24"/>
          <w:szCs w:val="24"/>
        </w:rPr>
        <w:lastRenderedPageBreak/>
        <w:t>The mandibular complete denture opposing a maxillary overdenture requires careful occlusal balancing to avoid excessive forces on the remaining abutments (13). Zarb &amp; Bolender (2004) recommend using lingualized occlusion to distribute forces evenly and minimize lateral displacement (14).</w:t>
      </w:r>
    </w:p>
    <w:p w14:paraId="2DEAEB98" w14:textId="77777777" w:rsidR="00A929E5" w:rsidRPr="00A929E5" w:rsidRDefault="00A929E5" w:rsidP="00A929E5">
      <w:pPr>
        <w:spacing w:line="360" w:lineRule="auto"/>
        <w:rPr>
          <w:rFonts w:ascii="Times New Roman" w:hAnsi="Times New Roman" w:cs="Times New Roman"/>
          <w:sz w:val="24"/>
          <w:szCs w:val="24"/>
        </w:rPr>
      </w:pPr>
      <w:r w:rsidRPr="00A929E5">
        <w:rPr>
          <w:rFonts w:ascii="Times New Roman" w:hAnsi="Times New Roman" w:cs="Times New Roman"/>
          <w:sz w:val="24"/>
          <w:szCs w:val="24"/>
        </w:rPr>
        <w:t>3. Cost-Effectiveness Compared to Implant Overdentures</w:t>
      </w:r>
    </w:p>
    <w:p w14:paraId="58C2B3CB" w14:textId="19540E36" w:rsidR="00A929E5" w:rsidRPr="00A929E5" w:rsidRDefault="00A929E5" w:rsidP="00A929E5">
      <w:pPr>
        <w:spacing w:line="360" w:lineRule="auto"/>
        <w:rPr>
          <w:rFonts w:ascii="Times New Roman" w:hAnsi="Times New Roman" w:cs="Times New Roman"/>
          <w:sz w:val="24"/>
          <w:szCs w:val="24"/>
        </w:rPr>
      </w:pPr>
      <w:r w:rsidRPr="00A929E5">
        <w:rPr>
          <w:rFonts w:ascii="Times New Roman" w:hAnsi="Times New Roman" w:cs="Times New Roman"/>
          <w:sz w:val="24"/>
          <w:szCs w:val="24"/>
        </w:rPr>
        <w:t>While implant-supported overdentures are considered the gold standard for edentulous patients, they may not be feasible for all individuals due to financial constraints or medical contraindications (15). Brewer &amp; Morrow (1980) highlighted that tooth-supported overdentures provide a cost-effective alternative with comparable functional benefits (16).</w:t>
      </w:r>
    </w:p>
    <w:p w14:paraId="1B10A8EA" w14:textId="77777777" w:rsidR="00A929E5" w:rsidRPr="007B7626" w:rsidRDefault="00A929E5" w:rsidP="00A929E5">
      <w:pPr>
        <w:spacing w:line="360" w:lineRule="auto"/>
        <w:rPr>
          <w:rFonts w:ascii="Times New Roman" w:hAnsi="Times New Roman" w:cs="Times New Roman"/>
          <w:b/>
          <w:bCs/>
          <w:sz w:val="24"/>
          <w:szCs w:val="24"/>
        </w:rPr>
      </w:pPr>
      <w:r w:rsidRPr="007B7626">
        <w:rPr>
          <w:rFonts w:ascii="Times New Roman" w:hAnsi="Times New Roman" w:cs="Times New Roman"/>
          <w:b/>
          <w:bCs/>
          <w:sz w:val="24"/>
          <w:szCs w:val="24"/>
        </w:rPr>
        <w:t>Conclusion</w:t>
      </w:r>
    </w:p>
    <w:p w14:paraId="5979EAD2" w14:textId="77777777" w:rsidR="00A929E5" w:rsidRPr="00A929E5" w:rsidRDefault="00A929E5" w:rsidP="00A929E5">
      <w:pPr>
        <w:spacing w:line="360" w:lineRule="auto"/>
        <w:rPr>
          <w:rFonts w:ascii="Times New Roman" w:hAnsi="Times New Roman" w:cs="Times New Roman"/>
          <w:sz w:val="24"/>
          <w:szCs w:val="24"/>
        </w:rPr>
      </w:pPr>
      <w:r w:rsidRPr="00A929E5">
        <w:rPr>
          <w:rFonts w:ascii="Times New Roman" w:hAnsi="Times New Roman" w:cs="Times New Roman"/>
          <w:sz w:val="24"/>
          <w:szCs w:val="24"/>
        </w:rPr>
        <w:t xml:space="preserve">This case reinforces the viability of tooth-supported overdentures as a practical, cost-effective, and biomechanically </w:t>
      </w:r>
      <w:proofErr w:type="spellStart"/>
      <w:r w:rsidRPr="00A929E5">
        <w:rPr>
          <w:rFonts w:ascii="Times New Roman" w:hAnsi="Times New Roman" w:cs="Times New Roman"/>
          <w:sz w:val="24"/>
          <w:szCs w:val="24"/>
        </w:rPr>
        <w:t>favorable</w:t>
      </w:r>
      <w:proofErr w:type="spellEnd"/>
      <w:r w:rsidRPr="00A929E5">
        <w:rPr>
          <w:rFonts w:ascii="Times New Roman" w:hAnsi="Times New Roman" w:cs="Times New Roman"/>
          <w:sz w:val="24"/>
          <w:szCs w:val="24"/>
        </w:rPr>
        <w:t xml:space="preserve"> treatment for partially edentulous patients. By preserving natural tooth roots, clinicians can enhance denture stability, reduce bone resorption, and improve patient satisfaction. Future research should focus on long-term survival rates of tooth-supported overdentures compared to implant-retained ones.</w:t>
      </w:r>
    </w:p>
    <w:p w14:paraId="55FC4ACB" w14:textId="79B2BFED" w:rsidR="00A929E5" w:rsidRPr="007B7626" w:rsidRDefault="00A929E5" w:rsidP="00A929E5">
      <w:pPr>
        <w:spacing w:line="360" w:lineRule="auto"/>
        <w:rPr>
          <w:rFonts w:ascii="Times New Roman" w:hAnsi="Times New Roman" w:cs="Times New Roman"/>
          <w:b/>
          <w:bCs/>
          <w:sz w:val="24"/>
          <w:szCs w:val="24"/>
        </w:rPr>
      </w:pPr>
      <w:r w:rsidRPr="007B7626">
        <w:rPr>
          <w:rFonts w:ascii="Times New Roman" w:hAnsi="Times New Roman" w:cs="Times New Roman"/>
          <w:b/>
          <w:bCs/>
          <w:sz w:val="24"/>
          <w:szCs w:val="24"/>
        </w:rPr>
        <w:t>References</w:t>
      </w:r>
    </w:p>
    <w:p w14:paraId="4ACE3718" w14:textId="77777777" w:rsidR="00A929E5" w:rsidRPr="00A929E5" w:rsidRDefault="00A929E5" w:rsidP="00A929E5">
      <w:pPr>
        <w:numPr>
          <w:ilvl w:val="0"/>
          <w:numId w:val="19"/>
        </w:numPr>
        <w:spacing w:line="360" w:lineRule="auto"/>
        <w:rPr>
          <w:rFonts w:ascii="Times New Roman" w:hAnsi="Times New Roman" w:cs="Times New Roman"/>
          <w:sz w:val="24"/>
          <w:szCs w:val="24"/>
        </w:rPr>
      </w:pPr>
      <w:r w:rsidRPr="00A929E5">
        <w:rPr>
          <w:rFonts w:ascii="Times New Roman" w:hAnsi="Times New Roman" w:cs="Times New Roman"/>
          <w:sz w:val="24"/>
          <w:szCs w:val="24"/>
        </w:rPr>
        <w:t xml:space="preserve">Carlsson GE. Clinical morbidity and sequelae of treatment with complete dentures. J </w:t>
      </w:r>
      <w:proofErr w:type="spellStart"/>
      <w:r w:rsidRPr="00A929E5">
        <w:rPr>
          <w:rFonts w:ascii="Times New Roman" w:hAnsi="Times New Roman" w:cs="Times New Roman"/>
          <w:sz w:val="24"/>
          <w:szCs w:val="24"/>
        </w:rPr>
        <w:t>Prosthet</w:t>
      </w:r>
      <w:proofErr w:type="spellEnd"/>
      <w:r w:rsidRPr="00A929E5">
        <w:rPr>
          <w:rFonts w:ascii="Times New Roman" w:hAnsi="Times New Roman" w:cs="Times New Roman"/>
          <w:sz w:val="24"/>
          <w:szCs w:val="24"/>
        </w:rPr>
        <w:t xml:space="preserve"> Dent. 1998;79(1):17-23.</w:t>
      </w:r>
    </w:p>
    <w:p w14:paraId="64247C64" w14:textId="77777777" w:rsidR="00A929E5" w:rsidRPr="00A929E5" w:rsidRDefault="00A929E5" w:rsidP="00A929E5">
      <w:pPr>
        <w:numPr>
          <w:ilvl w:val="0"/>
          <w:numId w:val="19"/>
        </w:numPr>
        <w:spacing w:line="360" w:lineRule="auto"/>
        <w:rPr>
          <w:rFonts w:ascii="Times New Roman" w:hAnsi="Times New Roman" w:cs="Times New Roman"/>
          <w:sz w:val="24"/>
          <w:szCs w:val="24"/>
        </w:rPr>
      </w:pPr>
      <w:r w:rsidRPr="00A929E5">
        <w:rPr>
          <w:rFonts w:ascii="Times New Roman" w:hAnsi="Times New Roman" w:cs="Times New Roman"/>
          <w:sz w:val="24"/>
          <w:szCs w:val="24"/>
        </w:rPr>
        <w:t xml:space="preserve">Crum RJ, Loiselle RJ. Oral perception and proprioception: a review. J </w:t>
      </w:r>
      <w:proofErr w:type="spellStart"/>
      <w:r w:rsidRPr="00A929E5">
        <w:rPr>
          <w:rFonts w:ascii="Times New Roman" w:hAnsi="Times New Roman" w:cs="Times New Roman"/>
          <w:sz w:val="24"/>
          <w:szCs w:val="24"/>
        </w:rPr>
        <w:t>Prosthet</w:t>
      </w:r>
      <w:proofErr w:type="spellEnd"/>
      <w:r w:rsidRPr="00A929E5">
        <w:rPr>
          <w:rFonts w:ascii="Times New Roman" w:hAnsi="Times New Roman" w:cs="Times New Roman"/>
          <w:sz w:val="24"/>
          <w:szCs w:val="24"/>
        </w:rPr>
        <w:t xml:space="preserve"> Dent. 1972;28(2):215-230.</w:t>
      </w:r>
    </w:p>
    <w:p w14:paraId="66C4FF03" w14:textId="77777777" w:rsidR="00A929E5" w:rsidRPr="00A929E5" w:rsidRDefault="00A929E5" w:rsidP="00A929E5">
      <w:pPr>
        <w:numPr>
          <w:ilvl w:val="0"/>
          <w:numId w:val="19"/>
        </w:numPr>
        <w:spacing w:line="360" w:lineRule="auto"/>
        <w:rPr>
          <w:rFonts w:ascii="Times New Roman" w:hAnsi="Times New Roman" w:cs="Times New Roman"/>
          <w:sz w:val="24"/>
          <w:szCs w:val="24"/>
        </w:rPr>
      </w:pPr>
      <w:r w:rsidRPr="00A929E5">
        <w:rPr>
          <w:rFonts w:ascii="Times New Roman" w:hAnsi="Times New Roman" w:cs="Times New Roman"/>
          <w:sz w:val="24"/>
          <w:szCs w:val="24"/>
        </w:rPr>
        <w:t>Brewer AA, Morrow RM. Overdentures. 2nd ed. St. Louis: CV Mosby; 1980.</w:t>
      </w:r>
    </w:p>
    <w:p w14:paraId="2E780B81" w14:textId="77777777" w:rsidR="00A929E5" w:rsidRPr="00A929E5" w:rsidRDefault="00A929E5" w:rsidP="00A929E5">
      <w:pPr>
        <w:numPr>
          <w:ilvl w:val="0"/>
          <w:numId w:val="19"/>
        </w:numPr>
        <w:spacing w:line="360" w:lineRule="auto"/>
        <w:rPr>
          <w:rFonts w:ascii="Times New Roman" w:hAnsi="Times New Roman" w:cs="Times New Roman"/>
          <w:sz w:val="24"/>
          <w:szCs w:val="24"/>
        </w:rPr>
      </w:pPr>
      <w:r w:rsidRPr="00A929E5">
        <w:rPr>
          <w:rFonts w:ascii="Times New Roman" w:hAnsi="Times New Roman" w:cs="Times New Roman"/>
          <w:sz w:val="24"/>
          <w:szCs w:val="24"/>
        </w:rPr>
        <w:t xml:space="preserve">Lord JL, Teel S. The overdenture: patient selection. J </w:t>
      </w:r>
      <w:proofErr w:type="spellStart"/>
      <w:r w:rsidRPr="00A929E5">
        <w:rPr>
          <w:rFonts w:ascii="Times New Roman" w:hAnsi="Times New Roman" w:cs="Times New Roman"/>
          <w:sz w:val="24"/>
          <w:szCs w:val="24"/>
        </w:rPr>
        <w:t>Prosthet</w:t>
      </w:r>
      <w:proofErr w:type="spellEnd"/>
      <w:r w:rsidRPr="00A929E5">
        <w:rPr>
          <w:rFonts w:ascii="Times New Roman" w:hAnsi="Times New Roman" w:cs="Times New Roman"/>
          <w:sz w:val="24"/>
          <w:szCs w:val="24"/>
        </w:rPr>
        <w:t xml:space="preserve"> Dent. 1974;32(1):41-51.</w:t>
      </w:r>
    </w:p>
    <w:p w14:paraId="4E5E1F8A" w14:textId="77777777" w:rsidR="00A929E5" w:rsidRPr="00A929E5" w:rsidRDefault="00A929E5" w:rsidP="00A929E5">
      <w:pPr>
        <w:numPr>
          <w:ilvl w:val="0"/>
          <w:numId w:val="19"/>
        </w:numPr>
        <w:spacing w:line="360" w:lineRule="auto"/>
        <w:rPr>
          <w:rFonts w:ascii="Times New Roman" w:hAnsi="Times New Roman" w:cs="Times New Roman"/>
          <w:sz w:val="24"/>
          <w:szCs w:val="24"/>
        </w:rPr>
      </w:pPr>
      <w:proofErr w:type="spellStart"/>
      <w:r w:rsidRPr="00A929E5">
        <w:rPr>
          <w:rFonts w:ascii="Times New Roman" w:hAnsi="Times New Roman" w:cs="Times New Roman"/>
          <w:sz w:val="24"/>
          <w:szCs w:val="24"/>
        </w:rPr>
        <w:t>Rissin</w:t>
      </w:r>
      <w:proofErr w:type="spellEnd"/>
      <w:r w:rsidRPr="00A929E5">
        <w:rPr>
          <w:rFonts w:ascii="Times New Roman" w:hAnsi="Times New Roman" w:cs="Times New Roman"/>
          <w:sz w:val="24"/>
          <w:szCs w:val="24"/>
        </w:rPr>
        <w:t xml:space="preserve"> L, et al. Clinical comparison of masticatory performance. J </w:t>
      </w:r>
      <w:proofErr w:type="spellStart"/>
      <w:r w:rsidRPr="00A929E5">
        <w:rPr>
          <w:rFonts w:ascii="Times New Roman" w:hAnsi="Times New Roman" w:cs="Times New Roman"/>
          <w:sz w:val="24"/>
          <w:szCs w:val="24"/>
        </w:rPr>
        <w:t>Prosthet</w:t>
      </w:r>
      <w:proofErr w:type="spellEnd"/>
      <w:r w:rsidRPr="00A929E5">
        <w:rPr>
          <w:rFonts w:ascii="Times New Roman" w:hAnsi="Times New Roman" w:cs="Times New Roman"/>
          <w:sz w:val="24"/>
          <w:szCs w:val="24"/>
        </w:rPr>
        <w:t xml:space="preserve"> Dent. 1978;39(5):508-511.</w:t>
      </w:r>
    </w:p>
    <w:p w14:paraId="0BECDC82" w14:textId="77777777" w:rsidR="00A929E5" w:rsidRPr="00A929E5" w:rsidRDefault="00A929E5" w:rsidP="00A929E5">
      <w:pPr>
        <w:numPr>
          <w:ilvl w:val="0"/>
          <w:numId w:val="19"/>
        </w:numPr>
        <w:spacing w:line="360" w:lineRule="auto"/>
        <w:rPr>
          <w:rFonts w:ascii="Times New Roman" w:hAnsi="Times New Roman" w:cs="Times New Roman"/>
          <w:sz w:val="24"/>
          <w:szCs w:val="24"/>
        </w:rPr>
      </w:pPr>
      <w:r w:rsidRPr="00A929E5">
        <w:rPr>
          <w:rFonts w:ascii="Times New Roman" w:hAnsi="Times New Roman" w:cs="Times New Roman"/>
          <w:sz w:val="24"/>
          <w:szCs w:val="24"/>
        </w:rPr>
        <w:t xml:space="preserve">Feine JS, et al. The McGill consensus statement. Int J </w:t>
      </w:r>
      <w:proofErr w:type="spellStart"/>
      <w:r w:rsidRPr="00A929E5">
        <w:rPr>
          <w:rFonts w:ascii="Times New Roman" w:hAnsi="Times New Roman" w:cs="Times New Roman"/>
          <w:sz w:val="24"/>
          <w:szCs w:val="24"/>
        </w:rPr>
        <w:t>Prosthodont</w:t>
      </w:r>
      <w:proofErr w:type="spellEnd"/>
      <w:r w:rsidRPr="00A929E5">
        <w:rPr>
          <w:rFonts w:ascii="Times New Roman" w:hAnsi="Times New Roman" w:cs="Times New Roman"/>
          <w:sz w:val="24"/>
          <w:szCs w:val="24"/>
        </w:rPr>
        <w:t>. 2002;15(4):413-414.</w:t>
      </w:r>
    </w:p>
    <w:p w14:paraId="18D425DF" w14:textId="77777777" w:rsidR="00A929E5" w:rsidRPr="00A929E5" w:rsidRDefault="00A929E5" w:rsidP="00A929E5">
      <w:pPr>
        <w:numPr>
          <w:ilvl w:val="0"/>
          <w:numId w:val="19"/>
        </w:numPr>
        <w:spacing w:line="360" w:lineRule="auto"/>
        <w:rPr>
          <w:rFonts w:ascii="Times New Roman" w:hAnsi="Times New Roman" w:cs="Times New Roman"/>
          <w:sz w:val="24"/>
          <w:szCs w:val="24"/>
        </w:rPr>
      </w:pPr>
      <w:r w:rsidRPr="00A929E5">
        <w:rPr>
          <w:rFonts w:ascii="Times New Roman" w:hAnsi="Times New Roman" w:cs="Times New Roman"/>
          <w:sz w:val="24"/>
          <w:szCs w:val="24"/>
        </w:rPr>
        <w:t xml:space="preserve">Kapur KK, et al. Randomized clinical trial. J </w:t>
      </w:r>
      <w:proofErr w:type="spellStart"/>
      <w:r w:rsidRPr="00A929E5">
        <w:rPr>
          <w:rFonts w:ascii="Times New Roman" w:hAnsi="Times New Roman" w:cs="Times New Roman"/>
          <w:sz w:val="24"/>
          <w:szCs w:val="24"/>
        </w:rPr>
        <w:t>Prosthet</w:t>
      </w:r>
      <w:proofErr w:type="spellEnd"/>
      <w:r w:rsidRPr="00A929E5">
        <w:rPr>
          <w:rFonts w:ascii="Times New Roman" w:hAnsi="Times New Roman" w:cs="Times New Roman"/>
          <w:sz w:val="24"/>
          <w:szCs w:val="24"/>
        </w:rPr>
        <w:t xml:space="preserve"> Dent. 1999;81(6):705-710.</w:t>
      </w:r>
    </w:p>
    <w:p w14:paraId="1DBD89CC" w14:textId="77777777" w:rsidR="00A929E5" w:rsidRPr="00A929E5" w:rsidRDefault="00A929E5" w:rsidP="00A929E5">
      <w:pPr>
        <w:numPr>
          <w:ilvl w:val="0"/>
          <w:numId w:val="19"/>
        </w:numPr>
        <w:spacing w:line="360" w:lineRule="auto"/>
        <w:rPr>
          <w:rFonts w:ascii="Times New Roman" w:hAnsi="Times New Roman" w:cs="Times New Roman"/>
          <w:sz w:val="24"/>
          <w:szCs w:val="24"/>
        </w:rPr>
      </w:pPr>
      <w:r w:rsidRPr="00A929E5">
        <w:rPr>
          <w:rFonts w:ascii="Times New Roman" w:hAnsi="Times New Roman" w:cs="Times New Roman"/>
          <w:sz w:val="24"/>
          <w:szCs w:val="24"/>
        </w:rPr>
        <w:lastRenderedPageBreak/>
        <w:t xml:space="preserve">Langer Y, Langer A. Tooth-supported telescopic prostheses. J </w:t>
      </w:r>
      <w:proofErr w:type="spellStart"/>
      <w:r w:rsidRPr="00A929E5">
        <w:rPr>
          <w:rFonts w:ascii="Times New Roman" w:hAnsi="Times New Roman" w:cs="Times New Roman"/>
          <w:sz w:val="24"/>
          <w:szCs w:val="24"/>
        </w:rPr>
        <w:t>Prosthet</w:t>
      </w:r>
      <w:proofErr w:type="spellEnd"/>
      <w:r w:rsidRPr="00A929E5">
        <w:rPr>
          <w:rFonts w:ascii="Times New Roman" w:hAnsi="Times New Roman" w:cs="Times New Roman"/>
          <w:sz w:val="24"/>
          <w:szCs w:val="24"/>
        </w:rPr>
        <w:t xml:space="preserve"> Dent. 2000;84(2):129-132.</w:t>
      </w:r>
    </w:p>
    <w:p w14:paraId="0B5C09EA" w14:textId="77777777" w:rsidR="00A929E5" w:rsidRPr="00A929E5" w:rsidRDefault="00A929E5" w:rsidP="00A929E5">
      <w:pPr>
        <w:numPr>
          <w:ilvl w:val="0"/>
          <w:numId w:val="19"/>
        </w:numPr>
        <w:spacing w:line="360" w:lineRule="auto"/>
        <w:rPr>
          <w:rFonts w:ascii="Times New Roman" w:hAnsi="Times New Roman" w:cs="Times New Roman"/>
          <w:sz w:val="24"/>
          <w:szCs w:val="24"/>
        </w:rPr>
      </w:pPr>
      <w:r w:rsidRPr="00A929E5">
        <w:rPr>
          <w:rFonts w:ascii="Times New Roman" w:hAnsi="Times New Roman" w:cs="Times New Roman"/>
          <w:sz w:val="24"/>
          <w:szCs w:val="24"/>
        </w:rPr>
        <w:t>Zarb GA, Bolender CL. Prosthodontic Treatment. 12th ed. Mosby; 2004.</w:t>
      </w:r>
    </w:p>
    <w:p w14:paraId="64F50F53" w14:textId="77777777" w:rsidR="00A929E5" w:rsidRPr="00A929E5" w:rsidRDefault="00A929E5" w:rsidP="00A929E5">
      <w:pPr>
        <w:numPr>
          <w:ilvl w:val="0"/>
          <w:numId w:val="19"/>
        </w:numPr>
        <w:spacing w:line="360" w:lineRule="auto"/>
        <w:rPr>
          <w:rFonts w:ascii="Times New Roman" w:hAnsi="Times New Roman" w:cs="Times New Roman"/>
          <w:sz w:val="24"/>
          <w:szCs w:val="24"/>
        </w:rPr>
      </w:pPr>
      <w:r w:rsidRPr="00A929E5">
        <w:rPr>
          <w:rFonts w:ascii="Times New Roman" w:hAnsi="Times New Roman" w:cs="Times New Roman"/>
          <w:sz w:val="24"/>
          <w:szCs w:val="24"/>
        </w:rPr>
        <w:t xml:space="preserve">Tallgren A. The continuing reduction. J </w:t>
      </w:r>
      <w:proofErr w:type="spellStart"/>
      <w:r w:rsidRPr="00A929E5">
        <w:rPr>
          <w:rFonts w:ascii="Times New Roman" w:hAnsi="Times New Roman" w:cs="Times New Roman"/>
          <w:sz w:val="24"/>
          <w:szCs w:val="24"/>
        </w:rPr>
        <w:t>Prosthet</w:t>
      </w:r>
      <w:proofErr w:type="spellEnd"/>
      <w:r w:rsidRPr="00A929E5">
        <w:rPr>
          <w:rFonts w:ascii="Times New Roman" w:hAnsi="Times New Roman" w:cs="Times New Roman"/>
          <w:sz w:val="24"/>
          <w:szCs w:val="24"/>
        </w:rPr>
        <w:t xml:space="preserve"> Dent. 1972;28(2):120-132.</w:t>
      </w:r>
    </w:p>
    <w:p w14:paraId="2859E1A2" w14:textId="77777777" w:rsidR="00A929E5" w:rsidRPr="00A929E5" w:rsidRDefault="00A929E5" w:rsidP="00A929E5">
      <w:pPr>
        <w:numPr>
          <w:ilvl w:val="0"/>
          <w:numId w:val="19"/>
        </w:numPr>
        <w:spacing w:line="360" w:lineRule="auto"/>
        <w:rPr>
          <w:rFonts w:ascii="Times New Roman" w:hAnsi="Times New Roman" w:cs="Times New Roman"/>
          <w:sz w:val="24"/>
          <w:szCs w:val="24"/>
        </w:rPr>
      </w:pPr>
      <w:r w:rsidRPr="00A929E5">
        <w:rPr>
          <w:rFonts w:ascii="Times New Roman" w:hAnsi="Times New Roman" w:cs="Times New Roman"/>
          <w:sz w:val="24"/>
          <w:szCs w:val="24"/>
        </w:rPr>
        <w:t xml:space="preserve">Burns DR, et al. Prospective clinical evaluation. J </w:t>
      </w:r>
      <w:proofErr w:type="spellStart"/>
      <w:r w:rsidRPr="00A929E5">
        <w:rPr>
          <w:rFonts w:ascii="Times New Roman" w:hAnsi="Times New Roman" w:cs="Times New Roman"/>
          <w:sz w:val="24"/>
          <w:szCs w:val="24"/>
        </w:rPr>
        <w:t>Prosthet</w:t>
      </w:r>
      <w:proofErr w:type="spellEnd"/>
      <w:r w:rsidRPr="00A929E5">
        <w:rPr>
          <w:rFonts w:ascii="Times New Roman" w:hAnsi="Times New Roman" w:cs="Times New Roman"/>
          <w:sz w:val="24"/>
          <w:szCs w:val="24"/>
        </w:rPr>
        <w:t xml:space="preserve"> Dent. 1995;73(4):354-363.</w:t>
      </w:r>
    </w:p>
    <w:p w14:paraId="1B31CEB5" w14:textId="77777777" w:rsidR="00A929E5" w:rsidRPr="00A929E5" w:rsidRDefault="00A929E5" w:rsidP="00A929E5">
      <w:pPr>
        <w:numPr>
          <w:ilvl w:val="0"/>
          <w:numId w:val="19"/>
        </w:numPr>
        <w:spacing w:line="360" w:lineRule="auto"/>
        <w:rPr>
          <w:rFonts w:ascii="Times New Roman" w:hAnsi="Times New Roman" w:cs="Times New Roman"/>
          <w:sz w:val="24"/>
          <w:szCs w:val="24"/>
        </w:rPr>
      </w:pPr>
      <w:r w:rsidRPr="00A929E5">
        <w:rPr>
          <w:rFonts w:ascii="Times New Roman" w:hAnsi="Times New Roman" w:cs="Times New Roman"/>
          <w:sz w:val="24"/>
          <w:szCs w:val="24"/>
        </w:rPr>
        <w:t xml:space="preserve">Walton JN, MacEntee MI. Problems with prostheses. J </w:t>
      </w:r>
      <w:proofErr w:type="spellStart"/>
      <w:r w:rsidRPr="00A929E5">
        <w:rPr>
          <w:rFonts w:ascii="Times New Roman" w:hAnsi="Times New Roman" w:cs="Times New Roman"/>
          <w:sz w:val="24"/>
          <w:szCs w:val="24"/>
        </w:rPr>
        <w:t>Prosthet</w:t>
      </w:r>
      <w:proofErr w:type="spellEnd"/>
      <w:r w:rsidRPr="00A929E5">
        <w:rPr>
          <w:rFonts w:ascii="Times New Roman" w:hAnsi="Times New Roman" w:cs="Times New Roman"/>
          <w:sz w:val="24"/>
          <w:szCs w:val="24"/>
        </w:rPr>
        <w:t xml:space="preserve"> Dent. 1994;71(3):283-288.</w:t>
      </w:r>
    </w:p>
    <w:p w14:paraId="60D3BAD6" w14:textId="77777777" w:rsidR="00A929E5" w:rsidRPr="00A929E5" w:rsidRDefault="00A929E5" w:rsidP="00A929E5">
      <w:pPr>
        <w:numPr>
          <w:ilvl w:val="0"/>
          <w:numId w:val="19"/>
        </w:numPr>
        <w:spacing w:line="360" w:lineRule="auto"/>
        <w:rPr>
          <w:rFonts w:ascii="Times New Roman" w:hAnsi="Times New Roman" w:cs="Times New Roman"/>
          <w:sz w:val="24"/>
          <w:szCs w:val="24"/>
        </w:rPr>
      </w:pPr>
      <w:proofErr w:type="spellStart"/>
      <w:r w:rsidRPr="00A929E5">
        <w:rPr>
          <w:rFonts w:ascii="Times New Roman" w:hAnsi="Times New Roman" w:cs="Times New Roman"/>
          <w:sz w:val="24"/>
          <w:szCs w:val="24"/>
        </w:rPr>
        <w:t>DeVan</w:t>
      </w:r>
      <w:proofErr w:type="spellEnd"/>
      <w:r w:rsidRPr="00A929E5">
        <w:rPr>
          <w:rFonts w:ascii="Times New Roman" w:hAnsi="Times New Roman" w:cs="Times New Roman"/>
          <w:sz w:val="24"/>
          <w:szCs w:val="24"/>
        </w:rPr>
        <w:t xml:space="preserve"> MM. The nature of the partial denture foundation. J </w:t>
      </w:r>
      <w:proofErr w:type="spellStart"/>
      <w:r w:rsidRPr="00A929E5">
        <w:rPr>
          <w:rFonts w:ascii="Times New Roman" w:hAnsi="Times New Roman" w:cs="Times New Roman"/>
          <w:sz w:val="24"/>
          <w:szCs w:val="24"/>
        </w:rPr>
        <w:t>Prosthet</w:t>
      </w:r>
      <w:proofErr w:type="spellEnd"/>
      <w:r w:rsidRPr="00A929E5">
        <w:rPr>
          <w:rFonts w:ascii="Times New Roman" w:hAnsi="Times New Roman" w:cs="Times New Roman"/>
          <w:sz w:val="24"/>
          <w:szCs w:val="24"/>
        </w:rPr>
        <w:t xml:space="preserve"> Dent. 1952;2(2):210-218.</w:t>
      </w:r>
    </w:p>
    <w:p w14:paraId="35B38FB7" w14:textId="77777777" w:rsidR="00A929E5" w:rsidRPr="00A929E5" w:rsidRDefault="00A929E5" w:rsidP="00A929E5">
      <w:pPr>
        <w:numPr>
          <w:ilvl w:val="0"/>
          <w:numId w:val="19"/>
        </w:numPr>
        <w:spacing w:line="360" w:lineRule="auto"/>
        <w:rPr>
          <w:rFonts w:ascii="Times New Roman" w:hAnsi="Times New Roman" w:cs="Times New Roman"/>
          <w:sz w:val="24"/>
          <w:szCs w:val="24"/>
        </w:rPr>
      </w:pPr>
      <w:r w:rsidRPr="00A929E5">
        <w:rPr>
          <w:rFonts w:ascii="Times New Roman" w:hAnsi="Times New Roman" w:cs="Times New Roman"/>
          <w:sz w:val="24"/>
          <w:szCs w:val="24"/>
        </w:rPr>
        <w:t>Misch CE. Dental Implant Prosthetics. 2nd ed. Elsevier; 2015.</w:t>
      </w:r>
    </w:p>
    <w:p w14:paraId="449D2F81" w14:textId="77777777" w:rsidR="00A929E5" w:rsidRPr="00A929E5" w:rsidRDefault="00A929E5" w:rsidP="00A929E5">
      <w:pPr>
        <w:numPr>
          <w:ilvl w:val="0"/>
          <w:numId w:val="19"/>
        </w:numPr>
        <w:spacing w:line="360" w:lineRule="auto"/>
        <w:rPr>
          <w:rFonts w:ascii="Times New Roman" w:hAnsi="Times New Roman" w:cs="Times New Roman"/>
          <w:sz w:val="24"/>
          <w:szCs w:val="24"/>
        </w:rPr>
      </w:pPr>
      <w:r w:rsidRPr="00A929E5">
        <w:rPr>
          <w:rFonts w:ascii="Times New Roman" w:hAnsi="Times New Roman" w:cs="Times New Roman"/>
          <w:sz w:val="24"/>
          <w:szCs w:val="24"/>
        </w:rPr>
        <w:t xml:space="preserve">Atwood DA. Reduction of residual ridges. J </w:t>
      </w:r>
      <w:proofErr w:type="spellStart"/>
      <w:r w:rsidRPr="00A929E5">
        <w:rPr>
          <w:rFonts w:ascii="Times New Roman" w:hAnsi="Times New Roman" w:cs="Times New Roman"/>
          <w:sz w:val="24"/>
          <w:szCs w:val="24"/>
        </w:rPr>
        <w:t>Prosthet</w:t>
      </w:r>
      <w:proofErr w:type="spellEnd"/>
      <w:r w:rsidRPr="00A929E5">
        <w:rPr>
          <w:rFonts w:ascii="Times New Roman" w:hAnsi="Times New Roman" w:cs="Times New Roman"/>
          <w:sz w:val="24"/>
          <w:szCs w:val="24"/>
        </w:rPr>
        <w:t xml:space="preserve"> Dent. 1971;26(3):266-279.</w:t>
      </w:r>
    </w:p>
    <w:p w14:paraId="5D344167" w14:textId="77777777" w:rsidR="00A929E5" w:rsidRPr="00A929E5" w:rsidRDefault="00A929E5" w:rsidP="00A929E5">
      <w:pPr>
        <w:numPr>
          <w:ilvl w:val="0"/>
          <w:numId w:val="19"/>
        </w:numPr>
        <w:spacing w:line="360" w:lineRule="auto"/>
        <w:rPr>
          <w:rFonts w:ascii="Times New Roman" w:hAnsi="Times New Roman" w:cs="Times New Roman"/>
          <w:sz w:val="24"/>
          <w:szCs w:val="24"/>
        </w:rPr>
      </w:pPr>
      <w:proofErr w:type="spellStart"/>
      <w:r w:rsidRPr="00A929E5">
        <w:rPr>
          <w:rFonts w:ascii="Times New Roman" w:hAnsi="Times New Roman" w:cs="Times New Roman"/>
          <w:sz w:val="24"/>
          <w:szCs w:val="24"/>
        </w:rPr>
        <w:t>Preiskel</w:t>
      </w:r>
      <w:proofErr w:type="spellEnd"/>
      <w:r w:rsidRPr="00A929E5">
        <w:rPr>
          <w:rFonts w:ascii="Times New Roman" w:hAnsi="Times New Roman" w:cs="Times New Roman"/>
          <w:sz w:val="24"/>
          <w:szCs w:val="24"/>
        </w:rPr>
        <w:t xml:space="preserve"> HW. Precision Attachments in Prosthodontics. Quintessence; 1985.</w:t>
      </w:r>
    </w:p>
    <w:p w14:paraId="01C27EAA" w14:textId="77777777" w:rsidR="006D4CB2" w:rsidRPr="00A929E5" w:rsidRDefault="006D4CB2" w:rsidP="00A929E5">
      <w:pPr>
        <w:spacing w:line="360" w:lineRule="auto"/>
        <w:rPr>
          <w:rFonts w:ascii="Times New Roman" w:hAnsi="Times New Roman" w:cs="Times New Roman"/>
          <w:sz w:val="24"/>
          <w:szCs w:val="24"/>
        </w:rPr>
      </w:pPr>
    </w:p>
    <w:sectPr w:rsidR="006D4CB2" w:rsidRPr="00A929E5">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180A1D" w14:textId="77777777" w:rsidR="001551CA" w:rsidRDefault="001551CA" w:rsidP="006A23EB">
      <w:pPr>
        <w:spacing w:after="0" w:line="240" w:lineRule="auto"/>
      </w:pPr>
      <w:r>
        <w:separator/>
      </w:r>
    </w:p>
  </w:endnote>
  <w:endnote w:type="continuationSeparator" w:id="0">
    <w:p w14:paraId="6F97F214" w14:textId="77777777" w:rsidR="001551CA" w:rsidRDefault="001551CA" w:rsidP="006A2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Latha">
    <w:altName w:val="Latha"/>
    <w:panose1 w:val="02000400000000000000"/>
    <w:charset w:val="00"/>
    <w:family w:val="swiss"/>
    <w:pitch w:val="variable"/>
    <w:sig w:usb0="00100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D3133" w14:textId="77777777" w:rsidR="006A23EB" w:rsidRDefault="006A23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44B08" w14:textId="77777777" w:rsidR="006A23EB" w:rsidRDefault="006A23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6953A" w14:textId="77777777" w:rsidR="006A23EB" w:rsidRDefault="006A23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F86F0F" w14:textId="77777777" w:rsidR="001551CA" w:rsidRDefault="001551CA" w:rsidP="006A23EB">
      <w:pPr>
        <w:spacing w:after="0" w:line="240" w:lineRule="auto"/>
      </w:pPr>
      <w:r>
        <w:separator/>
      </w:r>
    </w:p>
  </w:footnote>
  <w:footnote w:type="continuationSeparator" w:id="0">
    <w:p w14:paraId="3544B583" w14:textId="77777777" w:rsidR="001551CA" w:rsidRDefault="001551CA" w:rsidP="006A23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DBCF0" w14:textId="6F7BE953" w:rsidR="006A23EB" w:rsidRDefault="006A23EB">
    <w:pPr>
      <w:pStyle w:val="Header"/>
    </w:pPr>
    <w:r>
      <w:rPr>
        <w:noProof/>
      </w:rPr>
      <w:pict w14:anchorId="246C72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161094"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41C80" w14:textId="6CF8D7AF" w:rsidR="006A23EB" w:rsidRDefault="006A23EB">
    <w:pPr>
      <w:pStyle w:val="Header"/>
    </w:pPr>
    <w:r>
      <w:rPr>
        <w:noProof/>
      </w:rPr>
      <w:pict w14:anchorId="7CF563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161095"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B6BAA" w14:textId="6A07F026" w:rsidR="006A23EB" w:rsidRDefault="006A23EB">
    <w:pPr>
      <w:pStyle w:val="Header"/>
    </w:pPr>
    <w:r>
      <w:rPr>
        <w:noProof/>
      </w:rPr>
      <w:pict w14:anchorId="21B64F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161093"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2329E"/>
    <w:multiLevelType w:val="multilevel"/>
    <w:tmpl w:val="2878E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2830FC"/>
    <w:multiLevelType w:val="multilevel"/>
    <w:tmpl w:val="03563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415C1F"/>
    <w:multiLevelType w:val="multilevel"/>
    <w:tmpl w:val="B290E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9445B0"/>
    <w:multiLevelType w:val="multilevel"/>
    <w:tmpl w:val="7EBED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FC3EC6"/>
    <w:multiLevelType w:val="multilevel"/>
    <w:tmpl w:val="C792B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C70073"/>
    <w:multiLevelType w:val="multilevel"/>
    <w:tmpl w:val="CA3CEF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F8398A"/>
    <w:multiLevelType w:val="multilevel"/>
    <w:tmpl w:val="4C027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1A1DB0"/>
    <w:multiLevelType w:val="multilevel"/>
    <w:tmpl w:val="34005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5D6D46"/>
    <w:multiLevelType w:val="multilevel"/>
    <w:tmpl w:val="CDB2C7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A1C2450"/>
    <w:multiLevelType w:val="multilevel"/>
    <w:tmpl w:val="6FBE3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3A2219"/>
    <w:multiLevelType w:val="hybridMultilevel"/>
    <w:tmpl w:val="C554C332"/>
    <w:lvl w:ilvl="0" w:tplc="40090003">
      <w:start w:val="1"/>
      <w:numFmt w:val="bullet"/>
      <w:lvlText w:val="o"/>
      <w:lvlJc w:val="left"/>
      <w:pPr>
        <w:ind w:left="1800" w:hanging="360"/>
      </w:pPr>
      <w:rPr>
        <w:rFonts w:ascii="Courier New" w:hAnsi="Courier New" w:cs="Courier New"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1" w15:restartNumberingAfterBreak="0">
    <w:nsid w:val="33366AFB"/>
    <w:multiLevelType w:val="multilevel"/>
    <w:tmpl w:val="D9C29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D135BB"/>
    <w:multiLevelType w:val="multilevel"/>
    <w:tmpl w:val="2214C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7640CA9"/>
    <w:multiLevelType w:val="multilevel"/>
    <w:tmpl w:val="B8262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5641A0"/>
    <w:multiLevelType w:val="multilevel"/>
    <w:tmpl w:val="8CDEA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A23F39"/>
    <w:multiLevelType w:val="hybridMultilevel"/>
    <w:tmpl w:val="7F821D06"/>
    <w:lvl w:ilvl="0" w:tplc="40090003">
      <w:start w:val="1"/>
      <w:numFmt w:val="bullet"/>
      <w:lvlText w:val="o"/>
      <w:lvlJc w:val="left"/>
      <w:pPr>
        <w:ind w:left="2160" w:hanging="360"/>
      </w:pPr>
      <w:rPr>
        <w:rFonts w:ascii="Courier New" w:hAnsi="Courier New" w:cs="Courier New"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6" w15:restartNumberingAfterBreak="0">
    <w:nsid w:val="5B713F0E"/>
    <w:multiLevelType w:val="multilevel"/>
    <w:tmpl w:val="89921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EB76055"/>
    <w:multiLevelType w:val="multilevel"/>
    <w:tmpl w:val="CCA67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65236BC"/>
    <w:multiLevelType w:val="hybridMultilevel"/>
    <w:tmpl w:val="FD2418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FDA5EB4"/>
    <w:multiLevelType w:val="multilevel"/>
    <w:tmpl w:val="F3D82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08151DF"/>
    <w:multiLevelType w:val="multilevel"/>
    <w:tmpl w:val="33302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857BB0"/>
    <w:multiLevelType w:val="multilevel"/>
    <w:tmpl w:val="CE4CC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507E2E"/>
    <w:multiLevelType w:val="multilevel"/>
    <w:tmpl w:val="09F09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4"/>
  </w:num>
  <w:num w:numId="3">
    <w:abstractNumId w:val="7"/>
  </w:num>
  <w:num w:numId="4">
    <w:abstractNumId w:val="5"/>
  </w:num>
  <w:num w:numId="5">
    <w:abstractNumId w:val="19"/>
  </w:num>
  <w:num w:numId="6">
    <w:abstractNumId w:val="17"/>
  </w:num>
  <w:num w:numId="7">
    <w:abstractNumId w:val="6"/>
  </w:num>
  <w:num w:numId="8">
    <w:abstractNumId w:val="4"/>
  </w:num>
  <w:num w:numId="9">
    <w:abstractNumId w:val="22"/>
  </w:num>
  <w:num w:numId="10">
    <w:abstractNumId w:val="13"/>
  </w:num>
  <w:num w:numId="11">
    <w:abstractNumId w:val="1"/>
  </w:num>
  <w:num w:numId="12">
    <w:abstractNumId w:val="3"/>
  </w:num>
  <w:num w:numId="13">
    <w:abstractNumId w:val="0"/>
  </w:num>
  <w:num w:numId="14">
    <w:abstractNumId w:val="21"/>
  </w:num>
  <w:num w:numId="15">
    <w:abstractNumId w:val="12"/>
  </w:num>
  <w:num w:numId="16">
    <w:abstractNumId w:val="20"/>
  </w:num>
  <w:num w:numId="17">
    <w:abstractNumId w:val="2"/>
  </w:num>
  <w:num w:numId="18">
    <w:abstractNumId w:val="8"/>
  </w:num>
  <w:num w:numId="19">
    <w:abstractNumId w:val="16"/>
  </w:num>
  <w:num w:numId="20">
    <w:abstractNumId w:val="9"/>
  </w:num>
  <w:num w:numId="21">
    <w:abstractNumId w:val="15"/>
  </w:num>
  <w:num w:numId="22">
    <w:abstractNumId w:val="10"/>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9E5"/>
    <w:rsid w:val="0000635A"/>
    <w:rsid w:val="000070E3"/>
    <w:rsid w:val="000D68A3"/>
    <w:rsid w:val="0013185E"/>
    <w:rsid w:val="001551CA"/>
    <w:rsid w:val="004D2350"/>
    <w:rsid w:val="005A1F05"/>
    <w:rsid w:val="005B6A1E"/>
    <w:rsid w:val="005D2D2F"/>
    <w:rsid w:val="00671D52"/>
    <w:rsid w:val="006A23EB"/>
    <w:rsid w:val="006D4CB2"/>
    <w:rsid w:val="007B7626"/>
    <w:rsid w:val="007D2211"/>
    <w:rsid w:val="00A045F8"/>
    <w:rsid w:val="00A85B3B"/>
    <w:rsid w:val="00A929E5"/>
    <w:rsid w:val="00B63480"/>
    <w:rsid w:val="00CB3C6A"/>
    <w:rsid w:val="00D93041"/>
    <w:rsid w:val="00DB3135"/>
    <w:rsid w:val="00E51B93"/>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AF9F5E"/>
  <w15:chartTrackingRefBased/>
  <w15:docId w15:val="{C03546D8-CA19-441C-80DF-03F237B12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29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929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929E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929E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929E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929E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29E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29E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29E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29E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929E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929E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929E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929E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929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29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29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29E5"/>
    <w:rPr>
      <w:rFonts w:eastAsiaTheme="majorEastAsia" w:cstheme="majorBidi"/>
      <w:color w:val="272727" w:themeColor="text1" w:themeTint="D8"/>
    </w:rPr>
  </w:style>
  <w:style w:type="paragraph" w:styleId="Title">
    <w:name w:val="Title"/>
    <w:basedOn w:val="Normal"/>
    <w:next w:val="Normal"/>
    <w:link w:val="TitleChar"/>
    <w:uiPriority w:val="10"/>
    <w:qFormat/>
    <w:rsid w:val="00A929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29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29E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29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29E5"/>
    <w:pPr>
      <w:spacing w:before="160"/>
      <w:jc w:val="center"/>
    </w:pPr>
    <w:rPr>
      <w:i/>
      <w:iCs/>
      <w:color w:val="404040" w:themeColor="text1" w:themeTint="BF"/>
    </w:rPr>
  </w:style>
  <w:style w:type="character" w:customStyle="1" w:styleId="QuoteChar">
    <w:name w:val="Quote Char"/>
    <w:basedOn w:val="DefaultParagraphFont"/>
    <w:link w:val="Quote"/>
    <w:uiPriority w:val="29"/>
    <w:rsid w:val="00A929E5"/>
    <w:rPr>
      <w:i/>
      <w:iCs/>
      <w:color w:val="404040" w:themeColor="text1" w:themeTint="BF"/>
    </w:rPr>
  </w:style>
  <w:style w:type="paragraph" w:styleId="ListParagraph">
    <w:name w:val="List Paragraph"/>
    <w:basedOn w:val="Normal"/>
    <w:uiPriority w:val="34"/>
    <w:qFormat/>
    <w:rsid w:val="00A929E5"/>
    <w:pPr>
      <w:ind w:left="720"/>
      <w:contextualSpacing/>
    </w:pPr>
  </w:style>
  <w:style w:type="character" w:styleId="IntenseEmphasis">
    <w:name w:val="Intense Emphasis"/>
    <w:basedOn w:val="DefaultParagraphFont"/>
    <w:uiPriority w:val="21"/>
    <w:qFormat/>
    <w:rsid w:val="00A929E5"/>
    <w:rPr>
      <w:i/>
      <w:iCs/>
      <w:color w:val="0F4761" w:themeColor="accent1" w:themeShade="BF"/>
    </w:rPr>
  </w:style>
  <w:style w:type="paragraph" w:styleId="IntenseQuote">
    <w:name w:val="Intense Quote"/>
    <w:basedOn w:val="Normal"/>
    <w:next w:val="Normal"/>
    <w:link w:val="IntenseQuoteChar"/>
    <w:uiPriority w:val="30"/>
    <w:qFormat/>
    <w:rsid w:val="00A929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29E5"/>
    <w:rPr>
      <w:i/>
      <w:iCs/>
      <w:color w:val="0F4761" w:themeColor="accent1" w:themeShade="BF"/>
    </w:rPr>
  </w:style>
  <w:style w:type="character" w:styleId="IntenseReference">
    <w:name w:val="Intense Reference"/>
    <w:basedOn w:val="DefaultParagraphFont"/>
    <w:uiPriority w:val="32"/>
    <w:qFormat/>
    <w:rsid w:val="00A929E5"/>
    <w:rPr>
      <w:b/>
      <w:bCs/>
      <w:smallCaps/>
      <w:color w:val="0F4761" w:themeColor="accent1" w:themeShade="BF"/>
      <w:spacing w:val="5"/>
    </w:rPr>
  </w:style>
  <w:style w:type="paragraph" w:styleId="Header">
    <w:name w:val="header"/>
    <w:basedOn w:val="Normal"/>
    <w:link w:val="HeaderChar"/>
    <w:uiPriority w:val="99"/>
    <w:unhideWhenUsed/>
    <w:rsid w:val="006A23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23EB"/>
  </w:style>
  <w:style w:type="paragraph" w:styleId="Footer">
    <w:name w:val="footer"/>
    <w:basedOn w:val="Normal"/>
    <w:link w:val="FooterChar"/>
    <w:uiPriority w:val="99"/>
    <w:unhideWhenUsed/>
    <w:rsid w:val="006A23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23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8804038">
      <w:bodyDiv w:val="1"/>
      <w:marLeft w:val="0"/>
      <w:marRight w:val="0"/>
      <w:marTop w:val="0"/>
      <w:marBottom w:val="0"/>
      <w:divBdr>
        <w:top w:val="none" w:sz="0" w:space="0" w:color="auto"/>
        <w:left w:val="none" w:sz="0" w:space="0" w:color="auto"/>
        <w:bottom w:val="none" w:sz="0" w:space="0" w:color="auto"/>
        <w:right w:val="none" w:sz="0" w:space="0" w:color="auto"/>
      </w:divBdr>
      <w:divsChild>
        <w:div w:id="2141801183">
          <w:marLeft w:val="0"/>
          <w:marRight w:val="0"/>
          <w:marTop w:val="100"/>
          <w:marBottom w:val="100"/>
          <w:divBdr>
            <w:top w:val="none" w:sz="0" w:space="0" w:color="auto"/>
            <w:left w:val="none" w:sz="0" w:space="0" w:color="auto"/>
            <w:bottom w:val="none" w:sz="0" w:space="0" w:color="auto"/>
            <w:right w:val="none" w:sz="0" w:space="0" w:color="auto"/>
          </w:divBdr>
          <w:divsChild>
            <w:div w:id="640502825">
              <w:marLeft w:val="0"/>
              <w:marRight w:val="0"/>
              <w:marTop w:val="0"/>
              <w:marBottom w:val="180"/>
              <w:divBdr>
                <w:top w:val="none" w:sz="0" w:space="0" w:color="auto"/>
                <w:left w:val="none" w:sz="0" w:space="0" w:color="auto"/>
                <w:bottom w:val="none" w:sz="0" w:space="0" w:color="auto"/>
                <w:right w:val="none" w:sz="0" w:space="0" w:color="auto"/>
              </w:divBdr>
              <w:divsChild>
                <w:div w:id="1872570422">
                  <w:marLeft w:val="0"/>
                  <w:marRight w:val="0"/>
                  <w:marTop w:val="0"/>
                  <w:marBottom w:val="0"/>
                  <w:divBdr>
                    <w:top w:val="none" w:sz="0" w:space="0" w:color="auto"/>
                    <w:left w:val="none" w:sz="0" w:space="0" w:color="auto"/>
                    <w:bottom w:val="none" w:sz="0" w:space="0" w:color="auto"/>
                    <w:right w:val="none" w:sz="0" w:space="0" w:color="auto"/>
                  </w:divBdr>
                </w:div>
              </w:divsChild>
            </w:div>
            <w:div w:id="1058700530">
              <w:marLeft w:val="0"/>
              <w:marRight w:val="0"/>
              <w:marTop w:val="0"/>
              <w:marBottom w:val="240"/>
              <w:divBdr>
                <w:top w:val="none" w:sz="0" w:space="0" w:color="auto"/>
                <w:left w:val="none" w:sz="0" w:space="0" w:color="auto"/>
                <w:bottom w:val="none" w:sz="0" w:space="0" w:color="auto"/>
                <w:right w:val="none" w:sz="0" w:space="0" w:color="auto"/>
              </w:divBdr>
              <w:divsChild>
                <w:div w:id="1722942029">
                  <w:marLeft w:val="0"/>
                  <w:marRight w:val="0"/>
                  <w:marTop w:val="0"/>
                  <w:marBottom w:val="0"/>
                  <w:divBdr>
                    <w:top w:val="none" w:sz="0" w:space="0" w:color="auto"/>
                    <w:left w:val="none" w:sz="0" w:space="0" w:color="auto"/>
                    <w:bottom w:val="none" w:sz="0" w:space="0" w:color="auto"/>
                    <w:right w:val="none" w:sz="0" w:space="0" w:color="auto"/>
                  </w:divBdr>
                </w:div>
              </w:divsChild>
            </w:div>
            <w:div w:id="659306766">
              <w:marLeft w:val="0"/>
              <w:marRight w:val="0"/>
              <w:marTop w:val="0"/>
              <w:marBottom w:val="180"/>
              <w:divBdr>
                <w:top w:val="none" w:sz="0" w:space="0" w:color="auto"/>
                <w:left w:val="none" w:sz="0" w:space="0" w:color="auto"/>
                <w:bottom w:val="none" w:sz="0" w:space="0" w:color="auto"/>
                <w:right w:val="none" w:sz="0" w:space="0" w:color="auto"/>
              </w:divBdr>
              <w:divsChild>
                <w:div w:id="2055606">
                  <w:marLeft w:val="0"/>
                  <w:marRight w:val="0"/>
                  <w:marTop w:val="0"/>
                  <w:marBottom w:val="0"/>
                  <w:divBdr>
                    <w:top w:val="none" w:sz="0" w:space="0" w:color="auto"/>
                    <w:left w:val="none" w:sz="0" w:space="0" w:color="auto"/>
                    <w:bottom w:val="none" w:sz="0" w:space="0" w:color="auto"/>
                    <w:right w:val="none" w:sz="0" w:space="0" w:color="auto"/>
                  </w:divBdr>
                </w:div>
              </w:divsChild>
            </w:div>
            <w:div w:id="1621259619">
              <w:marLeft w:val="0"/>
              <w:marRight w:val="0"/>
              <w:marTop w:val="0"/>
              <w:marBottom w:val="240"/>
              <w:divBdr>
                <w:top w:val="none" w:sz="0" w:space="0" w:color="auto"/>
                <w:left w:val="none" w:sz="0" w:space="0" w:color="auto"/>
                <w:bottom w:val="none" w:sz="0" w:space="0" w:color="auto"/>
                <w:right w:val="none" w:sz="0" w:space="0" w:color="auto"/>
              </w:divBdr>
              <w:divsChild>
                <w:div w:id="1575969701">
                  <w:marLeft w:val="0"/>
                  <w:marRight w:val="0"/>
                  <w:marTop w:val="0"/>
                  <w:marBottom w:val="0"/>
                  <w:divBdr>
                    <w:top w:val="none" w:sz="0" w:space="0" w:color="auto"/>
                    <w:left w:val="none" w:sz="0" w:space="0" w:color="auto"/>
                    <w:bottom w:val="none" w:sz="0" w:space="0" w:color="auto"/>
                    <w:right w:val="none" w:sz="0" w:space="0" w:color="auto"/>
                  </w:divBdr>
                </w:div>
              </w:divsChild>
            </w:div>
            <w:div w:id="575742715">
              <w:marLeft w:val="0"/>
              <w:marRight w:val="0"/>
              <w:marTop w:val="0"/>
              <w:marBottom w:val="0"/>
              <w:divBdr>
                <w:top w:val="none" w:sz="0" w:space="0" w:color="auto"/>
                <w:left w:val="none" w:sz="0" w:space="0" w:color="auto"/>
                <w:bottom w:val="none" w:sz="0" w:space="0" w:color="auto"/>
                <w:right w:val="none" w:sz="0" w:space="0" w:color="auto"/>
              </w:divBdr>
              <w:divsChild>
                <w:div w:id="76816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24376">
          <w:marLeft w:val="0"/>
          <w:marRight w:val="0"/>
          <w:marTop w:val="0"/>
          <w:marBottom w:val="300"/>
          <w:divBdr>
            <w:top w:val="none" w:sz="0" w:space="0" w:color="auto"/>
            <w:left w:val="none" w:sz="0" w:space="0" w:color="auto"/>
            <w:bottom w:val="none" w:sz="0" w:space="0" w:color="auto"/>
            <w:right w:val="none" w:sz="0" w:space="0" w:color="auto"/>
          </w:divBdr>
          <w:divsChild>
            <w:div w:id="175350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08404">
      <w:bodyDiv w:val="1"/>
      <w:marLeft w:val="0"/>
      <w:marRight w:val="0"/>
      <w:marTop w:val="0"/>
      <w:marBottom w:val="0"/>
      <w:divBdr>
        <w:top w:val="none" w:sz="0" w:space="0" w:color="auto"/>
        <w:left w:val="none" w:sz="0" w:space="0" w:color="auto"/>
        <w:bottom w:val="none" w:sz="0" w:space="0" w:color="auto"/>
        <w:right w:val="none" w:sz="0" w:space="0" w:color="auto"/>
      </w:divBdr>
    </w:div>
    <w:div w:id="1627540451">
      <w:bodyDiv w:val="1"/>
      <w:marLeft w:val="0"/>
      <w:marRight w:val="0"/>
      <w:marTop w:val="0"/>
      <w:marBottom w:val="0"/>
      <w:divBdr>
        <w:top w:val="none" w:sz="0" w:space="0" w:color="auto"/>
        <w:left w:val="none" w:sz="0" w:space="0" w:color="auto"/>
        <w:bottom w:val="none" w:sz="0" w:space="0" w:color="auto"/>
        <w:right w:val="none" w:sz="0" w:space="0" w:color="auto"/>
      </w:divBdr>
    </w:div>
    <w:div w:id="1683311948">
      <w:bodyDiv w:val="1"/>
      <w:marLeft w:val="0"/>
      <w:marRight w:val="0"/>
      <w:marTop w:val="0"/>
      <w:marBottom w:val="0"/>
      <w:divBdr>
        <w:top w:val="none" w:sz="0" w:space="0" w:color="auto"/>
        <w:left w:val="none" w:sz="0" w:space="0" w:color="auto"/>
        <w:bottom w:val="none" w:sz="0" w:space="0" w:color="auto"/>
        <w:right w:val="none" w:sz="0" w:space="0" w:color="auto"/>
      </w:divBdr>
      <w:divsChild>
        <w:div w:id="1728726524">
          <w:marLeft w:val="0"/>
          <w:marRight w:val="0"/>
          <w:marTop w:val="100"/>
          <w:marBottom w:val="100"/>
          <w:divBdr>
            <w:top w:val="none" w:sz="0" w:space="0" w:color="auto"/>
            <w:left w:val="none" w:sz="0" w:space="0" w:color="auto"/>
            <w:bottom w:val="none" w:sz="0" w:space="0" w:color="auto"/>
            <w:right w:val="none" w:sz="0" w:space="0" w:color="auto"/>
          </w:divBdr>
          <w:divsChild>
            <w:div w:id="1872187602">
              <w:marLeft w:val="0"/>
              <w:marRight w:val="0"/>
              <w:marTop w:val="0"/>
              <w:marBottom w:val="180"/>
              <w:divBdr>
                <w:top w:val="none" w:sz="0" w:space="0" w:color="auto"/>
                <w:left w:val="none" w:sz="0" w:space="0" w:color="auto"/>
                <w:bottom w:val="none" w:sz="0" w:space="0" w:color="auto"/>
                <w:right w:val="none" w:sz="0" w:space="0" w:color="auto"/>
              </w:divBdr>
              <w:divsChild>
                <w:div w:id="1533376843">
                  <w:marLeft w:val="0"/>
                  <w:marRight w:val="0"/>
                  <w:marTop w:val="0"/>
                  <w:marBottom w:val="0"/>
                  <w:divBdr>
                    <w:top w:val="none" w:sz="0" w:space="0" w:color="auto"/>
                    <w:left w:val="none" w:sz="0" w:space="0" w:color="auto"/>
                    <w:bottom w:val="none" w:sz="0" w:space="0" w:color="auto"/>
                    <w:right w:val="none" w:sz="0" w:space="0" w:color="auto"/>
                  </w:divBdr>
                </w:div>
              </w:divsChild>
            </w:div>
            <w:div w:id="1217087275">
              <w:marLeft w:val="0"/>
              <w:marRight w:val="0"/>
              <w:marTop w:val="0"/>
              <w:marBottom w:val="240"/>
              <w:divBdr>
                <w:top w:val="none" w:sz="0" w:space="0" w:color="auto"/>
                <w:left w:val="none" w:sz="0" w:space="0" w:color="auto"/>
                <w:bottom w:val="none" w:sz="0" w:space="0" w:color="auto"/>
                <w:right w:val="none" w:sz="0" w:space="0" w:color="auto"/>
              </w:divBdr>
              <w:divsChild>
                <w:div w:id="518737944">
                  <w:marLeft w:val="0"/>
                  <w:marRight w:val="0"/>
                  <w:marTop w:val="0"/>
                  <w:marBottom w:val="0"/>
                  <w:divBdr>
                    <w:top w:val="none" w:sz="0" w:space="0" w:color="auto"/>
                    <w:left w:val="none" w:sz="0" w:space="0" w:color="auto"/>
                    <w:bottom w:val="none" w:sz="0" w:space="0" w:color="auto"/>
                    <w:right w:val="none" w:sz="0" w:space="0" w:color="auto"/>
                  </w:divBdr>
                </w:div>
              </w:divsChild>
            </w:div>
            <w:div w:id="866211931">
              <w:marLeft w:val="0"/>
              <w:marRight w:val="0"/>
              <w:marTop w:val="0"/>
              <w:marBottom w:val="180"/>
              <w:divBdr>
                <w:top w:val="none" w:sz="0" w:space="0" w:color="auto"/>
                <w:left w:val="none" w:sz="0" w:space="0" w:color="auto"/>
                <w:bottom w:val="none" w:sz="0" w:space="0" w:color="auto"/>
                <w:right w:val="none" w:sz="0" w:space="0" w:color="auto"/>
              </w:divBdr>
              <w:divsChild>
                <w:div w:id="1344748416">
                  <w:marLeft w:val="0"/>
                  <w:marRight w:val="0"/>
                  <w:marTop w:val="0"/>
                  <w:marBottom w:val="0"/>
                  <w:divBdr>
                    <w:top w:val="none" w:sz="0" w:space="0" w:color="auto"/>
                    <w:left w:val="none" w:sz="0" w:space="0" w:color="auto"/>
                    <w:bottom w:val="none" w:sz="0" w:space="0" w:color="auto"/>
                    <w:right w:val="none" w:sz="0" w:space="0" w:color="auto"/>
                  </w:divBdr>
                </w:div>
              </w:divsChild>
            </w:div>
            <w:div w:id="2051493742">
              <w:marLeft w:val="0"/>
              <w:marRight w:val="0"/>
              <w:marTop w:val="0"/>
              <w:marBottom w:val="240"/>
              <w:divBdr>
                <w:top w:val="none" w:sz="0" w:space="0" w:color="auto"/>
                <w:left w:val="none" w:sz="0" w:space="0" w:color="auto"/>
                <w:bottom w:val="none" w:sz="0" w:space="0" w:color="auto"/>
                <w:right w:val="none" w:sz="0" w:space="0" w:color="auto"/>
              </w:divBdr>
              <w:divsChild>
                <w:div w:id="1155800059">
                  <w:marLeft w:val="0"/>
                  <w:marRight w:val="0"/>
                  <w:marTop w:val="0"/>
                  <w:marBottom w:val="0"/>
                  <w:divBdr>
                    <w:top w:val="none" w:sz="0" w:space="0" w:color="auto"/>
                    <w:left w:val="none" w:sz="0" w:space="0" w:color="auto"/>
                    <w:bottom w:val="none" w:sz="0" w:space="0" w:color="auto"/>
                    <w:right w:val="none" w:sz="0" w:space="0" w:color="auto"/>
                  </w:divBdr>
                </w:div>
              </w:divsChild>
            </w:div>
            <w:div w:id="1582521153">
              <w:marLeft w:val="0"/>
              <w:marRight w:val="0"/>
              <w:marTop w:val="0"/>
              <w:marBottom w:val="0"/>
              <w:divBdr>
                <w:top w:val="none" w:sz="0" w:space="0" w:color="auto"/>
                <w:left w:val="none" w:sz="0" w:space="0" w:color="auto"/>
                <w:bottom w:val="none" w:sz="0" w:space="0" w:color="auto"/>
                <w:right w:val="none" w:sz="0" w:space="0" w:color="auto"/>
              </w:divBdr>
              <w:divsChild>
                <w:div w:id="4543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71686">
          <w:marLeft w:val="0"/>
          <w:marRight w:val="0"/>
          <w:marTop w:val="0"/>
          <w:marBottom w:val="300"/>
          <w:divBdr>
            <w:top w:val="none" w:sz="0" w:space="0" w:color="auto"/>
            <w:left w:val="none" w:sz="0" w:space="0" w:color="auto"/>
            <w:bottom w:val="none" w:sz="0" w:space="0" w:color="auto"/>
            <w:right w:val="none" w:sz="0" w:space="0" w:color="auto"/>
          </w:divBdr>
          <w:divsChild>
            <w:div w:id="211624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7</Pages>
  <Words>1407</Words>
  <Characters>8021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2292</dc:creator>
  <cp:keywords/>
  <dc:description/>
  <cp:lastModifiedBy>SDI 1084</cp:lastModifiedBy>
  <cp:revision>5</cp:revision>
  <dcterms:created xsi:type="dcterms:W3CDTF">2025-07-15T18:22:00Z</dcterms:created>
  <dcterms:modified xsi:type="dcterms:W3CDTF">2025-09-26T11:31:00Z</dcterms:modified>
</cp:coreProperties>
</file>